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C3F50" w:rsidP="0018714B" w14:paraId="30354E98" w14:textId="77777777">
      <w:pPr>
        <w:pStyle w:val="ReportCover-Title"/>
        <w:jc w:val="center"/>
        <w:rPr>
          <w:rFonts w:ascii="Arial" w:eastAsia="Arial Unicode MS" w:hAnsi="Arial" w:cs="Arial"/>
          <w:noProof/>
          <w:color w:val="auto"/>
        </w:rPr>
      </w:pPr>
    </w:p>
    <w:p w:rsidR="00BC3F50" w:rsidP="0018714B" w14:paraId="22EA3F14" w14:textId="77777777">
      <w:pPr>
        <w:pStyle w:val="ReportCover-Title"/>
        <w:jc w:val="center"/>
        <w:rPr>
          <w:rFonts w:ascii="Arial" w:eastAsia="Arial Unicode MS" w:hAnsi="Arial" w:cs="Arial"/>
          <w:noProof/>
          <w:color w:val="auto"/>
        </w:rPr>
      </w:pPr>
    </w:p>
    <w:p w:rsidR="0018714B" w:rsidRPr="0018714B" w:rsidP="0018714B" w14:paraId="0D7E0E9B" w14:textId="0814D98A">
      <w:pPr>
        <w:pStyle w:val="ReportCover-Title"/>
        <w:jc w:val="center"/>
        <w:rPr>
          <w:rFonts w:ascii="Arial" w:eastAsia="Arial Unicode MS" w:hAnsi="Arial" w:cs="Arial"/>
          <w:noProof/>
          <w:color w:val="auto"/>
        </w:rPr>
      </w:pPr>
      <w:r w:rsidRPr="0018714B">
        <w:rPr>
          <w:rFonts w:ascii="Arial" w:eastAsia="Arial Unicode MS" w:hAnsi="Arial" w:cs="Arial"/>
          <w:noProof/>
          <w:color w:val="auto"/>
        </w:rPr>
        <w:t>Low Income Home Energy Assistance Program (LIHEAP) Annual Report on Households Assisted</w:t>
      </w:r>
    </w:p>
    <w:p w:rsidR="00160621" w:rsidRPr="00160621" w:rsidP="0018714B" w14:paraId="3803038F" w14:textId="77777777">
      <w:pPr>
        <w:pStyle w:val="ReportCover-Title"/>
        <w:jc w:val="center"/>
        <w:rPr>
          <w:rFonts w:ascii="Arial" w:hAnsi="Arial" w:cs="Arial"/>
          <w:color w:val="auto"/>
        </w:rPr>
      </w:pPr>
    </w:p>
    <w:p w:rsidR="00160621" w:rsidRPr="00160621" w:rsidP="00160621" w14:paraId="66AC6814" w14:textId="77777777">
      <w:pPr>
        <w:pStyle w:val="ReportCover-Title"/>
        <w:rPr>
          <w:rFonts w:ascii="Arial" w:hAnsi="Arial" w:cs="Arial"/>
          <w:color w:val="auto"/>
        </w:rPr>
      </w:pPr>
    </w:p>
    <w:p w:rsidR="00160621" w:rsidRPr="00160621" w:rsidP="00160621" w14:paraId="7F21AD04" w14:textId="77777777">
      <w:pPr>
        <w:pStyle w:val="ReportCover-Title"/>
        <w:rPr>
          <w:rFonts w:ascii="Arial" w:hAnsi="Arial" w:cs="Arial"/>
          <w:color w:val="auto"/>
        </w:rPr>
      </w:pPr>
    </w:p>
    <w:p w:rsidR="00160621" w:rsidRPr="00160621" w:rsidP="00160621" w14:paraId="49F765EB"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330DBEC4" w14:textId="77777777">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18714B">
        <w:rPr>
          <w:rFonts w:ascii="Arial" w:hAnsi="Arial" w:cs="Arial"/>
          <w:color w:val="auto"/>
          <w:sz w:val="32"/>
          <w:szCs w:val="32"/>
        </w:rPr>
        <w:t>0060</w:t>
      </w:r>
    </w:p>
    <w:p w:rsidR="00160621" w:rsidRPr="00160621" w:rsidP="00160621" w14:paraId="315C293D" w14:textId="77777777">
      <w:pPr>
        <w:rPr>
          <w:rFonts w:ascii="Arial" w:hAnsi="Arial" w:cs="Arial"/>
          <w:szCs w:val="22"/>
        </w:rPr>
      </w:pPr>
    </w:p>
    <w:p w:rsidR="00160621" w:rsidRPr="00160621" w:rsidP="00160621" w14:paraId="37A6E04D" w14:textId="77777777">
      <w:pPr>
        <w:pStyle w:val="ReportCover-Date"/>
        <w:jc w:val="center"/>
        <w:rPr>
          <w:rFonts w:ascii="Arial" w:hAnsi="Arial" w:cs="Arial"/>
          <w:color w:val="auto"/>
        </w:rPr>
      </w:pPr>
    </w:p>
    <w:p w:rsidR="00160621" w:rsidRPr="00160621" w:rsidP="00597E7F" w14:paraId="17F7CD55"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00160621" w:rsidRPr="00160621" w:rsidP="00160621" w14:paraId="188CE3D0" w14:textId="031AE53E">
      <w:pPr>
        <w:pStyle w:val="ReportCover-Date"/>
        <w:jc w:val="center"/>
        <w:rPr>
          <w:rFonts w:ascii="Arial" w:hAnsi="Arial" w:cs="Arial"/>
          <w:color w:val="auto"/>
        </w:rPr>
      </w:pPr>
      <w:r>
        <w:rPr>
          <w:rFonts w:ascii="Arial" w:hAnsi="Arial" w:cs="Arial"/>
          <w:color w:val="auto"/>
        </w:rPr>
        <w:t>June</w:t>
      </w:r>
      <w:r w:rsidR="00D30723">
        <w:rPr>
          <w:rFonts w:ascii="Arial" w:hAnsi="Arial" w:cs="Arial"/>
          <w:color w:val="auto"/>
        </w:rPr>
        <w:t xml:space="preserve"> </w:t>
      </w:r>
      <w:r w:rsidR="0017783C">
        <w:rPr>
          <w:rFonts w:ascii="Arial" w:hAnsi="Arial" w:cs="Arial"/>
          <w:color w:val="auto"/>
        </w:rPr>
        <w:t>202</w:t>
      </w:r>
      <w:r w:rsidR="00A265A7">
        <w:rPr>
          <w:rFonts w:ascii="Arial" w:hAnsi="Arial" w:cs="Arial"/>
          <w:color w:val="auto"/>
        </w:rPr>
        <w:t>6</w:t>
      </w:r>
    </w:p>
    <w:p w:rsidR="00160621" w:rsidP="00160621" w14:paraId="700C634C" w14:textId="77777777">
      <w:pPr>
        <w:jc w:val="center"/>
        <w:rPr>
          <w:rFonts w:ascii="Arial" w:hAnsi="Arial" w:cs="Arial"/>
        </w:rPr>
      </w:pPr>
    </w:p>
    <w:p w:rsidR="00597E7F" w:rsidP="00160621" w14:paraId="264A586A" w14:textId="77777777">
      <w:pPr>
        <w:jc w:val="center"/>
        <w:rPr>
          <w:rFonts w:ascii="Arial" w:hAnsi="Arial" w:cs="Arial"/>
        </w:rPr>
      </w:pPr>
    </w:p>
    <w:p w:rsidR="00597E7F" w:rsidP="00160621" w14:paraId="0D2EB373" w14:textId="77777777">
      <w:pPr>
        <w:jc w:val="center"/>
        <w:rPr>
          <w:rFonts w:ascii="Arial" w:hAnsi="Arial" w:cs="Arial"/>
        </w:rPr>
      </w:pPr>
    </w:p>
    <w:p w:rsidR="00597E7F" w:rsidP="00160621" w14:paraId="53A70D8E" w14:textId="77777777">
      <w:pPr>
        <w:jc w:val="center"/>
        <w:rPr>
          <w:rFonts w:ascii="Arial" w:hAnsi="Arial" w:cs="Arial"/>
        </w:rPr>
      </w:pPr>
    </w:p>
    <w:p w:rsidR="00597E7F" w:rsidP="00160621" w14:paraId="4ABFE510" w14:textId="77777777">
      <w:pPr>
        <w:jc w:val="center"/>
        <w:rPr>
          <w:rFonts w:ascii="Arial" w:hAnsi="Arial" w:cs="Arial"/>
        </w:rPr>
      </w:pPr>
    </w:p>
    <w:p w:rsidR="00597E7F" w:rsidP="00160621" w14:paraId="3EC386E8" w14:textId="77777777">
      <w:pPr>
        <w:jc w:val="center"/>
        <w:rPr>
          <w:rFonts w:ascii="Arial" w:hAnsi="Arial" w:cs="Arial"/>
        </w:rPr>
      </w:pPr>
    </w:p>
    <w:p w:rsidR="00597E7F" w:rsidP="00160621" w14:paraId="6E1B41ED" w14:textId="77777777">
      <w:pPr>
        <w:jc w:val="center"/>
        <w:rPr>
          <w:rFonts w:ascii="Arial" w:hAnsi="Arial" w:cs="Arial"/>
        </w:rPr>
      </w:pPr>
    </w:p>
    <w:p w:rsidR="00597E7F" w:rsidP="00160621" w14:paraId="26BD2486" w14:textId="77777777">
      <w:pPr>
        <w:jc w:val="center"/>
        <w:rPr>
          <w:rFonts w:ascii="Arial" w:hAnsi="Arial" w:cs="Arial"/>
        </w:rPr>
      </w:pPr>
    </w:p>
    <w:p w:rsidR="00597E7F" w:rsidP="00160621" w14:paraId="412EF33C" w14:textId="77777777">
      <w:pPr>
        <w:jc w:val="center"/>
        <w:rPr>
          <w:rFonts w:ascii="Arial" w:hAnsi="Arial" w:cs="Arial"/>
        </w:rPr>
      </w:pPr>
    </w:p>
    <w:p w:rsidR="00597E7F" w:rsidP="00160621" w14:paraId="4136145F" w14:textId="77777777">
      <w:pPr>
        <w:jc w:val="center"/>
        <w:rPr>
          <w:rFonts w:ascii="Arial" w:hAnsi="Arial" w:cs="Arial"/>
        </w:rPr>
      </w:pPr>
    </w:p>
    <w:p w:rsidR="00597E7F" w:rsidP="00160621" w14:paraId="52B8569A" w14:textId="77777777">
      <w:pPr>
        <w:jc w:val="center"/>
        <w:rPr>
          <w:rFonts w:ascii="Arial" w:hAnsi="Arial" w:cs="Arial"/>
        </w:rPr>
      </w:pPr>
    </w:p>
    <w:p w:rsidR="00597E7F" w:rsidP="00160621" w14:paraId="04DF46D6" w14:textId="77777777">
      <w:pPr>
        <w:jc w:val="center"/>
        <w:rPr>
          <w:rFonts w:ascii="Arial" w:hAnsi="Arial" w:cs="Arial"/>
        </w:rPr>
      </w:pPr>
    </w:p>
    <w:p w:rsidR="00597E7F" w:rsidP="00160621" w14:paraId="04AD4102" w14:textId="77777777">
      <w:pPr>
        <w:jc w:val="center"/>
        <w:rPr>
          <w:rFonts w:ascii="Arial" w:hAnsi="Arial" w:cs="Arial"/>
        </w:rPr>
      </w:pPr>
    </w:p>
    <w:p w:rsidR="00597E7F" w:rsidRPr="00160621" w:rsidP="00160621" w14:paraId="05A3A539" w14:textId="77777777">
      <w:pPr>
        <w:jc w:val="center"/>
        <w:rPr>
          <w:rFonts w:ascii="Arial" w:hAnsi="Arial" w:cs="Arial"/>
        </w:rPr>
      </w:pPr>
    </w:p>
    <w:p w:rsidR="00160621" w:rsidRPr="00160621" w:rsidP="00160621" w14:paraId="720637B9" w14:textId="77777777">
      <w:pPr>
        <w:jc w:val="center"/>
        <w:rPr>
          <w:rFonts w:ascii="Arial" w:hAnsi="Arial" w:cs="Arial"/>
        </w:rPr>
      </w:pPr>
      <w:r w:rsidRPr="00160621">
        <w:rPr>
          <w:rFonts w:ascii="Arial" w:hAnsi="Arial" w:cs="Arial"/>
        </w:rPr>
        <w:t>Submitted By:</w:t>
      </w:r>
    </w:p>
    <w:p w:rsidR="00160621" w:rsidRPr="00160621" w:rsidP="00160621" w14:paraId="7394A100" w14:textId="77777777">
      <w:pPr>
        <w:jc w:val="center"/>
        <w:rPr>
          <w:rFonts w:ascii="Arial" w:hAnsi="Arial" w:cs="Arial"/>
        </w:rPr>
      </w:pPr>
      <w:r>
        <w:rPr>
          <w:rFonts w:ascii="Arial" w:hAnsi="Arial" w:cs="Arial"/>
        </w:rPr>
        <w:t>Office of Community Services</w:t>
      </w:r>
    </w:p>
    <w:p w:rsidR="00160621" w:rsidRPr="00160621" w:rsidP="00160621" w14:paraId="27F17350"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74E196B5" w14:textId="77777777">
      <w:pPr>
        <w:jc w:val="center"/>
        <w:rPr>
          <w:rFonts w:ascii="Arial" w:hAnsi="Arial" w:cs="Arial"/>
        </w:rPr>
      </w:pPr>
      <w:r w:rsidRPr="00160621">
        <w:rPr>
          <w:rFonts w:ascii="Arial" w:hAnsi="Arial" w:cs="Arial"/>
        </w:rPr>
        <w:t>U.S. Department of Health and Human Services</w:t>
      </w:r>
    </w:p>
    <w:p w:rsidR="00160621" w:rsidRPr="00160621" w:rsidP="00160621" w14:paraId="0D5F8502" w14:textId="77777777">
      <w:pPr>
        <w:jc w:val="center"/>
        <w:rPr>
          <w:rFonts w:ascii="Arial" w:hAnsi="Arial" w:cs="Arial"/>
        </w:rPr>
      </w:pPr>
    </w:p>
    <w:p w:rsidR="00160621" w:rsidP="00160621" w14:paraId="247E5CE5" w14:textId="77777777">
      <w:pPr>
        <w:jc w:val="center"/>
        <w:rPr>
          <w:rFonts w:ascii="Arial" w:hAnsi="Arial" w:cs="Arial"/>
        </w:rPr>
      </w:pPr>
    </w:p>
    <w:p w:rsidR="00160621" w:rsidP="00160621" w14:paraId="1EBE7564" w14:textId="77777777">
      <w:pPr>
        <w:jc w:val="center"/>
        <w:rPr>
          <w:rFonts w:ascii="Arial" w:hAnsi="Arial" w:cs="Arial"/>
        </w:rPr>
      </w:pPr>
    </w:p>
    <w:p w:rsidR="002C3C4F" w:rsidRPr="00075889" w:rsidP="00075889" w14:paraId="55B29E89"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0018714B" w:rsidP="0018714B" w14:paraId="4078BF11" w14:textId="3F6FED11">
      <w:pPr>
        <w:widowControl/>
        <w:tabs>
          <w:tab w:val="num" w:pos="360"/>
        </w:tabs>
        <w:ind w:left="360"/>
        <w:rPr>
          <w:rFonts w:ascii="Times New Roman" w:hAnsi="Times New Roman"/>
          <w:snapToGrid/>
          <w:sz w:val="24"/>
          <w:szCs w:val="24"/>
        </w:rPr>
      </w:pPr>
      <w:r w:rsidRPr="0018714B">
        <w:rPr>
          <w:rFonts w:ascii="Times New Roman" w:hAnsi="Times New Roman"/>
          <w:snapToGrid/>
          <w:sz w:val="24"/>
          <w:szCs w:val="24"/>
        </w:rPr>
        <w:t xml:space="preserve">The Low Income Home Energy Assistance Program (LIHEAP) block grant (42 U.S.C. 8621) was established under Title XXVI of the Omnibus Budget Reconciliation Act of 1981, </w:t>
      </w:r>
      <w:r w:rsidR="00153BD6">
        <w:rPr>
          <w:rFonts w:ascii="Times New Roman" w:hAnsi="Times New Roman"/>
          <w:snapToGrid/>
          <w:sz w:val="24"/>
          <w:szCs w:val="24"/>
        </w:rPr>
        <w:t xml:space="preserve">P. L. </w:t>
      </w:r>
      <w:r w:rsidRPr="0018714B">
        <w:rPr>
          <w:rFonts w:ascii="Times New Roman" w:hAnsi="Times New Roman"/>
          <w:snapToGrid/>
          <w:sz w:val="24"/>
          <w:szCs w:val="24"/>
        </w:rPr>
        <w:t xml:space="preserve">97-35.  The Office of Community Services (OCS) within the Department of Health and Human Services' </w:t>
      </w:r>
      <w:r w:rsidR="00CB49CC">
        <w:rPr>
          <w:rFonts w:ascii="Times New Roman" w:hAnsi="Times New Roman"/>
          <w:snapToGrid/>
          <w:sz w:val="24"/>
          <w:szCs w:val="24"/>
        </w:rPr>
        <w:t xml:space="preserve">(HHS) </w:t>
      </w:r>
      <w:r w:rsidRPr="0018714B">
        <w:rPr>
          <w:rFonts w:ascii="Times New Roman" w:hAnsi="Times New Roman"/>
          <w:snapToGrid/>
          <w:sz w:val="24"/>
          <w:szCs w:val="24"/>
        </w:rPr>
        <w:t xml:space="preserve">Administration for Children and Families (ACF) administers LIHEAP at the </w:t>
      </w:r>
      <w:r w:rsidR="00D30723">
        <w:rPr>
          <w:rFonts w:ascii="Times New Roman" w:hAnsi="Times New Roman"/>
          <w:snapToGrid/>
          <w:sz w:val="24"/>
          <w:szCs w:val="24"/>
        </w:rPr>
        <w:t>f</w:t>
      </w:r>
      <w:r w:rsidRPr="0018714B">
        <w:rPr>
          <w:rFonts w:ascii="Times New Roman" w:hAnsi="Times New Roman"/>
          <w:snapToGrid/>
          <w:sz w:val="24"/>
          <w:szCs w:val="24"/>
        </w:rPr>
        <w:t>ederal level.</w:t>
      </w:r>
    </w:p>
    <w:p w:rsidR="00721C34" w:rsidRPr="0018714B" w:rsidP="0018714B" w14:paraId="7346CC16" w14:textId="77777777">
      <w:pPr>
        <w:widowControl/>
        <w:tabs>
          <w:tab w:val="num" w:pos="360"/>
        </w:tabs>
        <w:ind w:left="360"/>
        <w:rPr>
          <w:rFonts w:ascii="Times New Roman" w:hAnsi="Times New Roman"/>
          <w:snapToGrid/>
          <w:sz w:val="24"/>
          <w:szCs w:val="24"/>
        </w:rPr>
      </w:pPr>
    </w:p>
    <w:p w:rsidR="00721C34" w:rsidP="0018714B" w14:paraId="7E104AD2" w14:textId="15030203">
      <w:pPr>
        <w:widowControl/>
        <w:tabs>
          <w:tab w:val="num" w:pos="360"/>
        </w:tabs>
        <w:ind w:left="360"/>
        <w:rPr>
          <w:rFonts w:ascii="Times New Roman" w:hAnsi="Times New Roman"/>
          <w:snapToGrid/>
          <w:sz w:val="24"/>
          <w:szCs w:val="24"/>
        </w:rPr>
      </w:pPr>
      <w:r w:rsidRPr="0018714B">
        <w:rPr>
          <w:rFonts w:ascii="Times New Roman" w:hAnsi="Times New Roman"/>
          <w:snapToGrid/>
          <w:sz w:val="24"/>
          <w:szCs w:val="24"/>
        </w:rPr>
        <w:t xml:space="preserve">The LIHEAP Household Report is an annual data collection effort conducted by OCS to collect information from LIHEAP grantees to meet statutory requirements and program objectives. </w:t>
      </w:r>
      <w:r w:rsidRPr="0018714B" w:rsidR="0018714B">
        <w:rPr>
          <w:rFonts w:ascii="Times New Roman" w:hAnsi="Times New Roman"/>
          <w:snapToGrid/>
          <w:sz w:val="24"/>
          <w:szCs w:val="24"/>
        </w:rPr>
        <w:t>The LIHEAP statute requires the collection of data on the number of households assisted, their income levels, and vulnerability group, by type of LIHEAP assistance, for inclusion in the Secretary’s annual LIHEAP Report to Congress. The data are collected through the LIHEAP Household Report</w:t>
      </w:r>
      <w:r w:rsidR="009F7DEA">
        <w:rPr>
          <w:rFonts w:ascii="Times New Roman" w:hAnsi="Times New Roman"/>
          <w:snapToGrid/>
          <w:sz w:val="24"/>
          <w:szCs w:val="24"/>
        </w:rPr>
        <w:t>,</w:t>
      </w:r>
      <w:r w:rsidRPr="0018714B" w:rsidR="0018714B">
        <w:rPr>
          <w:rFonts w:ascii="Times New Roman" w:hAnsi="Times New Roman"/>
          <w:snapToGrid/>
          <w:sz w:val="24"/>
          <w:szCs w:val="24"/>
        </w:rPr>
        <w:t xml:space="preserve"> which consists of the following: (1) a Long Format for state grant</w:t>
      </w:r>
      <w:r w:rsidR="00F1295A">
        <w:rPr>
          <w:rFonts w:ascii="Times New Roman" w:hAnsi="Times New Roman"/>
          <w:snapToGrid/>
          <w:sz w:val="24"/>
          <w:szCs w:val="24"/>
        </w:rPr>
        <w:t xml:space="preserve"> </w:t>
      </w:r>
      <w:r w:rsidR="00C7702A">
        <w:rPr>
          <w:rFonts w:ascii="Times New Roman" w:hAnsi="Times New Roman"/>
          <w:snapToGrid/>
          <w:sz w:val="24"/>
          <w:szCs w:val="24"/>
        </w:rPr>
        <w:t>recipients</w:t>
      </w:r>
      <w:r w:rsidRPr="0018714B" w:rsidR="0018714B">
        <w:rPr>
          <w:rFonts w:ascii="Times New Roman" w:hAnsi="Times New Roman"/>
          <w:snapToGrid/>
          <w:sz w:val="24"/>
          <w:szCs w:val="24"/>
        </w:rPr>
        <w:t xml:space="preserve">, the District of Columbia, and </w:t>
      </w:r>
      <w:r w:rsidR="00EC2A5D">
        <w:rPr>
          <w:rFonts w:ascii="Times New Roman" w:hAnsi="Times New Roman"/>
          <w:snapToGrid/>
          <w:sz w:val="24"/>
          <w:szCs w:val="24"/>
        </w:rPr>
        <w:t xml:space="preserve">select </w:t>
      </w:r>
      <w:r w:rsidRPr="0018714B" w:rsidR="0018714B">
        <w:rPr>
          <w:rFonts w:ascii="Times New Roman" w:hAnsi="Times New Roman"/>
          <w:snapToGrid/>
          <w:sz w:val="24"/>
          <w:szCs w:val="24"/>
        </w:rPr>
        <w:t>territory grant</w:t>
      </w:r>
      <w:r w:rsidR="00F1295A">
        <w:rPr>
          <w:rFonts w:ascii="Times New Roman" w:hAnsi="Times New Roman"/>
          <w:snapToGrid/>
          <w:sz w:val="24"/>
          <w:szCs w:val="24"/>
        </w:rPr>
        <w:t xml:space="preserve"> </w:t>
      </w:r>
      <w:r w:rsidR="00C7702A">
        <w:rPr>
          <w:rFonts w:ascii="Times New Roman" w:hAnsi="Times New Roman"/>
          <w:snapToGrid/>
          <w:sz w:val="24"/>
          <w:szCs w:val="24"/>
        </w:rPr>
        <w:t>recipients</w:t>
      </w:r>
      <w:r w:rsidRPr="0018714B" w:rsidR="0018714B">
        <w:rPr>
          <w:rFonts w:ascii="Times New Roman" w:hAnsi="Times New Roman"/>
          <w:snapToGrid/>
          <w:sz w:val="24"/>
          <w:szCs w:val="24"/>
        </w:rPr>
        <w:t>, and (2) a Short Format for tribal grant</w:t>
      </w:r>
      <w:r w:rsidR="00F1295A">
        <w:rPr>
          <w:rFonts w:ascii="Times New Roman" w:hAnsi="Times New Roman"/>
          <w:snapToGrid/>
          <w:sz w:val="24"/>
          <w:szCs w:val="24"/>
        </w:rPr>
        <w:t xml:space="preserve"> </w:t>
      </w:r>
      <w:r w:rsidR="00C7702A">
        <w:rPr>
          <w:rFonts w:ascii="Times New Roman" w:hAnsi="Times New Roman"/>
          <w:snapToGrid/>
          <w:sz w:val="24"/>
          <w:szCs w:val="24"/>
        </w:rPr>
        <w:t>recipients</w:t>
      </w:r>
      <w:r w:rsidR="00EC2A5D">
        <w:rPr>
          <w:rFonts w:ascii="Times New Roman" w:hAnsi="Times New Roman"/>
          <w:snapToGrid/>
          <w:sz w:val="24"/>
          <w:szCs w:val="24"/>
        </w:rPr>
        <w:t xml:space="preserve"> and select territory grant recipients</w:t>
      </w:r>
      <w:r w:rsidRPr="0018714B" w:rsidR="0018714B">
        <w:rPr>
          <w:rFonts w:ascii="Times New Roman" w:hAnsi="Times New Roman"/>
          <w:snapToGrid/>
          <w:sz w:val="24"/>
          <w:szCs w:val="24"/>
        </w:rPr>
        <w:t>.</w:t>
      </w:r>
    </w:p>
    <w:p w:rsidR="001850E9" w:rsidP="0018714B" w14:paraId="52134A9B" w14:textId="77777777">
      <w:pPr>
        <w:widowControl/>
        <w:tabs>
          <w:tab w:val="num" w:pos="360"/>
        </w:tabs>
        <w:ind w:left="360"/>
        <w:rPr>
          <w:rFonts w:ascii="Times New Roman" w:hAnsi="Times New Roman"/>
          <w:snapToGrid/>
          <w:sz w:val="24"/>
          <w:szCs w:val="24"/>
        </w:rPr>
      </w:pPr>
    </w:p>
    <w:p w:rsidR="00790D2C" w:rsidP="0018714B" w14:paraId="492200F0" w14:textId="6A2207B9">
      <w:pPr>
        <w:widowControl/>
        <w:tabs>
          <w:tab w:val="num" w:pos="360"/>
        </w:tabs>
        <w:ind w:left="360"/>
        <w:rPr>
          <w:rFonts w:ascii="Times New Roman" w:hAnsi="Times New Roman"/>
          <w:snapToGrid/>
          <w:sz w:val="24"/>
          <w:szCs w:val="24"/>
        </w:rPr>
      </w:pPr>
      <w:r w:rsidRPr="00D30723">
        <w:rPr>
          <w:rFonts w:ascii="Times New Roman" w:hAnsi="Times New Roman"/>
          <w:sz w:val="24"/>
          <w:szCs w:val="24"/>
        </w:rPr>
        <w:t>The LIHEAP Annual Household Report Long and Short Formats have been revised</w:t>
      </w:r>
      <w:r>
        <w:rPr>
          <w:rFonts w:ascii="Times New Roman" w:hAnsi="Times New Roman"/>
          <w:sz w:val="24"/>
          <w:szCs w:val="24"/>
        </w:rPr>
        <w:t xml:space="preserve"> to </w:t>
      </w:r>
      <w:r w:rsidRPr="00D30723">
        <w:rPr>
          <w:rFonts w:ascii="Times New Roman" w:hAnsi="Times New Roman"/>
          <w:sz w:val="24"/>
          <w:szCs w:val="24"/>
        </w:rPr>
        <w:t>reduce respondent burden, improve clarity of reporting instruments, and ensure the collection remains focused on current statutory and programmatic requirements</w:t>
      </w:r>
      <w:r>
        <w:rPr>
          <w:rFonts w:ascii="Times New Roman" w:hAnsi="Times New Roman"/>
          <w:sz w:val="24"/>
          <w:szCs w:val="24"/>
        </w:rPr>
        <w:t>. Revisions</w:t>
      </w:r>
      <w:r w:rsidRPr="18256126" w:rsidR="12071C55">
        <w:rPr>
          <w:rFonts w:ascii="Times New Roman" w:hAnsi="Times New Roman"/>
          <w:sz w:val="24"/>
          <w:szCs w:val="24"/>
        </w:rPr>
        <w:t xml:space="preserve"> include eliminating the lines inquiring about CARES and ARPA funds as they are no longer applicable and removing the sections asking about the applicant's sex</w:t>
      </w:r>
      <w:r w:rsidRPr="18256126" w:rsidR="056F802E">
        <w:rPr>
          <w:rFonts w:ascii="Times New Roman" w:hAnsi="Times New Roman"/>
          <w:sz w:val="24"/>
          <w:szCs w:val="24"/>
        </w:rPr>
        <w:t>, race and ethnicity as this information is not statutorily required</w:t>
      </w:r>
      <w:r w:rsidRPr="18256126" w:rsidR="12071C55">
        <w:rPr>
          <w:rFonts w:ascii="Times New Roman" w:hAnsi="Times New Roman"/>
          <w:sz w:val="24"/>
          <w:szCs w:val="24"/>
        </w:rPr>
        <w:t>.</w:t>
      </w:r>
    </w:p>
    <w:p w:rsidR="00D30723" w:rsidP="389987A5" w14:paraId="3395F04D" w14:textId="77777777">
      <w:pPr>
        <w:widowControl/>
        <w:tabs>
          <w:tab w:val="num" w:pos="360"/>
        </w:tabs>
        <w:ind w:left="360"/>
        <w:rPr>
          <w:rFonts w:ascii="Times New Roman" w:hAnsi="Times New Roman"/>
          <w:sz w:val="24"/>
          <w:szCs w:val="24"/>
        </w:rPr>
      </w:pPr>
    </w:p>
    <w:p w:rsidR="00483150" w:rsidP="00D7443D" w14:paraId="402E6EF7" w14:textId="77777777">
      <w:pPr>
        <w:widowControl/>
        <w:tabs>
          <w:tab w:val="num" w:pos="360"/>
        </w:tabs>
        <w:ind w:left="360"/>
        <w:rPr>
          <w:rFonts w:ascii="Times New Roman" w:hAnsi="Times New Roman"/>
          <w:snapToGrid/>
          <w:sz w:val="24"/>
          <w:szCs w:val="24"/>
        </w:rPr>
      </w:pPr>
    </w:p>
    <w:p w:rsidR="002C3C4F" w:rsidRPr="00075889" w:rsidP="00075889" w14:paraId="5063D78A"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Purpose and Use of the Information Collection </w:t>
      </w:r>
    </w:p>
    <w:p w:rsidR="0018714B" w:rsidRPr="0018714B" w:rsidP="00AA0D20" w14:paraId="2150B2DC" w14:textId="26E306C5">
      <w:pPr>
        <w:widowControl/>
        <w:tabs>
          <w:tab w:val="num" w:pos="360"/>
        </w:tabs>
        <w:spacing w:after="120"/>
        <w:ind w:left="360"/>
        <w:rPr>
          <w:rFonts w:ascii="Times New Roman" w:hAnsi="Times New Roman"/>
          <w:snapToGrid/>
          <w:sz w:val="24"/>
          <w:szCs w:val="24"/>
        </w:rPr>
      </w:pPr>
      <w:r w:rsidRPr="0018714B">
        <w:rPr>
          <w:rFonts w:ascii="Times New Roman" w:hAnsi="Times New Roman"/>
          <w:snapToGrid/>
          <w:sz w:val="24"/>
          <w:szCs w:val="24"/>
        </w:rPr>
        <w:t xml:space="preserve">The statutory purpose and use of the </w:t>
      </w:r>
      <w:bookmarkStart w:id="0" w:name="_Hlk119319166"/>
      <w:r w:rsidRPr="0018714B" w:rsidR="001850E9">
        <w:rPr>
          <w:rFonts w:ascii="Times New Roman" w:hAnsi="Times New Roman"/>
          <w:snapToGrid/>
          <w:sz w:val="24"/>
          <w:szCs w:val="24"/>
        </w:rPr>
        <w:t>LIHEAP Household Report</w:t>
      </w:r>
      <w:r w:rsidRPr="0018714B">
        <w:rPr>
          <w:rFonts w:ascii="Times New Roman" w:hAnsi="Times New Roman"/>
          <w:snapToGrid/>
          <w:sz w:val="24"/>
          <w:szCs w:val="24"/>
        </w:rPr>
        <w:t xml:space="preserve"> </w:t>
      </w:r>
      <w:bookmarkEnd w:id="0"/>
      <w:r w:rsidRPr="0018714B" w:rsidR="00A265A7">
        <w:rPr>
          <w:rFonts w:ascii="Times New Roman" w:hAnsi="Times New Roman"/>
          <w:snapToGrid/>
          <w:sz w:val="24"/>
          <w:szCs w:val="24"/>
        </w:rPr>
        <w:t>include</w:t>
      </w:r>
      <w:r w:rsidRPr="0018714B">
        <w:rPr>
          <w:rFonts w:ascii="Times New Roman" w:hAnsi="Times New Roman"/>
          <w:snapToGrid/>
          <w:sz w:val="24"/>
          <w:szCs w:val="24"/>
        </w:rPr>
        <w:t xml:space="preserve"> the following:</w:t>
      </w:r>
    </w:p>
    <w:p w:rsidR="0018714B" w:rsidRPr="00721C34" w:rsidP="00AA0D20" w14:paraId="4D8D0833" w14:textId="77777777">
      <w:pPr>
        <w:pStyle w:val="ListParagraph"/>
        <w:widowControl/>
        <w:numPr>
          <w:ilvl w:val="0"/>
          <w:numId w:val="23"/>
        </w:numPr>
        <w:tabs>
          <w:tab w:val="num" w:pos="360"/>
        </w:tabs>
        <w:spacing w:after="120"/>
        <w:rPr>
          <w:rFonts w:ascii="Times New Roman" w:hAnsi="Times New Roman"/>
          <w:snapToGrid/>
          <w:sz w:val="24"/>
          <w:szCs w:val="24"/>
        </w:rPr>
      </w:pPr>
      <w:r w:rsidRPr="00721C34">
        <w:rPr>
          <w:rFonts w:ascii="Times New Roman" w:hAnsi="Times New Roman"/>
          <w:snapToGrid/>
          <w:sz w:val="24"/>
          <w:szCs w:val="24"/>
        </w:rPr>
        <w:t xml:space="preserve">LIHEAP grantees are required to report the estimated or final data contained in the previously approved LIHEAP Household Report as part of their annual application for LIHEAP funds, as required by Section 2605(c)(1)(G) of the Act (42 U.S.C. 8624).  If reporting estimated data, the grantee is required to submit a final Household Report no later than December </w:t>
      </w:r>
      <w:r w:rsidR="009F7DEA">
        <w:rPr>
          <w:rFonts w:ascii="Times New Roman" w:hAnsi="Times New Roman"/>
          <w:snapToGrid/>
          <w:sz w:val="24"/>
          <w:szCs w:val="24"/>
        </w:rPr>
        <w:t>3</w:t>
      </w:r>
      <w:r w:rsidRPr="00721C34">
        <w:rPr>
          <w:rFonts w:ascii="Times New Roman" w:hAnsi="Times New Roman"/>
          <w:snapToGrid/>
          <w:sz w:val="24"/>
          <w:szCs w:val="24"/>
        </w:rPr>
        <w:t>1</w:t>
      </w:r>
      <w:r w:rsidR="009F7DEA">
        <w:rPr>
          <w:rFonts w:ascii="Times New Roman" w:hAnsi="Times New Roman"/>
          <w:snapToGrid/>
          <w:sz w:val="24"/>
          <w:szCs w:val="24"/>
        </w:rPr>
        <w:t>st</w:t>
      </w:r>
      <w:r w:rsidRPr="00721C34">
        <w:rPr>
          <w:rFonts w:ascii="Times New Roman" w:hAnsi="Times New Roman"/>
          <w:snapToGrid/>
          <w:sz w:val="24"/>
          <w:szCs w:val="24"/>
        </w:rPr>
        <w:t xml:space="preserve">. </w:t>
      </w:r>
    </w:p>
    <w:p w:rsidR="0018714B" w:rsidRPr="00721C34" w:rsidP="00AA0D20" w14:paraId="758DE535" w14:textId="77777777">
      <w:pPr>
        <w:pStyle w:val="ListParagraph"/>
        <w:widowControl/>
        <w:numPr>
          <w:ilvl w:val="0"/>
          <w:numId w:val="23"/>
        </w:numPr>
        <w:tabs>
          <w:tab w:val="num" w:pos="360"/>
        </w:tabs>
        <w:spacing w:after="120"/>
        <w:rPr>
          <w:rFonts w:ascii="Times New Roman" w:hAnsi="Times New Roman"/>
          <w:snapToGrid/>
          <w:sz w:val="24"/>
          <w:szCs w:val="24"/>
        </w:rPr>
      </w:pPr>
      <w:r w:rsidRPr="00721C34">
        <w:rPr>
          <w:rFonts w:ascii="Times New Roman" w:hAnsi="Times New Roman"/>
          <w:snapToGrid/>
          <w:sz w:val="24"/>
          <w:szCs w:val="24"/>
        </w:rPr>
        <w:t xml:space="preserve">OCS prepares the data on assisted households for inclusion in the Department's annual LIHEAP Report to Congress, as required by Section 2610(a)(4) and (5) and section 2610(b) of the Act (42 U.S.C. 8629). The data are used for Congressional oversight and in response to Congressional and White House queries on case load statistics and demographic characteristics of LIHEAP households.  </w:t>
      </w:r>
    </w:p>
    <w:p w:rsidR="00790D2C" w:rsidP="00AA0D20" w14:paraId="75A96374" w14:textId="77777777">
      <w:pPr>
        <w:pStyle w:val="ListParagraph"/>
        <w:widowControl/>
        <w:numPr>
          <w:ilvl w:val="0"/>
          <w:numId w:val="23"/>
        </w:numPr>
        <w:tabs>
          <w:tab w:val="num" w:pos="360"/>
        </w:tabs>
        <w:spacing w:after="120"/>
        <w:rPr>
          <w:rFonts w:ascii="Times New Roman" w:hAnsi="Times New Roman"/>
          <w:snapToGrid/>
          <w:sz w:val="24"/>
          <w:szCs w:val="24"/>
        </w:rPr>
      </w:pPr>
      <w:r>
        <w:rPr>
          <w:rFonts w:ascii="Times New Roman" w:hAnsi="Times New Roman"/>
          <w:snapToGrid/>
          <w:sz w:val="24"/>
          <w:szCs w:val="24"/>
        </w:rPr>
        <w:t>T</w:t>
      </w:r>
      <w:r w:rsidRPr="00721C34" w:rsidR="0018714B">
        <w:rPr>
          <w:rFonts w:ascii="Times New Roman" w:hAnsi="Times New Roman"/>
          <w:snapToGrid/>
          <w:sz w:val="24"/>
          <w:szCs w:val="24"/>
        </w:rPr>
        <w:t>he data on heating assisted households containing at least one member who is elderly or a young child are used in calculating LIHEAP recipiency targeting performance measures, under the Government Performance and Results Act (GPRA) of 1993 (31 U.S.C. 1101) and the President’s annual Congressional Justification.</w:t>
      </w:r>
    </w:p>
    <w:p w:rsidR="009027C3" w:rsidP="009027C3" w14:paraId="1707D4EC" w14:textId="7E771534">
      <w:pPr>
        <w:pStyle w:val="ListParagraph"/>
        <w:widowControl/>
        <w:numPr>
          <w:ilvl w:val="0"/>
          <w:numId w:val="23"/>
        </w:numPr>
        <w:rPr>
          <w:rFonts w:ascii="Times New Roman" w:hAnsi="Times New Roman"/>
          <w:snapToGrid/>
          <w:sz w:val="24"/>
          <w:szCs w:val="24"/>
        </w:rPr>
      </w:pPr>
      <w:r>
        <w:rPr>
          <w:rFonts w:ascii="Times New Roman" w:hAnsi="Times New Roman"/>
          <w:snapToGrid/>
          <w:sz w:val="24"/>
          <w:szCs w:val="24"/>
        </w:rPr>
        <w:t>To provide separate tracking and reporting of th</w:t>
      </w:r>
      <w:r w:rsidRPr="18256126" w:rsidR="78C0581B">
        <w:rPr>
          <w:rFonts w:ascii="Times New Roman" w:hAnsi="Times New Roman"/>
          <w:sz w:val="24"/>
          <w:szCs w:val="24"/>
        </w:rPr>
        <w:t>e</w:t>
      </w:r>
      <w:r w:rsidR="229CF4DA">
        <w:rPr>
          <w:rFonts w:ascii="Times New Roman" w:hAnsi="Times New Roman"/>
          <w:snapToGrid/>
          <w:sz w:val="24"/>
          <w:szCs w:val="24"/>
        </w:rPr>
        <w:t xml:space="preserve"> </w:t>
      </w:r>
      <w:r w:rsidRPr="009027C3">
        <w:rPr>
          <w:rFonts w:ascii="Times New Roman" w:hAnsi="Times New Roman"/>
          <w:snapToGrid/>
          <w:sz w:val="24"/>
          <w:szCs w:val="24"/>
        </w:rPr>
        <w:t xml:space="preserve">Number of households by owner/renter status (own, rent with utilities billed separately, rent with utilities in rental fee, other).  </w:t>
      </w:r>
    </w:p>
    <w:p w:rsidR="00D30723" w:rsidP="00D30723" w14:paraId="2651FE1A" w14:textId="77777777">
      <w:pPr>
        <w:widowControl/>
        <w:rPr>
          <w:rFonts w:ascii="Times New Roman" w:hAnsi="Times New Roman"/>
          <w:snapToGrid/>
          <w:sz w:val="24"/>
          <w:szCs w:val="24"/>
        </w:rPr>
      </w:pPr>
    </w:p>
    <w:p w:rsidR="00D30723" w:rsidRPr="00AA0D20" w:rsidP="00AA0D20" w14:paraId="004F2BB9" w14:textId="77777777">
      <w:pPr>
        <w:widowControl/>
        <w:rPr>
          <w:rFonts w:ascii="Times New Roman" w:hAnsi="Times New Roman"/>
          <w:snapToGrid/>
          <w:sz w:val="24"/>
          <w:szCs w:val="24"/>
        </w:rPr>
      </w:pPr>
    </w:p>
    <w:p w:rsidR="002C3C4F" w:rsidRPr="00075889" w:rsidP="00075889" w14:paraId="228016A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009C2DE1" w:rsidP="00022586" w14:paraId="26F127D5" w14:textId="502352AB">
      <w:pPr>
        <w:widowControl/>
        <w:tabs>
          <w:tab w:val="num" w:pos="360"/>
        </w:tabs>
        <w:ind w:left="360"/>
        <w:rPr>
          <w:rFonts w:ascii="Times New Roman" w:hAnsi="Times New Roman"/>
          <w:snapToGrid/>
          <w:sz w:val="24"/>
          <w:szCs w:val="24"/>
        </w:rPr>
      </w:pPr>
      <w:r w:rsidRPr="0018714B">
        <w:rPr>
          <w:rFonts w:ascii="Times New Roman" w:hAnsi="Times New Roman"/>
          <w:snapToGrid/>
          <w:sz w:val="24"/>
          <w:szCs w:val="24"/>
        </w:rPr>
        <w:t>All grant</w:t>
      </w:r>
      <w:r w:rsidR="00D30723">
        <w:rPr>
          <w:rFonts w:ascii="Times New Roman" w:hAnsi="Times New Roman"/>
          <w:snapToGrid/>
          <w:sz w:val="24"/>
          <w:szCs w:val="24"/>
        </w:rPr>
        <w:t xml:space="preserve"> recipient</w:t>
      </w:r>
      <w:r w:rsidRPr="0018714B">
        <w:rPr>
          <w:rFonts w:ascii="Times New Roman" w:hAnsi="Times New Roman"/>
          <w:snapToGrid/>
          <w:sz w:val="24"/>
          <w:szCs w:val="24"/>
        </w:rPr>
        <w:t xml:space="preserve"> reports are submitted through </w:t>
      </w:r>
      <w:r w:rsidR="00D30723">
        <w:rPr>
          <w:rFonts w:ascii="Times New Roman" w:hAnsi="Times New Roman"/>
          <w:snapToGrid/>
          <w:sz w:val="24"/>
          <w:szCs w:val="24"/>
        </w:rPr>
        <w:t>ACF</w:t>
      </w:r>
      <w:r w:rsidRPr="0018714B">
        <w:rPr>
          <w:rFonts w:ascii="Times New Roman" w:hAnsi="Times New Roman"/>
          <w:snapToGrid/>
          <w:sz w:val="24"/>
          <w:szCs w:val="24"/>
        </w:rPr>
        <w:t>’</w:t>
      </w:r>
      <w:r w:rsidR="00D30723">
        <w:rPr>
          <w:rFonts w:ascii="Times New Roman" w:hAnsi="Times New Roman"/>
          <w:snapToGrid/>
          <w:sz w:val="24"/>
          <w:szCs w:val="24"/>
        </w:rPr>
        <w:t>s</w:t>
      </w:r>
      <w:r w:rsidRPr="0018714B">
        <w:rPr>
          <w:rFonts w:ascii="Times New Roman" w:hAnsi="Times New Roman"/>
          <w:snapToGrid/>
          <w:sz w:val="24"/>
          <w:szCs w:val="24"/>
        </w:rPr>
        <w:t xml:space="preserve"> On-Line Data Collection System (OLDC).  Instructions for completing the form are built into the form itself, through hyperlinks.</w:t>
      </w:r>
    </w:p>
    <w:p w:rsidR="00721C34" w:rsidP="00022586" w14:paraId="0C91EE33" w14:textId="77777777">
      <w:pPr>
        <w:widowControl/>
        <w:tabs>
          <w:tab w:val="num" w:pos="360"/>
        </w:tabs>
        <w:ind w:left="360"/>
        <w:rPr>
          <w:rFonts w:ascii="Times New Roman" w:hAnsi="Times New Roman"/>
          <w:snapToGrid/>
          <w:sz w:val="24"/>
          <w:szCs w:val="24"/>
        </w:rPr>
      </w:pPr>
    </w:p>
    <w:p w:rsidR="00483150" w:rsidRPr="004F7B95" w:rsidP="00022586" w14:paraId="556BC982" w14:textId="77777777">
      <w:pPr>
        <w:widowControl/>
        <w:tabs>
          <w:tab w:val="num" w:pos="360"/>
        </w:tabs>
        <w:ind w:left="360"/>
        <w:rPr>
          <w:rFonts w:ascii="Times New Roman" w:hAnsi="Times New Roman"/>
          <w:snapToGrid/>
          <w:sz w:val="24"/>
          <w:szCs w:val="24"/>
        </w:rPr>
      </w:pPr>
    </w:p>
    <w:p w:rsidR="002C3C4F" w:rsidRPr="00075889" w:rsidP="00075889" w14:paraId="231E55CC"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009F5543" w:rsidP="0015495E" w14:paraId="5DCE3738" w14:textId="75087979">
      <w:pPr>
        <w:widowControl/>
        <w:tabs>
          <w:tab w:val="num" w:pos="360"/>
        </w:tabs>
        <w:ind w:left="360"/>
        <w:rPr>
          <w:rFonts w:ascii="Times New Roman" w:hAnsi="Times New Roman"/>
          <w:snapToGrid/>
          <w:sz w:val="24"/>
          <w:szCs w:val="24"/>
        </w:rPr>
      </w:pPr>
      <w:r w:rsidRPr="0018714B">
        <w:rPr>
          <w:rFonts w:ascii="Times New Roman" w:hAnsi="Times New Roman"/>
          <w:snapToGrid/>
          <w:sz w:val="24"/>
          <w:szCs w:val="24"/>
        </w:rPr>
        <w:t>Household income levels and presence of elderly, disabled, or young children can be estimated at the national and regional levels for the households receiving heating assistance from two national household surveys–the Annual Social and Economic Supplement (ASEC) to the Current Population Survey (conducted by the U.S. Bureau of the Census) and the Residential Energy Consumption Survey</w:t>
      </w:r>
      <w:r w:rsidR="00D30723">
        <w:rPr>
          <w:rFonts w:ascii="Times New Roman" w:hAnsi="Times New Roman"/>
          <w:snapToGrid/>
          <w:sz w:val="24"/>
          <w:szCs w:val="24"/>
        </w:rPr>
        <w:t xml:space="preserve"> (RECS)</w:t>
      </w:r>
      <w:r w:rsidRPr="0018714B">
        <w:rPr>
          <w:rFonts w:ascii="Times New Roman" w:hAnsi="Times New Roman"/>
          <w:snapToGrid/>
          <w:sz w:val="24"/>
          <w:szCs w:val="24"/>
        </w:rPr>
        <w:t xml:space="preserve"> (conducted by the U.S. Energy Information Administration).  However, national household surveys do not provide reliable </w:t>
      </w:r>
      <w:r w:rsidR="0015495E">
        <w:rPr>
          <w:rFonts w:ascii="Times New Roman" w:hAnsi="Times New Roman"/>
          <w:snapToGrid/>
          <w:sz w:val="24"/>
          <w:szCs w:val="24"/>
        </w:rPr>
        <w:t>s</w:t>
      </w:r>
      <w:r w:rsidRPr="0018714B">
        <w:rPr>
          <w:rFonts w:ascii="Times New Roman" w:hAnsi="Times New Roman"/>
          <w:snapToGrid/>
          <w:sz w:val="24"/>
          <w:szCs w:val="24"/>
        </w:rPr>
        <w:t>tate-level data on any type of LIHEAP assistance, or data in a timely manner to comply with LIHEAP statutory reporting requirements.</w:t>
      </w:r>
      <w:r w:rsidR="0015495E">
        <w:rPr>
          <w:rFonts w:ascii="Times New Roman" w:hAnsi="Times New Roman"/>
          <w:snapToGrid/>
          <w:sz w:val="24"/>
          <w:szCs w:val="24"/>
        </w:rPr>
        <w:t xml:space="preserve"> For example, t</w:t>
      </w:r>
      <w:r w:rsidRPr="002F606B" w:rsidR="0015495E">
        <w:rPr>
          <w:rFonts w:ascii="Times New Roman" w:hAnsi="Times New Roman"/>
          <w:snapToGrid/>
          <w:sz w:val="24"/>
          <w:szCs w:val="24"/>
        </w:rPr>
        <w:t>he RECS is only implemented once every five years and it takes more than 3 years to process the data</w:t>
      </w:r>
      <w:r w:rsidR="0015495E">
        <w:rPr>
          <w:rFonts w:ascii="Times New Roman" w:hAnsi="Times New Roman"/>
          <w:snapToGrid/>
          <w:sz w:val="24"/>
          <w:szCs w:val="24"/>
        </w:rPr>
        <w:t>. Additionally, t</w:t>
      </w:r>
      <w:r w:rsidRPr="002F606B" w:rsidR="0015495E">
        <w:rPr>
          <w:rFonts w:ascii="Times New Roman" w:hAnsi="Times New Roman"/>
          <w:snapToGrid/>
          <w:sz w:val="24"/>
          <w:szCs w:val="24"/>
        </w:rPr>
        <w:t xml:space="preserve">he information collected in </w:t>
      </w:r>
      <w:r w:rsidR="0015495E">
        <w:rPr>
          <w:rFonts w:ascii="Times New Roman" w:hAnsi="Times New Roman"/>
          <w:snapToGrid/>
          <w:sz w:val="24"/>
          <w:szCs w:val="24"/>
        </w:rPr>
        <w:t xml:space="preserve">these </w:t>
      </w:r>
      <w:r w:rsidRPr="002F606B" w:rsidR="0015495E">
        <w:rPr>
          <w:rFonts w:ascii="Times New Roman" w:hAnsi="Times New Roman"/>
          <w:snapToGrid/>
          <w:sz w:val="24"/>
          <w:szCs w:val="24"/>
        </w:rPr>
        <w:t>household surveys does</w:t>
      </w:r>
      <w:r w:rsidRPr="18256126" w:rsidR="0015495E">
        <w:rPr>
          <w:rFonts w:ascii="Times New Roman" w:hAnsi="Times New Roman"/>
          <w:sz w:val="24"/>
          <w:szCs w:val="24"/>
        </w:rPr>
        <w:t xml:space="preserve"> not furnish</w:t>
      </w:r>
      <w:r w:rsidRPr="002F606B" w:rsidR="0015495E">
        <w:rPr>
          <w:rFonts w:ascii="Times New Roman" w:hAnsi="Times New Roman"/>
          <w:snapToGrid/>
          <w:sz w:val="24"/>
          <w:szCs w:val="24"/>
        </w:rPr>
        <w:t xml:space="preserve"> useful information about the number of households that receive LIHEAP or the characteristics of those household</w:t>
      </w:r>
      <w:r w:rsidR="00D30723">
        <w:rPr>
          <w:rFonts w:ascii="Times New Roman" w:hAnsi="Times New Roman"/>
          <w:snapToGrid/>
          <w:sz w:val="24"/>
          <w:szCs w:val="24"/>
        </w:rPr>
        <w:t>s</w:t>
      </w:r>
      <w:r w:rsidRPr="002F606B" w:rsidR="0015495E">
        <w:rPr>
          <w:rFonts w:ascii="Times New Roman" w:hAnsi="Times New Roman"/>
          <w:snapToGrid/>
          <w:sz w:val="24"/>
          <w:szCs w:val="24"/>
        </w:rPr>
        <w:t>.</w:t>
      </w:r>
      <w:r w:rsidR="0015495E">
        <w:rPr>
          <w:rFonts w:ascii="Times New Roman" w:hAnsi="Times New Roman"/>
          <w:snapToGrid/>
          <w:sz w:val="24"/>
          <w:szCs w:val="24"/>
        </w:rPr>
        <w:t xml:space="preserve"> These</w:t>
      </w:r>
      <w:r w:rsidR="008E7E64">
        <w:rPr>
          <w:rFonts w:ascii="Times New Roman" w:hAnsi="Times New Roman"/>
          <w:snapToGrid/>
          <w:sz w:val="24"/>
          <w:szCs w:val="24"/>
        </w:rPr>
        <w:t xml:space="preserve"> </w:t>
      </w:r>
      <w:r w:rsidRPr="0018714B">
        <w:rPr>
          <w:rFonts w:ascii="Times New Roman" w:hAnsi="Times New Roman"/>
          <w:snapToGrid/>
          <w:sz w:val="24"/>
          <w:szCs w:val="24"/>
        </w:rPr>
        <w:t xml:space="preserve">surveys underestimate the number of households receiving heating assistance due to underreporting and sampling </w:t>
      </w:r>
      <w:r w:rsidRPr="0018714B" w:rsidR="0015495E">
        <w:rPr>
          <w:rFonts w:ascii="Times New Roman" w:hAnsi="Times New Roman"/>
          <w:snapToGrid/>
          <w:sz w:val="24"/>
          <w:szCs w:val="24"/>
        </w:rPr>
        <w:t>errors</w:t>
      </w:r>
      <w:r w:rsidRPr="0018714B">
        <w:rPr>
          <w:rFonts w:ascii="Times New Roman" w:hAnsi="Times New Roman"/>
          <w:snapToGrid/>
          <w:sz w:val="24"/>
          <w:szCs w:val="24"/>
        </w:rPr>
        <w:t>. There</w:t>
      </w:r>
      <w:r w:rsidR="008E7E64">
        <w:rPr>
          <w:rFonts w:ascii="Times New Roman" w:hAnsi="Times New Roman"/>
          <w:snapToGrid/>
          <w:sz w:val="24"/>
          <w:szCs w:val="24"/>
        </w:rPr>
        <w:t>fore,</w:t>
      </w:r>
      <w:r w:rsidR="00D30723">
        <w:rPr>
          <w:rFonts w:ascii="Times New Roman" w:hAnsi="Times New Roman"/>
          <w:snapToGrid/>
          <w:sz w:val="24"/>
          <w:szCs w:val="24"/>
        </w:rPr>
        <w:t xml:space="preserve"> </w:t>
      </w:r>
      <w:r w:rsidR="008E7E64">
        <w:rPr>
          <w:rFonts w:ascii="Times New Roman" w:hAnsi="Times New Roman"/>
          <w:snapToGrid/>
          <w:sz w:val="24"/>
          <w:szCs w:val="24"/>
        </w:rPr>
        <w:t>there</w:t>
      </w:r>
      <w:r w:rsidRPr="0018714B">
        <w:rPr>
          <w:rFonts w:ascii="Times New Roman" w:hAnsi="Times New Roman"/>
          <w:snapToGrid/>
          <w:sz w:val="24"/>
          <w:szCs w:val="24"/>
        </w:rPr>
        <w:t xml:space="preserve"> is no other similar information collection that can be modified to provide the data.</w:t>
      </w:r>
    </w:p>
    <w:p w:rsidR="00483150" w:rsidP="00022586" w14:paraId="243E2F0E" w14:textId="77777777">
      <w:pPr>
        <w:widowControl/>
        <w:tabs>
          <w:tab w:val="num" w:pos="360"/>
        </w:tabs>
        <w:ind w:left="360"/>
        <w:rPr>
          <w:rFonts w:ascii="Times New Roman" w:hAnsi="Times New Roman"/>
          <w:snapToGrid/>
          <w:sz w:val="24"/>
          <w:szCs w:val="24"/>
        </w:rPr>
      </w:pPr>
    </w:p>
    <w:p w:rsidR="00D30723" w:rsidRPr="004F7B95" w:rsidP="00022586" w14:paraId="4D7577EB" w14:textId="77777777">
      <w:pPr>
        <w:widowControl/>
        <w:tabs>
          <w:tab w:val="num" w:pos="360"/>
        </w:tabs>
        <w:ind w:left="360"/>
        <w:rPr>
          <w:rFonts w:ascii="Times New Roman" w:hAnsi="Times New Roman"/>
          <w:snapToGrid/>
          <w:sz w:val="24"/>
          <w:szCs w:val="24"/>
        </w:rPr>
      </w:pPr>
    </w:p>
    <w:p w:rsidR="002C3C4F" w:rsidRPr="00075889" w:rsidP="00075889" w14:paraId="00A00089"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D60543" w:rsidP="00022586" w14:paraId="15413015" w14:textId="0ECBA3A5">
      <w:pPr>
        <w:widowControl/>
        <w:tabs>
          <w:tab w:val="num" w:pos="360"/>
        </w:tabs>
        <w:ind w:left="360"/>
        <w:rPr>
          <w:rFonts w:ascii="Times New Roman" w:hAnsi="Times New Roman"/>
          <w:snapToGrid/>
          <w:sz w:val="24"/>
          <w:szCs w:val="24"/>
        </w:rPr>
      </w:pPr>
      <w:r w:rsidRPr="0018714B">
        <w:rPr>
          <w:rFonts w:ascii="Times New Roman" w:hAnsi="Times New Roman"/>
          <w:snapToGrid/>
          <w:sz w:val="24"/>
          <w:szCs w:val="24"/>
        </w:rPr>
        <w:t xml:space="preserve">No small business entities are involved in </w:t>
      </w:r>
      <w:r w:rsidRPr="0018714B" w:rsidR="008E7E64">
        <w:rPr>
          <w:rFonts w:ascii="Times New Roman" w:hAnsi="Times New Roman"/>
          <w:snapToGrid/>
          <w:sz w:val="24"/>
          <w:szCs w:val="24"/>
        </w:rPr>
        <w:t>data</w:t>
      </w:r>
      <w:r w:rsidRPr="0018714B">
        <w:rPr>
          <w:rFonts w:ascii="Times New Roman" w:hAnsi="Times New Roman"/>
          <w:snapToGrid/>
          <w:sz w:val="24"/>
          <w:szCs w:val="24"/>
        </w:rPr>
        <w:t xml:space="preserve"> collection.</w:t>
      </w:r>
    </w:p>
    <w:p w:rsidR="00D60543" w:rsidP="00022586" w14:paraId="00DE64D5" w14:textId="77777777">
      <w:pPr>
        <w:widowControl/>
        <w:tabs>
          <w:tab w:val="num" w:pos="360"/>
        </w:tabs>
        <w:ind w:left="360"/>
        <w:rPr>
          <w:rFonts w:ascii="Times New Roman" w:hAnsi="Times New Roman"/>
          <w:snapToGrid/>
          <w:sz w:val="24"/>
          <w:szCs w:val="24"/>
        </w:rPr>
      </w:pPr>
    </w:p>
    <w:p w:rsidR="00483150" w:rsidRPr="004F7B95" w:rsidP="00022586" w14:paraId="6ECEFE21" w14:textId="77777777">
      <w:pPr>
        <w:widowControl/>
        <w:tabs>
          <w:tab w:val="num" w:pos="360"/>
        </w:tabs>
        <w:ind w:left="360"/>
        <w:rPr>
          <w:rFonts w:ascii="Times New Roman" w:hAnsi="Times New Roman"/>
          <w:snapToGrid/>
          <w:sz w:val="24"/>
          <w:szCs w:val="24"/>
        </w:rPr>
      </w:pPr>
    </w:p>
    <w:p w:rsidR="002C3C4F" w:rsidRPr="00075889" w:rsidP="00075889" w14:paraId="15F829C5"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0018714B" w:rsidP="0018714B" w14:paraId="6C6735DE" w14:textId="40305308">
      <w:pPr>
        <w:widowControl/>
        <w:tabs>
          <w:tab w:val="num" w:pos="360"/>
        </w:tabs>
        <w:ind w:left="360"/>
        <w:rPr>
          <w:rFonts w:ascii="Times New Roman" w:hAnsi="Times New Roman"/>
          <w:snapToGrid/>
          <w:sz w:val="24"/>
          <w:szCs w:val="24"/>
        </w:rPr>
      </w:pPr>
      <w:r w:rsidRPr="0018714B">
        <w:rPr>
          <w:rFonts w:ascii="Times New Roman" w:hAnsi="Times New Roman"/>
          <w:snapToGrid/>
          <w:sz w:val="24"/>
          <w:szCs w:val="24"/>
        </w:rPr>
        <w:t>The deadline for LIHEAP grantees to submit their block grant applications</w:t>
      </w:r>
      <w:r w:rsidR="00D30723">
        <w:rPr>
          <w:rFonts w:ascii="Times New Roman" w:hAnsi="Times New Roman"/>
          <w:snapToGrid/>
          <w:sz w:val="24"/>
          <w:szCs w:val="24"/>
        </w:rPr>
        <w:t xml:space="preserve"> and </w:t>
      </w:r>
      <w:r w:rsidRPr="0018714B">
        <w:rPr>
          <w:rFonts w:ascii="Times New Roman" w:hAnsi="Times New Roman"/>
          <w:snapToGrid/>
          <w:sz w:val="24"/>
          <w:szCs w:val="24"/>
        </w:rPr>
        <w:t>plans for the following fiscal year is September 1st of the current fiscal year. Part of the block grant application requires the annual fiscal year data that are reported in the LIHEAP Household Report. Consequently, grantees would be unable to comply with statutory requirements in section 2605(c)(1)(D</w:t>
      </w:r>
      <w:r w:rsidR="000C443B">
        <w:rPr>
          <w:rFonts w:ascii="Times New Roman" w:hAnsi="Times New Roman"/>
          <w:snapToGrid/>
          <w:sz w:val="24"/>
          <w:szCs w:val="24"/>
        </w:rPr>
        <w:t>)</w:t>
      </w:r>
      <w:r w:rsidRPr="0018714B">
        <w:rPr>
          <w:rFonts w:ascii="Times New Roman" w:hAnsi="Times New Roman"/>
          <w:snapToGrid/>
          <w:sz w:val="24"/>
          <w:szCs w:val="24"/>
        </w:rPr>
        <w:t xml:space="preserve"> of the LIHEAP statute (42 U.S.C. 8624(c)(1)(G) and 8629(a)(4), (a)(5), (b), and (c)) if the data were collected less frequently. </w:t>
      </w:r>
    </w:p>
    <w:p w:rsidR="008B716D" w:rsidRPr="0018714B" w:rsidP="0018714B" w14:paraId="4E8A748B" w14:textId="77777777">
      <w:pPr>
        <w:widowControl/>
        <w:tabs>
          <w:tab w:val="num" w:pos="360"/>
        </w:tabs>
        <w:ind w:left="360"/>
        <w:rPr>
          <w:rFonts w:ascii="Times New Roman" w:hAnsi="Times New Roman"/>
          <w:snapToGrid/>
          <w:sz w:val="24"/>
          <w:szCs w:val="24"/>
        </w:rPr>
      </w:pPr>
    </w:p>
    <w:p w:rsidR="00D30723" w:rsidP="00AA0D20" w14:paraId="348B8CD4" w14:textId="2E89F5AE">
      <w:pPr>
        <w:widowControl/>
        <w:tabs>
          <w:tab w:val="num" w:pos="360"/>
        </w:tabs>
        <w:spacing w:after="120"/>
        <w:ind w:left="360"/>
        <w:rPr>
          <w:rFonts w:ascii="Times New Roman" w:hAnsi="Times New Roman"/>
          <w:snapToGrid/>
          <w:sz w:val="24"/>
          <w:szCs w:val="24"/>
        </w:rPr>
      </w:pPr>
      <w:r w:rsidRPr="0018714B">
        <w:rPr>
          <w:rFonts w:ascii="Times New Roman" w:hAnsi="Times New Roman"/>
          <w:snapToGrid/>
          <w:sz w:val="24"/>
          <w:szCs w:val="24"/>
        </w:rPr>
        <w:t>Without the grant</w:t>
      </w:r>
      <w:r>
        <w:rPr>
          <w:rFonts w:ascii="Times New Roman" w:hAnsi="Times New Roman"/>
          <w:snapToGrid/>
          <w:sz w:val="24"/>
          <w:szCs w:val="24"/>
        </w:rPr>
        <w:t xml:space="preserve"> recipient’</w:t>
      </w:r>
      <w:r w:rsidRPr="0018714B">
        <w:rPr>
          <w:rFonts w:ascii="Times New Roman" w:hAnsi="Times New Roman"/>
          <w:snapToGrid/>
          <w:sz w:val="24"/>
          <w:szCs w:val="24"/>
        </w:rPr>
        <w:t>s annual reporting of the LIHEAP household data</w:t>
      </w:r>
      <w:r>
        <w:rPr>
          <w:rFonts w:ascii="Times New Roman" w:hAnsi="Times New Roman"/>
          <w:snapToGrid/>
          <w:sz w:val="24"/>
          <w:szCs w:val="24"/>
        </w:rPr>
        <w:t>:</w:t>
      </w:r>
    </w:p>
    <w:p w:rsidR="008B716D" w:rsidRPr="00AA0D20" w:rsidP="00AA0D20" w14:paraId="30A5CBBE" w14:textId="11C1028D">
      <w:pPr>
        <w:pStyle w:val="ListParagraph"/>
        <w:widowControl/>
        <w:numPr>
          <w:ilvl w:val="0"/>
          <w:numId w:val="27"/>
        </w:numPr>
        <w:spacing w:after="120"/>
        <w:rPr>
          <w:rFonts w:ascii="Times New Roman" w:hAnsi="Times New Roman"/>
          <w:sz w:val="24"/>
          <w:szCs w:val="24"/>
        </w:rPr>
      </w:pPr>
      <w:r w:rsidRPr="00AA0D20">
        <w:rPr>
          <w:rFonts w:ascii="Times New Roman" w:hAnsi="Times New Roman"/>
          <w:snapToGrid/>
          <w:sz w:val="24"/>
          <w:szCs w:val="24"/>
        </w:rPr>
        <w:t>HHS would be unable to</w:t>
      </w:r>
      <w:r w:rsidRPr="00AA0D20">
        <w:rPr>
          <w:rFonts w:ascii="Times New Roman" w:hAnsi="Times New Roman"/>
          <w:sz w:val="24"/>
          <w:szCs w:val="24"/>
        </w:rPr>
        <w:t xml:space="preserve"> complete its annual LIHEAP Report to Congress, as required by section 2610(b) of the LIHEAP statute (42 U.S.C. 8629).</w:t>
      </w:r>
    </w:p>
    <w:p w:rsidR="0018714B" w:rsidRPr="00AA0D20" w:rsidP="00AA0D20" w14:paraId="2845CA05" w14:textId="77777777">
      <w:pPr>
        <w:pStyle w:val="ListParagraph"/>
        <w:numPr>
          <w:ilvl w:val="0"/>
          <w:numId w:val="27"/>
        </w:numPr>
        <w:spacing w:after="120"/>
        <w:rPr>
          <w:rFonts w:ascii="Times New Roman" w:hAnsi="Times New Roman"/>
          <w:sz w:val="24"/>
          <w:szCs w:val="24"/>
        </w:rPr>
      </w:pPr>
      <w:r w:rsidRPr="00AA0D20">
        <w:rPr>
          <w:rFonts w:ascii="Times New Roman" w:hAnsi="Times New Roman"/>
          <w:sz w:val="24"/>
          <w:szCs w:val="24"/>
        </w:rPr>
        <w:t xml:space="preserve">There would be no way for OCS to track annual LIHEAP performance output.  </w:t>
      </w:r>
    </w:p>
    <w:p w:rsidR="009F5543" w:rsidRPr="00AA0D20" w:rsidP="00AA0D20" w14:paraId="4DCB9870" w14:textId="1BE70C47">
      <w:pPr>
        <w:pStyle w:val="ListParagraph"/>
        <w:numPr>
          <w:ilvl w:val="0"/>
          <w:numId w:val="27"/>
        </w:numPr>
        <w:rPr>
          <w:rFonts w:ascii="Times New Roman" w:hAnsi="Times New Roman"/>
          <w:sz w:val="24"/>
          <w:szCs w:val="24"/>
        </w:rPr>
      </w:pPr>
      <w:r w:rsidRPr="00AA0D20">
        <w:rPr>
          <w:rFonts w:ascii="Times New Roman" w:hAnsi="Times New Roman"/>
          <w:sz w:val="24"/>
          <w:szCs w:val="24"/>
        </w:rPr>
        <w:t>OCS would be unable to obtain data that are necessary in calculating LIHEAP recipiency targeting and outcome developmental performance measures that are included in the President’s annual Congressional</w:t>
      </w:r>
      <w:r w:rsidR="00AA0D20">
        <w:rPr>
          <w:rFonts w:ascii="Times New Roman" w:hAnsi="Times New Roman"/>
          <w:sz w:val="24"/>
          <w:szCs w:val="24"/>
        </w:rPr>
        <w:t xml:space="preserve"> Budget</w:t>
      </w:r>
      <w:r w:rsidRPr="00AA0D20">
        <w:rPr>
          <w:rFonts w:ascii="Times New Roman" w:hAnsi="Times New Roman"/>
          <w:sz w:val="24"/>
          <w:szCs w:val="24"/>
        </w:rPr>
        <w:t xml:space="preserve"> Justification.</w:t>
      </w:r>
    </w:p>
    <w:p w:rsidR="00D60543" w:rsidP="00022586" w14:paraId="16A3D6DC" w14:textId="77777777">
      <w:pPr>
        <w:widowControl/>
        <w:tabs>
          <w:tab w:val="num" w:pos="360"/>
        </w:tabs>
        <w:ind w:left="360"/>
        <w:rPr>
          <w:rFonts w:ascii="Times New Roman" w:hAnsi="Times New Roman"/>
          <w:snapToGrid/>
          <w:sz w:val="24"/>
          <w:szCs w:val="24"/>
        </w:rPr>
      </w:pPr>
    </w:p>
    <w:p w:rsidR="00483150" w:rsidP="00022586" w14:paraId="2676650E" w14:textId="77777777">
      <w:pPr>
        <w:widowControl/>
        <w:tabs>
          <w:tab w:val="num" w:pos="360"/>
        </w:tabs>
        <w:ind w:left="360"/>
        <w:rPr>
          <w:rFonts w:ascii="Times New Roman" w:hAnsi="Times New Roman"/>
          <w:snapToGrid/>
          <w:sz w:val="24"/>
          <w:szCs w:val="24"/>
        </w:rPr>
      </w:pPr>
    </w:p>
    <w:p w:rsidR="002C3C4F" w:rsidRPr="00075889" w:rsidP="00075889" w14:paraId="270F873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DE529D" w:rsidP="00022586" w14:paraId="19C39E4E" w14:textId="77777777">
      <w:pPr>
        <w:widowControl/>
        <w:tabs>
          <w:tab w:val="num" w:pos="360"/>
        </w:tabs>
        <w:ind w:left="360"/>
        <w:rPr>
          <w:rFonts w:ascii="Times New Roman" w:hAnsi="Times New Roman"/>
          <w:snapToGrid/>
          <w:sz w:val="24"/>
          <w:szCs w:val="24"/>
        </w:rPr>
      </w:pPr>
      <w:r w:rsidRPr="0018714B">
        <w:rPr>
          <w:rFonts w:ascii="Times New Roman" w:hAnsi="Times New Roman"/>
          <w:snapToGrid/>
          <w:sz w:val="24"/>
          <w:szCs w:val="24"/>
        </w:rPr>
        <w:t>There are no special circumstances that require the collection to be conducted in a manner inconsistent with the guidelines in 5 CFR 1320.5.</w:t>
      </w:r>
    </w:p>
    <w:p w:rsidR="00DE529D" w:rsidP="00022586" w14:paraId="009CCED6" w14:textId="77777777">
      <w:pPr>
        <w:widowControl/>
        <w:tabs>
          <w:tab w:val="num" w:pos="360"/>
        </w:tabs>
        <w:ind w:left="360"/>
        <w:rPr>
          <w:rFonts w:ascii="Times New Roman" w:hAnsi="Times New Roman"/>
          <w:snapToGrid/>
          <w:sz w:val="24"/>
          <w:szCs w:val="24"/>
        </w:rPr>
      </w:pPr>
    </w:p>
    <w:p w:rsidR="00483150" w:rsidRPr="004F7B95" w:rsidP="00022586" w14:paraId="1AB79992" w14:textId="77777777">
      <w:pPr>
        <w:widowControl/>
        <w:tabs>
          <w:tab w:val="num" w:pos="360"/>
        </w:tabs>
        <w:ind w:left="360"/>
        <w:rPr>
          <w:rFonts w:ascii="Times New Roman" w:hAnsi="Times New Roman"/>
          <w:snapToGrid/>
          <w:sz w:val="24"/>
          <w:szCs w:val="24"/>
        </w:rPr>
      </w:pPr>
    </w:p>
    <w:p w:rsidR="0051278C" w:rsidRPr="00075889" w:rsidP="00075889" w14:paraId="108B47D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00FE375F" w:rsidRPr="00DC67CC" w:rsidP="18256126" w14:paraId="4A50B5C0" w14:textId="01721F56">
      <w:pPr>
        <w:pStyle w:val="NormalWeb"/>
        <w:spacing w:before="0" w:beforeAutospacing="0" w:after="0" w:afterAutospacing="0"/>
        <w:ind w:left="360"/>
      </w:pPr>
      <w:r>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w:t>
      </w:r>
      <w:r w:rsidRPr="00DC67CC">
        <w:t xml:space="preserve">.  </w:t>
      </w:r>
      <w:r w:rsidRPr="00DC67CC" w:rsidR="00CF41AB">
        <w:t xml:space="preserve">This notice was published on </w:t>
      </w:r>
      <w:r w:rsidRPr="00DC67CC" w:rsidR="00AA0D20">
        <w:t>April 9,</w:t>
      </w:r>
      <w:r w:rsidRPr="00DC67CC" w:rsidR="008E7E64">
        <w:t xml:space="preserve"> 2026</w:t>
      </w:r>
      <w:r w:rsidRPr="00DC67CC" w:rsidR="00D30723">
        <w:t xml:space="preserve"> (91 FR</w:t>
      </w:r>
      <w:r w:rsidRPr="00DC67CC" w:rsidR="00AA0D20">
        <w:t xml:space="preserve"> </w:t>
      </w:r>
      <w:r w:rsidR="00B47769">
        <w:t>17972</w:t>
      </w:r>
      <w:r w:rsidRPr="00DC67CC" w:rsidR="00AA0D20">
        <w:t>) and</w:t>
      </w:r>
      <w:r w:rsidRPr="00DC67CC" w:rsidR="00CF41AB">
        <w:t xml:space="preserve"> provided a sixty-day period for public comment. </w:t>
      </w:r>
    </w:p>
    <w:p w:rsidR="00327E71" w:rsidRPr="00DC67CC" w14:paraId="15595B62" w14:textId="77777777">
      <w:pPr>
        <w:pStyle w:val="NormalWeb"/>
        <w:spacing w:before="0" w:beforeAutospacing="0" w:after="0" w:afterAutospacing="0"/>
        <w:ind w:left="360"/>
      </w:pPr>
    </w:p>
    <w:p w:rsidR="004A71D9" w:rsidRPr="00DC67CC" w:rsidP="004A71D9" w14:paraId="2F1C6758" w14:textId="6265AD1C">
      <w:pPr>
        <w:widowControl/>
        <w:tabs>
          <w:tab w:val="num" w:pos="360"/>
        </w:tabs>
        <w:ind w:left="360"/>
        <w:rPr>
          <w:rFonts w:ascii="Times New Roman" w:hAnsi="Times New Roman"/>
          <w:snapToGrid/>
          <w:sz w:val="24"/>
          <w:szCs w:val="24"/>
        </w:rPr>
      </w:pPr>
      <w:r w:rsidRPr="00DC67CC">
        <w:rPr>
          <w:rFonts w:ascii="Times New Roman" w:hAnsi="Times New Roman"/>
          <w:snapToGrid/>
          <w:sz w:val="24"/>
          <w:szCs w:val="24"/>
        </w:rPr>
        <w:t xml:space="preserve">During the public comment period, the Office of Community Services (OCS) received </w:t>
      </w:r>
      <w:r w:rsidRPr="00DC67CC" w:rsidR="00127125">
        <w:rPr>
          <w:rFonts w:ascii="Times New Roman" w:hAnsi="Times New Roman"/>
          <w:snapToGrid/>
          <w:sz w:val="24"/>
          <w:szCs w:val="24"/>
        </w:rPr>
        <w:t>six</w:t>
      </w:r>
      <w:r w:rsidRPr="00DC67CC">
        <w:rPr>
          <w:rFonts w:ascii="Times New Roman" w:hAnsi="Times New Roman"/>
          <w:snapToGrid/>
          <w:sz w:val="24"/>
          <w:szCs w:val="24"/>
        </w:rPr>
        <w:t xml:space="preserve"> submissions</w:t>
      </w:r>
      <w:r w:rsidRPr="00DC67CC" w:rsidR="00664AE7">
        <w:rPr>
          <w:rFonts w:ascii="Times New Roman" w:hAnsi="Times New Roman"/>
          <w:snapToGrid/>
          <w:sz w:val="24"/>
          <w:szCs w:val="24"/>
        </w:rPr>
        <w:t xml:space="preserve">. The comments were submitted by: </w:t>
      </w:r>
      <w:r w:rsidRPr="00DC67CC">
        <w:rPr>
          <w:rFonts w:ascii="Times New Roman" w:hAnsi="Times New Roman"/>
          <w:snapToGrid/>
          <w:sz w:val="24"/>
          <w:szCs w:val="24"/>
        </w:rPr>
        <w:t>the National Energy Assistance Directors Association (NEADA)</w:t>
      </w:r>
      <w:r w:rsidRPr="00DC67CC" w:rsidR="00664AE7">
        <w:rPr>
          <w:rFonts w:ascii="Times New Roman" w:hAnsi="Times New Roman"/>
          <w:snapToGrid/>
          <w:sz w:val="24"/>
          <w:szCs w:val="24"/>
        </w:rPr>
        <w:t xml:space="preserve">, </w:t>
      </w:r>
      <w:r w:rsidRPr="00DC67CC" w:rsidR="00CD3EB0">
        <w:rPr>
          <w:rFonts w:ascii="Times New Roman" w:hAnsi="Times New Roman"/>
          <w:snapToGrid/>
          <w:sz w:val="24"/>
          <w:szCs w:val="24"/>
        </w:rPr>
        <w:t>t</w:t>
      </w:r>
      <w:r w:rsidRPr="00DC67CC" w:rsidR="003664DA">
        <w:rPr>
          <w:rFonts w:ascii="Times New Roman" w:hAnsi="Times New Roman"/>
          <w:snapToGrid/>
          <w:sz w:val="24"/>
          <w:szCs w:val="24"/>
        </w:rPr>
        <w:t>he Leadership Conference on Civil and Human Rights,</w:t>
      </w:r>
      <w:r w:rsidRPr="00DC67CC" w:rsidR="00CD3EB0">
        <w:rPr>
          <w:rFonts w:ascii="Times New Roman" w:hAnsi="Times New Roman"/>
          <w:snapToGrid/>
          <w:sz w:val="24"/>
          <w:szCs w:val="24"/>
        </w:rPr>
        <w:t xml:space="preserve"> the</w:t>
      </w:r>
      <w:r w:rsidRPr="00DC67CC" w:rsidR="003664DA">
        <w:rPr>
          <w:rFonts w:ascii="Times New Roman" w:hAnsi="Times New Roman"/>
          <w:snapToGrid/>
          <w:sz w:val="24"/>
          <w:szCs w:val="24"/>
        </w:rPr>
        <w:t xml:space="preserve"> Center on Poverty and Social Policy at Columbia University, </w:t>
      </w:r>
      <w:r w:rsidRPr="00DC67CC" w:rsidR="00CD3EB0">
        <w:rPr>
          <w:rFonts w:ascii="Times New Roman" w:hAnsi="Times New Roman"/>
          <w:snapToGrid/>
          <w:sz w:val="24"/>
          <w:szCs w:val="24"/>
        </w:rPr>
        <w:t>the Center on Budget and Policy Priorities (CBPP),</w:t>
      </w:r>
      <w:r w:rsidRPr="00DC67CC">
        <w:rPr>
          <w:rFonts w:ascii="Times New Roman" w:hAnsi="Times New Roman"/>
          <w:snapToGrid/>
          <w:sz w:val="24"/>
          <w:szCs w:val="24"/>
        </w:rPr>
        <w:t xml:space="preserve"> and </w:t>
      </w:r>
      <w:r w:rsidRPr="00DC67CC" w:rsidR="002B62C9">
        <w:rPr>
          <w:rFonts w:ascii="Times New Roman" w:hAnsi="Times New Roman"/>
          <w:snapToGrid/>
          <w:sz w:val="24"/>
          <w:szCs w:val="24"/>
        </w:rPr>
        <w:t>two</w:t>
      </w:r>
      <w:r w:rsidRPr="00DC67CC">
        <w:rPr>
          <w:rFonts w:ascii="Times New Roman" w:hAnsi="Times New Roman"/>
          <w:snapToGrid/>
          <w:sz w:val="24"/>
          <w:szCs w:val="24"/>
        </w:rPr>
        <w:t xml:space="preserve"> individual members of the public. All comments addressed the proposed removal of the collection of sex, race, and ethnicity data for LIHEAP applicants and household members. OCS acknowledges the interest in retaining these data elements; however, they are not required by statute and do not affect the manner in which grant recipients administer program services. OCS will make available to grant recipients the demographic data collected for Fiscal Years 2023 through 2025. Although OCS will no longer require submission of these data to the federal government, grant recipients may continue to collect this information or utilize comparable indicators drawn from other programs for their own analytical purposes.</w:t>
      </w:r>
    </w:p>
    <w:p w:rsidR="009C2DE1" w:rsidP="00022586" w14:paraId="28DAAF19" w14:textId="77777777">
      <w:pPr>
        <w:widowControl/>
        <w:tabs>
          <w:tab w:val="num" w:pos="360"/>
        </w:tabs>
        <w:ind w:left="360"/>
        <w:rPr>
          <w:rFonts w:ascii="Times New Roman" w:hAnsi="Times New Roman"/>
          <w:snapToGrid/>
          <w:sz w:val="24"/>
          <w:szCs w:val="24"/>
        </w:rPr>
      </w:pPr>
    </w:p>
    <w:p w:rsidR="000A778B" w:rsidP="00022586" w14:paraId="687C1B82" w14:textId="77777777">
      <w:pPr>
        <w:widowControl/>
        <w:tabs>
          <w:tab w:val="num" w:pos="360"/>
        </w:tabs>
        <w:ind w:left="360"/>
        <w:rPr>
          <w:rFonts w:ascii="Times New Roman" w:hAnsi="Times New Roman"/>
          <w:snapToGrid/>
          <w:sz w:val="24"/>
          <w:szCs w:val="24"/>
        </w:rPr>
      </w:pPr>
    </w:p>
    <w:p w:rsidR="002C3C4F" w:rsidRPr="00075889" w:rsidP="00075889" w14:paraId="7C384AB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D60543" w:rsidP="00022586" w14:paraId="1697AF1E" w14:textId="77777777">
      <w:pPr>
        <w:widowControl/>
        <w:tabs>
          <w:tab w:val="num" w:pos="360"/>
        </w:tabs>
        <w:ind w:left="360"/>
        <w:rPr>
          <w:rFonts w:ascii="Times New Roman" w:hAnsi="Times New Roman"/>
          <w:snapToGrid/>
          <w:sz w:val="24"/>
          <w:szCs w:val="24"/>
        </w:rPr>
      </w:pPr>
      <w:r w:rsidRPr="0018714B">
        <w:t xml:space="preserve"> </w:t>
      </w:r>
      <w:r w:rsidRPr="0018714B">
        <w:rPr>
          <w:rFonts w:ascii="Times New Roman" w:hAnsi="Times New Roman"/>
          <w:snapToGrid/>
          <w:sz w:val="24"/>
          <w:szCs w:val="24"/>
        </w:rPr>
        <w:t>No payment or gifts to respondents are involved.</w:t>
      </w:r>
    </w:p>
    <w:p w:rsidR="00D60543" w:rsidP="00DE529D" w14:paraId="5425DAF4" w14:textId="77777777">
      <w:pPr>
        <w:widowControl/>
        <w:tabs>
          <w:tab w:val="num" w:pos="360"/>
        </w:tabs>
        <w:ind w:left="360"/>
        <w:rPr>
          <w:rFonts w:ascii="Times New Roman" w:hAnsi="Times New Roman"/>
          <w:snapToGrid/>
          <w:sz w:val="24"/>
          <w:szCs w:val="24"/>
        </w:rPr>
      </w:pPr>
    </w:p>
    <w:p w:rsidR="00483150" w:rsidP="00DE529D" w14:paraId="4B4DA04D" w14:textId="77777777">
      <w:pPr>
        <w:widowControl/>
        <w:tabs>
          <w:tab w:val="num" w:pos="360"/>
        </w:tabs>
        <w:ind w:left="360"/>
        <w:rPr>
          <w:rFonts w:ascii="Times New Roman" w:hAnsi="Times New Roman"/>
          <w:snapToGrid/>
          <w:sz w:val="24"/>
          <w:szCs w:val="24"/>
        </w:rPr>
      </w:pPr>
    </w:p>
    <w:p w:rsidR="00DC67CC" w:rsidRPr="004F7B95" w:rsidP="00DE529D" w14:paraId="15F3F741" w14:textId="77777777">
      <w:pPr>
        <w:widowControl/>
        <w:tabs>
          <w:tab w:val="num" w:pos="360"/>
        </w:tabs>
        <w:ind w:left="360"/>
        <w:rPr>
          <w:rFonts w:ascii="Times New Roman" w:hAnsi="Times New Roman"/>
          <w:snapToGrid/>
          <w:sz w:val="24"/>
          <w:szCs w:val="24"/>
        </w:rPr>
      </w:pPr>
    </w:p>
    <w:p w:rsidR="002C3C4F" w:rsidRPr="00075889" w:rsidP="00483150" w14:paraId="7C0B85C2"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Assurance of Confidentiality Provided to Respondents </w:t>
      </w:r>
    </w:p>
    <w:p w:rsidR="00D60543" w:rsidP="00022586" w14:paraId="611750DF" w14:textId="77777777">
      <w:pPr>
        <w:widowControl/>
        <w:tabs>
          <w:tab w:val="num" w:pos="360"/>
        </w:tabs>
        <w:ind w:left="360"/>
        <w:rPr>
          <w:rFonts w:ascii="Times New Roman" w:hAnsi="Times New Roman"/>
          <w:snapToGrid/>
          <w:sz w:val="24"/>
          <w:szCs w:val="24"/>
        </w:rPr>
      </w:pPr>
      <w:r w:rsidRPr="0018714B">
        <w:rPr>
          <w:rFonts w:ascii="Times New Roman" w:hAnsi="Times New Roman"/>
          <w:snapToGrid/>
          <w:sz w:val="24"/>
          <w:szCs w:val="24"/>
        </w:rPr>
        <w:t>Confidentiality is not an issue as only aggregated household data are collected.</w:t>
      </w:r>
    </w:p>
    <w:p w:rsidR="00D60543" w:rsidP="00022586" w14:paraId="56865C58" w14:textId="77777777">
      <w:pPr>
        <w:widowControl/>
        <w:tabs>
          <w:tab w:val="num" w:pos="360"/>
        </w:tabs>
        <w:ind w:left="360"/>
        <w:rPr>
          <w:rFonts w:ascii="Times New Roman" w:hAnsi="Times New Roman"/>
          <w:snapToGrid/>
          <w:sz w:val="24"/>
          <w:szCs w:val="24"/>
        </w:rPr>
      </w:pPr>
    </w:p>
    <w:p w:rsidR="00483150" w:rsidP="00022586" w14:paraId="7B9173EE" w14:textId="77777777">
      <w:pPr>
        <w:widowControl/>
        <w:tabs>
          <w:tab w:val="num" w:pos="360"/>
        </w:tabs>
        <w:ind w:left="360"/>
        <w:rPr>
          <w:rFonts w:ascii="Times New Roman" w:hAnsi="Times New Roman"/>
          <w:snapToGrid/>
          <w:sz w:val="24"/>
          <w:szCs w:val="24"/>
        </w:rPr>
      </w:pPr>
    </w:p>
    <w:p w:rsidR="002C3C4F" w:rsidRPr="00075889" w:rsidP="00483150" w14:paraId="16197B1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00CB1A12" w:rsidRPr="004F7B95" w:rsidP="00022586" w14:paraId="6A948835" w14:textId="77777777">
      <w:pPr>
        <w:widowControl/>
        <w:tabs>
          <w:tab w:val="num" w:pos="360"/>
        </w:tabs>
        <w:ind w:left="360"/>
        <w:rPr>
          <w:rFonts w:ascii="Times New Roman" w:hAnsi="Times New Roman"/>
          <w:snapToGrid/>
          <w:sz w:val="24"/>
          <w:szCs w:val="24"/>
        </w:rPr>
      </w:pPr>
      <w:r w:rsidRPr="0018714B">
        <w:rPr>
          <w:rFonts w:ascii="Times New Roman" w:hAnsi="Times New Roman"/>
          <w:snapToGrid/>
          <w:sz w:val="24"/>
          <w:szCs w:val="24"/>
        </w:rPr>
        <w:t>There are no questions of a sensitive nature that are commonly considered private.</w:t>
      </w:r>
    </w:p>
    <w:p w:rsidR="00DE529D" w:rsidP="0051278C" w14:paraId="5F3A4B71" w14:textId="77777777">
      <w:pPr>
        <w:widowControl/>
        <w:tabs>
          <w:tab w:val="num" w:pos="360"/>
        </w:tabs>
        <w:ind w:left="720" w:hanging="360"/>
        <w:rPr>
          <w:rFonts w:ascii="Times New Roman" w:hAnsi="Times New Roman"/>
          <w:snapToGrid/>
          <w:sz w:val="24"/>
          <w:szCs w:val="24"/>
        </w:rPr>
      </w:pPr>
    </w:p>
    <w:p w:rsidR="00483150" w:rsidRPr="004F7B95" w:rsidP="0051278C" w14:paraId="5A6D275C" w14:textId="77777777">
      <w:pPr>
        <w:widowControl/>
        <w:tabs>
          <w:tab w:val="num" w:pos="360"/>
        </w:tabs>
        <w:ind w:left="720" w:hanging="360"/>
        <w:rPr>
          <w:rFonts w:ascii="Times New Roman" w:hAnsi="Times New Roman"/>
          <w:snapToGrid/>
          <w:sz w:val="24"/>
          <w:szCs w:val="24"/>
        </w:rPr>
      </w:pPr>
    </w:p>
    <w:p w:rsidR="002C3C4F" w:rsidP="3AB802C6" w14:paraId="288BD12F" w14:textId="77777777">
      <w:pPr>
        <w:widowControl/>
        <w:numPr>
          <w:ilvl w:val="0"/>
          <w:numId w:val="3"/>
        </w:numPr>
        <w:tabs>
          <w:tab w:val="num" w:pos="360"/>
        </w:tabs>
        <w:spacing w:after="120"/>
        <w:ind w:left="360"/>
        <w:rPr>
          <w:rFonts w:ascii="Times New Roman" w:hAnsi="Times New Roman"/>
          <w:b/>
          <w:bCs/>
          <w:snapToGrid/>
          <w:sz w:val="24"/>
          <w:szCs w:val="24"/>
        </w:rPr>
      </w:pPr>
      <w:r w:rsidRPr="3AB802C6">
        <w:rPr>
          <w:rFonts w:ascii="Times New Roman" w:hAnsi="Times New Roman"/>
          <w:b/>
          <w:bCs/>
          <w:snapToGrid/>
          <w:sz w:val="24"/>
          <w:szCs w:val="24"/>
        </w:rPr>
        <w:t xml:space="preserve">Estimates of Annualized Burden Hours and Costs </w:t>
      </w:r>
    </w:p>
    <w:p w:rsidR="00311857" w:rsidP="00AA0D20" w14:paraId="429A4586" w14:textId="454EBDD0">
      <w:pPr>
        <w:tabs>
          <w:tab w:val="left" w:pos="544"/>
          <w:tab w:val="left" w:pos="814"/>
        </w:tabs>
        <w:spacing w:after="60"/>
        <w:ind w:left="360"/>
        <w:rPr>
          <w:rFonts w:ascii="Times New Roman" w:hAnsi="Times New Roman"/>
          <w:sz w:val="24"/>
          <w:szCs w:val="24"/>
        </w:rPr>
      </w:pPr>
      <w:r w:rsidRPr="00311857">
        <w:rPr>
          <w:rFonts w:ascii="Times New Roman" w:hAnsi="Times New Roman"/>
          <w:i/>
          <w:iCs/>
          <w:sz w:val="24"/>
          <w:szCs w:val="24"/>
        </w:rPr>
        <w:t>Estimated Burden Hour</w:t>
      </w:r>
      <w:r>
        <w:rPr>
          <w:rFonts w:ascii="Times New Roman" w:hAnsi="Times New Roman"/>
          <w:i/>
          <w:iCs/>
          <w:sz w:val="24"/>
          <w:szCs w:val="24"/>
        </w:rPr>
        <w:t>s</w:t>
      </w:r>
    </w:p>
    <w:p w:rsidR="000C7A5D" w:rsidRPr="00693121" w:rsidP="00693121" w14:paraId="16E4CCF9" w14:textId="473172C8">
      <w:pPr>
        <w:tabs>
          <w:tab w:val="left" w:pos="544"/>
          <w:tab w:val="left" w:pos="814"/>
        </w:tabs>
        <w:ind w:left="360"/>
        <w:rPr>
          <w:rFonts w:ascii="Times New Roman" w:hAnsi="Times New Roman"/>
          <w:sz w:val="24"/>
          <w:szCs w:val="24"/>
        </w:rPr>
      </w:pPr>
      <w:r w:rsidRPr="00693121">
        <w:rPr>
          <w:rFonts w:ascii="Times New Roman" w:hAnsi="Times New Roman"/>
          <w:sz w:val="24"/>
          <w:szCs w:val="24"/>
        </w:rPr>
        <w:t>Estimates of the hour burden of the collection of information are based on the number of LIHEAP grant</w:t>
      </w:r>
      <w:r w:rsidR="00D30723">
        <w:rPr>
          <w:rFonts w:ascii="Times New Roman" w:hAnsi="Times New Roman"/>
          <w:sz w:val="24"/>
          <w:szCs w:val="24"/>
        </w:rPr>
        <w:t xml:space="preserve"> recipients</w:t>
      </w:r>
      <w:r w:rsidRPr="00693121">
        <w:rPr>
          <w:rFonts w:ascii="Times New Roman" w:hAnsi="Times New Roman"/>
          <w:sz w:val="24"/>
          <w:szCs w:val="24"/>
        </w:rPr>
        <w:t xml:space="preserve"> (50 States, the District of Columbia, 1</w:t>
      </w:r>
      <w:r w:rsidR="00AA0D20">
        <w:rPr>
          <w:rFonts w:ascii="Times New Roman" w:hAnsi="Times New Roman"/>
          <w:sz w:val="24"/>
          <w:szCs w:val="24"/>
        </w:rPr>
        <w:t>33</w:t>
      </w:r>
      <w:r w:rsidRPr="00693121">
        <w:rPr>
          <w:rFonts w:ascii="Times New Roman" w:hAnsi="Times New Roman"/>
          <w:sz w:val="24"/>
          <w:szCs w:val="24"/>
        </w:rPr>
        <w:t>Indian Tribes/Tribal Organizations, and five Insular Areas) completing the information collection annually</w:t>
      </w:r>
      <w:r w:rsidR="00D25C91">
        <w:rPr>
          <w:rFonts w:ascii="Times New Roman" w:hAnsi="Times New Roman"/>
          <w:sz w:val="24"/>
          <w:szCs w:val="24"/>
        </w:rPr>
        <w:t xml:space="preserve"> and the estimated burden associated with household applications</w:t>
      </w:r>
      <w:r w:rsidRPr="00693121">
        <w:rPr>
          <w:rFonts w:ascii="Times New Roman" w:hAnsi="Times New Roman"/>
          <w:sz w:val="24"/>
          <w:szCs w:val="24"/>
        </w:rPr>
        <w:t xml:space="preserve">. </w:t>
      </w:r>
    </w:p>
    <w:p w:rsidR="000C7A5D" w:rsidP="00D25C91" w14:paraId="62981837" w14:textId="77777777">
      <w:pPr>
        <w:tabs>
          <w:tab w:val="left" w:pos="544"/>
          <w:tab w:val="left" w:pos="814"/>
        </w:tabs>
        <w:rPr>
          <w:rFonts w:ascii="Times New Roman" w:hAnsi="Times New Roman"/>
          <w:sz w:val="24"/>
          <w:szCs w:val="24"/>
        </w:rPr>
      </w:pPr>
    </w:p>
    <w:p w:rsidR="00D25C91" w:rsidRPr="00AA0D20" w:rsidP="00AA0D20" w14:paraId="5E772933" w14:textId="3E08187B">
      <w:pPr>
        <w:tabs>
          <w:tab w:val="left" w:pos="360"/>
        </w:tabs>
        <w:rPr>
          <w:rFonts w:ascii="Times New Roman" w:hAnsi="Times New Roman"/>
          <w:sz w:val="24"/>
          <w:szCs w:val="24"/>
          <w:u w:val="single"/>
        </w:rPr>
      </w:pPr>
      <w:r w:rsidRPr="00AA0D20">
        <w:rPr>
          <w:rFonts w:ascii="Times New Roman" w:hAnsi="Times New Roman"/>
          <w:sz w:val="24"/>
          <w:szCs w:val="24"/>
        </w:rPr>
        <w:tab/>
      </w:r>
      <w:r w:rsidRPr="00AA0D20">
        <w:rPr>
          <w:rFonts w:ascii="Times New Roman" w:hAnsi="Times New Roman"/>
          <w:sz w:val="24"/>
          <w:szCs w:val="24"/>
          <w:u w:val="single"/>
        </w:rPr>
        <w:t>Grant Recipient Burden</w:t>
      </w:r>
    </w:p>
    <w:p w:rsidR="00D25C91" w:rsidRPr="00AA0D20" w:rsidP="00AA0D20" w14:paraId="5FD91206" w14:textId="16272109">
      <w:pPr>
        <w:tabs>
          <w:tab w:val="left" w:pos="814"/>
        </w:tabs>
        <w:ind w:left="360"/>
        <w:rPr>
          <w:rFonts w:ascii="Times New Roman" w:hAnsi="Times New Roman"/>
          <w:sz w:val="24"/>
          <w:szCs w:val="24"/>
        </w:rPr>
      </w:pPr>
      <w:r w:rsidRPr="00D25C91">
        <w:rPr>
          <w:rFonts w:ascii="Times New Roman" w:hAnsi="Times New Roman"/>
          <w:sz w:val="24"/>
          <w:szCs w:val="24"/>
        </w:rPr>
        <w:t xml:space="preserve">The response </w:t>
      </w:r>
      <w:r w:rsidRPr="00D25C91">
        <w:rPr>
          <w:rFonts w:ascii="Times New Roman" w:hAnsi="Times New Roman"/>
          <w:sz w:val="24"/>
          <w:szCs w:val="24"/>
        </w:rPr>
        <w:t>time for grant recipients</w:t>
      </w:r>
      <w:r w:rsidRPr="00D25C91">
        <w:rPr>
          <w:rFonts w:ascii="Times New Roman" w:hAnsi="Times New Roman"/>
          <w:sz w:val="24"/>
          <w:szCs w:val="24"/>
        </w:rPr>
        <w:t xml:space="preserve"> </w:t>
      </w:r>
      <w:r w:rsidRPr="00AA0D20">
        <w:rPr>
          <w:rFonts w:ascii="Times New Roman" w:hAnsi="Times New Roman"/>
          <w:sz w:val="24"/>
          <w:szCs w:val="24"/>
        </w:rPr>
        <w:t xml:space="preserve">due to the Department waiving most of the reporting requirements for small LIHEAP grantees, given the small grant amounts involved and the overall difficulty in obtaining reliable demographic data from small grantees. In reducing the burden on small LIHEAP grantees, all Indian Tribes and Tribal Organizations will continue to be exempted from most of the reporting requirements. These grantees report only on the number of households assisted by type of LIHEAP assistance through the </w:t>
      </w:r>
      <w:r w:rsidRPr="00AA0D20">
        <w:rPr>
          <w:rFonts w:ascii="Times New Roman" w:hAnsi="Times New Roman"/>
          <w:i/>
          <w:iCs/>
          <w:sz w:val="24"/>
          <w:szCs w:val="24"/>
        </w:rPr>
        <w:t>LIHEAP Household Report–Short Format</w:t>
      </w:r>
      <w:r w:rsidRPr="00AA0D20">
        <w:rPr>
          <w:rFonts w:ascii="Times New Roman" w:hAnsi="Times New Roman"/>
          <w:sz w:val="24"/>
          <w:szCs w:val="24"/>
        </w:rPr>
        <w:t>.</w:t>
      </w:r>
    </w:p>
    <w:p w:rsidR="00D25C91" w:rsidRPr="00AA0D20" w:rsidP="00AA0D20" w14:paraId="0F091A7B" w14:textId="77777777">
      <w:pPr>
        <w:tabs>
          <w:tab w:val="left" w:pos="814"/>
        </w:tabs>
        <w:ind w:left="360"/>
        <w:rPr>
          <w:rFonts w:ascii="Times New Roman" w:hAnsi="Times New Roman"/>
          <w:sz w:val="24"/>
          <w:szCs w:val="24"/>
        </w:rPr>
      </w:pPr>
    </w:p>
    <w:p w:rsidR="000C7A5D" w:rsidRPr="00D25C91" w:rsidP="00AA0D20" w14:paraId="7FE5D2D0" w14:textId="464E729A">
      <w:pPr>
        <w:tabs>
          <w:tab w:val="left" w:pos="814"/>
        </w:tabs>
        <w:ind w:left="360"/>
        <w:rPr>
          <w:rFonts w:ascii="Times New Roman" w:hAnsi="Times New Roman"/>
          <w:sz w:val="24"/>
          <w:szCs w:val="24"/>
        </w:rPr>
      </w:pPr>
      <w:r>
        <w:rPr>
          <w:rFonts w:ascii="Times New Roman" w:hAnsi="Times New Roman"/>
          <w:sz w:val="24"/>
          <w:szCs w:val="24"/>
        </w:rPr>
        <w:t>The estimated number of grant recipients and estimated time per response for each format follows</w:t>
      </w:r>
      <w:r w:rsidRPr="00D25C91" w:rsidR="009D582C">
        <w:rPr>
          <w:rFonts w:ascii="Times New Roman" w:hAnsi="Times New Roman"/>
          <w:sz w:val="24"/>
          <w:szCs w:val="24"/>
        </w:rPr>
        <w:t>:</w:t>
      </w:r>
    </w:p>
    <w:p w:rsidR="000C7A5D" w:rsidRPr="00D25C91" w:rsidP="00AA0D20" w14:paraId="2ED577CA" w14:textId="3589B074">
      <w:pPr>
        <w:widowControl/>
        <w:numPr>
          <w:ilvl w:val="0"/>
          <w:numId w:val="28"/>
        </w:numPr>
        <w:tabs>
          <w:tab w:val="left" w:pos="1440"/>
        </w:tabs>
        <w:suppressAutoHyphens/>
        <w:rPr>
          <w:rFonts w:ascii="Times New Roman" w:hAnsi="Times New Roman"/>
          <w:spacing w:val="-3"/>
          <w:sz w:val="24"/>
          <w:szCs w:val="24"/>
        </w:rPr>
      </w:pPr>
      <w:r w:rsidRPr="00D25C91">
        <w:rPr>
          <w:rFonts w:ascii="Times New Roman" w:hAnsi="Times New Roman"/>
          <w:i/>
          <w:iCs/>
          <w:spacing w:val="-3"/>
          <w:sz w:val="24"/>
          <w:szCs w:val="24"/>
        </w:rPr>
        <w:t>LIHEAP Household Report</w:t>
      </w:r>
      <w:r w:rsidRPr="00D25C91">
        <w:rPr>
          <w:rFonts w:ascii="Times New Roman" w:hAnsi="Times New Roman"/>
          <w:spacing w:val="-3"/>
          <w:sz w:val="24"/>
          <w:szCs w:val="24"/>
        </w:rPr>
        <w:t xml:space="preserve"> – </w:t>
      </w:r>
      <w:r w:rsidRPr="00D25C91">
        <w:rPr>
          <w:rFonts w:ascii="Times New Roman" w:hAnsi="Times New Roman"/>
          <w:i/>
          <w:iCs/>
          <w:spacing w:val="-3"/>
          <w:sz w:val="24"/>
          <w:szCs w:val="24"/>
        </w:rPr>
        <w:t>Long Format</w:t>
      </w:r>
      <w:r w:rsidRPr="00D25C91">
        <w:rPr>
          <w:rFonts w:ascii="Times New Roman" w:hAnsi="Times New Roman"/>
          <w:spacing w:val="-3"/>
          <w:sz w:val="24"/>
          <w:szCs w:val="24"/>
        </w:rPr>
        <w:t xml:space="preserve"> for the 50 States, the District of Columbia, and </w:t>
      </w:r>
      <w:r w:rsidRPr="00D25C91" w:rsidR="00D25C91">
        <w:rPr>
          <w:rFonts w:ascii="Times New Roman" w:hAnsi="Times New Roman"/>
          <w:spacing w:val="-3"/>
          <w:sz w:val="24"/>
          <w:szCs w:val="24"/>
        </w:rPr>
        <w:t>Puerto Rico</w:t>
      </w:r>
      <w:r w:rsidRPr="00D25C91">
        <w:rPr>
          <w:rFonts w:ascii="Times New Roman" w:hAnsi="Times New Roman"/>
          <w:spacing w:val="-3"/>
          <w:sz w:val="24"/>
          <w:szCs w:val="24"/>
        </w:rPr>
        <w:t xml:space="preserve"> (average burden per respon</w:t>
      </w:r>
      <w:r w:rsidRPr="00D25C91" w:rsidR="002C403F">
        <w:rPr>
          <w:rFonts w:ascii="Times New Roman" w:hAnsi="Times New Roman"/>
          <w:spacing w:val="-3"/>
          <w:sz w:val="24"/>
          <w:szCs w:val="24"/>
        </w:rPr>
        <w:t>se</w:t>
      </w:r>
      <w:r w:rsidRPr="00D25C91">
        <w:rPr>
          <w:rFonts w:ascii="Times New Roman" w:hAnsi="Times New Roman"/>
          <w:spacing w:val="-3"/>
          <w:sz w:val="24"/>
          <w:szCs w:val="24"/>
        </w:rPr>
        <w:t xml:space="preserve"> of </w:t>
      </w:r>
      <w:r w:rsidRPr="00D25C91" w:rsidR="3A44C2AB">
        <w:rPr>
          <w:rFonts w:ascii="Times New Roman" w:hAnsi="Times New Roman"/>
          <w:sz w:val="24"/>
          <w:szCs w:val="24"/>
        </w:rPr>
        <w:t>4</w:t>
      </w:r>
      <w:r w:rsidRPr="00D25C91" w:rsidR="7C30559E">
        <w:rPr>
          <w:rFonts w:ascii="Times New Roman" w:hAnsi="Times New Roman"/>
          <w:sz w:val="24"/>
          <w:szCs w:val="24"/>
        </w:rPr>
        <w:t>1</w:t>
      </w:r>
      <w:r w:rsidRPr="00D25C91" w:rsidR="00AF614A">
        <w:rPr>
          <w:rFonts w:ascii="Times New Roman" w:hAnsi="Times New Roman"/>
          <w:spacing w:val="-3"/>
          <w:sz w:val="24"/>
          <w:szCs w:val="24"/>
        </w:rPr>
        <w:t xml:space="preserve"> </w:t>
      </w:r>
      <w:r w:rsidRPr="00D25C91">
        <w:rPr>
          <w:rFonts w:ascii="Times New Roman" w:hAnsi="Times New Roman"/>
          <w:spacing w:val="-3"/>
          <w:sz w:val="24"/>
          <w:szCs w:val="24"/>
        </w:rPr>
        <w:t xml:space="preserve">hours). </w:t>
      </w:r>
    </w:p>
    <w:p w:rsidR="000C7A5D" w:rsidRPr="00D25C91" w:rsidP="00AA0D20" w14:paraId="4E614E88" w14:textId="4B086C27">
      <w:pPr>
        <w:pStyle w:val="Level1"/>
        <w:numPr>
          <w:ilvl w:val="0"/>
          <w:numId w:val="28"/>
        </w:numPr>
        <w:rPr>
          <w:szCs w:val="24"/>
        </w:rPr>
      </w:pPr>
      <w:r w:rsidRPr="00D25C91">
        <w:rPr>
          <w:i/>
          <w:iCs/>
          <w:szCs w:val="24"/>
        </w:rPr>
        <w:t>LIHEAP Household Report – Short Format</w:t>
      </w:r>
      <w:r w:rsidRPr="00D25C91">
        <w:rPr>
          <w:szCs w:val="24"/>
        </w:rPr>
        <w:t xml:space="preserve"> for the </w:t>
      </w:r>
      <w:r w:rsidRPr="00D25C91" w:rsidR="00D25C91">
        <w:rPr>
          <w:szCs w:val="24"/>
        </w:rPr>
        <w:t xml:space="preserve">133 </w:t>
      </w:r>
      <w:r w:rsidRPr="00D25C91">
        <w:rPr>
          <w:szCs w:val="24"/>
        </w:rPr>
        <w:t>Indian Tribes/Tribal Organizations and selected territory grantees (average burden per respon</w:t>
      </w:r>
      <w:r w:rsidRPr="00D25C91" w:rsidR="002C403F">
        <w:rPr>
          <w:szCs w:val="24"/>
        </w:rPr>
        <w:t>se</w:t>
      </w:r>
      <w:r w:rsidRPr="00D25C91">
        <w:rPr>
          <w:szCs w:val="24"/>
        </w:rPr>
        <w:t xml:space="preserve"> of </w:t>
      </w:r>
      <w:r w:rsidRPr="00D25C91" w:rsidR="68EA0835">
        <w:rPr>
          <w:szCs w:val="24"/>
        </w:rPr>
        <w:t>6</w:t>
      </w:r>
      <w:r w:rsidRPr="00D25C91" w:rsidR="00125BFB">
        <w:rPr>
          <w:szCs w:val="24"/>
        </w:rPr>
        <w:t xml:space="preserve"> </w:t>
      </w:r>
      <w:r w:rsidRPr="00D25C91">
        <w:rPr>
          <w:szCs w:val="24"/>
        </w:rPr>
        <w:t>hour</w:t>
      </w:r>
      <w:r w:rsidRPr="00D25C91" w:rsidR="002C403F">
        <w:rPr>
          <w:szCs w:val="24"/>
        </w:rPr>
        <w:t>s</w:t>
      </w:r>
      <w:r w:rsidRPr="00D25C91">
        <w:rPr>
          <w:szCs w:val="24"/>
        </w:rPr>
        <w:t>).</w:t>
      </w:r>
      <w:r w:rsidRPr="00D25C91" w:rsidR="00A74DEC">
        <w:rPr>
          <w:szCs w:val="24"/>
        </w:rPr>
        <w:t xml:space="preserve">  </w:t>
      </w:r>
    </w:p>
    <w:p w:rsidR="00D25C91" w:rsidP="00D25C91" w14:paraId="28B98679" w14:textId="77777777">
      <w:pPr>
        <w:pStyle w:val="Level1"/>
        <w:tabs>
          <w:tab w:val="left" w:pos="544"/>
        </w:tabs>
        <w:ind w:left="360"/>
        <w:rPr>
          <w:szCs w:val="24"/>
        </w:rPr>
      </w:pPr>
    </w:p>
    <w:p w:rsidR="00D25C91" w:rsidP="00D25C91" w14:paraId="562AACC6" w14:textId="32464725">
      <w:pPr>
        <w:pStyle w:val="Level1"/>
        <w:tabs>
          <w:tab w:val="left" w:pos="544"/>
        </w:tabs>
        <w:ind w:left="360"/>
        <w:rPr>
          <w:szCs w:val="24"/>
        </w:rPr>
      </w:pPr>
      <w:r>
        <w:rPr>
          <w:szCs w:val="24"/>
          <w:u w:val="single"/>
        </w:rPr>
        <w:t>Household Level</w:t>
      </w:r>
      <w:r w:rsidRPr="00992A54">
        <w:rPr>
          <w:szCs w:val="24"/>
          <w:u w:val="single"/>
        </w:rPr>
        <w:t xml:space="preserve"> Burden</w:t>
      </w:r>
    </w:p>
    <w:p w:rsidR="00311857" w:rsidP="00D25C91" w14:paraId="7CCBD242" w14:textId="77777777">
      <w:pPr>
        <w:pStyle w:val="Level1"/>
        <w:tabs>
          <w:tab w:val="left" w:pos="544"/>
        </w:tabs>
        <w:spacing w:line="259" w:lineRule="auto"/>
        <w:ind w:left="360"/>
      </w:pPr>
      <w:r>
        <w:t xml:space="preserve">While OCS does not mandate that LIHEAP grant recipients use a standard household application, we know that grant recipients collect many of the required Household Report data elements through their household application. The annual burden for the household application indicated </w:t>
      </w:r>
      <w:r>
        <w:t xml:space="preserve">in the following table </w:t>
      </w:r>
      <w:r>
        <w:t xml:space="preserve">accounts for the time it will take LIHEAP applicants to provide the data required by the current Household Report as well as the proposed demographic data elements. </w:t>
      </w:r>
    </w:p>
    <w:p w:rsidR="00311857" w:rsidP="00D25C91" w14:paraId="36AE7889" w14:textId="77777777">
      <w:pPr>
        <w:pStyle w:val="Level1"/>
        <w:tabs>
          <w:tab w:val="left" w:pos="544"/>
        </w:tabs>
        <w:spacing w:line="259" w:lineRule="auto"/>
        <w:ind w:left="360"/>
      </w:pPr>
    </w:p>
    <w:p w:rsidR="00D25C91" w:rsidRPr="00D25C91" w:rsidP="00AA0D20" w14:paraId="117C4AE4" w14:textId="16C2CE9D">
      <w:pPr>
        <w:pStyle w:val="Level1"/>
        <w:tabs>
          <w:tab w:val="left" w:pos="544"/>
        </w:tabs>
        <w:spacing w:line="259" w:lineRule="auto"/>
        <w:ind w:left="360"/>
      </w:pPr>
      <w:r>
        <w:t xml:space="preserve">For this request, </w:t>
      </w:r>
      <w:r w:rsidRPr="00992A54">
        <w:t xml:space="preserve">burden has been reduced by analyzing FY26 LIHEAP Model Plans to </w:t>
      </w:r>
      <w:r w:rsidRPr="00992A54">
        <w:t>calculate how grant recipients determine eligibility.  Based on LIHEAP Model Plans, </w:t>
      </w:r>
      <w:r w:rsidRPr="00D25C91">
        <w:t xml:space="preserve">25 of the 52 state grant recipients use categorical eligibility to determine LIHEAP household eligibility. LIHEAP categorical eligibility </w:t>
      </w:r>
      <w:r w:rsidRPr="00992A54">
        <w:t xml:space="preserve">makes a household automatically income-eligible for energy assistance if </w:t>
      </w:r>
      <w:r w:rsidRPr="00992A54">
        <w:rPr>
          <w:i/>
          <w:iCs/>
        </w:rPr>
        <w:t>any</w:t>
      </w:r>
      <w:r w:rsidRPr="00992A54">
        <w:t xml:space="preserve"> member receives benefits from programs like TANF, SNAP, or SSI, bypassing the typical income test, though income is still used to set benefit amounts. This simplifies and reduces the burden on households. Based on p</w:t>
      </w:r>
      <w:r w:rsidRPr="00D25C91">
        <w:t>ast average data, those 25 states make up about 55% of all assisted households. To calculate this burden, we used an estimate for the annual number of LIHEAP household applicants multiplied by an average of 1/3 of an hour to provide the data required by the Household Report.</w:t>
      </w:r>
    </w:p>
    <w:p w:rsidR="00D25C91" w:rsidP="00AA0D20" w14:paraId="55E56E4C" w14:textId="77777777">
      <w:pPr>
        <w:pStyle w:val="Level1"/>
        <w:tabs>
          <w:tab w:val="left" w:pos="544"/>
        </w:tabs>
        <w:ind w:left="360"/>
        <w:rPr>
          <w:szCs w:val="24"/>
        </w:rPr>
      </w:pPr>
    </w:p>
    <w:p w:rsidR="003E3E1B" w:rsidRPr="00693121" w:rsidP="00B73E4B" w14:paraId="2CE79414" w14:textId="5500B111">
      <w:pPr>
        <w:pStyle w:val="Level1"/>
        <w:tabs>
          <w:tab w:val="left" w:pos="360"/>
        </w:tabs>
        <w:spacing w:after="60"/>
        <w:ind w:left="360"/>
      </w:pPr>
      <w:r w:rsidRPr="00311857">
        <w:rPr>
          <w:i/>
          <w:iCs/>
        </w:rPr>
        <w:t>Estimated Cost to Respondents</w:t>
      </w:r>
    </w:p>
    <w:p w:rsidR="003E3E1B" w:rsidP="003E3E1B" w14:paraId="4B2899F5" w14:textId="03E17193">
      <w:pPr>
        <w:pStyle w:val="Level1"/>
        <w:tabs>
          <w:tab w:val="left" w:pos="360"/>
        </w:tabs>
        <w:ind w:left="360"/>
        <w:rPr>
          <w:szCs w:val="24"/>
        </w:rPr>
      </w:pPr>
      <w:r w:rsidRPr="008F7F56">
        <w:rPr>
          <w:szCs w:val="24"/>
        </w:rPr>
        <w:t>The average hourly wage used for State Grantees is</w:t>
      </w:r>
      <w:r>
        <w:rPr>
          <w:szCs w:val="24"/>
        </w:rPr>
        <w:t xml:space="preserve"> $86,</w:t>
      </w:r>
      <w:r w:rsidRPr="008F7F56">
        <w:rPr>
          <w:szCs w:val="24"/>
        </w:rPr>
        <w:t xml:space="preserve"> based on publicly available information on grantee staff salaries and assumed overhead costs. These data were compiled for the 2020 RECS LIHEAP Match (Control Number is 0970-0486) and adjusted to account for rate increases since 2019. </w:t>
      </w:r>
    </w:p>
    <w:p w:rsidR="003E3E1B" w:rsidP="003E3E1B" w14:paraId="1190A506" w14:textId="77777777">
      <w:pPr>
        <w:pStyle w:val="Level1"/>
        <w:tabs>
          <w:tab w:val="left" w:pos="360"/>
        </w:tabs>
        <w:ind w:left="360"/>
        <w:rPr>
          <w:szCs w:val="24"/>
        </w:rPr>
      </w:pPr>
    </w:p>
    <w:p w:rsidR="003E3E1B" w:rsidRPr="008F7F56" w:rsidP="00B73E4B" w14:paraId="49BEC55D" w14:textId="2EF76D2E">
      <w:pPr>
        <w:pStyle w:val="Level1"/>
        <w:tabs>
          <w:tab w:val="left" w:pos="360"/>
        </w:tabs>
        <w:ind w:left="360"/>
        <w:rPr>
          <w:szCs w:val="24"/>
        </w:rPr>
      </w:pPr>
      <w:r>
        <w:rPr>
          <w:szCs w:val="24"/>
        </w:rPr>
        <w:t xml:space="preserve">For household applicants, we used </w:t>
      </w:r>
      <w:r w:rsidR="00B47769">
        <w:rPr>
          <w:szCs w:val="24"/>
        </w:rPr>
        <w:t>a</w:t>
      </w:r>
      <w:r>
        <w:rPr>
          <w:szCs w:val="24"/>
        </w:rPr>
        <w:t xml:space="preserve"> national average for minimum wage, which is $11.18.</w:t>
      </w:r>
    </w:p>
    <w:p w:rsidR="003E3E1B" w:rsidRPr="00D25C91" w:rsidP="00AA0D20" w14:paraId="634D3C68" w14:textId="77777777">
      <w:pPr>
        <w:pStyle w:val="Level1"/>
        <w:tabs>
          <w:tab w:val="left" w:pos="544"/>
        </w:tabs>
        <w:ind w:left="360"/>
        <w:rPr>
          <w:szCs w:val="24"/>
        </w:rPr>
      </w:pPr>
    </w:p>
    <w:p w:rsidR="000C7A5D" w:rsidRPr="00693121" w:rsidP="00AA0D20" w14:paraId="44BC7F32" w14:textId="1EBA4ABF">
      <w:pPr>
        <w:pStyle w:val="Level1"/>
        <w:ind w:left="360"/>
      </w:pPr>
      <w:r w:rsidRPr="7BF046DB">
        <w:rPr>
          <w:szCs w:val="24"/>
        </w:rPr>
        <w:t>Annual Burden</w:t>
      </w:r>
      <w:r w:rsidR="003E3E1B">
        <w:rPr>
          <w:szCs w:val="24"/>
        </w:rPr>
        <w:t xml:space="preserve"> and Cost</w:t>
      </w:r>
      <w:r w:rsidRPr="7BF046DB">
        <w:rPr>
          <w:szCs w:val="24"/>
        </w:rPr>
        <w:t xml:space="preserve"> Estimates </w:t>
      </w:r>
    </w:p>
    <w:tbl>
      <w:tblPr>
        <w:tblW w:w="0" w:type="auto"/>
        <w:tblInd w:w="350" w:type="dxa"/>
        <w:tblLook w:val="06A0"/>
      </w:tblPr>
      <w:tblGrid>
        <w:gridCol w:w="1476"/>
        <w:gridCol w:w="1263"/>
        <w:gridCol w:w="1230"/>
        <w:gridCol w:w="1043"/>
        <w:gridCol w:w="1078"/>
        <w:gridCol w:w="1572"/>
        <w:gridCol w:w="1328"/>
      </w:tblGrid>
      <w:tr w14:paraId="538CD536" w14:textId="3E44252E" w:rsidTr="00B73E4B">
        <w:tblPrEx>
          <w:tblW w:w="0" w:type="auto"/>
          <w:tblInd w:w="350" w:type="dxa"/>
          <w:tblLook w:val="06A0"/>
        </w:tblPrEx>
        <w:trPr>
          <w:trHeight w:val="1140"/>
        </w:trPr>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tcPr>
          <w:p w:rsidR="00BC3F50" w:rsidRPr="00BC3F50" w:rsidP="00BC3F50" w14:paraId="24024D46" w14:textId="745751C9">
            <w:pPr>
              <w:rPr>
                <w:rFonts w:ascii="Times New Roman" w:hAnsi="Times New Roman"/>
              </w:rPr>
            </w:pPr>
            <w:r w:rsidRPr="00BC3F50">
              <w:rPr>
                <w:rFonts w:ascii="Times New Roman" w:hAnsi="Times New Roman"/>
              </w:rPr>
              <w:t>Instrument</w:t>
            </w:r>
          </w:p>
        </w:tc>
        <w:tc>
          <w:tcPr>
            <w:tcW w:w="11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tcPr>
          <w:p w:rsidR="00BC3F50" w:rsidRPr="00BC3F50" w:rsidP="00BC3F50" w14:paraId="4A886FFD" w14:textId="78DE1783">
            <w:pPr>
              <w:rPr>
                <w:rFonts w:ascii="Times New Roman" w:hAnsi="Times New Roman"/>
              </w:rPr>
            </w:pPr>
            <w:r w:rsidRPr="00BC3F50">
              <w:rPr>
                <w:rFonts w:ascii="Times New Roman" w:hAnsi="Times New Roman"/>
              </w:rPr>
              <w:t>Number of</w:t>
            </w:r>
          </w:p>
          <w:p w:rsidR="00BC3F50" w:rsidRPr="00BC3F50" w:rsidP="00BC3F50" w14:paraId="352872C9" w14:textId="01136D9B">
            <w:pPr>
              <w:rPr>
                <w:rFonts w:ascii="Times New Roman" w:hAnsi="Times New Roman"/>
              </w:rPr>
            </w:pPr>
            <w:r w:rsidRPr="00BC3F50">
              <w:rPr>
                <w:rFonts w:ascii="Times New Roman" w:hAnsi="Times New Roman"/>
              </w:rPr>
              <w:t>Respondents</w:t>
            </w:r>
          </w:p>
        </w:tc>
        <w:tc>
          <w:tcPr>
            <w:tcW w:w="12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tcPr>
          <w:p w:rsidR="00BC3F50" w:rsidRPr="00BC3F50" w:rsidP="00BC3F50" w14:paraId="17B1EB2B" w14:textId="0D19DC80">
            <w:pPr>
              <w:rPr>
                <w:rFonts w:ascii="Times New Roman" w:hAnsi="Times New Roman"/>
              </w:rPr>
            </w:pPr>
            <w:r w:rsidRPr="00BC3F50">
              <w:rPr>
                <w:rFonts w:ascii="Times New Roman" w:hAnsi="Times New Roman"/>
              </w:rPr>
              <w:t>Annual Number of Responses Per Respondent</w:t>
            </w:r>
          </w:p>
        </w:tc>
        <w:tc>
          <w:tcPr>
            <w:tcW w:w="105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tcPr>
          <w:p w:rsidR="00BC3F50" w:rsidRPr="00BC3F50" w:rsidP="00BC3F50" w14:paraId="0C8130A0" w14:textId="2A4E09DA">
            <w:pPr>
              <w:rPr>
                <w:rFonts w:ascii="Times New Roman" w:hAnsi="Times New Roman"/>
              </w:rPr>
            </w:pPr>
            <w:r w:rsidRPr="00BC3F50">
              <w:rPr>
                <w:rFonts w:ascii="Times New Roman" w:hAnsi="Times New Roman"/>
              </w:rPr>
              <w:t>Average Hour Burden Per Response</w:t>
            </w:r>
          </w:p>
        </w:tc>
        <w:tc>
          <w:tcPr>
            <w:tcW w:w="10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tcPr>
          <w:p w:rsidR="00BC3F50" w:rsidRPr="00BC3F50" w:rsidP="00BC3F50" w14:paraId="3CE182DE" w14:textId="54255330">
            <w:pPr>
              <w:rPr>
                <w:rFonts w:ascii="Times New Roman" w:hAnsi="Times New Roman"/>
              </w:rPr>
            </w:pPr>
            <w:r w:rsidRPr="00BC3F50">
              <w:rPr>
                <w:rFonts w:ascii="Times New Roman" w:hAnsi="Times New Roman"/>
              </w:rPr>
              <w:t>Annual Burden Hours</w:t>
            </w:r>
          </w:p>
        </w:tc>
        <w:tc>
          <w:tcPr>
            <w:tcW w:w="15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BC3F50" w:rsidRPr="00BC3F50" w:rsidP="00BC3F50" w14:paraId="2A363FF7" w14:textId="33402ABF">
            <w:pPr>
              <w:rPr>
                <w:rFonts w:ascii="Times New Roman" w:hAnsi="Times New Roman"/>
              </w:rPr>
            </w:pPr>
            <w:r w:rsidRPr="00BC3F50">
              <w:rPr>
                <w:rFonts w:ascii="Times New Roman" w:hAnsi="Times New Roman"/>
              </w:rPr>
              <w:t>Average Hourly Wage </w:t>
            </w:r>
          </w:p>
        </w:tc>
        <w:tc>
          <w:tcPr>
            <w:tcW w:w="134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BC3F50" w:rsidRPr="00BC3F50" w:rsidP="00BC3F50" w14:paraId="575335D8" w14:textId="3FB4BFB9">
            <w:pPr>
              <w:rPr>
                <w:rFonts w:ascii="Times New Roman" w:hAnsi="Times New Roman"/>
              </w:rPr>
            </w:pPr>
            <w:r w:rsidRPr="00BC3F50">
              <w:rPr>
                <w:rFonts w:ascii="Times New Roman" w:hAnsi="Times New Roman"/>
              </w:rPr>
              <w:t>Total Annual Cost </w:t>
            </w:r>
          </w:p>
        </w:tc>
      </w:tr>
      <w:tr w14:paraId="43746D53" w14:textId="2E457B08" w:rsidTr="003E3E1B">
        <w:tblPrEx>
          <w:tblW w:w="0" w:type="auto"/>
          <w:tblInd w:w="350" w:type="dxa"/>
          <w:tblLook w:val="06A0"/>
        </w:tblPrEx>
        <w:trPr>
          <w:trHeight w:val="300"/>
        </w:trPr>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vAlign w:val="center"/>
          </w:tcPr>
          <w:p w:rsidR="00BC3F50" w:rsidRPr="00BC3F50" w:rsidP="003E3E1B" w14:paraId="6E02B818" w14:textId="5E71E9EB">
            <w:pPr>
              <w:rPr>
                <w:rFonts w:ascii="Times New Roman" w:hAnsi="Times New Roman"/>
              </w:rPr>
            </w:pPr>
            <w:r w:rsidRPr="00BC3F50">
              <w:rPr>
                <w:rFonts w:ascii="Times New Roman" w:hAnsi="Times New Roman"/>
              </w:rPr>
              <w:t xml:space="preserve">Long Format </w:t>
            </w:r>
          </w:p>
        </w:tc>
        <w:tc>
          <w:tcPr>
            <w:tcW w:w="11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vAlign w:val="center"/>
          </w:tcPr>
          <w:p w:rsidR="00BC3F50" w:rsidRPr="00BC3F50" w:rsidP="003E3E1B" w14:paraId="0BF4E180" w14:textId="29893F93">
            <w:pPr>
              <w:jc w:val="center"/>
              <w:rPr>
                <w:rFonts w:ascii="Times New Roman" w:hAnsi="Times New Roman"/>
              </w:rPr>
            </w:pPr>
            <w:r w:rsidRPr="00BC3F50">
              <w:rPr>
                <w:rFonts w:ascii="Times New Roman" w:hAnsi="Times New Roman"/>
              </w:rPr>
              <w:t>52</w:t>
            </w:r>
          </w:p>
        </w:tc>
        <w:tc>
          <w:tcPr>
            <w:tcW w:w="12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vAlign w:val="center"/>
          </w:tcPr>
          <w:p w:rsidR="00BC3F50" w:rsidRPr="00BC3F50" w:rsidP="003E3E1B" w14:paraId="56D72237" w14:textId="6535E988">
            <w:pPr>
              <w:jc w:val="center"/>
              <w:rPr>
                <w:rFonts w:ascii="Times New Roman" w:hAnsi="Times New Roman"/>
              </w:rPr>
            </w:pPr>
            <w:r w:rsidRPr="00BC3F50">
              <w:rPr>
                <w:rFonts w:ascii="Times New Roman" w:hAnsi="Times New Roman"/>
              </w:rPr>
              <w:t>1</w:t>
            </w:r>
          </w:p>
        </w:tc>
        <w:tc>
          <w:tcPr>
            <w:tcW w:w="105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vAlign w:val="center"/>
          </w:tcPr>
          <w:p w:rsidR="00BC3F50" w:rsidRPr="00BC3F50" w:rsidP="003E3E1B" w14:paraId="51E6BB7A" w14:textId="54A637E3">
            <w:pPr>
              <w:jc w:val="center"/>
              <w:rPr>
                <w:rFonts w:ascii="Times New Roman" w:hAnsi="Times New Roman"/>
              </w:rPr>
            </w:pPr>
            <w:r w:rsidRPr="00BC3F50">
              <w:rPr>
                <w:rFonts w:ascii="Times New Roman" w:hAnsi="Times New Roman"/>
              </w:rPr>
              <w:t>41</w:t>
            </w:r>
          </w:p>
        </w:tc>
        <w:tc>
          <w:tcPr>
            <w:tcW w:w="10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vAlign w:val="center"/>
          </w:tcPr>
          <w:p w:rsidR="00BC3F50" w:rsidRPr="00BC3F50" w:rsidP="003E3E1B" w14:paraId="2069F046" w14:textId="6AF2465B">
            <w:pPr>
              <w:jc w:val="center"/>
              <w:rPr>
                <w:rFonts w:ascii="Times New Roman" w:hAnsi="Times New Roman"/>
              </w:rPr>
            </w:pPr>
            <w:r w:rsidRPr="00BC3F50">
              <w:rPr>
                <w:rFonts w:ascii="Times New Roman" w:hAnsi="Times New Roman"/>
              </w:rPr>
              <w:t>2,132</w:t>
            </w:r>
          </w:p>
        </w:tc>
        <w:tc>
          <w:tcPr>
            <w:tcW w:w="15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BC3F50" w:rsidRPr="00BC3F50" w:rsidP="003E3E1B" w14:paraId="129BF012" w14:textId="127688D2">
            <w:pPr>
              <w:jc w:val="center"/>
              <w:rPr>
                <w:rFonts w:ascii="Times New Roman" w:hAnsi="Times New Roman"/>
              </w:rPr>
            </w:pPr>
            <w:r w:rsidRPr="00BC3F50">
              <w:rPr>
                <w:rFonts w:ascii="Times New Roman" w:hAnsi="Times New Roman"/>
              </w:rPr>
              <w:t>$86</w:t>
            </w:r>
          </w:p>
        </w:tc>
        <w:tc>
          <w:tcPr>
            <w:tcW w:w="134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BC3F50" w:rsidRPr="00BC3F50" w:rsidP="003E3E1B" w14:paraId="3A8DBA66" w14:textId="2ED8BEBB">
            <w:pPr>
              <w:jc w:val="center"/>
              <w:rPr>
                <w:rFonts w:ascii="Times New Roman" w:hAnsi="Times New Roman"/>
              </w:rPr>
            </w:pPr>
            <w:r w:rsidRPr="00BC3F50">
              <w:rPr>
                <w:rFonts w:ascii="Times New Roman" w:hAnsi="Times New Roman"/>
              </w:rPr>
              <w:t>$4,545,424</w:t>
            </w:r>
          </w:p>
        </w:tc>
      </w:tr>
      <w:tr w14:paraId="08751432" w14:textId="6A34A262" w:rsidTr="003E3E1B">
        <w:tblPrEx>
          <w:tblW w:w="0" w:type="auto"/>
          <w:tblInd w:w="350" w:type="dxa"/>
          <w:tblLook w:val="06A0"/>
        </w:tblPrEx>
        <w:trPr>
          <w:trHeight w:val="405"/>
        </w:trPr>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vAlign w:val="center"/>
          </w:tcPr>
          <w:p w:rsidR="00BC3F50" w:rsidRPr="00BC3F50" w:rsidP="003E3E1B" w14:paraId="24B100A7" w14:textId="33FCC17B">
            <w:pPr>
              <w:rPr>
                <w:rFonts w:ascii="Times New Roman" w:hAnsi="Times New Roman"/>
              </w:rPr>
            </w:pPr>
            <w:r w:rsidRPr="00BC3F50">
              <w:rPr>
                <w:rFonts w:ascii="Times New Roman" w:hAnsi="Times New Roman"/>
              </w:rPr>
              <w:t>Short Format</w:t>
            </w:r>
          </w:p>
        </w:tc>
        <w:tc>
          <w:tcPr>
            <w:tcW w:w="11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vAlign w:val="center"/>
          </w:tcPr>
          <w:p w:rsidR="00BC3F50" w:rsidRPr="00BC3F50" w:rsidP="003E3E1B" w14:paraId="4256B813" w14:textId="5C9BFF42">
            <w:pPr>
              <w:jc w:val="center"/>
              <w:rPr>
                <w:rFonts w:ascii="Times New Roman" w:hAnsi="Times New Roman"/>
              </w:rPr>
            </w:pPr>
            <w:r w:rsidRPr="00BC3F50">
              <w:rPr>
                <w:rFonts w:ascii="Times New Roman" w:hAnsi="Times New Roman"/>
              </w:rPr>
              <w:t>133</w:t>
            </w:r>
          </w:p>
        </w:tc>
        <w:tc>
          <w:tcPr>
            <w:tcW w:w="12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vAlign w:val="center"/>
          </w:tcPr>
          <w:p w:rsidR="00BC3F50" w:rsidRPr="00BC3F50" w:rsidP="003E3E1B" w14:paraId="4F7C20E8" w14:textId="0E24126C">
            <w:pPr>
              <w:jc w:val="center"/>
              <w:rPr>
                <w:rFonts w:ascii="Times New Roman" w:hAnsi="Times New Roman"/>
              </w:rPr>
            </w:pPr>
            <w:r w:rsidRPr="00BC3F50">
              <w:rPr>
                <w:rFonts w:ascii="Times New Roman" w:hAnsi="Times New Roman"/>
              </w:rPr>
              <w:t>1</w:t>
            </w:r>
          </w:p>
        </w:tc>
        <w:tc>
          <w:tcPr>
            <w:tcW w:w="105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vAlign w:val="center"/>
          </w:tcPr>
          <w:p w:rsidR="00BC3F50" w:rsidRPr="00BC3F50" w:rsidP="003E3E1B" w14:paraId="02993FDA" w14:textId="16477D86">
            <w:pPr>
              <w:jc w:val="center"/>
              <w:rPr>
                <w:rFonts w:ascii="Times New Roman" w:hAnsi="Times New Roman"/>
              </w:rPr>
            </w:pPr>
            <w:r w:rsidRPr="00BC3F50">
              <w:rPr>
                <w:rFonts w:ascii="Times New Roman" w:hAnsi="Times New Roman"/>
              </w:rPr>
              <w:t>6</w:t>
            </w:r>
          </w:p>
        </w:tc>
        <w:tc>
          <w:tcPr>
            <w:tcW w:w="10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vAlign w:val="center"/>
          </w:tcPr>
          <w:p w:rsidR="00BC3F50" w:rsidRPr="00BC3F50" w:rsidP="003E3E1B" w14:paraId="67F0C57D" w14:textId="7E202F7B">
            <w:pPr>
              <w:jc w:val="center"/>
              <w:rPr>
                <w:rFonts w:ascii="Times New Roman" w:hAnsi="Times New Roman"/>
              </w:rPr>
            </w:pPr>
            <w:r w:rsidRPr="00BC3F50">
              <w:rPr>
                <w:rFonts w:ascii="Times New Roman" w:hAnsi="Times New Roman"/>
              </w:rPr>
              <w:t>798</w:t>
            </w:r>
          </w:p>
        </w:tc>
        <w:tc>
          <w:tcPr>
            <w:tcW w:w="15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BC3F50" w:rsidRPr="00BC3F50" w:rsidP="003E3E1B" w14:paraId="0790D04C" w14:textId="24EFA58C">
            <w:pPr>
              <w:jc w:val="center"/>
              <w:rPr>
                <w:rFonts w:ascii="Times New Roman" w:hAnsi="Times New Roman"/>
              </w:rPr>
            </w:pPr>
            <w:r w:rsidRPr="00BC3F50">
              <w:rPr>
                <w:rFonts w:ascii="Times New Roman" w:hAnsi="Times New Roman"/>
              </w:rPr>
              <w:t>$86</w:t>
            </w:r>
          </w:p>
        </w:tc>
        <w:tc>
          <w:tcPr>
            <w:tcW w:w="134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BC3F50" w:rsidRPr="00BC3F50" w:rsidP="003E3E1B" w14:paraId="004686D0" w14:textId="47AD48DF">
            <w:pPr>
              <w:jc w:val="center"/>
              <w:rPr>
                <w:rFonts w:ascii="Times New Roman" w:hAnsi="Times New Roman"/>
              </w:rPr>
            </w:pPr>
            <w:r w:rsidRPr="00BC3F50">
              <w:rPr>
                <w:rFonts w:ascii="Times New Roman" w:hAnsi="Times New Roman"/>
              </w:rPr>
              <w:t>$68,628</w:t>
            </w:r>
          </w:p>
        </w:tc>
      </w:tr>
      <w:tr w14:paraId="45E4E71E" w14:textId="2CAE7AAF" w:rsidTr="003E3E1B">
        <w:tblPrEx>
          <w:tblW w:w="0" w:type="auto"/>
          <w:tblInd w:w="350" w:type="dxa"/>
          <w:tblLook w:val="06A0"/>
        </w:tblPrEx>
        <w:trPr>
          <w:trHeight w:val="405"/>
        </w:trPr>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vAlign w:val="center"/>
          </w:tcPr>
          <w:p w:rsidR="00BC3F50" w:rsidRPr="00BC3F50" w:rsidP="003E3E1B" w14:paraId="6F88A47B" w14:textId="7ABBF668">
            <w:pPr>
              <w:rPr>
                <w:rFonts w:ascii="Times New Roman" w:hAnsi="Times New Roman"/>
              </w:rPr>
            </w:pPr>
            <w:r w:rsidRPr="00BC3F50">
              <w:rPr>
                <w:rFonts w:ascii="Times New Roman" w:hAnsi="Times New Roman"/>
              </w:rPr>
              <w:t>Household Application*</w:t>
            </w:r>
          </w:p>
        </w:tc>
        <w:tc>
          <w:tcPr>
            <w:tcW w:w="11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vAlign w:val="center"/>
          </w:tcPr>
          <w:p w:rsidR="00BC3F50" w:rsidRPr="00BC3F50" w:rsidP="003E3E1B" w14:paraId="7FFD274F" w14:textId="4E062CA7">
            <w:pPr>
              <w:jc w:val="center"/>
              <w:rPr>
                <w:rFonts w:ascii="Times New Roman" w:hAnsi="Times New Roman"/>
              </w:rPr>
            </w:pPr>
            <w:r w:rsidRPr="00BC3F50">
              <w:rPr>
                <w:rFonts w:ascii="Times New Roman" w:hAnsi="Times New Roman"/>
              </w:rPr>
              <w:t>6,160,000</w:t>
            </w:r>
          </w:p>
        </w:tc>
        <w:tc>
          <w:tcPr>
            <w:tcW w:w="12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vAlign w:val="center"/>
          </w:tcPr>
          <w:p w:rsidR="00BC3F50" w:rsidRPr="00BC3F50" w:rsidP="003E3E1B" w14:paraId="3BD09157" w14:textId="739F88E2">
            <w:pPr>
              <w:jc w:val="center"/>
              <w:rPr>
                <w:rFonts w:ascii="Times New Roman" w:hAnsi="Times New Roman"/>
              </w:rPr>
            </w:pPr>
            <w:r w:rsidRPr="00BC3F50">
              <w:rPr>
                <w:rFonts w:ascii="Times New Roman" w:hAnsi="Times New Roman"/>
              </w:rPr>
              <w:t>1</w:t>
            </w:r>
          </w:p>
        </w:tc>
        <w:tc>
          <w:tcPr>
            <w:tcW w:w="105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vAlign w:val="center"/>
          </w:tcPr>
          <w:p w:rsidR="00BC3F50" w:rsidRPr="00BC3F50" w:rsidP="003E3E1B" w14:paraId="5EF914D2" w14:textId="02C550CB">
            <w:pPr>
              <w:jc w:val="center"/>
              <w:rPr>
                <w:rFonts w:ascii="Times New Roman" w:hAnsi="Times New Roman"/>
              </w:rPr>
            </w:pPr>
            <w:r w:rsidRPr="00BC3F50">
              <w:rPr>
                <w:rFonts w:ascii="Times New Roman" w:hAnsi="Times New Roman"/>
              </w:rPr>
              <w:t>.31</w:t>
            </w:r>
          </w:p>
        </w:tc>
        <w:tc>
          <w:tcPr>
            <w:tcW w:w="10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vAlign w:val="center"/>
          </w:tcPr>
          <w:p w:rsidR="00BC3F50" w:rsidRPr="00BC3F50" w:rsidP="003E3E1B" w14:paraId="238B5238" w14:textId="5F7F170D">
            <w:pPr>
              <w:jc w:val="center"/>
              <w:rPr>
                <w:rFonts w:ascii="Times New Roman" w:hAnsi="Times New Roman"/>
              </w:rPr>
            </w:pPr>
            <w:r w:rsidRPr="00BC3F50">
              <w:rPr>
                <w:rFonts w:ascii="Times New Roman" w:hAnsi="Times New Roman"/>
              </w:rPr>
              <w:t>1,848,000</w:t>
            </w:r>
          </w:p>
        </w:tc>
        <w:tc>
          <w:tcPr>
            <w:tcW w:w="15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BC3F50" w:rsidRPr="00BC3F50" w:rsidP="003E3E1B" w14:paraId="1294709D" w14:textId="46CB4535">
            <w:pPr>
              <w:jc w:val="center"/>
              <w:rPr>
                <w:rFonts w:ascii="Times New Roman" w:hAnsi="Times New Roman"/>
              </w:rPr>
            </w:pPr>
            <w:r w:rsidRPr="00BC3F50">
              <w:rPr>
                <w:rFonts w:ascii="Times New Roman" w:hAnsi="Times New Roman"/>
              </w:rPr>
              <w:t>$11.18</w:t>
            </w:r>
          </w:p>
        </w:tc>
        <w:tc>
          <w:tcPr>
            <w:tcW w:w="134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BC3F50" w:rsidRPr="00BC3F50" w:rsidP="003E3E1B" w14:paraId="3CA549FE" w14:textId="05F3DDA5">
            <w:pPr>
              <w:jc w:val="center"/>
              <w:rPr>
                <w:rFonts w:ascii="Times New Roman" w:hAnsi="Times New Roman"/>
              </w:rPr>
            </w:pPr>
            <w:r w:rsidRPr="00BC3F50">
              <w:rPr>
                <w:rFonts w:ascii="Times New Roman" w:hAnsi="Times New Roman"/>
              </w:rPr>
              <w:t>$20,660,640</w:t>
            </w:r>
          </w:p>
        </w:tc>
      </w:tr>
      <w:tr w14:paraId="0D864B81" w14:textId="2C1462E7" w:rsidTr="003E3E1B">
        <w:tblPrEx>
          <w:tblW w:w="0" w:type="auto"/>
          <w:tblInd w:w="350" w:type="dxa"/>
          <w:tblLook w:val="06A0"/>
        </w:tblPrEx>
        <w:trPr>
          <w:trHeight w:val="405"/>
        </w:trPr>
        <w:tc>
          <w:tcPr>
            <w:tcW w:w="497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vAlign w:val="center"/>
          </w:tcPr>
          <w:p w:rsidR="00BC3F50" w:rsidRPr="00BC3F50" w:rsidP="00B73E4B" w14:paraId="19C6FAF8" w14:textId="5F555B42">
            <w:pPr>
              <w:jc w:val="right"/>
              <w:rPr>
                <w:rFonts w:ascii="Times New Roman" w:hAnsi="Times New Roman"/>
              </w:rPr>
            </w:pPr>
            <w:r w:rsidRPr="00BC3F50">
              <w:rPr>
                <w:rFonts w:ascii="Times New Roman" w:hAnsi="Times New Roman"/>
              </w:rPr>
              <w:t xml:space="preserve">Total Annual Burden Hours and Costs: </w:t>
            </w:r>
          </w:p>
        </w:tc>
        <w:tc>
          <w:tcPr>
            <w:tcW w:w="1089" w:type="dxa"/>
            <w:tcBorders>
              <w:top w:val="single" w:sz="8" w:space="0" w:color="000000" w:themeColor="text1"/>
              <w:left w:val="nil"/>
              <w:bottom w:val="single" w:sz="8" w:space="0" w:color="000000" w:themeColor="text1"/>
              <w:right w:val="single" w:sz="8" w:space="0" w:color="000000" w:themeColor="text1"/>
            </w:tcBorders>
            <w:tcMar>
              <w:left w:w="120" w:type="dxa"/>
              <w:right w:w="120" w:type="dxa"/>
            </w:tcMar>
            <w:vAlign w:val="center"/>
          </w:tcPr>
          <w:p w:rsidR="00BC3F50" w:rsidRPr="00BC3F50" w:rsidP="00B73E4B" w14:paraId="25435BA8" w14:textId="11E5A7E0">
            <w:pPr>
              <w:jc w:val="center"/>
              <w:rPr>
                <w:rFonts w:ascii="Times New Roman" w:hAnsi="Times New Roman"/>
              </w:rPr>
            </w:pPr>
            <w:r w:rsidRPr="00BC3F50">
              <w:rPr>
                <w:rFonts w:ascii="Times New Roman" w:hAnsi="Times New Roman"/>
              </w:rPr>
              <w:t>1,850,930</w:t>
            </w:r>
          </w:p>
        </w:tc>
        <w:tc>
          <w:tcPr>
            <w:tcW w:w="1589" w:type="dxa"/>
            <w:tcBorders>
              <w:top w:val="single" w:sz="8" w:space="0" w:color="000000" w:themeColor="text1"/>
              <w:left w:val="nil"/>
              <w:bottom w:val="single" w:sz="8" w:space="0" w:color="000000" w:themeColor="text1"/>
              <w:right w:val="single" w:sz="8" w:space="0" w:color="000000" w:themeColor="text1"/>
            </w:tcBorders>
            <w:vAlign w:val="center"/>
          </w:tcPr>
          <w:p w:rsidR="00BC3F50" w:rsidRPr="00BC3F50" w:rsidP="00B73E4B" w14:paraId="152CF4BF" w14:textId="2D600387">
            <w:pPr>
              <w:jc w:val="center"/>
              <w:rPr>
                <w:rFonts w:ascii="Times New Roman" w:hAnsi="Times New Roman"/>
              </w:rPr>
            </w:pPr>
            <w:r>
              <w:rPr>
                <w:rFonts w:ascii="Times New Roman" w:hAnsi="Times New Roman"/>
              </w:rPr>
              <w:t>-</w:t>
            </w:r>
          </w:p>
        </w:tc>
        <w:tc>
          <w:tcPr>
            <w:tcW w:w="1342" w:type="dxa"/>
            <w:tcBorders>
              <w:top w:val="single" w:sz="8" w:space="0" w:color="000000" w:themeColor="text1"/>
              <w:left w:val="nil"/>
              <w:bottom w:val="single" w:sz="8" w:space="0" w:color="000000" w:themeColor="text1"/>
              <w:right w:val="single" w:sz="8" w:space="0" w:color="000000" w:themeColor="text1"/>
            </w:tcBorders>
            <w:vAlign w:val="center"/>
          </w:tcPr>
          <w:p w:rsidR="00BC3F50" w:rsidRPr="00BC3F50" w:rsidP="00B73E4B" w14:paraId="2522F24A" w14:textId="23852ED7">
            <w:pPr>
              <w:jc w:val="center"/>
              <w:rPr>
                <w:rFonts w:ascii="Times New Roman" w:hAnsi="Times New Roman"/>
              </w:rPr>
            </w:pPr>
            <w:r w:rsidRPr="00BC3F50">
              <w:rPr>
                <w:rFonts w:ascii="Times New Roman" w:hAnsi="Times New Roman"/>
              </w:rPr>
              <w:t>$25,274,692</w:t>
            </w:r>
          </w:p>
        </w:tc>
      </w:tr>
    </w:tbl>
    <w:p w:rsidR="00D60543" w:rsidP="00DE529D" w14:paraId="1ABFC6B1" w14:textId="77777777">
      <w:pPr>
        <w:widowControl/>
        <w:ind w:left="360"/>
        <w:rPr>
          <w:rFonts w:ascii="Times New Roman" w:hAnsi="Times New Roman"/>
          <w:snapToGrid/>
          <w:sz w:val="24"/>
          <w:szCs w:val="24"/>
        </w:rPr>
      </w:pPr>
    </w:p>
    <w:p w:rsidR="00483150" w:rsidP="00DE529D" w14:paraId="4A363317" w14:textId="77777777">
      <w:pPr>
        <w:widowControl/>
        <w:ind w:left="360"/>
        <w:rPr>
          <w:rFonts w:ascii="Times New Roman" w:hAnsi="Times New Roman"/>
          <w:snapToGrid/>
          <w:sz w:val="24"/>
          <w:szCs w:val="24"/>
        </w:rPr>
      </w:pPr>
    </w:p>
    <w:p w:rsidR="00D60543" w:rsidRPr="00075889" w:rsidP="00075889" w14:paraId="1C52DB7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D60543" w:rsidP="00DE529D" w14:paraId="31B9289C" w14:textId="77777777">
      <w:pPr>
        <w:widowControl/>
        <w:ind w:left="360"/>
        <w:rPr>
          <w:rFonts w:ascii="Times New Roman" w:hAnsi="Times New Roman"/>
          <w:snapToGrid/>
          <w:sz w:val="24"/>
          <w:szCs w:val="24"/>
        </w:rPr>
      </w:pPr>
      <w:r w:rsidRPr="008B0B63">
        <w:rPr>
          <w:rFonts w:ascii="Times New Roman" w:hAnsi="Times New Roman"/>
          <w:snapToGrid/>
          <w:sz w:val="24"/>
          <w:szCs w:val="24"/>
        </w:rPr>
        <w:t>Respondents will not incur any additional record keeping costs.</w:t>
      </w:r>
    </w:p>
    <w:p w:rsidR="008B0B63" w:rsidP="00DE529D" w14:paraId="2757C91B" w14:textId="77777777">
      <w:pPr>
        <w:widowControl/>
        <w:ind w:left="360"/>
        <w:rPr>
          <w:rFonts w:ascii="Times New Roman" w:hAnsi="Times New Roman"/>
          <w:snapToGrid/>
          <w:sz w:val="24"/>
          <w:szCs w:val="24"/>
        </w:rPr>
      </w:pPr>
    </w:p>
    <w:p w:rsidR="00483150" w:rsidP="00DE529D" w14:paraId="6DCAE1E1" w14:textId="77777777">
      <w:pPr>
        <w:widowControl/>
        <w:ind w:left="360"/>
        <w:rPr>
          <w:rFonts w:ascii="Times New Roman" w:hAnsi="Times New Roman"/>
          <w:snapToGrid/>
          <w:sz w:val="24"/>
          <w:szCs w:val="24"/>
        </w:rPr>
      </w:pPr>
    </w:p>
    <w:p w:rsidR="008F7F56" w:rsidRPr="00D86375" w:rsidP="00D86375" w14:paraId="1B48631C" w14:textId="77777777">
      <w:pPr>
        <w:widowControl/>
        <w:numPr>
          <w:ilvl w:val="0"/>
          <w:numId w:val="3"/>
        </w:numPr>
        <w:tabs>
          <w:tab w:val="num" w:pos="360"/>
        </w:tabs>
        <w:spacing w:after="120"/>
        <w:ind w:left="360"/>
        <w:rPr>
          <w:rFonts w:ascii="Times New Roman" w:hAnsi="Times New Roman"/>
          <w:b/>
          <w:snapToGrid/>
          <w:sz w:val="24"/>
          <w:szCs w:val="24"/>
        </w:rPr>
      </w:pPr>
      <w:r w:rsidRPr="00D86375">
        <w:rPr>
          <w:rFonts w:ascii="Times New Roman" w:hAnsi="Times New Roman"/>
          <w:b/>
          <w:snapToGrid/>
          <w:sz w:val="24"/>
          <w:szCs w:val="24"/>
        </w:rPr>
        <w:t>A</w:t>
      </w:r>
      <w:r w:rsidRPr="00D86375" w:rsidR="002C3C4F">
        <w:rPr>
          <w:rFonts w:ascii="Times New Roman" w:hAnsi="Times New Roman"/>
          <w:b/>
          <w:snapToGrid/>
          <w:sz w:val="24"/>
          <w:szCs w:val="24"/>
        </w:rPr>
        <w:t xml:space="preserve">nnualized Cost to the Federal Government </w:t>
      </w:r>
    </w:p>
    <w:p w:rsidR="008F7F56" w:rsidP="18256126" w14:paraId="430EF214" w14:textId="651F762D">
      <w:pPr>
        <w:widowControl/>
        <w:spacing w:after="120"/>
        <w:ind w:firstLine="360"/>
        <w:rPr>
          <w:rFonts w:ascii="Times New Roman" w:hAnsi="Times New Roman"/>
          <w:snapToGrid/>
          <w:sz w:val="24"/>
          <w:szCs w:val="24"/>
        </w:rPr>
      </w:pPr>
      <w:r w:rsidRPr="18256126">
        <w:rPr>
          <w:rFonts w:ascii="Times New Roman" w:hAnsi="Times New Roman"/>
          <w:snapToGrid/>
          <w:sz w:val="24"/>
          <w:szCs w:val="24"/>
        </w:rPr>
        <w:t xml:space="preserve">Federal </w:t>
      </w:r>
      <w:r w:rsidRPr="18256126" w:rsidR="004230BF">
        <w:rPr>
          <w:rFonts w:ascii="Times New Roman" w:hAnsi="Times New Roman"/>
          <w:snapToGrid/>
          <w:sz w:val="24"/>
          <w:szCs w:val="24"/>
        </w:rPr>
        <w:t>g</w:t>
      </w:r>
      <w:r w:rsidRPr="18256126">
        <w:rPr>
          <w:rFonts w:ascii="Times New Roman" w:hAnsi="Times New Roman"/>
          <w:snapToGrid/>
          <w:sz w:val="24"/>
          <w:szCs w:val="24"/>
        </w:rPr>
        <w:t xml:space="preserve">overnment </w:t>
      </w:r>
      <w:r w:rsidRPr="18256126" w:rsidR="004230BF">
        <w:rPr>
          <w:rFonts w:ascii="Times New Roman" w:hAnsi="Times New Roman"/>
          <w:snapToGrid/>
          <w:sz w:val="24"/>
          <w:szCs w:val="24"/>
        </w:rPr>
        <w:t>s</w:t>
      </w:r>
      <w:r w:rsidRPr="18256126">
        <w:rPr>
          <w:rFonts w:ascii="Times New Roman" w:hAnsi="Times New Roman"/>
          <w:snapToGrid/>
          <w:sz w:val="24"/>
          <w:szCs w:val="24"/>
        </w:rPr>
        <w:t>taff tasks associated with the collection of these data include:</w:t>
      </w:r>
    </w:p>
    <w:p w:rsidR="00A24C09" w:rsidRPr="00D86375" w:rsidP="00D86375" w14:paraId="2F69B8FE" w14:textId="58965CED">
      <w:pPr>
        <w:pStyle w:val="ListParagraph"/>
        <w:widowControl/>
        <w:numPr>
          <w:ilvl w:val="0"/>
          <w:numId w:val="26"/>
        </w:numPr>
        <w:spacing w:after="120"/>
        <w:rPr>
          <w:rFonts w:ascii="Times New Roman" w:hAnsi="Times New Roman"/>
          <w:bCs/>
          <w:snapToGrid/>
          <w:sz w:val="24"/>
          <w:szCs w:val="24"/>
        </w:rPr>
      </w:pPr>
      <w:r w:rsidRPr="00D86375">
        <w:rPr>
          <w:rFonts w:ascii="Times New Roman" w:hAnsi="Times New Roman"/>
          <w:bCs/>
          <w:snapToGrid/>
          <w:sz w:val="24"/>
          <w:szCs w:val="24"/>
        </w:rPr>
        <w:t>Preparing the Action Transmittal reminding grant recipients of posting requirements.</w:t>
      </w:r>
    </w:p>
    <w:p w:rsidR="00A24C09" w:rsidP="00483150" w14:paraId="05EAA5F1" w14:textId="77777777">
      <w:pPr>
        <w:pStyle w:val="ListParagraph"/>
        <w:widowControl/>
        <w:numPr>
          <w:ilvl w:val="0"/>
          <w:numId w:val="26"/>
        </w:numPr>
        <w:rPr>
          <w:rFonts w:ascii="Times New Roman" w:hAnsi="Times New Roman"/>
          <w:bCs/>
          <w:snapToGrid/>
          <w:sz w:val="24"/>
          <w:szCs w:val="24"/>
        </w:rPr>
      </w:pPr>
      <w:r w:rsidRPr="00D86375">
        <w:rPr>
          <w:rFonts w:ascii="Times New Roman" w:hAnsi="Times New Roman"/>
          <w:bCs/>
          <w:snapToGrid/>
          <w:sz w:val="24"/>
          <w:szCs w:val="24"/>
        </w:rPr>
        <w:t>Overseeing the work of the contractor.</w:t>
      </w:r>
    </w:p>
    <w:p w:rsidR="00483150" w:rsidP="00483150" w14:paraId="15ECD4D6" w14:textId="77777777">
      <w:pPr>
        <w:pStyle w:val="ListParagraph"/>
        <w:widowControl/>
        <w:rPr>
          <w:rFonts w:ascii="Times New Roman" w:hAnsi="Times New Roman"/>
          <w:bCs/>
          <w:snapToGrid/>
          <w:sz w:val="24"/>
          <w:szCs w:val="24"/>
        </w:rPr>
      </w:pPr>
    </w:p>
    <w:p w:rsidR="008F7F56" w:rsidRPr="00D86375" w:rsidP="00483150" w14:paraId="39ADD7C1" w14:textId="77777777">
      <w:pPr>
        <w:widowControl/>
        <w:spacing w:after="120"/>
        <w:ind w:left="360"/>
        <w:rPr>
          <w:rFonts w:ascii="Times New Roman" w:hAnsi="Times New Roman"/>
          <w:bCs/>
          <w:snapToGrid/>
          <w:sz w:val="24"/>
          <w:szCs w:val="24"/>
        </w:rPr>
      </w:pPr>
      <w:r>
        <w:rPr>
          <w:rFonts w:ascii="Times New Roman" w:hAnsi="Times New Roman"/>
          <w:bCs/>
          <w:snapToGrid/>
          <w:sz w:val="24"/>
          <w:szCs w:val="24"/>
        </w:rPr>
        <w:t xml:space="preserve">The table below </w:t>
      </w:r>
      <w:r w:rsidR="00A24C09">
        <w:rPr>
          <w:rFonts w:ascii="Times New Roman" w:hAnsi="Times New Roman"/>
          <w:bCs/>
          <w:snapToGrid/>
          <w:sz w:val="24"/>
          <w:szCs w:val="24"/>
        </w:rPr>
        <w:t>furnishes information on the estimated Federal Staff hours and costs associated with each task:</w:t>
      </w:r>
    </w:p>
    <w:tbl>
      <w:tblPr>
        <w:tblCaption w:val="Annualized Cost to the Federal Government"/>
        <w:tblDescription w:val="Annualized Cost to the Federal Government by Hourse, Salary, and total cost"/>
        <w:tblW w:w="9090" w:type="dxa"/>
        <w:tblInd w:w="17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5670"/>
        <w:gridCol w:w="810"/>
        <w:gridCol w:w="1260"/>
        <w:gridCol w:w="1350"/>
      </w:tblGrid>
      <w:tr w14:paraId="3C9311B3" w14:textId="77777777" w:rsidTr="00896219">
        <w:tblPrEx>
          <w:tblW w:w="9090" w:type="dxa"/>
          <w:tblInd w:w="17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Ex>
        <w:trPr>
          <w:cantSplit/>
          <w:trHeight w:val="399"/>
          <w:tblHeader/>
        </w:trPr>
        <w:tc>
          <w:tcPr>
            <w:tcW w:w="56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8B0B63" w:rsidRPr="00DC67CC" w:rsidP="009F7DEA" w14:paraId="5D3AE1ED" w14:textId="77777777">
            <w:pPr>
              <w:tabs>
                <w:tab w:val="left" w:pos="544"/>
                <w:tab w:val="left" w:pos="814"/>
              </w:tabs>
              <w:spacing w:before="84" w:after="44"/>
              <w:jc w:val="center"/>
              <w:rPr>
                <w:rFonts w:ascii="Times New Roman" w:hAnsi="Times New Roman"/>
              </w:rPr>
            </w:pPr>
            <w:r w:rsidRPr="00DC67CC">
              <w:rPr>
                <w:rFonts w:ascii="Times New Roman" w:hAnsi="Times New Roman"/>
              </w:rPr>
              <w:t>Cost Item</w:t>
            </w:r>
          </w:p>
        </w:tc>
        <w:tc>
          <w:tcPr>
            <w:tcW w:w="8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8B0B63" w:rsidRPr="00DC67CC" w:rsidP="009F7DEA" w14:paraId="36FA20A2" w14:textId="77777777">
            <w:pPr>
              <w:tabs>
                <w:tab w:val="left" w:pos="544"/>
                <w:tab w:val="left" w:pos="814"/>
              </w:tabs>
              <w:spacing w:before="84" w:after="44"/>
              <w:jc w:val="center"/>
              <w:rPr>
                <w:rFonts w:ascii="Times New Roman" w:hAnsi="Times New Roman"/>
              </w:rPr>
            </w:pPr>
            <w:r w:rsidRPr="00DC67CC">
              <w:rPr>
                <w:rFonts w:ascii="Times New Roman" w:hAnsi="Times New Roman"/>
              </w:rPr>
              <w:t>Hours</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8B0B63" w:rsidRPr="00DC67CC" w:rsidP="009F7DEA" w14:paraId="34C2B108" w14:textId="77777777">
            <w:pPr>
              <w:tabs>
                <w:tab w:val="left" w:pos="544"/>
                <w:tab w:val="left" w:pos="814"/>
              </w:tabs>
              <w:spacing w:before="84" w:after="44"/>
              <w:jc w:val="center"/>
              <w:rPr>
                <w:rFonts w:ascii="Times New Roman" w:hAnsi="Times New Roman"/>
              </w:rPr>
            </w:pPr>
            <w:r w:rsidRPr="00DC67CC">
              <w:rPr>
                <w:rFonts w:ascii="Times New Roman" w:hAnsi="Times New Roman"/>
              </w:rPr>
              <w:t>Salary (per hour)</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8B0B63" w:rsidRPr="00DC67CC" w:rsidP="009F7DEA" w14:paraId="2C0E5301" w14:textId="77777777">
            <w:pPr>
              <w:tabs>
                <w:tab w:val="left" w:pos="544"/>
                <w:tab w:val="left" w:pos="814"/>
              </w:tabs>
              <w:spacing w:before="84" w:after="44"/>
              <w:jc w:val="center"/>
              <w:rPr>
                <w:rFonts w:ascii="Times New Roman" w:hAnsi="Times New Roman"/>
              </w:rPr>
            </w:pPr>
            <w:r w:rsidRPr="00DC67CC">
              <w:rPr>
                <w:rFonts w:ascii="Times New Roman" w:hAnsi="Times New Roman"/>
              </w:rPr>
              <w:t>Total</w:t>
            </w:r>
          </w:p>
        </w:tc>
      </w:tr>
      <w:tr w14:paraId="0DA141C8" w14:textId="77777777" w:rsidTr="00896219">
        <w:tblPrEx>
          <w:tblW w:w="9090" w:type="dxa"/>
          <w:tblInd w:w="171" w:type="dxa"/>
          <w:tblLayout w:type="fixed"/>
          <w:tblCellMar>
            <w:left w:w="101" w:type="dxa"/>
            <w:right w:w="101" w:type="dxa"/>
          </w:tblCellMar>
          <w:tblLook w:val="0000"/>
        </w:tblPrEx>
        <w:trPr>
          <w:cantSplit/>
        </w:trPr>
        <w:tc>
          <w:tcPr>
            <w:tcW w:w="56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8B0B63" w:rsidRPr="00DC67CC" w:rsidP="009F7DEA" w14:paraId="711ACCAD" w14:textId="0B745E23">
            <w:pPr>
              <w:tabs>
                <w:tab w:val="left" w:pos="544"/>
                <w:tab w:val="left" w:pos="814"/>
              </w:tabs>
              <w:spacing w:before="84" w:after="44"/>
              <w:rPr>
                <w:rFonts w:ascii="Times New Roman" w:hAnsi="Times New Roman"/>
              </w:rPr>
            </w:pPr>
            <w:r w:rsidRPr="00DC67CC">
              <w:rPr>
                <w:rFonts w:ascii="Times New Roman" w:hAnsi="Times New Roman"/>
              </w:rPr>
              <w:t>GS-13</w:t>
            </w:r>
            <w:r w:rsidRPr="00DC67CC" w:rsidR="00DC67CC">
              <w:rPr>
                <w:rFonts w:ascii="Times New Roman" w:hAnsi="Times New Roman"/>
              </w:rPr>
              <w:t>: prepare</w:t>
            </w:r>
            <w:r w:rsidRPr="00DC67CC" w:rsidR="3CB839BC">
              <w:rPr>
                <w:rFonts w:ascii="Times New Roman" w:hAnsi="Times New Roman"/>
              </w:rPr>
              <w:t xml:space="preserve"> instructions</w:t>
            </w:r>
            <w:r w:rsidRPr="00DC67CC" w:rsidR="49187C43">
              <w:rPr>
                <w:rFonts w:ascii="Times New Roman" w:hAnsi="Times New Roman"/>
              </w:rPr>
              <w:t xml:space="preserve"> for long and short form</w:t>
            </w:r>
            <w:r w:rsidRPr="00DC67CC" w:rsidR="3CB839BC">
              <w:rPr>
                <w:rFonts w:ascii="Times New Roman" w:hAnsi="Times New Roman"/>
              </w:rPr>
              <w:t>, remind grant recipients</w:t>
            </w:r>
            <w:r w:rsidRPr="00DC67CC" w:rsidR="1D5711BE">
              <w:rPr>
                <w:rFonts w:ascii="Times New Roman" w:hAnsi="Times New Roman"/>
              </w:rPr>
              <w:t xml:space="preserve"> of submission deadlines</w:t>
            </w:r>
            <w:r w:rsidRPr="00DC67CC" w:rsidR="40AFADC4">
              <w:rPr>
                <w:rFonts w:ascii="Times New Roman" w:hAnsi="Times New Roman"/>
              </w:rPr>
              <w:t xml:space="preserve">, </w:t>
            </w:r>
            <w:r w:rsidRPr="00DC67CC" w:rsidR="3CB839BC">
              <w:rPr>
                <w:rFonts w:ascii="Times New Roman" w:hAnsi="Times New Roman"/>
              </w:rPr>
              <w:t>provide technical assistance</w:t>
            </w:r>
            <w:r w:rsidRPr="00DC67CC" w:rsidR="39E09715">
              <w:rPr>
                <w:rFonts w:ascii="Times New Roman" w:hAnsi="Times New Roman"/>
              </w:rPr>
              <w:t xml:space="preserve">. </w:t>
            </w:r>
          </w:p>
        </w:tc>
        <w:tc>
          <w:tcPr>
            <w:tcW w:w="81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8B0B63" w:rsidRPr="00DC67CC" w:rsidP="00483150" w14:paraId="2C2B0215" w14:textId="77777777">
            <w:pPr>
              <w:tabs>
                <w:tab w:val="left" w:pos="544"/>
                <w:tab w:val="left" w:pos="814"/>
              </w:tabs>
              <w:spacing w:before="84" w:after="44"/>
              <w:jc w:val="center"/>
              <w:rPr>
                <w:rFonts w:ascii="Times New Roman" w:hAnsi="Times New Roman"/>
              </w:rPr>
            </w:pPr>
            <w:r w:rsidRPr="00DC67CC">
              <w:rPr>
                <w:rFonts w:ascii="Times New Roman" w:hAnsi="Times New Roman"/>
              </w:rPr>
              <w:t>200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8B0B63" w:rsidRPr="00DC67CC" w:rsidP="00483150" w14:paraId="08FBB593" w14:textId="77777777">
            <w:pPr>
              <w:tabs>
                <w:tab w:val="left" w:pos="544"/>
                <w:tab w:val="left" w:pos="814"/>
              </w:tabs>
              <w:spacing w:before="84" w:after="44"/>
              <w:jc w:val="center"/>
              <w:rPr>
                <w:rFonts w:ascii="Times New Roman" w:hAnsi="Times New Roman"/>
              </w:rPr>
            </w:pPr>
            <w:r w:rsidRPr="00DC67CC">
              <w:rPr>
                <w:rFonts w:ascii="Times New Roman" w:hAnsi="Times New Roman"/>
              </w:rPr>
              <w:t>$</w:t>
            </w:r>
            <w:r w:rsidRPr="00DC67CC" w:rsidR="008A44F3">
              <w:rPr>
                <w:rFonts w:ascii="Times New Roman" w:hAnsi="Times New Roman"/>
              </w:rPr>
              <w:t>111.50</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8B0B63" w:rsidRPr="00DC67CC" w:rsidP="00483150" w14:paraId="3B7188FE" w14:textId="77777777">
            <w:pPr>
              <w:tabs>
                <w:tab w:val="left" w:pos="544"/>
                <w:tab w:val="left" w:pos="814"/>
              </w:tabs>
              <w:spacing w:before="84" w:after="44"/>
              <w:jc w:val="center"/>
              <w:rPr>
                <w:rFonts w:ascii="Times New Roman" w:hAnsi="Times New Roman"/>
              </w:rPr>
            </w:pPr>
            <w:r w:rsidRPr="00DC67CC">
              <w:rPr>
                <w:rFonts w:ascii="Times New Roman" w:hAnsi="Times New Roman"/>
              </w:rPr>
              <w:t>$22,300</w:t>
            </w:r>
          </w:p>
        </w:tc>
      </w:tr>
      <w:tr w14:paraId="67E9B623" w14:textId="77777777" w:rsidTr="00896219">
        <w:tblPrEx>
          <w:tblW w:w="9090" w:type="dxa"/>
          <w:tblInd w:w="171" w:type="dxa"/>
          <w:tblLayout w:type="fixed"/>
          <w:tblCellMar>
            <w:left w:w="101" w:type="dxa"/>
            <w:right w:w="101" w:type="dxa"/>
          </w:tblCellMar>
          <w:tblLook w:val="0000"/>
        </w:tblPrEx>
        <w:trPr>
          <w:cantSplit/>
        </w:trPr>
        <w:tc>
          <w:tcPr>
            <w:tcW w:w="56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8B0B63" w:rsidRPr="00DC67CC" w:rsidP="009F7DEA" w14:paraId="7E655066" w14:textId="23B08854">
            <w:pPr>
              <w:tabs>
                <w:tab w:val="left" w:pos="544"/>
                <w:tab w:val="left" w:pos="814"/>
              </w:tabs>
              <w:spacing w:before="84" w:after="44"/>
              <w:rPr>
                <w:rFonts w:ascii="Times New Roman" w:hAnsi="Times New Roman"/>
              </w:rPr>
            </w:pPr>
            <w:r w:rsidRPr="00DC67CC">
              <w:rPr>
                <w:rFonts w:ascii="Times New Roman" w:hAnsi="Times New Roman"/>
              </w:rPr>
              <w:t>Contractor Cost:</w:t>
            </w:r>
            <w:r w:rsidRPr="00DC67CC" w:rsidR="00DC67CC">
              <w:rPr>
                <w:rFonts w:ascii="Times New Roman" w:hAnsi="Times New Roman"/>
              </w:rPr>
              <w:t xml:space="preserve">  (</w:t>
            </w:r>
            <w:r w:rsidRPr="00DC67CC">
              <w:rPr>
                <w:rFonts w:ascii="Times New Roman" w:hAnsi="Times New Roman"/>
              </w:rPr>
              <w:t xml:space="preserve">a) oversee the collection effort and prepare statistical tables (b) prepare tables with footnotes for final publication in the Report to Congress.  </w:t>
            </w:r>
          </w:p>
        </w:tc>
        <w:tc>
          <w:tcPr>
            <w:tcW w:w="81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8B0B63" w:rsidRPr="00DC67CC" w:rsidP="00483150" w14:paraId="0FCA427B" w14:textId="77777777">
            <w:pPr>
              <w:tabs>
                <w:tab w:val="left" w:pos="-734"/>
                <w:tab w:val="left" w:pos="544"/>
                <w:tab w:val="left" w:pos="814"/>
              </w:tabs>
              <w:spacing w:before="84" w:after="44"/>
              <w:jc w:val="center"/>
              <w:rPr>
                <w:rFonts w:ascii="Times New Roman" w:hAnsi="Times New Roman"/>
              </w:rPr>
            </w:pPr>
            <w:r w:rsidRPr="00DC67CC">
              <w:rPr>
                <w:rFonts w:ascii="Times New Roman" w:hAnsi="Times New Roman"/>
              </w:rPr>
              <w:t>176</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8B0B63" w:rsidRPr="00DC67CC" w:rsidP="00483150" w14:paraId="5D653209" w14:textId="77777777">
            <w:pPr>
              <w:tabs>
                <w:tab w:val="left" w:pos="-734"/>
                <w:tab w:val="left" w:pos="544"/>
                <w:tab w:val="left" w:pos="814"/>
              </w:tabs>
              <w:spacing w:before="84" w:after="44"/>
              <w:jc w:val="center"/>
              <w:rPr>
                <w:rFonts w:ascii="Times New Roman" w:hAnsi="Times New Roman"/>
              </w:rPr>
            </w:pPr>
            <w:r w:rsidRPr="00DC67CC">
              <w:rPr>
                <w:rFonts w:ascii="Times New Roman" w:hAnsi="Times New Roman"/>
              </w:rPr>
              <w:t>$83.79</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8B0B63" w:rsidRPr="00DC67CC" w:rsidP="00483150" w14:paraId="0E3D7CCE" w14:textId="77777777">
            <w:pPr>
              <w:tabs>
                <w:tab w:val="left" w:pos="-734"/>
                <w:tab w:val="left" w:pos="544"/>
                <w:tab w:val="left" w:pos="814"/>
              </w:tabs>
              <w:spacing w:before="84" w:after="44"/>
              <w:jc w:val="center"/>
              <w:rPr>
                <w:rFonts w:ascii="Times New Roman" w:hAnsi="Times New Roman"/>
              </w:rPr>
            </w:pPr>
            <w:r w:rsidRPr="00DC67CC">
              <w:rPr>
                <w:rFonts w:ascii="Times New Roman" w:hAnsi="Times New Roman"/>
              </w:rPr>
              <w:t>$14,747</w:t>
            </w:r>
            <w:r w:rsidRPr="00DC67CC" w:rsidR="00693121">
              <w:rPr>
                <w:rFonts w:ascii="Times New Roman" w:hAnsi="Times New Roman"/>
              </w:rPr>
              <w:t>.04</w:t>
            </w:r>
          </w:p>
        </w:tc>
      </w:tr>
      <w:tr w14:paraId="362773A5" w14:textId="77777777" w:rsidTr="00896219">
        <w:tblPrEx>
          <w:tblW w:w="9090" w:type="dxa"/>
          <w:tblInd w:w="171" w:type="dxa"/>
          <w:tblLayout w:type="fixed"/>
          <w:tblCellMar>
            <w:left w:w="101" w:type="dxa"/>
            <w:right w:w="101" w:type="dxa"/>
          </w:tblCellMar>
          <w:tblLook w:val="0000"/>
        </w:tblPrEx>
        <w:trPr>
          <w:cantSplit/>
          <w:trHeight w:val="228"/>
        </w:trPr>
        <w:tc>
          <w:tcPr>
            <w:tcW w:w="7740" w:type="dxa"/>
            <w:gridSpan w:val="3"/>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8B0B63" w:rsidRPr="00DC67CC" w:rsidP="009F7DEA" w14:paraId="0BFD4B9D" w14:textId="77777777">
            <w:pPr>
              <w:tabs>
                <w:tab w:val="left" w:pos="-734"/>
                <w:tab w:val="left" w:pos="544"/>
                <w:tab w:val="left" w:pos="814"/>
              </w:tabs>
              <w:spacing w:before="84" w:after="44"/>
              <w:jc w:val="right"/>
              <w:rPr>
                <w:rFonts w:ascii="Times New Roman" w:hAnsi="Times New Roman"/>
              </w:rPr>
            </w:pPr>
            <w:r w:rsidRPr="00DC67CC">
              <w:rPr>
                <w:rFonts w:ascii="Times New Roman" w:hAnsi="Times New Roman"/>
              </w:rPr>
              <w:t>Total</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8B0B63" w:rsidRPr="00DC67CC" w:rsidP="008A44F3" w14:paraId="0F4A72EC" w14:textId="77777777">
            <w:pPr>
              <w:tabs>
                <w:tab w:val="left" w:pos="-734"/>
                <w:tab w:val="left" w:pos="544"/>
                <w:tab w:val="left" w:pos="814"/>
              </w:tabs>
              <w:spacing w:before="84" w:after="44"/>
              <w:jc w:val="right"/>
              <w:rPr>
                <w:rFonts w:ascii="Times New Roman" w:hAnsi="Times New Roman"/>
              </w:rPr>
            </w:pPr>
            <w:r w:rsidRPr="00DC67CC">
              <w:rPr>
                <w:rFonts w:ascii="Times New Roman" w:hAnsi="Times New Roman"/>
              </w:rPr>
              <w:t>$</w:t>
            </w:r>
            <w:r w:rsidRPr="00DC67CC" w:rsidR="00C81D4A">
              <w:rPr>
                <w:rFonts w:ascii="Times New Roman" w:hAnsi="Times New Roman"/>
              </w:rPr>
              <w:t>37,047.04</w:t>
            </w:r>
          </w:p>
        </w:tc>
      </w:tr>
    </w:tbl>
    <w:p w:rsidR="00DC67CC" w:rsidP="00DC67CC" w14:paraId="0A2661D0" w14:textId="77777777">
      <w:pPr>
        <w:widowControl/>
        <w:tabs>
          <w:tab w:val="num" w:pos="360"/>
        </w:tabs>
        <w:ind w:left="360"/>
        <w:rPr>
          <w:rFonts w:ascii="Times New Roman" w:hAnsi="Times New Roman"/>
          <w:b/>
          <w:snapToGrid/>
          <w:sz w:val="24"/>
          <w:szCs w:val="24"/>
        </w:rPr>
      </w:pPr>
    </w:p>
    <w:p w:rsidR="00DC67CC" w:rsidP="00DC67CC" w14:paraId="2D71090D" w14:textId="77777777">
      <w:pPr>
        <w:widowControl/>
        <w:tabs>
          <w:tab w:val="num" w:pos="360"/>
        </w:tabs>
        <w:ind w:left="360"/>
        <w:rPr>
          <w:rFonts w:ascii="Times New Roman" w:hAnsi="Times New Roman"/>
          <w:b/>
          <w:snapToGrid/>
          <w:sz w:val="24"/>
          <w:szCs w:val="24"/>
        </w:rPr>
      </w:pPr>
    </w:p>
    <w:p w:rsidR="002C3C4F" w:rsidRPr="00817E2B" w:rsidP="00817E2B" w14:paraId="059B2F2E" w14:textId="466ACC24">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4F76CD" w:rsidP="00B47769" w14:paraId="62C32851" w14:textId="06DC92D5">
      <w:pPr>
        <w:ind w:left="360"/>
        <w:rPr>
          <w:rFonts w:ascii="Times New Roman" w:hAnsi="Times New Roman"/>
          <w:sz w:val="24"/>
          <w:szCs w:val="24"/>
        </w:rPr>
      </w:pPr>
      <w:r w:rsidRPr="002F606B">
        <w:rPr>
          <w:rFonts w:ascii="Times New Roman" w:hAnsi="Times New Roman"/>
          <w:snapToGrid/>
          <w:sz w:val="24"/>
          <w:szCs w:val="24"/>
        </w:rPr>
        <w:t xml:space="preserve">ACF changed the LIHEAP Household Report form to the existing data collection to </w:t>
      </w:r>
      <w:r w:rsidR="00B47769">
        <w:rPr>
          <w:rFonts w:ascii="Times New Roman" w:hAnsi="Times New Roman"/>
          <w:snapToGrid/>
          <w:sz w:val="24"/>
          <w:szCs w:val="24"/>
        </w:rPr>
        <w:t>r</w:t>
      </w:r>
      <w:r w:rsidRPr="18256126" w:rsidR="1736AC11">
        <w:rPr>
          <w:rFonts w:ascii="Times New Roman" w:hAnsi="Times New Roman"/>
          <w:sz w:val="24"/>
          <w:szCs w:val="24"/>
        </w:rPr>
        <w:t xml:space="preserve">educe burden to the greatest extent possible. Changes include removing demographic information, sex, race and </w:t>
      </w:r>
      <w:r w:rsidRPr="18256126" w:rsidR="59A69AB6">
        <w:rPr>
          <w:rFonts w:ascii="Times New Roman" w:hAnsi="Times New Roman"/>
          <w:sz w:val="24"/>
          <w:szCs w:val="24"/>
        </w:rPr>
        <w:t xml:space="preserve">ethnicity which is </w:t>
      </w:r>
      <w:r w:rsidRPr="18256126" w:rsidR="1736AC11">
        <w:rPr>
          <w:rFonts w:ascii="Times New Roman" w:hAnsi="Times New Roman"/>
          <w:sz w:val="24"/>
          <w:szCs w:val="24"/>
        </w:rPr>
        <w:t>not statutorily required</w:t>
      </w:r>
      <w:r w:rsidR="00311857">
        <w:rPr>
          <w:rFonts w:ascii="Times New Roman" w:hAnsi="Times New Roman"/>
          <w:sz w:val="24"/>
          <w:szCs w:val="24"/>
        </w:rPr>
        <w:t xml:space="preserve">. Additionally, burden estimates for household level reporting was reduced based on analysis of recent data, as described in section A12. </w:t>
      </w:r>
    </w:p>
    <w:p w:rsidR="00483150" w:rsidP="004F76CD" w14:paraId="73EE8ACF" w14:textId="77777777">
      <w:pPr>
        <w:widowControl/>
        <w:ind w:left="360"/>
        <w:rPr>
          <w:rFonts w:ascii="Times New Roman" w:hAnsi="Times New Roman"/>
          <w:snapToGrid/>
          <w:sz w:val="24"/>
          <w:szCs w:val="24"/>
        </w:rPr>
      </w:pPr>
    </w:p>
    <w:p w:rsidR="00DC67CC" w:rsidP="004F76CD" w14:paraId="78F64114" w14:textId="77777777">
      <w:pPr>
        <w:widowControl/>
        <w:ind w:left="360"/>
        <w:rPr>
          <w:rFonts w:ascii="Times New Roman" w:hAnsi="Times New Roman"/>
          <w:snapToGrid/>
          <w:sz w:val="24"/>
          <w:szCs w:val="24"/>
        </w:rPr>
      </w:pPr>
    </w:p>
    <w:p w:rsidR="002C3C4F" w:rsidRPr="00817E2B" w:rsidP="00817E2B" w14:paraId="215009CF"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8B0B63" w:rsidP="00483150" w14:paraId="1694FF2D" w14:textId="227801CB">
      <w:pPr>
        <w:widowControl/>
        <w:ind w:left="450"/>
        <w:rPr>
          <w:rFonts w:ascii="Times New Roman" w:hAnsi="Times New Roman"/>
          <w:snapToGrid/>
          <w:sz w:val="24"/>
          <w:szCs w:val="24"/>
        </w:rPr>
      </w:pPr>
      <w:r w:rsidRPr="00693121">
        <w:rPr>
          <w:rFonts w:ascii="Times New Roman" w:hAnsi="Times New Roman"/>
          <w:snapToGrid/>
          <w:sz w:val="24"/>
          <w:szCs w:val="24"/>
        </w:rPr>
        <w:t xml:space="preserve">The results of the information collection are published in the Department's annual LIHEAP Report to Congress. State-level data are prepared as tables in Part III of the LIHEAP Report to Congress. The aggregation of State-level data </w:t>
      </w:r>
      <w:r w:rsidR="00793D28">
        <w:rPr>
          <w:rFonts w:ascii="Times New Roman" w:hAnsi="Times New Roman"/>
          <w:snapToGrid/>
          <w:sz w:val="24"/>
          <w:szCs w:val="24"/>
        </w:rPr>
        <w:t>is also</w:t>
      </w:r>
      <w:r w:rsidRPr="00693121">
        <w:rPr>
          <w:rFonts w:ascii="Times New Roman" w:hAnsi="Times New Roman"/>
          <w:snapToGrid/>
          <w:sz w:val="24"/>
          <w:szCs w:val="24"/>
        </w:rPr>
        <w:t xml:space="preserve"> reported in Part III of the LIHEAP Report to Congress. Complex analytical techniques will not be used as national totals, percentages, and percent distributions will be tabulated only. Selected results of the information collection are published as part of the Department’s annual Congressional Justification.</w:t>
      </w:r>
    </w:p>
    <w:p w:rsidR="00483150" w:rsidRPr="00693121" w:rsidP="00483150" w14:paraId="6D0E24EE" w14:textId="77777777">
      <w:pPr>
        <w:widowControl/>
        <w:ind w:left="450"/>
        <w:rPr>
          <w:rFonts w:ascii="Times New Roman" w:hAnsi="Times New Roman"/>
          <w:snapToGrid/>
          <w:sz w:val="24"/>
          <w:szCs w:val="24"/>
        </w:rPr>
      </w:pPr>
    </w:p>
    <w:p w:rsidR="008B0B63" w:rsidP="00483150" w14:paraId="52ABB885" w14:textId="5CDAEED2">
      <w:pPr>
        <w:widowControl/>
        <w:spacing w:after="240"/>
        <w:ind w:left="450"/>
        <w:rPr>
          <w:rFonts w:ascii="Times New Roman" w:hAnsi="Times New Roman"/>
          <w:snapToGrid/>
          <w:sz w:val="24"/>
          <w:szCs w:val="24"/>
        </w:rPr>
      </w:pPr>
      <w:r w:rsidRPr="00693121">
        <w:rPr>
          <w:rFonts w:ascii="Times New Roman" w:hAnsi="Times New Roman"/>
          <w:snapToGrid/>
          <w:sz w:val="24"/>
          <w:szCs w:val="24"/>
        </w:rPr>
        <w:t xml:space="preserve">The LIHEAP Household Report needs to be available before the end of each fiscal year to allow grantees time to submit their completed reports as part of their application for LIHEAP funds for the following fiscal year in accordance with 45 CFR 96.10. This regulation establishes September 1st as the deadline for </w:t>
      </w:r>
      <w:r w:rsidR="00793D28">
        <w:rPr>
          <w:rFonts w:ascii="Times New Roman" w:hAnsi="Times New Roman"/>
          <w:snapToGrid/>
          <w:sz w:val="24"/>
          <w:szCs w:val="24"/>
        </w:rPr>
        <w:t>s</w:t>
      </w:r>
      <w:r w:rsidRPr="00693121">
        <w:rPr>
          <w:rFonts w:ascii="Times New Roman" w:hAnsi="Times New Roman"/>
          <w:snapToGrid/>
          <w:sz w:val="24"/>
          <w:szCs w:val="24"/>
        </w:rPr>
        <w:t xml:space="preserve">tate, </w:t>
      </w:r>
      <w:r w:rsidR="00793D28">
        <w:rPr>
          <w:rFonts w:ascii="Times New Roman" w:hAnsi="Times New Roman"/>
          <w:snapToGrid/>
          <w:sz w:val="24"/>
          <w:szCs w:val="24"/>
        </w:rPr>
        <w:t>t</w:t>
      </w:r>
      <w:r w:rsidRPr="00693121">
        <w:rPr>
          <w:rFonts w:ascii="Times New Roman" w:hAnsi="Times New Roman"/>
          <w:snapToGrid/>
          <w:sz w:val="24"/>
          <w:szCs w:val="24"/>
        </w:rPr>
        <w:t xml:space="preserve">ribal, and </w:t>
      </w:r>
      <w:r w:rsidR="00793D28">
        <w:rPr>
          <w:rFonts w:ascii="Times New Roman" w:hAnsi="Times New Roman"/>
          <w:snapToGrid/>
          <w:sz w:val="24"/>
          <w:szCs w:val="24"/>
        </w:rPr>
        <w:t>i</w:t>
      </w:r>
      <w:r w:rsidRPr="00693121">
        <w:rPr>
          <w:rFonts w:ascii="Times New Roman" w:hAnsi="Times New Roman"/>
          <w:snapToGrid/>
          <w:sz w:val="24"/>
          <w:szCs w:val="24"/>
        </w:rPr>
        <w:t xml:space="preserve">nsular </w:t>
      </w:r>
      <w:r w:rsidR="00793D28">
        <w:rPr>
          <w:rFonts w:ascii="Times New Roman" w:hAnsi="Times New Roman"/>
          <w:snapToGrid/>
          <w:sz w:val="24"/>
          <w:szCs w:val="24"/>
        </w:rPr>
        <w:t>a</w:t>
      </w:r>
      <w:r w:rsidRPr="00693121">
        <w:rPr>
          <w:rFonts w:ascii="Times New Roman" w:hAnsi="Times New Roman"/>
          <w:snapToGrid/>
          <w:sz w:val="24"/>
          <w:szCs w:val="24"/>
        </w:rPr>
        <w:t>rea grantees to submit their block grant applications/plans for the following fiscal year. The projected time schedule for the annual LIHEAP Household Report is shown below.</w:t>
      </w:r>
    </w:p>
    <w:tbl>
      <w:tblPr>
        <w:tblCaption w:val="Publication and Project Time Schedule"/>
        <w:tblDescription w:val="Publication and Project Time Schedule by Weeks Following OMB Approval"/>
        <w:tblW w:w="8910" w:type="dxa"/>
        <w:tblInd w:w="424" w:type="dxa"/>
        <w:tblLayout w:type="fixed"/>
        <w:tblCellMar>
          <w:left w:w="120" w:type="dxa"/>
          <w:right w:w="120" w:type="dxa"/>
        </w:tblCellMar>
        <w:tblLook w:val="0000"/>
      </w:tblPr>
      <w:tblGrid>
        <w:gridCol w:w="6750"/>
        <w:gridCol w:w="2160"/>
      </w:tblGrid>
      <w:tr w14:paraId="1E6F7E30" w14:textId="77777777" w:rsidTr="00896219">
        <w:tblPrEx>
          <w:tblW w:w="8910" w:type="dxa"/>
          <w:tblInd w:w="424" w:type="dxa"/>
          <w:tblLayout w:type="fixed"/>
          <w:tblCellMar>
            <w:left w:w="120" w:type="dxa"/>
            <w:right w:w="120" w:type="dxa"/>
          </w:tblCellMar>
          <w:tblLook w:val="0000"/>
        </w:tblPrEx>
        <w:trPr>
          <w:cantSplit/>
        </w:trPr>
        <w:tc>
          <w:tcPr>
            <w:tcW w:w="6750" w:type="dxa"/>
            <w:tcBorders>
              <w:top w:val="double" w:sz="7" w:space="0" w:color="000000" w:themeColor="text1"/>
              <w:left w:val="double" w:sz="7" w:space="0" w:color="000000" w:themeColor="text1"/>
              <w:bottom w:val="single" w:sz="7" w:space="0" w:color="000000" w:themeColor="text1"/>
              <w:right w:val="single" w:sz="7" w:space="0" w:color="000000" w:themeColor="text1"/>
            </w:tcBorders>
            <w:vAlign w:val="center"/>
          </w:tcPr>
          <w:p w:rsidR="008B0B63" w:rsidRPr="00DC67CC" w:rsidP="00896219" w14:paraId="20D29C1D" w14:textId="77777777">
            <w:pPr>
              <w:tabs>
                <w:tab w:val="left" w:pos="-734"/>
                <w:tab w:val="left" w:pos="544"/>
                <w:tab w:val="left" w:pos="814"/>
              </w:tabs>
              <w:ind w:left="360"/>
              <w:jc w:val="center"/>
              <w:rPr>
                <w:rFonts w:ascii="Times New Roman" w:hAnsi="Times New Roman"/>
              </w:rPr>
            </w:pPr>
            <w:r w:rsidRPr="00DC67CC">
              <w:rPr>
                <w:rFonts w:ascii="Times New Roman" w:hAnsi="Times New Roman"/>
                <w:b/>
              </w:rPr>
              <w:t>Activity</w:t>
            </w:r>
          </w:p>
        </w:tc>
        <w:tc>
          <w:tcPr>
            <w:tcW w:w="2160" w:type="dxa"/>
            <w:tcBorders>
              <w:top w:val="double" w:sz="7" w:space="0" w:color="000000" w:themeColor="text1"/>
              <w:left w:val="single" w:sz="7" w:space="0" w:color="000000" w:themeColor="text1"/>
              <w:bottom w:val="single" w:sz="7" w:space="0" w:color="000000" w:themeColor="text1"/>
              <w:right w:val="double" w:sz="7" w:space="0" w:color="000000" w:themeColor="text1"/>
            </w:tcBorders>
            <w:vAlign w:val="center"/>
          </w:tcPr>
          <w:p w:rsidR="008B0B63" w:rsidRPr="00DC67CC" w:rsidP="00896219" w14:paraId="4ABBB730" w14:textId="272827F7">
            <w:pPr>
              <w:tabs>
                <w:tab w:val="left" w:pos="544"/>
                <w:tab w:val="left" w:pos="814"/>
              </w:tabs>
              <w:jc w:val="center"/>
              <w:rPr>
                <w:rFonts w:ascii="Times New Roman" w:hAnsi="Times New Roman"/>
                <w:vertAlign w:val="superscript"/>
              </w:rPr>
            </w:pPr>
            <w:r w:rsidRPr="00DC67CC">
              <w:rPr>
                <w:rFonts w:ascii="Times New Roman" w:hAnsi="Times New Roman"/>
                <w:b/>
                <w:bCs/>
              </w:rPr>
              <w:t>Weeks following  Submission Deadline</w:t>
            </w:r>
          </w:p>
        </w:tc>
      </w:tr>
      <w:tr w14:paraId="2B957D17" w14:textId="77777777" w:rsidTr="00896219">
        <w:tblPrEx>
          <w:tblW w:w="8910" w:type="dxa"/>
          <w:tblInd w:w="424" w:type="dxa"/>
          <w:tblLayout w:type="fixed"/>
          <w:tblCellMar>
            <w:left w:w="120" w:type="dxa"/>
            <w:right w:w="120" w:type="dxa"/>
          </w:tblCellMar>
          <w:tblLook w:val="0000"/>
        </w:tblPrEx>
        <w:trPr>
          <w:cantSplit/>
        </w:trPr>
        <w:tc>
          <w:tcPr>
            <w:tcW w:w="6750" w:type="dxa"/>
            <w:tcBorders>
              <w:top w:val="single" w:sz="7" w:space="0" w:color="000000" w:themeColor="text1"/>
              <w:left w:val="double" w:sz="7" w:space="0" w:color="000000" w:themeColor="text1"/>
              <w:bottom w:val="single" w:sz="7" w:space="0" w:color="000000" w:themeColor="text1"/>
              <w:right w:val="single" w:sz="7" w:space="0" w:color="000000" w:themeColor="text1"/>
            </w:tcBorders>
          </w:tcPr>
          <w:p w:rsidR="008B0B63" w:rsidRPr="00DC67CC" w:rsidP="00896219" w14:paraId="3648B16F" w14:textId="77777777">
            <w:pPr>
              <w:tabs>
                <w:tab w:val="left" w:pos="-734"/>
                <w:tab w:val="left" w:pos="544"/>
                <w:tab w:val="left" w:pos="814"/>
              </w:tabs>
              <w:rPr>
                <w:rFonts w:ascii="Times New Roman" w:hAnsi="Times New Roman"/>
              </w:rPr>
            </w:pPr>
            <w:r w:rsidRPr="00DC67CC">
              <w:rPr>
                <w:rFonts w:ascii="Times New Roman" w:hAnsi="Times New Roman"/>
                <w:i/>
              </w:rPr>
              <w:t>LIHEAP Household Report</w:t>
            </w:r>
            <w:r w:rsidRPr="00DC67CC">
              <w:rPr>
                <w:rFonts w:ascii="Times New Roman" w:hAnsi="Times New Roman"/>
              </w:rPr>
              <w:t xml:space="preserve">s (household data can be estimated so as not to delay issuance of new grant awards) reviewed for completeness as part of the LIHEAP grant application process </w:t>
            </w:r>
          </w:p>
        </w:tc>
        <w:tc>
          <w:tcPr>
            <w:tcW w:w="2160" w:type="dxa"/>
            <w:tcBorders>
              <w:top w:val="single" w:sz="7" w:space="0" w:color="000000" w:themeColor="text1"/>
              <w:left w:val="single" w:sz="7" w:space="0" w:color="000000" w:themeColor="text1"/>
              <w:bottom w:val="single" w:sz="7" w:space="0" w:color="000000" w:themeColor="text1"/>
              <w:right w:val="double" w:sz="7" w:space="0" w:color="000000" w:themeColor="text1"/>
            </w:tcBorders>
            <w:vAlign w:val="center"/>
          </w:tcPr>
          <w:p w:rsidR="008B0B63" w:rsidRPr="00DC67CC" w:rsidP="00896219" w14:paraId="1DCBB96E" w14:textId="77777777">
            <w:pPr>
              <w:tabs>
                <w:tab w:val="left" w:pos="-734"/>
                <w:tab w:val="left" w:pos="544"/>
                <w:tab w:val="left" w:pos="814"/>
              </w:tabs>
              <w:jc w:val="center"/>
              <w:rPr>
                <w:rFonts w:ascii="Times New Roman" w:hAnsi="Times New Roman"/>
              </w:rPr>
            </w:pPr>
            <w:r w:rsidRPr="00DC67CC">
              <w:rPr>
                <w:rFonts w:ascii="Times New Roman" w:hAnsi="Times New Roman"/>
              </w:rPr>
              <w:t>2</w:t>
            </w:r>
          </w:p>
        </w:tc>
      </w:tr>
      <w:tr w14:paraId="2BF2C480" w14:textId="77777777" w:rsidTr="00896219">
        <w:tblPrEx>
          <w:tblW w:w="8910" w:type="dxa"/>
          <w:tblInd w:w="424" w:type="dxa"/>
          <w:tblLayout w:type="fixed"/>
          <w:tblCellMar>
            <w:left w:w="120" w:type="dxa"/>
            <w:right w:w="120" w:type="dxa"/>
          </w:tblCellMar>
          <w:tblLook w:val="0000"/>
        </w:tblPrEx>
        <w:trPr>
          <w:cantSplit/>
        </w:trPr>
        <w:tc>
          <w:tcPr>
            <w:tcW w:w="6750" w:type="dxa"/>
            <w:tcBorders>
              <w:top w:val="single" w:sz="7" w:space="0" w:color="000000" w:themeColor="text1"/>
              <w:left w:val="double" w:sz="7" w:space="0" w:color="000000" w:themeColor="text1"/>
              <w:bottom w:val="single" w:sz="7" w:space="0" w:color="000000" w:themeColor="text1"/>
              <w:right w:val="single" w:sz="7" w:space="0" w:color="000000" w:themeColor="text1"/>
            </w:tcBorders>
          </w:tcPr>
          <w:p w:rsidR="008B0B63" w:rsidRPr="00DC67CC" w:rsidP="00896219" w14:paraId="20ECA3D0" w14:textId="77777777">
            <w:pPr>
              <w:tabs>
                <w:tab w:val="left" w:pos="-734"/>
                <w:tab w:val="left" w:pos="544"/>
                <w:tab w:val="left" w:pos="814"/>
              </w:tabs>
              <w:rPr>
                <w:rFonts w:ascii="Times New Roman" w:hAnsi="Times New Roman"/>
              </w:rPr>
            </w:pPr>
            <w:r w:rsidRPr="00DC67CC">
              <w:rPr>
                <w:rFonts w:ascii="Times New Roman" w:hAnsi="Times New Roman"/>
              </w:rPr>
              <w:t>Final (non-estimated) household data inputted and edited</w:t>
            </w:r>
          </w:p>
        </w:tc>
        <w:tc>
          <w:tcPr>
            <w:tcW w:w="2160" w:type="dxa"/>
            <w:tcBorders>
              <w:top w:val="single" w:sz="7" w:space="0" w:color="000000" w:themeColor="text1"/>
              <w:left w:val="single" w:sz="7" w:space="0" w:color="000000" w:themeColor="text1"/>
              <w:bottom w:val="single" w:sz="7" w:space="0" w:color="000000" w:themeColor="text1"/>
              <w:right w:val="double" w:sz="7" w:space="0" w:color="000000" w:themeColor="text1"/>
            </w:tcBorders>
            <w:vAlign w:val="center"/>
          </w:tcPr>
          <w:p w:rsidR="008B0B63" w:rsidRPr="00DC67CC" w:rsidP="00896219" w14:paraId="31552ED7" w14:textId="77777777">
            <w:pPr>
              <w:tabs>
                <w:tab w:val="left" w:pos="-734"/>
                <w:tab w:val="left" w:pos="544"/>
                <w:tab w:val="left" w:pos="814"/>
              </w:tabs>
              <w:jc w:val="center"/>
              <w:rPr>
                <w:rFonts w:ascii="Times New Roman" w:hAnsi="Times New Roman"/>
              </w:rPr>
            </w:pPr>
            <w:r w:rsidRPr="00DC67CC">
              <w:rPr>
                <w:rFonts w:ascii="Times New Roman" w:hAnsi="Times New Roman"/>
              </w:rPr>
              <w:t>15</w:t>
            </w:r>
          </w:p>
        </w:tc>
      </w:tr>
      <w:tr w14:paraId="6ADFC9FF" w14:textId="77777777" w:rsidTr="00896219">
        <w:tblPrEx>
          <w:tblW w:w="8910" w:type="dxa"/>
          <w:tblInd w:w="424" w:type="dxa"/>
          <w:tblLayout w:type="fixed"/>
          <w:tblCellMar>
            <w:left w:w="120" w:type="dxa"/>
            <w:right w:w="120" w:type="dxa"/>
          </w:tblCellMar>
          <w:tblLook w:val="0000"/>
        </w:tblPrEx>
        <w:trPr>
          <w:cantSplit/>
        </w:trPr>
        <w:tc>
          <w:tcPr>
            <w:tcW w:w="6750" w:type="dxa"/>
            <w:tcBorders>
              <w:top w:val="single" w:sz="7" w:space="0" w:color="000000" w:themeColor="text1"/>
              <w:left w:val="double" w:sz="7" w:space="0" w:color="000000" w:themeColor="text1"/>
              <w:bottom w:val="single" w:sz="7" w:space="0" w:color="000000" w:themeColor="text1"/>
              <w:right w:val="single" w:sz="7" w:space="0" w:color="000000" w:themeColor="text1"/>
            </w:tcBorders>
          </w:tcPr>
          <w:p w:rsidR="008B0B63" w:rsidRPr="00DC67CC" w:rsidP="00896219" w14:paraId="1B69268A" w14:textId="77777777">
            <w:pPr>
              <w:tabs>
                <w:tab w:val="left" w:pos="-734"/>
                <w:tab w:val="left" w:pos="544"/>
                <w:tab w:val="left" w:pos="814"/>
              </w:tabs>
              <w:rPr>
                <w:rFonts w:ascii="Times New Roman" w:hAnsi="Times New Roman"/>
                <w:i/>
              </w:rPr>
            </w:pPr>
            <w:r w:rsidRPr="00DC67CC">
              <w:rPr>
                <w:rFonts w:ascii="Times New Roman" w:hAnsi="Times New Roman"/>
              </w:rPr>
              <w:t xml:space="preserve">Final household data checked and edited for consistency with benefit data from the LIHEAP </w:t>
            </w:r>
            <w:r w:rsidRPr="00DC67CC">
              <w:rPr>
                <w:rFonts w:ascii="Times New Roman" w:hAnsi="Times New Roman"/>
                <w:snapToGrid/>
              </w:rPr>
              <w:t>Performance Data Form – Module I (Grantee Survey), previous fiscal year LIHEAP Household Reports, the LIHEAP Carryover and Reallotment reports, and LIHEAP state plans.</w:t>
            </w:r>
          </w:p>
        </w:tc>
        <w:tc>
          <w:tcPr>
            <w:tcW w:w="2160" w:type="dxa"/>
            <w:tcBorders>
              <w:top w:val="single" w:sz="7" w:space="0" w:color="000000" w:themeColor="text1"/>
              <w:left w:val="single" w:sz="7" w:space="0" w:color="000000" w:themeColor="text1"/>
              <w:bottom w:val="single" w:sz="7" w:space="0" w:color="000000" w:themeColor="text1"/>
              <w:right w:val="double" w:sz="7" w:space="0" w:color="000000" w:themeColor="text1"/>
            </w:tcBorders>
            <w:vAlign w:val="center"/>
          </w:tcPr>
          <w:p w:rsidR="008B0B63" w:rsidRPr="00DC67CC" w:rsidP="00896219" w14:paraId="2BF82CEA" w14:textId="77777777">
            <w:pPr>
              <w:tabs>
                <w:tab w:val="left" w:pos="-734"/>
                <w:tab w:val="left" w:pos="544"/>
                <w:tab w:val="left" w:pos="814"/>
              </w:tabs>
              <w:jc w:val="center"/>
              <w:rPr>
                <w:rFonts w:ascii="Times New Roman" w:hAnsi="Times New Roman"/>
              </w:rPr>
            </w:pPr>
            <w:r w:rsidRPr="00DC67CC">
              <w:rPr>
                <w:rFonts w:ascii="Times New Roman" w:hAnsi="Times New Roman"/>
              </w:rPr>
              <w:t>25</w:t>
            </w:r>
          </w:p>
        </w:tc>
      </w:tr>
      <w:tr w14:paraId="53FF87A5" w14:textId="77777777" w:rsidTr="00896219">
        <w:tblPrEx>
          <w:tblW w:w="8910" w:type="dxa"/>
          <w:tblInd w:w="424" w:type="dxa"/>
          <w:tblLayout w:type="fixed"/>
          <w:tblCellMar>
            <w:left w:w="120" w:type="dxa"/>
            <w:right w:w="120" w:type="dxa"/>
          </w:tblCellMar>
          <w:tblLook w:val="0000"/>
        </w:tblPrEx>
        <w:trPr>
          <w:cantSplit/>
        </w:trPr>
        <w:tc>
          <w:tcPr>
            <w:tcW w:w="6750" w:type="dxa"/>
            <w:tcBorders>
              <w:top w:val="single" w:sz="7" w:space="0" w:color="000000" w:themeColor="text1"/>
              <w:left w:val="double" w:sz="7" w:space="0" w:color="000000" w:themeColor="text1"/>
              <w:bottom w:val="single" w:sz="7" w:space="0" w:color="000000" w:themeColor="text1"/>
              <w:right w:val="single" w:sz="7" w:space="0" w:color="000000" w:themeColor="text1"/>
            </w:tcBorders>
          </w:tcPr>
          <w:p w:rsidR="008B0B63" w:rsidRPr="00DC67CC" w:rsidP="00896219" w14:paraId="2655364C" w14:textId="77777777">
            <w:pPr>
              <w:tabs>
                <w:tab w:val="left" w:pos="-734"/>
                <w:tab w:val="left" w:pos="544"/>
                <w:tab w:val="left" w:pos="814"/>
              </w:tabs>
              <w:rPr>
                <w:rFonts w:ascii="Times New Roman" w:hAnsi="Times New Roman"/>
              </w:rPr>
            </w:pPr>
            <w:r w:rsidRPr="00DC67CC">
              <w:rPr>
                <w:rFonts w:ascii="Times New Roman" w:hAnsi="Times New Roman"/>
              </w:rPr>
              <w:t>Draft of statistical tables for inclusion in annual LIHEAP Report to Congress – text and appendices</w:t>
            </w:r>
          </w:p>
        </w:tc>
        <w:tc>
          <w:tcPr>
            <w:tcW w:w="2160" w:type="dxa"/>
            <w:tcBorders>
              <w:top w:val="single" w:sz="7" w:space="0" w:color="000000" w:themeColor="text1"/>
              <w:left w:val="single" w:sz="7" w:space="0" w:color="000000" w:themeColor="text1"/>
              <w:bottom w:val="single" w:sz="7" w:space="0" w:color="000000" w:themeColor="text1"/>
              <w:right w:val="double" w:sz="7" w:space="0" w:color="000000" w:themeColor="text1"/>
            </w:tcBorders>
            <w:vAlign w:val="center"/>
          </w:tcPr>
          <w:p w:rsidR="008B0B63" w:rsidRPr="00DC67CC" w:rsidP="00896219" w14:paraId="2E10C26C" w14:textId="77777777">
            <w:pPr>
              <w:tabs>
                <w:tab w:val="left" w:pos="-734"/>
                <w:tab w:val="left" w:pos="544"/>
                <w:tab w:val="left" w:pos="814"/>
              </w:tabs>
              <w:jc w:val="center"/>
              <w:rPr>
                <w:rFonts w:ascii="Times New Roman" w:hAnsi="Times New Roman"/>
              </w:rPr>
            </w:pPr>
            <w:r w:rsidRPr="00DC67CC">
              <w:rPr>
                <w:rFonts w:ascii="Times New Roman" w:hAnsi="Times New Roman"/>
              </w:rPr>
              <w:t>34</w:t>
            </w:r>
          </w:p>
        </w:tc>
      </w:tr>
      <w:tr w14:paraId="4E69BF57" w14:textId="77777777" w:rsidTr="00896219">
        <w:tblPrEx>
          <w:tblW w:w="8910" w:type="dxa"/>
          <w:tblInd w:w="424" w:type="dxa"/>
          <w:tblLayout w:type="fixed"/>
          <w:tblCellMar>
            <w:left w:w="120" w:type="dxa"/>
            <w:right w:w="120" w:type="dxa"/>
          </w:tblCellMar>
          <w:tblLook w:val="0000"/>
        </w:tblPrEx>
        <w:trPr>
          <w:cantSplit/>
        </w:trPr>
        <w:tc>
          <w:tcPr>
            <w:tcW w:w="6750" w:type="dxa"/>
            <w:tcBorders>
              <w:top w:val="single" w:sz="7" w:space="0" w:color="000000" w:themeColor="text1"/>
              <w:left w:val="double" w:sz="7" w:space="0" w:color="000000" w:themeColor="text1"/>
              <w:bottom w:val="single" w:sz="7" w:space="0" w:color="000000" w:themeColor="text1"/>
              <w:right w:val="single" w:sz="7" w:space="0" w:color="000000" w:themeColor="text1"/>
            </w:tcBorders>
          </w:tcPr>
          <w:p w:rsidR="008B0B63" w:rsidRPr="00DC67CC" w:rsidP="00896219" w14:paraId="0D0399B0" w14:textId="77777777">
            <w:pPr>
              <w:tabs>
                <w:tab w:val="left" w:pos="-734"/>
                <w:tab w:val="left" w:pos="544"/>
                <w:tab w:val="left" w:pos="814"/>
              </w:tabs>
              <w:rPr>
                <w:rFonts w:ascii="Times New Roman" w:hAnsi="Times New Roman"/>
              </w:rPr>
            </w:pPr>
            <w:r w:rsidRPr="00DC67CC">
              <w:rPr>
                <w:rFonts w:ascii="Times New Roman" w:hAnsi="Times New Roman"/>
              </w:rPr>
              <w:t>Final statistical tables for inclusion in annual LIHEAP Report to Congress</w:t>
            </w:r>
          </w:p>
        </w:tc>
        <w:tc>
          <w:tcPr>
            <w:tcW w:w="2160" w:type="dxa"/>
            <w:tcBorders>
              <w:top w:val="single" w:sz="7" w:space="0" w:color="000000" w:themeColor="text1"/>
              <w:left w:val="single" w:sz="7" w:space="0" w:color="000000" w:themeColor="text1"/>
              <w:bottom w:val="single" w:sz="7" w:space="0" w:color="000000" w:themeColor="text1"/>
              <w:right w:val="double" w:sz="7" w:space="0" w:color="000000" w:themeColor="text1"/>
            </w:tcBorders>
            <w:vAlign w:val="center"/>
          </w:tcPr>
          <w:p w:rsidR="008B0B63" w:rsidRPr="00DC67CC" w:rsidP="00896219" w14:paraId="5E2BB91F" w14:textId="77777777">
            <w:pPr>
              <w:tabs>
                <w:tab w:val="left" w:pos="-734"/>
                <w:tab w:val="left" w:pos="544"/>
                <w:tab w:val="left" w:pos="814"/>
              </w:tabs>
              <w:jc w:val="center"/>
              <w:rPr>
                <w:rFonts w:ascii="Times New Roman" w:hAnsi="Times New Roman"/>
              </w:rPr>
            </w:pPr>
            <w:r w:rsidRPr="00DC67CC">
              <w:rPr>
                <w:rFonts w:ascii="Times New Roman" w:hAnsi="Times New Roman"/>
              </w:rPr>
              <w:t>40</w:t>
            </w:r>
          </w:p>
        </w:tc>
      </w:tr>
      <w:tr w14:paraId="0B170E87" w14:textId="77777777" w:rsidTr="00896219">
        <w:tblPrEx>
          <w:tblW w:w="8910" w:type="dxa"/>
          <w:tblInd w:w="424" w:type="dxa"/>
          <w:tblLayout w:type="fixed"/>
          <w:tblCellMar>
            <w:left w:w="120" w:type="dxa"/>
            <w:right w:w="120" w:type="dxa"/>
          </w:tblCellMar>
          <w:tblLook w:val="0000"/>
        </w:tblPrEx>
        <w:trPr>
          <w:cantSplit/>
        </w:trPr>
        <w:tc>
          <w:tcPr>
            <w:tcW w:w="6750" w:type="dxa"/>
            <w:tcBorders>
              <w:top w:val="single" w:sz="7" w:space="0" w:color="000000" w:themeColor="text1"/>
              <w:left w:val="double" w:sz="7" w:space="0" w:color="000000" w:themeColor="text1"/>
              <w:bottom w:val="double" w:sz="7" w:space="0" w:color="000000" w:themeColor="text1"/>
              <w:right w:val="single" w:sz="7" w:space="0" w:color="000000" w:themeColor="text1"/>
            </w:tcBorders>
          </w:tcPr>
          <w:p w:rsidR="008B0B63" w:rsidRPr="00DC67CC" w:rsidP="00896219" w14:paraId="49DE47B8" w14:textId="77777777">
            <w:pPr>
              <w:tabs>
                <w:tab w:val="left" w:pos="-734"/>
                <w:tab w:val="left" w:pos="544"/>
                <w:tab w:val="left" w:pos="814"/>
              </w:tabs>
              <w:rPr>
                <w:rFonts w:ascii="Times New Roman" w:hAnsi="Times New Roman"/>
              </w:rPr>
            </w:pPr>
            <w:r w:rsidRPr="00DC67CC">
              <w:rPr>
                <w:rFonts w:ascii="Times New Roman" w:hAnsi="Times New Roman"/>
              </w:rPr>
              <w:t>Publication of annual LIHEAP Report to Congress**</w:t>
            </w:r>
          </w:p>
        </w:tc>
        <w:tc>
          <w:tcPr>
            <w:tcW w:w="2160" w:type="dxa"/>
            <w:tcBorders>
              <w:top w:val="single" w:sz="7" w:space="0" w:color="000000" w:themeColor="text1"/>
              <w:left w:val="single" w:sz="7" w:space="0" w:color="000000" w:themeColor="text1"/>
              <w:bottom w:val="double" w:sz="7" w:space="0" w:color="000000" w:themeColor="text1"/>
              <w:right w:val="double" w:sz="7" w:space="0" w:color="000000" w:themeColor="text1"/>
            </w:tcBorders>
          </w:tcPr>
          <w:p w:rsidR="008B0B63" w:rsidRPr="00DC67CC" w:rsidP="00896219" w14:paraId="6F7232E3" w14:textId="77777777">
            <w:pPr>
              <w:tabs>
                <w:tab w:val="left" w:pos="-734"/>
                <w:tab w:val="left" w:pos="544"/>
                <w:tab w:val="left" w:pos="814"/>
              </w:tabs>
              <w:jc w:val="center"/>
              <w:rPr>
                <w:rFonts w:ascii="Times New Roman" w:hAnsi="Times New Roman"/>
              </w:rPr>
            </w:pPr>
            <w:r w:rsidRPr="00DC67CC">
              <w:rPr>
                <w:rFonts w:ascii="Times New Roman" w:hAnsi="Times New Roman"/>
              </w:rPr>
              <w:t>--</w:t>
            </w:r>
          </w:p>
        </w:tc>
      </w:tr>
    </w:tbl>
    <w:p w:rsidR="008B0B63" w:rsidRPr="00693121" w:rsidP="00483150" w14:paraId="0E94FF6D" w14:textId="77777777">
      <w:pPr>
        <w:widowControl/>
        <w:rPr>
          <w:rFonts w:ascii="Times New Roman" w:hAnsi="Times New Roman"/>
          <w:snapToGrid/>
          <w:sz w:val="24"/>
          <w:szCs w:val="24"/>
        </w:rPr>
      </w:pPr>
      <w:r w:rsidRPr="00693121">
        <w:rPr>
          <w:rFonts w:ascii="Times New Roman" w:hAnsi="Times New Roman"/>
          <w:snapToGrid/>
          <w:sz w:val="24"/>
          <w:szCs w:val="24"/>
        </w:rPr>
        <w:t>**Publication is dependent upon the Department’s clearance process of the annual LIHEAP Report to Congress.</w:t>
      </w:r>
    </w:p>
    <w:p w:rsidR="007935D5" w:rsidP="00DE529D" w14:paraId="0517BCC9" w14:textId="77777777">
      <w:pPr>
        <w:widowControl/>
        <w:ind w:left="360"/>
        <w:rPr>
          <w:rFonts w:ascii="Times New Roman" w:hAnsi="Times New Roman"/>
          <w:snapToGrid/>
          <w:sz w:val="24"/>
          <w:szCs w:val="24"/>
        </w:rPr>
      </w:pPr>
    </w:p>
    <w:p w:rsidR="00483150" w:rsidRPr="004F7B95" w:rsidP="00DE529D" w14:paraId="7AB229BB" w14:textId="77777777">
      <w:pPr>
        <w:widowControl/>
        <w:ind w:left="360"/>
        <w:rPr>
          <w:rFonts w:ascii="Times New Roman" w:hAnsi="Times New Roman"/>
          <w:snapToGrid/>
          <w:sz w:val="24"/>
          <w:szCs w:val="24"/>
        </w:rPr>
      </w:pPr>
    </w:p>
    <w:p w:rsidR="002C3C4F" w:rsidRPr="00817E2B" w:rsidP="00817E2B" w14:paraId="1FF7EC69"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D60543" w:rsidP="00693121" w14:paraId="05354D31" w14:textId="77777777">
      <w:pPr>
        <w:widowControl/>
        <w:ind w:left="450"/>
        <w:rPr>
          <w:rFonts w:ascii="Times New Roman" w:hAnsi="Times New Roman"/>
          <w:snapToGrid/>
          <w:sz w:val="24"/>
          <w:szCs w:val="24"/>
        </w:rPr>
      </w:pPr>
      <w:r w:rsidRPr="008B0B63">
        <w:rPr>
          <w:rFonts w:ascii="Times New Roman" w:hAnsi="Times New Roman"/>
          <w:snapToGrid/>
          <w:sz w:val="24"/>
          <w:szCs w:val="24"/>
        </w:rPr>
        <w:t xml:space="preserve">The expiration date for OMB approval of the information collection will be displayed on the report forms and instructions.  </w:t>
      </w:r>
    </w:p>
    <w:p w:rsidR="00D60543" w:rsidP="00DE529D" w14:paraId="68DF0A7E" w14:textId="77777777">
      <w:pPr>
        <w:widowControl/>
        <w:ind w:left="360" w:hanging="90"/>
        <w:rPr>
          <w:rFonts w:ascii="Times New Roman" w:hAnsi="Times New Roman"/>
          <w:snapToGrid/>
          <w:sz w:val="24"/>
          <w:szCs w:val="24"/>
        </w:rPr>
      </w:pPr>
    </w:p>
    <w:p w:rsidR="00483150" w:rsidRPr="004F7B95" w:rsidP="00DE529D" w14:paraId="4FA27EBB" w14:textId="77777777">
      <w:pPr>
        <w:widowControl/>
        <w:ind w:left="360" w:hanging="90"/>
        <w:rPr>
          <w:rFonts w:ascii="Times New Roman" w:hAnsi="Times New Roman"/>
          <w:snapToGrid/>
          <w:sz w:val="24"/>
          <w:szCs w:val="24"/>
        </w:rPr>
      </w:pPr>
    </w:p>
    <w:p w:rsidR="002C3C4F" w:rsidRPr="00817E2B" w:rsidP="00817E2B" w14:paraId="27E4A88C"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007935D5" w:rsidRPr="008B0B63" w:rsidP="00693121" w14:paraId="0A22C9D2" w14:textId="77777777">
      <w:pPr>
        <w:widowControl/>
        <w:ind w:left="450"/>
        <w:rPr>
          <w:rFonts w:ascii="Times New Roman" w:hAnsi="Times New Roman"/>
          <w:bCs/>
          <w:snapToGrid/>
          <w:sz w:val="24"/>
          <w:szCs w:val="24"/>
        </w:rPr>
      </w:pPr>
      <w:r w:rsidRPr="008B0B63">
        <w:rPr>
          <w:rFonts w:ascii="Times New Roman" w:hAnsi="Times New Roman"/>
          <w:bCs/>
          <w:snapToGrid/>
          <w:sz w:val="24"/>
          <w:szCs w:val="24"/>
        </w:rPr>
        <w:t>There are no exceptions indicated to the certifications required by 5 CFR 1320.9.</w:t>
      </w:r>
    </w:p>
    <w:p w:rsidR="00DE529D" w:rsidRPr="00693121" w:rsidP="00693121" w14:paraId="2360BFF9" w14:textId="6CED7497">
      <w:pPr>
        <w:pStyle w:val="ReportCover-Title"/>
        <w:rPr>
          <w:rFonts w:ascii="Times New Roman" w:hAnsi="Times New Roman"/>
          <w:b w:val="0"/>
          <w:bCs/>
          <w:sz w:val="24"/>
          <w:szCs w:val="24"/>
        </w:rPr>
      </w:pPr>
    </w:p>
    <w:sectPr w:rsidSect="00BC3F50">
      <w:footerReference w:type="default" r:id="rId10"/>
      <w:endnotePr>
        <w:numFmt w:val="decimal"/>
      </w:endnotePr>
      <w:pgSz w:w="12240" w:h="15840"/>
      <w:pgMar w:top="1440" w:right="1440" w:bottom="1440" w:left="1440" w:header="1440" w:footer="144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EE578F" w14:paraId="7244A481" w14:textId="77777777">
      <w:pPr>
        <w:spacing w:line="20" w:lineRule="exact"/>
        <w:rPr>
          <w:sz w:val="24"/>
        </w:rPr>
      </w:pPr>
    </w:p>
  </w:endnote>
  <w:endnote w:type="continuationSeparator" w:id="1">
    <w:p w:rsidR="00EE578F" w14:paraId="03CC7E45" w14:textId="77777777">
      <w:r>
        <w:rPr>
          <w:sz w:val="24"/>
        </w:rPr>
        <w:t xml:space="preserve"> </w:t>
      </w:r>
    </w:p>
  </w:endnote>
  <w:endnote w:type="continuationNotice" w:id="2">
    <w:p w:rsidR="00EE578F" w14:paraId="564EC21F"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46A7" w14:paraId="79E80DBF" w14:textId="77777777">
    <w:pPr>
      <w:spacing w:before="140" w:line="100" w:lineRule="exact"/>
      <w:rPr>
        <w:sz w:val="10"/>
      </w:rPr>
    </w:pPr>
  </w:p>
  <w:p w:rsidR="008946A7" w14:paraId="56643FB6" w14:textId="77777777">
    <w:pPr>
      <w:tabs>
        <w:tab w:val="left" w:pos="-720"/>
      </w:tabs>
      <w:suppressAutoHyphens/>
      <w:rPr>
        <w:sz w:val="24"/>
      </w:rPr>
    </w:pPr>
  </w:p>
  <w:p w:rsidR="008946A7" w14:paraId="5EED1589" w14:textId="77777777">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8946A7" w14:textId="77777777">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A5D">
                            <w:rPr>
                              <w:noProof/>
                              <w:sz w:val="24"/>
                            </w:rPr>
                            <w:t>8</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8946A7" w14:paraId="278A6EB2" w14:textId="77777777">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A5D">
                      <w:rPr>
                        <w:noProof/>
                        <w:sz w:val="24"/>
                      </w:rPr>
                      <w:t>8</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E578F" w14:paraId="50022E05" w14:textId="77777777">
      <w:r>
        <w:rPr>
          <w:sz w:val="24"/>
        </w:rPr>
        <w:separator/>
      </w:r>
    </w:p>
  </w:footnote>
  <w:footnote w:type="continuationSeparator" w:id="1">
    <w:p w:rsidR="00EE578F" w14:paraId="3583DA2B" w14:textId="77777777">
      <w:r>
        <w:continuationSeparator/>
      </w:r>
    </w:p>
  </w:footnote>
  <w:footnote w:type="continuationNotice" w:id="2">
    <w:p w:rsidR="00EE578F" w14:paraId="4D7F0EC9"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8354FBE"/>
    <w:multiLevelType w:val="hybridMultilevel"/>
    <w:tmpl w:val="FC4EFC2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83A011E"/>
    <w:multiLevelType w:val="hybridMultilevel"/>
    <w:tmpl w:val="17EAE944"/>
    <w:lvl w:ilvl="0">
      <w:start w:val="1"/>
      <w:numFmt w:val="decimal"/>
      <w:lvlText w:val="%1."/>
      <w:lvlJc w:val="left"/>
      <w:pPr>
        <w:ind w:left="2610" w:hanging="360"/>
      </w:pPr>
    </w:lvl>
    <w:lvl w:ilvl="1" w:tentative="1">
      <w:start w:val="1"/>
      <w:numFmt w:val="lowerLetter"/>
      <w:lvlText w:val="%2."/>
      <w:lvlJc w:val="left"/>
      <w:pPr>
        <w:ind w:left="3330" w:hanging="360"/>
      </w:pPr>
    </w:lvl>
    <w:lvl w:ilvl="2" w:tentative="1">
      <w:start w:val="1"/>
      <w:numFmt w:val="lowerRoman"/>
      <w:lvlText w:val="%3."/>
      <w:lvlJc w:val="right"/>
      <w:pPr>
        <w:ind w:left="4050" w:hanging="180"/>
      </w:pPr>
    </w:lvl>
    <w:lvl w:ilvl="3" w:tentative="1">
      <w:start w:val="1"/>
      <w:numFmt w:val="decimal"/>
      <w:lvlText w:val="%4."/>
      <w:lvlJc w:val="left"/>
      <w:pPr>
        <w:ind w:left="4770" w:hanging="360"/>
      </w:pPr>
    </w:lvl>
    <w:lvl w:ilvl="4" w:tentative="1">
      <w:start w:val="1"/>
      <w:numFmt w:val="lowerLetter"/>
      <w:lvlText w:val="%5."/>
      <w:lvlJc w:val="left"/>
      <w:pPr>
        <w:ind w:left="5490" w:hanging="360"/>
      </w:pPr>
    </w:lvl>
    <w:lvl w:ilvl="5" w:tentative="1">
      <w:start w:val="1"/>
      <w:numFmt w:val="lowerRoman"/>
      <w:lvlText w:val="%6."/>
      <w:lvlJc w:val="right"/>
      <w:pPr>
        <w:ind w:left="6210" w:hanging="180"/>
      </w:pPr>
    </w:lvl>
    <w:lvl w:ilvl="6" w:tentative="1">
      <w:start w:val="1"/>
      <w:numFmt w:val="decimal"/>
      <w:lvlText w:val="%7."/>
      <w:lvlJc w:val="left"/>
      <w:pPr>
        <w:ind w:left="6930" w:hanging="360"/>
      </w:pPr>
    </w:lvl>
    <w:lvl w:ilvl="7" w:tentative="1">
      <w:start w:val="1"/>
      <w:numFmt w:val="lowerLetter"/>
      <w:lvlText w:val="%8."/>
      <w:lvlJc w:val="left"/>
      <w:pPr>
        <w:ind w:left="7650" w:hanging="360"/>
      </w:pPr>
    </w:lvl>
    <w:lvl w:ilvl="8" w:tentative="1">
      <w:start w:val="1"/>
      <w:numFmt w:val="lowerRoman"/>
      <w:lvlText w:val="%9."/>
      <w:lvlJc w:val="right"/>
      <w:pPr>
        <w:ind w:left="8370" w:hanging="180"/>
      </w:pPr>
    </w:lvl>
  </w:abstractNum>
  <w:abstractNum w:abstractNumId="7">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E17546F"/>
    <w:multiLevelType w:val="hybridMultilevel"/>
    <w:tmpl w:val="97BCB12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2EDB4C73"/>
    <w:multiLevelType w:val="hybridMultilevel"/>
    <w:tmpl w:val="3D6CB4E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3A2D7FD2"/>
    <w:multiLevelType w:val="hybridMultilevel"/>
    <w:tmpl w:val="DB68BA44"/>
    <w:lvl w:ilvl="0">
      <w:start w:val="1"/>
      <w:numFmt w:val="bullet"/>
      <w:lvlText w:val=""/>
      <w:lvlJc w:val="left"/>
      <w:pPr>
        <w:tabs>
          <w:tab w:val="num" w:pos="904"/>
        </w:tabs>
        <w:ind w:left="904" w:hanging="360"/>
      </w:pPr>
      <w:rPr>
        <w:rFonts w:ascii="Symbol" w:hAnsi="Symbol" w:hint="default"/>
      </w:rPr>
    </w:lvl>
    <w:lvl w:ilvl="1" w:tentative="1">
      <w:start w:val="1"/>
      <w:numFmt w:val="bullet"/>
      <w:lvlText w:val="o"/>
      <w:lvlJc w:val="left"/>
      <w:pPr>
        <w:tabs>
          <w:tab w:val="num" w:pos="1624"/>
        </w:tabs>
        <w:ind w:left="1624" w:hanging="360"/>
      </w:pPr>
      <w:rPr>
        <w:rFonts w:ascii="Courier New" w:hAnsi="Courier New" w:cs="Courier New" w:hint="default"/>
      </w:rPr>
    </w:lvl>
    <w:lvl w:ilvl="2" w:tentative="1">
      <w:start w:val="1"/>
      <w:numFmt w:val="bullet"/>
      <w:lvlText w:val=""/>
      <w:lvlJc w:val="left"/>
      <w:pPr>
        <w:tabs>
          <w:tab w:val="num" w:pos="2344"/>
        </w:tabs>
        <w:ind w:left="2344" w:hanging="360"/>
      </w:pPr>
      <w:rPr>
        <w:rFonts w:ascii="Wingdings" w:hAnsi="Wingdings" w:hint="default"/>
      </w:rPr>
    </w:lvl>
    <w:lvl w:ilvl="3" w:tentative="1">
      <w:start w:val="1"/>
      <w:numFmt w:val="bullet"/>
      <w:lvlText w:val=""/>
      <w:lvlJc w:val="left"/>
      <w:pPr>
        <w:tabs>
          <w:tab w:val="num" w:pos="3064"/>
        </w:tabs>
        <w:ind w:left="3064" w:hanging="360"/>
      </w:pPr>
      <w:rPr>
        <w:rFonts w:ascii="Symbol" w:hAnsi="Symbol" w:hint="default"/>
      </w:rPr>
    </w:lvl>
    <w:lvl w:ilvl="4" w:tentative="1">
      <w:start w:val="1"/>
      <w:numFmt w:val="bullet"/>
      <w:lvlText w:val="o"/>
      <w:lvlJc w:val="left"/>
      <w:pPr>
        <w:tabs>
          <w:tab w:val="num" w:pos="3784"/>
        </w:tabs>
        <w:ind w:left="3784" w:hanging="360"/>
      </w:pPr>
      <w:rPr>
        <w:rFonts w:ascii="Courier New" w:hAnsi="Courier New" w:cs="Courier New" w:hint="default"/>
      </w:rPr>
    </w:lvl>
    <w:lvl w:ilvl="5" w:tentative="1">
      <w:start w:val="1"/>
      <w:numFmt w:val="bullet"/>
      <w:lvlText w:val=""/>
      <w:lvlJc w:val="left"/>
      <w:pPr>
        <w:tabs>
          <w:tab w:val="num" w:pos="4504"/>
        </w:tabs>
        <w:ind w:left="4504" w:hanging="360"/>
      </w:pPr>
      <w:rPr>
        <w:rFonts w:ascii="Wingdings" w:hAnsi="Wingdings" w:hint="default"/>
      </w:rPr>
    </w:lvl>
    <w:lvl w:ilvl="6" w:tentative="1">
      <w:start w:val="1"/>
      <w:numFmt w:val="bullet"/>
      <w:lvlText w:val=""/>
      <w:lvlJc w:val="left"/>
      <w:pPr>
        <w:tabs>
          <w:tab w:val="num" w:pos="5224"/>
        </w:tabs>
        <w:ind w:left="5224" w:hanging="360"/>
      </w:pPr>
      <w:rPr>
        <w:rFonts w:ascii="Symbol" w:hAnsi="Symbol" w:hint="default"/>
      </w:rPr>
    </w:lvl>
    <w:lvl w:ilvl="7" w:tentative="1">
      <w:start w:val="1"/>
      <w:numFmt w:val="bullet"/>
      <w:lvlText w:val="o"/>
      <w:lvlJc w:val="left"/>
      <w:pPr>
        <w:tabs>
          <w:tab w:val="num" w:pos="5944"/>
        </w:tabs>
        <w:ind w:left="5944" w:hanging="360"/>
      </w:pPr>
      <w:rPr>
        <w:rFonts w:ascii="Courier New" w:hAnsi="Courier New" w:cs="Courier New" w:hint="default"/>
      </w:rPr>
    </w:lvl>
    <w:lvl w:ilvl="8" w:tentative="1">
      <w:start w:val="1"/>
      <w:numFmt w:val="bullet"/>
      <w:lvlText w:val=""/>
      <w:lvlJc w:val="left"/>
      <w:pPr>
        <w:tabs>
          <w:tab w:val="num" w:pos="6664"/>
        </w:tabs>
        <w:ind w:left="6664" w:hanging="360"/>
      </w:pPr>
      <w:rPr>
        <w:rFonts w:ascii="Wingdings" w:hAnsi="Wingdings" w:hint="default"/>
      </w:rPr>
    </w:lvl>
  </w:abstractNum>
  <w:abstractNum w:abstractNumId="11">
    <w:nsid w:val="3B9C7F65"/>
    <w:multiLevelType w:val="hybridMultilevel"/>
    <w:tmpl w:val="304C323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20E5E67"/>
    <w:multiLevelType w:val="hybridMultilevel"/>
    <w:tmpl w:val="D238555A"/>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0">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70023E9F"/>
    <w:multiLevelType w:val="hybridMultilevel"/>
    <w:tmpl w:val="3AE48528"/>
    <w:lvl w:ilvl="0">
      <w:start w:val="1"/>
      <w:numFmt w:val="bullet"/>
      <w:lvlText w:val=""/>
      <w:lvlJc w:val="left"/>
      <w:pPr>
        <w:tabs>
          <w:tab w:val="num" w:pos="907"/>
        </w:tabs>
        <w:ind w:left="907" w:hanging="360"/>
      </w:pPr>
      <w:rPr>
        <w:rFonts w:ascii="Symbol" w:hAnsi="Symbol" w:hint="default"/>
      </w:rPr>
    </w:lvl>
    <w:lvl w:ilvl="1">
      <w:start w:val="1"/>
      <w:numFmt w:val="bullet"/>
      <w:lvlText w:val="o"/>
      <w:lvlJc w:val="left"/>
      <w:pPr>
        <w:tabs>
          <w:tab w:val="num" w:pos="1627"/>
        </w:tabs>
        <w:ind w:left="1627" w:hanging="360"/>
      </w:pPr>
      <w:rPr>
        <w:rFonts w:ascii="Courier New" w:hAnsi="Courier New" w:cs="Courier New" w:hint="default"/>
      </w:rPr>
    </w:lvl>
    <w:lvl w:ilvl="2" w:tentative="1">
      <w:start w:val="1"/>
      <w:numFmt w:val="bullet"/>
      <w:lvlText w:val=""/>
      <w:lvlJc w:val="left"/>
      <w:pPr>
        <w:tabs>
          <w:tab w:val="num" w:pos="2347"/>
        </w:tabs>
        <w:ind w:left="2347" w:hanging="360"/>
      </w:pPr>
      <w:rPr>
        <w:rFonts w:ascii="Wingdings" w:hAnsi="Wingdings" w:hint="default"/>
      </w:rPr>
    </w:lvl>
    <w:lvl w:ilvl="3" w:tentative="1">
      <w:start w:val="1"/>
      <w:numFmt w:val="bullet"/>
      <w:lvlText w:val=""/>
      <w:lvlJc w:val="left"/>
      <w:pPr>
        <w:tabs>
          <w:tab w:val="num" w:pos="3067"/>
        </w:tabs>
        <w:ind w:left="3067" w:hanging="360"/>
      </w:pPr>
      <w:rPr>
        <w:rFonts w:ascii="Symbol" w:hAnsi="Symbol" w:hint="default"/>
      </w:rPr>
    </w:lvl>
    <w:lvl w:ilvl="4" w:tentative="1">
      <w:start w:val="1"/>
      <w:numFmt w:val="bullet"/>
      <w:lvlText w:val="o"/>
      <w:lvlJc w:val="left"/>
      <w:pPr>
        <w:tabs>
          <w:tab w:val="num" w:pos="3787"/>
        </w:tabs>
        <w:ind w:left="3787" w:hanging="360"/>
      </w:pPr>
      <w:rPr>
        <w:rFonts w:ascii="Courier New" w:hAnsi="Courier New" w:cs="Courier New" w:hint="default"/>
      </w:rPr>
    </w:lvl>
    <w:lvl w:ilvl="5" w:tentative="1">
      <w:start w:val="1"/>
      <w:numFmt w:val="bullet"/>
      <w:lvlText w:val=""/>
      <w:lvlJc w:val="left"/>
      <w:pPr>
        <w:tabs>
          <w:tab w:val="num" w:pos="4507"/>
        </w:tabs>
        <w:ind w:left="4507" w:hanging="360"/>
      </w:pPr>
      <w:rPr>
        <w:rFonts w:ascii="Wingdings" w:hAnsi="Wingdings" w:hint="default"/>
      </w:rPr>
    </w:lvl>
    <w:lvl w:ilvl="6" w:tentative="1">
      <w:start w:val="1"/>
      <w:numFmt w:val="bullet"/>
      <w:lvlText w:val=""/>
      <w:lvlJc w:val="left"/>
      <w:pPr>
        <w:tabs>
          <w:tab w:val="num" w:pos="5227"/>
        </w:tabs>
        <w:ind w:left="5227" w:hanging="360"/>
      </w:pPr>
      <w:rPr>
        <w:rFonts w:ascii="Symbol" w:hAnsi="Symbol" w:hint="default"/>
      </w:rPr>
    </w:lvl>
    <w:lvl w:ilvl="7" w:tentative="1">
      <w:start w:val="1"/>
      <w:numFmt w:val="bullet"/>
      <w:lvlText w:val="o"/>
      <w:lvlJc w:val="left"/>
      <w:pPr>
        <w:tabs>
          <w:tab w:val="num" w:pos="5947"/>
        </w:tabs>
        <w:ind w:left="5947" w:hanging="360"/>
      </w:pPr>
      <w:rPr>
        <w:rFonts w:ascii="Courier New" w:hAnsi="Courier New" w:cs="Courier New" w:hint="default"/>
      </w:rPr>
    </w:lvl>
    <w:lvl w:ilvl="8" w:tentative="1">
      <w:start w:val="1"/>
      <w:numFmt w:val="bullet"/>
      <w:lvlText w:val=""/>
      <w:lvlJc w:val="left"/>
      <w:pPr>
        <w:tabs>
          <w:tab w:val="num" w:pos="6667"/>
        </w:tabs>
        <w:ind w:left="6667" w:hanging="360"/>
      </w:pPr>
      <w:rPr>
        <w:rFonts w:ascii="Wingdings" w:hAnsi="Wingdings" w:hint="default"/>
      </w:rPr>
    </w:lvl>
  </w:abstractNum>
  <w:abstractNum w:abstractNumId="27">
    <w:nsid w:val="735311C6"/>
    <w:multiLevelType w:val="hybridMultilevel"/>
    <w:tmpl w:val="00E6D08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492377110">
    <w:abstractNumId w:val="18"/>
  </w:num>
  <w:num w:numId="2" w16cid:durableId="49813834">
    <w:abstractNumId w:val="19"/>
  </w:num>
  <w:num w:numId="3" w16cid:durableId="1238633553">
    <w:abstractNumId w:val="21"/>
  </w:num>
  <w:num w:numId="4" w16cid:durableId="1136294180">
    <w:abstractNumId w:val="7"/>
  </w:num>
  <w:num w:numId="5" w16cid:durableId="1580285494">
    <w:abstractNumId w:val="14"/>
  </w:num>
  <w:num w:numId="6" w16cid:durableId="1893612659">
    <w:abstractNumId w:val="17"/>
  </w:num>
  <w:num w:numId="7" w16cid:durableId="629824464">
    <w:abstractNumId w:val="2"/>
  </w:num>
  <w:num w:numId="8" w16cid:durableId="850216322">
    <w:abstractNumId w:val="16"/>
  </w:num>
  <w:num w:numId="9" w16cid:durableId="1059396843">
    <w:abstractNumId w:val="22"/>
  </w:num>
  <w:num w:numId="10" w16cid:durableId="41295681">
    <w:abstractNumId w:val="15"/>
  </w:num>
  <w:num w:numId="11" w16cid:durableId="512650464">
    <w:abstractNumId w:val="13"/>
  </w:num>
  <w:num w:numId="12" w16cid:durableId="1110931815">
    <w:abstractNumId w:val="0"/>
  </w:num>
  <w:num w:numId="13" w16cid:durableId="695544726">
    <w:abstractNumId w:val="24"/>
  </w:num>
  <w:num w:numId="14" w16cid:durableId="1031613247">
    <w:abstractNumId w:val="1"/>
  </w:num>
  <w:num w:numId="15" w16cid:durableId="1803232742">
    <w:abstractNumId w:val="4"/>
  </w:num>
  <w:num w:numId="16" w16cid:durableId="938486840">
    <w:abstractNumId w:val="20"/>
  </w:num>
  <w:num w:numId="17" w16cid:durableId="634876359">
    <w:abstractNumId w:val="25"/>
  </w:num>
  <w:num w:numId="18" w16cid:durableId="163980211">
    <w:abstractNumId w:val="5"/>
  </w:num>
  <w:num w:numId="19" w16cid:durableId="1167094017">
    <w:abstractNumId w:val="28"/>
  </w:num>
  <w:num w:numId="20" w16cid:durableId="1704286321">
    <w:abstractNumId w:val="23"/>
  </w:num>
  <w:num w:numId="21" w16cid:durableId="1738475397">
    <w:abstractNumId w:val="10"/>
  </w:num>
  <w:num w:numId="22" w16cid:durableId="1066492290">
    <w:abstractNumId w:val="26"/>
  </w:num>
  <w:num w:numId="23" w16cid:durableId="1645163553">
    <w:abstractNumId w:val="27"/>
  </w:num>
  <w:num w:numId="24" w16cid:durableId="1019157155">
    <w:abstractNumId w:val="6"/>
  </w:num>
  <w:num w:numId="25" w16cid:durableId="2105225012">
    <w:abstractNumId w:val="9"/>
  </w:num>
  <w:num w:numId="26" w16cid:durableId="2135243587">
    <w:abstractNumId w:val="11"/>
  </w:num>
  <w:num w:numId="27" w16cid:durableId="1061833383">
    <w:abstractNumId w:val="8"/>
  </w:num>
  <w:num w:numId="28" w16cid:durableId="2059864574">
    <w:abstractNumId w:val="3"/>
  </w:num>
  <w:num w:numId="29" w16cid:durableId="10046679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3786"/>
    <w:rsid w:val="00006FAA"/>
    <w:rsid w:val="00022586"/>
    <w:rsid w:val="00032F0A"/>
    <w:rsid w:val="00056C4B"/>
    <w:rsid w:val="0006535F"/>
    <w:rsid w:val="00075158"/>
    <w:rsid w:val="00075889"/>
    <w:rsid w:val="00085ECE"/>
    <w:rsid w:val="0009007E"/>
    <w:rsid w:val="000A209E"/>
    <w:rsid w:val="000A778B"/>
    <w:rsid w:val="000C443B"/>
    <w:rsid w:val="000C7A5D"/>
    <w:rsid w:val="000F069F"/>
    <w:rsid w:val="00102200"/>
    <w:rsid w:val="00113FAB"/>
    <w:rsid w:val="00117D18"/>
    <w:rsid w:val="00125BFB"/>
    <w:rsid w:val="00127125"/>
    <w:rsid w:val="00131467"/>
    <w:rsid w:val="001337B5"/>
    <w:rsid w:val="0014145B"/>
    <w:rsid w:val="00153141"/>
    <w:rsid w:val="00153BD6"/>
    <w:rsid w:val="0015495E"/>
    <w:rsid w:val="00160621"/>
    <w:rsid w:val="0017783C"/>
    <w:rsid w:val="001850E9"/>
    <w:rsid w:val="001852E4"/>
    <w:rsid w:val="00186385"/>
    <w:rsid w:val="0018714B"/>
    <w:rsid w:val="001C3EDF"/>
    <w:rsid w:val="001C483C"/>
    <w:rsid w:val="001C71F9"/>
    <w:rsid w:val="001C7FFE"/>
    <w:rsid w:val="001D1651"/>
    <w:rsid w:val="001F06C7"/>
    <w:rsid w:val="001F16A3"/>
    <w:rsid w:val="001F4BEA"/>
    <w:rsid w:val="00204604"/>
    <w:rsid w:val="0020470B"/>
    <w:rsid w:val="00222C7F"/>
    <w:rsid w:val="00226C42"/>
    <w:rsid w:val="00234235"/>
    <w:rsid w:val="002430CD"/>
    <w:rsid w:val="00243D3E"/>
    <w:rsid w:val="00244C2F"/>
    <w:rsid w:val="00245B9A"/>
    <w:rsid w:val="002464EB"/>
    <w:rsid w:val="00246EBD"/>
    <w:rsid w:val="002509BD"/>
    <w:rsid w:val="00257664"/>
    <w:rsid w:val="002872D1"/>
    <w:rsid w:val="0028782E"/>
    <w:rsid w:val="00290A1C"/>
    <w:rsid w:val="00295285"/>
    <w:rsid w:val="0029589B"/>
    <w:rsid w:val="00296738"/>
    <w:rsid w:val="002B1BE7"/>
    <w:rsid w:val="002B62C9"/>
    <w:rsid w:val="002B7328"/>
    <w:rsid w:val="002C2880"/>
    <w:rsid w:val="002C3C4F"/>
    <w:rsid w:val="002C403F"/>
    <w:rsid w:val="002C4F75"/>
    <w:rsid w:val="002C6095"/>
    <w:rsid w:val="002C6816"/>
    <w:rsid w:val="002D6373"/>
    <w:rsid w:val="002E10D1"/>
    <w:rsid w:val="002E4484"/>
    <w:rsid w:val="002F606B"/>
    <w:rsid w:val="00305E0E"/>
    <w:rsid w:val="003060CE"/>
    <w:rsid w:val="00311857"/>
    <w:rsid w:val="003134A1"/>
    <w:rsid w:val="0031469E"/>
    <w:rsid w:val="00327E71"/>
    <w:rsid w:val="003405A4"/>
    <w:rsid w:val="003474E3"/>
    <w:rsid w:val="00351012"/>
    <w:rsid w:val="00354319"/>
    <w:rsid w:val="003630CE"/>
    <w:rsid w:val="003664DA"/>
    <w:rsid w:val="00366C9C"/>
    <w:rsid w:val="00373345"/>
    <w:rsid w:val="0038209B"/>
    <w:rsid w:val="0038649E"/>
    <w:rsid w:val="0039355C"/>
    <w:rsid w:val="003944C8"/>
    <w:rsid w:val="00397914"/>
    <w:rsid w:val="003B7A50"/>
    <w:rsid w:val="003C1D6E"/>
    <w:rsid w:val="003C4543"/>
    <w:rsid w:val="003E3E1B"/>
    <w:rsid w:val="003E6EA3"/>
    <w:rsid w:val="003F32D4"/>
    <w:rsid w:val="00401BEF"/>
    <w:rsid w:val="00402D24"/>
    <w:rsid w:val="00405C10"/>
    <w:rsid w:val="00406FA9"/>
    <w:rsid w:val="004110F5"/>
    <w:rsid w:val="00411741"/>
    <w:rsid w:val="00412029"/>
    <w:rsid w:val="00422E1D"/>
    <w:rsid w:val="004230BF"/>
    <w:rsid w:val="00442966"/>
    <w:rsid w:val="0044745C"/>
    <w:rsid w:val="00453EB0"/>
    <w:rsid w:val="004602FE"/>
    <w:rsid w:val="00467954"/>
    <w:rsid w:val="0047126B"/>
    <w:rsid w:val="00476C1F"/>
    <w:rsid w:val="00480072"/>
    <w:rsid w:val="00483150"/>
    <w:rsid w:val="00490457"/>
    <w:rsid w:val="0049119A"/>
    <w:rsid w:val="004943E0"/>
    <w:rsid w:val="004A09DC"/>
    <w:rsid w:val="004A71B7"/>
    <w:rsid w:val="004A71D9"/>
    <w:rsid w:val="004C1AF4"/>
    <w:rsid w:val="004E2DBB"/>
    <w:rsid w:val="004E3A04"/>
    <w:rsid w:val="004E4B08"/>
    <w:rsid w:val="004F14CB"/>
    <w:rsid w:val="004F45CE"/>
    <w:rsid w:val="004F51FC"/>
    <w:rsid w:val="004F76CD"/>
    <w:rsid w:val="004F7B95"/>
    <w:rsid w:val="0051278C"/>
    <w:rsid w:val="00522C18"/>
    <w:rsid w:val="00535789"/>
    <w:rsid w:val="00540210"/>
    <w:rsid w:val="00540AB1"/>
    <w:rsid w:val="00541E51"/>
    <w:rsid w:val="005520C3"/>
    <w:rsid w:val="00556056"/>
    <w:rsid w:val="005677DE"/>
    <w:rsid w:val="00573F57"/>
    <w:rsid w:val="005824BD"/>
    <w:rsid w:val="00591273"/>
    <w:rsid w:val="00597E7F"/>
    <w:rsid w:val="005B00FC"/>
    <w:rsid w:val="005B22D4"/>
    <w:rsid w:val="005C081D"/>
    <w:rsid w:val="005C60F1"/>
    <w:rsid w:val="005D1B7E"/>
    <w:rsid w:val="005D274E"/>
    <w:rsid w:val="005D294F"/>
    <w:rsid w:val="005D61DB"/>
    <w:rsid w:val="005E0B35"/>
    <w:rsid w:val="005E46A8"/>
    <w:rsid w:val="005E5D10"/>
    <w:rsid w:val="005F0ED4"/>
    <w:rsid w:val="00603498"/>
    <w:rsid w:val="00603ADC"/>
    <w:rsid w:val="00606E27"/>
    <w:rsid w:val="00631058"/>
    <w:rsid w:val="00634E1D"/>
    <w:rsid w:val="00640565"/>
    <w:rsid w:val="00642A0D"/>
    <w:rsid w:val="0064345A"/>
    <w:rsid w:val="00651F0F"/>
    <w:rsid w:val="00662DAD"/>
    <w:rsid w:val="00664AE7"/>
    <w:rsid w:val="00681E38"/>
    <w:rsid w:val="00693121"/>
    <w:rsid w:val="0069724F"/>
    <w:rsid w:val="006B1006"/>
    <w:rsid w:val="006B2726"/>
    <w:rsid w:val="006B44BB"/>
    <w:rsid w:val="006B71F0"/>
    <w:rsid w:val="006B73B6"/>
    <w:rsid w:val="006D1643"/>
    <w:rsid w:val="006E04CF"/>
    <w:rsid w:val="006E0AC9"/>
    <w:rsid w:val="006E5512"/>
    <w:rsid w:val="006E6629"/>
    <w:rsid w:val="006F589F"/>
    <w:rsid w:val="006F68BE"/>
    <w:rsid w:val="007058D4"/>
    <w:rsid w:val="00707AFB"/>
    <w:rsid w:val="00711A8A"/>
    <w:rsid w:val="00721C34"/>
    <w:rsid w:val="007310ED"/>
    <w:rsid w:val="00731397"/>
    <w:rsid w:val="00734348"/>
    <w:rsid w:val="007412D9"/>
    <w:rsid w:val="00742BB7"/>
    <w:rsid w:val="00745468"/>
    <w:rsid w:val="007558CE"/>
    <w:rsid w:val="00761A26"/>
    <w:rsid w:val="00762C40"/>
    <w:rsid w:val="00776C5B"/>
    <w:rsid w:val="00786793"/>
    <w:rsid w:val="00790D2C"/>
    <w:rsid w:val="007935D5"/>
    <w:rsid w:val="00793D28"/>
    <w:rsid w:val="007A0FBE"/>
    <w:rsid w:val="007A60DE"/>
    <w:rsid w:val="007B3DCB"/>
    <w:rsid w:val="007E36F5"/>
    <w:rsid w:val="007E48CC"/>
    <w:rsid w:val="007E769D"/>
    <w:rsid w:val="007F5360"/>
    <w:rsid w:val="0080325F"/>
    <w:rsid w:val="00817E2B"/>
    <w:rsid w:val="00836583"/>
    <w:rsid w:val="00841BDF"/>
    <w:rsid w:val="00842F86"/>
    <w:rsid w:val="00844087"/>
    <w:rsid w:val="00844F91"/>
    <w:rsid w:val="0084609A"/>
    <w:rsid w:val="00846320"/>
    <w:rsid w:val="00846E18"/>
    <w:rsid w:val="00851EFF"/>
    <w:rsid w:val="00862741"/>
    <w:rsid w:val="008900A8"/>
    <w:rsid w:val="008946A7"/>
    <w:rsid w:val="008955AC"/>
    <w:rsid w:val="00896219"/>
    <w:rsid w:val="008A44F3"/>
    <w:rsid w:val="008A6058"/>
    <w:rsid w:val="008B0B63"/>
    <w:rsid w:val="008B716D"/>
    <w:rsid w:val="008C640A"/>
    <w:rsid w:val="008E7E64"/>
    <w:rsid w:val="008F211B"/>
    <w:rsid w:val="008F7221"/>
    <w:rsid w:val="008F7F56"/>
    <w:rsid w:val="009027C3"/>
    <w:rsid w:val="009028CE"/>
    <w:rsid w:val="009034C9"/>
    <w:rsid w:val="009113FF"/>
    <w:rsid w:val="00936A53"/>
    <w:rsid w:val="009414B3"/>
    <w:rsid w:val="009451B1"/>
    <w:rsid w:val="00945B72"/>
    <w:rsid w:val="00957799"/>
    <w:rsid w:val="00962045"/>
    <w:rsid w:val="00966622"/>
    <w:rsid w:val="00976AA7"/>
    <w:rsid w:val="0098235A"/>
    <w:rsid w:val="00987246"/>
    <w:rsid w:val="00992A54"/>
    <w:rsid w:val="00994D8F"/>
    <w:rsid w:val="009B5104"/>
    <w:rsid w:val="009B5416"/>
    <w:rsid w:val="009C2DE1"/>
    <w:rsid w:val="009C4F7F"/>
    <w:rsid w:val="009C5213"/>
    <w:rsid w:val="009D582C"/>
    <w:rsid w:val="009D789F"/>
    <w:rsid w:val="009E6157"/>
    <w:rsid w:val="009F5543"/>
    <w:rsid w:val="009F58E1"/>
    <w:rsid w:val="009F64E4"/>
    <w:rsid w:val="009F7DEA"/>
    <w:rsid w:val="00A04EF3"/>
    <w:rsid w:val="00A1130B"/>
    <w:rsid w:val="00A160B5"/>
    <w:rsid w:val="00A24C09"/>
    <w:rsid w:val="00A265A7"/>
    <w:rsid w:val="00A276F3"/>
    <w:rsid w:val="00A35143"/>
    <w:rsid w:val="00A61AC0"/>
    <w:rsid w:val="00A70916"/>
    <w:rsid w:val="00A74DEC"/>
    <w:rsid w:val="00A77AC0"/>
    <w:rsid w:val="00A90E71"/>
    <w:rsid w:val="00A918E4"/>
    <w:rsid w:val="00AA0D20"/>
    <w:rsid w:val="00AA7B9B"/>
    <w:rsid w:val="00AB5EBB"/>
    <w:rsid w:val="00AD5ED7"/>
    <w:rsid w:val="00AE1EB3"/>
    <w:rsid w:val="00AF399C"/>
    <w:rsid w:val="00AF4347"/>
    <w:rsid w:val="00AF4E3F"/>
    <w:rsid w:val="00AF5FE7"/>
    <w:rsid w:val="00AF614A"/>
    <w:rsid w:val="00B14349"/>
    <w:rsid w:val="00B176AC"/>
    <w:rsid w:val="00B26963"/>
    <w:rsid w:val="00B27347"/>
    <w:rsid w:val="00B378FC"/>
    <w:rsid w:val="00B47769"/>
    <w:rsid w:val="00B64087"/>
    <w:rsid w:val="00B704B8"/>
    <w:rsid w:val="00B73E4B"/>
    <w:rsid w:val="00B748F8"/>
    <w:rsid w:val="00B84243"/>
    <w:rsid w:val="00BA2901"/>
    <w:rsid w:val="00BB457A"/>
    <w:rsid w:val="00BC3F50"/>
    <w:rsid w:val="00BD378C"/>
    <w:rsid w:val="00BD6694"/>
    <w:rsid w:val="00BF35D5"/>
    <w:rsid w:val="00BF41B4"/>
    <w:rsid w:val="00C02282"/>
    <w:rsid w:val="00C122FD"/>
    <w:rsid w:val="00C13BA6"/>
    <w:rsid w:val="00C15DED"/>
    <w:rsid w:val="00C2216B"/>
    <w:rsid w:val="00C22D3C"/>
    <w:rsid w:val="00C2620E"/>
    <w:rsid w:val="00C346C9"/>
    <w:rsid w:val="00C62FC9"/>
    <w:rsid w:val="00C653CE"/>
    <w:rsid w:val="00C661EF"/>
    <w:rsid w:val="00C74119"/>
    <w:rsid w:val="00C7702A"/>
    <w:rsid w:val="00C81D4A"/>
    <w:rsid w:val="00C862B4"/>
    <w:rsid w:val="00CA0D87"/>
    <w:rsid w:val="00CB1A12"/>
    <w:rsid w:val="00CB2F43"/>
    <w:rsid w:val="00CB49CC"/>
    <w:rsid w:val="00CC6AEC"/>
    <w:rsid w:val="00CD3EB0"/>
    <w:rsid w:val="00CE53AB"/>
    <w:rsid w:val="00CE6182"/>
    <w:rsid w:val="00CF41AB"/>
    <w:rsid w:val="00CF7C2C"/>
    <w:rsid w:val="00D02EF1"/>
    <w:rsid w:val="00D03AC3"/>
    <w:rsid w:val="00D15A31"/>
    <w:rsid w:val="00D176EB"/>
    <w:rsid w:val="00D203FE"/>
    <w:rsid w:val="00D25C91"/>
    <w:rsid w:val="00D30723"/>
    <w:rsid w:val="00D344B2"/>
    <w:rsid w:val="00D57A78"/>
    <w:rsid w:val="00D60543"/>
    <w:rsid w:val="00D67D80"/>
    <w:rsid w:val="00D7443D"/>
    <w:rsid w:val="00D806D3"/>
    <w:rsid w:val="00D86375"/>
    <w:rsid w:val="00D91AB1"/>
    <w:rsid w:val="00D9648C"/>
    <w:rsid w:val="00D9720E"/>
    <w:rsid w:val="00DA6099"/>
    <w:rsid w:val="00DB2443"/>
    <w:rsid w:val="00DC1C23"/>
    <w:rsid w:val="00DC67CC"/>
    <w:rsid w:val="00DD0FAA"/>
    <w:rsid w:val="00DE529D"/>
    <w:rsid w:val="00DF5B32"/>
    <w:rsid w:val="00E014CF"/>
    <w:rsid w:val="00E01B4E"/>
    <w:rsid w:val="00E05C19"/>
    <w:rsid w:val="00E315FB"/>
    <w:rsid w:val="00E368FB"/>
    <w:rsid w:val="00E4383A"/>
    <w:rsid w:val="00E4728C"/>
    <w:rsid w:val="00E52005"/>
    <w:rsid w:val="00E62B26"/>
    <w:rsid w:val="00E67B26"/>
    <w:rsid w:val="00E84743"/>
    <w:rsid w:val="00E92177"/>
    <w:rsid w:val="00E96EFA"/>
    <w:rsid w:val="00EC2A5D"/>
    <w:rsid w:val="00EC3ECD"/>
    <w:rsid w:val="00EC4818"/>
    <w:rsid w:val="00EC698B"/>
    <w:rsid w:val="00ED031E"/>
    <w:rsid w:val="00ED782E"/>
    <w:rsid w:val="00EE0A75"/>
    <w:rsid w:val="00EE2D06"/>
    <w:rsid w:val="00EE483D"/>
    <w:rsid w:val="00EE578F"/>
    <w:rsid w:val="00EE6696"/>
    <w:rsid w:val="00EE6713"/>
    <w:rsid w:val="00EF4F8F"/>
    <w:rsid w:val="00EF7633"/>
    <w:rsid w:val="00F02021"/>
    <w:rsid w:val="00F07F8D"/>
    <w:rsid w:val="00F10B17"/>
    <w:rsid w:val="00F1295A"/>
    <w:rsid w:val="00F145F3"/>
    <w:rsid w:val="00F210CA"/>
    <w:rsid w:val="00F35F44"/>
    <w:rsid w:val="00F473CF"/>
    <w:rsid w:val="00F67979"/>
    <w:rsid w:val="00F81EF5"/>
    <w:rsid w:val="00F83116"/>
    <w:rsid w:val="00F87BF2"/>
    <w:rsid w:val="00FA5092"/>
    <w:rsid w:val="00FB4221"/>
    <w:rsid w:val="00FB7547"/>
    <w:rsid w:val="00FC2938"/>
    <w:rsid w:val="00FE0FDC"/>
    <w:rsid w:val="00FE375F"/>
    <w:rsid w:val="00FF7CE7"/>
    <w:rsid w:val="0130F61B"/>
    <w:rsid w:val="01D2FD20"/>
    <w:rsid w:val="022765D7"/>
    <w:rsid w:val="02358662"/>
    <w:rsid w:val="02677FAD"/>
    <w:rsid w:val="0403153C"/>
    <w:rsid w:val="04E85143"/>
    <w:rsid w:val="056F802E"/>
    <w:rsid w:val="068DDD32"/>
    <w:rsid w:val="07C5161C"/>
    <w:rsid w:val="07E5AF3B"/>
    <w:rsid w:val="080ED75A"/>
    <w:rsid w:val="0849C005"/>
    <w:rsid w:val="09113376"/>
    <w:rsid w:val="091679FB"/>
    <w:rsid w:val="0B14089F"/>
    <w:rsid w:val="0B19EECC"/>
    <w:rsid w:val="0D1CD7F2"/>
    <w:rsid w:val="0DB23894"/>
    <w:rsid w:val="0E0212B4"/>
    <w:rsid w:val="0E1FDDC7"/>
    <w:rsid w:val="103A6D5B"/>
    <w:rsid w:val="1160F9DB"/>
    <w:rsid w:val="11F7B959"/>
    <w:rsid w:val="12071C55"/>
    <w:rsid w:val="121F0A23"/>
    <w:rsid w:val="1370EBB8"/>
    <w:rsid w:val="15568225"/>
    <w:rsid w:val="1560A7B2"/>
    <w:rsid w:val="15837F94"/>
    <w:rsid w:val="16A55D8B"/>
    <w:rsid w:val="16DAAEE2"/>
    <w:rsid w:val="1723F012"/>
    <w:rsid w:val="1736AC11"/>
    <w:rsid w:val="175F6C8C"/>
    <w:rsid w:val="176DEC8B"/>
    <w:rsid w:val="181028AA"/>
    <w:rsid w:val="18256126"/>
    <w:rsid w:val="182C15F2"/>
    <w:rsid w:val="1BDE3AC0"/>
    <w:rsid w:val="1D5240A4"/>
    <w:rsid w:val="1D5711BE"/>
    <w:rsid w:val="1EB73277"/>
    <w:rsid w:val="1FD74A4D"/>
    <w:rsid w:val="1FFBA856"/>
    <w:rsid w:val="229CF4DA"/>
    <w:rsid w:val="239F59EB"/>
    <w:rsid w:val="23AE8DE8"/>
    <w:rsid w:val="2690AC08"/>
    <w:rsid w:val="28457394"/>
    <w:rsid w:val="29105DA5"/>
    <w:rsid w:val="29AFEC1A"/>
    <w:rsid w:val="2AA144BF"/>
    <w:rsid w:val="2AB03719"/>
    <w:rsid w:val="2AE2F889"/>
    <w:rsid w:val="2BCFA0B9"/>
    <w:rsid w:val="2C5DFF69"/>
    <w:rsid w:val="2C5E3742"/>
    <w:rsid w:val="2DC7F36B"/>
    <w:rsid w:val="2EAE68EF"/>
    <w:rsid w:val="30A62436"/>
    <w:rsid w:val="333239B6"/>
    <w:rsid w:val="33D7F2DC"/>
    <w:rsid w:val="34A96CC0"/>
    <w:rsid w:val="353ABD5A"/>
    <w:rsid w:val="35C7C25D"/>
    <w:rsid w:val="36A7880F"/>
    <w:rsid w:val="374DED8F"/>
    <w:rsid w:val="37FECDC6"/>
    <w:rsid w:val="389987A5"/>
    <w:rsid w:val="397CE0A0"/>
    <w:rsid w:val="399DA656"/>
    <w:rsid w:val="39E09715"/>
    <w:rsid w:val="3A44C2AB"/>
    <w:rsid w:val="3AB802C6"/>
    <w:rsid w:val="3BA165B3"/>
    <w:rsid w:val="3BB452F3"/>
    <w:rsid w:val="3BD8DEFD"/>
    <w:rsid w:val="3CB839BC"/>
    <w:rsid w:val="3D120D67"/>
    <w:rsid w:val="3D4E4CF3"/>
    <w:rsid w:val="3ECBBA3F"/>
    <w:rsid w:val="3F3ED64F"/>
    <w:rsid w:val="3F618F58"/>
    <w:rsid w:val="40AFADC4"/>
    <w:rsid w:val="40F0C224"/>
    <w:rsid w:val="423DF3B8"/>
    <w:rsid w:val="434F9D4C"/>
    <w:rsid w:val="437E4535"/>
    <w:rsid w:val="43F00E89"/>
    <w:rsid w:val="43FCDF04"/>
    <w:rsid w:val="4590EC95"/>
    <w:rsid w:val="45988CFA"/>
    <w:rsid w:val="49187C43"/>
    <w:rsid w:val="493925BA"/>
    <w:rsid w:val="49E426FC"/>
    <w:rsid w:val="4A1807C2"/>
    <w:rsid w:val="4AB1F763"/>
    <w:rsid w:val="4F7CDA42"/>
    <w:rsid w:val="4F825304"/>
    <w:rsid w:val="50D82D3D"/>
    <w:rsid w:val="5100C079"/>
    <w:rsid w:val="51F15726"/>
    <w:rsid w:val="51FB8906"/>
    <w:rsid w:val="527D7735"/>
    <w:rsid w:val="528CB959"/>
    <w:rsid w:val="5564C773"/>
    <w:rsid w:val="55C935F3"/>
    <w:rsid w:val="5737BDFE"/>
    <w:rsid w:val="581582F5"/>
    <w:rsid w:val="586C6E20"/>
    <w:rsid w:val="58F6A235"/>
    <w:rsid w:val="59A69AB6"/>
    <w:rsid w:val="5B15783B"/>
    <w:rsid w:val="5BEBE254"/>
    <w:rsid w:val="5D9839D1"/>
    <w:rsid w:val="5E5DC7DB"/>
    <w:rsid w:val="5E8D93F7"/>
    <w:rsid w:val="5EA07F48"/>
    <w:rsid w:val="5EBDAF1D"/>
    <w:rsid w:val="6004C056"/>
    <w:rsid w:val="605BB070"/>
    <w:rsid w:val="607DF98D"/>
    <w:rsid w:val="608FF171"/>
    <w:rsid w:val="60AD890B"/>
    <w:rsid w:val="60C19481"/>
    <w:rsid w:val="60E1BC28"/>
    <w:rsid w:val="619A4065"/>
    <w:rsid w:val="6223949C"/>
    <w:rsid w:val="62897520"/>
    <w:rsid w:val="62BD735E"/>
    <w:rsid w:val="646BD573"/>
    <w:rsid w:val="68842564"/>
    <w:rsid w:val="68EA0835"/>
    <w:rsid w:val="6B6F5F63"/>
    <w:rsid w:val="6C1DE6A5"/>
    <w:rsid w:val="6CDEA2CE"/>
    <w:rsid w:val="6F53C6AD"/>
    <w:rsid w:val="714B6EB7"/>
    <w:rsid w:val="72512835"/>
    <w:rsid w:val="742782C0"/>
    <w:rsid w:val="74622A18"/>
    <w:rsid w:val="74691787"/>
    <w:rsid w:val="75618D9D"/>
    <w:rsid w:val="764FE15F"/>
    <w:rsid w:val="76BF1743"/>
    <w:rsid w:val="7836FD39"/>
    <w:rsid w:val="78C0581B"/>
    <w:rsid w:val="7933E8F3"/>
    <w:rsid w:val="79F19BB7"/>
    <w:rsid w:val="7A3674E7"/>
    <w:rsid w:val="7B0C371C"/>
    <w:rsid w:val="7BA24AE0"/>
    <w:rsid w:val="7BA4A793"/>
    <w:rsid w:val="7BB76796"/>
    <w:rsid w:val="7BF046DB"/>
    <w:rsid w:val="7C13119E"/>
    <w:rsid w:val="7C30559E"/>
    <w:rsid w:val="7DA8F78F"/>
    <w:rsid w:val="7DCD261D"/>
    <w:rsid w:val="7E0F102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A702B93"/>
  <w15:chartTrackingRefBased/>
  <w15:docId w15:val="{1E19807C-AC1B-4742-BEDE-4AA3BD04D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uiPriority w:val="99"/>
    <w:rsid w:val="00790D2C"/>
    <w:rPr>
      <w:sz w:val="16"/>
      <w:szCs w:val="16"/>
    </w:rPr>
  </w:style>
  <w:style w:type="paragraph" w:styleId="CommentText">
    <w:name w:val="annotation text"/>
    <w:basedOn w:val="Normal"/>
    <w:link w:val="CommentTextChar"/>
    <w:uiPriority w:val="99"/>
    <w:rsid w:val="004E3A04"/>
    <w:rPr>
      <w:rFonts w:ascii="Times New Roman" w:hAnsi="Times New Roman"/>
    </w:rPr>
  </w:style>
  <w:style w:type="character" w:customStyle="1" w:styleId="CommentTextChar">
    <w:name w:val="Comment Text Char"/>
    <w:link w:val="CommentText"/>
    <w:uiPriority w:val="99"/>
    <w:rsid w:val="004E3A04"/>
    <w:rPr>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paragraph" w:customStyle="1" w:styleId="Level1">
    <w:name w:val="Level 1"/>
    <w:basedOn w:val="Normal"/>
    <w:rsid w:val="000C7A5D"/>
    <w:rPr>
      <w:rFonts w:ascii="Times New Roman" w:hAnsi="Times New Roman"/>
      <w:snapToGrid/>
      <w:sz w:val="24"/>
    </w:rPr>
  </w:style>
  <w:style w:type="character" w:styleId="FollowedHyperlink">
    <w:name w:val="FollowedHyperlink"/>
    <w:basedOn w:val="DefaultParagraphFont"/>
    <w:rsid w:val="003060CE"/>
    <w:rPr>
      <w:color w:val="954F72" w:themeColor="followedHyperlink"/>
      <w:u w:val="single"/>
    </w:rPr>
  </w:style>
  <w:style w:type="character" w:styleId="UnresolvedMention">
    <w:name w:val="Unresolved Mention"/>
    <w:basedOn w:val="DefaultParagraphFont"/>
    <w:uiPriority w:val="99"/>
    <w:semiHidden/>
    <w:unhideWhenUsed/>
    <w:rsid w:val="00994D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8216B934CBD134091BB2CB7C7EB5CB6" ma:contentTypeVersion="3" ma:contentTypeDescription="Create a new document." ma:contentTypeScope="" ma:versionID="52ea1e73d15c9c37cd442851f843fffe">
  <xsd:schema xmlns:xsd="http://www.w3.org/2001/XMLSchema" xmlns:xs="http://www.w3.org/2001/XMLSchema" xmlns:p="http://schemas.microsoft.com/office/2006/metadata/properties" xmlns:ns2="ef136b62-225f-4844-ae56-1ff095fe4f84" targetNamespace="http://schemas.microsoft.com/office/2006/metadata/properties" ma:root="true" ma:fieldsID="19028ff6e31630a7ca919b408637a410" ns2:_="">
    <xsd:import namespace="ef136b62-225f-4844-ae56-1ff095fe4f8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136b62-225f-4844-ae56-1ff095fe4f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77BCF7-13C2-434A-92B7-42D9D634958A}">
  <ds:schemaRefs>
    <ds:schemaRef ds:uri="http://schemas.openxmlformats.org/officeDocument/2006/bibliography"/>
  </ds:schemaRefs>
</ds:datastoreItem>
</file>

<file path=customXml/itemProps2.xml><?xml version="1.0" encoding="utf-8"?>
<ds:datastoreItem xmlns:ds="http://schemas.openxmlformats.org/officeDocument/2006/customXml" ds:itemID="{617DD2F3-4754-4FD3-95E5-6B8F1F09D21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F16761-6133-4918-891E-3064E1212E54}">
  <ds:schemaRefs>
    <ds:schemaRef ds:uri="http://schemas.microsoft.com/sharepoint/v3/contenttype/forms"/>
  </ds:schemaRefs>
</ds:datastoreItem>
</file>

<file path=customXml/itemProps4.xml><?xml version="1.0" encoding="utf-8"?>
<ds:datastoreItem xmlns:ds="http://schemas.openxmlformats.org/officeDocument/2006/customXml" ds:itemID="{486B1CE8-FD9B-4D3C-B92B-C80AAD777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136b62-225f-4844-ae56-1ff095fe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1366</TotalTime>
  <Pages>8</Pages>
  <Words>2292</Words>
  <Characters>13248</Characters>
  <Application>Microsoft Office Word</Application>
  <DocSecurity>0</DocSecurity>
  <Lines>401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Watts, Mary (ACF) (CTR)</dc:creator>
  <cp:lastModifiedBy>ACF PRA</cp:lastModifiedBy>
  <cp:revision>10</cp:revision>
  <dcterms:created xsi:type="dcterms:W3CDTF">2026-06-08T18:51:00Z</dcterms:created>
  <dcterms:modified xsi:type="dcterms:W3CDTF">2026-06-10T09:33:00Z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0x01010008216B934CBD134091BB2CB7C7EB5CB6</vt:lpwstr>
  </property>
  <property fmtid="{D5CDD505-2E9C-101B-9397-08002B2CF9AE}" pid="3" name="GrammarlyDocumentId">
    <vt:lpwstr>b34e5e01-4b1f-424f-8255-0854ad05eaf1</vt:lpwstr>
  </property>
  <property fmtid="{D5CDD505-2E9C-101B-9397-08002B2CF9AE}" pid="4" name="WorkflowChangePath">
    <vt:lpwstr>dcd4658e-bb5d-4d4a-b6e3-2b36798d318c,4;</vt:lpwstr>
  </property>
  <property fmtid="{D5CDD505-2E9C-101B-9397-08002B2CF9AE}" pid="5" name="_dlc_DocIdItemGuid">
    <vt:lpwstr>c975457a-1d63-4de1-887b-65e6bef677bf</vt:lpwstr>
  </property>
</Properties>
</file>