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4EE" w:rsidRPr="00870C21" w:rsidP="00371FF7" w14:paraId="63F58F95" w14:textId="77777777">
      <w:pPr>
        <w:shd w:val="clear" w:color="auto" w:fill="FFFFFF"/>
        <w:spacing w:after="0" w:line="418" w:lineRule="atLeast"/>
        <w:jc w:val="center"/>
        <w:rPr>
          <w:rFonts w:ascii="Times New Roman" w:eastAsia="Times New Roman" w:hAnsi="Times New Roman" w:cs="Times New Roman"/>
          <w:sz w:val="24"/>
          <w:szCs w:val="24"/>
        </w:rPr>
      </w:pPr>
      <w:r w:rsidRPr="007524EE">
        <w:rPr>
          <w:rFonts w:ascii="Times New Roman" w:eastAsia="Times New Roman" w:hAnsi="Times New Roman" w:cs="Times New Roman"/>
          <w:color w:val="333333"/>
          <w:sz w:val="24"/>
          <w:szCs w:val="24"/>
        </w:rPr>
        <w:br/>
      </w:r>
    </w:p>
    <w:p w:rsidR="007524EE" w:rsidRPr="00870C21" w:rsidP="00371FF7" w14:paraId="5E922EE7" w14:textId="09BBE199">
      <w:pPr>
        <w:shd w:val="clear" w:color="auto" w:fill="FFFFFF"/>
        <w:spacing w:after="0" w:line="418" w:lineRule="atLeast"/>
        <w:jc w:val="center"/>
        <w:rPr>
          <w:rFonts w:ascii="Arial" w:eastAsia="Times New Roman" w:hAnsi="Arial" w:cs="Arial"/>
          <w:sz w:val="40"/>
          <w:szCs w:val="40"/>
        </w:rPr>
      </w:pPr>
      <w:r w:rsidRPr="00870C21">
        <w:rPr>
          <w:rFonts w:ascii="Arial" w:eastAsia="Times New Roman" w:hAnsi="Arial" w:cs="Arial"/>
          <w:b/>
          <w:bCs/>
          <w:sz w:val="40"/>
          <w:szCs w:val="40"/>
        </w:rPr>
        <w:t>Social Services Block Grant (SSBG) Post-Expenditure Report, Pre-Expenditure, and Intended Use Plan</w:t>
      </w:r>
    </w:p>
    <w:p w:rsidR="007524EE" w:rsidRPr="00870C21" w:rsidP="00371FF7" w14:paraId="291E43B6" w14:textId="77777777">
      <w:pPr>
        <w:shd w:val="clear" w:color="auto" w:fill="FFFFFF"/>
        <w:spacing w:after="0" w:line="418" w:lineRule="atLeast"/>
        <w:rPr>
          <w:rFonts w:ascii="Arial" w:eastAsia="Times New Roman" w:hAnsi="Arial" w:cs="Arial"/>
          <w:sz w:val="24"/>
          <w:szCs w:val="24"/>
        </w:rPr>
      </w:pPr>
    </w:p>
    <w:p w:rsidR="007524EE" w:rsidRPr="00870C21" w:rsidP="00371FF7" w14:paraId="09187742" w14:textId="77777777">
      <w:pPr>
        <w:shd w:val="clear" w:color="auto" w:fill="FFFFFF"/>
        <w:spacing w:after="0" w:line="418" w:lineRule="atLeast"/>
        <w:rPr>
          <w:rFonts w:ascii="Arial" w:eastAsia="Times New Roman" w:hAnsi="Arial" w:cs="Arial"/>
          <w:sz w:val="24"/>
          <w:szCs w:val="24"/>
        </w:rPr>
      </w:pPr>
    </w:p>
    <w:p w:rsidR="007524EE" w:rsidRPr="00870C21" w:rsidP="00371FF7" w14:paraId="0AA3E629" w14:textId="77777777">
      <w:pPr>
        <w:shd w:val="clear" w:color="auto" w:fill="FFFFFF"/>
        <w:spacing w:after="0" w:line="418" w:lineRule="atLeast"/>
        <w:jc w:val="center"/>
        <w:rPr>
          <w:rFonts w:ascii="Arial" w:eastAsia="Times New Roman" w:hAnsi="Arial" w:cs="Arial"/>
          <w:sz w:val="32"/>
          <w:szCs w:val="32"/>
        </w:rPr>
      </w:pPr>
      <w:r w:rsidRPr="00870C21">
        <w:rPr>
          <w:rFonts w:ascii="Arial" w:eastAsia="Times New Roman" w:hAnsi="Arial" w:cs="Arial"/>
          <w:b/>
          <w:bCs/>
          <w:sz w:val="32"/>
          <w:szCs w:val="32"/>
        </w:rPr>
        <w:t>OMB Information Collection Request</w:t>
      </w:r>
    </w:p>
    <w:p w:rsidR="007524EE" w:rsidRPr="00870C21" w:rsidP="00371FF7" w14:paraId="4CC17BCD" w14:textId="77777777">
      <w:pPr>
        <w:shd w:val="clear" w:color="auto" w:fill="FFFFFF"/>
        <w:spacing w:after="0" w:line="418" w:lineRule="atLeast"/>
        <w:jc w:val="center"/>
        <w:rPr>
          <w:rFonts w:ascii="Arial" w:eastAsia="Times New Roman" w:hAnsi="Arial" w:cs="Arial"/>
          <w:sz w:val="32"/>
          <w:szCs w:val="32"/>
        </w:rPr>
      </w:pPr>
      <w:r w:rsidRPr="00870C21">
        <w:rPr>
          <w:rFonts w:ascii="Arial" w:eastAsia="Times New Roman" w:hAnsi="Arial" w:cs="Arial"/>
          <w:b/>
          <w:bCs/>
          <w:sz w:val="32"/>
          <w:szCs w:val="32"/>
        </w:rPr>
        <w:t>0970-0234</w:t>
      </w:r>
    </w:p>
    <w:p w:rsidR="007524EE" w:rsidRPr="00870C21" w:rsidP="00371FF7" w14:paraId="35B73733" w14:textId="77777777">
      <w:pPr>
        <w:shd w:val="clear" w:color="auto" w:fill="FFFFFF"/>
        <w:spacing w:after="0" w:line="315" w:lineRule="atLeast"/>
        <w:rPr>
          <w:rFonts w:ascii="Arial" w:eastAsia="Times New Roman" w:hAnsi="Arial" w:cs="Arial"/>
          <w:sz w:val="24"/>
          <w:szCs w:val="24"/>
        </w:rPr>
      </w:pPr>
    </w:p>
    <w:p w:rsidR="007524EE" w:rsidRPr="00870C21" w:rsidP="001D6BD2" w14:paraId="50CD5D31" w14:textId="77777777">
      <w:pPr>
        <w:shd w:val="clear" w:color="auto" w:fill="FFFFFF"/>
        <w:spacing w:after="720" w:line="259" w:lineRule="atLeast"/>
        <w:jc w:val="center"/>
        <w:rPr>
          <w:rFonts w:ascii="Arial" w:eastAsia="Times New Roman" w:hAnsi="Arial" w:cs="Arial"/>
          <w:sz w:val="24"/>
          <w:szCs w:val="24"/>
        </w:rPr>
      </w:pPr>
      <w:r w:rsidRPr="00870C21">
        <w:rPr>
          <w:rFonts w:ascii="Arial" w:eastAsia="Times New Roman" w:hAnsi="Arial" w:cs="Arial"/>
          <w:sz w:val="24"/>
          <w:szCs w:val="24"/>
        </w:rPr>
        <w:br/>
      </w:r>
    </w:p>
    <w:p w:rsidR="007524EE" w:rsidRPr="00870C21" w:rsidP="00371FF7" w14:paraId="717D0D72" w14:textId="77777777">
      <w:pPr>
        <w:shd w:val="clear" w:color="auto" w:fill="FFFFFF"/>
        <w:spacing w:after="360" w:line="315" w:lineRule="atLeast"/>
        <w:jc w:val="center"/>
        <w:rPr>
          <w:rFonts w:ascii="Arial" w:eastAsia="Times New Roman" w:hAnsi="Arial" w:cs="Arial"/>
          <w:sz w:val="48"/>
          <w:szCs w:val="48"/>
        </w:rPr>
      </w:pPr>
      <w:r w:rsidRPr="00870C21">
        <w:rPr>
          <w:rFonts w:ascii="Arial" w:eastAsia="Times New Roman" w:hAnsi="Arial" w:cs="Arial"/>
          <w:b/>
          <w:bCs/>
          <w:sz w:val="48"/>
          <w:szCs w:val="48"/>
        </w:rPr>
        <w:t xml:space="preserve">Supporting Statement </w:t>
      </w:r>
      <w:r w:rsidRPr="00870C21">
        <w:rPr>
          <w:rFonts w:ascii="Arial" w:eastAsia="Times New Roman" w:hAnsi="Arial" w:cs="Arial"/>
          <w:b/>
          <w:bCs/>
          <w:sz w:val="48"/>
          <w:szCs w:val="48"/>
        </w:rPr>
        <w:t>Part</w:t>
      </w:r>
      <w:r w:rsidRPr="00870C21">
        <w:rPr>
          <w:rFonts w:ascii="Arial" w:eastAsia="Times New Roman" w:hAnsi="Arial" w:cs="Arial"/>
          <w:b/>
          <w:bCs/>
          <w:sz w:val="48"/>
          <w:szCs w:val="48"/>
        </w:rPr>
        <w:t xml:space="preserve"> A - Justification</w:t>
      </w:r>
    </w:p>
    <w:p w:rsidR="007524EE" w:rsidRPr="00870C21" w:rsidP="00371FF7" w14:paraId="6579B6CA" w14:textId="3C27DFAC">
      <w:pPr>
        <w:shd w:val="clear" w:color="auto" w:fill="FFFFFF"/>
        <w:spacing w:after="835" w:line="259" w:lineRule="atLeast"/>
        <w:jc w:val="center"/>
        <w:rPr>
          <w:rFonts w:ascii="Arial" w:eastAsia="Times New Roman" w:hAnsi="Arial" w:cs="Arial"/>
          <w:sz w:val="32"/>
          <w:szCs w:val="32"/>
        </w:rPr>
      </w:pPr>
      <w:r w:rsidRPr="00870C21">
        <w:rPr>
          <w:rFonts w:ascii="Arial" w:eastAsia="Times New Roman" w:hAnsi="Arial" w:cs="Arial"/>
          <w:b/>
          <w:bCs/>
          <w:sz w:val="32"/>
          <w:szCs w:val="32"/>
        </w:rPr>
        <w:t>February</w:t>
      </w:r>
      <w:r w:rsidRPr="00870C21">
        <w:rPr>
          <w:rFonts w:ascii="Arial" w:eastAsia="Times New Roman" w:hAnsi="Arial" w:cs="Arial"/>
          <w:b/>
          <w:bCs/>
          <w:sz w:val="32"/>
          <w:szCs w:val="32"/>
        </w:rPr>
        <w:t xml:space="preserve"> 202</w:t>
      </w:r>
      <w:r w:rsidRPr="00870C21" w:rsidR="00B91283">
        <w:rPr>
          <w:rFonts w:ascii="Arial" w:eastAsia="Times New Roman" w:hAnsi="Arial" w:cs="Arial"/>
          <w:b/>
          <w:bCs/>
          <w:sz w:val="32"/>
          <w:szCs w:val="32"/>
        </w:rPr>
        <w:t>4</w:t>
      </w:r>
    </w:p>
    <w:p w:rsidR="007524EE" w:rsidRPr="00870C21" w:rsidP="001D6BD2" w14:paraId="09663E46" w14:textId="7973CF8C">
      <w:pPr>
        <w:shd w:val="clear" w:color="auto" w:fill="FFFFFF"/>
        <w:spacing w:after="0" w:line="418" w:lineRule="atLeast"/>
        <w:jc w:val="center"/>
        <w:rPr>
          <w:rFonts w:ascii="Arial" w:eastAsia="Times New Roman" w:hAnsi="Arial" w:cs="Arial"/>
          <w:sz w:val="32"/>
          <w:szCs w:val="32"/>
        </w:rPr>
      </w:pPr>
      <w:r w:rsidRPr="00870C21">
        <w:rPr>
          <w:rFonts w:ascii="Arial" w:eastAsia="Times New Roman" w:hAnsi="Arial" w:cs="Arial"/>
          <w:b/>
          <w:bCs/>
          <w:sz w:val="32"/>
          <w:szCs w:val="32"/>
        </w:rPr>
        <w:t>Type of Request</w:t>
      </w:r>
      <w:r w:rsidRPr="00870C21">
        <w:rPr>
          <w:rFonts w:ascii="Arial" w:eastAsia="Times New Roman" w:hAnsi="Arial" w:cs="Arial"/>
          <w:sz w:val="32"/>
          <w:szCs w:val="32"/>
        </w:rPr>
        <w:t>: Revision</w:t>
      </w:r>
    </w:p>
    <w:p w:rsidR="007524EE" w:rsidRPr="00870C21" w:rsidP="00371FF7" w14:paraId="1E4CD4FA"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04933F02"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1FE4EE72"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2C9C402A"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0156604E"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69B94A07"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0459E981"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085FBB94" w14:textId="77777777">
      <w:pPr>
        <w:shd w:val="clear" w:color="auto" w:fill="FFFFFF"/>
        <w:spacing w:after="0" w:line="315" w:lineRule="atLeast"/>
        <w:jc w:val="center"/>
        <w:rPr>
          <w:rFonts w:ascii="Arial" w:eastAsia="Times New Roman" w:hAnsi="Arial" w:cs="Arial"/>
          <w:sz w:val="24"/>
          <w:szCs w:val="24"/>
        </w:rPr>
      </w:pPr>
    </w:p>
    <w:p w:rsidR="007524EE" w:rsidRPr="00870C21" w:rsidP="00371FF7" w14:paraId="5BABDBB4" w14:textId="77777777">
      <w:pPr>
        <w:shd w:val="clear" w:color="auto" w:fill="FFFFFF"/>
        <w:spacing w:after="0" w:line="315" w:lineRule="atLeast"/>
        <w:jc w:val="center"/>
        <w:rPr>
          <w:rFonts w:ascii="Arial" w:eastAsia="Times New Roman" w:hAnsi="Arial" w:cs="Arial"/>
          <w:sz w:val="24"/>
          <w:szCs w:val="24"/>
        </w:rPr>
      </w:pPr>
      <w:r w:rsidRPr="00870C21">
        <w:rPr>
          <w:rFonts w:ascii="Arial" w:eastAsia="Times New Roman" w:hAnsi="Arial" w:cs="Arial"/>
          <w:sz w:val="24"/>
          <w:szCs w:val="24"/>
        </w:rPr>
        <w:t>Submitted By:</w:t>
      </w:r>
    </w:p>
    <w:p w:rsidR="007524EE" w:rsidRPr="00870C21" w:rsidP="00371FF7" w14:paraId="6B187868" w14:textId="77777777">
      <w:pPr>
        <w:shd w:val="clear" w:color="auto" w:fill="FFFFFF"/>
        <w:spacing w:after="0" w:line="315" w:lineRule="atLeast"/>
        <w:jc w:val="center"/>
        <w:rPr>
          <w:rFonts w:ascii="Arial" w:eastAsia="Times New Roman" w:hAnsi="Arial" w:cs="Arial"/>
          <w:sz w:val="24"/>
          <w:szCs w:val="24"/>
        </w:rPr>
      </w:pPr>
      <w:r w:rsidRPr="00870C21">
        <w:rPr>
          <w:rFonts w:ascii="Arial" w:eastAsia="Times New Roman" w:hAnsi="Arial" w:cs="Arial"/>
          <w:sz w:val="24"/>
          <w:szCs w:val="24"/>
        </w:rPr>
        <w:t>Office of Community Services</w:t>
      </w:r>
    </w:p>
    <w:p w:rsidR="007524EE" w:rsidRPr="00870C21" w:rsidP="00371FF7" w14:paraId="24D01CD4" w14:textId="77777777">
      <w:pPr>
        <w:shd w:val="clear" w:color="auto" w:fill="FFFFFF"/>
        <w:spacing w:after="0" w:line="315" w:lineRule="atLeast"/>
        <w:jc w:val="center"/>
        <w:rPr>
          <w:rFonts w:ascii="Arial" w:eastAsia="Times New Roman" w:hAnsi="Arial" w:cs="Arial"/>
          <w:sz w:val="24"/>
          <w:szCs w:val="24"/>
        </w:rPr>
      </w:pPr>
      <w:r w:rsidRPr="00870C21">
        <w:rPr>
          <w:rFonts w:ascii="Arial" w:eastAsia="Times New Roman" w:hAnsi="Arial" w:cs="Arial"/>
          <w:sz w:val="24"/>
          <w:szCs w:val="24"/>
        </w:rPr>
        <w:t>Administration for Children and Families</w:t>
      </w:r>
    </w:p>
    <w:p w:rsidR="007524EE" w:rsidRPr="00870C21" w:rsidP="00371FF7" w14:paraId="5EEEABFC" w14:textId="77777777">
      <w:pPr>
        <w:shd w:val="clear" w:color="auto" w:fill="FFFFFF"/>
        <w:spacing w:after="0" w:line="315" w:lineRule="atLeast"/>
        <w:jc w:val="center"/>
        <w:rPr>
          <w:rFonts w:ascii="Arial" w:eastAsia="Times New Roman" w:hAnsi="Arial" w:cs="Arial"/>
          <w:sz w:val="24"/>
          <w:szCs w:val="24"/>
        </w:rPr>
      </w:pPr>
      <w:r w:rsidRPr="00870C21">
        <w:rPr>
          <w:rFonts w:ascii="Arial" w:eastAsia="Times New Roman" w:hAnsi="Arial" w:cs="Arial"/>
          <w:sz w:val="24"/>
          <w:szCs w:val="24"/>
        </w:rPr>
        <w:t>U.S. Department of Health and Human Services</w:t>
      </w:r>
    </w:p>
    <w:p w:rsidR="007524EE" w:rsidRPr="00870C21" w:rsidP="00371FF7" w14:paraId="0548BA84" w14:textId="77777777">
      <w:pPr>
        <w:shd w:val="clear" w:color="auto" w:fill="FFFFFF"/>
        <w:spacing w:after="0" w:line="315" w:lineRule="atLeast"/>
        <w:jc w:val="center"/>
        <w:rPr>
          <w:rFonts w:ascii="Times New Roman" w:eastAsia="Times New Roman" w:hAnsi="Times New Roman" w:cs="Times New Roman"/>
          <w:sz w:val="24"/>
          <w:szCs w:val="24"/>
        </w:rPr>
      </w:pPr>
    </w:p>
    <w:p w:rsidR="00D004BC" w:rsidRPr="00870C21" w:rsidP="001137C6" w14:paraId="6C26956D" w14:textId="58C5615D">
      <w:pPr>
        <w:pStyle w:val="CommentText"/>
        <w:spacing w:after="0"/>
        <w:rPr>
          <w:rFonts w:ascii="Times New Roman" w:hAnsi="Times New Roman"/>
          <w:sz w:val="24"/>
          <w:szCs w:val="24"/>
        </w:rPr>
      </w:pPr>
      <w:bookmarkStart w:id="0" w:name="_Hlk157700369"/>
      <w:r w:rsidRPr="00870C21">
        <w:rPr>
          <w:rFonts w:ascii="Times New Roman" w:hAnsi="Times New Roman"/>
          <w:sz w:val="24"/>
          <w:szCs w:val="24"/>
        </w:rPr>
        <w:t>The Administration for Children and Families (ACF) is requesting a revision to the Social Services Block Grant (SSBG) Post-Expenditure Report, Pre-Expenditure Report, and Intended Use Plan (OMB #0970-0234). ACF is proposing to modify four column titles on the pre-and post-expenditure reports. The proposed changes will clarify for grant recipients what data they should include, which will increase their accuracy in reporting and minimize the need for resubmission to address incorrect data.</w:t>
      </w:r>
    </w:p>
    <w:p w:rsidR="00D004BC" w:rsidRPr="00870C21" w:rsidP="00D004BC" w14:paraId="0BAB019E" w14:textId="77777777">
      <w:pPr>
        <w:pStyle w:val="CommentText"/>
        <w:spacing w:after="0"/>
        <w:ind w:left="720"/>
      </w:pPr>
    </w:p>
    <w:bookmarkEnd w:id="0"/>
    <w:p w:rsidR="007524EE" w:rsidRPr="00870C21" w:rsidP="001D6BD2" w14:paraId="51C273CE" w14:textId="50CF946B">
      <w:pPr>
        <w:pStyle w:val="ListParagraph"/>
        <w:numPr>
          <w:ilvl w:val="0"/>
          <w:numId w:val="35"/>
        </w:num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Circumstances Making the Collection of Information Necessary</w:t>
      </w:r>
    </w:p>
    <w:p w:rsidR="003A44BE" w:rsidRPr="00870C21" w:rsidP="00B44681" w14:paraId="192C93A4" w14:textId="7777777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Social Services Block Grant (SSBG) program is authorized under Title XX of the Social Security Act, as amended, and is codified at 42 U.S.C. §1397 through §1397e. The implementing regulations for this and other block grant programs authorized by the Omnibus Budget Reconciliation Act of 1981 are published at 45 C.F.R. Part 96. Those regulations include both specific requirements and general administrative requirements </w:t>
      </w:r>
      <w:r w:rsidRPr="00870C21" w:rsidR="00D62581">
        <w:rPr>
          <w:rFonts w:ascii="Times New Roman" w:eastAsia="Times New Roman" w:hAnsi="Times New Roman" w:cs="Times New Roman"/>
          <w:sz w:val="24"/>
          <w:szCs w:val="24"/>
        </w:rPr>
        <w:t>instead of</w:t>
      </w:r>
      <w:r w:rsidRPr="00870C21">
        <w:rPr>
          <w:rFonts w:ascii="Times New Roman" w:eastAsia="Times New Roman" w:hAnsi="Times New Roman" w:cs="Times New Roman"/>
          <w:sz w:val="24"/>
          <w:szCs w:val="24"/>
        </w:rPr>
        <w:t xml:space="preserve"> 45 CFR Part 92 (the HHS implementation of the A-102 Common Rule) for the covered block grant programs. Requirements specific to SSBG are found in 45 C.F.R. §96.70 through §96.74.</w:t>
      </w:r>
    </w:p>
    <w:p w:rsidR="003A44BE" w:rsidRPr="00870C21" w:rsidP="00B44681" w14:paraId="5ADAD30C" w14:textId="77777777">
      <w:pPr>
        <w:shd w:val="clear" w:color="auto" w:fill="FFFFFF"/>
        <w:spacing w:after="0" w:line="240" w:lineRule="auto"/>
        <w:ind w:left="360" w:hanging="360"/>
        <w:rPr>
          <w:rFonts w:ascii="Times New Roman" w:eastAsia="Times New Roman" w:hAnsi="Times New Roman" w:cs="Times New Roman"/>
          <w:sz w:val="24"/>
          <w:szCs w:val="24"/>
        </w:rPr>
      </w:pPr>
    </w:p>
    <w:p w:rsidR="003A44BE" w:rsidRPr="00870C21" w:rsidP="00B44681" w14:paraId="471D8214" w14:textId="7777777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SSBG program provides funds to States, the District of Columbia, Guam, Puerto Rico, American Samoa, the Virgin Islands, and the Commonwealth of the Northern Mariana Islands (hereinafter referred to as States) to support social services for adults and children in support of five statutory goals (42 U.S.C. §1397). Funds are allocated to the States </w:t>
      </w:r>
      <w:r w:rsidRPr="00870C21" w:rsidR="00D62581">
        <w:rPr>
          <w:rFonts w:ascii="Times New Roman" w:eastAsia="Times New Roman" w:hAnsi="Times New Roman" w:cs="Times New Roman"/>
          <w:sz w:val="24"/>
          <w:szCs w:val="24"/>
        </w:rPr>
        <w:t>based on</w:t>
      </w:r>
      <w:r w:rsidRPr="00870C21">
        <w:rPr>
          <w:rFonts w:ascii="Times New Roman" w:eastAsia="Times New Roman" w:hAnsi="Times New Roman" w:cs="Times New Roman"/>
          <w:sz w:val="24"/>
          <w:szCs w:val="24"/>
        </w:rPr>
        <w:t xml:space="preserve"> population as block grants for the administration of their social services programs.</w:t>
      </w:r>
    </w:p>
    <w:p w:rsidR="003A44BE" w:rsidRPr="00870C21" w:rsidP="00B44681" w14:paraId="64C98006" w14:textId="77777777">
      <w:pPr>
        <w:shd w:val="clear" w:color="auto" w:fill="FFFFFF"/>
        <w:spacing w:after="0" w:line="240" w:lineRule="auto"/>
        <w:ind w:left="360" w:hanging="360"/>
        <w:rPr>
          <w:rFonts w:ascii="Times New Roman" w:eastAsia="Times New Roman" w:hAnsi="Times New Roman" w:cs="Times New Roman"/>
          <w:sz w:val="24"/>
          <w:szCs w:val="24"/>
        </w:rPr>
      </w:pPr>
    </w:p>
    <w:p w:rsidR="003A44BE" w:rsidRPr="00870C21" w:rsidP="00B44681" w14:paraId="2B749325" w14:textId="7777777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Within specific legal limitations (42 U.S.C. §1397d), States have substantial discretion in the use of funds and may determine what services will be provided, who will be eligible, and how funds will be distributed among the various services. State or local SSBG agencies (i.e., county, city, and regional offices) may provide the services or purchase them from qualified agencies or organizations. States report recipients of SSBG-funded services as any individuals who receive a service funded, in whole or in part, by SSBG.</w:t>
      </w:r>
    </w:p>
    <w:p w:rsidR="003A44BE" w:rsidRPr="00870C21" w:rsidP="00B44681" w14:paraId="0811F4FD" w14:textId="77777777">
      <w:pPr>
        <w:shd w:val="clear" w:color="auto" w:fill="FFFFFF"/>
        <w:spacing w:after="0" w:line="240" w:lineRule="auto"/>
        <w:ind w:left="360" w:hanging="360"/>
        <w:rPr>
          <w:rFonts w:ascii="Times New Roman" w:eastAsia="Times New Roman" w:hAnsi="Times New Roman" w:cs="Times New Roman"/>
          <w:sz w:val="24"/>
          <w:szCs w:val="24"/>
        </w:rPr>
      </w:pPr>
    </w:p>
    <w:p w:rsidR="003A44BE" w:rsidRPr="00870C21" w:rsidP="00B44681" w14:paraId="00CB8F9A" w14:textId="3FF9554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Before a State receives SSBG funds, it must provide information specifying the intended use of the block grant. Annually, states must provide the ACF Office of Community Services (OCS) with information on the types of activities to be supported, the characteristics of individuals to be served, and the estimated amount of SSBG funding that will be allocated to each service category (42 U.S.C. §1397c). Historically, there was no specific format required for states to submit this information and ACF recommended that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xml:space="preserve"> use the post-expenditure reporting form to identify the intended use of funding estimates. A state’s plan for the intended use of funds </w:t>
      </w:r>
      <w:r w:rsidRPr="00870C21" w:rsidR="00D62581">
        <w:rPr>
          <w:rFonts w:ascii="Times New Roman" w:eastAsia="Times New Roman" w:hAnsi="Times New Roman" w:cs="Times New Roman"/>
          <w:sz w:val="24"/>
          <w:szCs w:val="24"/>
        </w:rPr>
        <w:t>is</w:t>
      </w:r>
      <w:r w:rsidRPr="00870C21">
        <w:rPr>
          <w:rFonts w:ascii="Times New Roman" w:eastAsia="Times New Roman" w:hAnsi="Times New Roman" w:cs="Times New Roman"/>
          <w:sz w:val="24"/>
          <w:szCs w:val="24"/>
        </w:rPr>
        <w:t xml:space="preserve"> used to provide funding OCS with pre-expenditure estimates, which are </w:t>
      </w:r>
      <w:r w:rsidRPr="00870C21">
        <w:rPr>
          <w:rFonts w:ascii="Times New Roman" w:eastAsia="Times New Roman" w:hAnsi="Times New Roman" w:cs="Times New Roman"/>
          <w:sz w:val="24"/>
          <w:szCs w:val="24"/>
        </w:rPr>
        <w:t>most commonly provided</w:t>
      </w:r>
      <w:r w:rsidRPr="00870C21">
        <w:rPr>
          <w:rFonts w:ascii="Times New Roman" w:eastAsia="Times New Roman" w:hAnsi="Times New Roman" w:cs="Times New Roman"/>
          <w:sz w:val="24"/>
          <w:szCs w:val="24"/>
        </w:rPr>
        <w:t xml:space="preserve"> through the post-expenditure reporting form and are referred to as the pre-expenditure report. The estimated burden for the submission of pre-expenditure report data has historically been included within the burden estimates for the SSBG Post-Expenditure Report (0970-0234).</w:t>
      </w:r>
    </w:p>
    <w:p w:rsidR="003A44BE" w:rsidRPr="00870C21" w:rsidP="00D004BC" w14:paraId="5F06FEAD" w14:textId="77777777">
      <w:pPr>
        <w:shd w:val="clear" w:color="auto" w:fill="FFFFFF"/>
        <w:spacing w:after="0" w:line="240" w:lineRule="auto"/>
        <w:ind w:left="720"/>
        <w:rPr>
          <w:rFonts w:ascii="Times New Roman" w:eastAsia="Times New Roman" w:hAnsi="Times New Roman" w:cs="Times New Roman"/>
          <w:sz w:val="24"/>
          <w:szCs w:val="24"/>
        </w:rPr>
      </w:pPr>
    </w:p>
    <w:p w:rsidR="007524EE" w:rsidRPr="00870C21" w:rsidP="000E441D" w14:paraId="33A91607" w14:textId="5EFC0247">
      <w:p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Information reported includes an annual total of adults and children served and expenditures in each of the 29 service categories. Post-expenditure reporting requirements for SSBG are </w:t>
      </w:r>
      <w:r w:rsidRPr="00870C21">
        <w:rPr>
          <w:rFonts w:ascii="Times New Roman" w:eastAsia="Times New Roman" w:hAnsi="Times New Roman" w:cs="Times New Roman"/>
          <w:sz w:val="24"/>
          <w:szCs w:val="24"/>
        </w:rPr>
        <w:t>codified at 45 C.F.R. § 96.74. States must submit their annual Post-Expenditure Report within 6 months of the end of the period covered by the report, and must address:</w:t>
      </w:r>
      <w:r w:rsidRPr="00870C21" w:rsidR="00B44681">
        <w:rPr>
          <w:rFonts w:ascii="Times New Roman" w:eastAsia="Times New Roman" w:hAnsi="Times New Roman" w:cs="Times New Roman"/>
          <w:sz w:val="24"/>
          <w:szCs w:val="24"/>
        </w:rPr>
        <w:t xml:space="preserve"> </w:t>
      </w:r>
    </w:p>
    <w:p w:rsidR="007524EE" w:rsidRPr="00870C21" w:rsidP="001137C6" w14:paraId="4DB3FC21" w14:textId="058C733A">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number of individuals (broken out by children, adults </w:t>
      </w:r>
      <w:r w:rsidRPr="00870C21" w:rsidR="001C53B4">
        <w:rPr>
          <w:rFonts w:ascii="Times New Roman" w:eastAsia="Times New Roman" w:hAnsi="Times New Roman" w:cs="Times New Roman"/>
          <w:sz w:val="24"/>
          <w:szCs w:val="24"/>
        </w:rPr>
        <w:t>aged</w:t>
      </w:r>
      <w:r w:rsidRPr="00870C21">
        <w:rPr>
          <w:rFonts w:ascii="Times New Roman" w:eastAsia="Times New Roman" w:hAnsi="Times New Roman" w:cs="Times New Roman"/>
          <w:sz w:val="24"/>
          <w:szCs w:val="24"/>
        </w:rPr>
        <w:t xml:space="preserve"> 59 and younger, adults </w:t>
      </w:r>
      <w:r w:rsidRPr="00870C21" w:rsidR="001C53B4">
        <w:rPr>
          <w:rFonts w:ascii="Times New Roman" w:eastAsia="Times New Roman" w:hAnsi="Times New Roman" w:cs="Times New Roman"/>
          <w:sz w:val="24"/>
          <w:szCs w:val="24"/>
        </w:rPr>
        <w:t>aged</w:t>
      </w:r>
      <w:r w:rsidRPr="00870C21">
        <w:rPr>
          <w:rFonts w:ascii="Times New Roman" w:eastAsia="Times New Roman" w:hAnsi="Times New Roman" w:cs="Times New Roman"/>
          <w:sz w:val="24"/>
          <w:szCs w:val="24"/>
        </w:rPr>
        <w:t xml:space="preserve"> 60 and older, and adults of unknown age) who receive services paid for in whole, or in part, with Federal funds under the SSBG.</w:t>
      </w:r>
    </w:p>
    <w:p w:rsidR="007524EE" w:rsidRPr="00870C21" w:rsidP="001137C6" w14:paraId="0CDC4BB1"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amount of SSBG funds spent in providing each service.</w:t>
      </w:r>
    </w:p>
    <w:p w:rsidR="007524EE" w:rsidRPr="00870C21" w:rsidP="001137C6" w14:paraId="7A5086A3"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amount of funds transferred into SSBG from the Temporary Assistance for Needy Families (TANF) block grant.</w:t>
      </w:r>
    </w:p>
    <w:p w:rsidR="007524EE" w:rsidRPr="00870C21" w:rsidP="001137C6" w14:paraId="7E4A0409" w14:textId="02D9A7D6">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amount of carryover funds expended in the current fiscal year and intended to be carried over into the next fiscal year.</w:t>
      </w:r>
    </w:p>
    <w:p w:rsidR="007524EE" w:rsidRPr="00870C21" w:rsidP="001137C6" w14:paraId="7889D1F7" w14:textId="13ECA70A">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total amount of Federal, State, and local funds spent in providing each service, including SSBG funds.</w:t>
      </w:r>
    </w:p>
    <w:p w:rsidR="007524EE" w:rsidRPr="00870C21" w:rsidP="001137C6" w14:paraId="5A48E4F1"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method(s) by which each service was provided, showing separately the services provided by public and private agencies, or both.</w:t>
      </w:r>
    </w:p>
    <w:p w:rsidR="007524EE" w:rsidRPr="00870C21" w:rsidP="001137C6" w14:paraId="3983E744"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Eligibility for services with each SSBG Service Category determined by the state.</w:t>
      </w:r>
    </w:p>
    <w:p w:rsidR="007524EE" w:rsidRPr="00870C21" w:rsidP="001137C6" w14:paraId="144BDCE5"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State definitions of child, adult, and family as they relate to services provided by SSBG funds.</w:t>
      </w:r>
    </w:p>
    <w:p w:rsidR="007524EE" w:rsidRPr="00870C21" w:rsidP="001137C6" w14:paraId="3D65F1B7" w14:textId="77777777">
      <w:pPr>
        <w:pStyle w:val="ListParagraph"/>
        <w:numPr>
          <w:ilvl w:val="0"/>
          <w:numId w:val="36"/>
        </w:numPr>
        <w:shd w:val="clear" w:color="auto" w:fill="FFFFFF"/>
        <w:spacing w:after="0" w:line="240" w:lineRule="auto"/>
        <w:ind w:left="1080" w:hanging="45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Assurances related to the appropriate use of TANF transfer funds, based on statute.</w:t>
      </w:r>
    </w:p>
    <w:p w:rsidR="005B17DF" w:rsidRPr="00870C21" w:rsidP="005B17DF" w14:paraId="12B5943C" w14:textId="77777777">
      <w:pPr>
        <w:shd w:val="clear" w:color="auto" w:fill="FFFFFF"/>
        <w:spacing w:after="0" w:line="240" w:lineRule="auto"/>
        <w:rPr>
          <w:rFonts w:ascii="Times New Roman" w:hAnsi="Times New Roman"/>
          <w:b/>
          <w:sz w:val="24"/>
          <w:szCs w:val="24"/>
          <w:highlight w:val="yellow"/>
        </w:rPr>
      </w:pPr>
    </w:p>
    <w:p w:rsidR="005B17DF" w:rsidRPr="00870C21" w:rsidP="001D6BD2" w14:paraId="698E09DB" w14:textId="186C20CA">
      <w:pPr>
        <w:shd w:val="clear" w:color="auto" w:fill="FFFFFF"/>
        <w:spacing w:after="0" w:line="240" w:lineRule="auto"/>
        <w:ind w:left="360"/>
        <w:rPr>
          <w:rFonts w:ascii="Times New Roman" w:eastAsia="Times New Roman" w:hAnsi="Times New Roman" w:cs="Times New Roman"/>
          <w:bCs/>
          <w:sz w:val="24"/>
          <w:szCs w:val="24"/>
        </w:rPr>
      </w:pPr>
      <w:r w:rsidRPr="00870C21">
        <w:rPr>
          <w:rFonts w:ascii="Times New Roman" w:hAnsi="Times New Roman"/>
          <w:bCs/>
          <w:sz w:val="24"/>
          <w:szCs w:val="24"/>
        </w:rPr>
        <w:t xml:space="preserve">This request is to extend approval of all materials approved under this OMB number and to make minor updates to the standard pre-and post-expenditure reports. Specifically, we have modified four column titles on the standard pre-and post-expenditure reports, </w:t>
      </w:r>
      <w:r w:rsidRPr="00870C21">
        <w:rPr>
          <w:rFonts w:ascii="Times New Roman" w:eastAsia="Times New Roman" w:hAnsi="Times New Roman" w:cs="Times New Roman"/>
          <w:bCs/>
          <w:sz w:val="24"/>
          <w:szCs w:val="24"/>
        </w:rPr>
        <w:t xml:space="preserve">which are required of states to report planned and actual expenditures of SSBG funds, respectively. </w:t>
      </w:r>
      <w:r w:rsidRPr="00870C21">
        <w:rPr>
          <w:rFonts w:ascii="Times New Roman" w:hAnsi="Times New Roman"/>
          <w:bCs/>
          <w:sz w:val="24"/>
          <w:szCs w:val="24"/>
        </w:rPr>
        <w:t xml:space="preserve"> The proposed changes will clarify what data to include, which will increase accuracy in reporting and</w:t>
      </w:r>
      <w:r w:rsidRPr="00870C21">
        <w:rPr>
          <w:rFonts w:ascii="Times New Roman" w:eastAsia="Times New Roman" w:hAnsi="Times New Roman" w:cs="Times New Roman"/>
          <w:bCs/>
          <w:sz w:val="24"/>
          <w:szCs w:val="24"/>
        </w:rPr>
        <w:t xml:space="preserve"> assessment for grant recipients and federal staff</w:t>
      </w:r>
      <w:r w:rsidRPr="00870C21">
        <w:rPr>
          <w:rFonts w:ascii="Times New Roman" w:hAnsi="Times New Roman"/>
          <w:bCs/>
          <w:sz w:val="24"/>
          <w:szCs w:val="24"/>
        </w:rPr>
        <w:t>. We would like to implement these changes prior to the current OMB expiration date of May 31, 2024.</w:t>
      </w:r>
    </w:p>
    <w:p w:rsidR="007524EE" w:rsidRPr="00870C21" w:rsidP="00D004A4" w14:paraId="0AF6DFFC" w14:textId="77777777">
      <w:pPr>
        <w:shd w:val="clear" w:color="auto" w:fill="FFFFFF"/>
        <w:spacing w:after="0" w:line="240" w:lineRule="auto"/>
        <w:ind w:left="720" w:hanging="720"/>
        <w:rPr>
          <w:rFonts w:ascii="Times New Roman" w:eastAsia="Times New Roman" w:hAnsi="Times New Roman" w:cs="Times New Roman"/>
          <w:sz w:val="24"/>
          <w:szCs w:val="24"/>
        </w:rPr>
      </w:pPr>
    </w:p>
    <w:p w:rsidR="007524EE" w:rsidRPr="00870C21" w:rsidP="00D004A4" w14:paraId="3C4DE9C7" w14:textId="6D24160D">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Purpose and Use of the Information Collection</w:t>
      </w:r>
    </w:p>
    <w:p w:rsidR="007524EE" w:rsidRPr="00870C21" w:rsidP="00D004A4" w14:paraId="140E5E79" w14:textId="29CB927F">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Information collected on the Post-Expenditure Report is analyzed and described in an annual report produced by OCS. The report is available for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federal partners, and stakeholders and provides information regarding State SSBG expenditures and service recipients. The report can be accessed on the SSBG website. Annual reports have been completed each year for the years 1998 – 20</w:t>
      </w:r>
      <w:r w:rsidRPr="00870C21" w:rsidR="0035598C">
        <w:rPr>
          <w:rFonts w:ascii="Times New Roman" w:eastAsia="Times New Roman" w:hAnsi="Times New Roman" w:cs="Times New Roman"/>
          <w:sz w:val="24"/>
          <w:szCs w:val="24"/>
        </w:rPr>
        <w:t>21</w:t>
      </w:r>
      <w:r w:rsidRPr="00870C21">
        <w:rPr>
          <w:rFonts w:ascii="Times New Roman" w:eastAsia="Times New Roman" w:hAnsi="Times New Roman" w:cs="Times New Roman"/>
          <w:sz w:val="24"/>
          <w:szCs w:val="24"/>
        </w:rPr>
        <w:t>. The 20</w:t>
      </w:r>
      <w:r w:rsidRPr="00870C21" w:rsidR="0035598C">
        <w:rPr>
          <w:rFonts w:ascii="Times New Roman" w:eastAsia="Times New Roman" w:hAnsi="Times New Roman" w:cs="Times New Roman"/>
          <w:sz w:val="24"/>
          <w:szCs w:val="24"/>
        </w:rPr>
        <w:t>22</w:t>
      </w:r>
      <w:r w:rsidRPr="00870C21">
        <w:rPr>
          <w:rFonts w:ascii="Times New Roman" w:eastAsia="Times New Roman" w:hAnsi="Times New Roman" w:cs="Times New Roman"/>
          <w:sz w:val="24"/>
          <w:szCs w:val="24"/>
        </w:rPr>
        <w:t xml:space="preserve"> annual report is currently being finalized. The information contained in this report is used to establish how SSBG funding is used for the provision of services in each State. The information collected is the only source of information on the use of SSBG funds by the States. It is also the only source of information on the number of recipients of services funded, in whole or in part, by SSBG.</w:t>
      </w:r>
    </w:p>
    <w:p w:rsidR="007524EE" w:rsidRPr="00870C21" w:rsidP="00D004A4" w14:paraId="064B0002" w14:textId="77777777">
      <w:pPr>
        <w:shd w:val="clear" w:color="auto" w:fill="FFFFFF"/>
        <w:spacing w:after="0" w:line="240" w:lineRule="auto"/>
        <w:ind w:left="720"/>
        <w:rPr>
          <w:rFonts w:ascii="Times New Roman" w:eastAsia="Times New Roman" w:hAnsi="Times New Roman" w:cs="Times New Roman"/>
          <w:sz w:val="24"/>
          <w:szCs w:val="24"/>
        </w:rPr>
      </w:pPr>
    </w:p>
    <w:p w:rsidR="007524EE" w:rsidRPr="00870C21" w:rsidP="001137C6" w14:paraId="064BFB1C" w14:textId="7777777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In addition, the Government Performance and Results Act of 1993 (GPRA) requires all Federal agencies to develop long-term Strategic Plans defining general goals and objectives for their programs; to develop Annual Performance Plans specifying measurable performance goals for </w:t>
      </w:r>
      <w:r w:rsidRPr="00870C21">
        <w:rPr>
          <w:rFonts w:ascii="Times New Roman" w:eastAsia="Times New Roman" w:hAnsi="Times New Roman" w:cs="Times New Roman"/>
          <w:sz w:val="24"/>
          <w:szCs w:val="24"/>
        </w:rPr>
        <w:t>all of</w:t>
      </w:r>
      <w:r w:rsidRPr="00870C21">
        <w:rPr>
          <w:rFonts w:ascii="Times New Roman" w:eastAsia="Times New Roman" w:hAnsi="Times New Roman" w:cs="Times New Roman"/>
          <w:sz w:val="24"/>
          <w:szCs w:val="24"/>
        </w:rPr>
        <w:t xml:space="preserve"> the program activities in their budgets; and to publish an Annual Performance Report showing actual results compared to each annual performance goal. Toward this end, two performance measures were developed to improve efficiency and accountability within States’ SSBG programs. The first of these measures aims to minimize administrative costs </w:t>
      </w:r>
      <w:r w:rsidRPr="00870C21">
        <w:rPr>
          <w:rFonts w:ascii="Times New Roman" w:eastAsia="Times New Roman" w:hAnsi="Times New Roman" w:cs="Times New Roman"/>
          <w:sz w:val="24"/>
          <w:szCs w:val="24"/>
        </w:rPr>
        <w:t>and maximize the amount of funds used for the provision of direct services. The second performance measure analyzes the degree to which States spend SSBG funds in a manner consistent with their intended use as required by the Federal law [42 U.S.C. §1397e (a)]. These performance measures require both pre-expenditure and post-expenditure data.</w:t>
      </w:r>
    </w:p>
    <w:p w:rsidR="007524EE" w:rsidRPr="00870C21" w:rsidP="00D004A4" w14:paraId="2BED255C" w14:textId="77777777">
      <w:pPr>
        <w:shd w:val="clear" w:color="auto" w:fill="FFFFFF"/>
        <w:spacing w:after="0" w:line="240" w:lineRule="auto"/>
        <w:rPr>
          <w:rFonts w:ascii="Times New Roman" w:eastAsia="Times New Roman" w:hAnsi="Times New Roman" w:cs="Times New Roman"/>
          <w:sz w:val="24"/>
          <w:szCs w:val="24"/>
        </w:rPr>
      </w:pPr>
    </w:p>
    <w:p w:rsidR="007524EE" w:rsidRPr="00870C21" w:rsidP="001137C6" w14:paraId="43BEF923" w14:textId="73D1C4C6">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Intended Use Plan allows the ACF OCS to identify recipients, methods, and categories for state expenditure of SSBG funds. </w:t>
      </w:r>
    </w:p>
    <w:p w:rsidR="007524EE" w:rsidRPr="00870C21" w:rsidP="00D004A4" w14:paraId="163C3010" w14:textId="77777777">
      <w:pPr>
        <w:shd w:val="clear" w:color="auto" w:fill="FFFFFF"/>
        <w:spacing w:after="0" w:line="315" w:lineRule="atLeast"/>
        <w:rPr>
          <w:rFonts w:ascii="Times New Roman" w:eastAsia="Times New Roman" w:hAnsi="Times New Roman" w:cs="Times New Roman"/>
          <w:sz w:val="24"/>
          <w:szCs w:val="24"/>
        </w:rPr>
      </w:pPr>
    </w:p>
    <w:p w:rsidR="007524EE" w:rsidRPr="00870C21" w:rsidP="00D004A4" w14:paraId="1E0C8F82" w14:textId="77777777">
      <w:pPr>
        <w:pStyle w:val="ListParagraph"/>
        <w:numPr>
          <w:ilvl w:val="0"/>
          <w:numId w:val="35"/>
        </w:numPr>
        <w:shd w:val="clear" w:color="auto" w:fill="FFFFFF"/>
        <w:spacing w:after="115"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Use of Improved Information Technology and Burden Reduction</w:t>
      </w:r>
    </w:p>
    <w:p w:rsidR="007524EE" w:rsidRPr="00870C21" w:rsidP="00D004A4" w14:paraId="50124EE6" w14:textId="477EFAC3">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States enter the Pre-Expenditure Report, Intended Use Plan (narrative), and Post-Expenditure Report data on the SSBG Portal. The SSBG Portal is a secure web-based data collection platform </w:t>
      </w:r>
      <w:r w:rsidRPr="00870C21" w:rsidR="001C53B4">
        <w:rPr>
          <w:rFonts w:ascii="Times New Roman" w:eastAsia="Times New Roman" w:hAnsi="Times New Roman" w:cs="Times New Roman"/>
          <w:sz w:val="24"/>
          <w:szCs w:val="24"/>
        </w:rPr>
        <w:t>that</w:t>
      </w:r>
      <w:r w:rsidRPr="00870C21">
        <w:rPr>
          <w:rFonts w:ascii="Times New Roman" w:eastAsia="Times New Roman" w:hAnsi="Times New Roman" w:cs="Times New Roman"/>
          <w:sz w:val="24"/>
          <w:szCs w:val="24"/>
        </w:rPr>
        <w:t xml:space="preserve"> is monitored by Walter R. McDonald and Associates, </w:t>
      </w:r>
      <w:r w:rsidRPr="00870C21" w:rsidR="001C53B4">
        <w:rPr>
          <w:rFonts w:ascii="Times New Roman" w:eastAsia="Times New Roman" w:hAnsi="Times New Roman" w:cs="Times New Roman"/>
          <w:sz w:val="24"/>
          <w:szCs w:val="24"/>
        </w:rPr>
        <w:t xml:space="preserve">a </w:t>
      </w:r>
      <w:r w:rsidRPr="00870C21">
        <w:rPr>
          <w:rFonts w:ascii="Times New Roman" w:eastAsia="Times New Roman" w:hAnsi="Times New Roman" w:cs="Times New Roman"/>
          <w:sz w:val="24"/>
          <w:szCs w:val="24"/>
        </w:rPr>
        <w:t>contractor. The SSBG Portal allows for efficient data submission without increasing the overall burden on States. It provides a user-friendly means for States to submit and access their Intended Use Plan, Pre-Expenditure data, and Post-Expenditure Report.</w:t>
      </w:r>
    </w:p>
    <w:p w:rsidR="007524EE" w:rsidRPr="00870C21" w:rsidP="00D004A4" w14:paraId="6969BADF" w14:textId="77777777">
      <w:pPr>
        <w:shd w:val="clear" w:color="auto" w:fill="FFFFFF"/>
        <w:spacing w:after="0" w:line="240" w:lineRule="auto"/>
        <w:ind w:left="360" w:hanging="360"/>
        <w:rPr>
          <w:rFonts w:ascii="Times New Roman" w:eastAsia="Times New Roman" w:hAnsi="Times New Roman" w:cs="Times New Roman"/>
          <w:sz w:val="24"/>
          <w:szCs w:val="24"/>
        </w:rPr>
      </w:pPr>
    </w:p>
    <w:p w:rsidR="007524EE" w:rsidRPr="00870C21" w:rsidP="00D004A4" w14:paraId="1832FDBE" w14:textId="77777777">
      <w:pPr>
        <w:pStyle w:val="ListParagraph"/>
        <w:numPr>
          <w:ilvl w:val="0"/>
          <w:numId w:val="35"/>
        </w:numPr>
        <w:shd w:val="clear" w:color="auto" w:fill="FFFFFF"/>
        <w:spacing w:after="115"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Efforts to Identify Duplication and Use of Similar Information</w:t>
      </w:r>
    </w:p>
    <w:p w:rsidR="007524EE" w:rsidRPr="00870C21" w:rsidP="00D004A4" w14:paraId="7DC4DD4A" w14:textId="76C0C789">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Post-Expenditure Report is the only instrument for collecting data on actual expenditures for, and recipients of, the 29 SSBG-supported service categories. SSBG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xml:space="preserve"> use the </w:t>
      </w:r>
      <w:r w:rsidRPr="00870C21">
        <w:rPr>
          <w:rFonts w:ascii="Times New Roman" w:eastAsia="Times New Roman" w:hAnsi="Times New Roman" w:cs="Times New Roman"/>
          <w:sz w:val="24"/>
          <w:szCs w:val="24"/>
        </w:rPr>
        <w:t>Pre Expenditure</w:t>
      </w:r>
      <w:r w:rsidRPr="00870C21">
        <w:rPr>
          <w:rFonts w:ascii="Times New Roman" w:eastAsia="Times New Roman" w:hAnsi="Times New Roman" w:cs="Times New Roman"/>
          <w:sz w:val="24"/>
          <w:szCs w:val="24"/>
        </w:rPr>
        <w:t xml:space="preserve"> form to estimate SSBG expenditures at the beginning of the budget period.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xml:space="preserve"> and SSBG staff use the comparison between the </w:t>
      </w:r>
      <w:r w:rsidRPr="00870C21">
        <w:rPr>
          <w:rFonts w:ascii="Times New Roman" w:eastAsia="Times New Roman" w:hAnsi="Times New Roman" w:cs="Times New Roman"/>
          <w:sz w:val="24"/>
          <w:szCs w:val="24"/>
        </w:rPr>
        <w:t>pre</w:t>
      </w:r>
      <w:r w:rsidRPr="00870C21">
        <w:rPr>
          <w:rFonts w:ascii="Times New Roman" w:eastAsia="Times New Roman" w:hAnsi="Times New Roman" w:cs="Times New Roman"/>
          <w:sz w:val="24"/>
          <w:szCs w:val="24"/>
        </w:rPr>
        <w:t xml:space="preserve"> and </w:t>
      </w:r>
      <w:r w:rsidRPr="00870C21" w:rsidR="001C53B4">
        <w:rPr>
          <w:rFonts w:ascii="Times New Roman" w:eastAsia="Times New Roman" w:hAnsi="Times New Roman" w:cs="Times New Roman"/>
          <w:sz w:val="24"/>
          <w:szCs w:val="24"/>
        </w:rPr>
        <w:t>post-expenditure</w:t>
      </w:r>
      <w:r w:rsidRPr="00870C21">
        <w:rPr>
          <w:rFonts w:ascii="Times New Roman" w:eastAsia="Times New Roman" w:hAnsi="Times New Roman" w:cs="Times New Roman"/>
          <w:sz w:val="24"/>
          <w:szCs w:val="24"/>
        </w:rPr>
        <w:t xml:space="preserve"> data to analyze and support effective planning and budget reconciliation.</w:t>
      </w:r>
    </w:p>
    <w:p w:rsidR="007524EE" w:rsidRPr="00870C21" w:rsidP="00D004A4" w14:paraId="046A5719" w14:textId="77777777">
      <w:pPr>
        <w:shd w:val="clear" w:color="auto" w:fill="FFFFFF"/>
        <w:spacing w:after="0" w:line="240" w:lineRule="auto"/>
        <w:ind w:left="360" w:hanging="360"/>
        <w:rPr>
          <w:rFonts w:ascii="Times New Roman" w:eastAsia="Times New Roman" w:hAnsi="Times New Roman" w:cs="Times New Roman"/>
          <w:sz w:val="24"/>
          <w:szCs w:val="24"/>
        </w:rPr>
      </w:pPr>
    </w:p>
    <w:p w:rsidR="007524EE" w:rsidRPr="00870C21" w:rsidP="00D004A4" w14:paraId="7E9C0D41" w14:textId="77777777">
      <w:pPr>
        <w:pStyle w:val="ListParagraph"/>
        <w:numPr>
          <w:ilvl w:val="0"/>
          <w:numId w:val="35"/>
        </w:numPr>
        <w:shd w:val="clear" w:color="auto" w:fill="FFFFFF"/>
        <w:spacing w:after="115"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Impact on Small Businesses or Other Small Entities</w:t>
      </w:r>
    </w:p>
    <w:p w:rsidR="007524EE" w:rsidRPr="00870C21" w:rsidP="00D004A4" w14:paraId="23F51DBE" w14:textId="484B1DF2">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This data collection does not impact small </w:t>
      </w:r>
      <w:r w:rsidRPr="00870C21" w:rsidR="001C53B4">
        <w:rPr>
          <w:rFonts w:ascii="Times New Roman" w:eastAsia="Times New Roman" w:hAnsi="Times New Roman" w:cs="Times New Roman"/>
          <w:sz w:val="24"/>
          <w:szCs w:val="24"/>
        </w:rPr>
        <w:t>businesses</w:t>
      </w:r>
      <w:r w:rsidRPr="00870C21">
        <w:rPr>
          <w:rFonts w:ascii="Times New Roman" w:eastAsia="Times New Roman" w:hAnsi="Times New Roman" w:cs="Times New Roman"/>
          <w:sz w:val="24"/>
          <w:szCs w:val="24"/>
        </w:rPr>
        <w:t xml:space="preserve"> or other small entities.</w:t>
      </w:r>
    </w:p>
    <w:p w:rsidR="007524EE" w:rsidRPr="00870C21" w:rsidP="00D004A4" w14:paraId="0D82B654" w14:textId="77777777">
      <w:pPr>
        <w:shd w:val="clear" w:color="auto" w:fill="FFFFFF"/>
        <w:spacing w:after="0" w:line="240" w:lineRule="auto"/>
        <w:ind w:left="360" w:hanging="360"/>
        <w:rPr>
          <w:rFonts w:ascii="Times New Roman" w:eastAsia="Times New Roman" w:hAnsi="Times New Roman" w:cs="Times New Roman"/>
          <w:sz w:val="24"/>
          <w:szCs w:val="24"/>
        </w:rPr>
      </w:pPr>
    </w:p>
    <w:p w:rsidR="007524EE" w:rsidRPr="00870C21" w:rsidP="00D004A4" w14:paraId="6A995FBF" w14:textId="77777777">
      <w:pPr>
        <w:pStyle w:val="ListParagraph"/>
        <w:numPr>
          <w:ilvl w:val="0"/>
          <w:numId w:val="35"/>
        </w:numPr>
        <w:shd w:val="clear" w:color="auto" w:fill="FFFFFF"/>
        <w:spacing w:after="115"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Consequences of Collecting the Information Less Frequently</w:t>
      </w:r>
    </w:p>
    <w:p w:rsidR="007524EE" w:rsidRPr="00870C21" w:rsidP="00D004A4" w14:paraId="744E3954" w14:textId="04C8A8DB">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States are required to submit an annual Post-Expenditure Report on the use of SSBG funds [42 U.S.C. 1397e]. States may also use the Post-Expenditure Report form to provide pre-expenditure data for the required annual Intended Use Plan. This information is critical for understanding the impact of SSBG funding and for assessing States on the two SSBG program performance measures.</w:t>
      </w:r>
    </w:p>
    <w:p w:rsidR="007524EE" w:rsidRPr="00870C21" w:rsidP="00D004A4" w14:paraId="77FA3D41" w14:textId="77777777">
      <w:pPr>
        <w:shd w:val="clear" w:color="auto" w:fill="FFFFFF"/>
        <w:spacing w:after="0" w:line="240" w:lineRule="auto"/>
        <w:ind w:left="360" w:hanging="360"/>
        <w:rPr>
          <w:rFonts w:ascii="Times New Roman" w:eastAsia="Times New Roman" w:hAnsi="Times New Roman" w:cs="Times New Roman"/>
          <w:sz w:val="24"/>
          <w:szCs w:val="24"/>
        </w:rPr>
      </w:pPr>
    </w:p>
    <w:p w:rsidR="007524EE" w:rsidRPr="00870C21" w:rsidP="00D004A4" w14:paraId="560CDCA0" w14:textId="77777777">
      <w:pPr>
        <w:pStyle w:val="ListParagraph"/>
        <w:numPr>
          <w:ilvl w:val="0"/>
          <w:numId w:val="35"/>
        </w:numPr>
        <w:shd w:val="clear" w:color="auto" w:fill="FFFFFF"/>
        <w:spacing w:after="115"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Special Circumstances Relating to the Guidelines of 5 CFR 1320.5</w:t>
      </w:r>
    </w:p>
    <w:p w:rsidR="007524EE" w:rsidRPr="00870C21" w:rsidP="003F2E04" w14:paraId="21E7B2B7" w14:textId="2102882B">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There are no special circumstances for the Pre-Expenditure information, Intended Use Plan</w:t>
      </w:r>
      <w:r w:rsidRPr="00870C21" w:rsidR="001C53B4">
        <w:rPr>
          <w:rFonts w:ascii="Times New Roman" w:eastAsia="Times New Roman" w:hAnsi="Times New Roman" w:cs="Times New Roman"/>
          <w:sz w:val="24"/>
          <w:szCs w:val="24"/>
        </w:rPr>
        <w:t>,</w:t>
      </w:r>
      <w:r w:rsidRPr="00870C21">
        <w:rPr>
          <w:rFonts w:ascii="Times New Roman" w:eastAsia="Times New Roman" w:hAnsi="Times New Roman" w:cs="Times New Roman"/>
          <w:sz w:val="24"/>
          <w:szCs w:val="24"/>
        </w:rPr>
        <w:t xml:space="preserve"> and Post-Expenditure Report.</w:t>
      </w:r>
    </w:p>
    <w:p w:rsidR="003F2E04" w:rsidRPr="00870C21" w:rsidP="00371FF7" w14:paraId="1EDE77AE" w14:textId="77777777">
      <w:pPr>
        <w:shd w:val="clear" w:color="auto" w:fill="FFFFFF"/>
        <w:spacing w:after="0" w:line="315" w:lineRule="atLeast"/>
        <w:rPr>
          <w:rFonts w:ascii="Times New Roman" w:eastAsia="Times New Roman" w:hAnsi="Times New Roman" w:cs="Times New Roman"/>
          <w:sz w:val="24"/>
          <w:szCs w:val="24"/>
        </w:rPr>
      </w:pPr>
    </w:p>
    <w:p w:rsidR="007524EE" w:rsidRPr="00870C21" w:rsidP="000E441D" w14:paraId="6A34BC58" w14:textId="77777777">
      <w:pPr>
        <w:pStyle w:val="ListParagraph"/>
        <w:numPr>
          <w:ilvl w:val="0"/>
          <w:numId w:val="35"/>
        </w:num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Comments in Response to the Federal Register Notice and Efforts to Consult Outside the Agency</w:t>
      </w:r>
    </w:p>
    <w:p w:rsidR="007524EE" w:rsidRPr="00870C21" w:rsidP="003F2E04" w14:paraId="607A7E29" w14:textId="30B73724">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As required b</w:t>
      </w:r>
      <w:r w:rsidRPr="00870C21" w:rsidR="00D62581">
        <w:rPr>
          <w:rFonts w:ascii="Times New Roman" w:eastAsia="Times New Roman" w:hAnsi="Times New Roman" w:cs="Times New Roman"/>
          <w:sz w:val="24"/>
          <w:szCs w:val="24"/>
        </w:rPr>
        <w:t>y</w:t>
      </w:r>
      <w:r w:rsidRPr="00870C21">
        <w:rPr>
          <w:rFonts w:ascii="Times New Roman" w:eastAsia="Times New Roman" w:hAnsi="Times New Roman" w:cs="Times New Roman"/>
          <w:sz w:val="24"/>
          <w:szCs w:val="24"/>
        </w:rPr>
        <w:t xml:space="preserve">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870C21" w:rsidR="003F2E04">
        <w:rPr>
          <w:rFonts w:ascii="Times New Roman" w:eastAsia="Times New Roman" w:hAnsi="Times New Roman" w:cs="Times New Roman"/>
          <w:sz w:val="24"/>
          <w:szCs w:val="24"/>
        </w:rPr>
        <w:t>Nov</w:t>
      </w:r>
      <w:r w:rsidRPr="00870C21">
        <w:rPr>
          <w:rFonts w:ascii="Times New Roman" w:eastAsia="Times New Roman" w:hAnsi="Times New Roman" w:cs="Times New Roman"/>
          <w:sz w:val="24"/>
          <w:szCs w:val="24"/>
        </w:rPr>
        <w:t xml:space="preserve">ember </w:t>
      </w:r>
      <w:r w:rsidRPr="00870C21" w:rsidR="003F2E04">
        <w:rPr>
          <w:rFonts w:ascii="Times New Roman" w:eastAsia="Times New Roman" w:hAnsi="Times New Roman" w:cs="Times New Roman"/>
          <w:sz w:val="24"/>
          <w:szCs w:val="24"/>
        </w:rPr>
        <w:t>21</w:t>
      </w:r>
      <w:r w:rsidRPr="00870C21">
        <w:rPr>
          <w:rFonts w:ascii="Times New Roman" w:eastAsia="Times New Roman" w:hAnsi="Times New Roman" w:cs="Times New Roman"/>
          <w:sz w:val="24"/>
          <w:szCs w:val="24"/>
        </w:rPr>
        <w:t>, 202</w:t>
      </w:r>
      <w:r w:rsidRPr="00870C21" w:rsidR="003F2E04">
        <w:rPr>
          <w:rFonts w:ascii="Times New Roman" w:eastAsia="Times New Roman" w:hAnsi="Times New Roman" w:cs="Times New Roman"/>
          <w:sz w:val="24"/>
          <w:szCs w:val="24"/>
        </w:rPr>
        <w:t>3</w:t>
      </w:r>
      <w:r w:rsidRPr="00870C21" w:rsidR="00D92B71">
        <w:rPr>
          <w:rFonts w:ascii="Times New Roman" w:eastAsia="Times New Roman" w:hAnsi="Times New Roman" w:cs="Times New Roman"/>
          <w:sz w:val="24"/>
          <w:szCs w:val="24"/>
        </w:rPr>
        <w:t xml:space="preserve"> (88 FR 81088)</w:t>
      </w:r>
      <w:r w:rsidRPr="00870C21">
        <w:rPr>
          <w:rFonts w:ascii="Times New Roman" w:eastAsia="Times New Roman" w:hAnsi="Times New Roman" w:cs="Times New Roman"/>
          <w:sz w:val="24"/>
          <w:szCs w:val="24"/>
        </w:rPr>
        <w:t xml:space="preserve"> and provided </w:t>
      </w:r>
      <w:r w:rsidRPr="00870C21" w:rsidR="00D62581">
        <w:rPr>
          <w:rFonts w:ascii="Times New Roman" w:eastAsia="Times New Roman" w:hAnsi="Times New Roman" w:cs="Times New Roman"/>
          <w:sz w:val="24"/>
          <w:szCs w:val="24"/>
        </w:rPr>
        <w:t>sixty days</w:t>
      </w:r>
      <w:r w:rsidRPr="00870C21">
        <w:rPr>
          <w:rFonts w:ascii="Times New Roman" w:eastAsia="Times New Roman" w:hAnsi="Times New Roman" w:cs="Times New Roman"/>
          <w:sz w:val="24"/>
          <w:szCs w:val="24"/>
        </w:rPr>
        <w:t xml:space="preserve"> for public comment. During the comment period, no comments were received.</w:t>
      </w:r>
    </w:p>
    <w:p w:rsidR="00B20C05" w:rsidRPr="00870C21" w:rsidP="003F2E04" w14:paraId="09CB0B0D" w14:textId="77777777">
      <w:pPr>
        <w:shd w:val="clear" w:color="auto" w:fill="FFFFFF"/>
        <w:spacing w:after="0" w:line="240" w:lineRule="auto"/>
        <w:ind w:left="360"/>
        <w:rPr>
          <w:rFonts w:ascii="Times New Roman" w:eastAsia="Times New Roman" w:hAnsi="Times New Roman" w:cs="Times New Roman"/>
          <w:sz w:val="24"/>
          <w:szCs w:val="24"/>
        </w:rPr>
      </w:pPr>
    </w:p>
    <w:p w:rsidR="007524EE" w:rsidRPr="00870C21" w:rsidP="001D6BD2" w14:paraId="5646DE48" w14:textId="77777777">
      <w:pPr>
        <w:pStyle w:val="ListParagraph"/>
        <w:numPr>
          <w:ilvl w:val="0"/>
          <w:numId w:val="35"/>
        </w:num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Explanation of Any Payment or Gift to Respondents</w:t>
      </w:r>
    </w:p>
    <w:p w:rsidR="007524EE" w:rsidRPr="00870C21" w:rsidP="003F2E04" w14:paraId="2AB2DD33" w14:textId="0FAE1617">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No payment or gift will be provided to respondents.</w:t>
      </w:r>
    </w:p>
    <w:p w:rsidR="00B94FF8" w:rsidRPr="00870C21" w:rsidP="003F2E04" w14:paraId="6C8CD470" w14:textId="77777777">
      <w:pPr>
        <w:shd w:val="clear" w:color="auto" w:fill="FFFFFF"/>
        <w:spacing w:after="0" w:line="240" w:lineRule="auto"/>
        <w:ind w:left="360"/>
        <w:rPr>
          <w:rFonts w:ascii="Times New Roman" w:eastAsia="Times New Roman" w:hAnsi="Times New Roman" w:cs="Times New Roman"/>
          <w:sz w:val="24"/>
          <w:szCs w:val="24"/>
        </w:rPr>
      </w:pPr>
    </w:p>
    <w:p w:rsidR="007524EE" w:rsidRPr="00870C21" w:rsidP="001D6BD2" w14:paraId="730730C0" w14:textId="77777777">
      <w:pPr>
        <w:pStyle w:val="ListParagraph"/>
        <w:numPr>
          <w:ilvl w:val="0"/>
          <w:numId w:val="35"/>
        </w:num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Assurance of Confidentiality Provided to Respondents</w:t>
      </w:r>
    </w:p>
    <w:p w:rsidR="007524EE" w:rsidRPr="00870C21" w:rsidP="003F2E04" w14:paraId="177D93C2" w14:textId="152AB76B">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No assurance of confidentiality will be provided to respondents. All reported expenditure data are from State public financial records and all recipient data are aggregate counts, not individual case-level data. No personal identifiers will be collected. IRB review is not required for data reporting.</w:t>
      </w:r>
    </w:p>
    <w:p w:rsidR="007524EE" w:rsidRPr="00870C21" w:rsidP="003F2E04" w14:paraId="479A3A4A" w14:textId="77777777">
      <w:pPr>
        <w:shd w:val="clear" w:color="auto" w:fill="FFFFFF"/>
        <w:spacing w:after="0" w:line="240" w:lineRule="auto"/>
        <w:ind w:left="360"/>
        <w:rPr>
          <w:rFonts w:ascii="Times New Roman" w:eastAsia="Times New Roman" w:hAnsi="Times New Roman" w:cs="Times New Roman"/>
          <w:sz w:val="24"/>
          <w:szCs w:val="24"/>
        </w:rPr>
      </w:pPr>
    </w:p>
    <w:p w:rsidR="007524EE" w:rsidRPr="00870C21" w:rsidP="001D6BD2" w14:paraId="02BB074C" w14:textId="77777777">
      <w:pPr>
        <w:pStyle w:val="ListParagraph"/>
        <w:numPr>
          <w:ilvl w:val="0"/>
          <w:numId w:val="35"/>
        </w:numPr>
        <w:shd w:val="clear" w:color="auto" w:fill="FFFFFF"/>
        <w:spacing w:after="12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Justification for Sensitive Questions</w:t>
      </w:r>
    </w:p>
    <w:p w:rsidR="007524EE" w:rsidRPr="00870C21" w:rsidP="003F2E04" w14:paraId="3C7FC08A" w14:textId="67D5317C">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This information collection does not include questions of a sensitive nature.</w:t>
      </w:r>
    </w:p>
    <w:p w:rsidR="007524EE" w:rsidRPr="00870C21" w:rsidP="003F2E04" w14:paraId="0C0A4401" w14:textId="165FA515">
      <w:pPr>
        <w:shd w:val="clear" w:color="auto" w:fill="FFFFFF"/>
        <w:spacing w:after="0" w:line="315" w:lineRule="atLeast"/>
        <w:ind w:left="360"/>
        <w:rPr>
          <w:rFonts w:ascii="Times New Roman" w:eastAsia="Times New Roman" w:hAnsi="Times New Roman" w:cs="Times New Roman"/>
          <w:sz w:val="24"/>
          <w:szCs w:val="24"/>
        </w:rPr>
      </w:pPr>
    </w:p>
    <w:p w:rsidR="007524EE" w:rsidRPr="00870C21" w:rsidP="001D6BD2" w14:paraId="00DF93FD" w14:textId="1A8826FD">
      <w:pPr>
        <w:pStyle w:val="ListParagraph"/>
        <w:numPr>
          <w:ilvl w:val="0"/>
          <w:numId w:val="35"/>
        </w:numPr>
        <w:shd w:val="clear" w:color="auto" w:fill="FFFFFF"/>
        <w:spacing w:after="120"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Estimates of Annualized Burden Hours and Costs</w:t>
      </w:r>
    </w:p>
    <w:p w:rsidR="00D92B71" w:rsidRPr="00870C21" w:rsidP="001D6BD2" w14:paraId="25565D8B" w14:textId="237AF6A3">
      <w:pPr>
        <w:pStyle w:val="ListParagraph"/>
        <w:shd w:val="clear" w:color="auto" w:fill="FFFFFF"/>
        <w:spacing w:after="0"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There are currently 5</w:t>
      </w:r>
      <w:r w:rsidRPr="00870C21" w:rsidR="001D6BD2">
        <w:rPr>
          <w:rFonts w:ascii="Times New Roman" w:eastAsia="Times New Roman" w:hAnsi="Times New Roman" w:cs="Times New Roman"/>
          <w:sz w:val="24"/>
          <w:szCs w:val="24"/>
        </w:rPr>
        <w:t>7</w:t>
      </w:r>
      <w:r w:rsidRPr="00870C21">
        <w:rPr>
          <w:rFonts w:ascii="Times New Roman" w:eastAsia="Times New Roman" w:hAnsi="Times New Roman" w:cs="Times New Roman"/>
          <w:sz w:val="24"/>
          <w:szCs w:val="24"/>
        </w:rPr>
        <w:t xml:space="preserve"> respondents, which includes States, the District of Columbia, </w:t>
      </w:r>
      <w:r w:rsidRPr="00870C21" w:rsidR="00E80BF0">
        <w:rPr>
          <w:rFonts w:ascii="Times New Roman" w:eastAsia="Times New Roman" w:hAnsi="Times New Roman" w:cs="Times New Roman"/>
          <w:sz w:val="24"/>
          <w:szCs w:val="24"/>
        </w:rPr>
        <w:t>Commonwealth of Puerto Rico,</w:t>
      </w:r>
      <w:r w:rsidRPr="00870C21" w:rsidR="001D6BD2">
        <w:t xml:space="preserve"> </w:t>
      </w:r>
      <w:bookmarkStart w:id="1" w:name="_Hlk158205867"/>
      <w:r w:rsidRPr="00870C21" w:rsidR="001D6BD2">
        <w:rPr>
          <w:rFonts w:ascii="Times New Roman" w:eastAsia="Times New Roman" w:hAnsi="Times New Roman" w:cs="Times New Roman"/>
          <w:sz w:val="24"/>
          <w:szCs w:val="24"/>
        </w:rPr>
        <w:t>Massachusetts Commission for the Blind (M-CFB)</w:t>
      </w:r>
      <w:bookmarkEnd w:id="1"/>
      <w:r>
        <w:rPr>
          <w:rStyle w:val="FootnoteReference"/>
          <w:rFonts w:ascii="Times New Roman" w:eastAsia="Times New Roman" w:hAnsi="Times New Roman" w:cs="Times New Roman"/>
          <w:sz w:val="24"/>
          <w:szCs w:val="24"/>
        </w:rPr>
        <w:footnoteReference w:id="2"/>
      </w:r>
      <w:r w:rsidRPr="00870C21" w:rsidR="001D6BD2">
        <w:rPr>
          <w:rFonts w:ascii="Times New Roman" w:eastAsia="Times New Roman" w:hAnsi="Times New Roman" w:cs="Times New Roman"/>
          <w:sz w:val="24"/>
          <w:szCs w:val="24"/>
        </w:rPr>
        <w:t>,</w:t>
      </w:r>
      <w:r w:rsidRPr="00870C21" w:rsidR="008C6C74">
        <w:rPr>
          <w:rFonts w:ascii="Times New Roman" w:eastAsia="Times New Roman" w:hAnsi="Times New Roman" w:cs="Times New Roman"/>
          <w:sz w:val="24"/>
          <w:szCs w:val="24"/>
        </w:rPr>
        <w:t xml:space="preserve"> and the territories </w:t>
      </w:r>
      <w:r w:rsidRPr="00870C21" w:rsidR="00E80BF0">
        <w:rPr>
          <w:rFonts w:ascii="Times New Roman" w:eastAsia="Times New Roman" w:hAnsi="Times New Roman" w:cs="Times New Roman"/>
          <w:sz w:val="24"/>
          <w:szCs w:val="24"/>
        </w:rPr>
        <w:t xml:space="preserve">American Samoa, </w:t>
      </w:r>
      <w:r w:rsidRPr="00870C21">
        <w:rPr>
          <w:rFonts w:ascii="Times New Roman" w:eastAsia="Times New Roman" w:hAnsi="Times New Roman" w:cs="Times New Roman"/>
          <w:sz w:val="24"/>
          <w:szCs w:val="24"/>
        </w:rPr>
        <w:t xml:space="preserve">Guam, the </w:t>
      </w:r>
      <w:r w:rsidRPr="00870C21" w:rsidR="00E80BF0">
        <w:rPr>
          <w:rFonts w:ascii="Times New Roman" w:eastAsia="Times New Roman" w:hAnsi="Times New Roman" w:cs="Times New Roman"/>
          <w:sz w:val="24"/>
          <w:szCs w:val="24"/>
        </w:rPr>
        <w:t xml:space="preserve">U.S. </w:t>
      </w:r>
      <w:r w:rsidRPr="00870C21">
        <w:rPr>
          <w:rFonts w:ascii="Times New Roman" w:eastAsia="Times New Roman" w:hAnsi="Times New Roman" w:cs="Times New Roman"/>
          <w:sz w:val="24"/>
          <w:szCs w:val="24"/>
        </w:rPr>
        <w:t>Virgin Islands, and the Commonwealth of Northern Mariana Islands. Responses are submitted annually</w:t>
      </w:r>
      <w:r w:rsidRPr="00870C21" w:rsidR="00E80BF0">
        <w:rPr>
          <w:rFonts w:ascii="Times New Roman" w:eastAsia="Times New Roman" w:hAnsi="Times New Roman" w:cs="Times New Roman"/>
          <w:sz w:val="24"/>
          <w:szCs w:val="24"/>
        </w:rPr>
        <w:t>,</w:t>
      </w:r>
      <w:r w:rsidRPr="00870C21">
        <w:rPr>
          <w:rFonts w:ascii="Times New Roman" w:eastAsia="Times New Roman" w:hAnsi="Times New Roman" w:cs="Times New Roman"/>
          <w:sz w:val="24"/>
          <w:szCs w:val="24"/>
        </w:rPr>
        <w:t xml:space="preserve"> and burden estimates are based on experience with prior year’s submissions. </w:t>
      </w:r>
    </w:p>
    <w:p w:rsidR="001D6BD2" w:rsidRPr="00870C21" w:rsidP="001D6BD2" w14:paraId="0B7195D6" w14:textId="77777777">
      <w:pPr>
        <w:pStyle w:val="ListParagraph"/>
        <w:shd w:val="clear" w:color="auto" w:fill="FFFFFF"/>
        <w:spacing w:after="0" w:line="315" w:lineRule="atLeast"/>
        <w:ind w:left="360"/>
        <w:rPr>
          <w:rFonts w:ascii="Times New Roman" w:eastAsia="Times New Roman" w:hAnsi="Times New Roman" w:cs="Times New Roman"/>
          <w:sz w:val="24"/>
          <w:szCs w:val="24"/>
        </w:rPr>
      </w:pPr>
    </w:p>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0" w:type="dxa"/>
          <w:left w:w="70" w:type="dxa"/>
          <w:bottom w:w="70" w:type="dxa"/>
          <w:right w:w="70" w:type="dxa"/>
        </w:tblCellMar>
        <w:tblLook w:val="04A0"/>
      </w:tblPr>
      <w:tblGrid>
        <w:gridCol w:w="1980"/>
        <w:gridCol w:w="1170"/>
        <w:gridCol w:w="1350"/>
        <w:gridCol w:w="1260"/>
        <w:gridCol w:w="1170"/>
        <w:gridCol w:w="1260"/>
        <w:gridCol w:w="1395"/>
      </w:tblGrid>
      <w:tr w14:paraId="5520D3E5" w14:textId="77777777" w:rsidTr="00870C21">
        <w:tblPrEx>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0" w:type="dxa"/>
            <w:left w:w="70" w:type="dxa"/>
            <w:bottom w:w="70" w:type="dxa"/>
            <w:right w:w="70" w:type="dxa"/>
          </w:tblCellMar>
          <w:tblLook w:val="04A0"/>
        </w:tblPrEx>
        <w:trPr>
          <w:trHeight w:val="683"/>
        </w:trPr>
        <w:tc>
          <w:tcPr>
            <w:tcW w:w="1980" w:type="dxa"/>
            <w:shd w:val="clear" w:color="auto" w:fill="BFBFBF"/>
            <w:tcMar>
              <w:top w:w="0" w:type="dxa"/>
              <w:left w:w="0" w:type="dxa"/>
              <w:bottom w:w="0" w:type="dxa"/>
              <w:right w:w="0" w:type="dxa"/>
            </w:tcMar>
            <w:vAlign w:val="center"/>
            <w:hideMark/>
          </w:tcPr>
          <w:p w:rsidR="001D6BD2" w:rsidRPr="00870C21" w:rsidP="00183413" w14:paraId="1C3CF82D" w14:textId="77777777">
            <w:pPr>
              <w:spacing w:after="0" w:line="240" w:lineRule="auto"/>
              <w:ind w:left="9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Information Collection Title</w:t>
            </w:r>
          </w:p>
        </w:tc>
        <w:tc>
          <w:tcPr>
            <w:tcW w:w="1170" w:type="dxa"/>
            <w:shd w:val="clear" w:color="auto" w:fill="BFBFBF"/>
            <w:tcMar>
              <w:top w:w="0" w:type="dxa"/>
              <w:left w:w="0" w:type="dxa"/>
              <w:bottom w:w="0" w:type="dxa"/>
              <w:right w:w="0" w:type="dxa"/>
            </w:tcMar>
            <w:vAlign w:val="center"/>
            <w:hideMark/>
          </w:tcPr>
          <w:p w:rsidR="001D6BD2" w:rsidRPr="00870C21" w:rsidP="00B20C05" w14:paraId="7ECA1F70" w14:textId="77777777">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 xml:space="preserve">Total </w:t>
            </w:r>
          </w:p>
          <w:p w:rsidR="001D6BD2" w:rsidRPr="00870C21" w:rsidP="00B20C05" w14:paraId="6A0990B7" w14:textId="1E76FF17">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 xml:space="preserve"># </w:t>
            </w:r>
            <w:r w:rsidRPr="00870C21">
              <w:rPr>
                <w:rFonts w:ascii="Times New Roman" w:eastAsia="Times New Roman" w:hAnsi="Times New Roman" w:cs="Times New Roman"/>
                <w:b/>
                <w:bCs/>
                <w:sz w:val="20"/>
                <w:szCs w:val="20"/>
              </w:rPr>
              <w:t>of</w:t>
            </w:r>
            <w:r w:rsidRPr="00870C21">
              <w:rPr>
                <w:rFonts w:ascii="Times New Roman" w:eastAsia="Times New Roman" w:hAnsi="Times New Roman" w:cs="Times New Roman"/>
                <w:b/>
                <w:bCs/>
                <w:sz w:val="20"/>
                <w:szCs w:val="20"/>
              </w:rPr>
              <w:t xml:space="preserve"> Respondents</w:t>
            </w:r>
          </w:p>
        </w:tc>
        <w:tc>
          <w:tcPr>
            <w:tcW w:w="1350" w:type="dxa"/>
            <w:shd w:val="clear" w:color="auto" w:fill="BFBFBF"/>
            <w:tcMar>
              <w:top w:w="0" w:type="dxa"/>
              <w:left w:w="0" w:type="dxa"/>
              <w:bottom w:w="0" w:type="dxa"/>
              <w:right w:w="0" w:type="dxa"/>
            </w:tcMar>
            <w:vAlign w:val="center"/>
            <w:hideMark/>
          </w:tcPr>
          <w:p w:rsidR="001D6BD2" w:rsidRPr="00870C21" w:rsidP="00B20C05" w14:paraId="7420169E" w14:textId="7059D234">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 xml:space="preserve">Annual # of Responses </w:t>
            </w:r>
          </w:p>
          <w:p w:rsidR="001D6BD2" w:rsidRPr="00870C21" w:rsidP="00B20C05" w14:paraId="0C01B4EE" w14:textId="1A817988">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Per Respondent</w:t>
            </w:r>
          </w:p>
        </w:tc>
        <w:tc>
          <w:tcPr>
            <w:tcW w:w="1260" w:type="dxa"/>
            <w:shd w:val="clear" w:color="auto" w:fill="BFBFBF"/>
            <w:tcMar>
              <w:top w:w="0" w:type="dxa"/>
              <w:left w:w="0" w:type="dxa"/>
              <w:bottom w:w="0" w:type="dxa"/>
              <w:right w:w="0" w:type="dxa"/>
            </w:tcMar>
            <w:vAlign w:val="center"/>
            <w:hideMark/>
          </w:tcPr>
          <w:p w:rsidR="001D6BD2" w:rsidRPr="00870C21" w:rsidP="00B20C05" w14:paraId="3886D498" w14:textId="4F174BF2">
            <w:pPr>
              <w:spacing w:after="0" w:line="240" w:lineRule="auto"/>
              <w:ind w:left="4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Average Burden Hours Per Response</w:t>
            </w:r>
          </w:p>
        </w:tc>
        <w:tc>
          <w:tcPr>
            <w:tcW w:w="1170" w:type="dxa"/>
            <w:shd w:val="clear" w:color="auto" w:fill="BFBFBF"/>
            <w:tcMar>
              <w:top w:w="0" w:type="dxa"/>
              <w:left w:w="0" w:type="dxa"/>
              <w:bottom w:w="0" w:type="dxa"/>
              <w:right w:w="0" w:type="dxa"/>
            </w:tcMar>
            <w:vAlign w:val="center"/>
            <w:hideMark/>
          </w:tcPr>
          <w:p w:rsidR="001D6BD2" w:rsidRPr="00870C21" w:rsidP="00B20C05" w14:paraId="595E0116" w14:textId="77777777">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Annual Burden Hours</w:t>
            </w:r>
          </w:p>
        </w:tc>
        <w:tc>
          <w:tcPr>
            <w:tcW w:w="1260" w:type="dxa"/>
            <w:shd w:val="clear" w:color="auto" w:fill="BFBFBF"/>
            <w:tcMar>
              <w:top w:w="0" w:type="dxa"/>
              <w:left w:w="0" w:type="dxa"/>
              <w:bottom w:w="0" w:type="dxa"/>
              <w:right w:w="0" w:type="dxa"/>
            </w:tcMar>
            <w:vAlign w:val="center"/>
            <w:hideMark/>
          </w:tcPr>
          <w:p w:rsidR="001D6BD2" w:rsidRPr="00870C21" w:rsidP="00B20C05" w14:paraId="065C87C8" w14:textId="1F1EA92A">
            <w:pPr>
              <w:spacing w:after="0" w:line="240" w:lineRule="auto"/>
              <w:ind w:left="5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Average Hourly Wage</w:t>
            </w:r>
          </w:p>
        </w:tc>
        <w:tc>
          <w:tcPr>
            <w:tcW w:w="1395" w:type="dxa"/>
            <w:shd w:val="clear" w:color="auto" w:fill="BFBFBF"/>
            <w:tcMar>
              <w:top w:w="0" w:type="dxa"/>
              <w:left w:w="0" w:type="dxa"/>
              <w:bottom w:w="0" w:type="dxa"/>
              <w:right w:w="0" w:type="dxa"/>
            </w:tcMar>
            <w:vAlign w:val="center"/>
            <w:hideMark/>
          </w:tcPr>
          <w:p w:rsidR="001D6BD2" w:rsidRPr="00870C21" w:rsidP="00B20C05" w14:paraId="26D1AE84" w14:textId="74599A26">
            <w:pPr>
              <w:spacing w:after="0" w:line="240" w:lineRule="auto"/>
              <w:ind w:left="3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0"/>
                <w:szCs w:val="20"/>
              </w:rPr>
              <w:t>Total Annual Cost</w:t>
            </w:r>
          </w:p>
        </w:tc>
      </w:tr>
      <w:tr w14:paraId="479BB213" w14:textId="77777777" w:rsidTr="00870C21">
        <w:tblPrEx>
          <w:tblW w:w="9585" w:type="dxa"/>
          <w:tblInd w:w="-5" w:type="dxa"/>
          <w:tblLayout w:type="fixed"/>
          <w:tblCellMar>
            <w:top w:w="70" w:type="dxa"/>
            <w:left w:w="70" w:type="dxa"/>
            <w:bottom w:w="70" w:type="dxa"/>
            <w:right w:w="70" w:type="dxa"/>
          </w:tblCellMar>
          <w:tblLook w:val="04A0"/>
        </w:tblPrEx>
        <w:trPr>
          <w:trHeight w:val="422"/>
        </w:trPr>
        <w:tc>
          <w:tcPr>
            <w:tcW w:w="1980" w:type="dxa"/>
            <w:shd w:val="clear" w:color="auto" w:fill="auto"/>
            <w:tcMar>
              <w:top w:w="0" w:type="dxa"/>
              <w:left w:w="115" w:type="dxa"/>
              <w:bottom w:w="0" w:type="dxa"/>
              <w:right w:w="115" w:type="dxa"/>
            </w:tcMar>
            <w:vAlign w:val="center"/>
            <w:hideMark/>
          </w:tcPr>
          <w:p w:rsidR="001D6BD2" w:rsidRPr="00870C21" w:rsidP="00183413" w14:paraId="676DDF24" w14:textId="75B63FF3">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Pre-Expenditure Report Form</w:t>
            </w:r>
          </w:p>
        </w:tc>
        <w:tc>
          <w:tcPr>
            <w:tcW w:w="1170" w:type="dxa"/>
            <w:shd w:val="clear" w:color="auto" w:fill="auto"/>
            <w:tcMar>
              <w:top w:w="0" w:type="dxa"/>
              <w:left w:w="115" w:type="dxa"/>
              <w:bottom w:w="0" w:type="dxa"/>
              <w:right w:w="115" w:type="dxa"/>
            </w:tcMar>
            <w:vAlign w:val="center"/>
            <w:hideMark/>
          </w:tcPr>
          <w:p w:rsidR="001D6BD2" w:rsidRPr="00870C21" w:rsidP="00183413" w14:paraId="7D1657F1" w14:textId="5584390C">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57</w:t>
            </w:r>
          </w:p>
        </w:tc>
        <w:tc>
          <w:tcPr>
            <w:tcW w:w="1350" w:type="dxa"/>
            <w:shd w:val="clear" w:color="auto" w:fill="auto"/>
            <w:tcMar>
              <w:top w:w="0" w:type="dxa"/>
              <w:left w:w="115" w:type="dxa"/>
              <w:bottom w:w="0" w:type="dxa"/>
              <w:right w:w="115" w:type="dxa"/>
            </w:tcMar>
            <w:vAlign w:val="center"/>
            <w:hideMark/>
          </w:tcPr>
          <w:p w:rsidR="001D6BD2" w:rsidRPr="00870C21" w:rsidP="00183413" w14:paraId="5D38C005" w14:textId="0A53C5F2">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w:t>
            </w:r>
          </w:p>
        </w:tc>
        <w:tc>
          <w:tcPr>
            <w:tcW w:w="1260" w:type="dxa"/>
            <w:shd w:val="clear" w:color="auto" w:fill="auto"/>
            <w:tcMar>
              <w:top w:w="0" w:type="dxa"/>
              <w:left w:w="115" w:type="dxa"/>
              <w:bottom w:w="0" w:type="dxa"/>
              <w:right w:w="115" w:type="dxa"/>
            </w:tcMar>
            <w:vAlign w:val="center"/>
            <w:hideMark/>
          </w:tcPr>
          <w:p w:rsidR="001D6BD2" w:rsidRPr="00870C21" w:rsidP="00183413" w14:paraId="652B693D" w14:textId="77777777">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2</w:t>
            </w:r>
          </w:p>
        </w:tc>
        <w:tc>
          <w:tcPr>
            <w:tcW w:w="1170" w:type="dxa"/>
            <w:shd w:val="clear" w:color="auto" w:fill="auto"/>
            <w:tcMar>
              <w:top w:w="0" w:type="dxa"/>
              <w:left w:w="115" w:type="dxa"/>
              <w:bottom w:w="0" w:type="dxa"/>
              <w:right w:w="115" w:type="dxa"/>
            </w:tcMar>
            <w:vAlign w:val="center"/>
            <w:hideMark/>
          </w:tcPr>
          <w:p w:rsidR="001D6BD2" w:rsidRPr="00870C21" w:rsidP="00183413" w14:paraId="0B9D030B" w14:textId="2A50552A">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11</w:t>
            </w:r>
            <w:r w:rsidRPr="00870C21" w:rsidR="000E441D">
              <w:rPr>
                <w:rFonts w:ascii="Times New Roman" w:eastAsia="Times New Roman" w:hAnsi="Times New Roman" w:cs="Times New Roman"/>
                <w:sz w:val="20"/>
                <w:szCs w:val="20"/>
              </w:rPr>
              <w:t>4</w:t>
            </w:r>
          </w:p>
        </w:tc>
        <w:tc>
          <w:tcPr>
            <w:tcW w:w="1260" w:type="dxa"/>
            <w:shd w:val="clear" w:color="auto" w:fill="auto"/>
            <w:tcMar>
              <w:top w:w="0" w:type="dxa"/>
              <w:left w:w="115" w:type="dxa"/>
              <w:bottom w:w="0" w:type="dxa"/>
              <w:right w:w="115" w:type="dxa"/>
            </w:tcMar>
            <w:vAlign w:val="center"/>
            <w:hideMark/>
          </w:tcPr>
          <w:p w:rsidR="001D6BD2" w:rsidRPr="00870C21" w:rsidP="00183413" w14:paraId="218A660F" w14:textId="38B31F2F">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$64.56</w:t>
            </w:r>
          </w:p>
        </w:tc>
        <w:tc>
          <w:tcPr>
            <w:tcW w:w="1395" w:type="dxa"/>
            <w:shd w:val="clear" w:color="auto" w:fill="auto"/>
            <w:tcMar>
              <w:top w:w="0" w:type="dxa"/>
              <w:left w:w="115" w:type="dxa"/>
              <w:bottom w:w="0" w:type="dxa"/>
              <w:right w:w="115" w:type="dxa"/>
            </w:tcMar>
            <w:vAlign w:val="center"/>
            <w:hideMark/>
          </w:tcPr>
          <w:p w:rsidR="001D6BD2" w:rsidRPr="00870C21" w:rsidP="00183413" w14:paraId="557A159B" w14:textId="66DFEC3F">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$7,</w:t>
            </w:r>
            <w:r w:rsidRPr="00870C21" w:rsidR="000E441D">
              <w:rPr>
                <w:rFonts w:ascii="Times New Roman" w:eastAsia="Times New Roman" w:hAnsi="Times New Roman" w:cs="Times New Roman"/>
                <w:sz w:val="20"/>
                <w:szCs w:val="20"/>
              </w:rPr>
              <w:t>359.84</w:t>
            </w:r>
          </w:p>
        </w:tc>
      </w:tr>
      <w:tr w14:paraId="063097AF" w14:textId="77777777" w:rsidTr="00870C21">
        <w:tblPrEx>
          <w:tblW w:w="9585" w:type="dxa"/>
          <w:tblInd w:w="-5" w:type="dxa"/>
          <w:tblLayout w:type="fixed"/>
          <w:tblCellMar>
            <w:top w:w="70" w:type="dxa"/>
            <w:left w:w="70" w:type="dxa"/>
            <w:bottom w:w="70" w:type="dxa"/>
            <w:right w:w="70" w:type="dxa"/>
          </w:tblCellMar>
          <w:tblLook w:val="04A0"/>
        </w:tblPrEx>
        <w:trPr>
          <w:trHeight w:val="152"/>
        </w:trPr>
        <w:tc>
          <w:tcPr>
            <w:tcW w:w="1980" w:type="dxa"/>
            <w:shd w:val="clear" w:color="auto" w:fill="auto"/>
            <w:tcMar>
              <w:top w:w="0" w:type="dxa"/>
              <w:left w:w="115" w:type="dxa"/>
              <w:bottom w:w="0" w:type="dxa"/>
              <w:right w:w="115" w:type="dxa"/>
            </w:tcMar>
            <w:vAlign w:val="center"/>
            <w:hideMark/>
          </w:tcPr>
          <w:p w:rsidR="001D6BD2" w:rsidRPr="00870C21" w:rsidP="00183413" w14:paraId="3B0B69C8" w14:textId="77777777">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Intended Use Plan</w:t>
            </w:r>
          </w:p>
        </w:tc>
        <w:tc>
          <w:tcPr>
            <w:tcW w:w="1170" w:type="dxa"/>
            <w:shd w:val="clear" w:color="auto" w:fill="auto"/>
            <w:tcMar>
              <w:top w:w="0" w:type="dxa"/>
              <w:left w:w="115" w:type="dxa"/>
              <w:bottom w:w="0" w:type="dxa"/>
              <w:right w:w="115" w:type="dxa"/>
            </w:tcMar>
            <w:vAlign w:val="center"/>
            <w:hideMark/>
          </w:tcPr>
          <w:p w:rsidR="001D6BD2" w:rsidRPr="00870C21" w:rsidP="00183413" w14:paraId="3FE5E031" w14:textId="251C7A05">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57</w:t>
            </w:r>
          </w:p>
        </w:tc>
        <w:tc>
          <w:tcPr>
            <w:tcW w:w="1350" w:type="dxa"/>
            <w:shd w:val="clear" w:color="auto" w:fill="auto"/>
            <w:tcMar>
              <w:top w:w="0" w:type="dxa"/>
              <w:left w:w="115" w:type="dxa"/>
              <w:bottom w:w="0" w:type="dxa"/>
              <w:right w:w="115" w:type="dxa"/>
            </w:tcMar>
            <w:vAlign w:val="center"/>
            <w:hideMark/>
          </w:tcPr>
          <w:p w:rsidR="001D6BD2" w:rsidRPr="00870C21" w:rsidP="00183413" w14:paraId="70D69D07" w14:textId="2E0CB268">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w:t>
            </w:r>
          </w:p>
        </w:tc>
        <w:tc>
          <w:tcPr>
            <w:tcW w:w="1260" w:type="dxa"/>
            <w:shd w:val="clear" w:color="auto" w:fill="auto"/>
            <w:tcMar>
              <w:top w:w="0" w:type="dxa"/>
              <w:left w:w="115" w:type="dxa"/>
              <w:bottom w:w="0" w:type="dxa"/>
              <w:right w:w="115" w:type="dxa"/>
            </w:tcMar>
            <w:vAlign w:val="center"/>
            <w:hideMark/>
          </w:tcPr>
          <w:p w:rsidR="001D6BD2" w:rsidRPr="00870C21" w:rsidP="00183413" w14:paraId="7452FE97" w14:textId="77777777">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40</w:t>
            </w:r>
          </w:p>
        </w:tc>
        <w:tc>
          <w:tcPr>
            <w:tcW w:w="1170" w:type="dxa"/>
            <w:shd w:val="clear" w:color="auto" w:fill="auto"/>
            <w:tcMar>
              <w:top w:w="0" w:type="dxa"/>
              <w:left w:w="115" w:type="dxa"/>
              <w:bottom w:w="0" w:type="dxa"/>
              <w:right w:w="115" w:type="dxa"/>
            </w:tcMar>
            <w:vAlign w:val="center"/>
            <w:hideMark/>
          </w:tcPr>
          <w:p w:rsidR="001D6BD2" w:rsidRPr="00870C21" w:rsidP="00183413" w14:paraId="5BA79270" w14:textId="37770B5F">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2,2</w:t>
            </w:r>
            <w:r w:rsidRPr="00870C21" w:rsidR="000E441D">
              <w:rPr>
                <w:rFonts w:ascii="Times New Roman" w:eastAsia="Times New Roman" w:hAnsi="Times New Roman" w:cs="Times New Roman"/>
                <w:sz w:val="20"/>
                <w:szCs w:val="20"/>
              </w:rPr>
              <w:t>80</w:t>
            </w:r>
          </w:p>
        </w:tc>
        <w:tc>
          <w:tcPr>
            <w:tcW w:w="1260" w:type="dxa"/>
            <w:shd w:val="clear" w:color="auto" w:fill="auto"/>
            <w:tcMar>
              <w:top w:w="0" w:type="dxa"/>
              <w:left w:w="115" w:type="dxa"/>
              <w:bottom w:w="0" w:type="dxa"/>
              <w:right w:w="115" w:type="dxa"/>
            </w:tcMar>
            <w:vAlign w:val="center"/>
            <w:hideMark/>
          </w:tcPr>
          <w:p w:rsidR="001D6BD2" w:rsidRPr="00870C21" w:rsidP="00183413" w14:paraId="46A9C554" w14:textId="6B619DAD">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$64.56</w:t>
            </w:r>
          </w:p>
        </w:tc>
        <w:tc>
          <w:tcPr>
            <w:tcW w:w="1395" w:type="dxa"/>
            <w:shd w:val="clear" w:color="auto" w:fill="auto"/>
            <w:tcMar>
              <w:top w:w="0" w:type="dxa"/>
              <w:left w:w="115" w:type="dxa"/>
              <w:bottom w:w="0" w:type="dxa"/>
              <w:right w:w="115" w:type="dxa"/>
            </w:tcMar>
            <w:vAlign w:val="center"/>
            <w:hideMark/>
          </w:tcPr>
          <w:p w:rsidR="001D6BD2" w:rsidRPr="00870C21" w:rsidP="00183413" w14:paraId="7A03FDE8" w14:textId="6CFC1739">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$14</w:t>
            </w:r>
            <w:r w:rsidRPr="00870C21" w:rsidR="000E441D">
              <w:rPr>
                <w:rFonts w:ascii="Times New Roman" w:eastAsia="Times New Roman" w:hAnsi="Times New Roman" w:cs="Times New Roman"/>
                <w:sz w:val="20"/>
                <w:szCs w:val="20"/>
              </w:rPr>
              <w:t>7,196.80</w:t>
            </w:r>
          </w:p>
        </w:tc>
      </w:tr>
      <w:tr w14:paraId="61EC0FA8" w14:textId="77777777" w:rsidTr="00870C21">
        <w:tblPrEx>
          <w:tblW w:w="9585" w:type="dxa"/>
          <w:tblInd w:w="-5" w:type="dxa"/>
          <w:tblLayout w:type="fixed"/>
          <w:tblCellMar>
            <w:top w:w="70" w:type="dxa"/>
            <w:left w:w="70" w:type="dxa"/>
            <w:bottom w:w="70" w:type="dxa"/>
            <w:right w:w="70" w:type="dxa"/>
          </w:tblCellMar>
          <w:tblLook w:val="04A0"/>
        </w:tblPrEx>
        <w:trPr>
          <w:trHeight w:val="341"/>
        </w:trPr>
        <w:tc>
          <w:tcPr>
            <w:tcW w:w="1980" w:type="dxa"/>
            <w:shd w:val="clear" w:color="auto" w:fill="auto"/>
            <w:tcMar>
              <w:top w:w="0" w:type="dxa"/>
              <w:left w:w="115" w:type="dxa"/>
              <w:bottom w:w="0" w:type="dxa"/>
              <w:right w:w="115" w:type="dxa"/>
            </w:tcMar>
            <w:vAlign w:val="center"/>
            <w:hideMark/>
          </w:tcPr>
          <w:p w:rsidR="001D6BD2" w:rsidRPr="00870C21" w:rsidP="00183413" w14:paraId="1137C55B" w14:textId="3BB68232">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Post-Expenditure Reporting Form</w:t>
            </w:r>
          </w:p>
        </w:tc>
        <w:tc>
          <w:tcPr>
            <w:tcW w:w="1170" w:type="dxa"/>
            <w:shd w:val="clear" w:color="auto" w:fill="auto"/>
            <w:tcMar>
              <w:top w:w="0" w:type="dxa"/>
              <w:left w:w="115" w:type="dxa"/>
              <w:bottom w:w="0" w:type="dxa"/>
              <w:right w:w="115" w:type="dxa"/>
            </w:tcMar>
            <w:vAlign w:val="center"/>
            <w:hideMark/>
          </w:tcPr>
          <w:p w:rsidR="001D6BD2" w:rsidRPr="00870C21" w:rsidP="00183413" w14:paraId="239AF10D" w14:textId="5B3241E6">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57</w:t>
            </w:r>
          </w:p>
        </w:tc>
        <w:tc>
          <w:tcPr>
            <w:tcW w:w="1350" w:type="dxa"/>
            <w:shd w:val="clear" w:color="auto" w:fill="auto"/>
            <w:tcMar>
              <w:top w:w="0" w:type="dxa"/>
              <w:left w:w="115" w:type="dxa"/>
              <w:bottom w:w="0" w:type="dxa"/>
              <w:right w:w="115" w:type="dxa"/>
            </w:tcMar>
            <w:vAlign w:val="center"/>
            <w:hideMark/>
          </w:tcPr>
          <w:p w:rsidR="001D6BD2" w:rsidRPr="00870C21" w:rsidP="00183413" w14:paraId="0A1E5405" w14:textId="5DF4316E">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w:t>
            </w:r>
          </w:p>
        </w:tc>
        <w:tc>
          <w:tcPr>
            <w:tcW w:w="1260" w:type="dxa"/>
            <w:shd w:val="clear" w:color="auto" w:fill="auto"/>
            <w:tcMar>
              <w:top w:w="0" w:type="dxa"/>
              <w:left w:w="115" w:type="dxa"/>
              <w:bottom w:w="0" w:type="dxa"/>
              <w:right w:w="115" w:type="dxa"/>
            </w:tcMar>
            <w:vAlign w:val="center"/>
            <w:hideMark/>
          </w:tcPr>
          <w:p w:rsidR="001D6BD2" w:rsidRPr="00870C21" w:rsidP="00183413" w14:paraId="488A048E" w14:textId="77777777">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110</w:t>
            </w:r>
          </w:p>
        </w:tc>
        <w:tc>
          <w:tcPr>
            <w:tcW w:w="1170" w:type="dxa"/>
            <w:shd w:val="clear" w:color="auto" w:fill="auto"/>
            <w:tcMar>
              <w:top w:w="0" w:type="dxa"/>
              <w:left w:w="115" w:type="dxa"/>
              <w:bottom w:w="0" w:type="dxa"/>
              <w:right w:w="115" w:type="dxa"/>
            </w:tcMar>
            <w:vAlign w:val="center"/>
            <w:hideMark/>
          </w:tcPr>
          <w:p w:rsidR="001D6BD2" w:rsidRPr="00870C21" w:rsidP="00183413" w14:paraId="5C5E4C68" w14:textId="1E13CC23">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6,</w:t>
            </w:r>
            <w:r w:rsidRPr="00870C21" w:rsidR="000E441D">
              <w:rPr>
                <w:rFonts w:ascii="Times New Roman" w:eastAsia="Times New Roman" w:hAnsi="Times New Roman" w:cs="Times New Roman"/>
                <w:sz w:val="20"/>
                <w:szCs w:val="20"/>
              </w:rPr>
              <w:t>270</w:t>
            </w:r>
          </w:p>
        </w:tc>
        <w:tc>
          <w:tcPr>
            <w:tcW w:w="1260" w:type="dxa"/>
            <w:shd w:val="clear" w:color="auto" w:fill="auto"/>
            <w:tcMar>
              <w:top w:w="0" w:type="dxa"/>
              <w:left w:w="115" w:type="dxa"/>
              <w:bottom w:w="0" w:type="dxa"/>
              <w:right w:w="115" w:type="dxa"/>
            </w:tcMar>
            <w:vAlign w:val="center"/>
            <w:hideMark/>
          </w:tcPr>
          <w:p w:rsidR="001D6BD2" w:rsidRPr="00870C21" w:rsidP="00183413" w14:paraId="28A61C1B" w14:textId="3F450CA1">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$64.56</w:t>
            </w:r>
          </w:p>
        </w:tc>
        <w:tc>
          <w:tcPr>
            <w:tcW w:w="1395" w:type="dxa"/>
            <w:shd w:val="clear" w:color="auto" w:fill="auto"/>
            <w:tcMar>
              <w:top w:w="0" w:type="dxa"/>
              <w:left w:w="115" w:type="dxa"/>
              <w:bottom w:w="0" w:type="dxa"/>
              <w:right w:w="115" w:type="dxa"/>
            </w:tcMar>
            <w:vAlign w:val="center"/>
            <w:hideMark/>
          </w:tcPr>
          <w:p w:rsidR="001D6BD2" w:rsidRPr="00870C21" w:rsidP="00183413" w14:paraId="079107FC" w14:textId="788B19E0">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0"/>
                <w:szCs w:val="20"/>
              </w:rPr>
              <w:t>$</w:t>
            </w:r>
            <w:r w:rsidRPr="00870C21" w:rsidR="000E441D">
              <w:rPr>
                <w:rFonts w:ascii="Times New Roman" w:eastAsia="Times New Roman" w:hAnsi="Times New Roman" w:cs="Times New Roman"/>
                <w:sz w:val="20"/>
                <w:szCs w:val="20"/>
              </w:rPr>
              <w:t>404,791.20</w:t>
            </w:r>
          </w:p>
        </w:tc>
      </w:tr>
      <w:tr w14:paraId="06BBD0A0" w14:textId="77777777" w:rsidTr="00870C21">
        <w:tblPrEx>
          <w:tblW w:w="9585" w:type="dxa"/>
          <w:tblInd w:w="-5" w:type="dxa"/>
          <w:tblLayout w:type="fixed"/>
          <w:tblCellMar>
            <w:top w:w="70" w:type="dxa"/>
            <w:left w:w="70" w:type="dxa"/>
            <w:bottom w:w="70" w:type="dxa"/>
            <w:right w:w="70" w:type="dxa"/>
          </w:tblCellMar>
          <w:tblLook w:val="04A0"/>
        </w:tblPrEx>
        <w:trPr>
          <w:trHeight w:val="341"/>
        </w:trPr>
        <w:tc>
          <w:tcPr>
            <w:tcW w:w="5760" w:type="dxa"/>
            <w:gridSpan w:val="4"/>
            <w:shd w:val="clear" w:color="auto" w:fill="auto"/>
            <w:tcMar>
              <w:top w:w="0" w:type="dxa"/>
              <w:left w:w="115" w:type="dxa"/>
              <w:bottom w:w="0" w:type="dxa"/>
              <w:right w:w="115" w:type="dxa"/>
            </w:tcMar>
            <w:vAlign w:val="center"/>
          </w:tcPr>
          <w:p w:rsidR="001D6BD2" w:rsidRPr="00870C21" w:rsidP="001D6BD2" w14:paraId="38E539FB" w14:textId="561B6D6A">
            <w:pPr>
              <w:spacing w:after="0" w:line="240" w:lineRule="auto"/>
              <w:ind w:left="720" w:hanging="720"/>
              <w:jc w:val="right"/>
              <w:rPr>
                <w:rFonts w:ascii="Times New Roman" w:eastAsia="Times New Roman" w:hAnsi="Times New Roman" w:cs="Times New Roman"/>
                <w:sz w:val="20"/>
                <w:szCs w:val="20"/>
              </w:rPr>
            </w:pPr>
            <w:r w:rsidRPr="00870C21">
              <w:rPr>
                <w:rFonts w:ascii="Times New Roman" w:eastAsia="Times New Roman" w:hAnsi="Times New Roman" w:cs="Times New Roman"/>
                <w:b/>
                <w:bCs/>
                <w:sz w:val="20"/>
                <w:szCs w:val="20"/>
              </w:rPr>
              <w:t xml:space="preserve">Estimated Annual Burden Total: </w:t>
            </w:r>
          </w:p>
        </w:tc>
        <w:tc>
          <w:tcPr>
            <w:tcW w:w="1170" w:type="dxa"/>
            <w:shd w:val="clear" w:color="auto" w:fill="auto"/>
            <w:tcMar>
              <w:top w:w="0" w:type="dxa"/>
              <w:left w:w="115" w:type="dxa"/>
              <w:bottom w:w="0" w:type="dxa"/>
              <w:right w:w="115" w:type="dxa"/>
            </w:tcMar>
            <w:vAlign w:val="center"/>
          </w:tcPr>
          <w:p w:rsidR="001D6BD2" w:rsidRPr="00870C21" w:rsidP="001D6BD2" w14:paraId="4CEE2966" w14:textId="0B6CAB4D">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b/>
                <w:bCs/>
                <w:sz w:val="20"/>
                <w:szCs w:val="20"/>
              </w:rPr>
              <w:t>8,</w:t>
            </w:r>
            <w:r w:rsidRPr="00870C21" w:rsidR="000E441D">
              <w:rPr>
                <w:rFonts w:ascii="Times New Roman" w:eastAsia="Times New Roman" w:hAnsi="Times New Roman" w:cs="Times New Roman"/>
                <w:b/>
                <w:bCs/>
                <w:sz w:val="20"/>
                <w:szCs w:val="20"/>
              </w:rPr>
              <w:t>664</w:t>
            </w:r>
          </w:p>
        </w:tc>
        <w:tc>
          <w:tcPr>
            <w:tcW w:w="1260" w:type="dxa"/>
            <w:shd w:val="clear" w:color="auto" w:fill="auto"/>
            <w:tcMar>
              <w:top w:w="0" w:type="dxa"/>
              <w:left w:w="115" w:type="dxa"/>
              <w:bottom w:w="0" w:type="dxa"/>
              <w:right w:w="115" w:type="dxa"/>
            </w:tcMar>
            <w:vAlign w:val="center"/>
          </w:tcPr>
          <w:p w:rsidR="001D6BD2" w:rsidRPr="00870C21" w:rsidP="001D6BD2" w14:paraId="67B71860" w14:textId="7B743F0C">
            <w:pPr>
              <w:spacing w:after="0" w:line="240" w:lineRule="auto"/>
              <w:jc w:val="center"/>
              <w:rPr>
                <w:rFonts w:ascii="Times New Roman" w:eastAsia="Times New Roman" w:hAnsi="Times New Roman" w:cs="Times New Roman"/>
                <w:sz w:val="20"/>
                <w:szCs w:val="20"/>
              </w:rPr>
            </w:pPr>
            <w:r w:rsidRPr="00870C21">
              <w:rPr>
                <w:rFonts w:ascii="Times New Roman" w:eastAsia="Times New Roman" w:hAnsi="Times New Roman" w:cs="Times New Roman"/>
                <w:b/>
                <w:bCs/>
                <w:sz w:val="20"/>
                <w:szCs w:val="20"/>
              </w:rPr>
              <w:t>Estimated Annual Cost Total:</w:t>
            </w:r>
          </w:p>
        </w:tc>
        <w:tc>
          <w:tcPr>
            <w:tcW w:w="1395" w:type="dxa"/>
            <w:shd w:val="clear" w:color="auto" w:fill="auto"/>
            <w:tcMar>
              <w:top w:w="0" w:type="dxa"/>
              <w:left w:w="115" w:type="dxa"/>
              <w:bottom w:w="0" w:type="dxa"/>
              <w:right w:w="115" w:type="dxa"/>
            </w:tcMar>
            <w:vAlign w:val="center"/>
          </w:tcPr>
          <w:p w:rsidR="001D6BD2" w:rsidRPr="00870C21" w:rsidP="001D6BD2" w14:paraId="762F1169" w14:textId="62F46570">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b/>
                <w:bCs/>
                <w:sz w:val="20"/>
                <w:szCs w:val="20"/>
              </w:rPr>
              <w:t>$</w:t>
            </w:r>
            <w:r w:rsidRPr="00870C21" w:rsidR="000E441D">
              <w:rPr>
                <w:rFonts w:ascii="Times New Roman" w:eastAsia="Times New Roman" w:hAnsi="Times New Roman" w:cs="Times New Roman"/>
                <w:b/>
                <w:bCs/>
                <w:sz w:val="20"/>
                <w:szCs w:val="20"/>
              </w:rPr>
              <w:t>559,347.84</w:t>
            </w:r>
          </w:p>
        </w:tc>
      </w:tr>
    </w:tbl>
    <w:p w:rsidR="007524EE" w:rsidRPr="00870C21" w:rsidP="00371FF7" w14:paraId="2FF26A99" w14:textId="77777777">
      <w:pPr>
        <w:shd w:val="clear" w:color="auto" w:fill="FFFFFF"/>
        <w:spacing w:after="0" w:line="315" w:lineRule="atLeast"/>
        <w:ind w:left="720" w:hanging="720"/>
        <w:rPr>
          <w:rFonts w:ascii="Times New Roman" w:eastAsia="Times New Roman" w:hAnsi="Times New Roman" w:cs="Times New Roman"/>
          <w:sz w:val="24"/>
          <w:szCs w:val="24"/>
        </w:rPr>
      </w:pPr>
    </w:p>
    <w:p w:rsidR="007524EE" w:rsidRPr="00870C21" w:rsidP="00B90D2C" w14:paraId="75DC7857" w14:textId="2789EF3B">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estimated annual cost is based upon the average hourly salary for social and community service managers, job code 11-9151 based on May 20</w:t>
      </w:r>
      <w:r w:rsidRPr="00870C21" w:rsidR="007D6929">
        <w:rPr>
          <w:rFonts w:ascii="Times New Roman" w:eastAsia="Times New Roman" w:hAnsi="Times New Roman" w:cs="Times New Roman"/>
          <w:sz w:val="24"/>
          <w:szCs w:val="24"/>
        </w:rPr>
        <w:t>22</w:t>
      </w:r>
      <w:r w:rsidRPr="00870C21">
        <w:rPr>
          <w:rFonts w:ascii="Times New Roman" w:eastAsia="Times New Roman" w:hAnsi="Times New Roman" w:cs="Times New Roman"/>
          <w:sz w:val="24"/>
          <w:szCs w:val="24"/>
        </w:rPr>
        <w:t xml:space="preserve"> Occupational Employment Statistics from the Bureau of Labor and Statistics</w:t>
      </w:r>
      <w:bookmarkStart w:id="2" w:name="sdfootnote1anc"/>
      <w:r>
        <w:rPr>
          <w:rStyle w:val="FootnoteReference"/>
          <w:rFonts w:ascii="Times New Roman" w:eastAsia="Times New Roman" w:hAnsi="Times New Roman" w:cs="Times New Roman"/>
          <w:sz w:val="24"/>
          <w:szCs w:val="24"/>
        </w:rPr>
        <w:footnoteReference w:id="3"/>
      </w:r>
      <w:bookmarkEnd w:id="2"/>
      <w:r w:rsidRPr="00870C21">
        <w:rPr>
          <w:rFonts w:ascii="Times New Roman" w:eastAsia="Times New Roman" w:hAnsi="Times New Roman" w:cs="Times New Roman"/>
          <w:sz w:val="24"/>
          <w:szCs w:val="24"/>
        </w:rPr>
        <w:t>. The base wage is equal to the mean salary of $3</w:t>
      </w:r>
      <w:r w:rsidRPr="00870C21" w:rsidR="007D6929">
        <w:rPr>
          <w:rFonts w:ascii="Times New Roman" w:eastAsia="Times New Roman" w:hAnsi="Times New Roman" w:cs="Times New Roman"/>
          <w:sz w:val="24"/>
          <w:szCs w:val="24"/>
        </w:rPr>
        <w:t>8.13</w:t>
      </w:r>
      <w:r w:rsidRPr="00870C21">
        <w:rPr>
          <w:rFonts w:ascii="Times New Roman" w:eastAsia="Times New Roman" w:hAnsi="Times New Roman" w:cs="Times New Roman"/>
          <w:sz w:val="24"/>
          <w:szCs w:val="24"/>
        </w:rPr>
        <w:t xml:space="preserve"> per hour. The base wage was multiplied by two to calculate wage plus fringe benefits and overhead.</w:t>
      </w:r>
    </w:p>
    <w:p w:rsidR="007524EE" w:rsidRPr="00870C21" w:rsidP="00371FF7" w14:paraId="26019D51" w14:textId="77777777">
      <w:pPr>
        <w:shd w:val="clear" w:color="auto" w:fill="FFFFFF"/>
        <w:spacing w:after="0" w:line="315" w:lineRule="atLeast"/>
        <w:ind w:left="720" w:hanging="720"/>
        <w:rPr>
          <w:rFonts w:ascii="Times New Roman" w:eastAsia="Times New Roman" w:hAnsi="Times New Roman" w:cs="Times New Roman"/>
          <w:sz w:val="24"/>
          <w:szCs w:val="24"/>
        </w:rPr>
      </w:pPr>
    </w:p>
    <w:p w:rsidR="007524EE" w:rsidRPr="00870C21" w:rsidP="003F2E04" w14:paraId="26FCF2A3" w14:textId="77777777">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Estimates of Other Total Annual Cost Burden to Respondents and Record Keepers</w:t>
      </w:r>
    </w:p>
    <w:p w:rsidR="007524EE" w:rsidRPr="00870C21" w:rsidP="003F2E04" w14:paraId="64CA4CE9" w14:textId="2560D4D6">
      <w:pPr>
        <w:shd w:val="clear" w:color="auto" w:fill="FFFFFF"/>
        <w:spacing w:after="0"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States will not incur any additional costs.</w:t>
      </w:r>
    </w:p>
    <w:p w:rsidR="007524EE" w:rsidRPr="00870C21" w:rsidP="00371FF7" w14:paraId="3FF565CE" w14:textId="77777777">
      <w:pPr>
        <w:shd w:val="clear" w:color="auto" w:fill="FFFFFF"/>
        <w:spacing w:after="0" w:line="315" w:lineRule="atLeast"/>
        <w:ind w:left="720" w:hanging="720"/>
        <w:rPr>
          <w:rFonts w:ascii="Times New Roman" w:eastAsia="Times New Roman" w:hAnsi="Times New Roman" w:cs="Times New Roman"/>
          <w:sz w:val="24"/>
          <w:szCs w:val="24"/>
        </w:rPr>
      </w:pPr>
    </w:p>
    <w:p w:rsidR="007524EE" w:rsidRPr="00870C21" w:rsidP="003F2E04" w14:paraId="444F5D89" w14:textId="77777777">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Annualized Cost to the Federal Government</w:t>
      </w:r>
    </w:p>
    <w:p w:rsidR="007524EE" w:rsidRPr="00870C21" w:rsidP="003F2E04" w14:paraId="33C43879" w14:textId="77777777">
      <w:pPr>
        <w:shd w:val="clear" w:color="auto" w:fill="FFFFFF"/>
        <w:spacing w:after="0"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annual cost to the Federal Government is shown in the following table:</w:t>
      </w:r>
    </w:p>
    <w:p w:rsidR="002A0865" w:rsidRPr="00870C21" w:rsidP="002A0865" w14:paraId="2F54DA84" w14:textId="654FC0E9">
      <w:pPr>
        <w:shd w:val="clear" w:color="auto" w:fill="FFFFFF"/>
        <w:spacing w:after="0" w:line="315" w:lineRule="atLeast"/>
        <w:rPr>
          <w:rFonts w:ascii="Times New Roman" w:eastAsia="Times New Roman" w:hAnsi="Times New Roman" w:cs="Times New Roman"/>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0" w:type="dxa"/>
          <w:left w:w="70" w:type="dxa"/>
          <w:bottom w:w="70" w:type="dxa"/>
          <w:right w:w="70" w:type="dxa"/>
        </w:tblCellMar>
        <w:tblLook w:val="04A0"/>
      </w:tblPr>
      <w:tblGrid>
        <w:gridCol w:w="3600"/>
        <w:gridCol w:w="1530"/>
        <w:gridCol w:w="1350"/>
        <w:gridCol w:w="1620"/>
        <w:gridCol w:w="1530"/>
      </w:tblGrid>
      <w:tr w14:paraId="0312FE80" w14:textId="77777777" w:rsidTr="002A0865">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0" w:type="dxa"/>
            <w:left w:w="70" w:type="dxa"/>
            <w:bottom w:w="70" w:type="dxa"/>
            <w:right w:w="70" w:type="dxa"/>
          </w:tblCellMar>
          <w:tblLook w:val="04A0"/>
        </w:tblPrEx>
        <w:trPr>
          <w:trHeight w:val="683"/>
        </w:trPr>
        <w:tc>
          <w:tcPr>
            <w:tcW w:w="3600" w:type="dxa"/>
            <w:shd w:val="clear" w:color="auto" w:fill="BFBFBF"/>
            <w:tcMar>
              <w:top w:w="0" w:type="dxa"/>
              <w:left w:w="0" w:type="dxa"/>
              <w:bottom w:w="0" w:type="dxa"/>
              <w:right w:w="0" w:type="dxa"/>
            </w:tcMar>
            <w:hideMark/>
          </w:tcPr>
          <w:p w:rsidR="002A0865" w:rsidRPr="00870C21" w:rsidP="002A0865" w14:paraId="20A528B4" w14:textId="2A7ABC90">
            <w:pPr>
              <w:spacing w:after="0" w:line="240" w:lineRule="auto"/>
              <w:ind w:left="9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4"/>
                <w:szCs w:val="24"/>
              </w:rPr>
              <w:t>AGENCY</w:t>
            </w:r>
          </w:p>
        </w:tc>
        <w:tc>
          <w:tcPr>
            <w:tcW w:w="1530" w:type="dxa"/>
            <w:shd w:val="clear" w:color="auto" w:fill="BFBFBF"/>
            <w:tcMar>
              <w:top w:w="0" w:type="dxa"/>
              <w:left w:w="0" w:type="dxa"/>
              <w:bottom w:w="0" w:type="dxa"/>
              <w:right w:w="0" w:type="dxa"/>
            </w:tcMar>
            <w:hideMark/>
          </w:tcPr>
          <w:p w:rsidR="002A0865" w:rsidRPr="00870C21" w:rsidP="002A0865" w14:paraId="46900096" w14:textId="4A507221">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4"/>
                <w:szCs w:val="24"/>
              </w:rPr>
              <w:t>Year 1</w:t>
            </w:r>
          </w:p>
        </w:tc>
        <w:tc>
          <w:tcPr>
            <w:tcW w:w="1350" w:type="dxa"/>
            <w:shd w:val="clear" w:color="auto" w:fill="BFBFBF"/>
            <w:tcMar>
              <w:top w:w="0" w:type="dxa"/>
              <w:left w:w="0" w:type="dxa"/>
              <w:bottom w:w="0" w:type="dxa"/>
              <w:right w:w="0" w:type="dxa"/>
            </w:tcMar>
            <w:hideMark/>
          </w:tcPr>
          <w:p w:rsidR="002A0865" w:rsidRPr="00870C21" w:rsidP="002A0865" w14:paraId="6A3DEC28" w14:textId="5E7DCA2E">
            <w:pPr>
              <w:spacing w:after="0" w:line="240" w:lineRule="auto"/>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4"/>
                <w:szCs w:val="24"/>
              </w:rPr>
              <w:t>Year 2</w:t>
            </w:r>
          </w:p>
        </w:tc>
        <w:tc>
          <w:tcPr>
            <w:tcW w:w="1620" w:type="dxa"/>
            <w:shd w:val="clear" w:color="auto" w:fill="BFBFBF"/>
            <w:tcMar>
              <w:top w:w="0" w:type="dxa"/>
              <w:left w:w="0" w:type="dxa"/>
              <w:bottom w:w="0" w:type="dxa"/>
              <w:right w:w="0" w:type="dxa"/>
            </w:tcMar>
            <w:hideMark/>
          </w:tcPr>
          <w:p w:rsidR="002A0865" w:rsidRPr="00870C21" w:rsidP="002A0865" w14:paraId="64999E42" w14:textId="266A1BBF">
            <w:pPr>
              <w:spacing w:after="0" w:line="240" w:lineRule="auto"/>
              <w:ind w:left="4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4"/>
                <w:szCs w:val="24"/>
              </w:rPr>
              <w:t>Year 3</w:t>
            </w:r>
          </w:p>
        </w:tc>
        <w:tc>
          <w:tcPr>
            <w:tcW w:w="1530" w:type="dxa"/>
            <w:shd w:val="clear" w:color="auto" w:fill="BFBFBF"/>
            <w:tcMar>
              <w:top w:w="0" w:type="dxa"/>
              <w:left w:w="0" w:type="dxa"/>
              <w:bottom w:w="0" w:type="dxa"/>
              <w:right w:w="0" w:type="dxa"/>
            </w:tcMar>
            <w:hideMark/>
          </w:tcPr>
          <w:p w:rsidR="002A0865" w:rsidRPr="00870C21" w:rsidP="002A0865" w14:paraId="7459411C" w14:textId="43F91AA6">
            <w:pPr>
              <w:spacing w:after="0" w:line="240" w:lineRule="auto"/>
              <w:ind w:left="10"/>
              <w:jc w:val="center"/>
              <w:rPr>
                <w:rFonts w:ascii="Times New Roman" w:eastAsia="Times New Roman" w:hAnsi="Times New Roman" w:cs="Times New Roman"/>
                <w:b/>
                <w:bCs/>
                <w:sz w:val="20"/>
                <w:szCs w:val="20"/>
              </w:rPr>
            </w:pPr>
            <w:r w:rsidRPr="00870C21">
              <w:rPr>
                <w:rFonts w:ascii="Times New Roman" w:eastAsia="Times New Roman" w:hAnsi="Times New Roman" w:cs="Times New Roman"/>
                <w:b/>
                <w:bCs/>
                <w:sz w:val="24"/>
                <w:szCs w:val="24"/>
              </w:rPr>
              <w:t>Average Annual Cost</w:t>
            </w:r>
          </w:p>
        </w:tc>
      </w:tr>
      <w:tr w14:paraId="467DD380" w14:textId="77777777" w:rsidTr="002A0865">
        <w:tblPrEx>
          <w:tblW w:w="9630" w:type="dxa"/>
          <w:tblInd w:w="-5" w:type="dxa"/>
          <w:tblLayout w:type="fixed"/>
          <w:tblCellMar>
            <w:top w:w="70" w:type="dxa"/>
            <w:left w:w="70" w:type="dxa"/>
            <w:bottom w:w="70" w:type="dxa"/>
            <w:right w:w="70" w:type="dxa"/>
          </w:tblCellMar>
          <w:tblLook w:val="04A0"/>
        </w:tblPrEx>
        <w:trPr>
          <w:trHeight w:val="50"/>
        </w:trPr>
        <w:tc>
          <w:tcPr>
            <w:tcW w:w="3600" w:type="dxa"/>
            <w:shd w:val="clear" w:color="auto" w:fill="auto"/>
            <w:tcMar>
              <w:top w:w="0" w:type="dxa"/>
              <w:left w:w="115" w:type="dxa"/>
              <w:bottom w:w="0" w:type="dxa"/>
              <w:right w:w="115" w:type="dxa"/>
            </w:tcMar>
            <w:hideMark/>
          </w:tcPr>
          <w:p w:rsidR="002A0865" w:rsidRPr="00870C21" w:rsidP="002A0865" w14:paraId="0ABA1A1E" w14:textId="3F526BCB">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Office of Community Services</w:t>
            </w:r>
          </w:p>
        </w:tc>
        <w:tc>
          <w:tcPr>
            <w:tcW w:w="1530" w:type="dxa"/>
            <w:shd w:val="clear" w:color="auto" w:fill="auto"/>
            <w:tcMar>
              <w:top w:w="0" w:type="dxa"/>
              <w:left w:w="115" w:type="dxa"/>
              <w:bottom w:w="0" w:type="dxa"/>
              <w:right w:w="115" w:type="dxa"/>
            </w:tcMar>
            <w:hideMark/>
          </w:tcPr>
          <w:p w:rsidR="002A0865" w:rsidRPr="00870C21" w:rsidP="002A0865" w14:paraId="2088AB6C" w14:textId="4B5E4535">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$41,853</w:t>
            </w:r>
          </w:p>
        </w:tc>
        <w:tc>
          <w:tcPr>
            <w:tcW w:w="1350" w:type="dxa"/>
            <w:shd w:val="clear" w:color="auto" w:fill="auto"/>
            <w:tcMar>
              <w:top w:w="0" w:type="dxa"/>
              <w:left w:w="115" w:type="dxa"/>
              <w:bottom w:w="0" w:type="dxa"/>
              <w:right w:w="115" w:type="dxa"/>
            </w:tcMar>
            <w:hideMark/>
          </w:tcPr>
          <w:p w:rsidR="002A0865" w:rsidRPr="00870C21" w:rsidP="002A0865" w14:paraId="36251362" w14:textId="49BAEA9F">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$43,182</w:t>
            </w:r>
          </w:p>
        </w:tc>
        <w:tc>
          <w:tcPr>
            <w:tcW w:w="1620" w:type="dxa"/>
            <w:shd w:val="clear" w:color="auto" w:fill="auto"/>
            <w:tcMar>
              <w:top w:w="0" w:type="dxa"/>
              <w:left w:w="115" w:type="dxa"/>
              <w:bottom w:w="0" w:type="dxa"/>
              <w:right w:w="115" w:type="dxa"/>
            </w:tcMar>
            <w:hideMark/>
          </w:tcPr>
          <w:p w:rsidR="002A0865" w:rsidRPr="00870C21" w:rsidP="002A0865" w14:paraId="47657A4B" w14:textId="62E4AA64">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$44,511</w:t>
            </w:r>
          </w:p>
        </w:tc>
        <w:tc>
          <w:tcPr>
            <w:tcW w:w="1530" w:type="dxa"/>
            <w:shd w:val="clear" w:color="auto" w:fill="auto"/>
            <w:tcMar>
              <w:top w:w="0" w:type="dxa"/>
              <w:left w:w="115" w:type="dxa"/>
              <w:bottom w:w="0" w:type="dxa"/>
              <w:right w:w="115" w:type="dxa"/>
            </w:tcMar>
            <w:hideMark/>
          </w:tcPr>
          <w:p w:rsidR="002A0865" w:rsidRPr="00870C21" w:rsidP="002A0865" w14:paraId="1B116FC2" w14:textId="63FC6FE9">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$43,182</w:t>
            </w:r>
          </w:p>
        </w:tc>
      </w:tr>
      <w:tr w14:paraId="4341DEE7" w14:textId="77777777" w:rsidTr="002A0865">
        <w:tblPrEx>
          <w:tblW w:w="9630" w:type="dxa"/>
          <w:tblInd w:w="-5" w:type="dxa"/>
          <w:tblLayout w:type="fixed"/>
          <w:tblCellMar>
            <w:top w:w="70" w:type="dxa"/>
            <w:left w:w="70" w:type="dxa"/>
            <w:bottom w:w="70" w:type="dxa"/>
            <w:right w:w="70" w:type="dxa"/>
          </w:tblCellMar>
          <w:tblLook w:val="04A0"/>
        </w:tblPrEx>
        <w:trPr>
          <w:trHeight w:val="152"/>
        </w:trPr>
        <w:tc>
          <w:tcPr>
            <w:tcW w:w="3600" w:type="dxa"/>
            <w:shd w:val="clear" w:color="auto" w:fill="auto"/>
            <w:tcMar>
              <w:top w:w="0" w:type="dxa"/>
              <w:left w:w="115" w:type="dxa"/>
              <w:bottom w:w="0" w:type="dxa"/>
              <w:right w:w="115" w:type="dxa"/>
            </w:tcMar>
            <w:hideMark/>
          </w:tcPr>
          <w:p w:rsidR="002A0865" w:rsidRPr="00870C21" w:rsidP="002A0865" w14:paraId="6427A90B" w14:textId="45D11E06">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Contractor Staff</w:t>
            </w:r>
          </w:p>
        </w:tc>
        <w:tc>
          <w:tcPr>
            <w:tcW w:w="1530" w:type="dxa"/>
            <w:shd w:val="clear" w:color="auto" w:fill="auto"/>
            <w:tcMar>
              <w:top w:w="0" w:type="dxa"/>
              <w:left w:w="115" w:type="dxa"/>
              <w:bottom w:w="0" w:type="dxa"/>
              <w:right w:w="115" w:type="dxa"/>
            </w:tcMar>
            <w:hideMark/>
          </w:tcPr>
          <w:p w:rsidR="002A0865" w:rsidRPr="00870C21" w:rsidP="002A0865" w14:paraId="608CF924" w14:textId="11D708FD">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$156,123</w:t>
            </w:r>
          </w:p>
        </w:tc>
        <w:tc>
          <w:tcPr>
            <w:tcW w:w="1350" w:type="dxa"/>
            <w:shd w:val="clear" w:color="auto" w:fill="auto"/>
            <w:tcMar>
              <w:top w:w="0" w:type="dxa"/>
              <w:left w:w="115" w:type="dxa"/>
              <w:bottom w:w="0" w:type="dxa"/>
              <w:right w:w="115" w:type="dxa"/>
            </w:tcMar>
            <w:hideMark/>
          </w:tcPr>
          <w:p w:rsidR="002A0865" w:rsidRPr="00870C21" w:rsidP="002A0865" w14:paraId="1B3EB45F" w14:textId="3C3EFBFC">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$168,255</w:t>
            </w:r>
          </w:p>
        </w:tc>
        <w:tc>
          <w:tcPr>
            <w:tcW w:w="1620" w:type="dxa"/>
            <w:shd w:val="clear" w:color="auto" w:fill="auto"/>
            <w:tcMar>
              <w:top w:w="0" w:type="dxa"/>
              <w:left w:w="115" w:type="dxa"/>
              <w:bottom w:w="0" w:type="dxa"/>
              <w:right w:w="115" w:type="dxa"/>
            </w:tcMar>
            <w:hideMark/>
          </w:tcPr>
          <w:p w:rsidR="002A0865" w:rsidRPr="00870C21" w:rsidP="002A0865" w14:paraId="4F9A4F44" w14:textId="0E3ED541">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$179,930</w:t>
            </w:r>
          </w:p>
        </w:tc>
        <w:tc>
          <w:tcPr>
            <w:tcW w:w="1530" w:type="dxa"/>
            <w:shd w:val="clear" w:color="auto" w:fill="auto"/>
            <w:tcMar>
              <w:top w:w="0" w:type="dxa"/>
              <w:left w:w="115" w:type="dxa"/>
              <w:bottom w:w="0" w:type="dxa"/>
              <w:right w:w="115" w:type="dxa"/>
            </w:tcMar>
            <w:hideMark/>
          </w:tcPr>
          <w:p w:rsidR="002A0865" w:rsidRPr="00870C21" w:rsidP="002A0865" w14:paraId="6DDFCABA" w14:textId="47456EFD">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$168,103</w:t>
            </w:r>
          </w:p>
        </w:tc>
      </w:tr>
      <w:tr w14:paraId="60F2844A" w14:textId="77777777" w:rsidTr="002A0865">
        <w:tblPrEx>
          <w:tblW w:w="9630" w:type="dxa"/>
          <w:tblInd w:w="-5" w:type="dxa"/>
          <w:tblLayout w:type="fixed"/>
          <w:tblCellMar>
            <w:top w:w="70" w:type="dxa"/>
            <w:left w:w="70" w:type="dxa"/>
            <w:bottom w:w="70" w:type="dxa"/>
            <w:right w:w="70" w:type="dxa"/>
          </w:tblCellMar>
          <w:tblLook w:val="04A0"/>
        </w:tblPrEx>
        <w:trPr>
          <w:trHeight w:val="341"/>
        </w:trPr>
        <w:tc>
          <w:tcPr>
            <w:tcW w:w="3600" w:type="dxa"/>
            <w:shd w:val="clear" w:color="auto" w:fill="auto"/>
            <w:tcMar>
              <w:top w:w="0" w:type="dxa"/>
              <w:left w:w="115" w:type="dxa"/>
              <w:bottom w:w="0" w:type="dxa"/>
              <w:right w:w="115" w:type="dxa"/>
            </w:tcMar>
            <w:hideMark/>
          </w:tcPr>
          <w:p w:rsidR="002A0865" w:rsidRPr="00870C21" w:rsidP="002A0865" w14:paraId="511122A0" w14:textId="50767EB6">
            <w:pPr>
              <w:spacing w:after="0" w:line="240" w:lineRule="auto"/>
              <w:ind w:left="6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Total</w:t>
            </w:r>
          </w:p>
        </w:tc>
        <w:tc>
          <w:tcPr>
            <w:tcW w:w="1530" w:type="dxa"/>
            <w:shd w:val="clear" w:color="auto" w:fill="auto"/>
            <w:tcMar>
              <w:top w:w="0" w:type="dxa"/>
              <w:left w:w="115" w:type="dxa"/>
              <w:bottom w:w="0" w:type="dxa"/>
              <w:right w:w="115" w:type="dxa"/>
            </w:tcMar>
            <w:hideMark/>
          </w:tcPr>
          <w:p w:rsidR="002A0865" w:rsidRPr="00870C21" w:rsidP="002A0865" w14:paraId="196A44BF" w14:textId="1AE311D9">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$197,976</w:t>
            </w:r>
          </w:p>
        </w:tc>
        <w:tc>
          <w:tcPr>
            <w:tcW w:w="1350" w:type="dxa"/>
            <w:shd w:val="clear" w:color="auto" w:fill="auto"/>
            <w:tcMar>
              <w:top w:w="0" w:type="dxa"/>
              <w:left w:w="115" w:type="dxa"/>
              <w:bottom w:w="0" w:type="dxa"/>
              <w:right w:w="115" w:type="dxa"/>
            </w:tcMar>
            <w:hideMark/>
          </w:tcPr>
          <w:p w:rsidR="002A0865" w:rsidRPr="00870C21" w:rsidP="002A0865" w14:paraId="1CDC0717" w14:textId="1F215F95">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$211,437</w:t>
            </w:r>
          </w:p>
        </w:tc>
        <w:tc>
          <w:tcPr>
            <w:tcW w:w="1620" w:type="dxa"/>
            <w:shd w:val="clear" w:color="auto" w:fill="auto"/>
            <w:tcMar>
              <w:top w:w="0" w:type="dxa"/>
              <w:left w:w="115" w:type="dxa"/>
              <w:bottom w:w="0" w:type="dxa"/>
              <w:right w:w="115" w:type="dxa"/>
            </w:tcMar>
            <w:hideMark/>
          </w:tcPr>
          <w:p w:rsidR="002A0865" w:rsidRPr="00870C21" w:rsidP="002A0865" w14:paraId="4008BD92" w14:textId="2012E46A">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$224,441</w:t>
            </w:r>
          </w:p>
        </w:tc>
        <w:tc>
          <w:tcPr>
            <w:tcW w:w="1530" w:type="dxa"/>
            <w:shd w:val="clear" w:color="auto" w:fill="auto"/>
            <w:tcMar>
              <w:top w:w="0" w:type="dxa"/>
              <w:left w:w="115" w:type="dxa"/>
              <w:bottom w:w="0" w:type="dxa"/>
              <w:right w:w="115" w:type="dxa"/>
            </w:tcMar>
            <w:hideMark/>
          </w:tcPr>
          <w:p w:rsidR="002A0865" w:rsidRPr="00870C21" w:rsidP="002A0865" w14:paraId="2A5D5711" w14:textId="701537A1">
            <w:pPr>
              <w:spacing w:after="0" w:line="240" w:lineRule="auto"/>
              <w:ind w:left="720" w:hanging="720"/>
              <w:jc w:val="center"/>
              <w:rPr>
                <w:rFonts w:ascii="Times New Roman" w:eastAsia="Times New Roman" w:hAnsi="Times New Roman" w:cs="Times New Roman"/>
                <w:sz w:val="20"/>
                <w:szCs w:val="20"/>
              </w:rPr>
            </w:pPr>
            <w:r w:rsidRPr="00870C21">
              <w:rPr>
                <w:rFonts w:ascii="Times New Roman" w:eastAsia="Times New Roman" w:hAnsi="Times New Roman" w:cs="Times New Roman"/>
                <w:sz w:val="24"/>
                <w:szCs w:val="24"/>
              </w:rPr>
              <w:t>$211,285</w:t>
            </w:r>
          </w:p>
        </w:tc>
      </w:tr>
    </w:tbl>
    <w:p w:rsidR="002A0865" w:rsidRPr="00870C21" w:rsidP="00B94FF8" w14:paraId="03650379" w14:textId="77777777">
      <w:pPr>
        <w:shd w:val="clear" w:color="auto" w:fill="FFFFFF"/>
        <w:spacing w:after="0" w:line="315" w:lineRule="atLeast"/>
        <w:rPr>
          <w:rFonts w:ascii="Times New Roman" w:eastAsia="Times New Roman" w:hAnsi="Times New Roman" w:cs="Times New Roman"/>
          <w:sz w:val="24"/>
          <w:szCs w:val="24"/>
        </w:rPr>
      </w:pPr>
    </w:p>
    <w:p w:rsidR="007524EE" w:rsidRPr="00870C21" w:rsidP="0048002F" w14:paraId="4F25FC1B" w14:textId="6B8D6C5B">
      <w:pPr>
        <w:shd w:val="clear" w:color="auto" w:fill="FFFFFF"/>
        <w:spacing w:after="0" w:line="240" w:lineRule="auto"/>
        <w:ind w:left="446"/>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dollar amounts displayed for the Office of Community Services </w:t>
      </w:r>
      <w:r w:rsidRPr="00870C21" w:rsidR="001C53B4">
        <w:rPr>
          <w:rFonts w:ascii="Times New Roman" w:eastAsia="Times New Roman" w:hAnsi="Times New Roman" w:cs="Times New Roman"/>
          <w:sz w:val="24"/>
          <w:szCs w:val="24"/>
        </w:rPr>
        <w:t>represent</w:t>
      </w:r>
      <w:r w:rsidRPr="00870C21">
        <w:rPr>
          <w:rFonts w:ascii="Times New Roman" w:eastAsia="Times New Roman" w:hAnsi="Times New Roman" w:cs="Times New Roman"/>
          <w:sz w:val="24"/>
          <w:szCs w:val="24"/>
        </w:rPr>
        <w:t xml:space="preserve"> a portion of two Federal staff salaries at a GS-12 level to perform the duties of a social services program specialist.</w:t>
      </w:r>
    </w:p>
    <w:p w:rsidR="00C377C5" w:rsidRPr="00870C21" w:rsidP="0048002F" w14:paraId="2B82CC61" w14:textId="77777777">
      <w:pPr>
        <w:shd w:val="clear" w:color="auto" w:fill="FFFFFF"/>
        <w:spacing w:after="0" w:line="240" w:lineRule="auto"/>
        <w:ind w:left="446"/>
        <w:rPr>
          <w:rFonts w:ascii="Times New Roman" w:eastAsia="Times New Roman" w:hAnsi="Times New Roman" w:cs="Times New Roman"/>
          <w:sz w:val="24"/>
          <w:szCs w:val="24"/>
        </w:rPr>
      </w:pPr>
    </w:p>
    <w:p w:rsidR="007524EE" w:rsidRPr="00870C21" w:rsidP="0048002F" w14:paraId="26ACD8E6" w14:textId="53E77FAD">
      <w:pPr>
        <w:shd w:val="clear" w:color="auto" w:fill="FFFFFF"/>
        <w:spacing w:after="0" w:line="240" w:lineRule="auto"/>
        <w:ind w:left="446"/>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dollar amount displayed for the Contractor Staff represents a team from Walter R. McDonald &amp; Associates, Inc. </w:t>
      </w:r>
      <w:r w:rsidRPr="00870C21" w:rsidR="001C53B4">
        <w:rPr>
          <w:rFonts w:ascii="Times New Roman" w:eastAsia="Times New Roman" w:hAnsi="Times New Roman" w:cs="Times New Roman"/>
          <w:sz w:val="24"/>
          <w:szCs w:val="24"/>
        </w:rPr>
        <w:t>which</w:t>
      </w:r>
      <w:r w:rsidRPr="00870C21">
        <w:rPr>
          <w:rFonts w:ascii="Times New Roman" w:eastAsia="Times New Roman" w:hAnsi="Times New Roman" w:cs="Times New Roman"/>
          <w:sz w:val="24"/>
          <w:szCs w:val="24"/>
        </w:rPr>
        <w:t xml:space="preserve"> provides data collection and support annually for the Office of Community Services.</w:t>
      </w:r>
    </w:p>
    <w:p w:rsidR="007524EE" w:rsidRPr="00870C21" w:rsidP="0048002F" w14:paraId="5009C725" w14:textId="5785D534">
      <w:pPr>
        <w:shd w:val="clear" w:color="auto" w:fill="FFFFFF"/>
        <w:spacing w:after="0" w:line="240" w:lineRule="auto"/>
        <w:ind w:left="446" w:hanging="720"/>
        <w:rPr>
          <w:rFonts w:ascii="Times New Roman" w:eastAsia="Times New Roman" w:hAnsi="Times New Roman" w:cs="Times New Roman"/>
          <w:sz w:val="24"/>
          <w:szCs w:val="24"/>
        </w:rPr>
      </w:pPr>
    </w:p>
    <w:p w:rsidR="007524EE" w:rsidRPr="00870C21" w:rsidP="00C536C6" w14:paraId="2229BD3F" w14:textId="0D44B505">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Explanation for Program Changes or Adjustments</w:t>
      </w:r>
    </w:p>
    <w:p w:rsidR="007524EE" w:rsidRPr="00870C21" w:rsidP="00C536C6" w14:paraId="364DD575" w14:textId="2B2CE731">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This request includes </w:t>
      </w:r>
      <w:r w:rsidRPr="00870C21" w:rsidR="00C536C6">
        <w:rPr>
          <w:rFonts w:ascii="Times New Roman" w:eastAsia="Times New Roman" w:hAnsi="Times New Roman" w:cs="Times New Roman"/>
          <w:sz w:val="24"/>
          <w:szCs w:val="24"/>
        </w:rPr>
        <w:t xml:space="preserve">modifications to </w:t>
      </w:r>
      <w:r w:rsidRPr="00870C21" w:rsidR="00C536C6">
        <w:rPr>
          <w:rFonts w:ascii="Times New Roman" w:hAnsi="Times New Roman"/>
          <w:sz w:val="24"/>
          <w:szCs w:val="24"/>
        </w:rPr>
        <w:t>four column titles on the pre-and post-expenditure reports. The proposed changes will clarify for grant recipients what data they should include, which will increase their accuracy in reporting and minimize the need for resubmission to address incorrect data</w:t>
      </w:r>
      <w:r w:rsidRPr="009B68A5">
        <w:rPr>
          <w:rFonts w:ascii="Times New Roman" w:eastAsia="Times New Roman" w:hAnsi="Times New Roman" w:cs="Times New Roman"/>
          <w:sz w:val="24"/>
          <w:szCs w:val="24"/>
        </w:rPr>
        <w:t xml:space="preserve">. The </w:t>
      </w:r>
      <w:r w:rsidRPr="009B68A5" w:rsidR="00D967AC">
        <w:rPr>
          <w:rFonts w:ascii="Times New Roman" w:eastAsia="Times New Roman" w:hAnsi="Times New Roman" w:cs="Times New Roman"/>
          <w:sz w:val="24"/>
          <w:szCs w:val="24"/>
        </w:rPr>
        <w:t xml:space="preserve">changes to the </w:t>
      </w:r>
      <w:r w:rsidRPr="009B68A5" w:rsidR="00D967AC">
        <w:rPr>
          <w:rFonts w:ascii="Times New Roman" w:eastAsia="Times New Roman" w:hAnsi="Times New Roman" w:cs="Times New Roman"/>
          <w:sz w:val="24"/>
          <w:szCs w:val="24"/>
        </w:rPr>
        <w:t>pre</w:t>
      </w:r>
      <w:r w:rsidRPr="009B68A5" w:rsidR="00D967AC">
        <w:rPr>
          <w:rFonts w:ascii="Times New Roman" w:eastAsia="Times New Roman" w:hAnsi="Times New Roman" w:cs="Times New Roman"/>
          <w:sz w:val="24"/>
          <w:szCs w:val="24"/>
        </w:rPr>
        <w:t xml:space="preserve"> and post-expenditure</w:t>
      </w:r>
      <w:r w:rsidRPr="009B68A5" w:rsidR="0014239F">
        <w:rPr>
          <w:rFonts w:ascii="Times New Roman" w:eastAsia="Times New Roman" w:hAnsi="Times New Roman" w:cs="Times New Roman"/>
          <w:sz w:val="24"/>
          <w:szCs w:val="24"/>
        </w:rPr>
        <w:t xml:space="preserve"> reports</w:t>
      </w:r>
      <w:r w:rsidRPr="009B68A5">
        <w:rPr>
          <w:rFonts w:ascii="Times New Roman" w:eastAsia="Times New Roman" w:hAnsi="Times New Roman" w:cs="Times New Roman"/>
          <w:sz w:val="24"/>
          <w:szCs w:val="24"/>
        </w:rPr>
        <w:t xml:space="preserve"> </w:t>
      </w:r>
      <w:r w:rsidRPr="009B68A5" w:rsidR="00D967AC">
        <w:rPr>
          <w:rFonts w:ascii="Times New Roman" w:eastAsia="Times New Roman" w:hAnsi="Times New Roman" w:cs="Times New Roman"/>
          <w:sz w:val="24"/>
          <w:szCs w:val="24"/>
        </w:rPr>
        <w:t xml:space="preserve">does not </w:t>
      </w:r>
      <w:r w:rsidRPr="009B68A5">
        <w:rPr>
          <w:rFonts w:ascii="Times New Roman" w:eastAsia="Times New Roman" w:hAnsi="Times New Roman" w:cs="Times New Roman"/>
          <w:sz w:val="24"/>
          <w:szCs w:val="24"/>
        </w:rPr>
        <w:t xml:space="preserve">increase </w:t>
      </w:r>
      <w:r w:rsidRPr="009B68A5" w:rsidR="001C53B4">
        <w:rPr>
          <w:rFonts w:ascii="Times New Roman" w:eastAsia="Times New Roman" w:hAnsi="Times New Roman" w:cs="Times New Roman"/>
          <w:sz w:val="24"/>
          <w:szCs w:val="24"/>
        </w:rPr>
        <w:t xml:space="preserve">the </w:t>
      </w:r>
      <w:r w:rsidRPr="009B68A5">
        <w:rPr>
          <w:rFonts w:ascii="Times New Roman" w:eastAsia="Times New Roman" w:hAnsi="Times New Roman" w:cs="Times New Roman"/>
          <w:sz w:val="24"/>
          <w:szCs w:val="24"/>
        </w:rPr>
        <w:t>burden under OMB #0970-0234</w:t>
      </w:r>
      <w:r w:rsidRPr="00870C21" w:rsidR="000E441D">
        <w:rPr>
          <w:rFonts w:ascii="Times New Roman" w:eastAsia="Times New Roman" w:hAnsi="Times New Roman" w:cs="Times New Roman"/>
          <w:sz w:val="24"/>
          <w:szCs w:val="24"/>
        </w:rPr>
        <w:t>, but we have adjusted the number of respondents from 56 to 57 to reflect expected respondents over the next three years</w:t>
      </w:r>
      <w:r w:rsidRPr="009B68A5">
        <w:rPr>
          <w:rFonts w:ascii="Times New Roman" w:eastAsia="Times New Roman" w:hAnsi="Times New Roman" w:cs="Times New Roman"/>
          <w:sz w:val="24"/>
          <w:szCs w:val="24"/>
        </w:rPr>
        <w:t>.</w:t>
      </w:r>
    </w:p>
    <w:p w:rsidR="00C377C5" w:rsidRPr="00870C21" w:rsidP="00C377C5" w14:paraId="4FBB6473" w14:textId="77777777">
      <w:pPr>
        <w:shd w:val="clear" w:color="auto" w:fill="FFFFFF"/>
        <w:spacing w:after="0" w:line="315" w:lineRule="atLeast"/>
        <w:ind w:left="360"/>
        <w:rPr>
          <w:rFonts w:ascii="Times New Roman" w:eastAsia="Times New Roman" w:hAnsi="Times New Roman" w:cs="Times New Roman"/>
          <w:sz w:val="24"/>
          <w:szCs w:val="24"/>
        </w:rPr>
      </w:pPr>
    </w:p>
    <w:p w:rsidR="007524EE" w:rsidRPr="00870C21" w:rsidP="0048002F" w14:paraId="31FBBC51" w14:textId="0415FF43">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Plans for Tabulation and Publication and Project Time Schedule</w:t>
      </w:r>
    </w:p>
    <w:p w:rsidR="007524EE" w:rsidRPr="00870C21" w:rsidP="00DA7155" w14:paraId="21743E7A" w14:textId="7AA0018B">
      <w:pPr>
        <w:shd w:val="clear" w:color="auto" w:fill="FFFFFF"/>
        <w:spacing w:after="0" w:line="240" w:lineRule="auto"/>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States’ Pre-Expenditure, Intended Use Plan</w:t>
      </w:r>
      <w:r w:rsidRPr="00870C21" w:rsidR="001C53B4">
        <w:rPr>
          <w:rFonts w:ascii="Times New Roman" w:eastAsia="Times New Roman" w:hAnsi="Times New Roman" w:cs="Times New Roman"/>
          <w:sz w:val="24"/>
          <w:szCs w:val="24"/>
        </w:rPr>
        <w:t>,</w:t>
      </w:r>
      <w:r w:rsidRPr="00870C21">
        <w:rPr>
          <w:rFonts w:ascii="Times New Roman" w:eastAsia="Times New Roman" w:hAnsi="Times New Roman" w:cs="Times New Roman"/>
          <w:sz w:val="24"/>
          <w:szCs w:val="24"/>
        </w:rPr>
        <w:t xml:space="preserve"> and Post-Expenditure Reports provide data for the annual report on SSBG expenditures and recipients. The report is shared with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federal partners, and stakeholders through the SSBG website. The schedule for the annual report is as follows:</w:t>
      </w:r>
    </w:p>
    <w:p w:rsidR="00C377C5" w:rsidRPr="00870C21" w:rsidP="003A44BE" w14:paraId="7AAA09A1" w14:textId="77777777">
      <w:pPr>
        <w:shd w:val="clear" w:color="auto" w:fill="FFFFFF"/>
        <w:spacing w:after="0" w:line="315" w:lineRule="atLeast"/>
        <w:ind w:left="720"/>
        <w:rPr>
          <w:rFonts w:ascii="Times New Roman" w:eastAsia="Times New Roman" w:hAnsi="Times New Roman" w:cs="Times New Roman"/>
          <w:sz w:val="24"/>
          <w:szCs w:val="24"/>
        </w:rPr>
      </w:pPr>
    </w:p>
    <w:p w:rsidR="007524EE" w:rsidRPr="00870C21" w:rsidP="00870C21" w14:paraId="6A59B702" w14:textId="5E4B0DB5">
      <w:pPr>
        <w:shd w:val="clear" w:color="auto" w:fill="FFFFFF"/>
        <w:spacing w:after="60" w:line="315" w:lineRule="atLeast"/>
        <w:ind w:left="360"/>
        <w:rPr>
          <w:rFonts w:ascii="Times New Roman" w:eastAsia="Times New Roman" w:hAnsi="Times New Roman" w:cs="Times New Roman"/>
          <w:b/>
          <w:bCs/>
          <w:i/>
          <w:iCs/>
          <w:sz w:val="24"/>
          <w:szCs w:val="24"/>
        </w:rPr>
      </w:pPr>
      <w:r w:rsidRPr="00870C21">
        <w:rPr>
          <w:rFonts w:ascii="Times New Roman" w:eastAsia="Times New Roman" w:hAnsi="Times New Roman" w:cs="Times New Roman"/>
          <w:b/>
          <w:bCs/>
          <w:i/>
          <w:iCs/>
          <w:sz w:val="24"/>
          <w:szCs w:val="24"/>
        </w:rPr>
        <w:t>Pre-Expenditure Report/Intended Use Plan:</w:t>
      </w:r>
    </w:p>
    <w:p w:rsidR="007524EE" w:rsidRPr="00870C21" w:rsidP="00870C21" w14:paraId="0ECEACBC" w14:textId="1A3C64EB">
      <w:pPr>
        <w:pStyle w:val="ListParagraph"/>
        <w:numPr>
          <w:ilvl w:val="0"/>
          <w:numId w:val="43"/>
        </w:numPr>
        <w:shd w:val="clear" w:color="auto" w:fill="FFFFFF"/>
        <w:tabs>
          <w:tab w:val="clear" w:pos="720"/>
        </w:tabs>
        <w:spacing w:after="120" w:line="240" w:lineRule="auto"/>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An annual Pre-Expenditure Report that describes how the State plans to administer its SSBG funds for the upcoming year must be submitted </w:t>
      </w:r>
      <w:r w:rsidRPr="00870C21" w:rsidR="00F00058">
        <w:rPr>
          <w:rFonts w:ascii="Times New Roman" w:eastAsia="Times New Roman" w:hAnsi="Times New Roman" w:cs="Times New Roman"/>
          <w:sz w:val="24"/>
          <w:szCs w:val="24"/>
        </w:rPr>
        <w:t>before</w:t>
      </w:r>
      <w:r w:rsidRPr="00870C21">
        <w:rPr>
          <w:rFonts w:ascii="Times New Roman" w:eastAsia="Times New Roman" w:hAnsi="Times New Roman" w:cs="Times New Roman"/>
          <w:sz w:val="24"/>
          <w:szCs w:val="24"/>
        </w:rPr>
        <w:t xml:space="preserve"> receipt of </w:t>
      </w:r>
      <w:r w:rsidRPr="00870C21" w:rsidR="001C53B4">
        <w:rPr>
          <w:rFonts w:ascii="Times New Roman" w:eastAsia="Times New Roman" w:hAnsi="Times New Roman" w:cs="Times New Roman"/>
          <w:sz w:val="24"/>
          <w:szCs w:val="24"/>
        </w:rPr>
        <w:t>an</w:t>
      </w:r>
      <w:r w:rsidRPr="00870C21">
        <w:rPr>
          <w:rFonts w:ascii="Times New Roman" w:eastAsia="Times New Roman" w:hAnsi="Times New Roman" w:cs="Times New Roman"/>
          <w:sz w:val="24"/>
          <w:szCs w:val="24"/>
        </w:rPr>
        <w:t xml:space="preserve"> SSBG allotment. This report must be submitted 30 days </w:t>
      </w:r>
      <w:r w:rsidRPr="00870C21" w:rsidR="00F00058">
        <w:rPr>
          <w:rFonts w:ascii="Times New Roman" w:eastAsia="Times New Roman" w:hAnsi="Times New Roman" w:cs="Times New Roman"/>
          <w:sz w:val="24"/>
          <w:szCs w:val="24"/>
        </w:rPr>
        <w:t>before</w:t>
      </w:r>
      <w:r w:rsidRPr="00870C21">
        <w:rPr>
          <w:rFonts w:ascii="Times New Roman" w:eastAsia="Times New Roman" w:hAnsi="Times New Roman" w:cs="Times New Roman"/>
          <w:sz w:val="24"/>
          <w:szCs w:val="24"/>
        </w:rPr>
        <w:t xml:space="preserve"> the start of the fiscal year (June 1 if the state operates on a State Fiscal Year, or September 1 if the state operates on a Federal Fiscal Year.</w:t>
      </w:r>
    </w:p>
    <w:p w:rsidR="00870C21" w:rsidP="001D6BD2" w14:paraId="2ED40B53" w14:textId="77777777">
      <w:pPr>
        <w:shd w:val="clear" w:color="auto" w:fill="FFFFFF"/>
        <w:spacing w:after="60" w:line="240" w:lineRule="auto"/>
        <w:ind w:left="630"/>
        <w:rPr>
          <w:rFonts w:ascii="Times New Roman" w:eastAsia="Times New Roman" w:hAnsi="Times New Roman" w:cs="Times New Roman"/>
          <w:i/>
          <w:iCs/>
          <w:sz w:val="24"/>
          <w:szCs w:val="24"/>
        </w:rPr>
      </w:pPr>
    </w:p>
    <w:p w:rsidR="007524EE" w:rsidRPr="00870C21" w:rsidP="001D6BD2" w14:paraId="1284166F" w14:textId="659C0E0E">
      <w:pPr>
        <w:shd w:val="clear" w:color="auto" w:fill="FFFFFF"/>
        <w:spacing w:after="60" w:line="240" w:lineRule="auto"/>
        <w:ind w:left="630"/>
        <w:rPr>
          <w:rFonts w:ascii="Times New Roman" w:eastAsia="Times New Roman" w:hAnsi="Times New Roman" w:cs="Times New Roman"/>
          <w:i/>
          <w:iCs/>
          <w:sz w:val="24"/>
          <w:szCs w:val="24"/>
        </w:rPr>
      </w:pPr>
      <w:r w:rsidRPr="00870C21">
        <w:rPr>
          <w:rFonts w:ascii="Times New Roman" w:eastAsia="Times New Roman" w:hAnsi="Times New Roman" w:cs="Times New Roman"/>
          <w:i/>
          <w:iCs/>
          <w:sz w:val="24"/>
          <w:szCs w:val="24"/>
        </w:rPr>
        <w:t>Examples:</w:t>
      </w:r>
    </w:p>
    <w:p w:rsidR="007524EE" w:rsidRPr="00870C21" w:rsidP="0048002F" w14:paraId="705D59A4" w14:textId="0A36F811">
      <w:pPr>
        <w:pStyle w:val="ListParagraph"/>
        <w:numPr>
          <w:ilvl w:val="0"/>
          <w:numId w:val="42"/>
        </w:numPr>
        <w:shd w:val="clear" w:color="auto" w:fill="FFFFFF"/>
        <w:tabs>
          <w:tab w:val="clear" w:pos="720"/>
        </w:tabs>
        <w:spacing w:after="0" w:line="240" w:lineRule="auto"/>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report or plan covers State Fiscal Year 202</w:t>
      </w:r>
      <w:r w:rsidRPr="00870C21" w:rsidR="0035598C">
        <w:rPr>
          <w:rFonts w:ascii="Times New Roman" w:eastAsia="Times New Roman" w:hAnsi="Times New Roman" w:cs="Times New Roman"/>
          <w:sz w:val="24"/>
          <w:szCs w:val="24"/>
        </w:rPr>
        <w:t>4</w:t>
      </w:r>
      <w:r w:rsidRPr="00870C21">
        <w:rPr>
          <w:rFonts w:ascii="Times New Roman" w:eastAsia="Times New Roman" w:hAnsi="Times New Roman" w:cs="Times New Roman"/>
          <w:sz w:val="24"/>
          <w:szCs w:val="24"/>
        </w:rPr>
        <w:t>, which runs from July 1, 202</w:t>
      </w:r>
      <w:r w:rsidRPr="00870C21" w:rsidR="0035598C">
        <w:rPr>
          <w:rFonts w:ascii="Times New Roman" w:eastAsia="Times New Roman" w:hAnsi="Times New Roman" w:cs="Times New Roman"/>
          <w:sz w:val="24"/>
          <w:szCs w:val="24"/>
        </w:rPr>
        <w:t>4</w:t>
      </w:r>
      <w:r w:rsidRPr="00870C21" w:rsidR="001C53B4">
        <w:rPr>
          <w:rFonts w:ascii="Times New Roman" w:eastAsia="Times New Roman" w:hAnsi="Times New Roman" w:cs="Times New Roman"/>
          <w:sz w:val="24"/>
          <w:szCs w:val="24"/>
        </w:rPr>
        <w:t>,</w:t>
      </w:r>
      <w:r w:rsidRPr="00870C21">
        <w:rPr>
          <w:rFonts w:ascii="Times New Roman" w:eastAsia="Times New Roman" w:hAnsi="Times New Roman" w:cs="Times New Roman"/>
          <w:sz w:val="24"/>
          <w:szCs w:val="24"/>
        </w:rPr>
        <w:t xml:space="preserve"> to June 30, 202</w:t>
      </w:r>
      <w:r w:rsidRPr="00870C21" w:rsidR="0035598C">
        <w:rPr>
          <w:rFonts w:ascii="Times New Roman" w:eastAsia="Times New Roman" w:hAnsi="Times New Roman" w:cs="Times New Roman"/>
          <w:sz w:val="24"/>
          <w:szCs w:val="24"/>
        </w:rPr>
        <w:t>5</w:t>
      </w:r>
      <w:r w:rsidRPr="00870C21">
        <w:rPr>
          <w:rFonts w:ascii="Times New Roman" w:eastAsia="Times New Roman" w:hAnsi="Times New Roman" w:cs="Times New Roman"/>
          <w:sz w:val="24"/>
          <w:szCs w:val="24"/>
        </w:rPr>
        <w:t>.</w:t>
      </w:r>
    </w:p>
    <w:p w:rsidR="007524EE" w:rsidRPr="00870C21" w:rsidP="0048002F" w14:paraId="4844E70F" w14:textId="1E68CB99">
      <w:pPr>
        <w:pStyle w:val="ListParagraph"/>
        <w:numPr>
          <w:ilvl w:val="0"/>
          <w:numId w:val="42"/>
        </w:numPr>
        <w:shd w:val="clear" w:color="auto" w:fill="FFFFFF"/>
        <w:tabs>
          <w:tab w:val="clear" w:pos="720"/>
        </w:tabs>
        <w:spacing w:after="0" w:line="240" w:lineRule="auto"/>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report or plan covers Federal Fiscal Year 202</w:t>
      </w:r>
      <w:r w:rsidRPr="00870C21" w:rsidR="0035598C">
        <w:rPr>
          <w:rFonts w:ascii="Times New Roman" w:eastAsia="Times New Roman" w:hAnsi="Times New Roman" w:cs="Times New Roman"/>
          <w:sz w:val="24"/>
          <w:szCs w:val="24"/>
        </w:rPr>
        <w:t>4</w:t>
      </w:r>
      <w:r w:rsidRPr="00870C21">
        <w:rPr>
          <w:rFonts w:ascii="Times New Roman" w:eastAsia="Times New Roman" w:hAnsi="Times New Roman" w:cs="Times New Roman"/>
          <w:sz w:val="24"/>
          <w:szCs w:val="24"/>
        </w:rPr>
        <w:t>, which runs from October 1, 202</w:t>
      </w:r>
      <w:r w:rsidRPr="00870C21" w:rsidR="0035598C">
        <w:rPr>
          <w:rFonts w:ascii="Times New Roman" w:eastAsia="Times New Roman" w:hAnsi="Times New Roman" w:cs="Times New Roman"/>
          <w:sz w:val="24"/>
          <w:szCs w:val="24"/>
        </w:rPr>
        <w:t>4</w:t>
      </w:r>
      <w:r w:rsidRPr="00870C21" w:rsidR="001C53B4">
        <w:rPr>
          <w:rFonts w:ascii="Times New Roman" w:eastAsia="Times New Roman" w:hAnsi="Times New Roman" w:cs="Times New Roman"/>
          <w:sz w:val="24"/>
          <w:szCs w:val="24"/>
        </w:rPr>
        <w:t>,</w:t>
      </w:r>
      <w:r w:rsidRPr="00870C21">
        <w:rPr>
          <w:rFonts w:ascii="Times New Roman" w:eastAsia="Times New Roman" w:hAnsi="Times New Roman" w:cs="Times New Roman"/>
          <w:sz w:val="24"/>
          <w:szCs w:val="24"/>
        </w:rPr>
        <w:t xml:space="preserve"> to September 30, 202</w:t>
      </w:r>
      <w:r w:rsidRPr="00870C21" w:rsidR="0035598C">
        <w:rPr>
          <w:rFonts w:ascii="Times New Roman" w:eastAsia="Times New Roman" w:hAnsi="Times New Roman" w:cs="Times New Roman"/>
          <w:sz w:val="24"/>
          <w:szCs w:val="24"/>
        </w:rPr>
        <w:t>5</w:t>
      </w:r>
      <w:r w:rsidRPr="00870C21">
        <w:rPr>
          <w:rFonts w:ascii="Times New Roman" w:eastAsia="Times New Roman" w:hAnsi="Times New Roman" w:cs="Times New Roman"/>
          <w:sz w:val="24"/>
          <w:szCs w:val="24"/>
        </w:rPr>
        <w:t>.</w:t>
      </w:r>
    </w:p>
    <w:p w:rsidR="007524EE" w:rsidRPr="00870C21" w:rsidP="003A44BE" w14:paraId="1660F54E" w14:textId="77777777">
      <w:pPr>
        <w:shd w:val="clear" w:color="auto" w:fill="FFFFFF"/>
        <w:spacing w:after="0" w:line="315" w:lineRule="atLeast"/>
        <w:ind w:left="1080"/>
        <w:rPr>
          <w:rFonts w:ascii="Times New Roman" w:eastAsia="Times New Roman" w:hAnsi="Times New Roman" w:cs="Times New Roman"/>
          <w:sz w:val="24"/>
          <w:szCs w:val="24"/>
        </w:rPr>
      </w:pPr>
    </w:p>
    <w:p w:rsidR="007524EE" w:rsidRPr="00870C21" w:rsidP="001D6BD2" w14:paraId="20AF766C" w14:textId="3DC6F4A5">
      <w:pPr>
        <w:shd w:val="clear" w:color="auto" w:fill="FFFFFF"/>
        <w:spacing w:after="60" w:line="315" w:lineRule="atLeast"/>
        <w:ind w:left="360"/>
        <w:rPr>
          <w:rFonts w:ascii="Times New Roman" w:eastAsia="Times New Roman" w:hAnsi="Times New Roman" w:cs="Times New Roman"/>
          <w:b/>
          <w:bCs/>
          <w:i/>
          <w:iCs/>
          <w:sz w:val="24"/>
          <w:szCs w:val="24"/>
        </w:rPr>
      </w:pPr>
      <w:r w:rsidRPr="00870C21">
        <w:rPr>
          <w:rFonts w:ascii="Times New Roman" w:eastAsia="Times New Roman" w:hAnsi="Times New Roman" w:cs="Times New Roman"/>
          <w:b/>
          <w:bCs/>
          <w:i/>
          <w:iCs/>
          <w:sz w:val="24"/>
          <w:szCs w:val="24"/>
        </w:rPr>
        <w:t>Post-Expenditure Reporting</w:t>
      </w:r>
    </w:p>
    <w:p w:rsidR="00C377C5" w:rsidRPr="00870C21" w:rsidP="0048002F" w14:paraId="570041A8" w14:textId="2008B73A">
      <w:pPr>
        <w:pStyle w:val="ListParagraph"/>
        <w:numPr>
          <w:ilvl w:val="0"/>
          <w:numId w:val="41"/>
        </w:numPr>
        <w:shd w:val="clear" w:color="auto" w:fill="FFFFFF"/>
        <w:tabs>
          <w:tab w:val="clear" w:pos="720"/>
        </w:tabs>
        <w:spacing w:after="0" w:line="315" w:lineRule="atLeast"/>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States will submit the Post-Expenditure Report no later than 6 months after the end of their fiscal year. </w:t>
      </w:r>
      <w:r w:rsidRPr="00870C21" w:rsidR="00D004A4">
        <w:rPr>
          <w:rFonts w:ascii="Times New Roman" w:eastAsia="Times New Roman" w:hAnsi="Times New Roman" w:cs="Times New Roman"/>
          <w:sz w:val="24"/>
          <w:szCs w:val="24"/>
        </w:rPr>
        <w:t>Grant recipients</w:t>
      </w:r>
      <w:r w:rsidRPr="00870C21">
        <w:rPr>
          <w:rFonts w:ascii="Times New Roman" w:eastAsia="Times New Roman" w:hAnsi="Times New Roman" w:cs="Times New Roman"/>
          <w:sz w:val="24"/>
          <w:szCs w:val="24"/>
        </w:rPr>
        <w:t xml:space="preserve"> that report on a State Fiscal Year, which will end on June 30, will submit the Post-Expenditure Report by December 30. States that report on the Federal Fiscal Year, which will end on September 30, will submit their Post-Expenditure Reports by March 30 of the following calendar year.</w:t>
      </w:r>
    </w:p>
    <w:p w:rsidR="007524EE" w:rsidRPr="00870C21" w:rsidP="0048002F" w14:paraId="7ECB787D" w14:textId="07908DEE">
      <w:pPr>
        <w:pStyle w:val="ListParagraph"/>
        <w:numPr>
          <w:ilvl w:val="0"/>
          <w:numId w:val="32"/>
        </w:numPr>
        <w:shd w:val="clear" w:color="auto" w:fill="FFFFFF"/>
        <w:tabs>
          <w:tab w:val="clear" w:pos="720"/>
        </w:tabs>
        <w:spacing w:after="0" w:line="315" w:lineRule="atLeast"/>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 xml:space="preserve">The OCS contractor develops a draft and submits </w:t>
      </w:r>
      <w:r w:rsidRPr="00870C21" w:rsidR="001C53B4">
        <w:rPr>
          <w:rFonts w:ascii="Times New Roman" w:eastAsia="Times New Roman" w:hAnsi="Times New Roman" w:cs="Times New Roman"/>
          <w:sz w:val="24"/>
          <w:szCs w:val="24"/>
        </w:rPr>
        <w:t xml:space="preserve">it </w:t>
      </w:r>
      <w:r w:rsidRPr="00870C21">
        <w:rPr>
          <w:rFonts w:ascii="Times New Roman" w:eastAsia="Times New Roman" w:hAnsi="Times New Roman" w:cs="Times New Roman"/>
          <w:sz w:val="24"/>
          <w:szCs w:val="24"/>
        </w:rPr>
        <w:t>to OCS for review in June, 3 months after States reporting on the Federal Fiscal Year submit their Post-Expenditure Reports.</w:t>
      </w:r>
    </w:p>
    <w:p w:rsidR="007524EE" w:rsidRPr="00870C21" w:rsidP="0048002F" w14:paraId="5EDA5350" w14:textId="77777777">
      <w:pPr>
        <w:pStyle w:val="ListParagraph"/>
        <w:numPr>
          <w:ilvl w:val="0"/>
          <w:numId w:val="32"/>
        </w:numPr>
        <w:shd w:val="clear" w:color="auto" w:fill="FFFFFF"/>
        <w:tabs>
          <w:tab w:val="clear" w:pos="720"/>
        </w:tabs>
        <w:spacing w:after="0" w:line="315" w:lineRule="atLeast"/>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second draft will be submitted for clearance within ACF in July.</w:t>
      </w:r>
    </w:p>
    <w:p w:rsidR="007524EE" w:rsidRPr="00870C21" w:rsidP="0048002F" w14:paraId="78BB004C" w14:textId="77777777">
      <w:pPr>
        <w:pStyle w:val="ListParagraph"/>
        <w:numPr>
          <w:ilvl w:val="0"/>
          <w:numId w:val="32"/>
        </w:numPr>
        <w:shd w:val="clear" w:color="auto" w:fill="FFFFFF"/>
        <w:tabs>
          <w:tab w:val="clear" w:pos="720"/>
        </w:tabs>
        <w:spacing w:after="0" w:line="315" w:lineRule="atLeast"/>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final report will be submitted for review by ACF’s Office of Administration in August.</w:t>
      </w:r>
    </w:p>
    <w:p w:rsidR="007524EE" w:rsidRPr="00870C21" w:rsidP="0048002F" w14:paraId="39075474" w14:textId="77777777">
      <w:pPr>
        <w:pStyle w:val="ListParagraph"/>
        <w:numPr>
          <w:ilvl w:val="0"/>
          <w:numId w:val="32"/>
        </w:numPr>
        <w:shd w:val="clear" w:color="auto" w:fill="FFFFFF"/>
        <w:tabs>
          <w:tab w:val="clear" w:pos="720"/>
        </w:tabs>
        <w:spacing w:after="0" w:line="315" w:lineRule="atLeast"/>
        <w:ind w:left="99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annual report will be submitted for publication in September.</w:t>
      </w:r>
    </w:p>
    <w:p w:rsidR="007524EE" w:rsidRPr="00870C21" w:rsidP="00C377C5" w14:paraId="4B256F57" w14:textId="65B1400F">
      <w:pPr>
        <w:shd w:val="clear" w:color="auto" w:fill="FFFFFF"/>
        <w:spacing w:after="0" w:line="315" w:lineRule="atLeast"/>
        <w:rPr>
          <w:rFonts w:ascii="Times New Roman" w:eastAsia="Times New Roman" w:hAnsi="Times New Roman" w:cs="Times New Roman"/>
          <w:sz w:val="24"/>
          <w:szCs w:val="24"/>
        </w:rPr>
      </w:pPr>
    </w:p>
    <w:p w:rsidR="007524EE" w:rsidRPr="00870C21" w:rsidP="0048002F" w14:paraId="762D48E0" w14:textId="62B7BC2D">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Reason(s) Display of OMB Expiration Date is Inappropriate</w:t>
      </w:r>
    </w:p>
    <w:p w:rsidR="007524EE" w:rsidRPr="00870C21" w:rsidP="00DA7155" w14:paraId="513E377C" w14:textId="3B2A7621">
      <w:pPr>
        <w:shd w:val="clear" w:color="auto" w:fill="FFFFFF"/>
        <w:tabs>
          <w:tab w:val="left" w:pos="630"/>
        </w:tabs>
        <w:spacing w:after="0" w:line="315" w:lineRule="atLeast"/>
        <w:ind w:left="720" w:hanging="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The expiration date for OMB approval will be displayed.</w:t>
      </w:r>
    </w:p>
    <w:p w:rsidR="007524EE" w:rsidRPr="00870C21" w:rsidP="0048002F" w14:paraId="5AE36DB5" w14:textId="3DBB054E">
      <w:pPr>
        <w:shd w:val="clear" w:color="auto" w:fill="FFFFFF"/>
        <w:spacing w:after="0" w:line="315" w:lineRule="atLeast"/>
        <w:ind w:left="360" w:hanging="360"/>
        <w:rPr>
          <w:rFonts w:ascii="Times New Roman" w:eastAsia="Times New Roman" w:hAnsi="Times New Roman" w:cs="Times New Roman"/>
          <w:sz w:val="24"/>
          <w:szCs w:val="24"/>
        </w:rPr>
      </w:pPr>
    </w:p>
    <w:p w:rsidR="007524EE" w:rsidRPr="00870C21" w:rsidP="0048002F" w14:paraId="61F4948A" w14:textId="349CF7FB">
      <w:pPr>
        <w:pStyle w:val="ListParagraph"/>
        <w:numPr>
          <w:ilvl w:val="0"/>
          <w:numId w:val="35"/>
        </w:numPr>
        <w:shd w:val="clear" w:color="auto" w:fill="FFFFFF"/>
        <w:spacing w:after="115"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b/>
          <w:bCs/>
          <w:sz w:val="24"/>
          <w:szCs w:val="24"/>
        </w:rPr>
        <w:t>Exceptions to Certification for Paperwork Reduction Act Submissions</w:t>
      </w:r>
    </w:p>
    <w:p w:rsidR="007524EE" w:rsidRPr="00870C21" w:rsidP="00DA7155" w14:paraId="7EF35F86" w14:textId="77777777">
      <w:pPr>
        <w:shd w:val="clear" w:color="auto" w:fill="FFFFFF"/>
        <w:spacing w:after="0" w:line="315" w:lineRule="atLeast"/>
        <w:ind w:left="360"/>
        <w:rPr>
          <w:rFonts w:ascii="Times New Roman" w:eastAsia="Times New Roman" w:hAnsi="Times New Roman" w:cs="Times New Roman"/>
          <w:sz w:val="24"/>
          <w:szCs w:val="24"/>
        </w:rPr>
      </w:pPr>
      <w:r w:rsidRPr="00870C21">
        <w:rPr>
          <w:rFonts w:ascii="Times New Roman" w:eastAsia="Times New Roman" w:hAnsi="Times New Roman" w:cs="Times New Roman"/>
          <w:sz w:val="24"/>
          <w:szCs w:val="24"/>
        </w:rPr>
        <w:t>No exceptions to the certification statement are necessary.</w:t>
      </w:r>
    </w:p>
    <w:p w:rsidR="001B7B43" w:rsidRPr="00870C21" w:rsidP="00C377C5" w14:paraId="414F10F6" w14:textId="77777777">
      <w:pPr>
        <w:ind w:left="360"/>
        <w:rPr>
          <w:rFonts w:ascii="Times New Roman" w:hAnsi="Times New Roman" w:cs="Times New Roman"/>
        </w:rPr>
      </w:pPr>
    </w:p>
    <w:sectPr w:rsidSect="003A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2E3A" w:rsidP="00D92B71" w14:paraId="21732A1B" w14:textId="77777777">
      <w:pPr>
        <w:spacing w:after="0" w:line="240" w:lineRule="auto"/>
      </w:pPr>
      <w:r>
        <w:separator/>
      </w:r>
    </w:p>
  </w:footnote>
  <w:footnote w:type="continuationSeparator" w:id="1">
    <w:p w:rsidR="00A12E3A" w:rsidP="00D92B71" w14:paraId="0F78D6B7" w14:textId="77777777">
      <w:pPr>
        <w:spacing w:after="0" w:line="240" w:lineRule="auto"/>
      </w:pPr>
      <w:r>
        <w:continuationSeparator/>
      </w:r>
    </w:p>
  </w:footnote>
  <w:footnote w:id="2">
    <w:p w:rsidR="001D6BD2" w:rsidP="001D6BD2" w14:paraId="611B47FC" w14:textId="63ECB8E7">
      <w:pPr>
        <w:pStyle w:val="CommentText"/>
        <w:spacing w:after="0"/>
      </w:pPr>
      <w:r>
        <w:rPr>
          <w:rStyle w:val="FootnoteReference"/>
        </w:rPr>
        <w:footnoteRef/>
      </w:r>
      <w:r>
        <w:t xml:space="preserve"> M-CFB receives a uniquely funded federal sub-allocation separate from the state of Massachusetts’s federal award and is the only SSBG awardee that is not a state or territory.</w:t>
      </w:r>
    </w:p>
  </w:footnote>
  <w:footnote w:id="3">
    <w:p w:rsidR="00D92B71" w14:paraId="605785D6" w14:textId="5C5D8A3E">
      <w:pPr>
        <w:pStyle w:val="FootnoteText"/>
      </w:pPr>
      <w:r>
        <w:rPr>
          <w:rStyle w:val="FootnoteReference"/>
        </w:rPr>
        <w:footnoteRef/>
      </w:r>
      <w:r>
        <w:t xml:space="preserve"> </w:t>
      </w:r>
      <w:r w:rsidRPr="00D92B71">
        <w:t>https://www.bls.gov/oes/current/oes119151.htm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54EBA"/>
    <w:multiLevelType w:val="multilevel"/>
    <w:tmpl w:val="11346102"/>
    <w:lvl w:ilvl="0">
      <w:start w:val="16"/>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
    <w:nsid w:val="08746ECB"/>
    <w:multiLevelType w:val="multilevel"/>
    <w:tmpl w:val="6BACF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C3CE7"/>
    <w:multiLevelType w:val="multilevel"/>
    <w:tmpl w:val="3AE83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B3D2A"/>
    <w:multiLevelType w:val="multilevel"/>
    <w:tmpl w:val="8BEC65A4"/>
    <w:lvl w:ilvl="0">
      <w:start w:val="1"/>
      <w:numFmt w:val="decimal"/>
      <w:lvlText w:val="%1."/>
      <w:lvlJc w:val="left"/>
      <w:pPr>
        <w:tabs>
          <w:tab w:val="num" w:pos="630"/>
        </w:tabs>
        <w:ind w:left="630" w:hanging="360"/>
      </w:pPr>
      <w:rPr>
        <w:rFonts w:ascii="Times New Roman" w:hAnsi="Times New Roman" w:cs="Times New Roman" w:hint="default"/>
        <w:sz w:val="24"/>
        <w:szCs w:val="24"/>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
    <w:nsid w:val="1AF553DF"/>
    <w:multiLevelType w:val="hybridMultilevel"/>
    <w:tmpl w:val="1E24A2CA"/>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3452D0"/>
    <w:multiLevelType w:val="multilevel"/>
    <w:tmpl w:val="F5D44A78"/>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4C0838"/>
    <w:multiLevelType w:val="multilevel"/>
    <w:tmpl w:val="0210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354A78"/>
    <w:multiLevelType w:val="multilevel"/>
    <w:tmpl w:val="670E1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C47AA"/>
    <w:multiLevelType w:val="multilevel"/>
    <w:tmpl w:val="03FC1F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C2768F"/>
    <w:multiLevelType w:val="multilevel"/>
    <w:tmpl w:val="391C4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407AF2"/>
    <w:multiLevelType w:val="hybridMultilevel"/>
    <w:tmpl w:val="25F449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797956"/>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3F021D"/>
    <w:multiLevelType w:val="hybridMultilevel"/>
    <w:tmpl w:val="C520D7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4AE36CC"/>
    <w:multiLevelType w:val="multilevel"/>
    <w:tmpl w:val="CD0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15678"/>
    <w:multiLevelType w:val="multilevel"/>
    <w:tmpl w:val="E64C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0A0A4D"/>
    <w:multiLevelType w:val="multilevel"/>
    <w:tmpl w:val="B73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835C0C"/>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195F25"/>
    <w:multiLevelType w:val="multilevel"/>
    <w:tmpl w:val="C3BED9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3C15AD"/>
    <w:multiLevelType w:val="hybridMultilevel"/>
    <w:tmpl w:val="C39E058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E22F73"/>
    <w:multiLevelType w:val="multilevel"/>
    <w:tmpl w:val="FD183E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07603"/>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416F8"/>
    <w:multiLevelType w:val="multilevel"/>
    <w:tmpl w:val="9F922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155919"/>
    <w:multiLevelType w:val="multilevel"/>
    <w:tmpl w:val="BFB4E5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F939B6"/>
    <w:multiLevelType w:val="multilevel"/>
    <w:tmpl w:val="53CE6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A86CBC"/>
    <w:multiLevelType w:val="multilevel"/>
    <w:tmpl w:val="84E84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12290C"/>
    <w:multiLevelType w:val="multilevel"/>
    <w:tmpl w:val="F5E29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FB1B03"/>
    <w:multiLevelType w:val="multilevel"/>
    <w:tmpl w:val="D7A8EB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226337"/>
    <w:multiLevelType w:val="multilevel"/>
    <w:tmpl w:val="8BC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C5D77"/>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CB1907"/>
    <w:multiLevelType w:val="multilevel"/>
    <w:tmpl w:val="8BC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F151B8"/>
    <w:multiLevelType w:val="multilevel"/>
    <w:tmpl w:val="74460E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F515AC"/>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431530"/>
    <w:multiLevelType w:val="multilevel"/>
    <w:tmpl w:val="278696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72D21"/>
    <w:multiLevelType w:val="multilevel"/>
    <w:tmpl w:val="2CA8B2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841EA5"/>
    <w:multiLevelType w:val="multilevel"/>
    <w:tmpl w:val="8BC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12F5B"/>
    <w:multiLevelType w:val="multilevel"/>
    <w:tmpl w:val="69FC68F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DA1BD7"/>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1C5771"/>
    <w:multiLevelType w:val="hybridMultilevel"/>
    <w:tmpl w:val="25F449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0717144"/>
    <w:multiLevelType w:val="multilevel"/>
    <w:tmpl w:val="F8A8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EB47E0"/>
    <w:multiLevelType w:val="multilevel"/>
    <w:tmpl w:val="24C625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7C2AC0"/>
    <w:multiLevelType w:val="multilevel"/>
    <w:tmpl w:val="7BC25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D43FF3"/>
    <w:multiLevelType w:val="multilevel"/>
    <w:tmpl w:val="27D68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553438"/>
    <w:multiLevelType w:val="multilevel"/>
    <w:tmpl w:val="1348F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577FC3"/>
    <w:multiLevelType w:val="multilevel"/>
    <w:tmpl w:val="C254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F3642B"/>
    <w:multiLevelType w:val="multilevel"/>
    <w:tmpl w:val="0CE4DB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51187"/>
    <w:multiLevelType w:val="multilevel"/>
    <w:tmpl w:val="36D052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9D4B9A"/>
    <w:multiLevelType w:val="multilevel"/>
    <w:tmpl w:val="2B444C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54106F"/>
    <w:multiLevelType w:val="multilevel"/>
    <w:tmpl w:val="8BC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379583">
    <w:abstractNumId w:val="38"/>
  </w:num>
  <w:num w:numId="2" w16cid:durableId="569270599">
    <w:abstractNumId w:val="14"/>
  </w:num>
  <w:num w:numId="3" w16cid:durableId="527838315">
    <w:abstractNumId w:val="24"/>
  </w:num>
  <w:num w:numId="4" w16cid:durableId="1143888957">
    <w:abstractNumId w:val="7"/>
  </w:num>
  <w:num w:numId="5" w16cid:durableId="1515338860">
    <w:abstractNumId w:val="40"/>
  </w:num>
  <w:num w:numId="6" w16cid:durableId="1206285271">
    <w:abstractNumId w:val="23"/>
  </w:num>
  <w:num w:numId="7" w16cid:durableId="1321075277">
    <w:abstractNumId w:val="21"/>
  </w:num>
  <w:num w:numId="8" w16cid:durableId="1947423521">
    <w:abstractNumId w:val="26"/>
  </w:num>
  <w:num w:numId="9" w16cid:durableId="1314984904">
    <w:abstractNumId w:val="17"/>
  </w:num>
  <w:num w:numId="10" w16cid:durableId="284122650">
    <w:abstractNumId w:val="33"/>
  </w:num>
  <w:num w:numId="11" w16cid:durableId="1552956745">
    <w:abstractNumId w:val="41"/>
  </w:num>
  <w:num w:numId="12" w16cid:durableId="1258750166">
    <w:abstractNumId w:val="45"/>
  </w:num>
  <w:num w:numId="13" w16cid:durableId="1196623326">
    <w:abstractNumId w:val="3"/>
  </w:num>
  <w:num w:numId="14" w16cid:durableId="1181899140">
    <w:abstractNumId w:val="35"/>
  </w:num>
  <w:num w:numId="15" w16cid:durableId="1882400693">
    <w:abstractNumId w:val="5"/>
  </w:num>
  <w:num w:numId="16" w16cid:durableId="71435007">
    <w:abstractNumId w:val="9"/>
  </w:num>
  <w:num w:numId="17" w16cid:durableId="540289593">
    <w:abstractNumId w:val="42"/>
  </w:num>
  <w:num w:numId="18" w16cid:durableId="431895547">
    <w:abstractNumId w:val="8"/>
  </w:num>
  <w:num w:numId="19" w16cid:durableId="1647196389">
    <w:abstractNumId w:val="1"/>
  </w:num>
  <w:num w:numId="20" w16cid:durableId="1680932892">
    <w:abstractNumId w:val="39"/>
  </w:num>
  <w:num w:numId="21" w16cid:durableId="1453935382">
    <w:abstractNumId w:val="6"/>
  </w:num>
  <w:num w:numId="22" w16cid:durableId="1349062576">
    <w:abstractNumId w:val="32"/>
  </w:num>
  <w:num w:numId="23" w16cid:durableId="2019575047">
    <w:abstractNumId w:val="19"/>
  </w:num>
  <w:num w:numId="24" w16cid:durableId="1880704547">
    <w:abstractNumId w:val="46"/>
  </w:num>
  <w:num w:numId="25" w16cid:durableId="2005695008">
    <w:abstractNumId w:val="22"/>
  </w:num>
  <w:num w:numId="26" w16cid:durableId="15695736">
    <w:abstractNumId w:val="30"/>
  </w:num>
  <w:num w:numId="27" w16cid:durableId="1784496074">
    <w:abstractNumId w:val="2"/>
  </w:num>
  <w:num w:numId="28" w16cid:durableId="1695614694">
    <w:abstractNumId w:val="44"/>
  </w:num>
  <w:num w:numId="29" w16cid:durableId="1288773840">
    <w:abstractNumId w:val="0"/>
  </w:num>
  <w:num w:numId="30" w16cid:durableId="2013753775">
    <w:abstractNumId w:val="13"/>
  </w:num>
  <w:num w:numId="31" w16cid:durableId="132066325">
    <w:abstractNumId w:val="15"/>
  </w:num>
  <w:num w:numId="32" w16cid:durableId="1614751618">
    <w:abstractNumId w:val="29"/>
  </w:num>
  <w:num w:numId="33" w16cid:durableId="1494371663">
    <w:abstractNumId w:val="25"/>
  </w:num>
  <w:num w:numId="34" w16cid:durableId="466166488">
    <w:abstractNumId w:val="31"/>
  </w:num>
  <w:num w:numId="35" w16cid:durableId="545726283">
    <w:abstractNumId w:val="18"/>
  </w:num>
  <w:num w:numId="36" w16cid:durableId="1273051628">
    <w:abstractNumId w:val="4"/>
  </w:num>
  <w:num w:numId="37" w16cid:durableId="1076781100">
    <w:abstractNumId w:val="12"/>
  </w:num>
  <w:num w:numId="38" w16cid:durableId="1228565982">
    <w:abstractNumId w:val="10"/>
  </w:num>
  <w:num w:numId="39" w16cid:durableId="1590232145">
    <w:abstractNumId w:val="37"/>
  </w:num>
  <w:num w:numId="40" w16cid:durableId="654146002">
    <w:abstractNumId w:val="20"/>
  </w:num>
  <w:num w:numId="41" w16cid:durableId="1358307565">
    <w:abstractNumId w:val="34"/>
  </w:num>
  <w:num w:numId="42" w16cid:durableId="926698163">
    <w:abstractNumId w:val="47"/>
  </w:num>
  <w:num w:numId="43" w16cid:durableId="1022169167">
    <w:abstractNumId w:val="27"/>
  </w:num>
  <w:num w:numId="44" w16cid:durableId="620234244">
    <w:abstractNumId w:val="36"/>
  </w:num>
  <w:num w:numId="45" w16cid:durableId="1378311289">
    <w:abstractNumId w:val="28"/>
  </w:num>
  <w:num w:numId="46" w16cid:durableId="85883249">
    <w:abstractNumId w:val="16"/>
  </w:num>
  <w:num w:numId="47" w16cid:durableId="1262958292">
    <w:abstractNumId w:val="11"/>
  </w:num>
  <w:num w:numId="48" w16cid:durableId="363227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EE"/>
    <w:rsid w:val="000D5495"/>
    <w:rsid w:val="000E441D"/>
    <w:rsid w:val="001137C6"/>
    <w:rsid w:val="00114B62"/>
    <w:rsid w:val="0014239F"/>
    <w:rsid w:val="00183413"/>
    <w:rsid w:val="001B7B43"/>
    <w:rsid w:val="001C53B4"/>
    <w:rsid w:val="001D6BD2"/>
    <w:rsid w:val="002423CD"/>
    <w:rsid w:val="002A0865"/>
    <w:rsid w:val="0035598C"/>
    <w:rsid w:val="00371FF7"/>
    <w:rsid w:val="00372A80"/>
    <w:rsid w:val="00393368"/>
    <w:rsid w:val="003A44BE"/>
    <w:rsid w:val="003F2E04"/>
    <w:rsid w:val="0048002F"/>
    <w:rsid w:val="00490DD3"/>
    <w:rsid w:val="005A0FA3"/>
    <w:rsid w:val="005B17DF"/>
    <w:rsid w:val="005F577E"/>
    <w:rsid w:val="0068668D"/>
    <w:rsid w:val="00727698"/>
    <w:rsid w:val="007524EE"/>
    <w:rsid w:val="007D6929"/>
    <w:rsid w:val="00804EBA"/>
    <w:rsid w:val="00870C21"/>
    <w:rsid w:val="008C6C74"/>
    <w:rsid w:val="00955F4C"/>
    <w:rsid w:val="009B68A5"/>
    <w:rsid w:val="00A12E3A"/>
    <w:rsid w:val="00A36E33"/>
    <w:rsid w:val="00AB0C11"/>
    <w:rsid w:val="00AC4BCB"/>
    <w:rsid w:val="00AD215E"/>
    <w:rsid w:val="00B20C05"/>
    <w:rsid w:val="00B44681"/>
    <w:rsid w:val="00B90D2C"/>
    <w:rsid w:val="00B91283"/>
    <w:rsid w:val="00B94FF8"/>
    <w:rsid w:val="00BA664A"/>
    <w:rsid w:val="00C377C5"/>
    <w:rsid w:val="00C536C6"/>
    <w:rsid w:val="00D004A4"/>
    <w:rsid w:val="00D004BC"/>
    <w:rsid w:val="00D43CB3"/>
    <w:rsid w:val="00D62581"/>
    <w:rsid w:val="00D92B71"/>
    <w:rsid w:val="00D967AC"/>
    <w:rsid w:val="00DA7155"/>
    <w:rsid w:val="00DC0F63"/>
    <w:rsid w:val="00E22863"/>
    <w:rsid w:val="00E56BC0"/>
    <w:rsid w:val="00E80BF0"/>
    <w:rsid w:val="00F00058"/>
    <w:rsid w:val="00F04498"/>
    <w:rsid w:val="00F675C3"/>
    <w:rsid w:val="00F776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5F32B"/>
  <w15:chartTrackingRefBased/>
  <w15:docId w15:val="{12770EC6-4F8E-447B-A41B-B5207052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524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24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24EE"/>
    <w:rPr>
      <w:color w:val="0000FF"/>
      <w:u w:val="single"/>
    </w:rPr>
  </w:style>
  <w:style w:type="paragraph" w:styleId="ListParagraph">
    <w:name w:val="List Paragraph"/>
    <w:basedOn w:val="Normal"/>
    <w:uiPriority w:val="34"/>
    <w:qFormat/>
    <w:rsid w:val="00371FF7"/>
    <w:pPr>
      <w:ind w:left="720"/>
      <w:contextualSpacing/>
    </w:pPr>
  </w:style>
  <w:style w:type="paragraph" w:styleId="Revision">
    <w:name w:val="Revision"/>
    <w:hidden/>
    <w:uiPriority w:val="99"/>
    <w:semiHidden/>
    <w:rsid w:val="00B91283"/>
    <w:pPr>
      <w:spacing w:after="0" w:line="240" w:lineRule="auto"/>
    </w:pPr>
  </w:style>
  <w:style w:type="character" w:styleId="CommentReference">
    <w:name w:val="annotation reference"/>
    <w:basedOn w:val="DefaultParagraphFont"/>
    <w:uiPriority w:val="99"/>
    <w:semiHidden/>
    <w:unhideWhenUsed/>
    <w:rsid w:val="00B91283"/>
    <w:rPr>
      <w:sz w:val="16"/>
      <w:szCs w:val="16"/>
    </w:rPr>
  </w:style>
  <w:style w:type="paragraph" w:styleId="CommentText">
    <w:name w:val="annotation text"/>
    <w:basedOn w:val="Normal"/>
    <w:link w:val="CommentTextChar"/>
    <w:uiPriority w:val="99"/>
    <w:unhideWhenUsed/>
    <w:rsid w:val="00B91283"/>
    <w:pPr>
      <w:spacing w:line="240" w:lineRule="auto"/>
    </w:pPr>
    <w:rPr>
      <w:sz w:val="20"/>
      <w:szCs w:val="20"/>
    </w:rPr>
  </w:style>
  <w:style w:type="character" w:customStyle="1" w:styleId="CommentTextChar">
    <w:name w:val="Comment Text Char"/>
    <w:basedOn w:val="DefaultParagraphFont"/>
    <w:link w:val="CommentText"/>
    <w:uiPriority w:val="99"/>
    <w:rsid w:val="00B91283"/>
    <w:rPr>
      <w:sz w:val="20"/>
      <w:szCs w:val="20"/>
    </w:rPr>
  </w:style>
  <w:style w:type="paragraph" w:styleId="CommentSubject">
    <w:name w:val="annotation subject"/>
    <w:basedOn w:val="CommentText"/>
    <w:next w:val="CommentText"/>
    <w:link w:val="CommentSubjectChar"/>
    <w:uiPriority w:val="99"/>
    <w:semiHidden/>
    <w:unhideWhenUsed/>
    <w:rsid w:val="00B91283"/>
    <w:rPr>
      <w:b/>
      <w:bCs/>
    </w:rPr>
  </w:style>
  <w:style w:type="character" w:customStyle="1" w:styleId="CommentSubjectChar">
    <w:name w:val="Comment Subject Char"/>
    <w:basedOn w:val="CommentTextChar"/>
    <w:link w:val="CommentSubject"/>
    <w:uiPriority w:val="99"/>
    <w:semiHidden/>
    <w:rsid w:val="00B91283"/>
    <w:rPr>
      <w:b/>
      <w:bCs/>
      <w:sz w:val="20"/>
      <w:szCs w:val="20"/>
    </w:rPr>
  </w:style>
  <w:style w:type="paragraph" w:styleId="FootnoteText">
    <w:name w:val="footnote text"/>
    <w:basedOn w:val="Normal"/>
    <w:link w:val="FootnoteTextChar"/>
    <w:uiPriority w:val="99"/>
    <w:semiHidden/>
    <w:unhideWhenUsed/>
    <w:rsid w:val="00D9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B71"/>
    <w:rPr>
      <w:sz w:val="20"/>
      <w:szCs w:val="20"/>
    </w:rPr>
  </w:style>
  <w:style w:type="character" w:styleId="FootnoteReference">
    <w:name w:val="footnote reference"/>
    <w:basedOn w:val="DefaultParagraphFont"/>
    <w:uiPriority w:val="99"/>
    <w:semiHidden/>
    <w:unhideWhenUsed/>
    <w:rsid w:val="00D92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8416</Tracking_x0020_Number>
    <Posted_x0020_Online_x0020_Date xmlns="529ba1de-83f7-4614-a33a-20d5c69b3234" xsi:nil="true"/>
    <Completed_x003f_ xmlns="529ba1de-83f7-4614-a33a-20d5c69b3234">No</Completed_x003f_>
    <Type_x0020_of_x0020_Doc xmlns="529ba1de-83f7-4614-a33a-20d5c69b3234">Decision Memo</Type_x0020_of_x0020_Doc>
    <IconOverlay xmlns="http://schemas.microsoft.com/sharepoint/v4" xsi:nil="true"/>
    <Division xmlns="529ba1de-83f7-4614-a33a-20d5c69b3234">DSS</Division>
    <Due_x0020_Date xmlns="529ba1de-83f7-4614-a33a-20d5c69b3234" xsi:nil="true"/>
    <Program xmlns="529ba1de-83f7-4614-a33a-20d5c69b3234">SSBG</Program>
    <V3Comments xmlns="http://schemas.microsoft.com/sharepoint/v3" xsi:nil="true"/>
    <Fiscal_x0020_Year xmlns="529ba1de-83f7-4614-a33a-20d5c69b3234">2023</Fiscal_x0020_Year>
    <Mailed_x0020_Out_x0020_Date xmlns="529ba1de-83f7-4614-a33a-20d5c69b3234" xsi:nil="true"/>
    <Notes0 xmlns="529ba1de-83f7-4614-a33a-20d5c69b3234" xsi:nil="true"/>
    <Lead_x0020_POC xmlns="529ba1de-83f7-4614-a33a-20d5c69b3234">
      <UserInfo>
        <DisplayName>Elizalde, Rafael J. (ACF)</DisplayName>
        <AccountId>39</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ET7ED2XPRZ62-62926946-8416</_dlc_DocId>
    <_dlc_DocIdUrl xmlns="9d9fd9e6-c86a-4755-9461-9f784f6b47c7">
      <Url>https://collaboration.acf.hhs.gov/offices/ocs/fota/DAP2/_layouts/15/DocIdRedir.aspx?ID=ET7ED2XPRZ62-62926946-8416</Url>
      <Description>ET7ED2XPRZ62-62926946-8416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73D88-A5DE-4DFC-9BF0-9EFBD334E7E9}">
  <ds:schemaRefs>
    <ds:schemaRef ds:uri="http://schemas.openxmlformats.org/officeDocument/2006/bibliography"/>
  </ds:schemaRefs>
</ds:datastoreItem>
</file>

<file path=customXml/itemProps2.xml><?xml version="1.0" encoding="utf-8"?>
<ds:datastoreItem xmlns:ds="http://schemas.openxmlformats.org/officeDocument/2006/customXml" ds:itemID="{85AD8065-0581-4CDB-B424-6F1C121F2E9C}">
  <ds:schemaRefs>
    <ds:schemaRef ds:uri="http://schemas.microsoft.com/office/2006/metadata/properties"/>
    <ds:schemaRef ds:uri="http://schemas.microsoft.com/office/infopath/2007/PartnerControls"/>
    <ds:schemaRef ds:uri="529ba1de-83f7-4614-a33a-20d5c69b3234"/>
    <ds:schemaRef ds:uri="http://schemas.microsoft.com/sharepoint/v4"/>
    <ds:schemaRef ds:uri="http://schemas.microsoft.com/sharepoint/v3"/>
    <ds:schemaRef ds:uri="9d9fd9e6-c86a-4755-9461-9f784f6b47c7"/>
  </ds:schemaRefs>
</ds:datastoreItem>
</file>

<file path=customXml/itemProps3.xml><?xml version="1.0" encoding="utf-8"?>
<ds:datastoreItem xmlns:ds="http://schemas.openxmlformats.org/officeDocument/2006/customXml" ds:itemID="{52A2D15F-0F83-44E1-82B4-023CC28A7AD3}">
  <ds:schemaRefs>
    <ds:schemaRef ds:uri="http://schemas.microsoft.com/sharepoint/v3/contenttype/forms"/>
  </ds:schemaRefs>
</ds:datastoreItem>
</file>

<file path=customXml/itemProps4.xml><?xml version="1.0" encoding="utf-8"?>
<ds:datastoreItem xmlns:ds="http://schemas.openxmlformats.org/officeDocument/2006/customXml" ds:itemID="{26520BD7-EBC4-41FC-AB2A-1CF767BDD7FD}">
  <ds:schemaRefs>
    <ds:schemaRef ds:uri="http://schemas.microsoft.com/sharepoint/events"/>
  </ds:schemaRefs>
</ds:datastoreItem>
</file>

<file path=customXml/itemProps5.xml><?xml version="1.0" encoding="utf-8"?>
<ds:datastoreItem xmlns:ds="http://schemas.openxmlformats.org/officeDocument/2006/customXml" ds:itemID="{6D000DF8-3E16-442E-81BF-3561E827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Sulton, Jae (ACF)</dc:creator>
  <cp:lastModifiedBy>ACF PRA</cp:lastModifiedBy>
  <cp:revision>3</cp:revision>
  <dcterms:created xsi:type="dcterms:W3CDTF">2024-02-07T19:13:00Z</dcterms:created>
  <dcterms:modified xsi:type="dcterms:W3CDTF">2024-02-07T19:14:00Z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GrammarlyDocumentId">
    <vt:lpwstr>e53c4a3e-4b76-43f8-912f-eeb6a18ca322</vt:lpwstr>
  </property>
  <property fmtid="{D5CDD505-2E9C-101B-9397-08002B2CF9AE}" pid="4" name="WorkflowChangePath">
    <vt:lpwstr>dcd4658e-bb5d-4d4a-b6e3-2b36798d318c,4;</vt:lpwstr>
  </property>
  <property fmtid="{D5CDD505-2E9C-101B-9397-08002B2CF9AE}" pid="5" name="_dlc_DocIdItemGuid">
    <vt:lpwstr>a4eb3469-98b7-40a0-b636-7696ce967a99</vt:lpwstr>
  </property>
  <property fmtid="{D5CDD505-2E9C-101B-9397-08002B2CF9AE}" pid="6" name="_docset_NoMedatataSyncRequired">
    <vt:lpwstr>False</vt:lpwstr>
  </property>
</Properties>
</file>