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D1C73" w:rsidRPr="009139B3" w:rsidP="001D1C73" w14:paraId="745202F0" w14:textId="77777777">
      <w:pPr>
        <w:pStyle w:val="ReportCover-Title"/>
        <w:jc w:val="center"/>
        <w:rPr>
          <w:rFonts w:ascii="Arial" w:eastAsia="Arial Unicode MS" w:hAnsi="Arial" w:cs="Arial"/>
          <w:noProof/>
          <w:color w:val="auto"/>
        </w:rPr>
      </w:pPr>
    </w:p>
    <w:p w:rsidR="003D0591" w:rsidP="001D1C73" w14:paraId="5E92254C" w14:textId="77777777">
      <w:pPr>
        <w:pStyle w:val="ReportCover-Title"/>
        <w:jc w:val="center"/>
        <w:rPr>
          <w:rFonts w:ascii="Arial" w:eastAsia="Arial Unicode MS" w:hAnsi="Arial" w:cs="Arial"/>
          <w:noProof/>
          <w:color w:val="auto"/>
        </w:rPr>
      </w:pPr>
      <w:r w:rsidRPr="7321E8C9">
        <w:rPr>
          <w:rFonts w:ascii="Arial" w:eastAsia="Arial Unicode MS" w:hAnsi="Arial" w:cs="Arial"/>
          <w:noProof/>
          <w:color w:val="auto"/>
        </w:rPr>
        <w:t>Chafee Stre</w:t>
      </w:r>
      <w:r w:rsidRPr="7321E8C9" w:rsidR="00210C60">
        <w:rPr>
          <w:rFonts w:ascii="Arial" w:eastAsia="Arial Unicode MS" w:hAnsi="Arial" w:cs="Arial"/>
          <w:noProof/>
          <w:color w:val="auto"/>
        </w:rPr>
        <w:t>n</w:t>
      </w:r>
      <w:r w:rsidRPr="7321E8C9">
        <w:rPr>
          <w:rFonts w:ascii="Arial" w:eastAsia="Arial Unicode MS" w:hAnsi="Arial" w:cs="Arial"/>
          <w:noProof/>
          <w:color w:val="auto"/>
        </w:rPr>
        <w:t>gthening Outcomes for Transition to Adulthood Project</w:t>
      </w:r>
      <w:r w:rsidR="0047271F">
        <w:rPr>
          <w:rFonts w:ascii="Arial" w:eastAsia="Arial Unicode MS" w:hAnsi="Arial" w:cs="Arial"/>
          <w:noProof/>
          <w:color w:val="auto"/>
        </w:rPr>
        <w:t xml:space="preserve">: Impact Evaluation of </w:t>
      </w:r>
    </w:p>
    <w:p w:rsidR="001D1C73" w:rsidRPr="009139B3" w:rsidP="00C25635" w14:paraId="23B3F2E9" w14:textId="3B93AD48">
      <w:pPr>
        <w:pStyle w:val="ReportCover-Title"/>
        <w:jc w:val="center"/>
        <w:rPr>
          <w:rFonts w:ascii="Arial" w:hAnsi="Arial" w:cs="Arial"/>
          <w:color w:val="auto"/>
        </w:rPr>
      </w:pPr>
      <w:r>
        <w:rPr>
          <w:rFonts w:ascii="Arial" w:eastAsia="Arial Unicode MS" w:hAnsi="Arial" w:cs="Arial"/>
          <w:noProof/>
          <w:color w:val="auto"/>
        </w:rPr>
        <w:t>My First Place</w:t>
      </w:r>
    </w:p>
    <w:p w:rsidR="001D1C73" w:rsidRPr="009139B3" w:rsidP="001D1C73" w14:paraId="497A9C33" w14:textId="77777777">
      <w:pPr>
        <w:pStyle w:val="ReportCover-Title"/>
        <w:rPr>
          <w:rFonts w:ascii="Arial" w:hAnsi="Arial" w:cs="Arial"/>
          <w:color w:val="auto"/>
        </w:rPr>
      </w:pPr>
    </w:p>
    <w:p w:rsidR="001D1C73" w:rsidRPr="009139B3" w:rsidP="001D1C73" w14:paraId="7FC73C45" w14:textId="77777777">
      <w:pPr>
        <w:pStyle w:val="ReportCover-Title"/>
        <w:rPr>
          <w:rFonts w:ascii="Arial" w:hAnsi="Arial" w:cs="Arial"/>
          <w:color w:val="auto"/>
        </w:rPr>
      </w:pPr>
    </w:p>
    <w:p w:rsidR="005A5DDB" w:rsidP="005A5DDB" w14:paraId="6FECDD76"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005A5DDB" w:rsidP="005A5DDB" w14:paraId="6CF8E4F6" w14:textId="77777777">
      <w:pPr>
        <w:pStyle w:val="ReportCover-Title"/>
        <w:jc w:val="center"/>
        <w:rPr>
          <w:rFonts w:ascii="Arial" w:hAnsi="Arial" w:cs="Arial"/>
          <w:color w:val="auto"/>
          <w:sz w:val="32"/>
          <w:szCs w:val="32"/>
        </w:rPr>
      </w:pPr>
    </w:p>
    <w:p w:rsidR="005A5DDB" w:rsidP="005A5DDB" w14:paraId="23749D31" w14:textId="77777777">
      <w:pPr>
        <w:pStyle w:val="ReportCover-Title"/>
        <w:jc w:val="center"/>
        <w:rPr>
          <w:rFonts w:ascii="Arial" w:hAnsi="Arial" w:cs="Arial"/>
          <w:color w:val="auto"/>
          <w:sz w:val="32"/>
          <w:szCs w:val="32"/>
        </w:rPr>
      </w:pPr>
      <w:r w:rsidRPr="00E60103">
        <w:rPr>
          <w:rFonts w:ascii="Arial" w:hAnsi="Arial" w:cs="Arial"/>
          <w:color w:val="auto"/>
          <w:sz w:val="32"/>
          <w:szCs w:val="32"/>
        </w:rPr>
        <w:t xml:space="preserve">Chafee Strengthening Outcomes for Transition to Adulthood Project </w:t>
      </w:r>
      <w:r w:rsidRPr="00D91806">
        <w:rPr>
          <w:rFonts w:ascii="Arial" w:hAnsi="Arial" w:cs="Arial"/>
          <w:color w:val="auto"/>
          <w:sz w:val="32"/>
          <w:szCs w:val="32"/>
        </w:rPr>
        <w:t xml:space="preserve">Overarching Generic </w:t>
      </w:r>
    </w:p>
    <w:p w:rsidR="00C078E9" w:rsidRPr="00D91806" w:rsidP="005A5DDB" w14:paraId="008733A3" w14:textId="77777777">
      <w:pPr>
        <w:pStyle w:val="ReportCover-Title"/>
        <w:jc w:val="center"/>
        <w:rPr>
          <w:rFonts w:ascii="Arial" w:hAnsi="Arial" w:cs="Arial"/>
          <w:color w:val="auto"/>
          <w:sz w:val="32"/>
          <w:szCs w:val="32"/>
        </w:rPr>
      </w:pPr>
    </w:p>
    <w:p w:rsidR="005A5DDB" w:rsidRPr="009139B3" w:rsidP="005A5DDB" w14:paraId="4BBF22F6" w14:textId="77777777">
      <w:pPr>
        <w:spacing w:after="0"/>
        <w:jc w:val="center"/>
        <w:rPr>
          <w:rFonts w:ascii="Arial" w:hAnsi="Arial" w:cs="Arial"/>
        </w:rPr>
      </w:pPr>
      <w:r w:rsidRPr="00D91806">
        <w:rPr>
          <w:rFonts w:ascii="Arial" w:eastAsia="Times New Roman" w:hAnsi="Arial" w:cs="Arial"/>
          <w:b/>
          <w:sz w:val="32"/>
          <w:szCs w:val="32"/>
        </w:rPr>
        <w:t>0970-0618</w:t>
      </w:r>
    </w:p>
    <w:p w:rsidR="001D1C73" w:rsidRPr="009139B3" w:rsidP="001D1C73" w14:paraId="55E63FC4" w14:textId="77777777">
      <w:pPr>
        <w:spacing w:after="0"/>
        <w:rPr>
          <w:rFonts w:ascii="Arial" w:hAnsi="Arial" w:cs="Arial"/>
        </w:rPr>
      </w:pPr>
    </w:p>
    <w:p w:rsidR="001D1C73" w:rsidRPr="009139B3" w:rsidP="001D1C73" w14:paraId="7D293284" w14:textId="77777777">
      <w:pPr>
        <w:spacing w:after="0"/>
        <w:rPr>
          <w:rFonts w:ascii="Arial" w:hAnsi="Arial" w:cs="Arial"/>
        </w:rPr>
      </w:pPr>
    </w:p>
    <w:p w:rsidR="001D1C73" w:rsidRPr="009139B3" w:rsidP="001D1C73" w14:paraId="3083FCDF" w14:textId="77777777">
      <w:pPr>
        <w:spacing w:after="0"/>
        <w:rPr>
          <w:rFonts w:ascii="Arial" w:hAnsi="Arial" w:cs="Arial"/>
        </w:rPr>
      </w:pPr>
    </w:p>
    <w:p w:rsidR="001D1C73" w:rsidRPr="009139B3" w:rsidP="001D1C73" w14:paraId="5288C7DC" w14:textId="77777777">
      <w:pPr>
        <w:pStyle w:val="ReportCover-Date"/>
        <w:spacing w:after="0"/>
        <w:jc w:val="center"/>
        <w:rPr>
          <w:rFonts w:ascii="Arial" w:hAnsi="Arial" w:cs="Arial"/>
          <w:color w:val="auto"/>
        </w:rPr>
      </w:pPr>
    </w:p>
    <w:p w:rsidR="001D1C73" w:rsidRPr="009139B3" w:rsidP="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1D1C73" w:rsidRPr="009139B3" w:rsidP="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00A93035" w:rsidRPr="009139B3" w:rsidP="001D1C73" w14:paraId="060456FD" w14:textId="77777777">
      <w:pPr>
        <w:pStyle w:val="ReportCover-Date"/>
        <w:spacing w:after="0"/>
        <w:jc w:val="center"/>
        <w:rPr>
          <w:rFonts w:ascii="Arial" w:hAnsi="Arial" w:cs="Arial"/>
          <w:color w:val="auto"/>
        </w:rPr>
      </w:pPr>
    </w:p>
    <w:p w:rsidR="00A93035" w:rsidRPr="009139B3" w:rsidP="001D1C73" w14:paraId="2CE0CB69" w14:textId="77777777">
      <w:pPr>
        <w:pStyle w:val="ReportCover-Date"/>
        <w:spacing w:after="0"/>
        <w:jc w:val="center"/>
        <w:rPr>
          <w:rFonts w:ascii="Arial" w:hAnsi="Arial" w:cs="Arial"/>
          <w:color w:val="auto"/>
        </w:rPr>
      </w:pPr>
    </w:p>
    <w:p w:rsidR="00A93035" w:rsidRPr="009139B3" w:rsidP="001D1C73" w14:paraId="64DC89CC" w14:textId="77777777">
      <w:pPr>
        <w:pStyle w:val="ReportCover-Date"/>
        <w:spacing w:after="0"/>
        <w:jc w:val="center"/>
        <w:rPr>
          <w:rFonts w:ascii="Arial" w:hAnsi="Arial" w:cs="Arial"/>
          <w:color w:val="auto"/>
        </w:rPr>
      </w:pPr>
    </w:p>
    <w:p w:rsidR="00A93035" w:rsidRPr="009139B3" w:rsidP="001D1C73" w14:paraId="77445DBC" w14:textId="77777777">
      <w:pPr>
        <w:pStyle w:val="ReportCover-Date"/>
        <w:spacing w:after="0"/>
        <w:jc w:val="center"/>
        <w:rPr>
          <w:rFonts w:ascii="Arial" w:hAnsi="Arial" w:cs="Arial"/>
          <w:color w:val="auto"/>
        </w:rPr>
      </w:pPr>
    </w:p>
    <w:p w:rsidR="00A93035" w:rsidRPr="009139B3" w:rsidP="001D1C73" w14:paraId="241FC0EC" w14:textId="77777777">
      <w:pPr>
        <w:pStyle w:val="ReportCover-Date"/>
        <w:spacing w:after="0"/>
        <w:jc w:val="center"/>
        <w:rPr>
          <w:rFonts w:ascii="Arial" w:hAnsi="Arial" w:cs="Arial"/>
          <w:color w:val="auto"/>
        </w:rPr>
      </w:pPr>
    </w:p>
    <w:p w:rsidR="001D1C73" w:rsidRPr="009139B3" w:rsidP="001D1C73" w14:paraId="25EC0787" w14:textId="0EA53F5E">
      <w:pPr>
        <w:pStyle w:val="ReportCover-Date"/>
        <w:spacing w:after="0"/>
        <w:jc w:val="center"/>
        <w:rPr>
          <w:rFonts w:ascii="Arial" w:hAnsi="Arial" w:cs="Arial"/>
          <w:color w:val="auto"/>
        </w:rPr>
      </w:pPr>
      <w:r>
        <w:rPr>
          <w:rFonts w:ascii="Arial" w:hAnsi="Arial" w:cs="Arial"/>
          <w:color w:val="auto"/>
        </w:rPr>
        <w:t>June</w:t>
      </w:r>
      <w:r w:rsidR="00030E51">
        <w:rPr>
          <w:rFonts w:ascii="Arial" w:hAnsi="Arial" w:cs="Arial"/>
          <w:color w:val="auto"/>
        </w:rPr>
        <w:t xml:space="preserve"> </w:t>
      </w:r>
      <w:r w:rsidR="00653B14">
        <w:rPr>
          <w:rFonts w:ascii="Arial" w:hAnsi="Arial" w:cs="Arial"/>
          <w:color w:val="auto"/>
        </w:rPr>
        <w:t>2026</w:t>
      </w:r>
    </w:p>
    <w:p w:rsidR="001D1C73" w:rsidRPr="009139B3" w:rsidP="001D1C73" w14:paraId="6AE99265" w14:textId="77777777">
      <w:pPr>
        <w:spacing w:after="0" w:line="240" w:lineRule="auto"/>
        <w:jc w:val="center"/>
        <w:rPr>
          <w:rFonts w:ascii="Arial" w:hAnsi="Arial" w:cs="Arial"/>
        </w:rPr>
      </w:pPr>
    </w:p>
    <w:p w:rsidR="001D1C73" w:rsidRPr="009139B3" w:rsidP="001D1C73" w14:paraId="1DA20A0E" w14:textId="77777777">
      <w:pPr>
        <w:spacing w:after="0" w:line="240" w:lineRule="auto"/>
        <w:jc w:val="center"/>
        <w:rPr>
          <w:rFonts w:ascii="Arial" w:hAnsi="Arial" w:cs="Arial"/>
        </w:rPr>
      </w:pPr>
    </w:p>
    <w:p w:rsidR="001D1C73" w:rsidRPr="009139B3" w:rsidP="001D1C73" w14:paraId="6C687B26" w14:textId="77777777">
      <w:pPr>
        <w:spacing w:after="0" w:line="240" w:lineRule="auto"/>
        <w:jc w:val="center"/>
        <w:rPr>
          <w:rFonts w:ascii="Arial" w:hAnsi="Arial" w:cs="Arial"/>
        </w:rPr>
      </w:pPr>
    </w:p>
    <w:p w:rsidR="001D1C73" w:rsidRPr="009139B3" w:rsidP="001D1C73" w14:paraId="7F494641" w14:textId="77777777">
      <w:pPr>
        <w:spacing w:after="0" w:line="240" w:lineRule="auto"/>
        <w:jc w:val="center"/>
        <w:rPr>
          <w:rFonts w:ascii="Arial" w:hAnsi="Arial" w:cs="Arial"/>
        </w:rPr>
      </w:pPr>
    </w:p>
    <w:p w:rsidR="001D1C73" w:rsidRPr="009139B3" w:rsidP="001D1C73" w14:paraId="391929B8" w14:textId="77777777">
      <w:pPr>
        <w:spacing w:after="0" w:line="240" w:lineRule="auto"/>
        <w:jc w:val="center"/>
        <w:rPr>
          <w:rFonts w:ascii="Arial" w:hAnsi="Arial" w:cs="Arial"/>
        </w:rPr>
      </w:pPr>
    </w:p>
    <w:p w:rsidR="001D1C73" w:rsidRPr="009139B3" w:rsidP="001D1C73" w14:paraId="42DEC821" w14:textId="77777777">
      <w:pPr>
        <w:spacing w:after="0" w:line="240" w:lineRule="auto"/>
        <w:jc w:val="center"/>
        <w:rPr>
          <w:rFonts w:ascii="Arial" w:hAnsi="Arial" w:cs="Arial"/>
        </w:rPr>
      </w:pPr>
    </w:p>
    <w:p w:rsidR="001D1C73" w:rsidRPr="009139B3" w:rsidP="001D1C73" w14:paraId="77B06B0F" w14:textId="77777777">
      <w:pPr>
        <w:spacing w:after="0" w:line="240" w:lineRule="auto"/>
        <w:jc w:val="center"/>
        <w:rPr>
          <w:rFonts w:ascii="Arial" w:hAnsi="Arial" w:cs="Arial"/>
        </w:rPr>
      </w:pPr>
    </w:p>
    <w:p w:rsidR="001D1C73" w:rsidP="001D1C73" w14:paraId="46080CD2" w14:textId="77777777">
      <w:pPr>
        <w:spacing w:after="0" w:line="240" w:lineRule="auto"/>
        <w:jc w:val="center"/>
        <w:rPr>
          <w:rFonts w:ascii="Arial" w:hAnsi="Arial" w:cs="Arial"/>
        </w:rPr>
      </w:pPr>
      <w:r w:rsidRPr="009139B3">
        <w:rPr>
          <w:rFonts w:ascii="Arial" w:hAnsi="Arial" w:cs="Arial"/>
        </w:rPr>
        <w:t>Submitted By:</w:t>
      </w:r>
    </w:p>
    <w:p w:rsidR="002C7E77" w:rsidRPr="009139B3" w:rsidP="001D1C73" w14:paraId="45576DC9" w14:textId="77777777">
      <w:pPr>
        <w:spacing w:after="0" w:line="240" w:lineRule="auto"/>
        <w:jc w:val="center"/>
        <w:rPr>
          <w:rFonts w:ascii="Arial" w:hAnsi="Arial" w:cs="Arial"/>
        </w:rPr>
      </w:pPr>
    </w:p>
    <w:p w:rsidR="001D1C73" w:rsidRPr="009139B3" w:rsidP="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001D1C73" w:rsidRPr="009139B3" w:rsidP="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001D1C73" w:rsidRPr="009139B3" w:rsidP="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001D1C73" w:rsidRPr="009139B3" w:rsidP="001D1C73" w14:paraId="65AACA0D" w14:textId="77777777">
      <w:pPr>
        <w:spacing w:after="0" w:line="240" w:lineRule="auto"/>
        <w:jc w:val="center"/>
        <w:rPr>
          <w:rFonts w:ascii="Arial" w:hAnsi="Arial" w:cs="Arial"/>
        </w:rPr>
      </w:pPr>
      <w:r w:rsidRPr="009139B3">
        <w:rPr>
          <w:rFonts w:ascii="Arial" w:hAnsi="Arial" w:cs="Arial"/>
        </w:rPr>
        <w:t>330 C Street, SW</w:t>
      </w:r>
    </w:p>
    <w:p w:rsidR="001D1C73" w:rsidRPr="009139B3" w:rsidP="001D1C73" w14:paraId="641652FA" w14:textId="77777777">
      <w:pPr>
        <w:spacing w:after="0" w:line="240" w:lineRule="auto"/>
        <w:jc w:val="center"/>
        <w:rPr>
          <w:rFonts w:ascii="Arial" w:hAnsi="Arial" w:cs="Arial"/>
        </w:rPr>
      </w:pPr>
      <w:r w:rsidRPr="009139B3">
        <w:rPr>
          <w:rFonts w:ascii="Arial" w:hAnsi="Arial" w:cs="Arial"/>
        </w:rPr>
        <w:t>Washington, D.C. 20201</w:t>
      </w:r>
    </w:p>
    <w:p w:rsidR="001D1C73" w:rsidRPr="009139B3" w:rsidP="001D1C73" w14:paraId="477A1D22" w14:textId="77777777">
      <w:pPr>
        <w:spacing w:after="0" w:line="240" w:lineRule="auto"/>
        <w:jc w:val="center"/>
        <w:rPr>
          <w:rFonts w:ascii="Arial" w:hAnsi="Arial" w:cs="Arial"/>
        </w:rPr>
      </w:pPr>
    </w:p>
    <w:p w:rsidR="001D1C73" w:rsidRPr="009139B3" w:rsidP="001D1C73" w14:paraId="32BC72CD" w14:textId="409491AE">
      <w:pPr>
        <w:spacing w:after="0" w:line="240" w:lineRule="auto"/>
        <w:jc w:val="center"/>
        <w:rPr>
          <w:rFonts w:ascii="Arial" w:hAnsi="Arial" w:cs="Arial"/>
        </w:rPr>
      </w:pPr>
      <w:r w:rsidRPr="009139B3">
        <w:rPr>
          <w:rFonts w:ascii="Arial" w:hAnsi="Arial" w:cs="Arial"/>
        </w:rPr>
        <w:t>Project Officers:</w:t>
      </w:r>
      <w:r w:rsidR="00966C3A">
        <w:rPr>
          <w:rFonts w:ascii="Arial" w:hAnsi="Arial" w:cs="Arial"/>
        </w:rPr>
        <w:t xml:space="preserve"> Kelly Jedd McKenzie and Harmanpreet Bhatti</w:t>
      </w:r>
    </w:p>
    <w:p w:rsidR="001D1C73" w:rsidRPr="009139B3" w:rsidP="001D1C73" w14:paraId="028CE6F6" w14:textId="77777777">
      <w:pPr>
        <w:spacing w:after="0" w:line="240" w:lineRule="auto"/>
        <w:jc w:val="center"/>
        <w:rPr>
          <w:b/>
        </w:rPr>
      </w:pPr>
    </w:p>
    <w:p w:rsidR="001D1C73" w:rsidRPr="00C0742D" w:rsidP="00C0742D" w14:paraId="2E25A862" w14:textId="5071FFC9">
      <w:pPr>
        <w:spacing w:after="0" w:line="240" w:lineRule="auto"/>
        <w:jc w:val="center"/>
        <w:rPr>
          <w:b/>
          <w:sz w:val="32"/>
          <w:szCs w:val="32"/>
        </w:rPr>
      </w:pPr>
      <w:r w:rsidRPr="009139B3">
        <w:rPr>
          <w:b/>
          <w:sz w:val="32"/>
          <w:szCs w:val="32"/>
        </w:rPr>
        <w:t>Part A</w:t>
      </w:r>
    </w:p>
    <w:p w:rsidR="001D1C73" w:rsidRPr="009139B3" w:rsidP="001D1C73" w14:paraId="75B97ABC" w14:textId="77777777">
      <w:pPr>
        <w:spacing w:after="0" w:line="240" w:lineRule="auto"/>
        <w:rPr>
          <w:b/>
          <w:u w:val="single"/>
        </w:rPr>
      </w:pPr>
    </w:p>
    <w:p w:rsidR="001D1C73" w:rsidRPr="009139B3" w:rsidP="001D1C73" w14:paraId="67A674E8" w14:textId="77777777">
      <w:pPr>
        <w:spacing w:after="0" w:line="240" w:lineRule="auto"/>
        <w:rPr>
          <w:b/>
          <w:sz w:val="28"/>
        </w:rPr>
      </w:pPr>
      <w:r w:rsidRPr="009139B3">
        <w:rPr>
          <w:b/>
          <w:sz w:val="28"/>
          <w:u w:val="single"/>
        </w:rPr>
        <w:t>Executive Summary</w:t>
      </w:r>
    </w:p>
    <w:p w:rsidR="001D1C73" w:rsidRPr="009139B3" w:rsidP="00033B0A" w14:paraId="77DFD6CC" w14:textId="77777777">
      <w:pPr>
        <w:spacing w:after="0"/>
        <w:rPr>
          <w:b/>
        </w:rPr>
      </w:pPr>
    </w:p>
    <w:p w:rsidR="001D1C73" w:rsidRPr="00482B21" w:rsidP="00033B0A" w14:paraId="2634415F" w14:textId="56285331">
      <w:pPr>
        <w:pStyle w:val="ListParagraph"/>
        <w:numPr>
          <w:ilvl w:val="0"/>
          <w:numId w:val="1"/>
        </w:numPr>
        <w:spacing w:after="0"/>
        <w:rPr>
          <w:b/>
        </w:rPr>
      </w:pPr>
      <w:r w:rsidRPr="004F0E0E">
        <w:rPr>
          <w:b/>
        </w:rPr>
        <w:t xml:space="preserve">Type of Request: </w:t>
      </w:r>
      <w:r w:rsidRPr="004F0E0E" w:rsidR="004F0E0E">
        <w:t>This Information Collection Request is for information collect</w:t>
      </w:r>
      <w:r w:rsidR="3E3268D0">
        <w:t>ed</w:t>
      </w:r>
      <w:r w:rsidRPr="004F0E0E" w:rsidR="004F0E0E">
        <w:t xml:space="preserve"> under the umbrella generic, Chafee Strengthening Outcomes for Transition to Adulthood Project Overarching Generic (0970-0618). </w:t>
      </w:r>
    </w:p>
    <w:p w:rsidR="00482B21" w:rsidP="00482B21" w14:paraId="7E4DDE23" w14:textId="77777777">
      <w:pPr>
        <w:pStyle w:val="ListParagraph"/>
        <w:spacing w:after="0"/>
        <w:rPr>
          <w:b/>
        </w:rPr>
      </w:pPr>
    </w:p>
    <w:p w:rsidR="00482B21" w:rsidRPr="00990FCD" w:rsidP="00033B0A" w14:paraId="33D9954F" w14:textId="3CC0D400">
      <w:pPr>
        <w:pStyle w:val="ListParagraph"/>
        <w:numPr>
          <w:ilvl w:val="0"/>
          <w:numId w:val="1"/>
        </w:numPr>
        <w:spacing w:after="0"/>
        <w:rPr>
          <w:bCs/>
        </w:rPr>
      </w:pPr>
      <w:r w:rsidRPr="00990FCD">
        <w:rPr>
          <w:bCs/>
        </w:rPr>
        <w:t xml:space="preserve">ACF is in the process of requesting an extension from OMB for the umbrella generic. The 60-day comment period </w:t>
      </w:r>
      <w:r w:rsidRPr="007D3CE4">
        <w:rPr>
          <w:bCs/>
        </w:rPr>
        <w:t xml:space="preserve">is in process (91 FR </w:t>
      </w:r>
      <w:r w:rsidRPr="007D3CE4" w:rsidR="000F018B">
        <w:rPr>
          <w:bCs/>
        </w:rPr>
        <w:t>22841</w:t>
      </w:r>
      <w:r w:rsidRPr="007D3CE4">
        <w:rPr>
          <w:bCs/>
        </w:rPr>
        <w:t>)</w:t>
      </w:r>
      <w:r w:rsidRPr="00990FCD">
        <w:rPr>
          <w:bCs/>
        </w:rPr>
        <w:t>.</w:t>
      </w:r>
    </w:p>
    <w:p w:rsidR="004F0E0E" w:rsidRPr="004F0E0E" w:rsidP="00033B0A" w14:paraId="6719AC4D" w14:textId="77777777">
      <w:pPr>
        <w:pStyle w:val="ListParagraph"/>
        <w:spacing w:after="0"/>
        <w:rPr>
          <w:rStyle w:val="CommentReference"/>
          <w:b/>
          <w:sz w:val="22"/>
          <w:szCs w:val="22"/>
        </w:rPr>
      </w:pPr>
    </w:p>
    <w:p w:rsidR="001D1C73" w:rsidRPr="009139B3" w:rsidP="00033B0A" w14:paraId="710B436F" w14:textId="77777777">
      <w:pPr>
        <w:pStyle w:val="ListParagraph"/>
        <w:numPr>
          <w:ilvl w:val="0"/>
          <w:numId w:val="1"/>
        </w:numPr>
        <w:spacing w:after="0"/>
      </w:pPr>
      <w:r w:rsidRPr="009139B3">
        <w:rPr>
          <w:b/>
        </w:rPr>
        <w:t xml:space="preserve">Description of Request: </w:t>
      </w:r>
    </w:p>
    <w:p w:rsidR="001445D6" w:rsidP="00033B0A" w14:paraId="2548D428" w14:textId="7EF992E4">
      <w:pPr>
        <w:pStyle w:val="ListParagraph"/>
        <w:spacing w:after="0"/>
        <w:rPr>
          <w:rFonts w:cs="Calibri"/>
        </w:rPr>
      </w:pPr>
      <w:r>
        <w:rPr>
          <w:rStyle w:val="normaltextrun"/>
        </w:rPr>
        <w:t>The purpose of this request is to collect information to evaluate My First Place</w:t>
      </w:r>
      <w:r w:rsidR="006C0EF3">
        <w:rPr>
          <w:rStyle w:val="normaltextrun"/>
        </w:rPr>
        <w:t xml:space="preserve"> (MFP)</w:t>
      </w:r>
      <w:r>
        <w:rPr>
          <w:rStyle w:val="normaltextrun"/>
        </w:rPr>
        <w:t xml:space="preserve">, </w:t>
      </w:r>
      <w:bookmarkStart w:id="0" w:name="_Hlk204691149"/>
      <w:r w:rsidR="002B34F2">
        <w:t>a comprehensive program for young adults ages 18-</w:t>
      </w:r>
      <w:r w:rsidRPr="003426AB" w:rsidR="002B34F2">
        <w:t>25 transitioning out of foster care</w:t>
      </w:r>
      <w:bookmarkEnd w:id="0"/>
      <w:r>
        <w:rPr>
          <w:rFonts w:ascii="Calibri" w:eastAsia="Calibri" w:hAnsi="Calibri" w:cs="Calibri"/>
        </w:rPr>
        <w:t xml:space="preserve">. </w:t>
      </w:r>
      <w:r w:rsidRPr="003426AB" w:rsidR="005D3C02">
        <w:t>MFP has a you</w:t>
      </w:r>
      <w:r w:rsidR="005D3C02">
        <w:t xml:space="preserve">ng adult-centered, team-based, housing and case-management approach. Three central services are provided as part of the MFP program: subsidized stable housing, intensive case management, and education and employment support. </w:t>
      </w:r>
      <w:r w:rsidR="005241EE">
        <w:t xml:space="preserve">To understand the </w:t>
      </w:r>
      <w:r w:rsidR="004617D9">
        <w:t>benefits</w:t>
      </w:r>
      <w:r w:rsidR="005241EE">
        <w:t xml:space="preserve"> of MFP’s approach, we </w:t>
      </w:r>
      <w:r w:rsidR="00D904B8">
        <w:t>w</w:t>
      </w:r>
      <w:r w:rsidR="00165D48">
        <w:t xml:space="preserve">ill </w:t>
      </w:r>
      <w:r w:rsidR="00D30629">
        <w:t xml:space="preserve">collect information from </w:t>
      </w:r>
      <w:r w:rsidR="00DA64DC">
        <w:t xml:space="preserve">MFP </w:t>
      </w:r>
      <w:r w:rsidR="00D30629">
        <w:t xml:space="preserve">participants </w:t>
      </w:r>
      <w:r w:rsidR="00DA64DC">
        <w:t>and young adults in</w:t>
      </w:r>
      <w:r w:rsidR="00C36A94">
        <w:t>volved with</w:t>
      </w:r>
      <w:r w:rsidR="00D30629">
        <w:t xml:space="preserve"> two</w:t>
      </w:r>
      <w:r w:rsidR="00D904B8">
        <w:t xml:space="preserve"> comparison groups</w:t>
      </w:r>
      <w:r w:rsidR="00D30629">
        <w:t>, a housing</w:t>
      </w:r>
      <w:r w:rsidR="009117EC">
        <w:t>-only</w:t>
      </w:r>
      <w:r w:rsidR="00EB3BB9">
        <w:t xml:space="preserve"> time-limited</w:t>
      </w:r>
      <w:r w:rsidR="00D30629">
        <w:t xml:space="preserve"> subsidy program </w:t>
      </w:r>
      <w:r w:rsidR="00EB3BB9">
        <w:t xml:space="preserve">and a </w:t>
      </w:r>
      <w:r w:rsidR="00F142B3">
        <w:t>drop-in</w:t>
      </w:r>
      <w:r w:rsidR="0019127A">
        <w:t xml:space="preserve"> center that provides services</w:t>
      </w:r>
      <w:r w:rsidR="00F142B3">
        <w:t xml:space="preserve"> to young adults who are unstably housed or experiencing homelessness. </w:t>
      </w:r>
      <w:r w:rsidR="003E2913">
        <w:t>Data collection will invol</w:t>
      </w:r>
      <w:r w:rsidR="00C84177">
        <w:t xml:space="preserve">ve </w:t>
      </w:r>
      <w:r w:rsidRPr="00482B21" w:rsidR="00C84177">
        <w:t>three rounds of surveys</w:t>
      </w:r>
      <w:r w:rsidRPr="00482B21" w:rsidR="005A7CC8">
        <w:t>:</w:t>
      </w:r>
      <w:r w:rsidRPr="00482B21" w:rsidR="00C84177">
        <w:t xml:space="preserve"> a baseline, 6-month, and </w:t>
      </w:r>
      <w:r w:rsidRPr="00482B21" w:rsidR="00A25EC6">
        <w:t>9</w:t>
      </w:r>
      <w:r w:rsidRPr="00482B21" w:rsidR="00E3140E">
        <w:t>-</w:t>
      </w:r>
      <w:r w:rsidRPr="00482B21" w:rsidR="00A25EC6">
        <w:t xml:space="preserve"> to </w:t>
      </w:r>
      <w:r w:rsidRPr="00482B21" w:rsidR="00C84177">
        <w:t>12-month follow</w:t>
      </w:r>
      <w:r w:rsidRPr="00482B21" w:rsidR="00043499">
        <w:t>-</w:t>
      </w:r>
      <w:r w:rsidRPr="00482B21" w:rsidR="00C84177">
        <w:t>up survey</w:t>
      </w:r>
      <w:r w:rsidR="00C84177">
        <w:t xml:space="preserve">. </w:t>
      </w:r>
      <w:r>
        <w:rPr>
          <w:rFonts w:ascii="Calibri" w:eastAsia="Calibri" w:hAnsi="Calibri" w:cs="Calibri"/>
        </w:rPr>
        <w:t xml:space="preserve">This study, being conducted by </w:t>
      </w:r>
      <w:r>
        <w:t xml:space="preserve">Administration for Children and Families, </w:t>
      </w:r>
      <w:r>
        <w:rPr>
          <w:rFonts w:cs="Calibri"/>
        </w:rPr>
        <w:t xml:space="preserve">will help build evidence about what works to promote positive </w:t>
      </w:r>
      <w:r w:rsidR="004C2F92">
        <w:rPr>
          <w:rFonts w:cs="Calibri"/>
        </w:rPr>
        <w:t xml:space="preserve">education, employment, and housing </w:t>
      </w:r>
      <w:r>
        <w:rPr>
          <w:rFonts w:cs="Calibri"/>
        </w:rPr>
        <w:t>outcomes for you</w:t>
      </w:r>
      <w:r w:rsidR="000D1184">
        <w:rPr>
          <w:rFonts w:cs="Calibri"/>
        </w:rPr>
        <w:t>ng adults</w:t>
      </w:r>
      <w:r>
        <w:rPr>
          <w:rFonts w:cs="Calibri"/>
        </w:rPr>
        <w:t xml:space="preserve"> transitioning out of foster care into adulthood </w:t>
      </w:r>
      <w:r>
        <w:rPr>
          <w:rFonts w:cstheme="minorHAnsi"/>
        </w:rPr>
        <w:t>and young adults formerly in care who transitioned in the recent past</w:t>
      </w:r>
      <w:r>
        <w:rPr>
          <w:rFonts w:cs="Calibri"/>
        </w:rPr>
        <w:t xml:space="preserve"> (ages 1</w:t>
      </w:r>
      <w:r w:rsidR="00A25EC6">
        <w:rPr>
          <w:rFonts w:cs="Calibri"/>
        </w:rPr>
        <w:t>8</w:t>
      </w:r>
      <w:r>
        <w:rPr>
          <w:rFonts w:cs="Calibri"/>
        </w:rPr>
        <w:t xml:space="preserve">-26). </w:t>
      </w:r>
      <w:r w:rsidR="00B42C67">
        <w:rPr>
          <w:rFonts w:cs="Calibri"/>
        </w:rPr>
        <w:t>This information is not</w:t>
      </w:r>
      <w:r>
        <w:rPr>
          <w:rFonts w:cs="Calibri"/>
        </w:rPr>
        <w:t xml:space="preserve"> intend</w:t>
      </w:r>
      <w:r w:rsidR="00B42C67">
        <w:rPr>
          <w:rFonts w:cs="Calibri"/>
        </w:rPr>
        <w:t>ed</w:t>
      </w:r>
      <w:r>
        <w:rPr>
          <w:rFonts w:cs="Calibri"/>
        </w:rPr>
        <w:t xml:space="preserve"> to be used as the principal basis for public policy decisions. </w:t>
      </w:r>
    </w:p>
    <w:p w:rsidR="001D1C73" w:rsidRPr="009139B3" w:rsidP="00860375" w14:paraId="685C9784" w14:textId="6582FCA9">
      <w:pPr>
        <w:pStyle w:val="ListParagraph"/>
        <w:tabs>
          <w:tab w:val="left" w:pos="4580"/>
        </w:tabs>
        <w:spacing w:after="0"/>
      </w:pPr>
      <w:r>
        <w:tab/>
      </w:r>
    </w:p>
    <w:p w:rsidR="001D1C73" w:rsidRPr="009139B3" w:rsidP="001D1C73" w14:paraId="44585B10" w14:textId="77777777">
      <w:pPr>
        <w:spacing w:after="0" w:line="240" w:lineRule="auto"/>
        <w:rPr>
          <w:b/>
        </w:rPr>
      </w:pPr>
    </w:p>
    <w:p w:rsidR="001D1C73" w:rsidRPr="009139B3" w:rsidP="001D1C73" w14:paraId="0CAA5121" w14:textId="77777777">
      <w:pPr>
        <w:spacing w:after="0" w:line="240" w:lineRule="auto"/>
        <w:rPr>
          <w:b/>
        </w:rPr>
      </w:pPr>
    </w:p>
    <w:p w:rsidR="001D1C73" w:rsidRPr="009139B3" w:rsidP="001D1C73" w14:paraId="7CF70A12" w14:textId="77777777">
      <w:pPr>
        <w:spacing w:after="0"/>
      </w:pPr>
      <w:r w:rsidRPr="009139B3">
        <w:br w:type="page"/>
      </w:r>
    </w:p>
    <w:p w:rsidR="001D1C73" w:rsidRPr="009139B3" w:rsidP="001D1C73" w14:paraId="2C4A3F63" w14:textId="77777777">
      <w:pPr>
        <w:spacing w:after="0" w:line="240" w:lineRule="auto"/>
      </w:pPr>
    </w:p>
    <w:p w:rsidR="00F66104" w:rsidRPr="00F66104" w:rsidP="003A7E85" w14:paraId="5BE8B7E1" w14:textId="335AB8AE">
      <w:pPr>
        <w:spacing w:after="120" w:line="240" w:lineRule="auto"/>
      </w:pPr>
      <w:r w:rsidRPr="009139B3">
        <w:rPr>
          <w:b/>
        </w:rPr>
        <w:t>A1</w:t>
      </w:r>
      <w:r w:rsidRPr="009139B3">
        <w:t>.</w:t>
      </w:r>
      <w:r w:rsidRPr="009139B3">
        <w:tab/>
      </w:r>
      <w:r w:rsidRPr="009139B3">
        <w:rPr>
          <w:b/>
        </w:rPr>
        <w:t>Necessity for Collection</w:t>
      </w:r>
      <w:r w:rsidRPr="009139B3">
        <w:t xml:space="preserve"> </w:t>
      </w:r>
    </w:p>
    <w:p w:rsidR="006F1EE0" w:rsidP="006F1EE0" w14:paraId="2520F029" w14:textId="6CCA512B">
      <w:pPr>
        <w:pStyle w:val="Heading3"/>
        <w:spacing w:before="0"/>
        <w:rPr>
          <w:rFonts w:asciiTheme="minorHAnsi" w:hAnsiTheme="minorHAnsi" w:cstheme="minorHAnsi"/>
          <w:color w:val="auto"/>
          <w:sz w:val="22"/>
          <w:szCs w:val="22"/>
        </w:rPr>
      </w:pPr>
      <w:r w:rsidRPr="002C7E77">
        <w:rPr>
          <w:rFonts w:asciiTheme="minorHAnsi" w:hAnsiTheme="minorHAnsi" w:cstheme="minorHAnsi"/>
          <w:color w:val="auto"/>
          <w:sz w:val="22"/>
          <w:szCs w:val="22"/>
        </w:rPr>
        <w:t>The Administration for Children and Families is proposing an individual information collection request (</w:t>
      </w:r>
      <w:r w:rsidRPr="002C7E77">
        <w:rPr>
          <w:rFonts w:asciiTheme="minorHAnsi" w:hAnsiTheme="minorHAnsi" w:cstheme="minorHAnsi"/>
          <w:color w:val="auto"/>
          <w:sz w:val="22"/>
          <w:szCs w:val="22"/>
        </w:rPr>
        <w:t>GenIC</w:t>
      </w:r>
      <w:r w:rsidRPr="002C7E77">
        <w:rPr>
          <w:rFonts w:asciiTheme="minorHAnsi" w:hAnsiTheme="minorHAnsi" w:cstheme="minorHAnsi"/>
          <w:color w:val="auto"/>
          <w:sz w:val="22"/>
          <w:szCs w:val="22"/>
        </w:rPr>
        <w:t xml:space="preserve">) under the </w:t>
      </w:r>
      <w:r w:rsidRPr="003A7E85">
        <w:rPr>
          <w:rFonts w:asciiTheme="minorHAnsi" w:hAnsiTheme="minorHAnsi" w:cstheme="minorHAnsi"/>
          <w:color w:val="auto"/>
          <w:sz w:val="22"/>
          <w:szCs w:val="22"/>
        </w:rPr>
        <w:t>Chafee Strengthening Outcomes for Transition to Adulthood Project Overarching Generic</w:t>
      </w:r>
      <w:r w:rsidR="00782F9F">
        <w:rPr>
          <w:rFonts w:asciiTheme="minorHAnsi" w:hAnsiTheme="minorHAnsi" w:cstheme="minorHAnsi"/>
          <w:color w:val="auto"/>
          <w:sz w:val="22"/>
          <w:szCs w:val="22"/>
        </w:rPr>
        <w:t>, which was established in 2023</w:t>
      </w:r>
      <w:r w:rsidRPr="003A7E85">
        <w:rPr>
          <w:rFonts w:asciiTheme="minorHAnsi" w:hAnsiTheme="minorHAnsi" w:cstheme="minorHAnsi"/>
          <w:color w:val="auto"/>
          <w:sz w:val="22"/>
          <w:szCs w:val="22"/>
        </w:rPr>
        <w:t>.</w:t>
      </w:r>
    </w:p>
    <w:p w:rsidR="006F1EE0" w:rsidRPr="003A7E85" w:rsidP="003A7E85" w14:paraId="04E1865F" w14:textId="77777777">
      <w:pPr>
        <w:spacing w:after="0"/>
      </w:pPr>
    </w:p>
    <w:p w:rsidR="006F1EE0" w:rsidRPr="003A7E85" w:rsidP="003A7E85" w14:paraId="152899E9" w14:textId="77777777">
      <w:pPr>
        <w:pStyle w:val="Heading3"/>
        <w:spacing w:before="0" w:after="60"/>
        <w:contextualSpacing/>
        <w:rPr>
          <w:rFonts w:asciiTheme="minorHAnsi" w:hAnsiTheme="minorHAnsi" w:cstheme="minorHAnsi"/>
          <w:i/>
          <w:iCs/>
          <w:color w:val="auto"/>
          <w:sz w:val="22"/>
          <w:szCs w:val="22"/>
        </w:rPr>
      </w:pPr>
      <w:r w:rsidRPr="006F1EE0">
        <w:rPr>
          <w:rFonts w:asciiTheme="minorHAnsi" w:hAnsiTheme="minorHAnsi" w:cstheme="minorHAnsi"/>
          <w:i/>
          <w:iCs/>
          <w:color w:val="auto"/>
          <w:sz w:val="22"/>
          <w:szCs w:val="22"/>
        </w:rPr>
        <w:t>Background</w:t>
      </w:r>
    </w:p>
    <w:p w:rsidR="00232685" w:rsidP="001252D7" w14:paraId="19A3F4A7" w14:textId="1EC8B731">
      <w:pPr>
        <w:pStyle w:val="Heading3"/>
        <w:spacing w:before="0"/>
        <w:rPr>
          <w:rFonts w:asciiTheme="minorHAnsi" w:hAnsiTheme="minorHAnsi" w:cstheme="minorHAnsi"/>
          <w:color w:val="auto"/>
          <w:sz w:val="22"/>
          <w:szCs w:val="22"/>
        </w:rPr>
      </w:pPr>
      <w:r w:rsidRPr="006F1EE0">
        <w:rPr>
          <w:rFonts w:asciiTheme="minorHAnsi" w:hAnsiTheme="minorHAnsi" w:cstheme="minorHAnsi"/>
          <w:color w:val="auto"/>
          <w:sz w:val="22"/>
          <w:szCs w:val="22"/>
        </w:rPr>
        <w:t>The</w:t>
      </w:r>
      <w:r w:rsidRPr="00C2054A">
        <w:rPr>
          <w:rFonts w:asciiTheme="minorHAnsi" w:hAnsiTheme="minorHAnsi" w:cstheme="minorHAnsi"/>
          <w:color w:val="auto"/>
          <w:sz w:val="22"/>
          <w:szCs w:val="22"/>
        </w:rPr>
        <w:t xml:space="preserve"> John H. Chafee Foster Care Program for Successful Transition to Adulthood (Chafee program) </w:t>
      </w:r>
      <w:r>
        <w:rPr>
          <w:rFonts w:asciiTheme="minorHAnsi" w:hAnsiTheme="minorHAnsi" w:cstheme="minorHAnsi"/>
          <w:color w:val="auto"/>
          <w:sz w:val="22"/>
          <w:szCs w:val="22"/>
        </w:rPr>
        <w:t>funds</w:t>
      </w:r>
      <w:r w:rsidRPr="00C2054A">
        <w:rPr>
          <w:rFonts w:asciiTheme="minorHAnsi" w:hAnsiTheme="minorHAnsi" w:cstheme="minorHAnsi"/>
          <w:color w:val="auto"/>
          <w:sz w:val="22"/>
          <w:szCs w:val="22"/>
        </w:rPr>
        <w:t xml:space="preserve"> state and tribal programs that help you</w:t>
      </w:r>
      <w:r w:rsidR="000D1184">
        <w:rPr>
          <w:rFonts w:asciiTheme="minorHAnsi" w:hAnsiTheme="minorHAnsi" w:cstheme="minorHAnsi"/>
          <w:color w:val="auto"/>
          <w:sz w:val="22"/>
          <w:szCs w:val="22"/>
        </w:rPr>
        <w:t>ng adults</w:t>
      </w:r>
      <w:r w:rsidRPr="00C2054A">
        <w:rPr>
          <w:rFonts w:asciiTheme="minorHAnsi" w:hAnsiTheme="minorHAnsi" w:cstheme="minorHAnsi"/>
          <w:color w:val="auto"/>
          <w:sz w:val="22"/>
          <w:szCs w:val="22"/>
        </w:rPr>
        <w:t xml:space="preserve"> transitioning out of foster care</w:t>
      </w:r>
      <w:r>
        <w:rPr>
          <w:rStyle w:val="FootnoteReference"/>
          <w:rFonts w:asciiTheme="minorHAnsi" w:hAnsiTheme="minorHAnsi" w:cstheme="minorHAnsi"/>
          <w:color w:val="auto"/>
          <w:sz w:val="22"/>
          <w:szCs w:val="22"/>
        </w:rPr>
        <w:footnoteReference w:id="2"/>
      </w:r>
      <w:r w:rsidRPr="00C2054A">
        <w:rPr>
          <w:rFonts w:asciiTheme="minorHAnsi" w:hAnsiTheme="minorHAnsi" w:cstheme="minorHAnsi"/>
          <w:color w:val="auto"/>
          <w:sz w:val="22"/>
          <w:szCs w:val="22"/>
        </w:rPr>
        <w:t xml:space="preserve"> achieve self-sufficiency. When the Chafee program</w:t>
      </w:r>
      <w:r>
        <w:rPr>
          <w:rFonts w:asciiTheme="minorHAnsi" w:hAnsiTheme="minorHAnsi" w:cstheme="minorHAnsi"/>
          <w:color w:val="auto"/>
          <w:sz w:val="22"/>
          <w:szCs w:val="22"/>
        </w:rPr>
        <w:t xml:space="preserve"> was</w:t>
      </w:r>
      <w:r w:rsidRPr="00C2054A">
        <w:rPr>
          <w:rFonts w:asciiTheme="minorHAnsi" w:hAnsiTheme="minorHAnsi" w:cstheme="minorHAnsi"/>
          <w:color w:val="auto"/>
          <w:sz w:val="22"/>
          <w:szCs w:val="22"/>
        </w:rPr>
        <w:t xml:space="preserve"> </w:t>
      </w:r>
      <w:r w:rsidRPr="00CE1C63">
        <w:rPr>
          <w:rFonts w:asciiTheme="minorHAnsi" w:hAnsiTheme="minorHAnsi" w:cstheme="minorHAnsi"/>
          <w:color w:val="auto"/>
          <w:sz w:val="22"/>
          <w:szCs w:val="22"/>
        </w:rPr>
        <w:t>created following the passage of the Foster Care Independence Act (FCIA) of 1999 (Public Law 106-169)</w:t>
      </w:r>
      <w:r>
        <w:rPr>
          <w:rFonts w:asciiTheme="minorHAnsi" w:hAnsiTheme="minorHAnsi" w:cstheme="minorHAnsi"/>
          <w:color w:val="auto"/>
          <w:sz w:val="22"/>
          <w:szCs w:val="22"/>
        </w:rPr>
        <w:t xml:space="preserve">, </w:t>
      </w:r>
      <w:r w:rsidRPr="00C2054A">
        <w:rPr>
          <w:rFonts w:asciiTheme="minorHAnsi" w:hAnsiTheme="minorHAnsi" w:cstheme="minorHAnsi"/>
          <w:color w:val="auto"/>
          <w:sz w:val="22"/>
          <w:szCs w:val="22"/>
        </w:rPr>
        <w:t>the legislation required that a small percentage of funding be set aside for rigorous evaluations of</w:t>
      </w:r>
      <w:r w:rsidRPr="00CE1C63">
        <w:t xml:space="preserve"> </w:t>
      </w:r>
      <w:r w:rsidRPr="00CE1C63">
        <w:rPr>
          <w:rFonts w:asciiTheme="minorHAnsi" w:hAnsiTheme="minorHAnsi" w:cstheme="minorHAnsi"/>
          <w:color w:val="auto"/>
          <w:sz w:val="22"/>
          <w:szCs w:val="22"/>
        </w:rPr>
        <w:t>independent living programs that are “innovative or of potential national significance.”</w:t>
      </w:r>
      <w:r>
        <w:rPr>
          <w:rFonts w:asciiTheme="minorHAnsi" w:hAnsiTheme="minorHAnsi" w:cstheme="minorHAnsi"/>
          <w:color w:val="auto"/>
          <w:sz w:val="22"/>
          <w:szCs w:val="22"/>
        </w:rPr>
        <w:t xml:space="preserve"> </w:t>
      </w:r>
    </w:p>
    <w:p w:rsidR="001252D7" w:rsidRPr="001252D7" w:rsidP="004617D9" w14:paraId="756E15EB" w14:textId="77777777">
      <w:pPr>
        <w:spacing w:after="0"/>
      </w:pPr>
    </w:p>
    <w:p w:rsidR="00E31C86" w:rsidP="00232685" w14:paraId="5A59960C" w14:textId="088F36CB">
      <w:pPr>
        <w:spacing w:after="0"/>
      </w:pPr>
      <w:r>
        <w:t xml:space="preserve">In keeping with this directive, </w:t>
      </w:r>
      <w:r w:rsidR="0054696F">
        <w:t>ACF</w:t>
      </w:r>
      <w:r w:rsidRPr="00B214A3">
        <w:t xml:space="preserve"> </w:t>
      </w:r>
      <w:r>
        <w:t>is</w:t>
      </w:r>
      <w:r w:rsidRPr="00B214A3">
        <w:t xml:space="preserve"> conduct</w:t>
      </w:r>
      <w:r>
        <w:t>ing</w:t>
      </w:r>
      <w:r w:rsidRPr="00B214A3">
        <w:t xml:space="preserve"> the</w:t>
      </w:r>
      <w:r>
        <w:t xml:space="preserve"> Chafee Strengthening Outcomes for Transition to Adulthood (Chafee SOTA) project, which</w:t>
      </w:r>
      <w:r>
        <w:rPr>
          <w:rFonts w:cstheme="minorHAnsi"/>
        </w:rPr>
        <w:t xml:space="preserve"> aims to u</w:t>
      </w:r>
      <w:r w:rsidRPr="006C6638">
        <w:rPr>
          <w:rFonts w:cstheme="minorHAnsi"/>
        </w:rPr>
        <w:t>tilize innovative methods for testing promising practices in programs serving you</w:t>
      </w:r>
      <w:r w:rsidR="00F10CEA">
        <w:rPr>
          <w:rFonts w:cstheme="minorHAnsi"/>
        </w:rPr>
        <w:t>ng adults</w:t>
      </w:r>
      <w:r w:rsidRPr="006C6638">
        <w:rPr>
          <w:rFonts w:cstheme="minorHAnsi"/>
        </w:rPr>
        <w:t xml:space="preserve"> transitioning out of foster care</w:t>
      </w:r>
      <w:r>
        <w:rPr>
          <w:rFonts w:cstheme="minorHAnsi"/>
        </w:rPr>
        <w:t>, and to i</w:t>
      </w:r>
      <w:r w:rsidRPr="006C6638">
        <w:rPr>
          <w:rFonts w:cstheme="minorHAnsi"/>
        </w:rPr>
        <w:t>mprove the feasibility and rigor of evaluations that test the effectiveness of program services or components</w:t>
      </w:r>
      <w:r>
        <w:rPr>
          <w:rFonts w:cstheme="minorHAnsi"/>
        </w:rPr>
        <w:t xml:space="preserve">. </w:t>
      </w:r>
      <w:r>
        <w:t xml:space="preserve">The Chafee SOTA project builds on prior </w:t>
      </w:r>
      <w:r w:rsidR="004617D9">
        <w:t>ACF</w:t>
      </w:r>
      <w:r>
        <w:t xml:space="preserve"> evaluations, which observed that</w:t>
      </w:r>
      <w:r w:rsidRPr="00E75179">
        <w:t xml:space="preserve"> for many programs, traditional, large-scale impact evaluations were not feasible due to issues such as program size, lack of appropriate comparison groups, or implementation challenges.</w:t>
      </w:r>
      <w:r>
        <w:t xml:space="preserve"> </w:t>
      </w:r>
    </w:p>
    <w:p w:rsidR="00E31C86" w:rsidP="00232685" w14:paraId="621F7E81" w14:textId="77777777">
      <w:pPr>
        <w:spacing w:after="0"/>
      </w:pPr>
    </w:p>
    <w:p w:rsidR="00232685" w:rsidP="00232685" w14:paraId="41ED5933" w14:textId="0025225E">
      <w:pPr>
        <w:spacing w:after="0"/>
        <w:rPr>
          <w:rFonts w:cstheme="minorHAnsi"/>
        </w:rPr>
      </w:pPr>
      <w:r>
        <w:t>The Chafee SOTA project will conduct evaluations of the effectiveness of program services and components in improving outcomes for youth transitioning out of foster care.  To address the common evaluation challenges previously identified, the</w:t>
      </w:r>
      <w:r w:rsidR="004524FD">
        <w:t xml:space="preserve"> Chafee SOTA</w:t>
      </w:r>
      <w:r>
        <w:t xml:space="preserve"> evaluation utilize</w:t>
      </w:r>
      <w:r w:rsidR="004524FD">
        <w:t>s</w:t>
      </w:r>
      <w:r>
        <w:t xml:space="preserve"> innovative methods tailored to each program, including rapid cycle learning techniques that require an iterative approach. </w:t>
      </w:r>
      <w:r w:rsidR="00E31C86">
        <w:t xml:space="preserve">To conduct this work, </w:t>
      </w:r>
      <w:r w:rsidR="004617D9">
        <w:t>ACF</w:t>
      </w:r>
      <w:r w:rsidR="00E31C86">
        <w:t xml:space="preserve"> submitted and had approved the </w:t>
      </w:r>
      <w:r w:rsidR="00E31C86">
        <w:rPr>
          <w:b/>
          <w:bCs/>
        </w:rPr>
        <w:t>Chafee SOTA</w:t>
      </w:r>
      <w:r w:rsidRPr="00E31C86" w:rsidR="00E31C86">
        <w:rPr>
          <w:b/>
          <w:bCs/>
        </w:rPr>
        <w:t xml:space="preserve"> Project Overarching Generic</w:t>
      </w:r>
      <w:r w:rsidR="00E31C86">
        <w:rPr>
          <w:b/>
          <w:bCs/>
        </w:rPr>
        <w:t xml:space="preserve">. </w:t>
      </w:r>
      <w:r w:rsidRPr="003A7E85" w:rsidR="00E31C86">
        <w:t xml:space="preserve">The overarching approval provides information about the types of data collections and </w:t>
      </w:r>
      <w:r w:rsidRPr="003A7E85" w:rsidR="00E31C86">
        <w:t>respondents</w:t>
      </w:r>
      <w:r w:rsidRPr="003A7E85" w:rsidR="00E31C86">
        <w:t xml:space="preserve"> and the </w:t>
      </w:r>
      <w:r w:rsidRPr="00990FCD" w:rsidR="00E31C86">
        <w:t xml:space="preserve">team </w:t>
      </w:r>
      <w:r w:rsidRPr="00990FCD" w:rsidR="006F1EE0">
        <w:t xml:space="preserve">now </w:t>
      </w:r>
      <w:r w:rsidRPr="00990FCD" w:rsidR="00E31C86">
        <w:t>has the ability to</w:t>
      </w:r>
      <w:r w:rsidRPr="00990FCD" w:rsidR="006F1EE0">
        <w:t xml:space="preserve"> submit individual requests to</w:t>
      </w:r>
      <w:r w:rsidRPr="00990FCD" w:rsidR="00E31C86">
        <w:t xml:space="preserve"> complete rapid cycle learning techniques and to tailor instruments to each study. The overarching generic is currently in process for an extension request (</w:t>
      </w:r>
      <w:r w:rsidRPr="007D3CE4" w:rsidR="00E31C86">
        <w:t xml:space="preserve">91 FR </w:t>
      </w:r>
      <w:r w:rsidRPr="00990FCD" w:rsidR="008C0A03">
        <w:t>22841</w:t>
      </w:r>
      <w:r w:rsidRPr="00990FCD" w:rsidR="00E31C86">
        <w:t>).</w:t>
      </w:r>
    </w:p>
    <w:p w:rsidR="00232685" w:rsidRPr="00E75179" w:rsidP="00232685" w14:paraId="4983CBA6" w14:textId="77777777">
      <w:pPr>
        <w:spacing w:after="0"/>
        <w:rPr>
          <w:rFonts w:cs="Times New Roman"/>
          <w:color w:val="C00000"/>
          <w:szCs w:val="24"/>
        </w:rPr>
      </w:pPr>
    </w:p>
    <w:p w:rsidR="003A7E85" w:rsidP="00A372ED" w14:paraId="7E034805" w14:textId="5E3811EA">
      <w:pPr>
        <w:spacing w:after="0"/>
        <w:rPr>
          <w:rFonts w:cstheme="minorHAnsi"/>
        </w:rPr>
      </w:pPr>
      <w:r>
        <w:t xml:space="preserve">This </w:t>
      </w:r>
      <w:r w:rsidR="006F1EE0">
        <w:t>GenIC</w:t>
      </w:r>
      <w:r>
        <w:t xml:space="preserve"> is necessary to allow the Chafee SOTA project team to collect data for an evaluation of My First Place</w:t>
      </w:r>
      <w:r w:rsidR="004A0E5F">
        <w:t xml:space="preserve"> (MFP)</w:t>
      </w:r>
      <w:r>
        <w:t xml:space="preserve">, a comprehensive program providing housing, </w:t>
      </w:r>
      <w:r w:rsidR="005A5D6A">
        <w:t xml:space="preserve">intensive </w:t>
      </w:r>
      <w:r>
        <w:t>case management, employment</w:t>
      </w:r>
      <w:r w:rsidR="005A5D6A">
        <w:t>,</w:t>
      </w:r>
      <w:r>
        <w:t xml:space="preserve"> and education supports for young adults age 18-</w:t>
      </w:r>
      <w:r w:rsidRPr="003426AB">
        <w:t>25 transitioning out of foster care</w:t>
      </w:r>
      <w:r>
        <w:t xml:space="preserve">. </w:t>
      </w:r>
    </w:p>
    <w:p w:rsidR="001D1C73" w:rsidP="001D1C73" w14:paraId="3706DD4E" w14:textId="77777777">
      <w:pPr>
        <w:pStyle w:val="ListParagraph"/>
        <w:spacing w:after="0" w:line="240" w:lineRule="auto"/>
        <w:ind w:left="360"/>
      </w:pPr>
    </w:p>
    <w:p w:rsidR="001D1386" w:rsidP="001D1C73" w14:paraId="426D48BB" w14:textId="77777777">
      <w:pPr>
        <w:pStyle w:val="ListParagraph"/>
        <w:spacing w:after="0" w:line="240" w:lineRule="auto"/>
        <w:ind w:left="360"/>
      </w:pPr>
    </w:p>
    <w:p w:rsidR="001D1386" w:rsidRPr="009139B3" w:rsidP="001D1C73" w14:paraId="1A466F42" w14:textId="77777777">
      <w:pPr>
        <w:pStyle w:val="ListParagraph"/>
        <w:spacing w:after="0" w:line="240" w:lineRule="auto"/>
        <w:ind w:left="360"/>
      </w:pPr>
    </w:p>
    <w:p w:rsidR="001D1C73" w:rsidRPr="009139B3" w:rsidP="001D1C73" w14:paraId="1D64CC0F" w14:textId="77777777">
      <w:pPr>
        <w:spacing w:after="120" w:line="240" w:lineRule="auto"/>
        <w:rPr>
          <w:b/>
        </w:rPr>
      </w:pPr>
      <w:r w:rsidRPr="009139B3">
        <w:rPr>
          <w:b/>
        </w:rPr>
        <w:t>A2</w:t>
      </w:r>
      <w:r w:rsidRPr="009139B3">
        <w:t>.</w:t>
      </w:r>
      <w:r w:rsidRPr="009139B3">
        <w:tab/>
      </w:r>
      <w:r w:rsidRPr="009139B3">
        <w:rPr>
          <w:b/>
        </w:rPr>
        <w:t>Purpose</w:t>
      </w:r>
    </w:p>
    <w:p w:rsidR="001D1C73" w:rsidP="003A7E85" w14:paraId="3EF5234E" w14:textId="1DF38B9A">
      <w:pPr>
        <w:spacing w:after="60"/>
        <w:rPr>
          <w:i/>
        </w:rPr>
      </w:pPr>
      <w:r w:rsidRPr="009139B3">
        <w:rPr>
          <w:i/>
        </w:rPr>
        <w:t xml:space="preserve">Purpose and Use </w:t>
      </w:r>
    </w:p>
    <w:p w:rsidR="00760F7E" w:rsidP="006F1EE0" w14:paraId="78C5A8F6" w14:textId="64C35907">
      <w:pPr>
        <w:spacing w:after="0"/>
      </w:pPr>
      <w:r>
        <w:t xml:space="preserve">This </w:t>
      </w:r>
      <w:r>
        <w:t>GenIC</w:t>
      </w:r>
      <w:r>
        <w:t xml:space="preserve"> will provide </w:t>
      </w:r>
      <w:r w:rsidR="0066211C">
        <w:t>information t</w:t>
      </w:r>
      <w:r>
        <w:t>hat</w:t>
      </w:r>
      <w:r w:rsidR="0066211C">
        <w:t xml:space="preserve"> will be used to </w:t>
      </w:r>
      <w:r w:rsidR="00DE1B31">
        <w:t>evaluate</w:t>
      </w:r>
      <w:r w:rsidR="0066211C">
        <w:t xml:space="preserve"> the impact of MFP</w:t>
      </w:r>
      <w:r w:rsidR="00DE1B31">
        <w:t xml:space="preserve"> on </w:t>
      </w:r>
      <w:r w:rsidR="007D6930">
        <w:t>housing, education, and employment outcomes</w:t>
      </w:r>
      <w:r w:rsidR="00A81C70">
        <w:t xml:space="preserve"> in a specific location</w:t>
      </w:r>
      <w:r w:rsidR="007D6930">
        <w:t xml:space="preserve">. </w:t>
      </w:r>
      <w:r w:rsidRPr="003426AB">
        <w:t>MFP</w:t>
      </w:r>
      <w:r w:rsidR="00FD02BE">
        <w:t>, headquartered in Oakland, CA and implemented in six California counties,</w:t>
      </w:r>
      <w:r w:rsidRPr="003426AB">
        <w:t xml:space="preserve"> has a you</w:t>
      </w:r>
      <w:r>
        <w:t xml:space="preserve">ng adult-centered, team-based, housing and case-management approach. Three central services are provided as part of the MFP program: subsidized stable housing, intensive case management, and education and employment support. The average time young adults spend in the program is 18 months. </w:t>
      </w:r>
      <w:r w:rsidR="004B5820">
        <w:t xml:space="preserve">Los Angeles (LA) County’s </w:t>
      </w:r>
      <w:r w:rsidR="001446F8">
        <w:t>MFP progra</w:t>
      </w:r>
      <w:r w:rsidR="00297DFF">
        <w:t>m</w:t>
      </w:r>
      <w:r w:rsidR="001446F8">
        <w:t xml:space="preserve"> has been selected as the focus of this research. </w:t>
      </w:r>
    </w:p>
    <w:p w:rsidR="006F1EE0" w:rsidP="003A7E85" w14:paraId="65C186B6" w14:textId="77777777">
      <w:pPr>
        <w:spacing w:after="0"/>
      </w:pPr>
    </w:p>
    <w:p w:rsidR="00883326" w:rsidP="006F1EE0" w14:paraId="524317F1" w14:textId="466981C3">
      <w:pPr>
        <w:spacing w:after="0"/>
      </w:pPr>
      <w:r>
        <w:t xml:space="preserve">This study will examine MFP’s effectiveness in supporting young adults transitioning from foster </w:t>
      </w:r>
      <w:r w:rsidRPr="00C8622C">
        <w:t>care in achieving housing stability and positive education and/or employment outcomes</w:t>
      </w:r>
      <w:r w:rsidR="00A81C70">
        <w:t xml:space="preserve"> in Los Angeles</w:t>
      </w:r>
      <w:r w:rsidRPr="00C8622C">
        <w:t xml:space="preserve">. </w:t>
      </w:r>
      <w:r>
        <w:t>W</w:t>
      </w:r>
      <w:r w:rsidRPr="00074D76">
        <w:t xml:space="preserve">e will collect and analyze primary </w:t>
      </w:r>
      <w:r>
        <w:t xml:space="preserve">survey </w:t>
      </w:r>
      <w:r w:rsidRPr="00074D76">
        <w:t>data from MFP participants and two comparison groups—</w:t>
      </w:r>
      <w:r>
        <w:t xml:space="preserve">young adults </w:t>
      </w:r>
      <w:r w:rsidRPr="00074D76">
        <w:t xml:space="preserve">receiving housing assistance without intensive services and </w:t>
      </w:r>
      <w:r>
        <w:t xml:space="preserve">young adults </w:t>
      </w:r>
      <w:r w:rsidRPr="00074D76">
        <w:t xml:space="preserve">receiving </w:t>
      </w:r>
      <w:r w:rsidRPr="00074D76">
        <w:t xml:space="preserve">services </w:t>
      </w:r>
      <w:r>
        <w:t>without a linked housing component</w:t>
      </w:r>
      <w:r w:rsidRPr="00074D76">
        <w:t>.</w:t>
      </w:r>
    </w:p>
    <w:p w:rsidR="006F1EE0" w:rsidP="003A7E85" w14:paraId="734B7B30" w14:textId="77777777">
      <w:pPr>
        <w:spacing w:after="0"/>
      </w:pPr>
    </w:p>
    <w:p w:rsidR="00BF30C7" w:rsidRPr="00546445" w:rsidP="0000243A" w14:paraId="2DF2A314" w14:textId="17D0DACD">
      <w:pPr>
        <w:spacing w:after="0"/>
        <w:rPr>
          <w:rFonts w:cs="Times New Roman"/>
          <w:szCs w:val="24"/>
        </w:rPr>
      </w:pPr>
      <w:r w:rsidRPr="00546445">
        <w:rPr>
          <w:rFonts w:cs="Times New Roman"/>
          <w:szCs w:val="24"/>
        </w:rPr>
        <w:t xml:space="preserve">These data collection activities </w:t>
      </w:r>
      <w:r>
        <w:rPr>
          <w:rFonts w:cs="Times New Roman"/>
          <w:szCs w:val="24"/>
        </w:rPr>
        <w:t xml:space="preserve">will </w:t>
      </w:r>
      <w:r w:rsidRPr="00546445">
        <w:rPr>
          <w:rFonts w:cs="Times New Roman"/>
          <w:szCs w:val="24"/>
        </w:rPr>
        <w:t xml:space="preserve">allow the team to gather structured in-depth information to understand </w:t>
      </w:r>
      <w:r w:rsidR="0054696F">
        <w:rPr>
          <w:rFonts w:cs="Times New Roman"/>
          <w:szCs w:val="24"/>
        </w:rPr>
        <w:t xml:space="preserve">the assistance young adults receive and their </w:t>
      </w:r>
      <w:r w:rsidRPr="00546445">
        <w:rPr>
          <w:rFonts w:cs="Times New Roman"/>
          <w:szCs w:val="24"/>
        </w:rPr>
        <w:t xml:space="preserve">associated outcomes. </w:t>
      </w:r>
    </w:p>
    <w:p w:rsidR="00BF30C7" w:rsidRPr="00BF30C7" w:rsidP="0000243A" w14:paraId="5693732B" w14:textId="77777777">
      <w:pPr>
        <w:spacing w:after="0"/>
        <w:rPr>
          <w:rFonts w:cs="Times New Roman"/>
          <w:szCs w:val="24"/>
        </w:rPr>
      </w:pPr>
    </w:p>
    <w:p w:rsidR="001D1C73" w:rsidRPr="00823BF6" w:rsidP="0000243A" w14:paraId="5D584897" w14:textId="4E708740">
      <w:pPr>
        <w:spacing w:after="0"/>
      </w:pPr>
      <w:r>
        <w:t xml:space="preserve">While it is our intention for the findings </w:t>
      </w:r>
      <w:r w:rsidR="00A434B7">
        <w:t>of this evaluation</w:t>
      </w:r>
      <w:r>
        <w:t xml:space="preserve"> to provide information that could be useful in the design and operation of </w:t>
      </w:r>
      <w:r w:rsidR="00936A64">
        <w:t xml:space="preserve">other </w:t>
      </w:r>
      <w:r>
        <w:t xml:space="preserve">programs that provide similar </w:t>
      </w:r>
      <w:r w:rsidR="00936A64">
        <w:t xml:space="preserve">intensive case management, housing, employment and education </w:t>
      </w:r>
      <w:r>
        <w:t>services to similar populations, the specific findings will only be suggestive and preliminary, based on this research</w:t>
      </w:r>
      <w:r w:rsidRPr="00C4312C">
        <w:t>.</w:t>
      </w:r>
      <w:r>
        <w:t xml:space="preserve"> The limitations of such findings will be made clear in any related communications.</w:t>
      </w:r>
      <w:r w:rsidR="00823BF6">
        <w:t xml:space="preserve"> </w:t>
      </w:r>
      <w:r w:rsidRPr="009139B3">
        <w:rPr>
          <w:rFonts w:cs="Calibr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1D1C73" w:rsidRPr="009139B3" w:rsidP="001D1C73" w14:paraId="1EE5C038" w14:textId="77777777">
      <w:pPr>
        <w:spacing w:after="0" w:line="240" w:lineRule="auto"/>
        <w:rPr>
          <w:i/>
        </w:rPr>
      </w:pPr>
    </w:p>
    <w:p w:rsidR="001D1C73" w:rsidRPr="009139B3" w:rsidP="005D5370" w14:paraId="6F0BE561" w14:textId="77777777">
      <w:pPr>
        <w:spacing w:after="60" w:line="240" w:lineRule="auto"/>
        <w:rPr>
          <w:i/>
        </w:rPr>
      </w:pPr>
      <w:r w:rsidRPr="009139B3">
        <w:rPr>
          <w:i/>
        </w:rPr>
        <w:t>Research Questions or Tests</w:t>
      </w:r>
    </w:p>
    <w:p w:rsidR="00C95D7E" w:rsidP="00A81C70" w14:paraId="6F91183D" w14:textId="701E4774">
      <w:pPr>
        <w:spacing w:after="120"/>
        <w:rPr>
          <w:rFonts w:cs="Times New Roman"/>
          <w:szCs w:val="24"/>
        </w:rPr>
      </w:pPr>
      <w:r w:rsidRPr="00C95D7E">
        <w:rPr>
          <w:rFonts w:cs="Times New Roman"/>
          <w:szCs w:val="24"/>
        </w:rPr>
        <w:t xml:space="preserve">The key research question that we will address through an evaluation of MFP using a non-equivalent group design and propensity score analysis </w:t>
      </w:r>
      <w:r w:rsidR="00002910">
        <w:rPr>
          <w:rFonts w:cs="Times New Roman"/>
          <w:szCs w:val="24"/>
        </w:rPr>
        <w:t>is</w:t>
      </w:r>
      <w:r w:rsidRPr="00C95D7E">
        <w:rPr>
          <w:rFonts w:cs="Times New Roman"/>
          <w:szCs w:val="24"/>
        </w:rPr>
        <w:t>: </w:t>
      </w:r>
    </w:p>
    <w:p w:rsidR="00C95D7E" w:rsidP="00C95D7E" w14:paraId="58AC29C7" w14:textId="5AF81C6A">
      <w:pPr>
        <w:numPr>
          <w:ilvl w:val="0"/>
          <w:numId w:val="10"/>
        </w:numPr>
        <w:spacing w:after="0"/>
        <w:rPr>
          <w:rFonts w:cs="Times New Roman"/>
          <w:szCs w:val="24"/>
        </w:rPr>
      </w:pPr>
      <w:r w:rsidRPr="00C95D7E">
        <w:rPr>
          <w:rFonts w:cs="Times New Roman"/>
          <w:szCs w:val="24"/>
        </w:rPr>
        <w:t>How effective is an intensive housing and multiple support program compared to housing alone and services as usual in achieving housing stability, improvements in education and employment outcomes, and improvements in well-being for young adults transitioning from foster care? </w:t>
      </w:r>
    </w:p>
    <w:p w:rsidR="00C95D7E" w:rsidRPr="00EA7337" w:rsidP="0013387B" w14:paraId="0C6A177A" w14:textId="77777777">
      <w:pPr>
        <w:pStyle w:val="ListParagraph"/>
        <w:spacing w:after="0" w:line="240" w:lineRule="auto"/>
        <w:rPr>
          <w:rFonts w:cs="Times New Roman"/>
          <w:szCs w:val="24"/>
        </w:rPr>
      </w:pPr>
    </w:p>
    <w:p w:rsidR="001D1C73" w:rsidP="002C7E77" w14:paraId="51121746" w14:textId="1E05A1F0">
      <w:pPr>
        <w:spacing w:after="0"/>
        <w:rPr>
          <w:i/>
        </w:rPr>
      </w:pPr>
      <w:r w:rsidRPr="009139B3">
        <w:rPr>
          <w:i/>
        </w:rPr>
        <w:t>Study Design</w:t>
      </w:r>
    </w:p>
    <w:p w:rsidR="00132053" w:rsidRPr="00132053" w:rsidP="00132053" w14:paraId="74BB7BDC" w14:textId="50B03A58">
      <w:pPr>
        <w:tabs>
          <w:tab w:val="left" w:pos="1582"/>
        </w:tabs>
        <w:spacing w:after="0"/>
      </w:pPr>
      <w:r w:rsidRPr="00546445">
        <w:rPr>
          <w:rFonts w:cs="Times New Roman"/>
          <w:szCs w:val="24"/>
        </w:rPr>
        <w:t xml:space="preserve">For the purposes of evaluating </w:t>
      </w:r>
      <w:r>
        <w:rPr>
          <w:rFonts w:cs="Times New Roman"/>
          <w:szCs w:val="24"/>
        </w:rPr>
        <w:t xml:space="preserve">the MFP </w:t>
      </w:r>
      <w:r w:rsidRPr="00546445">
        <w:rPr>
          <w:rFonts w:cs="Times New Roman"/>
          <w:szCs w:val="24"/>
        </w:rPr>
        <w:t>program services or components</w:t>
      </w:r>
      <w:r>
        <w:rPr>
          <w:rFonts w:cs="Times New Roman"/>
          <w:szCs w:val="24"/>
        </w:rPr>
        <w:t xml:space="preserve"> in Los Angeles</w:t>
      </w:r>
      <w:r w:rsidRPr="00546445">
        <w:rPr>
          <w:rFonts w:cs="Times New Roman"/>
          <w:szCs w:val="24"/>
        </w:rPr>
        <w:t xml:space="preserve">, we will </w:t>
      </w:r>
      <w:r>
        <w:rPr>
          <w:rFonts w:cs="Times New Roman"/>
          <w:szCs w:val="24"/>
        </w:rPr>
        <w:t>conduct a two-comparison group non-equivalent group design (NEGD)</w:t>
      </w:r>
      <w:r w:rsidR="00C43ADD">
        <w:rPr>
          <w:rFonts w:cs="Times New Roman"/>
          <w:szCs w:val="24"/>
        </w:rPr>
        <w:t xml:space="preserve"> and propensity score analysis (See Supporting Statement B for more details)</w:t>
      </w:r>
      <w:r>
        <w:rPr>
          <w:rFonts w:cs="Times New Roman"/>
          <w:szCs w:val="24"/>
        </w:rPr>
        <w:t xml:space="preserve">.  </w:t>
      </w:r>
      <w:r>
        <w:t xml:space="preserve">The treatment group will be composed of participants enrolled in MFP’s </w:t>
      </w:r>
      <w:r>
        <w:t>Los Angeles site</w:t>
      </w:r>
      <w:r>
        <w:t>.  The two comparison groups will be composed of individuals receiving housing only with</w:t>
      </w:r>
      <w:r w:rsidR="00DB3A9F">
        <w:t>out intensive</w:t>
      </w:r>
      <w:r>
        <w:t xml:space="preserve"> services and </w:t>
      </w:r>
      <w:r>
        <w:t>services only</w:t>
      </w:r>
      <w:r>
        <w:t xml:space="preserve"> with no housing component. </w:t>
      </w:r>
    </w:p>
    <w:p w:rsidR="00132053" w:rsidP="00132053" w14:paraId="578B8F39" w14:textId="77777777">
      <w:pPr>
        <w:tabs>
          <w:tab w:val="left" w:pos="1582"/>
        </w:tabs>
        <w:spacing w:after="0"/>
      </w:pPr>
    </w:p>
    <w:p w:rsidR="00132053" w:rsidRPr="00C95D7E" w:rsidP="00132053" w14:paraId="24C6C758" w14:textId="2F8CFCEB">
      <w:pPr>
        <w:spacing w:after="0"/>
        <w:rPr>
          <w:rFonts w:cs="Times New Roman"/>
          <w:szCs w:val="24"/>
        </w:rPr>
      </w:pPr>
      <w:r>
        <w:rPr>
          <w:rFonts w:cs="Times New Roman"/>
          <w:szCs w:val="24"/>
        </w:rPr>
        <w:t>From all three groups, w</w:t>
      </w:r>
      <w:r>
        <w:rPr>
          <w:rFonts w:cs="Times New Roman"/>
          <w:szCs w:val="24"/>
        </w:rPr>
        <w:t xml:space="preserve">e will collect </w:t>
      </w:r>
      <w:r w:rsidRPr="0054696F">
        <w:rPr>
          <w:rFonts w:cs="Times New Roman"/>
          <w:szCs w:val="24"/>
        </w:rPr>
        <w:t>web-based survey</w:t>
      </w:r>
      <w:r w:rsidRPr="0013387B">
        <w:rPr>
          <w:rFonts w:cs="Times New Roman"/>
          <w:b/>
          <w:bCs/>
          <w:szCs w:val="24"/>
        </w:rPr>
        <w:t xml:space="preserve"> </w:t>
      </w:r>
      <w:r>
        <w:rPr>
          <w:rFonts w:cs="Times New Roman"/>
          <w:szCs w:val="24"/>
        </w:rPr>
        <w:t>data.  S</w:t>
      </w:r>
      <w:r w:rsidRPr="00C95D7E">
        <w:rPr>
          <w:rFonts w:cs="Times New Roman"/>
          <w:szCs w:val="24"/>
        </w:rPr>
        <w:t xml:space="preserve">urveys will be administered </w:t>
      </w:r>
      <w:r>
        <w:rPr>
          <w:rFonts w:cs="Times New Roman"/>
          <w:szCs w:val="24"/>
        </w:rPr>
        <w:t xml:space="preserve">to </w:t>
      </w:r>
      <w:r w:rsidRPr="00C95D7E">
        <w:rPr>
          <w:rFonts w:cs="Times New Roman"/>
          <w:szCs w:val="24"/>
        </w:rPr>
        <w:t>you</w:t>
      </w:r>
      <w:r>
        <w:rPr>
          <w:rFonts w:cs="Times New Roman"/>
          <w:szCs w:val="24"/>
        </w:rPr>
        <w:t>ng adults</w:t>
      </w:r>
      <w:r w:rsidRPr="00C95D7E">
        <w:rPr>
          <w:rFonts w:cs="Times New Roman"/>
          <w:szCs w:val="24"/>
        </w:rPr>
        <w:t xml:space="preserve"> at program entry (baseline</w:t>
      </w:r>
      <w:r w:rsidRPr="00482B21">
        <w:rPr>
          <w:rFonts w:cs="Times New Roman"/>
          <w:szCs w:val="24"/>
        </w:rPr>
        <w:t>), 6 months after entry, and 9-12 months after entry</w:t>
      </w:r>
      <w:r w:rsidRPr="00C95D7E">
        <w:rPr>
          <w:rFonts w:cs="Times New Roman"/>
          <w:szCs w:val="24"/>
        </w:rPr>
        <w:t xml:space="preserve">. Topics covered in the baseline survey </w:t>
      </w:r>
      <w:r w:rsidRPr="00C95D7E">
        <w:rPr>
          <w:rFonts w:cs="Times New Roman"/>
          <w:szCs w:val="24"/>
        </w:rPr>
        <w:t>include:</w:t>
      </w:r>
      <w:r w:rsidRPr="00C95D7E">
        <w:rPr>
          <w:rFonts w:cs="Times New Roman"/>
          <w:szCs w:val="24"/>
        </w:rPr>
        <w:t xml:space="preserve"> demographic characteristics and family composition</w:t>
      </w:r>
      <w:r>
        <w:rPr>
          <w:rFonts w:cs="Times New Roman"/>
          <w:szCs w:val="24"/>
        </w:rPr>
        <w:t>;</w:t>
      </w:r>
      <w:r w:rsidRPr="00C95D7E">
        <w:rPr>
          <w:rFonts w:cs="Times New Roman"/>
          <w:szCs w:val="24"/>
        </w:rPr>
        <w:t xml:space="preserve"> education and employment histories, status, and current barriers; housing histories and current l</w:t>
      </w:r>
      <w:r>
        <w:rPr>
          <w:rFonts w:cs="Times New Roman"/>
          <w:szCs w:val="24"/>
        </w:rPr>
        <w:t>iving situation</w:t>
      </w:r>
      <w:r w:rsidRPr="00C95D7E">
        <w:rPr>
          <w:rFonts w:cs="Times New Roman"/>
          <w:szCs w:val="24"/>
        </w:rPr>
        <w:t>; independent living skills</w:t>
      </w:r>
      <w:r>
        <w:rPr>
          <w:rFonts w:cs="Times New Roman"/>
          <w:szCs w:val="24"/>
        </w:rPr>
        <w:t xml:space="preserve">; </w:t>
      </w:r>
      <w:r w:rsidRPr="00C95D7E">
        <w:rPr>
          <w:rFonts w:cs="Times New Roman"/>
          <w:szCs w:val="24"/>
        </w:rPr>
        <w:t xml:space="preserve">socio-emotional support; </w:t>
      </w:r>
      <w:r>
        <w:rPr>
          <w:rFonts w:cs="Times New Roman"/>
          <w:szCs w:val="24"/>
        </w:rPr>
        <w:t xml:space="preserve">foster care history, </w:t>
      </w:r>
      <w:r w:rsidRPr="00C95D7E">
        <w:rPr>
          <w:rFonts w:cs="Times New Roman"/>
          <w:szCs w:val="24"/>
        </w:rPr>
        <w:t xml:space="preserve">and well-being. </w:t>
      </w:r>
      <w:r w:rsidRPr="00482B21">
        <w:rPr>
          <w:rFonts w:cs="Times New Roman"/>
          <w:szCs w:val="24"/>
        </w:rPr>
        <w:t>Follow-up surveys administered at 6 and 9-12 months will be designed to focus on activities accomplished since the last survey and capture changes over time in housing stability, education, employment, independent living skills, income, benefits and debt, social connections, and well-being.</w:t>
      </w:r>
      <w:r w:rsidRPr="00C95D7E">
        <w:rPr>
          <w:rFonts w:cs="Times New Roman"/>
          <w:szCs w:val="24"/>
        </w:rPr>
        <w:t xml:space="preserve">  </w:t>
      </w:r>
    </w:p>
    <w:p w:rsidR="00132053" w:rsidRPr="00C95D7E" w:rsidP="00132053" w14:paraId="78DA4093" w14:textId="77777777">
      <w:pPr>
        <w:spacing w:after="0"/>
        <w:rPr>
          <w:rFonts w:cs="Times New Roman"/>
          <w:szCs w:val="24"/>
        </w:rPr>
      </w:pPr>
    </w:p>
    <w:p w:rsidR="00132053" w:rsidP="00132053" w14:paraId="03981E2E" w14:textId="175F9EF7">
      <w:pPr>
        <w:tabs>
          <w:tab w:val="left" w:pos="1582"/>
        </w:tabs>
        <w:spacing w:after="0"/>
        <w:rPr>
          <w:rFonts w:cs="Times New Roman"/>
        </w:rPr>
      </w:pPr>
      <w:r>
        <w:rPr>
          <w:rFonts w:cs="Times New Roman"/>
        </w:rPr>
        <w:t>Survey participants</w:t>
      </w:r>
      <w:r w:rsidRPr="3F6BF669">
        <w:rPr>
          <w:rFonts w:cs="Times New Roman"/>
        </w:rPr>
        <w:t xml:space="preserve"> will be asked to complete each survey online via</w:t>
      </w:r>
      <w:r>
        <w:rPr>
          <w:rFonts w:cs="Times New Roman"/>
        </w:rPr>
        <w:t xml:space="preserve"> </w:t>
      </w:r>
      <w:r w:rsidRPr="3F6BF669">
        <w:rPr>
          <w:rFonts w:cs="Times New Roman"/>
        </w:rPr>
        <w:t>RedCAP</w:t>
      </w:r>
      <w:r w:rsidRPr="3F6BF669">
        <w:rPr>
          <w:rFonts w:cs="Times New Roman"/>
        </w:rPr>
        <w:t xml:space="preserve"> </w:t>
      </w:r>
      <w:r>
        <w:rPr>
          <w:rFonts w:cs="Times New Roman"/>
        </w:rPr>
        <w:t>survey software</w:t>
      </w:r>
      <w:r w:rsidRPr="3F6BF669">
        <w:rPr>
          <w:rFonts w:cs="Times New Roman"/>
        </w:rPr>
        <w:t xml:space="preserve">. </w:t>
      </w:r>
      <w:r>
        <w:rPr>
          <w:rFonts w:cs="Times New Roman"/>
        </w:rPr>
        <w:t>Each</w:t>
      </w:r>
      <w:r w:rsidRPr="3F6BF669">
        <w:rPr>
          <w:rFonts w:cs="Times New Roman"/>
        </w:rPr>
        <w:t xml:space="preserve"> survey will take no longer </w:t>
      </w:r>
      <w:r w:rsidRPr="008B6A08">
        <w:rPr>
          <w:rFonts w:cs="Times New Roman"/>
        </w:rPr>
        <w:t xml:space="preserve">than </w:t>
      </w:r>
      <w:r w:rsidRPr="00801FFE">
        <w:rPr>
          <w:rFonts w:cs="Times New Roman"/>
        </w:rPr>
        <w:t>30 minutes</w:t>
      </w:r>
      <w:r w:rsidRPr="008B6A08">
        <w:rPr>
          <w:rFonts w:cs="Times New Roman"/>
        </w:rPr>
        <w:t xml:space="preserve"> </w:t>
      </w:r>
      <w:r>
        <w:rPr>
          <w:rFonts w:cs="Times New Roman"/>
        </w:rPr>
        <w:t>to complete</w:t>
      </w:r>
      <w:r w:rsidRPr="00482B21">
        <w:rPr>
          <w:rFonts w:cs="Times New Roman"/>
        </w:rPr>
        <w:t>.</w:t>
      </w:r>
    </w:p>
    <w:p w:rsidR="002C7E77" w:rsidP="00132053" w14:paraId="10667EC4" w14:textId="77777777">
      <w:pPr>
        <w:tabs>
          <w:tab w:val="left" w:pos="1582"/>
        </w:tabs>
        <w:spacing w:after="0"/>
        <w:rPr>
          <w:rFonts w:cs="Times New Roman"/>
        </w:rPr>
      </w:pPr>
    </w:p>
    <w:p w:rsidR="00DB3A9F" w:rsidP="00132053" w14:paraId="283BD04D" w14:textId="65E21045">
      <w:pPr>
        <w:tabs>
          <w:tab w:val="left" w:pos="1582"/>
        </w:tabs>
        <w:spacing w:after="0"/>
        <w:rPr>
          <w:rFonts w:cs="Times New Roman"/>
        </w:rPr>
      </w:pPr>
      <w:r>
        <w:rPr>
          <w:rFonts w:cs="Times New Roman"/>
        </w:rPr>
        <w:t xml:space="preserve">Additional information about </w:t>
      </w:r>
      <w:r w:rsidR="003D22E2">
        <w:rPr>
          <w:rFonts w:cs="Times New Roman"/>
        </w:rPr>
        <w:t xml:space="preserve">study design, </w:t>
      </w:r>
      <w:r>
        <w:rPr>
          <w:rFonts w:cs="Times New Roman"/>
        </w:rPr>
        <w:t>recruitment</w:t>
      </w:r>
      <w:r w:rsidR="003D22E2">
        <w:rPr>
          <w:rFonts w:cs="Times New Roman"/>
        </w:rPr>
        <w:t>,</w:t>
      </w:r>
      <w:r>
        <w:rPr>
          <w:rFonts w:cs="Times New Roman"/>
        </w:rPr>
        <w:t xml:space="preserve"> and composition of the treatment and comparison groups is outline</w:t>
      </w:r>
      <w:r w:rsidR="00240F44">
        <w:rPr>
          <w:rFonts w:cs="Times New Roman"/>
        </w:rPr>
        <w:t>d</w:t>
      </w:r>
      <w:r>
        <w:rPr>
          <w:rFonts w:cs="Times New Roman"/>
        </w:rPr>
        <w:t xml:space="preserve"> i</w:t>
      </w:r>
      <w:r w:rsidR="00240F44">
        <w:rPr>
          <w:rFonts w:cs="Times New Roman"/>
        </w:rPr>
        <w:t>n</w:t>
      </w:r>
      <w:r>
        <w:rPr>
          <w:rFonts w:cs="Times New Roman"/>
        </w:rPr>
        <w:t xml:space="preserve"> Supporting Statement B, Section B2</w:t>
      </w:r>
      <w:r w:rsidR="0054696F">
        <w:rPr>
          <w:rFonts w:cs="Times New Roman"/>
        </w:rPr>
        <w:t>.  Recruitment and consent materials are available in Appendixes 1, 2, and 3.</w:t>
      </w:r>
    </w:p>
    <w:p w:rsidR="002C7E77" w:rsidP="001C6A2C" w14:paraId="47802707" w14:textId="77777777">
      <w:pPr>
        <w:spacing w:after="0"/>
      </w:pPr>
    </w:p>
    <w:p w:rsidR="001C6A2C" w:rsidP="001C6A2C" w14:paraId="4C3E881C" w14:textId="4719E557">
      <w:pPr>
        <w:spacing w:after="0"/>
      </w:pPr>
      <w:r>
        <w:t xml:space="preserve">Exhibit 2 below lists the data collection activities for the MFP study. </w:t>
      </w:r>
    </w:p>
    <w:p w:rsidR="00860D74" w:rsidP="00860D74" w14:paraId="15E19CBE" w14:textId="0B46D6DB">
      <w:pPr>
        <w:spacing w:after="0"/>
      </w:pPr>
    </w:p>
    <w:p w:rsidR="00A24A19" w:rsidRPr="00860D74" w:rsidP="001D1C73" w14:paraId="423A3056" w14:textId="1A4CAE26">
      <w:pPr>
        <w:spacing w:after="60" w:line="240" w:lineRule="auto"/>
        <w:rPr>
          <w:b/>
          <w:bCs/>
          <w:i/>
        </w:rPr>
      </w:pPr>
      <w:r w:rsidRPr="00860D74">
        <w:rPr>
          <w:b/>
          <w:bCs/>
        </w:rPr>
        <w:t xml:space="preserve">Exhibit </w:t>
      </w:r>
      <w:r w:rsidR="001674F3">
        <w:rPr>
          <w:b/>
          <w:bCs/>
        </w:rPr>
        <w:t>2</w:t>
      </w:r>
      <w:r w:rsidRPr="00860D74">
        <w:rPr>
          <w:b/>
          <w:bCs/>
        </w:rPr>
        <w:t>: Data Collection Activities</w:t>
      </w:r>
    </w:p>
    <w:tbl>
      <w:tblPr>
        <w:tblStyle w:val="TableGrid"/>
        <w:tblW w:w="0" w:type="auto"/>
        <w:tblInd w:w="0" w:type="dxa"/>
        <w:tblLook w:val="04A0"/>
      </w:tblPr>
      <w:tblGrid>
        <w:gridCol w:w="1435"/>
        <w:gridCol w:w="1530"/>
        <w:gridCol w:w="4320"/>
        <w:gridCol w:w="1890"/>
      </w:tblGrid>
      <w:tr w14:paraId="7A08A530" w14:textId="77777777" w:rsidTr="007D3CE4">
        <w:tblPrEx>
          <w:tblW w:w="0" w:type="auto"/>
          <w:tblInd w:w="0" w:type="dxa"/>
          <w:tblLook w:val="04A0"/>
        </w:tblPrEx>
        <w:tc>
          <w:tcPr>
            <w:tcW w:w="1435" w:type="dxa"/>
            <w:shd w:val="clear" w:color="auto" w:fill="D9D9D9" w:themeFill="background1" w:themeFillShade="D9"/>
          </w:tcPr>
          <w:p w:rsidR="001D1C73" w:rsidRPr="008B4E67" w:rsidP="00CB1D00" w14:paraId="142698B1" w14:textId="09708613">
            <w:pPr>
              <w:rPr>
                <w:rFonts w:asciiTheme="minorHAnsi" w:hAnsiTheme="minorHAnsi" w:cstheme="minorHAnsi"/>
                <w:i/>
              </w:rPr>
            </w:pPr>
            <w:r w:rsidRPr="008B4E67">
              <w:rPr>
                <w:rFonts w:asciiTheme="minorHAnsi" w:hAnsiTheme="minorHAnsi" w:cstheme="minorHAnsi"/>
                <w:i/>
              </w:rPr>
              <w:t>Data Collection Activity</w:t>
            </w:r>
          </w:p>
        </w:tc>
        <w:tc>
          <w:tcPr>
            <w:tcW w:w="1530" w:type="dxa"/>
            <w:shd w:val="clear" w:color="auto" w:fill="D9D9D9" w:themeFill="background1" w:themeFillShade="D9"/>
          </w:tcPr>
          <w:p w:rsidR="001D1C73" w:rsidRPr="008B4E67" w:rsidP="00CB1D00" w14:paraId="27BC6F15" w14:textId="4E6400C2">
            <w:pPr>
              <w:rPr>
                <w:rFonts w:asciiTheme="minorHAnsi" w:hAnsiTheme="minorHAnsi" w:cstheme="minorHAnsi"/>
                <w:i/>
              </w:rPr>
            </w:pPr>
            <w:r w:rsidRPr="008B4E67">
              <w:rPr>
                <w:rFonts w:asciiTheme="minorHAnsi" w:hAnsiTheme="minorHAnsi" w:cstheme="minorHAnsi"/>
                <w:i/>
              </w:rPr>
              <w:t>Instruments</w:t>
            </w:r>
          </w:p>
        </w:tc>
        <w:tc>
          <w:tcPr>
            <w:tcW w:w="4320" w:type="dxa"/>
            <w:shd w:val="clear" w:color="auto" w:fill="D9D9D9" w:themeFill="background1" w:themeFillShade="D9"/>
          </w:tcPr>
          <w:p w:rsidR="001D1C73" w:rsidRPr="008B4E67" w:rsidP="00CB1D00" w14:paraId="02FE35A0" w14:textId="78F5FF2C">
            <w:pPr>
              <w:rPr>
                <w:rFonts w:asciiTheme="minorHAnsi" w:hAnsiTheme="minorHAnsi" w:cstheme="minorHAnsi"/>
                <w:i/>
              </w:rPr>
            </w:pPr>
            <w:r w:rsidRPr="008B4E67">
              <w:rPr>
                <w:rFonts w:asciiTheme="minorHAnsi" w:hAnsiTheme="minorHAnsi" w:cstheme="minorHAnsi"/>
                <w:i/>
              </w:rPr>
              <w:t xml:space="preserve">Sample </w:t>
            </w:r>
            <w:r w:rsidRPr="008B4E67">
              <w:rPr>
                <w:rFonts w:asciiTheme="minorHAnsi" w:hAnsiTheme="minorHAnsi" w:cstheme="minorHAnsi"/>
                <w:i/>
              </w:rPr>
              <w:t>Respondent, Content, Purpose of Collection</w:t>
            </w:r>
          </w:p>
        </w:tc>
        <w:tc>
          <w:tcPr>
            <w:tcW w:w="1890" w:type="dxa"/>
            <w:shd w:val="clear" w:color="auto" w:fill="D9D9D9" w:themeFill="background1" w:themeFillShade="D9"/>
          </w:tcPr>
          <w:p w:rsidR="001D1C73" w:rsidRPr="008B4E67" w:rsidP="00CB1D00" w14:paraId="6D5BE90E" w14:textId="55ADFD69">
            <w:pPr>
              <w:rPr>
                <w:rFonts w:asciiTheme="minorHAnsi" w:hAnsiTheme="minorHAnsi" w:cstheme="minorHAnsi"/>
                <w:i/>
              </w:rPr>
            </w:pPr>
            <w:r w:rsidRPr="008B4E67">
              <w:rPr>
                <w:rFonts w:asciiTheme="minorHAnsi" w:hAnsiTheme="minorHAnsi" w:cstheme="minorHAnsi"/>
                <w:i/>
              </w:rPr>
              <w:t xml:space="preserve">Mode and </w:t>
            </w:r>
            <w:r w:rsidRPr="008B4E67" w:rsidR="00860D74">
              <w:rPr>
                <w:rFonts w:asciiTheme="minorHAnsi" w:hAnsiTheme="minorHAnsi" w:cstheme="minorHAnsi"/>
                <w:i/>
              </w:rPr>
              <w:t xml:space="preserve">Potential </w:t>
            </w:r>
            <w:r w:rsidRPr="008B4E67">
              <w:rPr>
                <w:rFonts w:asciiTheme="minorHAnsi" w:hAnsiTheme="minorHAnsi" w:cstheme="minorHAnsi"/>
                <w:i/>
              </w:rPr>
              <w:t>Duration</w:t>
            </w:r>
          </w:p>
        </w:tc>
      </w:tr>
      <w:tr w14:paraId="67F3C42B" w14:textId="77777777" w:rsidTr="007D3CE4">
        <w:tblPrEx>
          <w:tblW w:w="0" w:type="auto"/>
          <w:tblInd w:w="0" w:type="dxa"/>
          <w:tblLook w:val="04A0"/>
        </w:tblPrEx>
        <w:tc>
          <w:tcPr>
            <w:tcW w:w="1435" w:type="dxa"/>
          </w:tcPr>
          <w:p w:rsidR="00E97882" w:rsidRPr="008B4E67" w:rsidP="00E97882" w14:paraId="5D16BD9E" w14:textId="266AB69F">
            <w:pPr>
              <w:rPr>
                <w:rFonts w:asciiTheme="minorHAnsi" w:hAnsiTheme="minorHAnsi" w:cstheme="minorHAnsi"/>
              </w:rPr>
            </w:pPr>
            <w:r>
              <w:rPr>
                <w:rFonts w:asciiTheme="minorHAnsi" w:hAnsiTheme="minorHAnsi" w:cstheme="minorHAnsi"/>
              </w:rPr>
              <w:t>Baseline</w:t>
            </w:r>
          </w:p>
          <w:p w:rsidR="00E97882" w:rsidRPr="008B4E67" w:rsidP="00E97882" w14:paraId="4A9F3AB1" w14:textId="58DC1EB6">
            <w:pPr>
              <w:rPr>
                <w:rFonts w:asciiTheme="minorHAnsi" w:hAnsiTheme="minorHAnsi" w:cstheme="minorHAnsi"/>
              </w:rPr>
            </w:pPr>
            <w:r w:rsidRPr="008B4E67">
              <w:rPr>
                <w:rFonts w:asciiTheme="minorHAnsi" w:hAnsiTheme="minorHAnsi" w:cstheme="minorHAnsi"/>
              </w:rPr>
              <w:t>Survey</w:t>
            </w:r>
          </w:p>
        </w:tc>
        <w:tc>
          <w:tcPr>
            <w:tcW w:w="1530" w:type="dxa"/>
          </w:tcPr>
          <w:p w:rsidR="00E97882" w:rsidRPr="008B4E67" w:rsidP="00E97882" w14:paraId="599B792F" w14:textId="6F3F931C">
            <w:pPr>
              <w:rPr>
                <w:rFonts w:asciiTheme="minorHAnsi" w:hAnsiTheme="minorHAnsi" w:cstheme="minorHAnsi"/>
              </w:rPr>
            </w:pPr>
            <w:r>
              <w:rPr>
                <w:rFonts w:asciiTheme="minorHAnsi" w:hAnsiTheme="minorHAnsi" w:cstheme="minorHAnsi"/>
              </w:rPr>
              <w:t>Instrument A</w:t>
            </w:r>
          </w:p>
        </w:tc>
        <w:tc>
          <w:tcPr>
            <w:tcW w:w="4320" w:type="dxa"/>
          </w:tcPr>
          <w:p w:rsidR="00E97882" w:rsidRPr="008B4E67" w:rsidP="00E97882" w14:paraId="3C84D498" w14:textId="5F48A34C">
            <w:pPr>
              <w:rPr>
                <w:rFonts w:asciiTheme="minorHAnsi" w:hAnsiTheme="minorHAnsi" w:cstheme="minorHAnsi"/>
              </w:rPr>
            </w:pPr>
            <w:r w:rsidRPr="008B4E67">
              <w:rPr>
                <w:rFonts w:asciiTheme="minorHAnsi" w:hAnsiTheme="minorHAnsi" w:cstheme="minorHAnsi"/>
                <w:b/>
              </w:rPr>
              <w:t>Respondents</w:t>
            </w:r>
            <w:r w:rsidRPr="008B4E67">
              <w:rPr>
                <w:rFonts w:asciiTheme="minorHAnsi" w:hAnsiTheme="minorHAnsi" w:cstheme="minorHAnsi"/>
              </w:rPr>
              <w:t xml:space="preserve">: </w:t>
            </w:r>
            <w:r>
              <w:rPr>
                <w:rFonts w:asciiTheme="minorHAnsi" w:hAnsiTheme="minorHAnsi" w:cstheme="minorHAnsi"/>
              </w:rPr>
              <w:t>Young adults age 18+ served by MFP and comparison group programs</w:t>
            </w:r>
          </w:p>
          <w:p w:rsidR="00E97882" w:rsidRPr="008B4E67" w:rsidP="00E97882" w14:paraId="4EDCA0DC" w14:textId="77777777">
            <w:pPr>
              <w:rPr>
                <w:rFonts w:asciiTheme="minorHAnsi" w:hAnsiTheme="minorHAnsi" w:cstheme="minorHAnsi"/>
              </w:rPr>
            </w:pPr>
          </w:p>
          <w:p w:rsidR="00E97882" w:rsidRPr="008B4E67" w:rsidP="00E97882" w14:paraId="0114095E" w14:textId="4B0C1598">
            <w:pPr>
              <w:rPr>
                <w:rFonts w:asciiTheme="minorHAnsi" w:hAnsiTheme="minorHAnsi" w:cstheme="minorHAnsi"/>
              </w:rPr>
            </w:pPr>
            <w:r w:rsidRPr="008B4E67">
              <w:rPr>
                <w:rFonts w:asciiTheme="minorHAnsi" w:hAnsiTheme="minorHAnsi" w:cstheme="minorHAnsi"/>
                <w:b/>
              </w:rPr>
              <w:t>Content</w:t>
            </w:r>
            <w:r w:rsidRPr="008B4E67">
              <w:rPr>
                <w:rFonts w:asciiTheme="minorHAnsi" w:hAnsiTheme="minorHAnsi" w:cstheme="minorHAnsi"/>
              </w:rPr>
              <w:t xml:space="preserve">: </w:t>
            </w:r>
            <w:r w:rsidR="0023306F">
              <w:rPr>
                <w:rFonts w:asciiTheme="minorHAnsi" w:hAnsiTheme="minorHAnsi" w:cstheme="minorHAnsi"/>
              </w:rPr>
              <w:t xml:space="preserve">Demographic </w:t>
            </w:r>
            <w:r w:rsidRPr="0023306F" w:rsidR="0023306F">
              <w:rPr>
                <w:rFonts w:asciiTheme="minorHAnsi" w:hAnsiTheme="minorHAnsi" w:cstheme="minorHAnsi"/>
              </w:rPr>
              <w:t>characteristics and family composition; education and employment histories, status, and current barriers; housing histories and current living situation; independent living skills; socio-emotional support; foster care history, and well-being.</w:t>
            </w:r>
            <w:r w:rsidRPr="00AA4A30">
              <w:rPr>
                <w:rFonts w:asciiTheme="minorHAnsi" w:hAnsiTheme="minorHAnsi" w:cstheme="minorHAnsi"/>
              </w:rPr>
              <w:t xml:space="preserve"> </w:t>
            </w:r>
          </w:p>
          <w:p w:rsidR="00E97882" w:rsidRPr="008B4E67" w:rsidP="00E97882" w14:paraId="78B80EC5" w14:textId="77777777">
            <w:pPr>
              <w:rPr>
                <w:rFonts w:asciiTheme="minorHAnsi" w:hAnsiTheme="minorHAnsi" w:cstheme="minorHAnsi"/>
              </w:rPr>
            </w:pPr>
          </w:p>
          <w:p w:rsidR="00E97882" w:rsidRPr="008B4E67" w:rsidP="00E97882" w14:paraId="481BA18A" w14:textId="5FA4CE84">
            <w:pPr>
              <w:rPr>
                <w:rFonts w:asciiTheme="minorHAnsi" w:hAnsiTheme="minorHAnsi" w:cstheme="minorHAnsi"/>
                <w:b/>
              </w:rPr>
            </w:pPr>
            <w:r w:rsidRPr="00A92977">
              <w:rPr>
                <w:rFonts w:asciiTheme="minorHAnsi" w:hAnsiTheme="minorHAnsi" w:cstheme="minorHAnsi"/>
                <w:b/>
                <w:bCs/>
              </w:rPr>
              <w:t>Purpose:</w:t>
            </w:r>
            <w:r w:rsidRPr="008B4E67">
              <w:rPr>
                <w:rFonts w:asciiTheme="minorHAnsi" w:hAnsiTheme="minorHAnsi" w:cstheme="minorHAnsi"/>
              </w:rPr>
              <w:t xml:space="preserve"> </w:t>
            </w:r>
            <w:r w:rsidR="00A92977">
              <w:rPr>
                <w:rFonts w:asciiTheme="minorHAnsi" w:hAnsiTheme="minorHAnsi" w:cstheme="minorHAnsi"/>
              </w:rPr>
              <w:t xml:space="preserve">Understand participants’ backgrounds, provide baseline </w:t>
            </w:r>
            <w:r w:rsidR="00FA66D2">
              <w:rPr>
                <w:rFonts w:asciiTheme="minorHAnsi" w:hAnsiTheme="minorHAnsi" w:cstheme="minorHAnsi"/>
              </w:rPr>
              <w:t>measures to capture change over time</w:t>
            </w:r>
          </w:p>
        </w:tc>
        <w:tc>
          <w:tcPr>
            <w:tcW w:w="1890" w:type="dxa"/>
          </w:tcPr>
          <w:p w:rsidR="00E97882" w:rsidRPr="008B4E67" w:rsidP="00E97882" w14:paraId="671107D1" w14:textId="0CE4C17D">
            <w:pPr>
              <w:rPr>
                <w:rFonts w:asciiTheme="minorHAnsi" w:hAnsiTheme="minorHAnsi" w:cstheme="minorHAnsi"/>
              </w:rPr>
            </w:pPr>
            <w:r w:rsidRPr="008B4E67">
              <w:rPr>
                <w:rFonts w:asciiTheme="minorHAnsi" w:hAnsiTheme="minorHAnsi" w:cstheme="minorHAnsi"/>
                <w:b/>
              </w:rPr>
              <w:t>Mode</w:t>
            </w:r>
            <w:r w:rsidRPr="008B4E67">
              <w:rPr>
                <w:rFonts w:asciiTheme="minorHAnsi" w:hAnsiTheme="minorHAnsi" w:cstheme="minorHAnsi"/>
              </w:rPr>
              <w:t>: web-based</w:t>
            </w:r>
          </w:p>
          <w:p w:rsidR="00E97882" w:rsidRPr="008B4E67" w:rsidP="00E97882" w14:paraId="1365D138" w14:textId="77777777">
            <w:pPr>
              <w:rPr>
                <w:rFonts w:asciiTheme="minorHAnsi" w:hAnsiTheme="minorHAnsi" w:cstheme="minorHAnsi"/>
              </w:rPr>
            </w:pPr>
          </w:p>
          <w:p w:rsidR="00E97882" w:rsidRPr="008B4E67" w:rsidP="00E97882" w14:paraId="44180139" w14:textId="70D04D5C">
            <w:pPr>
              <w:rPr>
                <w:rFonts w:asciiTheme="minorHAnsi" w:hAnsiTheme="minorHAnsi" w:cstheme="minorHAnsi"/>
                <w:b/>
              </w:rPr>
            </w:pPr>
            <w:r w:rsidRPr="008B4E67">
              <w:rPr>
                <w:rFonts w:asciiTheme="minorHAnsi" w:hAnsiTheme="minorHAnsi" w:cstheme="minorHAnsi"/>
                <w:b/>
              </w:rPr>
              <w:t>Duration</w:t>
            </w:r>
            <w:r w:rsidRPr="008B4E67">
              <w:rPr>
                <w:rFonts w:asciiTheme="minorHAnsi" w:hAnsiTheme="minorHAnsi" w:cstheme="minorHAnsi"/>
              </w:rPr>
              <w:t xml:space="preserve">: </w:t>
            </w:r>
            <w:r>
              <w:rPr>
                <w:rFonts w:asciiTheme="minorHAnsi" w:hAnsiTheme="minorHAnsi" w:cstheme="minorHAnsi"/>
              </w:rPr>
              <w:t>3</w:t>
            </w:r>
            <w:r w:rsidR="00AA4A30">
              <w:rPr>
                <w:rFonts w:asciiTheme="minorHAnsi" w:hAnsiTheme="minorHAnsi" w:cstheme="minorHAnsi"/>
              </w:rPr>
              <w:t xml:space="preserve">0 </w:t>
            </w:r>
            <w:r>
              <w:rPr>
                <w:rFonts w:asciiTheme="minorHAnsi" w:hAnsiTheme="minorHAnsi" w:cstheme="minorHAnsi"/>
              </w:rPr>
              <w:t>minute</w:t>
            </w:r>
            <w:r w:rsidR="00AA4A30">
              <w:rPr>
                <w:rFonts w:asciiTheme="minorHAnsi" w:hAnsiTheme="minorHAnsi" w:cstheme="minorHAnsi"/>
              </w:rPr>
              <w:t>s</w:t>
            </w:r>
            <w:r w:rsidR="00D1199A">
              <w:rPr>
                <w:rFonts w:asciiTheme="minorHAnsi" w:hAnsiTheme="minorHAnsi" w:cstheme="minorHAnsi"/>
              </w:rPr>
              <w:t>/survey</w:t>
            </w:r>
          </w:p>
        </w:tc>
      </w:tr>
      <w:tr w14:paraId="55C42DAC" w14:textId="77777777" w:rsidTr="007D3CE4">
        <w:tblPrEx>
          <w:tblW w:w="0" w:type="auto"/>
          <w:tblInd w:w="0" w:type="dxa"/>
          <w:tblLook w:val="04A0"/>
        </w:tblPrEx>
        <w:tc>
          <w:tcPr>
            <w:tcW w:w="1435" w:type="dxa"/>
          </w:tcPr>
          <w:p w:rsidR="00F94DAD" w:rsidP="00E97882" w14:paraId="2AB35E31" w14:textId="77777777">
            <w:pPr>
              <w:rPr>
                <w:rFonts w:asciiTheme="minorHAnsi" w:hAnsiTheme="minorHAnsi" w:cstheme="minorHAnsi"/>
              </w:rPr>
            </w:pPr>
            <w:r w:rsidRPr="00482B21">
              <w:rPr>
                <w:rFonts w:asciiTheme="minorHAnsi" w:hAnsiTheme="minorHAnsi" w:cstheme="minorHAnsi"/>
              </w:rPr>
              <w:t xml:space="preserve">Follow-up </w:t>
            </w:r>
          </w:p>
          <w:p w:rsidR="00E97882" w:rsidRPr="00482B21" w:rsidP="00E97882" w14:paraId="212F7CAA" w14:textId="567A3E42">
            <w:pPr>
              <w:rPr>
                <w:rFonts w:asciiTheme="minorHAnsi" w:hAnsiTheme="minorHAnsi" w:cstheme="minorHAnsi"/>
              </w:rPr>
            </w:pPr>
            <w:r w:rsidRPr="00482B21">
              <w:rPr>
                <w:rFonts w:asciiTheme="minorHAnsi" w:hAnsiTheme="minorHAnsi" w:cstheme="minorHAnsi"/>
              </w:rPr>
              <w:t>(6- and 9/12-month)</w:t>
            </w:r>
          </w:p>
          <w:p w:rsidR="00E97882" w:rsidRPr="00482B21" w:rsidP="00E97882" w14:paraId="7D00DD7D" w14:textId="5E858C2C">
            <w:pPr>
              <w:rPr>
                <w:rFonts w:asciiTheme="minorHAnsi" w:hAnsiTheme="minorHAnsi" w:cstheme="minorHAnsi"/>
              </w:rPr>
            </w:pPr>
            <w:r w:rsidRPr="00482B21">
              <w:rPr>
                <w:rFonts w:asciiTheme="minorHAnsi" w:hAnsiTheme="minorHAnsi" w:cstheme="minorHAnsi"/>
              </w:rPr>
              <w:t>Surveys</w:t>
            </w:r>
          </w:p>
        </w:tc>
        <w:tc>
          <w:tcPr>
            <w:tcW w:w="1530" w:type="dxa"/>
          </w:tcPr>
          <w:p w:rsidR="00E97882" w:rsidRPr="00482B21" w:rsidP="00E97882" w14:paraId="253DF9E6" w14:textId="6E60E149">
            <w:pPr>
              <w:rPr>
                <w:rFonts w:asciiTheme="minorHAnsi" w:hAnsiTheme="minorHAnsi" w:cstheme="minorHAnsi"/>
              </w:rPr>
            </w:pPr>
            <w:r w:rsidRPr="00482B21">
              <w:rPr>
                <w:rFonts w:asciiTheme="minorHAnsi" w:hAnsiTheme="minorHAnsi" w:cstheme="minorHAnsi"/>
              </w:rPr>
              <w:t>Instrument B</w:t>
            </w:r>
          </w:p>
        </w:tc>
        <w:tc>
          <w:tcPr>
            <w:tcW w:w="4320" w:type="dxa"/>
          </w:tcPr>
          <w:p w:rsidR="00E97882" w:rsidRPr="00482B21" w:rsidP="00E97882" w14:paraId="4903F3D9" w14:textId="00D1204C">
            <w:pPr>
              <w:rPr>
                <w:rFonts w:asciiTheme="minorHAnsi" w:hAnsiTheme="minorHAnsi" w:cstheme="minorHAnsi"/>
              </w:rPr>
            </w:pPr>
            <w:r w:rsidRPr="00482B21">
              <w:rPr>
                <w:rFonts w:asciiTheme="minorHAnsi" w:hAnsiTheme="minorHAnsi" w:cstheme="minorHAnsi"/>
                <w:b/>
              </w:rPr>
              <w:t>Respondents</w:t>
            </w:r>
            <w:r w:rsidRPr="00482B21">
              <w:rPr>
                <w:rFonts w:asciiTheme="minorHAnsi" w:hAnsiTheme="minorHAnsi" w:cstheme="minorHAnsi"/>
              </w:rPr>
              <w:t xml:space="preserve">: </w:t>
            </w:r>
            <w:r w:rsidRPr="00482B21" w:rsidR="00B13228">
              <w:rPr>
                <w:rFonts w:asciiTheme="minorHAnsi" w:hAnsiTheme="minorHAnsi" w:cstheme="minorHAnsi"/>
              </w:rPr>
              <w:t>Young adults age 18+ served by MFP and comparison group programs</w:t>
            </w:r>
          </w:p>
          <w:p w:rsidR="00B13228" w:rsidRPr="00482B21" w:rsidP="00E97882" w14:paraId="07DCFB4E" w14:textId="77777777">
            <w:pPr>
              <w:rPr>
                <w:rFonts w:asciiTheme="minorHAnsi" w:hAnsiTheme="minorHAnsi" w:cstheme="minorHAnsi"/>
              </w:rPr>
            </w:pPr>
          </w:p>
          <w:p w:rsidR="00E97882" w:rsidRPr="00482B21" w:rsidP="00E97882" w14:paraId="42C5E144" w14:textId="613963D3">
            <w:pPr>
              <w:rPr>
                <w:rFonts w:asciiTheme="minorHAnsi" w:hAnsiTheme="minorHAnsi" w:cstheme="minorHAnsi"/>
              </w:rPr>
            </w:pPr>
            <w:r w:rsidRPr="00482B21">
              <w:rPr>
                <w:rFonts w:asciiTheme="minorHAnsi" w:hAnsiTheme="minorHAnsi" w:cstheme="minorHAnsi"/>
                <w:b/>
              </w:rPr>
              <w:t>Content</w:t>
            </w:r>
            <w:r w:rsidRPr="00482B21">
              <w:rPr>
                <w:rFonts w:asciiTheme="minorHAnsi" w:hAnsiTheme="minorHAnsi" w:cstheme="minorHAnsi"/>
              </w:rPr>
              <w:t xml:space="preserve">: </w:t>
            </w:r>
            <w:r w:rsidRPr="00482B21" w:rsidR="00B13228">
              <w:rPr>
                <w:rFonts w:asciiTheme="minorHAnsi" w:hAnsiTheme="minorHAnsi" w:cstheme="minorHAnsi"/>
              </w:rPr>
              <w:t>Measures of housing stability, education, employment, independent living skills, income, benefits and debt, social connections, and well-being</w:t>
            </w:r>
          </w:p>
          <w:p w:rsidR="00B13228" w:rsidRPr="00482B21" w:rsidP="00E97882" w14:paraId="5075A32E" w14:textId="77777777">
            <w:pPr>
              <w:rPr>
                <w:rFonts w:asciiTheme="minorHAnsi" w:hAnsiTheme="minorHAnsi" w:cstheme="minorHAnsi"/>
              </w:rPr>
            </w:pPr>
          </w:p>
          <w:p w:rsidR="00E97882" w:rsidRPr="00482B21" w:rsidP="00E97882" w14:paraId="55A8BF33" w14:textId="5518D042">
            <w:pPr>
              <w:rPr>
                <w:rFonts w:asciiTheme="minorHAnsi" w:hAnsiTheme="minorHAnsi" w:cstheme="minorHAnsi"/>
                <w:b/>
              </w:rPr>
            </w:pPr>
            <w:r w:rsidRPr="00482B21">
              <w:rPr>
                <w:rFonts w:asciiTheme="minorHAnsi" w:hAnsiTheme="minorHAnsi" w:cstheme="minorHAnsi"/>
                <w:b/>
              </w:rPr>
              <w:t>Purpose</w:t>
            </w:r>
            <w:r w:rsidRPr="00482B21">
              <w:rPr>
                <w:rFonts w:asciiTheme="minorHAnsi" w:hAnsiTheme="minorHAnsi" w:cstheme="minorHAnsi"/>
              </w:rPr>
              <w:t xml:space="preserve">: </w:t>
            </w:r>
            <w:r w:rsidRPr="00482B21" w:rsidR="00B13228">
              <w:rPr>
                <w:rFonts w:asciiTheme="minorHAnsi" w:hAnsiTheme="minorHAnsi" w:cstheme="minorHAnsi"/>
              </w:rPr>
              <w:t>To measure change over time in key outcomes</w:t>
            </w:r>
          </w:p>
        </w:tc>
        <w:tc>
          <w:tcPr>
            <w:tcW w:w="1890" w:type="dxa"/>
          </w:tcPr>
          <w:p w:rsidR="00E97882" w:rsidRPr="00482B21" w:rsidP="00E97882" w14:paraId="1A6515A2" w14:textId="77777777">
            <w:pPr>
              <w:rPr>
                <w:rFonts w:asciiTheme="minorHAnsi" w:hAnsiTheme="minorHAnsi" w:cstheme="minorHAnsi"/>
              </w:rPr>
            </w:pPr>
            <w:r w:rsidRPr="00482B21">
              <w:rPr>
                <w:rFonts w:asciiTheme="minorHAnsi" w:hAnsiTheme="minorHAnsi" w:cstheme="minorHAnsi"/>
                <w:b/>
              </w:rPr>
              <w:t>Mode</w:t>
            </w:r>
            <w:r w:rsidRPr="00482B21">
              <w:rPr>
                <w:rFonts w:asciiTheme="minorHAnsi" w:hAnsiTheme="minorHAnsi" w:cstheme="minorHAnsi"/>
              </w:rPr>
              <w:t>: web-based</w:t>
            </w:r>
          </w:p>
          <w:p w:rsidR="00E97882" w:rsidRPr="00482B21" w:rsidP="00E97882" w14:paraId="32FB9688" w14:textId="77777777">
            <w:pPr>
              <w:rPr>
                <w:rFonts w:asciiTheme="minorHAnsi" w:hAnsiTheme="minorHAnsi" w:cstheme="minorHAnsi"/>
              </w:rPr>
            </w:pPr>
          </w:p>
          <w:p w:rsidR="00E97882" w:rsidRPr="00482B21" w:rsidP="00E97882" w14:paraId="45BBEEC7" w14:textId="6749A733">
            <w:pPr>
              <w:rPr>
                <w:rFonts w:asciiTheme="minorHAnsi" w:hAnsiTheme="minorHAnsi" w:cstheme="minorHAnsi"/>
                <w:b/>
              </w:rPr>
            </w:pPr>
            <w:r w:rsidRPr="00482B21">
              <w:rPr>
                <w:rFonts w:asciiTheme="minorHAnsi" w:hAnsiTheme="minorHAnsi" w:cstheme="minorHAnsi"/>
                <w:b/>
              </w:rPr>
              <w:t>Duration</w:t>
            </w:r>
            <w:r w:rsidRPr="00482B21">
              <w:rPr>
                <w:rFonts w:asciiTheme="minorHAnsi" w:hAnsiTheme="minorHAnsi" w:cstheme="minorHAnsi"/>
              </w:rPr>
              <w:t xml:space="preserve">: </w:t>
            </w:r>
            <w:r w:rsidR="00036D01">
              <w:rPr>
                <w:rFonts w:asciiTheme="minorHAnsi" w:hAnsiTheme="minorHAnsi" w:cstheme="minorHAnsi"/>
              </w:rPr>
              <w:t>30</w:t>
            </w:r>
            <w:r w:rsidRPr="00482B21" w:rsidR="00AA4A30">
              <w:rPr>
                <w:rFonts w:asciiTheme="minorHAnsi" w:hAnsiTheme="minorHAnsi" w:cstheme="minorHAnsi"/>
              </w:rPr>
              <w:t xml:space="preserve"> </w:t>
            </w:r>
            <w:r w:rsidRPr="00482B21">
              <w:rPr>
                <w:rFonts w:asciiTheme="minorHAnsi" w:hAnsiTheme="minorHAnsi" w:cstheme="minorHAnsi"/>
              </w:rPr>
              <w:t>minute</w:t>
            </w:r>
            <w:r w:rsidRPr="00482B21" w:rsidR="00AA4A30">
              <w:rPr>
                <w:rFonts w:asciiTheme="minorHAnsi" w:hAnsiTheme="minorHAnsi" w:cstheme="minorHAnsi"/>
              </w:rPr>
              <w:t>s/survey</w:t>
            </w:r>
          </w:p>
        </w:tc>
      </w:tr>
    </w:tbl>
    <w:p w:rsidR="00D75003" w:rsidP="002F057C" w14:paraId="3936A20B" w14:textId="77777777">
      <w:pPr>
        <w:spacing w:after="60"/>
        <w:rPr>
          <w:i/>
        </w:rPr>
      </w:pPr>
    </w:p>
    <w:p w:rsidR="001D1386" w:rsidP="002F057C" w14:paraId="3EA139F4" w14:textId="77777777">
      <w:pPr>
        <w:spacing w:after="60"/>
        <w:rPr>
          <w:i/>
        </w:rPr>
      </w:pPr>
    </w:p>
    <w:p w:rsidR="002F057C" w:rsidRPr="009139B3" w:rsidP="002F057C" w14:paraId="637CD815" w14:textId="3E721258">
      <w:pPr>
        <w:spacing w:after="60"/>
        <w:rPr>
          <w:i/>
        </w:rPr>
      </w:pPr>
      <w:r w:rsidRPr="009139B3">
        <w:rPr>
          <w:i/>
        </w:rPr>
        <w:t>Other Data Sources and Uses of Information</w:t>
      </w:r>
    </w:p>
    <w:p w:rsidR="0092420A" w:rsidP="00DB3A9F" w14:paraId="144FD9BA" w14:textId="5961F1CD">
      <w:pPr>
        <w:spacing w:after="0" w:line="240" w:lineRule="auto"/>
      </w:pPr>
      <w:r>
        <w:t xml:space="preserve">We will access existing data sources whenever possible </w:t>
      </w:r>
      <w:r w:rsidR="002A4D1E">
        <w:t>to reduce the burden on study</w:t>
      </w:r>
      <w:r w:rsidR="00F94DAD">
        <w:t xml:space="preserve"> participants</w:t>
      </w:r>
      <w:r w:rsidR="00BA3F53">
        <w:t xml:space="preserve">. </w:t>
      </w:r>
      <w:r>
        <w:t xml:space="preserve"> </w:t>
      </w:r>
    </w:p>
    <w:p w:rsidR="0077492B" w:rsidRPr="00596414" w:rsidP="00BA3F53" w14:paraId="61AB2CE8" w14:textId="77777777">
      <w:pPr>
        <w:spacing w:after="0"/>
        <w:rPr>
          <w:rFonts w:cs="Times New Roman"/>
          <w:szCs w:val="24"/>
        </w:rPr>
      </w:pPr>
    </w:p>
    <w:p w:rsidR="001D1C73" w:rsidRPr="009139B3" w:rsidP="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001D1C73" w:rsidRPr="009139B3" w:rsidP="00BA3F53" w14:paraId="381FEAAD" w14:textId="172AFC29">
      <w:pPr>
        <w:keepNext/>
      </w:pPr>
      <w:r w:rsidRPr="3F6BF669">
        <w:rPr>
          <w:rFonts w:cs="Times New Roman"/>
        </w:rPr>
        <w:t xml:space="preserve">Surveys will be administered </w:t>
      </w:r>
      <w:r w:rsidRPr="3F6BF669" w:rsidR="00407019">
        <w:rPr>
          <w:rFonts w:cs="Times New Roman"/>
        </w:rPr>
        <w:t>via</w:t>
      </w:r>
      <w:r w:rsidRPr="3F6BF669">
        <w:rPr>
          <w:rFonts w:cs="Times New Roman"/>
        </w:rPr>
        <w:t xml:space="preserve"> the web. </w:t>
      </w:r>
    </w:p>
    <w:p w:rsidR="001D1C73" w:rsidRPr="009139B3" w:rsidP="001D1C73" w14:paraId="3B7ABC79" w14:textId="77777777">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001D1C73" w:rsidRPr="009139B3" w:rsidP="00BA3F53" w14:paraId="23E0A2E3" w14:textId="76780CC9">
      <w:pPr>
        <w:spacing w:after="0"/>
      </w:pPr>
      <w:r>
        <w:rPr>
          <w:rFonts w:cs="Times New Roman"/>
        </w:rPr>
        <w:t>The</w:t>
      </w:r>
      <w:r w:rsidR="00B73F5A">
        <w:rPr>
          <w:rFonts w:cs="Times New Roman"/>
        </w:rPr>
        <w:t xml:space="preserve"> study team has done a careful review</w:t>
      </w:r>
      <w:r>
        <w:rPr>
          <w:rFonts w:cs="Times New Roman"/>
        </w:rPr>
        <w:t xml:space="preserve"> to determine what information is already available from existing studies and program documents </w:t>
      </w:r>
      <w:r w:rsidR="00B73F5A">
        <w:rPr>
          <w:rFonts w:cs="Times New Roman"/>
        </w:rPr>
        <w:t xml:space="preserve">to inform this work </w:t>
      </w:r>
      <w:r>
        <w:rPr>
          <w:rFonts w:cs="Times New Roman"/>
        </w:rPr>
        <w:t xml:space="preserve">and what </w:t>
      </w:r>
      <w:r w:rsidR="00B73F5A">
        <w:rPr>
          <w:rFonts w:cs="Times New Roman"/>
        </w:rPr>
        <w:t xml:space="preserve">will likely </w:t>
      </w:r>
      <w:r>
        <w:rPr>
          <w:rFonts w:cs="Times New Roman"/>
        </w:rPr>
        <w:t xml:space="preserve">need to be collected for the first time. </w:t>
      </w:r>
      <w:r w:rsidR="00D26404">
        <w:rPr>
          <w:rFonts w:cs="Times New Roman"/>
        </w:rPr>
        <w:t>As</w:t>
      </w:r>
      <w:r w:rsidR="001B086C">
        <w:rPr>
          <w:rFonts w:cs="Times New Roman"/>
        </w:rPr>
        <w:t xml:space="preserve"> comparable </w:t>
      </w:r>
      <w:r w:rsidR="00D26404">
        <w:rPr>
          <w:rFonts w:cs="Times New Roman"/>
        </w:rPr>
        <w:t xml:space="preserve">administrative </w:t>
      </w:r>
      <w:r w:rsidR="001B086C">
        <w:rPr>
          <w:rFonts w:cs="Times New Roman"/>
        </w:rPr>
        <w:t xml:space="preserve">data </w:t>
      </w:r>
      <w:r w:rsidR="00D26404">
        <w:rPr>
          <w:rFonts w:cs="Times New Roman"/>
        </w:rPr>
        <w:t>is not available from</w:t>
      </w:r>
      <w:r w:rsidR="001B086C">
        <w:rPr>
          <w:rFonts w:cs="Times New Roman"/>
        </w:rPr>
        <w:t xml:space="preserve"> the treatment and comparison groups, </w:t>
      </w:r>
      <w:r w:rsidR="00B63E89">
        <w:rPr>
          <w:rFonts w:cs="Times New Roman"/>
        </w:rPr>
        <w:t>we</w:t>
      </w:r>
      <w:r w:rsidRPr="00B63E89" w:rsidR="00B63E89">
        <w:rPr>
          <w:rFonts w:cs="Times New Roman"/>
        </w:rPr>
        <w:t xml:space="preserve"> must collect </w:t>
      </w:r>
      <w:r w:rsidR="00912824">
        <w:rPr>
          <w:rFonts w:cs="Times New Roman"/>
        </w:rPr>
        <w:t xml:space="preserve">primary </w:t>
      </w:r>
      <w:r w:rsidRPr="00B63E89" w:rsidR="00B63E89">
        <w:rPr>
          <w:rFonts w:cs="Times New Roman"/>
        </w:rPr>
        <w:t xml:space="preserve">data from all groups </w:t>
      </w:r>
      <w:r w:rsidR="00B63E89">
        <w:rPr>
          <w:rFonts w:cs="Times New Roman"/>
        </w:rPr>
        <w:t xml:space="preserve">via surveys </w:t>
      </w:r>
      <w:r w:rsidRPr="00B63E89" w:rsidR="00B63E89">
        <w:rPr>
          <w:rFonts w:cs="Times New Roman"/>
        </w:rPr>
        <w:t>to be consistent and allow for cross-group analysis.</w:t>
      </w:r>
      <w:r w:rsidR="00B63E89">
        <w:rPr>
          <w:rFonts w:cs="Times New Roman"/>
        </w:rPr>
        <w:t xml:space="preserve"> </w:t>
      </w:r>
      <w:r>
        <w:rPr>
          <w:rFonts w:cs="Times New Roman"/>
        </w:rPr>
        <w:t xml:space="preserve">This data collection is intended to yield new and useful information about programs serving youth </w:t>
      </w:r>
      <w:r w:rsidR="0013272A">
        <w:rPr>
          <w:rFonts w:cs="Times New Roman"/>
        </w:rPr>
        <w:t xml:space="preserve">and young adults </w:t>
      </w:r>
      <w:r>
        <w:rPr>
          <w:rFonts w:cs="Times New Roman"/>
        </w:rPr>
        <w:t>with foster care experience</w:t>
      </w:r>
      <w:r w:rsidR="00DB3A9F">
        <w:rPr>
          <w:rFonts w:cs="Times New Roman"/>
        </w:rPr>
        <w:t xml:space="preserve"> in Los Angeles</w:t>
      </w:r>
      <w:r>
        <w:rPr>
          <w:rFonts w:cs="Times New Roman"/>
        </w:rPr>
        <w:t>.</w:t>
      </w:r>
    </w:p>
    <w:p w:rsidR="001D1C73" w:rsidRPr="009139B3" w:rsidP="001D1C73" w14:paraId="7BD59622" w14:textId="77777777">
      <w:pPr>
        <w:spacing w:after="0" w:line="240" w:lineRule="auto"/>
      </w:pPr>
    </w:p>
    <w:p w:rsidR="001D1C73" w:rsidP="001D1C73" w14:paraId="4BED94FB" w14:textId="4162E0BE">
      <w:pPr>
        <w:spacing w:after="120" w:line="240" w:lineRule="auto"/>
      </w:pPr>
      <w:r w:rsidRPr="009139B3">
        <w:rPr>
          <w:b/>
        </w:rPr>
        <w:t>A5</w:t>
      </w:r>
      <w:r w:rsidRPr="009139B3">
        <w:t>.</w:t>
      </w:r>
      <w:r w:rsidRPr="009139B3">
        <w:tab/>
      </w:r>
      <w:r w:rsidRPr="009139B3">
        <w:rPr>
          <w:b/>
        </w:rPr>
        <w:t>Impact on Small Businesses</w:t>
      </w:r>
      <w:r w:rsidRPr="009139B3">
        <w:t xml:space="preserve"> </w:t>
      </w:r>
    </w:p>
    <w:p w:rsidR="001D1C73" w:rsidRPr="00AF53D1" w:rsidP="00053C95" w14:paraId="69B7A867" w14:textId="23A5CE46">
      <w:pPr>
        <w:spacing w:after="0"/>
        <w:rPr>
          <w:rFonts w:cs="Times New Roman"/>
        </w:rPr>
      </w:pPr>
      <w:r>
        <w:t xml:space="preserve">Staff at smaller </w:t>
      </w:r>
      <w:r w:rsidR="00593AFB">
        <w:t xml:space="preserve">youth-serving </w:t>
      </w:r>
      <w:r w:rsidR="002C2646">
        <w:t>agencies</w:t>
      </w:r>
      <w:r>
        <w:t xml:space="preserve"> may be part of this data collection effort if they serve </w:t>
      </w:r>
      <w:r w:rsidR="0013272A">
        <w:t xml:space="preserve">young adults </w:t>
      </w:r>
      <w:r>
        <w:t>with foster care experience.</w:t>
      </w:r>
      <w:r w:rsidR="009A065F">
        <w:t xml:space="preserve"> We will minimize the impact on these staff by providing</w:t>
      </w:r>
      <w:r w:rsidR="00CC33EB">
        <w:t xml:space="preserve"> </w:t>
      </w:r>
      <w:r w:rsidR="000943C5">
        <w:t>recruitment materials program staff</w:t>
      </w:r>
      <w:r w:rsidR="009A065F">
        <w:t xml:space="preserve"> can share with prospective participants</w:t>
      </w:r>
      <w:r w:rsidR="009A14DA">
        <w:t>.</w:t>
      </w:r>
      <w:r>
        <w:t xml:space="preserve">  </w:t>
      </w:r>
    </w:p>
    <w:p w:rsidR="009D6E2A" w:rsidRPr="009139B3" w:rsidP="001D1C73" w14:paraId="3722A889" w14:textId="77777777">
      <w:pPr>
        <w:spacing w:after="0" w:line="240" w:lineRule="auto"/>
      </w:pPr>
    </w:p>
    <w:p w:rsidR="001D1C73" w:rsidRPr="009139B3" w:rsidP="001D1C73" w14:paraId="190C1007" w14:textId="77777777">
      <w:pPr>
        <w:spacing w:after="120"/>
      </w:pPr>
      <w:r w:rsidRPr="009139B3">
        <w:rPr>
          <w:b/>
        </w:rPr>
        <w:t>A6</w:t>
      </w:r>
      <w:r w:rsidRPr="009139B3">
        <w:t>.</w:t>
      </w:r>
      <w:r w:rsidRPr="009139B3">
        <w:tab/>
      </w:r>
      <w:r w:rsidRPr="009139B3">
        <w:rPr>
          <w:b/>
        </w:rPr>
        <w:t>Consequences of Less Frequent Collection</w:t>
      </w:r>
      <w:r w:rsidRPr="009139B3">
        <w:t xml:space="preserve">  </w:t>
      </w:r>
    </w:p>
    <w:p w:rsidR="001D1C73" w:rsidRPr="009139B3" w:rsidP="00AF53D1" w14:paraId="7ECFA3F2" w14:textId="7C9A7AF4">
      <w:pPr>
        <w:spacing w:after="0"/>
      </w:pPr>
      <w:r>
        <w:t xml:space="preserve">Rigorous evaluation of innovative initiatives is crucial to building evidence of what works and how best to allocate government resources. These data collection undertakings represent an important opportunity for ACF to both learn about activities associated with </w:t>
      </w:r>
      <w:r w:rsidR="001674F3">
        <w:t xml:space="preserve">child welfare </w:t>
      </w:r>
      <w:r>
        <w:t xml:space="preserve">and the Chafee program, and to design evaluations that </w:t>
      </w:r>
      <w:r w:rsidR="000D29CC">
        <w:t xml:space="preserve">increase </w:t>
      </w:r>
      <w:r>
        <w:t xml:space="preserve">our knowledge of how </w:t>
      </w:r>
      <w:r w:rsidRPr="00A93641">
        <w:t>to improve service delivery and uptake.</w:t>
      </w:r>
      <w:r w:rsidRPr="00A93641" w:rsidR="001674F3">
        <w:t xml:space="preserve"> </w:t>
      </w:r>
      <w:r w:rsidRPr="00A93641">
        <w:t xml:space="preserve">Not collecting information from </w:t>
      </w:r>
      <w:r w:rsidRPr="00A93641" w:rsidR="00825388">
        <w:t>you</w:t>
      </w:r>
      <w:r w:rsidR="003058A2">
        <w:t>ng adults</w:t>
      </w:r>
      <w:r w:rsidRPr="00A93641">
        <w:t xml:space="preserve"> would limit the government’s ability to learn about and test program services</w:t>
      </w:r>
      <w:r>
        <w:t xml:space="preserve"> and components that lead to improved outcomes for </w:t>
      </w:r>
      <w:r w:rsidR="0013272A">
        <w:t>young adults</w:t>
      </w:r>
      <w:r>
        <w:t xml:space="preserve"> transitioning from foster care. </w:t>
      </w:r>
    </w:p>
    <w:p w:rsidR="001D1C73" w:rsidRPr="009139B3" w:rsidP="001D1C73" w14:paraId="460558B7" w14:textId="77777777">
      <w:pPr>
        <w:spacing w:after="0"/>
      </w:pPr>
    </w:p>
    <w:p w:rsidR="001D1C73" w:rsidRPr="009139B3" w:rsidP="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001D1C73" w:rsidRPr="009139B3" w:rsidP="001D1C73" w14:paraId="0235E4A4" w14:textId="77777777">
      <w:pPr>
        <w:spacing w:after="0" w:line="240" w:lineRule="auto"/>
        <w:rPr>
          <w:b/>
        </w:rPr>
      </w:pPr>
    </w:p>
    <w:p w:rsidR="001D1C73" w:rsidRPr="009139B3" w:rsidP="001D1C73" w14:paraId="68912205" w14:textId="77777777">
      <w:pPr>
        <w:spacing w:after="120"/>
        <w:rPr>
          <w:b/>
        </w:rPr>
      </w:pPr>
      <w:r w:rsidRPr="009139B3">
        <w:rPr>
          <w:b/>
        </w:rPr>
        <w:t>A8</w:t>
      </w:r>
      <w:r w:rsidRPr="009139B3">
        <w:t>.</w:t>
      </w:r>
      <w:r w:rsidRPr="009139B3">
        <w:tab/>
      </w:r>
      <w:r w:rsidRPr="009139B3">
        <w:rPr>
          <w:b/>
        </w:rPr>
        <w:t>Consultation</w:t>
      </w:r>
    </w:p>
    <w:p w:rsidR="002D0891" w:rsidRPr="009139B3" w:rsidP="003E3105" w14:paraId="50E657CD" w14:textId="77777777">
      <w:pPr>
        <w:spacing w:after="60"/>
        <w:rPr>
          <w:i/>
        </w:rPr>
      </w:pPr>
      <w:r w:rsidRPr="009139B3">
        <w:rPr>
          <w:i/>
        </w:rPr>
        <w:t>Federal Register Notice and Comments</w:t>
      </w:r>
    </w:p>
    <w:p w:rsidR="002D0891" w:rsidRPr="009139B3" w:rsidP="002D0891" w14:paraId="2FC32B24" w14:textId="12CDCBDE">
      <w:pPr>
        <w:spacing w:after="0"/>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w:t>
      </w:r>
      <w:r w:rsidR="009C0320">
        <w:t>the proposed establishment of an overarching generic</w:t>
      </w:r>
      <w:r w:rsidRPr="009139B3">
        <w:t xml:space="preserve">.  This notice was published on </w:t>
      </w:r>
      <w:r>
        <w:t>May 15, 2023 (88 FR 30978</w:t>
      </w:r>
      <w:r w:rsidRPr="009D6E2A">
        <w:t>)</w:t>
      </w:r>
      <w:r w:rsidRPr="00053C95">
        <w:t xml:space="preserve"> and provided a sixty-day period for public comment</w:t>
      </w:r>
      <w:r w:rsidRPr="00302744">
        <w:t xml:space="preserve">.  </w:t>
      </w:r>
      <w:r w:rsidR="00204012">
        <w:t xml:space="preserve">No comments were received during the initial public comment period. A subsequent notice was </w:t>
      </w:r>
      <w:r w:rsidRPr="009139B3" w:rsidR="00204012">
        <w:t xml:space="preserve">published on </w:t>
      </w:r>
      <w:r w:rsidR="00204012">
        <w:t>July 25, 2023 (88 FR 47882</w:t>
      </w:r>
      <w:r w:rsidRPr="009D6E2A" w:rsidR="00204012">
        <w:t>)</w:t>
      </w:r>
      <w:r w:rsidRPr="00053C95" w:rsidR="00204012">
        <w:t xml:space="preserve"> and provided a </w:t>
      </w:r>
      <w:r w:rsidR="00204012">
        <w:t>thirty</w:t>
      </w:r>
      <w:r w:rsidRPr="00053C95" w:rsidR="00204012">
        <w:t>-day period for public comment</w:t>
      </w:r>
      <w:r w:rsidRPr="00302744" w:rsidR="00204012">
        <w:t xml:space="preserve"> </w:t>
      </w:r>
      <w:r w:rsidRPr="00302744">
        <w:t>During the notice and comment period, 1 comment was received</w:t>
      </w:r>
      <w:r w:rsidR="00204012">
        <w:t>. A response was submitted to OMB with the 2023 request materials.</w:t>
      </w:r>
      <w:r w:rsidRPr="009139B3">
        <w:t xml:space="preserve"> </w:t>
      </w:r>
    </w:p>
    <w:p w:rsidR="001D1C73" w:rsidP="001D1C73" w14:paraId="68DB4E07" w14:textId="77777777">
      <w:pPr>
        <w:spacing w:after="0"/>
      </w:pPr>
    </w:p>
    <w:p w:rsidR="00F2027D" w:rsidP="00F2027D" w14:paraId="09801C22" w14:textId="1ABCE5D0">
      <w:pPr>
        <w:spacing w:after="0"/>
        <w:rPr>
          <w:rFonts w:cstheme="minorHAnsi"/>
        </w:rPr>
      </w:pPr>
      <w:r w:rsidRPr="00D46142">
        <w:rPr>
          <w:bCs/>
        </w:rPr>
        <w:t xml:space="preserve">ACF is in the process of requesting an extension from OMB for the umbrella generic. The 60-day comment period </w:t>
      </w:r>
      <w:r w:rsidRPr="007D3CE4">
        <w:rPr>
          <w:bCs/>
        </w:rPr>
        <w:t xml:space="preserve">is in process (91 FR </w:t>
      </w:r>
      <w:r w:rsidRPr="007D3CE4" w:rsidR="001C2669">
        <w:rPr>
          <w:bCs/>
        </w:rPr>
        <w:t>22841</w:t>
      </w:r>
      <w:r w:rsidRPr="007D3CE4">
        <w:rPr>
          <w:bCs/>
        </w:rPr>
        <w:t>)</w:t>
      </w:r>
      <w:r w:rsidRPr="008E4FBD">
        <w:rPr>
          <w:bCs/>
        </w:rPr>
        <w:t>.</w:t>
      </w:r>
    </w:p>
    <w:p w:rsidR="00F2027D" w:rsidRPr="009139B3" w:rsidP="001D1C73" w14:paraId="1766E510" w14:textId="77777777">
      <w:pPr>
        <w:spacing w:after="0"/>
      </w:pPr>
    </w:p>
    <w:p w:rsidR="001D1C73" w:rsidRPr="00697365" w:rsidP="001D1C73" w14:paraId="404D40E1" w14:textId="77777777">
      <w:pPr>
        <w:pStyle w:val="Heading4"/>
        <w:spacing w:before="0"/>
        <w:rPr>
          <w:rFonts w:asciiTheme="minorHAnsi" w:hAnsiTheme="minorHAnsi" w:cstheme="minorHAnsi"/>
          <w:b w:val="0"/>
          <w:i/>
          <w:sz w:val="22"/>
          <w:szCs w:val="22"/>
        </w:rPr>
      </w:pPr>
      <w:r w:rsidRPr="00697365">
        <w:rPr>
          <w:rFonts w:asciiTheme="minorHAnsi" w:hAnsiTheme="minorHAnsi" w:cstheme="minorHAnsi"/>
          <w:b w:val="0"/>
          <w:i/>
          <w:sz w:val="22"/>
          <w:szCs w:val="22"/>
        </w:rPr>
        <w:t>Consultation with Experts Outside of the Study</w:t>
      </w:r>
    </w:p>
    <w:p w:rsidR="001D1C73" w:rsidRPr="00AF53D1" w:rsidP="00053C95" w14:paraId="6EBEC583" w14:textId="31B5FD29">
      <w:pPr>
        <w:spacing w:after="0"/>
        <w:rPr>
          <w:rFonts w:cs="Times New Roman"/>
          <w:szCs w:val="24"/>
        </w:rPr>
      </w:pPr>
      <w:r>
        <w:rPr>
          <w:rFonts w:cs="Times New Roman"/>
          <w:szCs w:val="24"/>
        </w:rPr>
        <w:t xml:space="preserve">We </w:t>
      </w:r>
      <w:r>
        <w:t>have consulted and may continue to</w:t>
      </w:r>
      <w:r>
        <w:rPr>
          <w:rFonts w:cs="Times New Roman"/>
          <w:szCs w:val="24"/>
        </w:rPr>
        <w:t xml:space="preserve"> consult with relevant stakeholders and experts on the study design and data collection instruments. </w:t>
      </w:r>
    </w:p>
    <w:p w:rsidR="001D1C73" w:rsidRPr="009139B3" w:rsidP="001D1C73" w14:paraId="1184C5C2" w14:textId="77777777">
      <w:pPr>
        <w:spacing w:after="0"/>
      </w:pPr>
    </w:p>
    <w:p w:rsidR="001D1C73" w:rsidRPr="009139B3" w:rsidP="001D1C73" w14:paraId="2DA362B8" w14:textId="77777777">
      <w:pPr>
        <w:spacing w:after="120" w:line="240" w:lineRule="auto"/>
      </w:pPr>
      <w:r w:rsidRPr="009139B3">
        <w:rPr>
          <w:b/>
        </w:rPr>
        <w:t>A9</w:t>
      </w:r>
      <w:r w:rsidRPr="009139B3">
        <w:t>.</w:t>
      </w:r>
      <w:r w:rsidRPr="009139B3">
        <w:tab/>
      </w:r>
      <w:r w:rsidRPr="009139B3">
        <w:rPr>
          <w:b/>
        </w:rPr>
        <w:t>Tokens of Appreciation</w:t>
      </w:r>
    </w:p>
    <w:p w:rsidR="001D1C73" w:rsidRPr="009139B3" w:rsidP="001D1C73" w14:paraId="0780E74A" w14:textId="37658064">
      <w:pPr>
        <w:spacing w:after="0"/>
      </w:pPr>
      <w:r>
        <w:t xml:space="preserve">Young adults transitioning out of foster care can be a </w:t>
      </w:r>
      <w:r w:rsidRPr="006F7AA5">
        <w:t>notoriously difficult group to track; therefore, we anticipate challenges tracking young adults and engaging them for follow-up surveys.</w:t>
      </w:r>
      <w:r>
        <w:t xml:space="preserve"> To increase participation rates, s</w:t>
      </w:r>
      <w:r w:rsidRPr="00FE26F9" w:rsidR="00BE7AE1">
        <w:t>tudy participants</w:t>
      </w:r>
      <w:r w:rsidRPr="00FE26F9" w:rsidR="00EF1873">
        <w:t xml:space="preserve"> will be </w:t>
      </w:r>
      <w:r w:rsidRPr="00FE26F9" w:rsidR="00BE7AE1">
        <w:t>provided</w:t>
      </w:r>
      <w:r w:rsidRPr="00FE26F9" w:rsidR="00BE7AE1">
        <w:t xml:space="preserve"> a</w:t>
      </w:r>
      <w:r w:rsidRPr="00FE26F9" w:rsidR="00EF1873">
        <w:t xml:space="preserve"> $50 </w:t>
      </w:r>
      <w:r w:rsidRPr="00FE26F9" w:rsidR="00BE7AE1">
        <w:t xml:space="preserve">gift card as a token of appreciation </w:t>
      </w:r>
      <w:r w:rsidRPr="00FE26F9" w:rsidR="00EF1873">
        <w:t>for completing each survey.  </w:t>
      </w:r>
      <w:r w:rsidRPr="00150372" w:rsidR="00BD70B9">
        <w:t xml:space="preserve">Participants who complete the survey within two days of receiving the survey link will receive a $5 bonus and those who complete </w:t>
      </w:r>
      <w:r w:rsidRPr="00150372" w:rsidR="0070303C">
        <w:t xml:space="preserve">both </w:t>
      </w:r>
      <w:r w:rsidRPr="00150372" w:rsidR="00BD70B9">
        <w:t xml:space="preserve">the baseline and the final follow-up survey will receive a $50 bonus. </w:t>
      </w:r>
      <w:r w:rsidR="008251DF">
        <w:t xml:space="preserve">Tokens of appreciation </w:t>
      </w:r>
      <w:r w:rsidRPr="008251DF" w:rsidR="008251DF">
        <w:t xml:space="preserve">have been consistently shown to increase response rates and reduce attrition, two of the most significant threats to validity in longitudinal </w:t>
      </w:r>
      <w:r w:rsidR="00111AA1">
        <w:t>studies such as this one</w:t>
      </w:r>
      <w:r w:rsidRPr="008251DF" w:rsidR="008251DF">
        <w:t xml:space="preserve">. Studies demonstrate that both the presence and value of </w:t>
      </w:r>
      <w:r w:rsidR="008E4FBD">
        <w:t xml:space="preserve">monetary tokens of appreciation </w:t>
      </w:r>
      <w:r w:rsidRPr="008251DF" w:rsidR="008251DF">
        <w:t>can meaningfully improve wave</w:t>
      </w:r>
      <w:r w:rsidRPr="008251DF" w:rsidR="008251DF">
        <w:noBreakHyphen/>
        <w:t>to</w:t>
      </w:r>
      <w:r w:rsidRPr="008251DF" w:rsidR="008251DF">
        <w:noBreakHyphen/>
        <w:t>wave retention, particularly among groups at higher risk of dropout</w:t>
      </w:r>
      <w:r w:rsidR="001449F8">
        <w:t xml:space="preserve"> such as young adults</w:t>
      </w:r>
      <w:r w:rsidRPr="008251DF" w:rsidR="008251DF">
        <w:t>, thereby reducing non</w:t>
      </w:r>
      <w:r w:rsidRPr="008251DF" w:rsidR="008251DF">
        <w:noBreakHyphen/>
        <w:t>response bias and preserving sample representativeness</w:t>
      </w:r>
      <w:r>
        <w:rPr>
          <w:rStyle w:val="FootnoteReference"/>
        </w:rPr>
        <w:footnoteReference w:id="3"/>
      </w:r>
      <w:r w:rsidR="003D0A30">
        <w:t xml:space="preserve"> </w:t>
      </w:r>
      <w:r>
        <w:rPr>
          <w:rStyle w:val="FootnoteReference"/>
        </w:rPr>
        <w:footnoteReference w:id="4"/>
      </w:r>
      <w:r w:rsidRPr="008251DF" w:rsidR="008251DF">
        <w:t xml:space="preserve">. </w:t>
      </w:r>
      <w:r w:rsidR="007D3CE4">
        <w:t>The use of tokens of appreciation</w:t>
      </w:r>
      <w:r w:rsidR="00F716DC">
        <w:t>, including tiered amounts, bonuses, and pre-payment structures,</w:t>
      </w:r>
      <w:r w:rsidR="007D3CE4">
        <w:t xml:space="preserve"> in federally funded </w:t>
      </w:r>
      <w:r w:rsidR="00F716DC">
        <w:t xml:space="preserve">studies with young adult respondents </w:t>
      </w:r>
      <w:r w:rsidR="007D3CE4">
        <w:t xml:space="preserve">is a beneficial mechanism to improve response rates and therefore data quality and utility. </w:t>
      </w:r>
      <w:r w:rsidR="00FE26F9">
        <w:t xml:space="preserve">For example, </w:t>
      </w:r>
      <w:r w:rsidR="00F716DC">
        <w:t xml:space="preserve">the </w:t>
      </w:r>
      <w:r w:rsidRPr="001419C5" w:rsidR="001419C5">
        <w:t>Population Assessment of Tobacco and Health</w:t>
      </w:r>
      <w:r w:rsidR="001419C5">
        <w:t xml:space="preserve"> (</w:t>
      </w:r>
      <w:r w:rsidR="00F716DC">
        <w:t>PATH</w:t>
      </w:r>
      <w:r w:rsidR="001419C5">
        <w:t>)</w:t>
      </w:r>
      <w:r w:rsidR="00F716DC">
        <w:t xml:space="preserve"> study (OMB control number </w:t>
      </w:r>
      <w:r w:rsidRPr="001419C5" w:rsidR="00F716DC">
        <w:rPr>
          <w:i/>
          <w:iCs/>
        </w:rPr>
        <w:t>0925-0664</w:t>
      </w:r>
      <w:r w:rsidR="00F716DC">
        <w:t xml:space="preserve">) and the National Longitudinal Survey of Youth </w:t>
      </w:r>
      <w:r w:rsidR="001419C5">
        <w:t>19</w:t>
      </w:r>
      <w:r w:rsidR="00F716DC">
        <w:t xml:space="preserve">97 </w:t>
      </w:r>
      <w:r w:rsidR="001419C5">
        <w:t xml:space="preserve">(NLSY97) </w:t>
      </w:r>
      <w:r w:rsidR="00F716DC">
        <w:t xml:space="preserve">(OMB control number </w:t>
      </w:r>
      <w:r w:rsidRPr="001419C5" w:rsidR="00F716DC">
        <w:rPr>
          <w:i/>
          <w:iCs/>
        </w:rPr>
        <w:t>1220-0157</w:t>
      </w:r>
      <w:r w:rsidR="00F716DC">
        <w:t>) provide tiered amounts of tokens of appreciation over time to incentivize high retention rates</w:t>
      </w:r>
      <w:r>
        <w:rPr>
          <w:rStyle w:val="FootnoteReference"/>
        </w:rPr>
        <w:footnoteReference w:id="5"/>
      </w:r>
      <w:r w:rsidR="00FE26F9">
        <w:t xml:space="preserve">. </w:t>
      </w:r>
    </w:p>
    <w:p w:rsidR="001D1C73" w:rsidRPr="009139B3" w:rsidP="001D1C73" w14:paraId="7735BE59" w14:textId="77777777">
      <w:pPr>
        <w:spacing w:after="0"/>
      </w:pPr>
    </w:p>
    <w:p w:rsidR="001D1C73" w:rsidRPr="007419FF" w:rsidP="001D1C73" w14:paraId="63D44C93" w14:textId="63C457E1">
      <w:pPr>
        <w:spacing w:after="120" w:line="240" w:lineRule="auto"/>
      </w:pPr>
      <w:r w:rsidRPr="007419FF">
        <w:rPr>
          <w:b/>
        </w:rPr>
        <w:t>A10</w:t>
      </w:r>
      <w:r w:rsidRPr="007419FF">
        <w:t>.</w:t>
      </w:r>
      <w:r w:rsidRPr="007419FF">
        <w:tab/>
      </w:r>
      <w:r w:rsidRPr="007419FF">
        <w:rPr>
          <w:b/>
        </w:rPr>
        <w:t>Privacy: Procedures to protect privacy of information, while maximizing data sharing</w:t>
      </w:r>
    </w:p>
    <w:p w:rsidR="001D1C73" w:rsidRPr="007419FF" w:rsidP="001D1C73" w14:paraId="628A8123" w14:textId="078C7ABD">
      <w:pPr>
        <w:spacing w:after="60" w:line="240" w:lineRule="auto"/>
        <w:rPr>
          <w:i/>
        </w:rPr>
      </w:pPr>
      <w:r w:rsidRPr="007419FF">
        <w:rPr>
          <w:i/>
        </w:rPr>
        <w:t>Personally Identifiable Information</w:t>
      </w:r>
      <w:r w:rsidR="004E56F0">
        <w:rPr>
          <w:i/>
        </w:rPr>
        <w:t xml:space="preserve"> (PII)</w:t>
      </w:r>
    </w:p>
    <w:p w:rsidR="00892451" w:rsidRPr="007419FF" w:rsidP="006C51A0" w14:paraId="07F56E2A" w14:textId="6571D017">
      <w:pPr>
        <w:spacing w:after="0"/>
        <w:rPr>
          <w:rFonts w:cstheme="minorHAnsi"/>
        </w:rPr>
      </w:pPr>
      <w:r>
        <w:t xml:space="preserve">PII </w:t>
      </w:r>
      <w:r w:rsidRPr="007419FF" w:rsidR="007419FF">
        <w:rPr>
          <w:rFonts w:cstheme="minorHAnsi"/>
        </w:rPr>
        <w:t xml:space="preserve">collected </w:t>
      </w:r>
      <w:r w:rsidRPr="007419FF" w:rsidR="00BA2692">
        <w:rPr>
          <w:rFonts w:cstheme="minorHAnsi"/>
        </w:rPr>
        <w:t xml:space="preserve">from </w:t>
      </w:r>
      <w:r w:rsidR="007173DD">
        <w:rPr>
          <w:rFonts w:cstheme="minorHAnsi"/>
        </w:rPr>
        <w:t>young adults</w:t>
      </w:r>
      <w:r w:rsidRPr="007419FF" w:rsidR="00BA2692">
        <w:rPr>
          <w:rFonts w:cstheme="minorHAnsi"/>
        </w:rPr>
        <w:t xml:space="preserve"> directly through surveys may include name, date of birth, and </w:t>
      </w:r>
      <w:r w:rsidRPr="007419FF" w:rsidR="00D9623A">
        <w:rPr>
          <w:rFonts w:cstheme="minorHAnsi"/>
        </w:rPr>
        <w:t xml:space="preserve">address so that client-level data </w:t>
      </w:r>
      <w:r w:rsidRPr="00BA3F53" w:rsidR="00D9623A">
        <w:rPr>
          <w:rFonts w:cstheme="minorHAnsi"/>
        </w:rPr>
        <w:t xml:space="preserve">can be linked accurately across </w:t>
      </w:r>
      <w:r w:rsidRPr="00BA3F53" w:rsidR="00AF57AC">
        <w:rPr>
          <w:rFonts w:cstheme="minorHAnsi"/>
        </w:rPr>
        <w:t>survey waves</w:t>
      </w:r>
      <w:r w:rsidRPr="00BA3F53" w:rsidR="00D9623A">
        <w:rPr>
          <w:rFonts w:cstheme="minorHAnsi"/>
        </w:rPr>
        <w:t>.</w:t>
      </w:r>
      <w:r w:rsidRPr="00BA3F53" w:rsidR="00BA2692">
        <w:rPr>
          <w:rFonts w:cstheme="minorHAnsi"/>
        </w:rPr>
        <w:t xml:space="preserve"> </w:t>
      </w:r>
      <w:r w:rsidRPr="00BA3F53" w:rsidR="009C3160">
        <w:rPr>
          <w:rFonts w:cstheme="minorHAnsi"/>
        </w:rPr>
        <w:t>P</w:t>
      </w:r>
      <w:r w:rsidRPr="00BA3F53">
        <w:rPr>
          <w:rFonts w:cstheme="minorHAnsi"/>
        </w:rPr>
        <w:t>rocedures</w:t>
      </w:r>
      <w:r w:rsidRPr="00BA3F53" w:rsidR="009C3160">
        <w:rPr>
          <w:rFonts w:cstheme="minorHAnsi"/>
        </w:rPr>
        <w:t xml:space="preserve"> for protecting</w:t>
      </w:r>
      <w:r w:rsidRPr="007419FF" w:rsidR="009C3160">
        <w:rPr>
          <w:rFonts w:cstheme="minorHAnsi"/>
        </w:rPr>
        <w:t xml:space="preserve"> privacy of information</w:t>
      </w:r>
      <w:r w:rsidRPr="007419FF">
        <w:rPr>
          <w:rFonts w:cstheme="minorHAnsi"/>
        </w:rPr>
        <w:t xml:space="preserve"> include limiting the number of individuals who have access to identifying information, using locked files to store hardcopy forms, </w:t>
      </w:r>
      <w:r w:rsidR="00AE2366">
        <w:rPr>
          <w:rFonts w:cstheme="minorHAnsi"/>
        </w:rPr>
        <w:t xml:space="preserve">and </w:t>
      </w:r>
      <w:r w:rsidRPr="007419FF">
        <w:rPr>
          <w:rFonts w:cstheme="minorHAnsi"/>
        </w:rPr>
        <w:t>assigning unique</w:t>
      </w:r>
      <w:r w:rsidR="00393324">
        <w:rPr>
          <w:rFonts w:cstheme="minorHAnsi"/>
        </w:rPr>
        <w:t xml:space="preserve"> de-identified</w:t>
      </w:r>
      <w:r w:rsidRPr="007419FF">
        <w:rPr>
          <w:rFonts w:cstheme="minorHAnsi"/>
        </w:rPr>
        <w:t xml:space="preserve"> IDs to each participant </w:t>
      </w:r>
      <w:r w:rsidR="00393324">
        <w:rPr>
          <w:rFonts w:cstheme="minorHAnsi"/>
        </w:rPr>
        <w:t>in analytic files</w:t>
      </w:r>
      <w:r w:rsidR="00AE2366">
        <w:rPr>
          <w:rFonts w:cstheme="minorHAnsi"/>
        </w:rPr>
        <w:t xml:space="preserve">. </w:t>
      </w:r>
      <w:r w:rsidR="00DD6156">
        <w:rPr>
          <w:rFonts w:cstheme="minorHAnsi"/>
        </w:rPr>
        <w:t xml:space="preserve">PII will be destroyed </w:t>
      </w:r>
      <w:r w:rsidR="001E4B41">
        <w:rPr>
          <w:rFonts w:cstheme="minorHAnsi"/>
        </w:rPr>
        <w:t>within 12 months of completed analyses.</w:t>
      </w:r>
      <w:r w:rsidR="003D43EA">
        <w:rPr>
          <w:rFonts w:cstheme="minorHAnsi"/>
        </w:rPr>
        <w:t xml:space="preserve"> Other data will be destroyed </w:t>
      </w:r>
      <w:r w:rsidRPr="003D43EA" w:rsidR="003D43EA">
        <w:rPr>
          <w:rFonts w:cstheme="minorHAnsi"/>
        </w:rPr>
        <w:t xml:space="preserve">subject to ACF </w:t>
      </w:r>
      <w:r w:rsidR="003D43EA">
        <w:rPr>
          <w:rFonts w:cstheme="minorHAnsi"/>
        </w:rPr>
        <w:t xml:space="preserve">guidelines. </w:t>
      </w:r>
      <w:r w:rsidRPr="00DD6156" w:rsidR="00DD6156">
        <w:rPr>
          <w:rFonts w:cstheme="minorHAnsi"/>
        </w:rPr>
        <w:t xml:space="preserve"> </w:t>
      </w:r>
      <w:r w:rsidRPr="7258243C" w:rsidR="00AE2366">
        <w:t xml:space="preserve">In addition, we will only </w:t>
      </w:r>
      <w:r w:rsidRPr="7258243C" w:rsidR="00AE2366">
        <w:t>report on</w:t>
      </w:r>
      <w:r w:rsidRPr="7258243C" w:rsidR="00AE2366">
        <w:t xml:space="preserve"> data in summary form, such as central tendencies, frequency distributions, point estimates and variability. We will implement cell suppression rules whereby any data points involving </w:t>
      </w:r>
      <w:r w:rsidR="00AE2366">
        <w:t>fewer</w:t>
      </w:r>
      <w:r w:rsidRPr="7258243C" w:rsidR="00AE2366">
        <w:t xml:space="preserve"> than 10 individuals will not be reported.</w:t>
      </w:r>
      <w:r w:rsidR="00DD6156">
        <w:t xml:space="preserve"> </w:t>
      </w:r>
    </w:p>
    <w:p w:rsidR="001D1C73" w:rsidRPr="00C0742D" w:rsidP="001D1C73" w14:paraId="00972ADF" w14:textId="77777777">
      <w:pPr>
        <w:spacing w:after="0" w:line="240" w:lineRule="auto"/>
        <w:rPr>
          <w:i/>
        </w:rPr>
      </w:pPr>
    </w:p>
    <w:p w:rsidR="001D1C73" w:rsidRPr="00C0742D" w:rsidP="001D1C73" w14:paraId="4254686E" w14:textId="77777777">
      <w:pPr>
        <w:spacing w:after="60" w:line="240" w:lineRule="auto"/>
        <w:rPr>
          <w:i/>
        </w:rPr>
      </w:pPr>
      <w:r w:rsidRPr="00C0742D">
        <w:rPr>
          <w:i/>
        </w:rPr>
        <w:t>Assurances of Privacy</w:t>
      </w:r>
    </w:p>
    <w:p w:rsidR="00A928D5" w:rsidRPr="00C0742D" w:rsidP="00F4247F" w14:paraId="055AADE3" w14:textId="6A302328">
      <w:pPr>
        <w:spacing w:after="0"/>
      </w:pPr>
      <w:r w:rsidRPr="00C0742D">
        <w:rPr>
          <w:rFonts w:cstheme="minorHAnsi"/>
        </w:rPr>
        <w:t>Information collected will be kept private to the extent permitted by law. Respondents will be informed of all planned uses of data, that their participation is voluntary, and that their information will be kept private to the extent permitted by law.</w:t>
      </w:r>
      <w:r w:rsidRPr="000A16F9" w:rsidR="000A16F9">
        <w:rPr>
          <w:rFonts w:cstheme="minorHAnsi"/>
        </w:rPr>
        <w:t xml:space="preserve"> </w:t>
      </w:r>
      <w:r w:rsidR="000A16F9">
        <w:rPr>
          <w:rFonts w:cstheme="minorHAnsi"/>
        </w:rPr>
        <w:t xml:space="preserve">No one outside the </w:t>
      </w:r>
      <w:r w:rsidR="000A16F9">
        <w:rPr>
          <w:rFonts w:cstheme="minorHAnsi"/>
        </w:rPr>
        <w:t>Westat</w:t>
      </w:r>
      <w:r w:rsidR="000A16F9">
        <w:rPr>
          <w:rFonts w:cstheme="minorHAnsi"/>
        </w:rPr>
        <w:t xml:space="preserve">/Kempe study team will have access to the data. </w:t>
      </w:r>
      <w:r w:rsidRPr="00C0742D">
        <w:rPr>
          <w:rFonts w:cstheme="minorHAnsi"/>
        </w:rPr>
        <w:t xml:space="preserve"> </w:t>
      </w:r>
      <w:r w:rsidR="009B378D">
        <w:t>R</w:t>
      </w:r>
      <w:r w:rsidRPr="00C0742D">
        <w:t xml:space="preserve">espondents will receive information about the authority, the purposes for use, the routine uses, that the request is voluntary, and any effects of not providing the requested information. </w:t>
      </w:r>
      <w:r w:rsidR="007B21B4">
        <w:rPr>
          <w:rFonts w:cstheme="minorHAnsi"/>
        </w:rPr>
        <w:t xml:space="preserve">The study team </w:t>
      </w:r>
      <w:r w:rsidRPr="00C0742D" w:rsidR="002C74C2">
        <w:rPr>
          <w:rFonts w:cstheme="minorHAnsi"/>
        </w:rPr>
        <w:t>will comply with all Federal and Departmental regulations for private information.</w:t>
      </w:r>
    </w:p>
    <w:p w:rsidR="001D1C73" w:rsidRPr="00E24B02" w:rsidP="004F4291" w14:paraId="4CBB7BE4" w14:textId="77777777">
      <w:pPr>
        <w:spacing w:after="0" w:line="240" w:lineRule="auto"/>
        <w:rPr>
          <w:rFonts w:cstheme="minorHAnsi"/>
          <w:highlight w:val="yellow"/>
        </w:rPr>
      </w:pPr>
    </w:p>
    <w:p w:rsidR="00547D9E" w:rsidRPr="00547D9E" w:rsidP="007B21B4" w14:paraId="37E48806" w14:textId="15DF0711">
      <w:pPr>
        <w:spacing w:after="0"/>
        <w:rPr>
          <w:rFonts w:eastAsia="Times New Roman" w:cstheme="minorHAnsi"/>
        </w:rPr>
      </w:pPr>
      <w:r w:rsidRPr="007B21B4">
        <w:rPr>
          <w:rFonts w:eastAsia="Times New Roman" w:cstheme="minorHAnsi"/>
        </w:rPr>
        <w:t xml:space="preserve">We </w:t>
      </w:r>
      <w:r w:rsidRPr="007B21B4" w:rsidR="000A16F9">
        <w:rPr>
          <w:rFonts w:eastAsia="Times New Roman" w:cstheme="minorHAnsi"/>
        </w:rPr>
        <w:t>have received</w:t>
      </w:r>
      <w:r w:rsidRPr="007B21B4">
        <w:rPr>
          <w:rFonts w:eastAsia="Times New Roman" w:cstheme="minorHAnsi"/>
        </w:rPr>
        <w:t xml:space="preserve"> a Certificate</w:t>
      </w:r>
      <w:r w:rsidRPr="00547D9E">
        <w:rPr>
          <w:rFonts w:eastAsia="Times New Roman" w:cstheme="minorHAnsi"/>
        </w:rPr>
        <w:t xml:space="preserve"> of Confidentiality from the National Institutes of Health to protect the privacy of research participants by prohibiting disclosure of identifiable, sensitive research information to anyone not connected to the research except when the participant consents or in a few other specific situations.</w:t>
      </w:r>
      <w:r w:rsidR="000A16F9">
        <w:rPr>
          <w:rFonts w:eastAsia="Times New Roman" w:cstheme="minorHAnsi"/>
        </w:rPr>
        <w:t xml:space="preserve"> </w:t>
      </w:r>
      <w:r w:rsidR="00B26F2A">
        <w:rPr>
          <w:rFonts w:eastAsia="Times New Roman" w:cstheme="minorHAnsi"/>
        </w:rPr>
        <w:t xml:space="preserve"> </w:t>
      </w:r>
    </w:p>
    <w:p w:rsidR="001D1C73" w:rsidRPr="009139B3" w:rsidP="007B21B4" w14:paraId="66D7D622" w14:textId="0155F3A2">
      <w:pPr>
        <w:spacing w:after="0"/>
        <w:rPr>
          <w:rFonts w:cstheme="minorHAnsi"/>
        </w:rPr>
      </w:pPr>
    </w:p>
    <w:p w:rsidR="001D1C73" w:rsidRPr="009139B3" w:rsidP="004F1977" w14:paraId="013EB7D6" w14:textId="77777777">
      <w:pPr>
        <w:spacing w:after="60" w:line="240" w:lineRule="auto"/>
        <w:rPr>
          <w:rFonts w:cstheme="minorHAnsi"/>
          <w:i/>
        </w:rPr>
      </w:pPr>
      <w:r w:rsidRPr="009139B3">
        <w:rPr>
          <w:rFonts w:cstheme="minorHAnsi"/>
          <w:i/>
        </w:rPr>
        <w:t>Data Security and Monitoring</w:t>
      </w:r>
    </w:p>
    <w:p w:rsidR="001D1C73" w:rsidRPr="00723AF0" w:rsidP="002B799C" w14:paraId="5E1F4C48" w14:textId="3A95255C">
      <w:pPr>
        <w:spacing w:after="0"/>
        <w:rPr>
          <w:rFonts w:eastAsia="Times New Roman" w:cstheme="minorHAnsi"/>
        </w:rPr>
      </w:pPr>
      <w:r>
        <w:rPr>
          <w:rFonts w:eastAsia="Times New Roman" w:cstheme="minorHAnsi"/>
        </w:rPr>
        <w:t>T</w:t>
      </w:r>
      <w:r w:rsidRPr="00723AF0">
        <w:rPr>
          <w:rFonts w:eastAsia="Times New Roman" w:cstheme="minorHAnsi"/>
        </w:rPr>
        <w:t xml:space="preserve">he </w:t>
      </w:r>
      <w:r w:rsidRPr="00723AF0" w:rsidR="006D2E74">
        <w:rPr>
          <w:rFonts w:eastAsia="Times New Roman" w:cstheme="minorHAnsi"/>
        </w:rPr>
        <w:t>study team</w:t>
      </w:r>
      <w:r w:rsidRPr="00723AF0">
        <w:rPr>
          <w:rFonts w:eastAsia="Times New Roman" w:cstheme="minorHAnsi"/>
        </w:rPr>
        <w:t xml:space="preserve"> </w:t>
      </w:r>
      <w:r w:rsidRPr="00723AF0" w:rsidR="006D2E74">
        <w:rPr>
          <w:rFonts w:eastAsia="Times New Roman" w:cstheme="minorHAnsi"/>
        </w:rPr>
        <w:t>will</w:t>
      </w:r>
      <w:r w:rsidRPr="00723AF0">
        <w:rPr>
          <w:rFonts w:eastAsia="Times New Roman" w:cstheme="minorHAnsi"/>
        </w:rPr>
        <w:t xml:space="preserve"> protect respondent privacy to the extent permitted by law and will comply with all Federal and Departmental regulations for private information. </w:t>
      </w:r>
      <w:r w:rsidRPr="00723AF0" w:rsidR="00723AF0">
        <w:rPr>
          <w:rFonts w:eastAsia="Times New Roman" w:cstheme="minorHAnsi"/>
        </w:rPr>
        <w:t>We have</w:t>
      </w:r>
      <w:r w:rsidRPr="00723AF0">
        <w:rPr>
          <w:rFonts w:eastAsia="Times New Roman" w:cstheme="minorHAnsi"/>
        </w:rPr>
        <w:t xml:space="preserve"> developed a Data Safety and Monitoring Plan that assesses all protections of respondents’ PII. </w:t>
      </w:r>
      <w:r w:rsidRPr="00723AF0" w:rsidR="00723AF0">
        <w:rPr>
          <w:rFonts w:eastAsia="Times New Roman" w:cstheme="minorHAnsi"/>
        </w:rPr>
        <w:t>We</w:t>
      </w:r>
      <w:r w:rsidRPr="00723AF0">
        <w:rPr>
          <w:rFonts w:eastAsia="Times New Roman" w:cstheme="minorHAnsi"/>
        </w:rPr>
        <w:t xml:space="preserve"> shall ensure that all of its employees, subcontractors (at all tiers), and employees of each subcontractor, who perform work under this contract/subcontract, are trained on data privacy issues and comply with the above requirements.  </w:t>
      </w:r>
    </w:p>
    <w:p w:rsidR="001D1C73" w:rsidRPr="00723AF0" w:rsidP="002B799C" w14:paraId="71BE4131" w14:textId="77777777">
      <w:pPr>
        <w:spacing w:after="0"/>
        <w:rPr>
          <w:rFonts w:eastAsia="Times New Roman" w:cstheme="minorHAnsi"/>
        </w:rPr>
      </w:pPr>
    </w:p>
    <w:p w:rsidR="001D1C73" w:rsidRPr="009139B3" w:rsidP="002B799C" w14:paraId="2AD7F4B4" w14:textId="77777777">
      <w:pPr>
        <w:spacing w:after="0"/>
        <w:rPr>
          <w:rFonts w:eastAsia="Times New Roman" w:cstheme="minorHAnsi"/>
        </w:rPr>
      </w:pPr>
      <w:r w:rsidRPr="008540A5">
        <w:rPr>
          <w:rFonts w:eastAsia="Times New Roman" w:cstheme="minorHAnsi"/>
        </w:rPr>
        <w:t>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w:t>
      </w:r>
      <w:r w:rsidRPr="009139B3">
        <w:rPr>
          <w:rFonts w:eastAsia="Times New Roman" w:cstheme="minorHAnsi"/>
        </w:rPr>
        <w:t xml:space="preserve">   </w:t>
      </w:r>
    </w:p>
    <w:p w:rsidR="001D1C73" w:rsidRPr="009139B3" w:rsidP="004F1977" w14:paraId="00EDDFF9" w14:textId="77777777">
      <w:pPr>
        <w:spacing w:after="0" w:line="240" w:lineRule="auto"/>
        <w:rPr>
          <w:rFonts w:cstheme="minorHAnsi"/>
        </w:rPr>
      </w:pPr>
    </w:p>
    <w:p w:rsidR="001D1C73" w:rsidRPr="009139B3" w:rsidP="004F1977" w14:paraId="40B5F5B3" w14:textId="77777777">
      <w:pPr>
        <w:spacing w:after="120" w:line="240" w:lineRule="auto"/>
      </w:pPr>
      <w:r w:rsidRPr="009139B3">
        <w:rPr>
          <w:b/>
        </w:rPr>
        <w:t>A11</w:t>
      </w:r>
      <w:r w:rsidRPr="009139B3">
        <w:t>.</w:t>
      </w:r>
      <w:r w:rsidRPr="009139B3">
        <w:tab/>
      </w:r>
      <w:r w:rsidRPr="009139B3">
        <w:rPr>
          <w:b/>
        </w:rPr>
        <w:t>Sensitive Information</w:t>
      </w:r>
      <w:r w:rsidRPr="009139B3">
        <w:rPr>
          <w:rStyle w:val="FootnoteReference"/>
        </w:rPr>
        <w:t xml:space="preserve"> </w:t>
      </w:r>
      <w:r>
        <w:rPr>
          <w:rStyle w:val="FootnoteReference"/>
        </w:rPr>
        <w:footnoteReference w:id="6"/>
      </w:r>
    </w:p>
    <w:p w:rsidR="001D1C73" w:rsidRPr="009139B3" w:rsidP="002C7E77" w14:paraId="4BEC5A23" w14:textId="41BDADC7">
      <w:pPr>
        <w:spacing w:after="0"/>
        <w:rPr>
          <w:rFonts w:cstheme="minorHAnsi"/>
        </w:rPr>
      </w:pPr>
      <w:r w:rsidRPr="00CB1D00">
        <w:rPr>
          <w:rFonts w:cstheme="minorHAnsi"/>
        </w:rPr>
        <w:t>Most of the questions that will be included in these activities</w:t>
      </w:r>
      <w:r w:rsidR="00812E06">
        <w:rPr>
          <w:rFonts w:cstheme="minorHAnsi"/>
        </w:rPr>
        <w:t xml:space="preserve"> </w:t>
      </w:r>
      <w:r w:rsidR="00756D75">
        <w:rPr>
          <w:rFonts w:cstheme="minorHAnsi"/>
        </w:rPr>
        <w:t>are</w:t>
      </w:r>
      <w:r w:rsidRPr="00CB1D00">
        <w:rPr>
          <w:rFonts w:cstheme="minorHAnsi"/>
        </w:rPr>
        <w:t xml:space="preserve"> not of a sensitive nature. However, it is </w:t>
      </w:r>
      <w:r w:rsidRPr="007A3ABE">
        <w:rPr>
          <w:rFonts w:cstheme="minorHAnsi"/>
        </w:rPr>
        <w:t xml:space="preserve">possible that some </w:t>
      </w:r>
      <w:r w:rsidRPr="007A3ABE" w:rsidR="00756D75">
        <w:rPr>
          <w:rFonts w:cstheme="minorHAnsi"/>
        </w:rPr>
        <w:t xml:space="preserve">participants may find some questions to be </w:t>
      </w:r>
      <w:r w:rsidRPr="007A3ABE">
        <w:rPr>
          <w:rFonts w:cstheme="minorHAnsi"/>
        </w:rPr>
        <w:t>sensitive</w:t>
      </w:r>
      <w:r w:rsidRPr="007A3ABE" w:rsidR="007B06C5">
        <w:rPr>
          <w:rFonts w:cstheme="minorHAnsi"/>
        </w:rPr>
        <w:t>.  These include questions about participants’</w:t>
      </w:r>
      <w:r w:rsidRPr="007A3ABE">
        <w:rPr>
          <w:rFonts w:cstheme="minorHAnsi"/>
        </w:rPr>
        <w:t xml:space="preserve"> </w:t>
      </w:r>
      <w:r w:rsidRPr="007A3ABE" w:rsidR="00B328A7">
        <w:rPr>
          <w:rFonts w:cstheme="minorHAnsi"/>
        </w:rPr>
        <w:t>experiences with h</w:t>
      </w:r>
      <w:r w:rsidRPr="007A3ABE" w:rsidR="007B06C5">
        <w:rPr>
          <w:rFonts w:cstheme="minorHAnsi"/>
        </w:rPr>
        <w:t>ousing instability</w:t>
      </w:r>
      <w:r w:rsidRPr="007A3ABE" w:rsidR="00DA01E6">
        <w:rPr>
          <w:rFonts w:cstheme="minorHAnsi"/>
        </w:rPr>
        <w:t>;</w:t>
      </w:r>
      <w:r w:rsidRPr="007A3ABE" w:rsidR="00B328A7">
        <w:rPr>
          <w:rFonts w:cstheme="minorHAnsi"/>
        </w:rPr>
        <w:t xml:space="preserve"> </w:t>
      </w:r>
      <w:r w:rsidRPr="007A3ABE" w:rsidR="007B2143">
        <w:rPr>
          <w:rFonts w:cstheme="minorHAnsi"/>
        </w:rPr>
        <w:t>foster care histor</w:t>
      </w:r>
      <w:r w:rsidRPr="007A3ABE" w:rsidR="007B06C5">
        <w:rPr>
          <w:rFonts w:cstheme="minorHAnsi"/>
        </w:rPr>
        <w:t>y</w:t>
      </w:r>
      <w:r w:rsidRPr="007A3ABE" w:rsidR="00DA01E6">
        <w:rPr>
          <w:rFonts w:cstheme="minorHAnsi"/>
        </w:rPr>
        <w:t xml:space="preserve">; </w:t>
      </w:r>
      <w:r w:rsidRPr="007A3ABE" w:rsidR="007A3ABE">
        <w:rPr>
          <w:rFonts w:cstheme="minorHAnsi"/>
        </w:rPr>
        <w:t xml:space="preserve">and </w:t>
      </w:r>
      <w:r w:rsidRPr="007A3ABE" w:rsidR="007A3ABE">
        <w:rPr>
          <w:rFonts w:cstheme="minorHAnsi"/>
          <w:szCs w:val="20"/>
        </w:rPr>
        <w:t>socio-emotional support</w:t>
      </w:r>
      <w:r w:rsidRPr="007A3ABE" w:rsidR="007A3ABE">
        <w:rPr>
          <w:rFonts w:cstheme="minorHAnsi"/>
        </w:rPr>
        <w:t xml:space="preserve"> and well-being. </w:t>
      </w:r>
      <w:r w:rsidR="00A00E73">
        <w:rPr>
          <w:rFonts w:cstheme="minorHAnsi"/>
        </w:rPr>
        <w:t xml:space="preserve"> </w:t>
      </w:r>
      <w:r w:rsidR="003B5E55">
        <w:rPr>
          <w:rFonts w:cstheme="minorHAnsi"/>
        </w:rPr>
        <w:t>Participants will be informed that they can skip any question they do not want to answer.</w:t>
      </w:r>
    </w:p>
    <w:p w:rsidR="001D1C73" w:rsidRPr="009139B3" w:rsidP="004F1977" w14:paraId="454AD3D8" w14:textId="77777777">
      <w:pPr>
        <w:spacing w:after="0" w:line="240" w:lineRule="auto"/>
        <w:rPr>
          <w:rFonts w:cstheme="minorHAnsi"/>
        </w:rPr>
      </w:pPr>
    </w:p>
    <w:p w:rsidR="001D1C73" w:rsidRPr="007419FF" w:rsidP="004F1977" w14:paraId="62ADEB38" w14:textId="77777777">
      <w:pPr>
        <w:spacing w:after="120" w:line="240" w:lineRule="auto"/>
        <w:rPr>
          <w:b/>
        </w:rPr>
      </w:pPr>
      <w:r w:rsidRPr="007419FF">
        <w:rPr>
          <w:b/>
        </w:rPr>
        <w:t>A12</w:t>
      </w:r>
      <w:r w:rsidRPr="007419FF">
        <w:t>.</w:t>
      </w:r>
      <w:r w:rsidRPr="007419FF">
        <w:tab/>
      </w:r>
      <w:r w:rsidRPr="007419FF">
        <w:rPr>
          <w:b/>
        </w:rPr>
        <w:t>Burden</w:t>
      </w:r>
    </w:p>
    <w:p w:rsidR="001D1C73" w:rsidRPr="007419FF" w:rsidP="004F1977" w14:paraId="4525B6CF" w14:textId="77777777">
      <w:pPr>
        <w:spacing w:after="60" w:line="240" w:lineRule="auto"/>
        <w:rPr>
          <w:i/>
        </w:rPr>
      </w:pPr>
      <w:r w:rsidRPr="007419FF">
        <w:rPr>
          <w:i/>
        </w:rPr>
        <w:t>Explanation of Burden Estimates</w:t>
      </w:r>
    </w:p>
    <w:p w:rsidR="0087170C" w:rsidRPr="00723AF0" w:rsidP="002C7E77" w14:paraId="4F507B76" w14:textId="4BFB5FFB">
      <w:pPr>
        <w:rPr>
          <w:rFonts w:ascii="TimesNewRoman" w:hAnsi="TimesNewRoman"/>
        </w:rPr>
      </w:pPr>
      <w:r>
        <w:t xml:space="preserve">The baseline and follow up surveys will be completed by </w:t>
      </w:r>
      <w:r w:rsidRPr="00046059">
        <w:rPr>
          <w:rFonts w:eastAsia="Times New Roman" w:cstheme="minorHAnsi"/>
        </w:rPr>
        <w:t>young adults transitioning from foster care</w:t>
      </w:r>
      <w:r w:rsidR="0000243A">
        <w:rPr>
          <w:rFonts w:eastAsia="Times New Roman" w:cstheme="minorHAnsi"/>
        </w:rPr>
        <w:t xml:space="preserve"> </w:t>
      </w:r>
      <w:r w:rsidR="0000243A">
        <w:rPr>
          <w:rFonts w:eastAsia="Times New Roman" w:cstheme="minorHAnsi"/>
        </w:rPr>
        <w:t>at</w:t>
      </w:r>
      <w:r w:rsidR="0000243A">
        <w:rPr>
          <w:rFonts w:eastAsia="Times New Roman" w:cstheme="minorHAnsi"/>
        </w:rPr>
        <w:t xml:space="preserve"> enrollment (baseline), and 6 and 9-12 months later</w:t>
      </w:r>
      <w:r>
        <w:t xml:space="preserve">. We anticipate data collection to take place over about two years and aim to reach 600 respondents to the baseline </w:t>
      </w:r>
      <w:r w:rsidR="001418B4">
        <w:t xml:space="preserve">survey. For the follow-up survey, we estimated a 10% attrition rate, leading to 540 young adults completing </w:t>
      </w:r>
      <w:r w:rsidR="001419C5">
        <w:t>each follow-up</w:t>
      </w:r>
      <w:r w:rsidR="001418B4">
        <w:t xml:space="preserve"> survey.</w:t>
      </w:r>
      <w:r>
        <w:t xml:space="preserve"> </w:t>
      </w:r>
      <w:r w:rsidR="0000243A">
        <w:t>The estimated time per response is 30 minutes, which was informed by</w:t>
      </w:r>
      <w:r w:rsidR="003B5E55">
        <w:t xml:space="preserve"> pilot testing of the survey with young adults who have transitioned out of foster care.</w:t>
      </w:r>
      <w:r w:rsidRPr="00AE457B">
        <w:t xml:space="preserve"> </w:t>
      </w:r>
      <w:r w:rsidRPr="00AE457B" w:rsidR="00166598">
        <w:t>Exhibit 4 below details the estimated burden hours.</w:t>
      </w:r>
    </w:p>
    <w:p w:rsidR="00166598" w:rsidRPr="008A5AC0" w:rsidP="002C7E77" w14:paraId="7D679849" w14:textId="33ABDFF7">
      <w:pPr>
        <w:spacing w:after="60"/>
        <w:rPr>
          <w:i/>
        </w:rPr>
      </w:pPr>
      <w:r w:rsidRPr="008A5AC0">
        <w:rPr>
          <w:i/>
        </w:rPr>
        <w:t>Explanation of Cost Estimates</w:t>
      </w:r>
    </w:p>
    <w:p w:rsidR="00166598" w:rsidRPr="00723AF0" w:rsidP="002C7E77" w14:paraId="03850942" w14:textId="22875895">
      <w:pPr>
        <w:spacing w:after="0"/>
        <w:rPr>
          <w:rStyle w:val="Hyperlink"/>
          <w:rFonts w:cstheme="minorHAnsi"/>
          <w:b/>
        </w:rPr>
      </w:pPr>
      <w:r w:rsidRPr="00723AF0">
        <w:t xml:space="preserve">Estimated costs per respondent were estimated using data from </w:t>
      </w:r>
      <w:r w:rsidR="001419C5">
        <w:t xml:space="preserve">Los Angeles’s Office of Wage Standards </w:t>
      </w:r>
      <w:r w:rsidRPr="00723AF0">
        <w:rPr>
          <w:rFonts w:cstheme="minorHAnsi"/>
          <w:bCs/>
        </w:rPr>
        <w:t>(</w:t>
      </w:r>
      <w:r w:rsidR="001419C5">
        <w:rPr>
          <w:rFonts w:cstheme="minorHAnsi"/>
          <w:bCs/>
        </w:rPr>
        <w:t>June</w:t>
      </w:r>
      <w:r w:rsidRPr="00723AF0">
        <w:rPr>
          <w:rFonts w:cstheme="minorHAnsi"/>
          <w:bCs/>
        </w:rPr>
        <w:t xml:space="preserve"> 202</w:t>
      </w:r>
      <w:r w:rsidR="001419C5">
        <w:rPr>
          <w:rFonts w:cstheme="minorHAnsi"/>
          <w:bCs/>
        </w:rPr>
        <w:t>6</w:t>
      </w:r>
      <w:r w:rsidRPr="00723AF0">
        <w:rPr>
          <w:rFonts w:cstheme="minorHAnsi"/>
          <w:bCs/>
        </w:rPr>
        <w:t>)</w:t>
      </w:r>
      <w:r>
        <w:rPr>
          <w:rStyle w:val="FootnoteReference"/>
          <w:rFonts w:cstheme="minorHAnsi"/>
          <w:bCs/>
        </w:rPr>
        <w:footnoteReference w:id="7"/>
      </w:r>
      <w:r w:rsidRPr="00723AF0">
        <w:rPr>
          <w:rStyle w:val="Hyperlink"/>
          <w:rFonts w:cstheme="minorHAnsi"/>
          <w:bCs/>
          <w:color w:val="auto"/>
          <w:u w:val="none"/>
        </w:rPr>
        <w:t>. Exhibit 3 details median hourly wage for respondent types. Exhibit 4 details estimated total annuals costs per information collection.</w:t>
      </w:r>
      <w:r w:rsidRPr="00723AF0">
        <w:rPr>
          <w:rStyle w:val="Hyperlink"/>
          <w:rFonts w:cstheme="minorHAnsi"/>
          <w:bCs/>
        </w:rPr>
        <w:t xml:space="preserve"> </w:t>
      </w:r>
    </w:p>
    <w:p w:rsidR="00166598" w:rsidRPr="00723AF0" w:rsidP="00166598" w14:paraId="3EAC3E7E" w14:textId="77777777">
      <w:pPr>
        <w:spacing w:after="0" w:line="240" w:lineRule="auto"/>
      </w:pPr>
    </w:p>
    <w:p w:rsidR="00166598" w:rsidP="003B5E55" w14:paraId="13A6639F" w14:textId="4472DBAF">
      <w:pPr>
        <w:spacing w:after="60" w:line="240" w:lineRule="auto"/>
        <w:rPr>
          <w:i/>
          <w:iCs/>
        </w:rPr>
      </w:pPr>
      <w:r w:rsidRPr="00723AF0">
        <w:rPr>
          <w:i/>
          <w:iCs/>
        </w:rPr>
        <w:t>Exhibit 3: Median Hourly Wages for Respondents</w:t>
      </w:r>
    </w:p>
    <w:tbl>
      <w:tblPr>
        <w:tblW w:w="916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29"/>
        <w:gridCol w:w="2790"/>
        <w:gridCol w:w="2065"/>
        <w:gridCol w:w="1985"/>
      </w:tblGrid>
      <w:tr w14:paraId="1ABE89F9" w14:textId="77777777" w:rsidTr="00723AF0">
        <w:tblPrEx>
          <w:tblW w:w="916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hRule="exact" w:val="613"/>
          <w:tblHeader/>
        </w:trPr>
        <w:tc>
          <w:tcPr>
            <w:tcW w:w="2329" w:type="dxa"/>
            <w:vAlign w:val="center"/>
          </w:tcPr>
          <w:p w:rsidR="00166598" w:rsidRPr="00723AF0" w:rsidP="00723AF0" w14:paraId="04FA5D84" w14:textId="130F6C31">
            <w:pPr>
              <w:keepNext/>
              <w:kinsoku w:val="0"/>
              <w:overflowPunct w:val="0"/>
              <w:autoSpaceDE w:val="0"/>
              <w:autoSpaceDN w:val="0"/>
              <w:adjustRightInd w:val="0"/>
              <w:spacing w:after="0" w:line="240" w:lineRule="auto"/>
              <w:ind w:left="163"/>
              <w:jc w:val="center"/>
              <w:rPr>
                <w:rFonts w:cstheme="minorHAnsi"/>
                <w:b/>
                <w:sz w:val="20"/>
                <w:szCs w:val="20"/>
              </w:rPr>
            </w:pPr>
            <w:r w:rsidRPr="00723AF0">
              <w:rPr>
                <w:rFonts w:cstheme="minorHAnsi"/>
                <w:b/>
                <w:sz w:val="20"/>
                <w:szCs w:val="20"/>
              </w:rPr>
              <w:t>Respondent</w:t>
            </w:r>
          </w:p>
        </w:tc>
        <w:tc>
          <w:tcPr>
            <w:tcW w:w="2790" w:type="dxa"/>
            <w:vAlign w:val="center"/>
          </w:tcPr>
          <w:p w:rsidR="00166598" w:rsidRPr="00723AF0" w:rsidP="00723AF0" w14:paraId="13E25345" w14:textId="77777777">
            <w:pPr>
              <w:keepNext/>
              <w:kinsoku w:val="0"/>
              <w:overflowPunct w:val="0"/>
              <w:autoSpaceDE w:val="0"/>
              <w:autoSpaceDN w:val="0"/>
              <w:adjustRightInd w:val="0"/>
              <w:spacing w:after="0" w:line="240" w:lineRule="auto"/>
              <w:jc w:val="center"/>
              <w:rPr>
                <w:rFonts w:cstheme="minorHAnsi"/>
                <w:b/>
                <w:sz w:val="20"/>
                <w:szCs w:val="20"/>
              </w:rPr>
            </w:pPr>
            <w:r w:rsidRPr="00723AF0">
              <w:rPr>
                <w:rFonts w:cstheme="minorHAnsi"/>
                <w:b/>
                <w:sz w:val="20"/>
                <w:szCs w:val="20"/>
              </w:rPr>
              <w:t>Occupation</w:t>
            </w:r>
          </w:p>
        </w:tc>
        <w:tc>
          <w:tcPr>
            <w:tcW w:w="2065" w:type="dxa"/>
            <w:vAlign w:val="center"/>
          </w:tcPr>
          <w:p w:rsidR="00166598" w:rsidRPr="00723AF0" w:rsidP="00723AF0" w14:paraId="6CA12806" w14:textId="77777777">
            <w:pPr>
              <w:keepNext/>
              <w:kinsoku w:val="0"/>
              <w:overflowPunct w:val="0"/>
              <w:autoSpaceDE w:val="0"/>
              <w:autoSpaceDN w:val="0"/>
              <w:adjustRightInd w:val="0"/>
              <w:spacing w:after="0" w:line="240" w:lineRule="auto"/>
              <w:ind w:left="227"/>
              <w:jc w:val="center"/>
              <w:rPr>
                <w:rFonts w:cstheme="minorHAnsi"/>
                <w:b/>
                <w:sz w:val="20"/>
                <w:szCs w:val="20"/>
              </w:rPr>
            </w:pPr>
            <w:r w:rsidRPr="00723AF0">
              <w:rPr>
                <w:rFonts w:cstheme="minorHAnsi"/>
                <w:b/>
                <w:sz w:val="20"/>
                <w:szCs w:val="20"/>
              </w:rPr>
              <w:t>SOC Code</w:t>
            </w:r>
          </w:p>
        </w:tc>
        <w:tc>
          <w:tcPr>
            <w:tcW w:w="1985" w:type="dxa"/>
            <w:vAlign w:val="center"/>
          </w:tcPr>
          <w:p w:rsidR="00166598" w:rsidRPr="00723AF0" w:rsidP="00723AF0" w14:paraId="7D896397" w14:textId="77777777">
            <w:pPr>
              <w:keepNext/>
              <w:kinsoku w:val="0"/>
              <w:overflowPunct w:val="0"/>
              <w:autoSpaceDE w:val="0"/>
              <w:autoSpaceDN w:val="0"/>
              <w:adjustRightInd w:val="0"/>
              <w:spacing w:after="0" w:line="240" w:lineRule="auto"/>
              <w:ind w:left="100" w:right="109"/>
              <w:jc w:val="center"/>
              <w:rPr>
                <w:rFonts w:cstheme="minorHAnsi"/>
                <w:b/>
                <w:sz w:val="20"/>
                <w:szCs w:val="20"/>
              </w:rPr>
            </w:pPr>
            <w:r w:rsidRPr="00723AF0">
              <w:rPr>
                <w:rFonts w:cstheme="minorHAnsi"/>
                <w:b/>
                <w:sz w:val="20"/>
                <w:szCs w:val="20"/>
              </w:rPr>
              <w:t>Median</w:t>
            </w:r>
            <w:r w:rsidRPr="00723AF0">
              <w:rPr>
                <w:rFonts w:cstheme="minorHAnsi"/>
                <w:b/>
                <w:spacing w:val="8"/>
                <w:sz w:val="20"/>
                <w:szCs w:val="20"/>
              </w:rPr>
              <w:t xml:space="preserve"> </w:t>
            </w:r>
            <w:r w:rsidRPr="00723AF0">
              <w:rPr>
                <w:rFonts w:cstheme="minorHAnsi"/>
                <w:b/>
                <w:sz w:val="20"/>
                <w:szCs w:val="20"/>
              </w:rPr>
              <w:t>hourly wage</w:t>
            </w:r>
          </w:p>
        </w:tc>
      </w:tr>
      <w:tr w14:paraId="238C836E" w14:textId="77777777" w:rsidTr="002919FB">
        <w:tblPrEx>
          <w:tblW w:w="9169" w:type="dxa"/>
          <w:tblInd w:w="96" w:type="dxa"/>
          <w:tblLayout w:type="fixed"/>
          <w:tblCellMar>
            <w:left w:w="0" w:type="dxa"/>
            <w:right w:w="0" w:type="dxa"/>
          </w:tblCellMar>
          <w:tblLook w:val="0000"/>
        </w:tblPrEx>
        <w:trPr>
          <w:trHeight w:hRule="exact" w:val="864"/>
        </w:trPr>
        <w:tc>
          <w:tcPr>
            <w:tcW w:w="2329" w:type="dxa"/>
            <w:vAlign w:val="center"/>
          </w:tcPr>
          <w:p w:rsidR="00166598" w:rsidRPr="002600A3" w:rsidP="00ED1711" w14:paraId="5D362A67" w14:textId="3E18EE2C">
            <w:pPr>
              <w:kinsoku w:val="0"/>
              <w:overflowPunct w:val="0"/>
              <w:autoSpaceDE w:val="0"/>
              <w:autoSpaceDN w:val="0"/>
              <w:adjustRightInd w:val="0"/>
              <w:ind w:left="163" w:right="77"/>
              <w:rPr>
                <w:rFonts w:cstheme="minorHAnsi"/>
                <w:sz w:val="20"/>
                <w:szCs w:val="20"/>
              </w:rPr>
            </w:pPr>
            <w:r>
              <w:rPr>
                <w:rFonts w:cstheme="minorHAnsi"/>
                <w:sz w:val="20"/>
                <w:szCs w:val="20"/>
              </w:rPr>
              <w:t>Young adult</w:t>
            </w:r>
            <w:r w:rsidR="0022769B">
              <w:rPr>
                <w:rFonts w:cstheme="minorHAnsi"/>
                <w:sz w:val="20"/>
                <w:szCs w:val="20"/>
              </w:rPr>
              <w:t xml:space="preserve"> participants in MFP</w:t>
            </w:r>
            <w:r w:rsidR="00723AF0">
              <w:rPr>
                <w:rFonts w:cstheme="minorHAnsi"/>
                <w:sz w:val="20"/>
                <w:szCs w:val="20"/>
              </w:rPr>
              <w:t>, TLS, or SPY</w:t>
            </w:r>
          </w:p>
        </w:tc>
        <w:tc>
          <w:tcPr>
            <w:tcW w:w="2790" w:type="dxa"/>
            <w:vAlign w:val="center"/>
          </w:tcPr>
          <w:p w:rsidR="00166598" w:rsidRPr="002600A3" w:rsidP="0022769B" w14:paraId="02059454" w14:textId="5690A3DB">
            <w:pPr>
              <w:kinsoku w:val="0"/>
              <w:overflowPunct w:val="0"/>
              <w:autoSpaceDE w:val="0"/>
              <w:autoSpaceDN w:val="0"/>
              <w:adjustRightInd w:val="0"/>
              <w:ind w:left="88" w:right="77"/>
              <w:rPr>
                <w:rFonts w:cstheme="minorHAnsi"/>
                <w:sz w:val="20"/>
                <w:szCs w:val="20"/>
              </w:rPr>
            </w:pPr>
            <w:r>
              <w:rPr>
                <w:rFonts w:cstheme="minorHAnsi"/>
                <w:sz w:val="20"/>
                <w:szCs w:val="20"/>
              </w:rPr>
              <w:t xml:space="preserve">Los </w:t>
            </w:r>
            <w:r w:rsidR="00917A52">
              <w:rPr>
                <w:rFonts w:cstheme="minorHAnsi"/>
                <w:sz w:val="20"/>
                <w:szCs w:val="20"/>
              </w:rPr>
              <w:t>Angeles</w:t>
            </w:r>
            <w:r w:rsidRPr="002600A3" w:rsidR="00D93BAF">
              <w:rPr>
                <w:rFonts w:cstheme="minorHAnsi"/>
                <w:sz w:val="20"/>
                <w:szCs w:val="20"/>
              </w:rPr>
              <w:t xml:space="preserve"> </w:t>
            </w:r>
            <w:r w:rsidRPr="002600A3">
              <w:rPr>
                <w:rFonts w:cstheme="minorHAnsi"/>
                <w:sz w:val="20"/>
                <w:szCs w:val="20"/>
              </w:rPr>
              <w:t>minimum wage</w:t>
            </w:r>
            <w:r w:rsidR="00917A52">
              <w:rPr>
                <w:rFonts w:cstheme="minorHAnsi"/>
                <w:sz w:val="20"/>
                <w:szCs w:val="20"/>
              </w:rPr>
              <w:t xml:space="preserve"> (as of July 1, 202</w:t>
            </w:r>
            <w:r w:rsidR="001419C5">
              <w:rPr>
                <w:rFonts w:cstheme="minorHAnsi"/>
                <w:sz w:val="20"/>
                <w:szCs w:val="20"/>
              </w:rPr>
              <w:t>6</w:t>
            </w:r>
            <w:r w:rsidR="00917A52">
              <w:rPr>
                <w:rFonts w:cstheme="minorHAnsi"/>
                <w:sz w:val="20"/>
                <w:szCs w:val="20"/>
              </w:rPr>
              <w:t>)</w:t>
            </w:r>
          </w:p>
        </w:tc>
        <w:tc>
          <w:tcPr>
            <w:tcW w:w="2065" w:type="dxa"/>
            <w:vAlign w:val="center"/>
          </w:tcPr>
          <w:p w:rsidR="00166598" w:rsidRPr="002600A3" w:rsidP="00ED1711" w14:paraId="2B180500" w14:textId="77777777">
            <w:pPr>
              <w:kinsoku w:val="0"/>
              <w:overflowPunct w:val="0"/>
              <w:autoSpaceDE w:val="0"/>
              <w:autoSpaceDN w:val="0"/>
              <w:adjustRightInd w:val="0"/>
              <w:jc w:val="center"/>
              <w:rPr>
                <w:rFonts w:cstheme="minorHAnsi"/>
                <w:sz w:val="20"/>
                <w:szCs w:val="20"/>
              </w:rPr>
            </w:pPr>
            <w:r w:rsidRPr="002600A3">
              <w:rPr>
                <w:rFonts w:cstheme="minorHAnsi"/>
                <w:sz w:val="20"/>
                <w:szCs w:val="20"/>
              </w:rPr>
              <w:t>--</w:t>
            </w:r>
          </w:p>
        </w:tc>
        <w:tc>
          <w:tcPr>
            <w:tcW w:w="1985" w:type="dxa"/>
            <w:vAlign w:val="center"/>
          </w:tcPr>
          <w:p w:rsidR="00166598" w:rsidRPr="002600A3" w:rsidP="00ED1711" w14:paraId="5384AA77" w14:textId="161D20F2">
            <w:pPr>
              <w:kinsoku w:val="0"/>
              <w:overflowPunct w:val="0"/>
              <w:autoSpaceDE w:val="0"/>
              <w:autoSpaceDN w:val="0"/>
              <w:adjustRightInd w:val="0"/>
              <w:ind w:right="77"/>
              <w:jc w:val="center"/>
              <w:rPr>
                <w:rFonts w:cstheme="minorHAnsi"/>
                <w:sz w:val="20"/>
                <w:szCs w:val="20"/>
              </w:rPr>
            </w:pPr>
            <w:r w:rsidRPr="002600A3">
              <w:rPr>
                <w:rFonts w:cstheme="minorHAnsi"/>
                <w:sz w:val="20"/>
                <w:szCs w:val="20"/>
              </w:rPr>
              <w:t>$</w:t>
            </w:r>
            <w:r w:rsidR="001419C5">
              <w:rPr>
                <w:rFonts w:cstheme="minorHAnsi"/>
                <w:sz w:val="20"/>
                <w:szCs w:val="20"/>
              </w:rPr>
              <w:t>18.25</w:t>
            </w:r>
          </w:p>
        </w:tc>
      </w:tr>
    </w:tbl>
    <w:p w:rsidR="00304985" w:rsidP="001D1C73" w14:paraId="3545F9DD" w14:textId="77777777">
      <w:pPr>
        <w:spacing w:after="0" w:line="240" w:lineRule="auto"/>
      </w:pPr>
    </w:p>
    <w:p w:rsidR="001D1386" w:rsidP="003B5E55" w14:paraId="092C6962" w14:textId="77777777">
      <w:pPr>
        <w:spacing w:after="60"/>
        <w:rPr>
          <w:i/>
        </w:rPr>
      </w:pPr>
    </w:p>
    <w:p w:rsidR="001D1386" w:rsidP="003B5E55" w14:paraId="569FD563" w14:textId="77777777">
      <w:pPr>
        <w:spacing w:after="60"/>
        <w:rPr>
          <w:i/>
        </w:rPr>
      </w:pPr>
    </w:p>
    <w:p w:rsidR="001D1386" w:rsidP="003B5E55" w14:paraId="02859763" w14:textId="77777777">
      <w:pPr>
        <w:spacing w:after="60"/>
        <w:rPr>
          <w:i/>
        </w:rPr>
      </w:pPr>
    </w:p>
    <w:p w:rsidR="001D1C73" w:rsidRPr="00723AF0" w:rsidP="003B5E55" w14:paraId="7E2C5F84" w14:textId="4CCA28A1">
      <w:pPr>
        <w:spacing w:after="60"/>
      </w:pPr>
      <w:r w:rsidRPr="00723AF0">
        <w:rPr>
          <w:i/>
        </w:rPr>
        <w:t xml:space="preserve">Exhibit </w:t>
      </w:r>
      <w:r w:rsidRPr="00723AF0" w:rsidR="00166598">
        <w:rPr>
          <w:i/>
        </w:rPr>
        <w:t>4</w:t>
      </w:r>
      <w:r w:rsidRPr="00723AF0">
        <w:rPr>
          <w:i/>
        </w:rPr>
        <w:t xml:space="preserve">: </w:t>
      </w:r>
      <w:r w:rsidRPr="00723AF0">
        <w:rPr>
          <w:i/>
        </w:rPr>
        <w:t xml:space="preserve">Estimated </w:t>
      </w:r>
      <w:r w:rsidRPr="00723AF0" w:rsidR="00166598">
        <w:rPr>
          <w:i/>
        </w:rPr>
        <w:t xml:space="preserve">Burden and </w:t>
      </w:r>
      <w:r w:rsidRPr="00723AF0">
        <w:rPr>
          <w:i/>
        </w:rPr>
        <w:t>Cost</w:t>
      </w:r>
      <w:r w:rsidRPr="00723AF0" w:rsidR="00166598">
        <w:rPr>
          <w:i/>
        </w:rPr>
        <w:t>s</w:t>
      </w:r>
      <w:r w:rsidRPr="00723AF0">
        <w:rPr>
          <w:i/>
        </w:rPr>
        <w:t xml:space="preserve"> to Respondents</w:t>
      </w:r>
    </w:p>
    <w:tbl>
      <w:tblPr>
        <w:tblStyle w:val="TableGrid"/>
        <w:tblW w:w="9067" w:type="dxa"/>
        <w:tblInd w:w="108" w:type="dxa"/>
        <w:tblLayout w:type="fixed"/>
        <w:tblLook w:val="01E0"/>
      </w:tblPr>
      <w:tblGrid>
        <w:gridCol w:w="1597"/>
        <w:gridCol w:w="1350"/>
        <w:gridCol w:w="1530"/>
        <w:gridCol w:w="1350"/>
        <w:gridCol w:w="1080"/>
        <w:gridCol w:w="900"/>
        <w:gridCol w:w="1260"/>
      </w:tblGrid>
      <w:tr w14:paraId="41A97B44" w14:textId="77777777" w:rsidTr="007A7A09">
        <w:tblPrEx>
          <w:tblW w:w="9067" w:type="dxa"/>
          <w:tblInd w:w="108" w:type="dxa"/>
          <w:tblLayout w:type="fixed"/>
          <w:tblLook w:val="01E0"/>
        </w:tblPrEx>
        <w:tc>
          <w:tcPr>
            <w:tcW w:w="1597" w:type="dxa"/>
            <w:tcBorders>
              <w:top w:val="single" w:sz="4" w:space="0" w:color="auto"/>
              <w:left w:val="single" w:sz="4" w:space="0" w:color="auto"/>
              <w:bottom w:val="single" w:sz="4" w:space="0" w:color="auto"/>
              <w:right w:val="single" w:sz="4" w:space="0" w:color="auto"/>
            </w:tcBorders>
            <w:hideMark/>
          </w:tcPr>
          <w:p w:rsidR="00A93641" w:rsidRPr="00723AF0" w:rsidP="0038445D" w14:paraId="30CE4EFC" w14:textId="77777777">
            <w:pPr>
              <w:keepNext/>
              <w:kinsoku w:val="0"/>
              <w:overflowPunct w:val="0"/>
              <w:autoSpaceDE w:val="0"/>
              <w:autoSpaceDN w:val="0"/>
              <w:adjustRightInd w:val="0"/>
              <w:spacing w:after="200" w:line="276" w:lineRule="auto"/>
              <w:rPr>
                <w:rFonts w:asciiTheme="minorHAnsi" w:eastAsiaTheme="minorHAnsi" w:hAnsiTheme="minorHAnsi" w:cstheme="minorHAnsi"/>
                <w:b/>
              </w:rPr>
            </w:pPr>
            <w:r w:rsidRPr="00723AF0">
              <w:rPr>
                <w:rFonts w:asciiTheme="minorHAnsi" w:eastAsiaTheme="minorHAnsi" w:hAnsiTheme="minorHAnsi" w:cstheme="minorHAnsi"/>
                <w:b/>
              </w:rPr>
              <w:t xml:space="preserve">Instrument </w:t>
            </w:r>
          </w:p>
        </w:tc>
        <w:tc>
          <w:tcPr>
            <w:tcW w:w="1350" w:type="dxa"/>
            <w:tcBorders>
              <w:top w:val="single" w:sz="4" w:space="0" w:color="auto"/>
              <w:left w:val="single" w:sz="4" w:space="0" w:color="auto"/>
              <w:bottom w:val="single" w:sz="4" w:space="0" w:color="auto"/>
              <w:right w:val="single" w:sz="4" w:space="0" w:color="auto"/>
            </w:tcBorders>
            <w:hideMark/>
          </w:tcPr>
          <w:p w:rsidR="00A93641" w:rsidRPr="00723AF0" w:rsidP="0038445D" w14:paraId="75B8DD94" w14:textId="77777777">
            <w:pPr>
              <w:keepNext/>
              <w:kinsoku w:val="0"/>
              <w:overflowPunct w:val="0"/>
              <w:autoSpaceDE w:val="0"/>
              <w:autoSpaceDN w:val="0"/>
              <w:adjustRightInd w:val="0"/>
              <w:spacing w:after="200" w:line="276" w:lineRule="auto"/>
              <w:rPr>
                <w:rFonts w:asciiTheme="minorHAnsi" w:eastAsiaTheme="minorHAnsi" w:hAnsiTheme="minorHAnsi" w:cstheme="minorHAnsi"/>
                <w:b/>
              </w:rPr>
            </w:pPr>
            <w:r w:rsidRPr="00723AF0">
              <w:rPr>
                <w:rFonts w:asciiTheme="minorHAnsi" w:eastAsiaTheme="minorHAnsi" w:hAnsiTheme="minorHAnsi" w:cstheme="minorHAnsi"/>
                <w:b/>
              </w:rPr>
              <w:t>No. of Respondents (total over request period)</w:t>
            </w:r>
          </w:p>
        </w:tc>
        <w:tc>
          <w:tcPr>
            <w:tcW w:w="1530" w:type="dxa"/>
            <w:tcBorders>
              <w:top w:val="single" w:sz="4" w:space="0" w:color="auto"/>
              <w:left w:val="single" w:sz="4" w:space="0" w:color="auto"/>
              <w:bottom w:val="single" w:sz="4" w:space="0" w:color="auto"/>
              <w:right w:val="single" w:sz="4" w:space="0" w:color="auto"/>
            </w:tcBorders>
            <w:hideMark/>
          </w:tcPr>
          <w:p w:rsidR="00A93641" w:rsidRPr="00723AF0" w:rsidP="0038445D" w14:paraId="50197445" w14:textId="77777777">
            <w:pPr>
              <w:keepNext/>
              <w:kinsoku w:val="0"/>
              <w:overflowPunct w:val="0"/>
              <w:autoSpaceDE w:val="0"/>
              <w:autoSpaceDN w:val="0"/>
              <w:adjustRightInd w:val="0"/>
              <w:spacing w:after="200" w:line="276" w:lineRule="auto"/>
              <w:rPr>
                <w:rFonts w:asciiTheme="minorHAnsi" w:eastAsiaTheme="minorHAnsi" w:hAnsiTheme="minorHAnsi" w:cstheme="minorHAnsi"/>
                <w:b/>
              </w:rPr>
            </w:pPr>
            <w:r w:rsidRPr="00723AF0">
              <w:rPr>
                <w:rFonts w:asciiTheme="minorHAnsi" w:eastAsiaTheme="minorHAnsi" w:hAnsiTheme="minorHAnsi" w:cstheme="minorHAnsi"/>
                <w:b/>
              </w:rPr>
              <w:t>No. of Responses per Respondent (total over request period)</w:t>
            </w:r>
          </w:p>
        </w:tc>
        <w:tc>
          <w:tcPr>
            <w:tcW w:w="1350" w:type="dxa"/>
            <w:tcBorders>
              <w:top w:val="single" w:sz="4" w:space="0" w:color="auto"/>
              <w:left w:val="single" w:sz="4" w:space="0" w:color="auto"/>
              <w:bottom w:val="single" w:sz="4" w:space="0" w:color="auto"/>
              <w:right w:val="single" w:sz="4" w:space="0" w:color="auto"/>
            </w:tcBorders>
            <w:hideMark/>
          </w:tcPr>
          <w:p w:rsidR="00A93641" w:rsidRPr="00723AF0" w:rsidP="0038445D" w14:paraId="7B8E5E7E" w14:textId="77777777">
            <w:pPr>
              <w:keepNext/>
              <w:kinsoku w:val="0"/>
              <w:overflowPunct w:val="0"/>
              <w:autoSpaceDE w:val="0"/>
              <w:autoSpaceDN w:val="0"/>
              <w:adjustRightInd w:val="0"/>
              <w:spacing w:after="200" w:line="276" w:lineRule="auto"/>
              <w:rPr>
                <w:rFonts w:asciiTheme="minorHAnsi" w:eastAsiaTheme="minorHAnsi" w:hAnsiTheme="minorHAnsi" w:cstheme="minorHAnsi"/>
                <w:b/>
              </w:rPr>
            </w:pPr>
            <w:r w:rsidRPr="00723AF0">
              <w:rPr>
                <w:rFonts w:asciiTheme="minorHAnsi" w:eastAsiaTheme="minorHAnsi" w:hAnsiTheme="minorHAnsi" w:cstheme="minorHAnsi"/>
                <w:b/>
              </w:rPr>
              <w:t>Avg. Burden per Response (in hours)</w:t>
            </w:r>
          </w:p>
        </w:tc>
        <w:tc>
          <w:tcPr>
            <w:tcW w:w="1080" w:type="dxa"/>
            <w:tcBorders>
              <w:top w:val="single" w:sz="4" w:space="0" w:color="auto"/>
              <w:left w:val="single" w:sz="4" w:space="0" w:color="auto"/>
              <w:bottom w:val="single" w:sz="4" w:space="0" w:color="auto"/>
              <w:right w:val="single" w:sz="4" w:space="0" w:color="auto"/>
            </w:tcBorders>
          </w:tcPr>
          <w:p w:rsidR="00A93641" w:rsidRPr="00723AF0" w:rsidP="0038445D" w14:paraId="1FCC0967" w14:textId="77777777">
            <w:pPr>
              <w:keepNext/>
              <w:kinsoku w:val="0"/>
              <w:overflowPunct w:val="0"/>
              <w:autoSpaceDE w:val="0"/>
              <w:autoSpaceDN w:val="0"/>
              <w:adjustRightInd w:val="0"/>
              <w:spacing w:after="200" w:line="276" w:lineRule="auto"/>
              <w:rPr>
                <w:rFonts w:asciiTheme="minorHAnsi" w:eastAsiaTheme="minorHAnsi" w:hAnsiTheme="minorHAnsi" w:cstheme="minorHAnsi"/>
                <w:b/>
              </w:rPr>
            </w:pPr>
            <w:r w:rsidRPr="00723AF0">
              <w:rPr>
                <w:rFonts w:asciiTheme="minorHAnsi" w:eastAsiaTheme="minorHAnsi" w:hAnsiTheme="minorHAnsi" w:cstheme="minorHAnsi"/>
                <w:b/>
              </w:rPr>
              <w:t>Total Burden (in hours)</w:t>
            </w:r>
          </w:p>
        </w:tc>
        <w:tc>
          <w:tcPr>
            <w:tcW w:w="900" w:type="dxa"/>
            <w:tcBorders>
              <w:top w:val="single" w:sz="4" w:space="0" w:color="auto"/>
              <w:left w:val="single" w:sz="4" w:space="0" w:color="auto"/>
              <w:bottom w:val="single" w:sz="4" w:space="0" w:color="auto"/>
              <w:right w:val="single" w:sz="4" w:space="0" w:color="auto"/>
            </w:tcBorders>
            <w:hideMark/>
          </w:tcPr>
          <w:p w:rsidR="00A93641" w:rsidRPr="00723AF0" w:rsidP="0038445D" w14:paraId="7191712F" w14:textId="0823BB81">
            <w:pPr>
              <w:keepNext/>
              <w:kinsoku w:val="0"/>
              <w:overflowPunct w:val="0"/>
              <w:autoSpaceDE w:val="0"/>
              <w:autoSpaceDN w:val="0"/>
              <w:adjustRightInd w:val="0"/>
              <w:spacing w:after="200" w:line="276" w:lineRule="auto"/>
              <w:rPr>
                <w:rFonts w:asciiTheme="minorHAnsi" w:eastAsiaTheme="minorHAnsi" w:hAnsiTheme="minorHAnsi" w:cstheme="minorHAnsi"/>
                <w:b/>
              </w:rPr>
            </w:pPr>
            <w:r w:rsidRPr="00723AF0">
              <w:rPr>
                <w:rFonts w:asciiTheme="minorHAnsi" w:eastAsiaTheme="minorHAnsi" w:hAnsiTheme="minorHAnsi" w:cstheme="minorHAnsi"/>
                <w:b/>
              </w:rPr>
              <w:t xml:space="preserve">Median </w:t>
            </w:r>
            <w:r w:rsidRPr="00723AF0">
              <w:rPr>
                <w:rFonts w:asciiTheme="minorHAnsi" w:eastAsiaTheme="minorHAnsi" w:hAnsiTheme="minorHAnsi" w:cstheme="minorHAnsi"/>
                <w:b/>
              </w:rPr>
              <w:t>Hourly Wage Rate</w:t>
            </w:r>
          </w:p>
        </w:tc>
        <w:tc>
          <w:tcPr>
            <w:tcW w:w="1260" w:type="dxa"/>
            <w:tcBorders>
              <w:top w:val="single" w:sz="4" w:space="0" w:color="auto"/>
              <w:left w:val="single" w:sz="4" w:space="0" w:color="auto"/>
              <w:bottom w:val="single" w:sz="4" w:space="0" w:color="auto"/>
              <w:right w:val="single" w:sz="4" w:space="0" w:color="auto"/>
            </w:tcBorders>
            <w:hideMark/>
          </w:tcPr>
          <w:p w:rsidR="00A93641" w:rsidRPr="00723AF0" w:rsidP="0038445D" w14:paraId="73AFFDD3" w14:textId="77777777">
            <w:pPr>
              <w:keepNext/>
              <w:kinsoku w:val="0"/>
              <w:overflowPunct w:val="0"/>
              <w:autoSpaceDE w:val="0"/>
              <w:autoSpaceDN w:val="0"/>
              <w:adjustRightInd w:val="0"/>
              <w:spacing w:after="200" w:line="276" w:lineRule="auto"/>
              <w:rPr>
                <w:rFonts w:asciiTheme="minorHAnsi" w:eastAsiaTheme="minorHAnsi" w:hAnsiTheme="minorHAnsi" w:cstheme="minorHAnsi"/>
                <w:b/>
              </w:rPr>
            </w:pPr>
            <w:r w:rsidRPr="00723AF0">
              <w:rPr>
                <w:rFonts w:asciiTheme="minorHAnsi" w:eastAsiaTheme="minorHAnsi" w:hAnsiTheme="minorHAnsi" w:cstheme="minorHAnsi"/>
                <w:b/>
              </w:rPr>
              <w:t>Total Respondent Cost</w:t>
            </w:r>
          </w:p>
        </w:tc>
      </w:tr>
      <w:tr w14:paraId="44ED9855" w14:textId="77777777" w:rsidTr="007A7A09">
        <w:tblPrEx>
          <w:tblW w:w="9067" w:type="dxa"/>
          <w:tblInd w:w="108" w:type="dxa"/>
          <w:tblLayout w:type="fixed"/>
          <w:tblLook w:val="01E0"/>
        </w:tblPrEx>
        <w:tc>
          <w:tcPr>
            <w:tcW w:w="1597" w:type="dxa"/>
            <w:tcBorders>
              <w:top w:val="single" w:sz="4" w:space="0" w:color="auto"/>
              <w:left w:val="single" w:sz="4" w:space="0" w:color="auto"/>
              <w:bottom w:val="single" w:sz="4" w:space="0" w:color="auto"/>
              <w:right w:val="single" w:sz="4" w:space="0" w:color="auto"/>
            </w:tcBorders>
          </w:tcPr>
          <w:p w:rsidR="002F7678" w:rsidRPr="008B4E67" w:rsidP="002F7678" w14:paraId="7C5AC179" w14:textId="77777777">
            <w:pPr>
              <w:rPr>
                <w:rFonts w:asciiTheme="minorHAnsi" w:hAnsiTheme="minorHAnsi" w:cstheme="minorHAnsi"/>
              </w:rPr>
            </w:pPr>
            <w:r w:rsidRPr="00F218F5">
              <w:rPr>
                <w:rFonts w:asciiTheme="minorHAnsi" w:hAnsiTheme="minorHAnsi" w:cstheme="minorHAnsi"/>
              </w:rPr>
              <w:t>A</w:t>
            </w:r>
            <w:r>
              <w:rPr>
                <w:rFonts w:asciiTheme="minorHAnsi" w:hAnsiTheme="minorHAnsi" w:cstheme="minorHAnsi"/>
              </w:rPr>
              <w:t>: Baseline</w:t>
            </w:r>
          </w:p>
          <w:p w:rsidR="002F7678" w:rsidRPr="00F218F5" w:rsidP="002F7678" w14:paraId="319C372D" w14:textId="4D75C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B4E67">
              <w:rPr>
                <w:rFonts w:asciiTheme="minorHAnsi" w:hAnsiTheme="minorHAnsi" w:cstheme="minorHAnsi"/>
              </w:rPr>
              <w:t>Survey</w:t>
            </w:r>
          </w:p>
        </w:tc>
        <w:tc>
          <w:tcPr>
            <w:tcW w:w="1350" w:type="dxa"/>
            <w:tcBorders>
              <w:top w:val="single" w:sz="4" w:space="0" w:color="auto"/>
              <w:left w:val="single" w:sz="4" w:space="0" w:color="auto"/>
              <w:bottom w:val="single" w:sz="4" w:space="0" w:color="auto"/>
              <w:right w:val="single" w:sz="4" w:space="0" w:color="auto"/>
            </w:tcBorders>
            <w:vAlign w:val="center"/>
          </w:tcPr>
          <w:p w:rsidR="002F7678" w:rsidRPr="00F218F5" w:rsidP="002F7678" w14:paraId="50FD8B9E" w14:textId="28431D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600</w:t>
            </w:r>
          </w:p>
        </w:tc>
        <w:tc>
          <w:tcPr>
            <w:tcW w:w="1530" w:type="dxa"/>
            <w:tcBorders>
              <w:top w:val="single" w:sz="4" w:space="0" w:color="auto"/>
              <w:left w:val="single" w:sz="4" w:space="0" w:color="auto"/>
              <w:bottom w:val="single" w:sz="4" w:space="0" w:color="auto"/>
              <w:right w:val="single" w:sz="4" w:space="0" w:color="auto"/>
            </w:tcBorders>
            <w:vAlign w:val="center"/>
          </w:tcPr>
          <w:p w:rsidR="002F7678" w:rsidRPr="00F218F5" w:rsidP="002F7678" w14:paraId="29E2172C" w14:textId="67ADC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350" w:type="dxa"/>
            <w:tcBorders>
              <w:top w:val="single" w:sz="4" w:space="0" w:color="auto"/>
              <w:left w:val="single" w:sz="4" w:space="0" w:color="auto"/>
              <w:bottom w:val="single" w:sz="4" w:space="0" w:color="auto"/>
              <w:right w:val="single" w:sz="4" w:space="0" w:color="auto"/>
            </w:tcBorders>
            <w:vAlign w:val="center"/>
          </w:tcPr>
          <w:p w:rsidR="002F7678" w:rsidRPr="00F218F5" w:rsidP="002F7678" w14:paraId="619FC69A" w14:textId="183E53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w:t>
            </w:r>
          </w:p>
        </w:tc>
        <w:tc>
          <w:tcPr>
            <w:tcW w:w="1080" w:type="dxa"/>
            <w:tcBorders>
              <w:top w:val="single" w:sz="4" w:space="0" w:color="auto"/>
              <w:left w:val="single" w:sz="4" w:space="0" w:color="auto"/>
              <w:bottom w:val="single" w:sz="4" w:space="0" w:color="auto"/>
              <w:right w:val="single" w:sz="4" w:space="0" w:color="auto"/>
            </w:tcBorders>
            <w:vAlign w:val="center"/>
          </w:tcPr>
          <w:p w:rsidR="002F7678" w:rsidRPr="00F218F5" w:rsidP="002F7678" w14:paraId="4992F70F" w14:textId="581945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300</w:t>
            </w:r>
          </w:p>
        </w:tc>
        <w:tc>
          <w:tcPr>
            <w:tcW w:w="900" w:type="dxa"/>
            <w:tcBorders>
              <w:top w:val="single" w:sz="4" w:space="0" w:color="auto"/>
              <w:left w:val="single" w:sz="4" w:space="0" w:color="auto"/>
              <w:bottom w:val="single" w:sz="4" w:space="0" w:color="auto"/>
              <w:right w:val="single" w:sz="4" w:space="0" w:color="auto"/>
            </w:tcBorders>
            <w:vAlign w:val="center"/>
          </w:tcPr>
          <w:p w:rsidR="002F7678" w:rsidRPr="00F218F5" w:rsidP="002F7678" w14:paraId="261CD09E" w14:textId="69A2F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218F5">
              <w:rPr>
                <w:rFonts w:asciiTheme="minorHAnsi" w:hAnsiTheme="minorHAnsi" w:cstheme="minorHAnsi"/>
                <w:bCs/>
              </w:rPr>
              <w:t>$</w:t>
            </w:r>
            <w:r w:rsidR="001419C5">
              <w:rPr>
                <w:rFonts w:asciiTheme="minorHAnsi" w:hAnsiTheme="minorHAnsi" w:cstheme="minorHAnsi"/>
                <w:bCs/>
              </w:rPr>
              <w:t>18.25</w:t>
            </w:r>
          </w:p>
        </w:tc>
        <w:tc>
          <w:tcPr>
            <w:tcW w:w="1260" w:type="dxa"/>
            <w:tcBorders>
              <w:top w:val="single" w:sz="4" w:space="0" w:color="auto"/>
              <w:left w:val="single" w:sz="4" w:space="0" w:color="auto"/>
              <w:bottom w:val="single" w:sz="4" w:space="0" w:color="auto"/>
              <w:right w:val="single" w:sz="4" w:space="0" w:color="auto"/>
            </w:tcBorders>
            <w:vAlign w:val="center"/>
          </w:tcPr>
          <w:p w:rsidR="002F7678" w:rsidRPr="00F218F5" w:rsidP="002F7678" w14:paraId="3A7C12E4" w14:textId="5E8CDE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218F5">
              <w:rPr>
                <w:rFonts w:asciiTheme="minorHAnsi" w:hAnsiTheme="minorHAnsi" w:cstheme="minorHAnsi"/>
                <w:bCs/>
              </w:rPr>
              <w:t>$</w:t>
            </w:r>
            <w:r w:rsidR="001419C5">
              <w:rPr>
                <w:rFonts w:asciiTheme="minorHAnsi" w:hAnsiTheme="minorHAnsi" w:cstheme="minorHAnsi"/>
                <w:bCs/>
              </w:rPr>
              <w:t>5,475</w:t>
            </w:r>
          </w:p>
        </w:tc>
      </w:tr>
      <w:tr w14:paraId="75569A08" w14:textId="77777777" w:rsidTr="007A7A09">
        <w:tblPrEx>
          <w:tblW w:w="9067" w:type="dxa"/>
          <w:tblInd w:w="108" w:type="dxa"/>
          <w:tblLayout w:type="fixed"/>
          <w:tblLook w:val="01E0"/>
        </w:tblPrEx>
        <w:tc>
          <w:tcPr>
            <w:tcW w:w="1597" w:type="dxa"/>
            <w:tcBorders>
              <w:top w:val="single" w:sz="4" w:space="0" w:color="auto"/>
              <w:left w:val="single" w:sz="4" w:space="0" w:color="auto"/>
              <w:bottom w:val="single" w:sz="4" w:space="0" w:color="auto"/>
              <w:right w:val="single" w:sz="4" w:space="0" w:color="auto"/>
            </w:tcBorders>
          </w:tcPr>
          <w:p w:rsidR="002F7678" w:rsidRPr="00723AF0" w:rsidP="002F7678" w14:paraId="493D8CEC" w14:textId="7EBC08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B: Follow-up Survey</w:t>
            </w:r>
          </w:p>
        </w:tc>
        <w:tc>
          <w:tcPr>
            <w:tcW w:w="1350" w:type="dxa"/>
            <w:tcBorders>
              <w:top w:val="single" w:sz="4" w:space="0" w:color="auto"/>
              <w:left w:val="single" w:sz="4" w:space="0" w:color="auto"/>
              <w:bottom w:val="single" w:sz="4" w:space="0" w:color="auto"/>
              <w:right w:val="single" w:sz="4" w:space="0" w:color="auto"/>
            </w:tcBorders>
            <w:vAlign w:val="center"/>
          </w:tcPr>
          <w:p w:rsidR="002F7678" w:rsidRPr="00723AF0" w:rsidP="002F7678" w14:paraId="59540FE7" w14:textId="0004AE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540</w:t>
            </w:r>
          </w:p>
        </w:tc>
        <w:tc>
          <w:tcPr>
            <w:tcW w:w="1530" w:type="dxa"/>
            <w:tcBorders>
              <w:top w:val="single" w:sz="4" w:space="0" w:color="auto"/>
              <w:left w:val="single" w:sz="4" w:space="0" w:color="auto"/>
              <w:bottom w:val="single" w:sz="4" w:space="0" w:color="auto"/>
              <w:right w:val="single" w:sz="4" w:space="0" w:color="auto"/>
            </w:tcBorders>
            <w:vAlign w:val="center"/>
          </w:tcPr>
          <w:p w:rsidR="002F7678" w:rsidRPr="00723AF0" w:rsidP="002F7678" w14:paraId="08F2E66A" w14:textId="310272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w:t>
            </w:r>
          </w:p>
        </w:tc>
        <w:tc>
          <w:tcPr>
            <w:tcW w:w="1350" w:type="dxa"/>
            <w:tcBorders>
              <w:top w:val="single" w:sz="4" w:space="0" w:color="auto"/>
              <w:left w:val="single" w:sz="4" w:space="0" w:color="auto"/>
              <w:bottom w:val="single" w:sz="4" w:space="0" w:color="auto"/>
              <w:right w:val="single" w:sz="4" w:space="0" w:color="auto"/>
            </w:tcBorders>
            <w:vAlign w:val="center"/>
          </w:tcPr>
          <w:p w:rsidR="002F7678" w:rsidRPr="00723AF0" w:rsidP="002F7678" w14:paraId="697E2DA6" w14:textId="4516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w:t>
            </w:r>
          </w:p>
        </w:tc>
        <w:tc>
          <w:tcPr>
            <w:tcW w:w="1080" w:type="dxa"/>
            <w:tcBorders>
              <w:top w:val="single" w:sz="4" w:space="0" w:color="auto"/>
              <w:left w:val="single" w:sz="4" w:space="0" w:color="auto"/>
              <w:bottom w:val="single" w:sz="4" w:space="0" w:color="auto"/>
              <w:right w:val="single" w:sz="4" w:space="0" w:color="auto"/>
            </w:tcBorders>
            <w:vAlign w:val="center"/>
          </w:tcPr>
          <w:p w:rsidR="002F7678" w:rsidRPr="00723AF0" w:rsidP="002F7678" w14:paraId="28AA1B8A" w14:textId="0D000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540</w:t>
            </w:r>
          </w:p>
        </w:tc>
        <w:tc>
          <w:tcPr>
            <w:tcW w:w="900" w:type="dxa"/>
            <w:tcBorders>
              <w:top w:val="single" w:sz="4" w:space="0" w:color="auto"/>
              <w:left w:val="single" w:sz="4" w:space="0" w:color="auto"/>
              <w:bottom w:val="single" w:sz="4" w:space="0" w:color="auto"/>
              <w:right w:val="single" w:sz="4" w:space="0" w:color="auto"/>
            </w:tcBorders>
            <w:vAlign w:val="center"/>
          </w:tcPr>
          <w:p w:rsidR="002F7678" w:rsidRPr="00723AF0" w:rsidP="002F7678" w14:paraId="20EF35A2" w14:textId="3B61BD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218F5">
              <w:rPr>
                <w:rFonts w:asciiTheme="minorHAnsi" w:hAnsiTheme="minorHAnsi" w:cstheme="minorHAnsi"/>
                <w:bCs/>
              </w:rPr>
              <w:t>$</w:t>
            </w:r>
            <w:r w:rsidR="001419C5">
              <w:rPr>
                <w:rFonts w:asciiTheme="minorHAnsi" w:hAnsiTheme="minorHAnsi" w:cstheme="minorHAnsi"/>
                <w:bCs/>
              </w:rPr>
              <w:t>18.25</w:t>
            </w:r>
          </w:p>
        </w:tc>
        <w:tc>
          <w:tcPr>
            <w:tcW w:w="1260" w:type="dxa"/>
            <w:tcBorders>
              <w:top w:val="single" w:sz="4" w:space="0" w:color="auto"/>
              <w:left w:val="single" w:sz="4" w:space="0" w:color="auto"/>
              <w:bottom w:val="single" w:sz="4" w:space="0" w:color="auto"/>
              <w:right w:val="single" w:sz="4" w:space="0" w:color="auto"/>
            </w:tcBorders>
            <w:vAlign w:val="center"/>
          </w:tcPr>
          <w:p w:rsidR="002F7678" w:rsidRPr="00F218F5" w:rsidP="002F7678" w14:paraId="13E939AF" w14:textId="5E9F6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1419C5">
              <w:rPr>
                <w:rFonts w:asciiTheme="minorHAnsi" w:hAnsiTheme="minorHAnsi" w:cstheme="minorHAnsi"/>
                <w:bCs/>
              </w:rPr>
              <w:t>9,855</w:t>
            </w:r>
          </w:p>
        </w:tc>
      </w:tr>
      <w:tr w14:paraId="689CD790" w14:textId="77777777" w:rsidTr="002919FB">
        <w:tblPrEx>
          <w:tblW w:w="9067" w:type="dxa"/>
          <w:tblInd w:w="108" w:type="dxa"/>
          <w:tblLayout w:type="fixed"/>
          <w:tblLook w:val="01E0"/>
        </w:tblPrEx>
        <w:trPr>
          <w:trHeight w:val="432"/>
        </w:trPr>
        <w:tc>
          <w:tcPr>
            <w:tcW w:w="1597" w:type="dxa"/>
            <w:tcBorders>
              <w:top w:val="single" w:sz="4" w:space="0" w:color="auto"/>
              <w:left w:val="single" w:sz="4" w:space="0" w:color="auto"/>
              <w:bottom w:val="single" w:sz="4" w:space="0" w:color="auto"/>
              <w:right w:val="single" w:sz="4" w:space="0" w:color="auto"/>
            </w:tcBorders>
            <w:vAlign w:val="center"/>
            <w:hideMark/>
          </w:tcPr>
          <w:p w:rsidR="002F7678" w:rsidRPr="00723AF0" w:rsidP="002919FB" w14:paraId="2AE55BB7" w14:textId="61B4F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AE457B">
              <w:rPr>
                <w:rFonts w:asciiTheme="minorHAnsi" w:hAnsiTheme="minorHAnsi" w:cstheme="minorHAnsi"/>
                <w:bCs/>
              </w:rPr>
              <w:t>Total</w:t>
            </w:r>
            <w:r w:rsidR="001A4C7F">
              <w:rPr>
                <w:rFonts w:asciiTheme="minorHAnsi" w:hAnsiTheme="minorHAnsi" w:cstheme="minorHAnsi"/>
                <w:bCs/>
              </w:rPr>
              <w:t>s and Averages:</w:t>
            </w:r>
          </w:p>
        </w:tc>
        <w:tc>
          <w:tcPr>
            <w:tcW w:w="1350" w:type="dxa"/>
            <w:tcBorders>
              <w:top w:val="single" w:sz="4" w:space="0" w:color="auto"/>
              <w:left w:val="single" w:sz="4" w:space="0" w:color="auto"/>
              <w:bottom w:val="single" w:sz="4" w:space="0" w:color="auto"/>
              <w:right w:val="single" w:sz="4" w:space="0" w:color="auto"/>
            </w:tcBorders>
            <w:vAlign w:val="center"/>
          </w:tcPr>
          <w:p w:rsidR="002F7678" w:rsidRPr="00723AF0" w:rsidP="002F7678" w14:paraId="3BFC430A" w14:textId="7F2E3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600</w:t>
            </w:r>
          </w:p>
        </w:tc>
        <w:tc>
          <w:tcPr>
            <w:tcW w:w="1530" w:type="dxa"/>
            <w:tcBorders>
              <w:top w:val="single" w:sz="4" w:space="0" w:color="auto"/>
              <w:left w:val="single" w:sz="4" w:space="0" w:color="auto"/>
              <w:bottom w:val="single" w:sz="4" w:space="0" w:color="auto"/>
              <w:right w:val="single" w:sz="4" w:space="0" w:color="auto"/>
            </w:tcBorders>
            <w:vAlign w:val="center"/>
          </w:tcPr>
          <w:p w:rsidR="002F7678" w:rsidRPr="00723AF0" w:rsidP="002F7678" w14:paraId="57A49C04" w14:textId="587A87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-2.8 (avg)</w:t>
            </w:r>
          </w:p>
        </w:tc>
        <w:tc>
          <w:tcPr>
            <w:tcW w:w="1350" w:type="dxa"/>
            <w:tcBorders>
              <w:top w:val="single" w:sz="4" w:space="0" w:color="auto"/>
              <w:left w:val="single" w:sz="4" w:space="0" w:color="auto"/>
              <w:bottom w:val="single" w:sz="4" w:space="0" w:color="auto"/>
              <w:right w:val="single" w:sz="4" w:space="0" w:color="auto"/>
            </w:tcBorders>
            <w:vAlign w:val="center"/>
          </w:tcPr>
          <w:p w:rsidR="002F7678" w:rsidRPr="00723AF0" w:rsidP="002F7678" w14:paraId="610226EF" w14:textId="71D67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w:t>
            </w:r>
          </w:p>
        </w:tc>
        <w:tc>
          <w:tcPr>
            <w:tcW w:w="1080" w:type="dxa"/>
            <w:tcBorders>
              <w:top w:val="single" w:sz="4" w:space="0" w:color="auto"/>
              <w:left w:val="single" w:sz="4" w:space="0" w:color="auto"/>
              <w:bottom w:val="single" w:sz="4" w:space="0" w:color="auto"/>
              <w:right w:val="single" w:sz="4" w:space="0" w:color="auto"/>
            </w:tcBorders>
            <w:vAlign w:val="center"/>
          </w:tcPr>
          <w:p w:rsidR="002F7678" w:rsidRPr="00723AF0" w:rsidP="002F7678" w14:paraId="2A9C84BA" w14:textId="76AAFF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840</w:t>
            </w:r>
          </w:p>
        </w:tc>
        <w:tc>
          <w:tcPr>
            <w:tcW w:w="900" w:type="dxa"/>
            <w:tcBorders>
              <w:top w:val="single" w:sz="4" w:space="0" w:color="auto"/>
              <w:left w:val="single" w:sz="4" w:space="0" w:color="auto"/>
              <w:bottom w:val="single" w:sz="4" w:space="0" w:color="auto"/>
              <w:right w:val="single" w:sz="4" w:space="0" w:color="auto"/>
            </w:tcBorders>
            <w:vAlign w:val="center"/>
            <w:hideMark/>
          </w:tcPr>
          <w:p w:rsidR="002F7678" w:rsidRPr="00723AF0" w:rsidP="002F7678" w14:paraId="519CAE9C" w14:textId="241D1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218F5">
              <w:rPr>
                <w:rFonts w:asciiTheme="minorHAnsi" w:hAnsiTheme="minorHAnsi" w:cstheme="minorHAnsi"/>
                <w:bCs/>
              </w:rPr>
              <w:t>$</w:t>
            </w:r>
            <w:r w:rsidR="001419C5">
              <w:rPr>
                <w:rFonts w:asciiTheme="minorHAnsi" w:hAnsiTheme="minorHAnsi" w:cstheme="minorHAnsi"/>
                <w:bCs/>
              </w:rPr>
              <w:t>18.25</w:t>
            </w:r>
          </w:p>
        </w:tc>
        <w:tc>
          <w:tcPr>
            <w:tcW w:w="1260" w:type="dxa"/>
            <w:tcBorders>
              <w:top w:val="single" w:sz="4" w:space="0" w:color="auto"/>
              <w:left w:val="single" w:sz="4" w:space="0" w:color="auto"/>
              <w:bottom w:val="single" w:sz="4" w:space="0" w:color="auto"/>
              <w:right w:val="single" w:sz="4" w:space="0" w:color="auto"/>
            </w:tcBorders>
            <w:vAlign w:val="center"/>
            <w:hideMark/>
          </w:tcPr>
          <w:p w:rsidR="002F7678" w:rsidRPr="008A5AC0" w:rsidP="002F7678" w14:paraId="02E364C0" w14:textId="09BFF9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2286">
              <w:rPr>
                <w:rFonts w:asciiTheme="minorHAnsi" w:hAnsiTheme="minorHAnsi" w:cstheme="minorHAnsi"/>
                <w:bCs/>
              </w:rPr>
              <w:t>$</w:t>
            </w:r>
            <w:r w:rsidRPr="008A5AC0" w:rsidR="00881CD5">
              <w:rPr>
                <w:rFonts w:asciiTheme="minorHAnsi" w:hAnsiTheme="minorHAnsi" w:cstheme="minorHAnsi"/>
                <w:bCs/>
              </w:rPr>
              <w:t>1</w:t>
            </w:r>
            <w:r w:rsidR="00881CD5">
              <w:rPr>
                <w:rFonts w:asciiTheme="minorHAnsi" w:hAnsiTheme="minorHAnsi" w:cstheme="minorHAnsi"/>
                <w:bCs/>
              </w:rPr>
              <w:t>5</w:t>
            </w:r>
            <w:r w:rsidR="001419C5">
              <w:rPr>
                <w:rFonts w:asciiTheme="minorHAnsi" w:hAnsiTheme="minorHAnsi" w:cstheme="minorHAnsi"/>
                <w:bCs/>
              </w:rPr>
              <w:t>,330</w:t>
            </w:r>
          </w:p>
        </w:tc>
      </w:tr>
    </w:tbl>
    <w:p w:rsidR="001D1C73" w:rsidRPr="00EF1873" w:rsidP="001D1C73" w14:paraId="1DA4EFA8" w14:textId="560E36ED">
      <w:pPr>
        <w:spacing w:after="0" w:line="240" w:lineRule="auto"/>
        <w:rPr>
          <w:highlight w:val="yellow"/>
        </w:rPr>
      </w:pPr>
    </w:p>
    <w:p w:rsidR="001D1C73" w:rsidRPr="00875D3C" w:rsidP="001D1C73" w14:paraId="5B8AB35B" w14:textId="346F47E8">
      <w:pPr>
        <w:spacing w:after="0" w:line="240" w:lineRule="auto"/>
      </w:pPr>
      <w:r w:rsidRPr="00875D3C">
        <w:t xml:space="preserve">This data collection is anticipated to extend beyond the current </w:t>
      </w:r>
      <w:r w:rsidRPr="00875D3C" w:rsidR="00875D3C">
        <w:t xml:space="preserve">umbrella generic.  </w:t>
      </w:r>
      <w:r w:rsidRPr="00875D3C">
        <w:t xml:space="preserve">An extension request is in process for the umbrella generic and that this </w:t>
      </w:r>
      <w:r w:rsidRPr="00875D3C">
        <w:t>GenIC</w:t>
      </w:r>
      <w:r w:rsidRPr="00875D3C">
        <w:t xml:space="preserve"> will be included in that extension request</w:t>
      </w:r>
      <w:r w:rsidRPr="00875D3C" w:rsidR="00482B21">
        <w:t>.</w:t>
      </w:r>
    </w:p>
    <w:p w:rsidR="00482B21" w:rsidRPr="00EF1873" w:rsidP="001D1C73" w14:paraId="427AC38E" w14:textId="77777777">
      <w:pPr>
        <w:spacing w:after="0" w:line="240" w:lineRule="auto"/>
        <w:rPr>
          <w:highlight w:val="yellow"/>
        </w:rPr>
      </w:pPr>
    </w:p>
    <w:p w:rsidR="001D1C73" w:rsidRPr="007419FF" w:rsidP="001D1C73" w14:paraId="730F9427" w14:textId="0256F9B6">
      <w:pPr>
        <w:spacing w:after="120" w:line="240" w:lineRule="auto"/>
        <w:rPr>
          <w:rFonts w:cstheme="minorHAnsi"/>
        </w:rPr>
      </w:pPr>
      <w:r w:rsidRPr="007419FF">
        <w:rPr>
          <w:rFonts w:cstheme="minorHAnsi"/>
          <w:b/>
        </w:rPr>
        <w:t>A13</w:t>
      </w:r>
      <w:r w:rsidRPr="007419FF">
        <w:rPr>
          <w:rFonts w:cstheme="minorHAnsi"/>
        </w:rPr>
        <w:t>.</w:t>
      </w:r>
      <w:r w:rsidRPr="007419FF">
        <w:rPr>
          <w:rFonts w:cstheme="minorHAnsi"/>
        </w:rPr>
        <w:tab/>
      </w:r>
      <w:r w:rsidRPr="007419FF">
        <w:rPr>
          <w:rFonts w:cstheme="minorHAnsi"/>
          <w:b/>
        </w:rPr>
        <w:t>Costs</w:t>
      </w:r>
    </w:p>
    <w:p w:rsidR="007B35F2" w:rsidP="001D1C73" w14:paraId="6DFB2377" w14:textId="3D40AC14">
      <w:pPr>
        <w:autoSpaceDE w:val="0"/>
        <w:autoSpaceDN w:val="0"/>
        <w:adjustRightInd w:val="0"/>
        <w:spacing w:after="0" w:line="240" w:lineRule="auto"/>
        <w:rPr>
          <w:rFonts w:cstheme="minorHAnsi"/>
          <w:highlight w:val="yellow"/>
        </w:rPr>
      </w:pPr>
      <w:r w:rsidRPr="007419FF">
        <w:rPr>
          <w:rFonts w:cstheme="minorHAnsi"/>
        </w:rPr>
        <w:t>There are neither capital nor startup costs, nor are there any operations or maintenance costs. There are no additional total annual cost burdens to respondents or record-keepers beyond the labor cost of burden-hours described in item 12 above</w:t>
      </w:r>
      <w:r w:rsidRPr="007419FF" w:rsidR="00946640">
        <w:rPr>
          <w:rFonts w:cstheme="minorHAnsi"/>
        </w:rPr>
        <w:t>.</w:t>
      </w:r>
    </w:p>
    <w:p w:rsidR="00FA6E1C" w:rsidRPr="00EF1873" w:rsidP="001D1C73" w14:paraId="12F95BA2" w14:textId="77777777">
      <w:pPr>
        <w:autoSpaceDE w:val="0"/>
        <w:autoSpaceDN w:val="0"/>
        <w:adjustRightInd w:val="0"/>
        <w:spacing w:after="0" w:line="240" w:lineRule="auto"/>
        <w:rPr>
          <w:rFonts w:cstheme="minorHAnsi"/>
          <w:highlight w:val="yellow"/>
        </w:rPr>
      </w:pPr>
    </w:p>
    <w:p w:rsidR="001D1C73" w:rsidRPr="00237281" w:rsidP="001D1C73" w14:paraId="5A6D806F" w14:textId="2B9F93B5">
      <w:pPr>
        <w:spacing w:after="120" w:line="240" w:lineRule="auto"/>
        <w:rPr>
          <w:rFonts w:cstheme="minorHAnsi"/>
        </w:rPr>
      </w:pPr>
      <w:r w:rsidRPr="00237281">
        <w:rPr>
          <w:rFonts w:cstheme="minorHAnsi"/>
          <w:b/>
        </w:rPr>
        <w:t>A14</w:t>
      </w:r>
      <w:r w:rsidRPr="00237281">
        <w:rPr>
          <w:rFonts w:cstheme="minorHAnsi"/>
        </w:rPr>
        <w:t>.</w:t>
      </w:r>
      <w:r w:rsidRPr="00237281">
        <w:rPr>
          <w:rFonts w:cstheme="minorHAnsi"/>
        </w:rPr>
        <w:tab/>
      </w:r>
      <w:r w:rsidRPr="00237281">
        <w:rPr>
          <w:rFonts w:cstheme="minorHAnsi"/>
          <w:b/>
        </w:rPr>
        <w:t>Estimated Annualized Costs to the Federal Government</w:t>
      </w:r>
      <w:r w:rsidRPr="00237281">
        <w:rPr>
          <w:rFonts w:cstheme="minorHAnsi"/>
        </w:rPr>
        <w:t xml:space="preserve"> </w:t>
      </w:r>
    </w:p>
    <w:p w:rsidR="001D1C73" w:rsidRPr="00237281" w:rsidP="001D1C73" w14:paraId="30A9FAE4" w14:textId="7F6ED7F2">
      <w:pPr>
        <w:spacing w:after="0"/>
        <w:rPr>
          <w:i/>
          <w:iCs/>
        </w:rPr>
      </w:pPr>
      <w:r w:rsidRPr="00237281">
        <w:rPr>
          <w:i/>
          <w:iCs/>
        </w:rPr>
        <w:t xml:space="preserve">Exhibit 5. </w:t>
      </w:r>
      <w:r w:rsidRPr="00237281" w:rsidR="00686E2F">
        <w:rPr>
          <w:i/>
          <w:iCs/>
        </w:rPr>
        <w:t>Estimated Cost to Federal Government</w:t>
      </w:r>
    </w:p>
    <w:tbl>
      <w:tblPr>
        <w:tblW w:w="0" w:type="auto"/>
        <w:tblCellMar>
          <w:left w:w="0" w:type="dxa"/>
          <w:right w:w="0" w:type="dxa"/>
        </w:tblCellMar>
        <w:tblLook w:val="04A0"/>
      </w:tblPr>
      <w:tblGrid>
        <w:gridCol w:w="4878"/>
        <w:gridCol w:w="2250"/>
      </w:tblGrid>
      <w:tr w14:paraId="03A6925A" w14:textId="77777777" w:rsidTr="002919FB">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rsidR="001D1C73" w:rsidRPr="00237281" w:rsidP="002919FB" w14:paraId="040ACCEE" w14:textId="77777777">
            <w:pPr>
              <w:spacing w:after="0"/>
              <w:rPr>
                <w:b/>
                <w:bCs/>
                <w:sz w:val="20"/>
              </w:rPr>
            </w:pPr>
            <w:bookmarkStart w:id="1" w:name="_Hlk126059017"/>
            <w:r w:rsidRPr="00237281">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1D1C73" w:rsidRPr="00237281" w:rsidP="00CB1D00" w14:paraId="2D64809B" w14:textId="77777777">
            <w:pPr>
              <w:spacing w:after="0"/>
              <w:jc w:val="center"/>
              <w:rPr>
                <w:b/>
                <w:bCs/>
                <w:sz w:val="20"/>
              </w:rPr>
            </w:pPr>
            <w:r w:rsidRPr="00237281">
              <w:rPr>
                <w:b/>
                <w:bCs/>
                <w:sz w:val="20"/>
              </w:rPr>
              <w:t>Estimated Costs</w:t>
            </w:r>
          </w:p>
        </w:tc>
      </w:tr>
      <w:tr w14:paraId="15425C41" w14:textId="77777777" w:rsidTr="00CB1D00">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6DF5" w:rsidRPr="00237281" w:rsidP="00056DF5" w14:paraId="299A5ADE" w14:textId="77777777">
            <w:pPr>
              <w:spacing w:after="0"/>
              <w:rPr>
                <w:rFonts w:ascii="Calibri" w:eastAsia="Calibri" w:hAnsi="Calibri" w:cs="Calibri"/>
                <w:sz w:val="20"/>
              </w:rPr>
            </w:pPr>
            <w:r w:rsidRPr="00237281">
              <w:rPr>
                <w:sz w:val="20"/>
              </w:rPr>
              <w:t>Field Work</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6DF5" w:rsidRPr="00056DF5" w:rsidP="00056DF5" w14:paraId="219CBE6F" w14:textId="36AAF900">
            <w:pPr>
              <w:spacing w:after="0"/>
              <w:jc w:val="center"/>
              <w:rPr>
                <w:sz w:val="20"/>
              </w:rPr>
            </w:pPr>
            <w:r w:rsidRPr="00056DF5">
              <w:rPr>
                <w:sz w:val="20"/>
              </w:rPr>
              <w:t>$</w:t>
            </w:r>
            <w:r w:rsidR="002919FB">
              <w:rPr>
                <w:sz w:val="20"/>
              </w:rPr>
              <w:t>3</w:t>
            </w:r>
            <w:r w:rsidRPr="00056DF5">
              <w:rPr>
                <w:sz w:val="20"/>
              </w:rPr>
              <w:t>64,117</w:t>
            </w:r>
          </w:p>
        </w:tc>
      </w:tr>
      <w:tr w14:paraId="71F20FD1" w14:textId="77777777" w:rsidTr="00CB1D00">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56DF5" w:rsidRPr="00237281" w:rsidP="00056DF5" w14:paraId="2DD9D85F" w14:textId="77777777">
            <w:pPr>
              <w:spacing w:after="0"/>
              <w:rPr>
                <w:sz w:val="20"/>
              </w:rPr>
            </w:pPr>
            <w:r w:rsidRPr="00237281">
              <w:rPr>
                <w:sz w:val="20"/>
              </w:rPr>
              <w:t>Analysis</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rsidR="00056DF5" w:rsidRPr="00056DF5" w:rsidP="00056DF5" w14:paraId="194E752D" w14:textId="446A860C">
            <w:pPr>
              <w:spacing w:after="0"/>
              <w:jc w:val="center"/>
              <w:rPr>
                <w:sz w:val="20"/>
              </w:rPr>
            </w:pPr>
            <w:r w:rsidRPr="00056DF5">
              <w:rPr>
                <w:sz w:val="20"/>
              </w:rPr>
              <w:t>$1</w:t>
            </w:r>
            <w:r w:rsidR="002919FB">
              <w:rPr>
                <w:sz w:val="20"/>
              </w:rPr>
              <w:t>8</w:t>
            </w:r>
            <w:r w:rsidRPr="00056DF5">
              <w:rPr>
                <w:sz w:val="20"/>
              </w:rPr>
              <w:t>7,</w:t>
            </w:r>
            <w:r w:rsidR="002919FB">
              <w:rPr>
                <w:sz w:val="20"/>
              </w:rPr>
              <w:t>532</w:t>
            </w:r>
          </w:p>
        </w:tc>
      </w:tr>
      <w:tr w14:paraId="19E4F024" w14:textId="77777777" w:rsidTr="00CB1D00">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056DF5" w:rsidRPr="00237281" w:rsidP="00056DF5" w14:paraId="6E55C846" w14:textId="77777777">
            <w:pPr>
              <w:spacing w:after="0"/>
              <w:rPr>
                <w:rFonts w:ascii="Calibri" w:eastAsia="Calibri" w:hAnsi="Calibri" w:cs="Calibri"/>
                <w:sz w:val="20"/>
              </w:rPr>
            </w:pPr>
            <w:r w:rsidRPr="00237281">
              <w:rPr>
                <w:sz w:val="20"/>
              </w:rPr>
              <w:t>Publications/Dissemination</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056DF5" w:rsidRPr="00056DF5" w:rsidP="00056DF5" w14:paraId="6BF10F4D" w14:textId="709C5137">
            <w:pPr>
              <w:spacing w:after="0"/>
              <w:jc w:val="center"/>
              <w:rPr>
                <w:sz w:val="20"/>
              </w:rPr>
            </w:pPr>
            <w:r w:rsidRPr="00056DF5">
              <w:rPr>
                <w:sz w:val="20"/>
              </w:rPr>
              <w:t>$</w:t>
            </w:r>
            <w:r w:rsidR="002919FB">
              <w:rPr>
                <w:sz w:val="20"/>
              </w:rPr>
              <w:t>7</w:t>
            </w:r>
            <w:r w:rsidRPr="00056DF5">
              <w:rPr>
                <w:sz w:val="20"/>
              </w:rPr>
              <w:t>3,193</w:t>
            </w:r>
          </w:p>
        </w:tc>
      </w:tr>
      <w:tr w14:paraId="35F03C17" w14:textId="77777777" w:rsidTr="00CB1D00">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56DF5" w:rsidRPr="00237281" w:rsidP="00056DF5" w14:paraId="7EDD4F98" w14:textId="77777777">
            <w:pPr>
              <w:spacing w:after="0"/>
              <w:jc w:val="right"/>
              <w:rPr>
                <w:rFonts w:ascii="Calibri" w:eastAsia="Calibri" w:hAnsi="Calibri" w:cs="Calibri"/>
                <w:b/>
                <w:bCs/>
                <w:sz w:val="20"/>
              </w:rPr>
            </w:pPr>
            <w:r w:rsidRPr="00237281">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56DF5" w:rsidRPr="00056DF5" w:rsidP="00056DF5" w14:paraId="0B43751B" w14:textId="12BC5DE4">
            <w:pPr>
              <w:spacing w:after="0"/>
              <w:jc w:val="center"/>
              <w:rPr>
                <w:b/>
                <w:bCs/>
                <w:sz w:val="20"/>
              </w:rPr>
            </w:pPr>
            <w:r w:rsidRPr="00056DF5">
              <w:rPr>
                <w:sz w:val="20"/>
              </w:rPr>
              <w:t>$</w:t>
            </w:r>
            <w:r w:rsidR="002919FB">
              <w:rPr>
                <w:sz w:val="20"/>
              </w:rPr>
              <w:t>624,8</w:t>
            </w:r>
            <w:r w:rsidR="001A4C7F">
              <w:rPr>
                <w:sz w:val="20"/>
              </w:rPr>
              <w:t>4</w:t>
            </w:r>
            <w:r w:rsidR="002919FB">
              <w:rPr>
                <w:sz w:val="20"/>
              </w:rPr>
              <w:t>2</w:t>
            </w:r>
          </w:p>
        </w:tc>
      </w:tr>
      <w:tr w14:paraId="4590F9AC" w14:textId="77777777" w:rsidTr="00CB1D00">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56DF5" w:rsidRPr="00237281" w:rsidP="00056DF5" w14:paraId="5C3E096F" w14:textId="77777777">
            <w:pPr>
              <w:spacing w:after="0"/>
              <w:jc w:val="right"/>
              <w:rPr>
                <w:b/>
                <w:bCs/>
                <w:sz w:val="20"/>
              </w:rPr>
            </w:pPr>
            <w:r w:rsidRPr="00237281">
              <w:rPr>
                <w:b/>
                <w:color w:val="000000"/>
                <w:sz w:val="20"/>
              </w:rPr>
              <w:t>Annual costs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56DF5" w:rsidRPr="00056DF5" w:rsidP="00056DF5" w14:paraId="52FCC150" w14:textId="1737F63E">
            <w:pPr>
              <w:spacing w:after="0"/>
              <w:jc w:val="center"/>
              <w:rPr>
                <w:b/>
                <w:bCs/>
                <w:sz w:val="20"/>
              </w:rPr>
            </w:pPr>
            <w:r>
              <w:rPr>
                <w:b/>
                <w:bCs/>
                <w:sz w:val="20"/>
              </w:rPr>
              <w:t>$</w:t>
            </w:r>
            <w:r w:rsidR="004279E4">
              <w:rPr>
                <w:b/>
                <w:bCs/>
                <w:sz w:val="20"/>
              </w:rPr>
              <w:t>208,281</w:t>
            </w:r>
          </w:p>
        </w:tc>
      </w:tr>
      <w:bookmarkEnd w:id="1"/>
    </w:tbl>
    <w:p w:rsidR="001D1C73" w:rsidRPr="009139B3" w:rsidP="001D1C73" w14:paraId="29B359B6" w14:textId="77777777">
      <w:pPr>
        <w:spacing w:after="0"/>
        <w:rPr>
          <w:rFonts w:ascii="Calibri" w:eastAsia="Calibri" w:hAnsi="Calibri" w:cs="Calibri"/>
          <w:color w:val="1F497D"/>
        </w:rPr>
      </w:pPr>
    </w:p>
    <w:p w:rsidR="001D1C73" w:rsidRPr="009139B3" w:rsidP="001D1C73"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1D1C73" w:rsidRPr="009139B3" w:rsidP="00577751" w14:paraId="2E8F0BA5" w14:textId="153590B2">
      <w:pPr>
        <w:rPr>
          <w:rFonts w:cstheme="minorHAnsi"/>
        </w:rPr>
      </w:pPr>
      <w:r w:rsidRPr="008E1841">
        <w:t>This is for an individual information collection under the umbrella generic</w:t>
      </w:r>
      <w:r>
        <w:t xml:space="preserve"> </w:t>
      </w:r>
      <w:r w:rsidRPr="00AD5E9A">
        <w:t>clearance, Chafee Strengthening Outcomes for Transition to Adulthood Project Overarching Generic (0970-0618).</w:t>
      </w:r>
    </w:p>
    <w:p w:rsidR="00FB4714" w:rsidP="006B39F9" w14:paraId="630284B9" w14:textId="4E5F7723">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F65557" w:rsidP="3F6BF669" w14:paraId="03581505" w14:textId="0623458B">
      <w:pPr>
        <w:spacing w:after="0" w:line="240" w:lineRule="auto"/>
      </w:pPr>
      <w:r w:rsidRPr="3F6BF669">
        <w:t xml:space="preserve">We anticipate beginning data collection </w:t>
      </w:r>
      <w:r w:rsidR="00F2027D">
        <w:t>once</w:t>
      </w:r>
      <w:r w:rsidRPr="3F6BF669">
        <w:t xml:space="preserve"> we receive OMB </w:t>
      </w:r>
      <w:r w:rsidR="00F2027D">
        <w:t xml:space="preserve">approval, with a goal to start no later than </w:t>
      </w:r>
      <w:r w:rsidR="00D31663">
        <w:t>September</w:t>
      </w:r>
      <w:r w:rsidR="00F2027D">
        <w:t xml:space="preserve"> 2026</w:t>
      </w:r>
      <w:r w:rsidRPr="3F6BF669">
        <w:t xml:space="preserve">. Data collection activities will continue through </w:t>
      </w:r>
      <w:r w:rsidR="00D31663">
        <w:t>September</w:t>
      </w:r>
      <w:r w:rsidR="00EC55D9">
        <w:t xml:space="preserve"> 202</w:t>
      </w:r>
      <w:r w:rsidR="00CF0F62">
        <w:t>8</w:t>
      </w:r>
      <w:r w:rsidRPr="3F6BF669">
        <w:t xml:space="preserve">. </w:t>
      </w:r>
    </w:p>
    <w:p w:rsidR="00D46142" w:rsidP="3F6BF669" w14:paraId="0084F928" w14:textId="77777777">
      <w:pPr>
        <w:spacing w:after="0" w:line="240" w:lineRule="auto"/>
      </w:pPr>
    </w:p>
    <w:p w:rsidR="001D1C73" w:rsidP="00F255B8" w14:paraId="442B3608" w14:textId="161E50C0">
      <w:pPr>
        <w:spacing w:after="0"/>
        <w:rPr>
          <w:rFonts w:cstheme="minorHAnsi"/>
        </w:rPr>
      </w:pPr>
      <w:r w:rsidRPr="00D46142">
        <w:rPr>
          <w:bCs/>
        </w:rPr>
        <w:t xml:space="preserve">ACF is in the process of requesting an extension from OMB for the umbrella generic. The 60-day comment period </w:t>
      </w:r>
      <w:r w:rsidRPr="004279E4">
        <w:rPr>
          <w:bCs/>
        </w:rPr>
        <w:t>is in process (91 FR</w:t>
      </w:r>
      <w:r w:rsidRPr="004279E4" w:rsidR="00BF27AC">
        <w:rPr>
          <w:bCs/>
        </w:rPr>
        <w:t xml:space="preserve"> </w:t>
      </w:r>
      <w:r w:rsidRPr="004279E4" w:rsidR="001C2669">
        <w:rPr>
          <w:bCs/>
        </w:rPr>
        <w:t>22841</w:t>
      </w:r>
      <w:r w:rsidRPr="004279E4">
        <w:rPr>
          <w:bCs/>
        </w:rPr>
        <w:t>)</w:t>
      </w:r>
      <w:r w:rsidRPr="00990FCD">
        <w:rPr>
          <w:bCs/>
        </w:rPr>
        <w:t>.</w:t>
      </w:r>
    </w:p>
    <w:p w:rsidR="009D6E2A" w:rsidRPr="009139B3" w:rsidP="001D1C73" w14:paraId="4E2084F2" w14:textId="77777777">
      <w:pPr>
        <w:spacing w:after="0" w:line="240" w:lineRule="auto"/>
        <w:rPr>
          <w:rFonts w:cstheme="minorHAnsi"/>
        </w:rPr>
      </w:pPr>
    </w:p>
    <w:p w:rsidR="001D1C73" w:rsidRPr="009139B3" w:rsidP="001D1C73"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001D1C73" w:rsidRPr="009139B3" w:rsidP="001D1C73" w14:paraId="3C24CF91" w14:textId="77777777">
      <w:pPr>
        <w:spacing w:after="0"/>
      </w:pPr>
      <w:r w:rsidRPr="009139B3">
        <w:t>No exceptions are necessary for this information collection.</w:t>
      </w:r>
    </w:p>
    <w:p w:rsidR="001D1C73" w:rsidRPr="009139B3" w:rsidP="001D1C73" w14:paraId="6FE33ECD" w14:textId="77777777">
      <w:pPr>
        <w:spacing w:after="0"/>
      </w:pPr>
      <w:r w:rsidRPr="009139B3">
        <w:tab/>
      </w:r>
    </w:p>
    <w:p w:rsidR="001D1C73" w:rsidRPr="006735DE" w:rsidP="001D1C73" w14:paraId="7BED44AA" w14:textId="77777777">
      <w:pPr>
        <w:spacing w:after="120" w:line="240" w:lineRule="auto"/>
        <w:rPr>
          <w:b/>
        </w:rPr>
      </w:pPr>
      <w:r w:rsidRPr="006735DE">
        <w:rPr>
          <w:b/>
        </w:rPr>
        <w:t>Attachments</w:t>
      </w:r>
    </w:p>
    <w:p w:rsidR="00D911AE" w:rsidRPr="00AE457B" w:rsidP="00D911AE" w14:paraId="5E4B9FCB" w14:textId="081C146D">
      <w:pPr>
        <w:spacing w:after="0"/>
      </w:pPr>
      <w:r w:rsidRPr="00AE457B">
        <w:t>Instrument</w:t>
      </w:r>
      <w:r w:rsidRPr="00AE457B" w:rsidR="00D47A4D">
        <w:t xml:space="preserve"> A</w:t>
      </w:r>
      <w:r w:rsidRPr="00AE457B">
        <w:t xml:space="preserve">: </w:t>
      </w:r>
      <w:r w:rsidRPr="00AE457B">
        <w:t xml:space="preserve">Youth </w:t>
      </w:r>
      <w:r w:rsidRPr="00AE457B" w:rsidR="00D47A4D">
        <w:t xml:space="preserve">Baseline </w:t>
      </w:r>
      <w:r w:rsidRPr="00AE457B">
        <w:t>Survey</w:t>
      </w:r>
    </w:p>
    <w:p w:rsidR="00D47A4D" w:rsidRPr="00AE457B" w:rsidP="00D911AE" w14:paraId="52E5978B" w14:textId="1F44736C">
      <w:pPr>
        <w:spacing w:after="0"/>
      </w:pPr>
      <w:r w:rsidRPr="00AE457B">
        <w:t>Instrument B: Youth Follow-Up Survey</w:t>
      </w:r>
    </w:p>
    <w:p w:rsidR="00946640" w:rsidRPr="00AE457B" w:rsidP="00D911AE" w14:paraId="3DD01624" w14:textId="72EE4621">
      <w:pPr>
        <w:spacing w:after="0"/>
      </w:pPr>
    </w:p>
    <w:p w:rsidR="00EC55D9" w:rsidP="00EC55D9" w14:paraId="3EF9AA05" w14:textId="77777777">
      <w:pPr>
        <w:spacing w:after="0"/>
      </w:pPr>
      <w:bookmarkStart w:id="2" w:name="_Hlk216077685"/>
      <w:r w:rsidRPr="000252F3">
        <w:t>Appendix 1:</w:t>
      </w:r>
      <w:r>
        <w:t xml:space="preserve"> </w:t>
      </w:r>
      <w:r w:rsidRPr="000252F3">
        <w:t>Consent to Contact Form</w:t>
      </w:r>
    </w:p>
    <w:p w:rsidR="00EC55D9" w:rsidRPr="000252F3" w:rsidP="00EC55D9" w14:paraId="0AFC61F4" w14:textId="77777777">
      <w:pPr>
        <w:spacing w:after="0"/>
      </w:pPr>
      <w:r>
        <w:t>Appendix 2: Recruitment FAQs</w:t>
      </w:r>
    </w:p>
    <w:p w:rsidR="00EC55D9" w:rsidRPr="006B53F1" w:rsidP="00EC55D9" w14:paraId="0F4682D8" w14:textId="2373E7A6">
      <w:pPr>
        <w:spacing w:after="0"/>
      </w:pPr>
      <w:r w:rsidRPr="000252F3">
        <w:t xml:space="preserve">Appendix </w:t>
      </w:r>
      <w:r>
        <w:t>3</w:t>
      </w:r>
      <w:r w:rsidRPr="000252F3">
        <w:t xml:space="preserve">: </w:t>
      </w:r>
      <w:r>
        <w:t>Informed Consent</w:t>
      </w:r>
      <w:r w:rsidRPr="000252F3">
        <w:t xml:space="preserve"> Form</w:t>
      </w:r>
    </w:p>
    <w:bookmarkEnd w:id="2"/>
    <w:p w:rsidR="00083227" w:rsidRPr="006B53F1" w:rsidP="001253F4" w14:paraId="1E574BF6" w14:textId="77777777">
      <w:pPr>
        <w:pStyle w:val="ListParagraph"/>
      </w:pPr>
    </w:p>
    <w:sectPr w:rsidSect="0082449F">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Yu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1703B0" w14:paraId="03A5A331" w14:textId="42EC697B">
        <w:pPr>
          <w:pStyle w:val="Footer"/>
          <w:jc w:val="right"/>
        </w:pPr>
        <w:r>
          <w:fldChar w:fldCharType="begin"/>
        </w:r>
        <w:r>
          <w:instrText xml:space="preserve"> PAGE   \* MERGEFORMAT </w:instrText>
        </w:r>
        <w:r>
          <w:fldChar w:fldCharType="separate"/>
        </w:r>
        <w:r w:rsidR="007B3F96">
          <w:rPr>
            <w:noProof/>
          </w:rPr>
          <w:t>8</w:t>
        </w:r>
        <w:r>
          <w:rPr>
            <w:noProof/>
          </w:rPr>
          <w:fldChar w:fldCharType="end"/>
        </w:r>
      </w:p>
    </w:sdtContent>
  </w:sdt>
  <w:p w:rsidR="001703B0"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60F60" w:rsidP="0004063C" w14:paraId="173F2318" w14:textId="77777777">
      <w:pPr>
        <w:spacing w:after="0" w:line="240" w:lineRule="auto"/>
      </w:pPr>
      <w:r>
        <w:separator/>
      </w:r>
    </w:p>
  </w:footnote>
  <w:footnote w:type="continuationSeparator" w:id="1">
    <w:p w:rsidR="00460F60" w:rsidP="0004063C" w14:paraId="54BA31F5" w14:textId="77777777">
      <w:pPr>
        <w:spacing w:after="0" w:line="240" w:lineRule="auto"/>
      </w:pPr>
      <w:r>
        <w:continuationSeparator/>
      </w:r>
    </w:p>
  </w:footnote>
  <w:footnote w:id="2">
    <w:p w:rsidR="00232685" w:rsidP="00232685" w14:paraId="0C2F4CF2" w14:textId="4B0DB712">
      <w:pPr>
        <w:pStyle w:val="FootnoteText"/>
      </w:pPr>
      <w:r>
        <w:rPr>
          <w:rStyle w:val="FootnoteReference"/>
        </w:rPr>
        <w:footnoteRef/>
      </w:r>
      <w:r>
        <w:t xml:space="preserve"> Chafee programs generally serve both youth (14 – 17 years of age) and young adults (18 – 26 years of age). For the purposes of this submission, unless otherwise stated, we will use the term </w:t>
      </w:r>
      <w:r w:rsidR="00A45629">
        <w:t>young adult</w:t>
      </w:r>
      <w:r>
        <w:t xml:space="preserve"> to refer to the full population of individuals served under Chafee (those 14 – 26 years of age).  </w:t>
      </w:r>
    </w:p>
  </w:footnote>
  <w:footnote w:id="3">
    <w:p w:rsidR="003D0A30" w:rsidRPr="003D0A30" w:rsidP="003D0A30" w14:paraId="25F925A9" w14:textId="77777777">
      <w:pPr>
        <w:pStyle w:val="FootnoteText"/>
      </w:pPr>
      <w:r>
        <w:rPr>
          <w:rStyle w:val="FootnoteReference"/>
        </w:rPr>
        <w:footnoteRef/>
      </w:r>
      <w:r>
        <w:t xml:space="preserve"> </w:t>
      </w:r>
      <w:r w:rsidRPr="003D0A30">
        <w:t>Abdelazeem, B., Hamdallah, A., Rizk, M. A., Abbas, K. S., El-</w:t>
      </w:r>
      <w:r w:rsidRPr="003D0A30">
        <w:t>Shahat</w:t>
      </w:r>
      <w:r w:rsidRPr="003D0A30">
        <w:t xml:space="preserve">, N. A., </w:t>
      </w:r>
      <w:r w:rsidRPr="003D0A30">
        <w:t>Manasrah</w:t>
      </w:r>
      <w:r w:rsidRPr="003D0A30">
        <w:t xml:space="preserve">, N., Mostafa, M. R., &amp; </w:t>
      </w:r>
      <w:r w:rsidRPr="003D0A30">
        <w:t>Eltobgy</w:t>
      </w:r>
      <w:r w:rsidRPr="003D0A30">
        <w:t xml:space="preserve">, M. (2023). Does usage of monetary incentive impact the involvement in surveys? A systematic review and meta-analysis of 46 randomized controlled trials. PLOS ONE, 18(1), e0279128. </w:t>
      </w:r>
      <w:hyperlink r:id="rId1" w:history="1">
        <w:r w:rsidRPr="003D0A30">
          <w:rPr>
            <w:rStyle w:val="Hyperlink"/>
          </w:rPr>
          <w:t>https://doi.org/10.1371/journal.pone.0279128</w:t>
        </w:r>
      </w:hyperlink>
    </w:p>
    <w:p w:rsidR="003D0A30" w14:paraId="0524F227" w14:textId="6226928B">
      <w:pPr>
        <w:pStyle w:val="FootnoteText"/>
      </w:pPr>
    </w:p>
  </w:footnote>
  <w:footnote w:id="4">
    <w:p w:rsidR="003D0A30" w:rsidRPr="003D0A30" w:rsidP="003D0A30" w14:paraId="33AD7D9B" w14:textId="77777777">
      <w:pPr>
        <w:pStyle w:val="FootnoteText"/>
      </w:pPr>
      <w:r>
        <w:rPr>
          <w:rStyle w:val="FootnoteReference"/>
        </w:rPr>
        <w:footnoteRef/>
      </w:r>
      <w:r>
        <w:t xml:space="preserve"> </w:t>
      </w:r>
      <w:r w:rsidRPr="003D0A30">
        <w:t xml:space="preserve">Cabrera-Álvarez, P., &amp; Lynn, P. (2025). Benefits of increasing the value of respondent incentives during the course of a longitudinal mixed-mode survey. International Journal of Social Research Methodology, 1–13. </w:t>
      </w:r>
      <w:hyperlink r:id="rId2" w:history="1">
        <w:r w:rsidRPr="003D0A30">
          <w:rPr>
            <w:rStyle w:val="Hyperlink"/>
          </w:rPr>
          <w:t>https://doi.org/10.1080/13645579.2024.2443630</w:t>
        </w:r>
      </w:hyperlink>
    </w:p>
    <w:p w:rsidR="003D0A30" w14:paraId="524891DD" w14:textId="21B87668">
      <w:pPr>
        <w:pStyle w:val="FootnoteText"/>
      </w:pPr>
    </w:p>
  </w:footnote>
  <w:footnote w:id="5">
    <w:p w:rsidR="003D0A30" w14:paraId="3DE43D7E" w14:textId="7B99166F">
      <w:pPr>
        <w:pStyle w:val="FootnoteText"/>
      </w:pPr>
    </w:p>
  </w:footnote>
  <w:footnote w:id="6">
    <w:p w:rsidR="001703B0" w:rsidRPr="00D82755" w:rsidP="001D1C73" w14:paraId="440255E6" w14:textId="77777777">
      <w:pPr>
        <w:pStyle w:val="FootnoteText"/>
      </w:pPr>
      <w:r w:rsidRPr="00D82755">
        <w:rPr>
          <w:rStyle w:val="FootnoteReference"/>
        </w:rPr>
        <w:footnoteRef/>
      </w:r>
      <w:r w:rsidRPr="00D82755">
        <w:t xml:space="preserve"> </w:t>
      </w:r>
      <w:r w:rsidRPr="00D30B6F">
        <w:rPr>
          <w:rFonts w:cstheme="minorHAnsi"/>
        </w:rPr>
        <w:t xml:space="preserve">Examples of sensitive topics include (but not limited to): social security number; sex behavior and attitudes; illegal, anti-social, self-incriminating and demeaning </w:t>
      </w:r>
      <w:r w:rsidRPr="005B5986">
        <w:rPr>
          <w:rFonts w:cstheme="minorHAnsi"/>
        </w:rPr>
        <w:t>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w:t>
      </w:r>
      <w:r w:rsidRPr="00D30B6F">
        <w:rPr>
          <w:rFonts w:cstheme="minorHAnsi"/>
        </w:rPr>
        <w:t xml:space="preserve">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7">
    <w:p w:rsidR="001419C5" w:rsidRPr="001419C5" w:rsidP="001419C5" w14:paraId="77205594" w14:textId="0D4290B7">
      <w:pPr>
        <w:pStyle w:val="FootnoteText"/>
      </w:pPr>
      <w:r>
        <w:rPr>
          <w:rStyle w:val="FootnoteReference"/>
        </w:rPr>
        <w:footnoteRef/>
      </w:r>
      <w:r>
        <w:t xml:space="preserve"> </w:t>
      </w:r>
      <w:r w:rsidRPr="001419C5">
        <w:t xml:space="preserve">City of Los Angeles, Office of Wage Standards. (2026). </w:t>
      </w:r>
      <w:r w:rsidRPr="001419C5">
        <w:rPr>
          <w:i/>
          <w:iCs/>
        </w:rPr>
        <w:t>Minimum Wage Ordinance Rate Increase (Effective July 1, 2026: $18.42/hour).</w:t>
      </w:r>
      <w:r w:rsidRPr="001419C5">
        <w:t xml:space="preserve"> </w:t>
      </w:r>
      <w:hyperlink r:id="rId3" w:history="1">
        <w:r w:rsidRPr="001419C5">
          <w:rPr>
            <w:rStyle w:val="Hyperlink"/>
          </w:rPr>
          <w:t>[wagesla.lacity.gov]</w:t>
        </w:r>
      </w:hyperlink>
    </w:p>
    <w:p w:rsidR="001703B0" w14:paraId="6DE2C8A5" w14:textId="2E800B2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03B0" w:rsidRPr="000D7D44" w:rsidP="001D1C73" w14:paraId="7A786F04"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1703B0" w:rsidRPr="001D1C73" w:rsidP="001D1C73" w14:paraId="2076BD01" w14:textId="7B718FDE">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D90A08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F20238"/>
    <w:multiLevelType w:val="multilevel"/>
    <w:tmpl w:val="9A30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AFA15D5"/>
    <w:multiLevelType w:val="multilevel"/>
    <w:tmpl w:val="72F8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DC13042"/>
    <w:multiLevelType w:val="hybridMultilevel"/>
    <w:tmpl w:val="406CBA4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2534A3"/>
    <w:multiLevelType w:val="hybridMultilevel"/>
    <w:tmpl w:val="449EB7D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903E1F"/>
    <w:multiLevelType w:val="multilevel"/>
    <w:tmpl w:val="F422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F7E49F4"/>
    <w:multiLevelType w:val="hybridMultilevel"/>
    <w:tmpl w:val="A95A8C3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20214F48"/>
    <w:multiLevelType w:val="hybridMultilevel"/>
    <w:tmpl w:val="7AC085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2B692C"/>
    <w:multiLevelType w:val="hybridMultilevel"/>
    <w:tmpl w:val="E44610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F7609C"/>
    <w:multiLevelType w:val="hybridMultilevel"/>
    <w:tmpl w:val="00C035C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A215C8D"/>
    <w:multiLevelType w:val="hybridMultilevel"/>
    <w:tmpl w:val="8AC05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0851228"/>
    <w:multiLevelType w:val="hybridMultilevel"/>
    <w:tmpl w:val="65ACFB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4">
    <w:nsid w:val="3C303998"/>
    <w:multiLevelType w:val="hybridMultilevel"/>
    <w:tmpl w:val="9C2E2D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A722943"/>
    <w:multiLevelType w:val="multilevel"/>
    <w:tmpl w:val="7A36F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6573F3"/>
    <w:multiLevelType w:val="multilevel"/>
    <w:tmpl w:val="088C4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ECA15C0"/>
    <w:multiLevelType w:val="hybridMultilevel"/>
    <w:tmpl w:val="526A03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2294CFA"/>
    <w:multiLevelType w:val="multilevel"/>
    <w:tmpl w:val="D160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9696036">
    <w:abstractNumId w:val="10"/>
  </w:num>
  <w:num w:numId="2" w16cid:durableId="626352424">
    <w:abstractNumId w:val="8"/>
  </w:num>
  <w:num w:numId="3" w16cid:durableId="625085552">
    <w:abstractNumId w:val="6"/>
  </w:num>
  <w:num w:numId="4" w16cid:durableId="1130048742">
    <w:abstractNumId w:val="7"/>
  </w:num>
  <w:num w:numId="5" w16cid:durableId="145510649">
    <w:abstractNumId w:val="0"/>
  </w:num>
  <w:num w:numId="6" w16cid:durableId="429354019">
    <w:abstractNumId w:val="12"/>
  </w:num>
  <w:num w:numId="7" w16cid:durableId="2062630214">
    <w:abstractNumId w:val="14"/>
  </w:num>
  <w:num w:numId="8" w16cid:durableId="332223792">
    <w:abstractNumId w:val="11"/>
  </w:num>
  <w:num w:numId="9" w16cid:durableId="1510173388">
    <w:abstractNumId w:val="4"/>
  </w:num>
  <w:num w:numId="10" w16cid:durableId="1256594753">
    <w:abstractNumId w:val="16"/>
  </w:num>
  <w:num w:numId="11" w16cid:durableId="1453667081">
    <w:abstractNumId w:val="18"/>
  </w:num>
  <w:num w:numId="12" w16cid:durableId="153226742">
    <w:abstractNumId w:val="5"/>
  </w:num>
  <w:num w:numId="13" w16cid:durableId="797769764">
    <w:abstractNumId w:val="1"/>
  </w:num>
  <w:num w:numId="14" w16cid:durableId="545533185">
    <w:abstractNumId w:val="15"/>
  </w:num>
  <w:num w:numId="15" w16cid:durableId="1689331903">
    <w:abstractNumId w:val="2"/>
  </w:num>
  <w:num w:numId="16" w16cid:durableId="403256714">
    <w:abstractNumId w:val="3"/>
  </w:num>
  <w:num w:numId="17" w16cid:durableId="1408072057">
    <w:abstractNumId w:val="17"/>
  </w:num>
  <w:num w:numId="18" w16cid:durableId="2013213763">
    <w:abstractNumId w:val="9"/>
  </w:num>
  <w:num w:numId="19" w16cid:durableId="1634406093">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1B5"/>
    <w:rsid w:val="0000184F"/>
    <w:rsid w:val="0000215A"/>
    <w:rsid w:val="0000243A"/>
    <w:rsid w:val="00002910"/>
    <w:rsid w:val="00010A38"/>
    <w:rsid w:val="00011C23"/>
    <w:rsid w:val="0001255D"/>
    <w:rsid w:val="00016B24"/>
    <w:rsid w:val="00021703"/>
    <w:rsid w:val="00021B3B"/>
    <w:rsid w:val="00022B1A"/>
    <w:rsid w:val="000252F3"/>
    <w:rsid w:val="000268D6"/>
    <w:rsid w:val="00027E79"/>
    <w:rsid w:val="00030658"/>
    <w:rsid w:val="00030E51"/>
    <w:rsid w:val="00030E99"/>
    <w:rsid w:val="0003265D"/>
    <w:rsid w:val="000336EF"/>
    <w:rsid w:val="00033B0A"/>
    <w:rsid w:val="00036D01"/>
    <w:rsid w:val="000374DD"/>
    <w:rsid w:val="00040263"/>
    <w:rsid w:val="0004063C"/>
    <w:rsid w:val="000416EC"/>
    <w:rsid w:val="0004247F"/>
    <w:rsid w:val="00043499"/>
    <w:rsid w:val="000436AE"/>
    <w:rsid w:val="00046059"/>
    <w:rsid w:val="00046192"/>
    <w:rsid w:val="00051730"/>
    <w:rsid w:val="000528EB"/>
    <w:rsid w:val="00053C95"/>
    <w:rsid w:val="00054C0F"/>
    <w:rsid w:val="00055146"/>
    <w:rsid w:val="00056DF5"/>
    <w:rsid w:val="00062813"/>
    <w:rsid w:val="00062AFB"/>
    <w:rsid w:val="000636A1"/>
    <w:rsid w:val="00063F7E"/>
    <w:rsid w:val="00064861"/>
    <w:rsid w:val="00065277"/>
    <w:rsid w:val="000655DD"/>
    <w:rsid w:val="00067DD8"/>
    <w:rsid w:val="000707DB"/>
    <w:rsid w:val="00071F79"/>
    <w:rsid w:val="0007251B"/>
    <w:rsid w:val="000733A5"/>
    <w:rsid w:val="00074AA4"/>
    <w:rsid w:val="00074D76"/>
    <w:rsid w:val="000765A9"/>
    <w:rsid w:val="0007779C"/>
    <w:rsid w:val="00082C5B"/>
    <w:rsid w:val="00083227"/>
    <w:rsid w:val="00083A1A"/>
    <w:rsid w:val="000850FF"/>
    <w:rsid w:val="00085C3E"/>
    <w:rsid w:val="0008674E"/>
    <w:rsid w:val="00086CBE"/>
    <w:rsid w:val="00090421"/>
    <w:rsid w:val="00090499"/>
    <w:rsid w:val="00090812"/>
    <w:rsid w:val="00091D20"/>
    <w:rsid w:val="000921F0"/>
    <w:rsid w:val="000923C5"/>
    <w:rsid w:val="000943C5"/>
    <w:rsid w:val="00094E2B"/>
    <w:rsid w:val="000A012A"/>
    <w:rsid w:val="000A16F9"/>
    <w:rsid w:val="000A2AC8"/>
    <w:rsid w:val="000A3A33"/>
    <w:rsid w:val="000A4AE6"/>
    <w:rsid w:val="000A4DCA"/>
    <w:rsid w:val="000A5708"/>
    <w:rsid w:val="000A5F34"/>
    <w:rsid w:val="000B1752"/>
    <w:rsid w:val="000B486F"/>
    <w:rsid w:val="000B743C"/>
    <w:rsid w:val="000C1AF3"/>
    <w:rsid w:val="000C369B"/>
    <w:rsid w:val="000C5E5C"/>
    <w:rsid w:val="000D0A8A"/>
    <w:rsid w:val="000D1184"/>
    <w:rsid w:val="000D29CC"/>
    <w:rsid w:val="000D4E9A"/>
    <w:rsid w:val="000D7D44"/>
    <w:rsid w:val="000E38D9"/>
    <w:rsid w:val="000F018B"/>
    <w:rsid w:val="000F06A4"/>
    <w:rsid w:val="000F1E4A"/>
    <w:rsid w:val="000F54B5"/>
    <w:rsid w:val="000F5BCC"/>
    <w:rsid w:val="001008FE"/>
    <w:rsid w:val="00100D34"/>
    <w:rsid w:val="00101693"/>
    <w:rsid w:val="00103EFD"/>
    <w:rsid w:val="00104653"/>
    <w:rsid w:val="0010579D"/>
    <w:rsid w:val="00107D87"/>
    <w:rsid w:val="00110CFE"/>
    <w:rsid w:val="00111AA1"/>
    <w:rsid w:val="00115112"/>
    <w:rsid w:val="00123918"/>
    <w:rsid w:val="00124618"/>
    <w:rsid w:val="001252D7"/>
    <w:rsid w:val="001253F4"/>
    <w:rsid w:val="00132053"/>
    <w:rsid w:val="0013272A"/>
    <w:rsid w:val="00132982"/>
    <w:rsid w:val="001335DF"/>
    <w:rsid w:val="0013387B"/>
    <w:rsid w:val="00134D97"/>
    <w:rsid w:val="001362D5"/>
    <w:rsid w:val="00136A02"/>
    <w:rsid w:val="001418B4"/>
    <w:rsid w:val="001419C5"/>
    <w:rsid w:val="00142EFF"/>
    <w:rsid w:val="00143F39"/>
    <w:rsid w:val="001445D6"/>
    <w:rsid w:val="001446F8"/>
    <w:rsid w:val="001449F8"/>
    <w:rsid w:val="00150372"/>
    <w:rsid w:val="0015569B"/>
    <w:rsid w:val="00155ADA"/>
    <w:rsid w:val="00155D47"/>
    <w:rsid w:val="00157482"/>
    <w:rsid w:val="001604F7"/>
    <w:rsid w:val="00162612"/>
    <w:rsid w:val="00162EF3"/>
    <w:rsid w:val="00163163"/>
    <w:rsid w:val="00164490"/>
    <w:rsid w:val="00165D48"/>
    <w:rsid w:val="00166598"/>
    <w:rsid w:val="001667C2"/>
    <w:rsid w:val="00166EA0"/>
    <w:rsid w:val="001674F3"/>
    <w:rsid w:val="001703B0"/>
    <w:rsid w:val="001707D8"/>
    <w:rsid w:val="001715A1"/>
    <w:rsid w:val="00171D36"/>
    <w:rsid w:val="00173993"/>
    <w:rsid w:val="001750B9"/>
    <w:rsid w:val="0017670E"/>
    <w:rsid w:val="00186039"/>
    <w:rsid w:val="0019127A"/>
    <w:rsid w:val="001918AB"/>
    <w:rsid w:val="0019538E"/>
    <w:rsid w:val="00196350"/>
    <w:rsid w:val="00197882"/>
    <w:rsid w:val="001A3183"/>
    <w:rsid w:val="001A3A2C"/>
    <w:rsid w:val="001A4C7F"/>
    <w:rsid w:val="001B086C"/>
    <w:rsid w:val="001B0A76"/>
    <w:rsid w:val="001B5AC3"/>
    <w:rsid w:val="001C123D"/>
    <w:rsid w:val="001C2669"/>
    <w:rsid w:val="001C6A2C"/>
    <w:rsid w:val="001D1332"/>
    <w:rsid w:val="001D1386"/>
    <w:rsid w:val="001D17CA"/>
    <w:rsid w:val="001D1C73"/>
    <w:rsid w:val="001D2310"/>
    <w:rsid w:val="001D4ECA"/>
    <w:rsid w:val="001D4F11"/>
    <w:rsid w:val="001D7139"/>
    <w:rsid w:val="001E1B41"/>
    <w:rsid w:val="001E4B41"/>
    <w:rsid w:val="001E6A4F"/>
    <w:rsid w:val="001E6C11"/>
    <w:rsid w:val="001F42AB"/>
    <w:rsid w:val="001F4DDD"/>
    <w:rsid w:val="001F57F5"/>
    <w:rsid w:val="00202405"/>
    <w:rsid w:val="00204012"/>
    <w:rsid w:val="0020401C"/>
    <w:rsid w:val="0020445F"/>
    <w:rsid w:val="0020629A"/>
    <w:rsid w:val="00206E11"/>
    <w:rsid w:val="00206FE3"/>
    <w:rsid w:val="00207554"/>
    <w:rsid w:val="00210C60"/>
    <w:rsid w:val="00210C72"/>
    <w:rsid w:val="00211261"/>
    <w:rsid w:val="00213C98"/>
    <w:rsid w:val="00217A66"/>
    <w:rsid w:val="002202FE"/>
    <w:rsid w:val="002218E4"/>
    <w:rsid w:val="0022769B"/>
    <w:rsid w:val="00230D5F"/>
    <w:rsid w:val="0023100D"/>
    <w:rsid w:val="00231C60"/>
    <w:rsid w:val="00232685"/>
    <w:rsid w:val="0023306F"/>
    <w:rsid w:val="002345A5"/>
    <w:rsid w:val="00236318"/>
    <w:rsid w:val="00236359"/>
    <w:rsid w:val="00236CAF"/>
    <w:rsid w:val="00237281"/>
    <w:rsid w:val="002372C9"/>
    <w:rsid w:val="002376FE"/>
    <w:rsid w:val="00240F44"/>
    <w:rsid w:val="00240FB4"/>
    <w:rsid w:val="00241C09"/>
    <w:rsid w:val="002442D6"/>
    <w:rsid w:val="0024577F"/>
    <w:rsid w:val="002459E5"/>
    <w:rsid w:val="00250368"/>
    <w:rsid w:val="002517BB"/>
    <w:rsid w:val="0025212D"/>
    <w:rsid w:val="00253C47"/>
    <w:rsid w:val="002558F5"/>
    <w:rsid w:val="00256E24"/>
    <w:rsid w:val="002600A3"/>
    <w:rsid w:val="002602A4"/>
    <w:rsid w:val="00262001"/>
    <w:rsid w:val="002649C6"/>
    <w:rsid w:val="00265491"/>
    <w:rsid w:val="0026580E"/>
    <w:rsid w:val="002704F9"/>
    <w:rsid w:val="0027312D"/>
    <w:rsid w:val="00275C25"/>
    <w:rsid w:val="00276CE2"/>
    <w:rsid w:val="00281944"/>
    <w:rsid w:val="002823D6"/>
    <w:rsid w:val="002857B5"/>
    <w:rsid w:val="00285B9F"/>
    <w:rsid w:val="00287AF1"/>
    <w:rsid w:val="002919FB"/>
    <w:rsid w:val="00292311"/>
    <w:rsid w:val="002945FC"/>
    <w:rsid w:val="00296E49"/>
    <w:rsid w:val="00297DFF"/>
    <w:rsid w:val="002A41C6"/>
    <w:rsid w:val="002A44DC"/>
    <w:rsid w:val="002A4D1E"/>
    <w:rsid w:val="002A68D5"/>
    <w:rsid w:val="002A7AF4"/>
    <w:rsid w:val="002B0055"/>
    <w:rsid w:val="002B34F2"/>
    <w:rsid w:val="002B7515"/>
    <w:rsid w:val="002B785B"/>
    <w:rsid w:val="002B799C"/>
    <w:rsid w:val="002C1042"/>
    <w:rsid w:val="002C2646"/>
    <w:rsid w:val="002C3745"/>
    <w:rsid w:val="002C3D81"/>
    <w:rsid w:val="002C432D"/>
    <w:rsid w:val="002C54C3"/>
    <w:rsid w:val="002C74C2"/>
    <w:rsid w:val="002C7E77"/>
    <w:rsid w:val="002D0891"/>
    <w:rsid w:val="002D62B3"/>
    <w:rsid w:val="002D70F0"/>
    <w:rsid w:val="002E03CB"/>
    <w:rsid w:val="002E6CCF"/>
    <w:rsid w:val="002F057C"/>
    <w:rsid w:val="002F212F"/>
    <w:rsid w:val="002F33D0"/>
    <w:rsid w:val="002F5C43"/>
    <w:rsid w:val="002F7678"/>
    <w:rsid w:val="00300722"/>
    <w:rsid w:val="00302744"/>
    <w:rsid w:val="0030316D"/>
    <w:rsid w:val="00304985"/>
    <w:rsid w:val="003058A2"/>
    <w:rsid w:val="00311E38"/>
    <w:rsid w:val="00313645"/>
    <w:rsid w:val="003239BA"/>
    <w:rsid w:val="00324016"/>
    <w:rsid w:val="0032484D"/>
    <w:rsid w:val="00324E2A"/>
    <w:rsid w:val="00332CA9"/>
    <w:rsid w:val="00334C6B"/>
    <w:rsid w:val="0034126C"/>
    <w:rsid w:val="00342325"/>
    <w:rsid w:val="003426AB"/>
    <w:rsid w:val="003449AF"/>
    <w:rsid w:val="00346693"/>
    <w:rsid w:val="003516FE"/>
    <w:rsid w:val="0035243B"/>
    <w:rsid w:val="00353033"/>
    <w:rsid w:val="00354AF0"/>
    <w:rsid w:val="0035740D"/>
    <w:rsid w:val="00357D3F"/>
    <w:rsid w:val="00360BFC"/>
    <w:rsid w:val="003657E8"/>
    <w:rsid w:val="00366374"/>
    <w:rsid w:val="00372A4D"/>
    <w:rsid w:val="00373041"/>
    <w:rsid w:val="00373080"/>
    <w:rsid w:val="00373D2F"/>
    <w:rsid w:val="00374C5F"/>
    <w:rsid w:val="00377B23"/>
    <w:rsid w:val="00381044"/>
    <w:rsid w:val="00383A22"/>
    <w:rsid w:val="0038445D"/>
    <w:rsid w:val="00384CA7"/>
    <w:rsid w:val="003873B7"/>
    <w:rsid w:val="003873C5"/>
    <w:rsid w:val="00387F27"/>
    <w:rsid w:val="00390695"/>
    <w:rsid w:val="00393324"/>
    <w:rsid w:val="003941AE"/>
    <w:rsid w:val="00394526"/>
    <w:rsid w:val="00395494"/>
    <w:rsid w:val="00397377"/>
    <w:rsid w:val="003977E1"/>
    <w:rsid w:val="00397C13"/>
    <w:rsid w:val="003A563B"/>
    <w:rsid w:val="003A7774"/>
    <w:rsid w:val="003A795B"/>
    <w:rsid w:val="003A7E85"/>
    <w:rsid w:val="003B1854"/>
    <w:rsid w:val="003B54A4"/>
    <w:rsid w:val="003B5E55"/>
    <w:rsid w:val="003B5F10"/>
    <w:rsid w:val="003C1719"/>
    <w:rsid w:val="003C19BC"/>
    <w:rsid w:val="003C3407"/>
    <w:rsid w:val="003C7358"/>
    <w:rsid w:val="003D0233"/>
    <w:rsid w:val="003D0591"/>
    <w:rsid w:val="003D0A30"/>
    <w:rsid w:val="003D1973"/>
    <w:rsid w:val="003D22E2"/>
    <w:rsid w:val="003D43EA"/>
    <w:rsid w:val="003D5A32"/>
    <w:rsid w:val="003E1DDC"/>
    <w:rsid w:val="003E2913"/>
    <w:rsid w:val="003E3105"/>
    <w:rsid w:val="003E4D9E"/>
    <w:rsid w:val="003E61F6"/>
    <w:rsid w:val="003E6286"/>
    <w:rsid w:val="003F1141"/>
    <w:rsid w:val="003F5FE5"/>
    <w:rsid w:val="003F6065"/>
    <w:rsid w:val="003F6A05"/>
    <w:rsid w:val="004025FB"/>
    <w:rsid w:val="00407019"/>
    <w:rsid w:val="00407537"/>
    <w:rsid w:val="00410691"/>
    <w:rsid w:val="00414B21"/>
    <w:rsid w:val="0041526A"/>
    <w:rsid w:val="004165BD"/>
    <w:rsid w:val="00417BE5"/>
    <w:rsid w:val="00420088"/>
    <w:rsid w:val="004210EE"/>
    <w:rsid w:val="004214C1"/>
    <w:rsid w:val="0042220D"/>
    <w:rsid w:val="004245E1"/>
    <w:rsid w:val="00425752"/>
    <w:rsid w:val="004279E4"/>
    <w:rsid w:val="004330EB"/>
    <w:rsid w:val="0043377A"/>
    <w:rsid w:val="00434386"/>
    <w:rsid w:val="00434D59"/>
    <w:rsid w:val="00435690"/>
    <w:rsid w:val="004379B6"/>
    <w:rsid w:val="00437D1A"/>
    <w:rsid w:val="00441857"/>
    <w:rsid w:val="0044354B"/>
    <w:rsid w:val="0044428E"/>
    <w:rsid w:val="00446465"/>
    <w:rsid w:val="00452207"/>
    <w:rsid w:val="004524FD"/>
    <w:rsid w:val="0045316D"/>
    <w:rsid w:val="004532F2"/>
    <w:rsid w:val="00454FBC"/>
    <w:rsid w:val="00460D54"/>
    <w:rsid w:val="00460F60"/>
    <w:rsid w:val="00461008"/>
    <w:rsid w:val="004617D9"/>
    <w:rsid w:val="00461D3E"/>
    <w:rsid w:val="0046206E"/>
    <w:rsid w:val="0046449D"/>
    <w:rsid w:val="004706CC"/>
    <w:rsid w:val="00470DC6"/>
    <w:rsid w:val="0047271F"/>
    <w:rsid w:val="004756AF"/>
    <w:rsid w:val="004763F2"/>
    <w:rsid w:val="00480996"/>
    <w:rsid w:val="00482B21"/>
    <w:rsid w:val="00497239"/>
    <w:rsid w:val="004A0E5F"/>
    <w:rsid w:val="004A1022"/>
    <w:rsid w:val="004B16C0"/>
    <w:rsid w:val="004B2EDE"/>
    <w:rsid w:val="004B3DE9"/>
    <w:rsid w:val="004B53D3"/>
    <w:rsid w:val="004B5820"/>
    <w:rsid w:val="004B75AC"/>
    <w:rsid w:val="004C2F92"/>
    <w:rsid w:val="004C3644"/>
    <w:rsid w:val="004C487F"/>
    <w:rsid w:val="004C4983"/>
    <w:rsid w:val="004C50E1"/>
    <w:rsid w:val="004D12DD"/>
    <w:rsid w:val="004D3A3F"/>
    <w:rsid w:val="004D575C"/>
    <w:rsid w:val="004E1D52"/>
    <w:rsid w:val="004E56F0"/>
    <w:rsid w:val="004E5778"/>
    <w:rsid w:val="004E7ED8"/>
    <w:rsid w:val="004F0E0E"/>
    <w:rsid w:val="004F1977"/>
    <w:rsid w:val="004F2CCD"/>
    <w:rsid w:val="004F4291"/>
    <w:rsid w:val="005026AA"/>
    <w:rsid w:val="0050376D"/>
    <w:rsid w:val="00504591"/>
    <w:rsid w:val="00507913"/>
    <w:rsid w:val="00507E0F"/>
    <w:rsid w:val="00512C25"/>
    <w:rsid w:val="00517355"/>
    <w:rsid w:val="00522304"/>
    <w:rsid w:val="00523553"/>
    <w:rsid w:val="00523E79"/>
    <w:rsid w:val="005241EE"/>
    <w:rsid w:val="005302CB"/>
    <w:rsid w:val="00533184"/>
    <w:rsid w:val="0053497F"/>
    <w:rsid w:val="005349F6"/>
    <w:rsid w:val="0054180F"/>
    <w:rsid w:val="00542A96"/>
    <w:rsid w:val="00543EFA"/>
    <w:rsid w:val="00546445"/>
    <w:rsid w:val="0054696F"/>
    <w:rsid w:val="00547D9E"/>
    <w:rsid w:val="00547FF7"/>
    <w:rsid w:val="00552430"/>
    <w:rsid w:val="00553B29"/>
    <w:rsid w:val="0055434C"/>
    <w:rsid w:val="005710BC"/>
    <w:rsid w:val="00577751"/>
    <w:rsid w:val="00577D56"/>
    <w:rsid w:val="00582C49"/>
    <w:rsid w:val="005855A8"/>
    <w:rsid w:val="00591283"/>
    <w:rsid w:val="00593AFB"/>
    <w:rsid w:val="00596414"/>
    <w:rsid w:val="005A5D6A"/>
    <w:rsid w:val="005A5DDB"/>
    <w:rsid w:val="005A61CE"/>
    <w:rsid w:val="005A7CC8"/>
    <w:rsid w:val="005A7E5A"/>
    <w:rsid w:val="005B1285"/>
    <w:rsid w:val="005B1410"/>
    <w:rsid w:val="005B1870"/>
    <w:rsid w:val="005B5986"/>
    <w:rsid w:val="005B67CB"/>
    <w:rsid w:val="005C128D"/>
    <w:rsid w:val="005C46F1"/>
    <w:rsid w:val="005C48AF"/>
    <w:rsid w:val="005D2AFA"/>
    <w:rsid w:val="005D3C02"/>
    <w:rsid w:val="005D4A40"/>
    <w:rsid w:val="005D4D50"/>
    <w:rsid w:val="005D5301"/>
    <w:rsid w:val="005D5370"/>
    <w:rsid w:val="005D5604"/>
    <w:rsid w:val="005D56F3"/>
    <w:rsid w:val="005E24B4"/>
    <w:rsid w:val="005E493B"/>
    <w:rsid w:val="005E4AE8"/>
    <w:rsid w:val="005E4EC1"/>
    <w:rsid w:val="005E5873"/>
    <w:rsid w:val="005E7F5D"/>
    <w:rsid w:val="005F0A62"/>
    <w:rsid w:val="005F2951"/>
    <w:rsid w:val="006071E7"/>
    <w:rsid w:val="006110DD"/>
    <w:rsid w:val="00612E38"/>
    <w:rsid w:val="00615216"/>
    <w:rsid w:val="0061647D"/>
    <w:rsid w:val="00617A31"/>
    <w:rsid w:val="0062140D"/>
    <w:rsid w:val="00621AE7"/>
    <w:rsid w:val="00624DDC"/>
    <w:rsid w:val="00624F5A"/>
    <w:rsid w:val="006253B6"/>
    <w:rsid w:val="006257ED"/>
    <w:rsid w:val="006260D3"/>
    <w:rsid w:val="0062686E"/>
    <w:rsid w:val="00630B30"/>
    <w:rsid w:val="0063105F"/>
    <w:rsid w:val="006323AF"/>
    <w:rsid w:val="006359BA"/>
    <w:rsid w:val="006418F8"/>
    <w:rsid w:val="00642198"/>
    <w:rsid w:val="00642550"/>
    <w:rsid w:val="006432C7"/>
    <w:rsid w:val="00643CC7"/>
    <w:rsid w:val="006445DA"/>
    <w:rsid w:val="00650DA4"/>
    <w:rsid w:val="006510F2"/>
    <w:rsid w:val="00651FF6"/>
    <w:rsid w:val="00653B14"/>
    <w:rsid w:val="00657E0B"/>
    <w:rsid w:val="00661799"/>
    <w:rsid w:val="0066211C"/>
    <w:rsid w:val="00664575"/>
    <w:rsid w:val="00667673"/>
    <w:rsid w:val="00670C46"/>
    <w:rsid w:val="006735DE"/>
    <w:rsid w:val="00675BE0"/>
    <w:rsid w:val="0068303E"/>
    <w:rsid w:val="0068383E"/>
    <w:rsid w:val="0068465B"/>
    <w:rsid w:val="0068562A"/>
    <w:rsid w:val="00685B32"/>
    <w:rsid w:val="00686E2F"/>
    <w:rsid w:val="006903DB"/>
    <w:rsid w:val="006936E7"/>
    <w:rsid w:val="006963A8"/>
    <w:rsid w:val="00697365"/>
    <w:rsid w:val="00697501"/>
    <w:rsid w:val="006A0E5C"/>
    <w:rsid w:val="006A1046"/>
    <w:rsid w:val="006A18B9"/>
    <w:rsid w:val="006A2629"/>
    <w:rsid w:val="006A34DC"/>
    <w:rsid w:val="006A4D02"/>
    <w:rsid w:val="006B1BF9"/>
    <w:rsid w:val="006B31DA"/>
    <w:rsid w:val="006B39F9"/>
    <w:rsid w:val="006B4A4A"/>
    <w:rsid w:val="006B50D5"/>
    <w:rsid w:val="006B53F1"/>
    <w:rsid w:val="006B6037"/>
    <w:rsid w:val="006B6809"/>
    <w:rsid w:val="006C0E56"/>
    <w:rsid w:val="006C0EF3"/>
    <w:rsid w:val="006C14AB"/>
    <w:rsid w:val="006C48E4"/>
    <w:rsid w:val="006C51A0"/>
    <w:rsid w:val="006C5AA0"/>
    <w:rsid w:val="006C6638"/>
    <w:rsid w:val="006C797F"/>
    <w:rsid w:val="006D2375"/>
    <w:rsid w:val="006D2E74"/>
    <w:rsid w:val="006D3C8A"/>
    <w:rsid w:val="006D48F9"/>
    <w:rsid w:val="006D620A"/>
    <w:rsid w:val="006D6584"/>
    <w:rsid w:val="006D7148"/>
    <w:rsid w:val="006E042F"/>
    <w:rsid w:val="006E4F82"/>
    <w:rsid w:val="006F1EE0"/>
    <w:rsid w:val="006F5131"/>
    <w:rsid w:val="006F5502"/>
    <w:rsid w:val="006F589A"/>
    <w:rsid w:val="006F61EB"/>
    <w:rsid w:val="006F72CB"/>
    <w:rsid w:val="006F7AA5"/>
    <w:rsid w:val="0070303C"/>
    <w:rsid w:val="007073FB"/>
    <w:rsid w:val="007139EE"/>
    <w:rsid w:val="007173DD"/>
    <w:rsid w:val="00717864"/>
    <w:rsid w:val="00717BDC"/>
    <w:rsid w:val="007222B5"/>
    <w:rsid w:val="00723A28"/>
    <w:rsid w:val="00723AF0"/>
    <w:rsid w:val="00726252"/>
    <w:rsid w:val="00730CD3"/>
    <w:rsid w:val="00731C6E"/>
    <w:rsid w:val="00733BB3"/>
    <w:rsid w:val="00734068"/>
    <w:rsid w:val="00736B62"/>
    <w:rsid w:val="00740B8E"/>
    <w:rsid w:val="00740DFC"/>
    <w:rsid w:val="0074100E"/>
    <w:rsid w:val="007419FF"/>
    <w:rsid w:val="007528FB"/>
    <w:rsid w:val="00754CA5"/>
    <w:rsid w:val="007562AD"/>
    <w:rsid w:val="00756D75"/>
    <w:rsid w:val="00760F7E"/>
    <w:rsid w:val="00762553"/>
    <w:rsid w:val="007646D0"/>
    <w:rsid w:val="00764C85"/>
    <w:rsid w:val="007657D5"/>
    <w:rsid w:val="0076786E"/>
    <w:rsid w:val="0077492B"/>
    <w:rsid w:val="00776F9C"/>
    <w:rsid w:val="0078244B"/>
    <w:rsid w:val="00782F9F"/>
    <w:rsid w:val="00791475"/>
    <w:rsid w:val="00792FD1"/>
    <w:rsid w:val="00793E3E"/>
    <w:rsid w:val="0079522B"/>
    <w:rsid w:val="00796918"/>
    <w:rsid w:val="007A0B7F"/>
    <w:rsid w:val="007A299C"/>
    <w:rsid w:val="007A29C5"/>
    <w:rsid w:val="007A3ABE"/>
    <w:rsid w:val="007A3F52"/>
    <w:rsid w:val="007A5A62"/>
    <w:rsid w:val="007A6794"/>
    <w:rsid w:val="007A69C6"/>
    <w:rsid w:val="007A7A09"/>
    <w:rsid w:val="007A7ED4"/>
    <w:rsid w:val="007B06C5"/>
    <w:rsid w:val="007B1C81"/>
    <w:rsid w:val="007B2143"/>
    <w:rsid w:val="007B21B4"/>
    <w:rsid w:val="007B22C8"/>
    <w:rsid w:val="007B3494"/>
    <w:rsid w:val="007B35F2"/>
    <w:rsid w:val="007B3F96"/>
    <w:rsid w:val="007B4D1A"/>
    <w:rsid w:val="007B72F9"/>
    <w:rsid w:val="007B78EC"/>
    <w:rsid w:val="007C4F71"/>
    <w:rsid w:val="007C7B4B"/>
    <w:rsid w:val="007D3CE4"/>
    <w:rsid w:val="007D6930"/>
    <w:rsid w:val="007D7910"/>
    <w:rsid w:val="007E365F"/>
    <w:rsid w:val="007E38CE"/>
    <w:rsid w:val="007F6BB9"/>
    <w:rsid w:val="00801FFE"/>
    <w:rsid w:val="00804A51"/>
    <w:rsid w:val="00804F14"/>
    <w:rsid w:val="00812E06"/>
    <w:rsid w:val="00814F62"/>
    <w:rsid w:val="00815B73"/>
    <w:rsid w:val="008205D5"/>
    <w:rsid w:val="0082080A"/>
    <w:rsid w:val="00821A36"/>
    <w:rsid w:val="008228FD"/>
    <w:rsid w:val="00823428"/>
    <w:rsid w:val="00823BF6"/>
    <w:rsid w:val="00824276"/>
    <w:rsid w:val="00824380"/>
    <w:rsid w:val="0082449F"/>
    <w:rsid w:val="008251DF"/>
    <w:rsid w:val="00825388"/>
    <w:rsid w:val="00827A7F"/>
    <w:rsid w:val="00827CD7"/>
    <w:rsid w:val="00831A29"/>
    <w:rsid w:val="00832CFC"/>
    <w:rsid w:val="008335A4"/>
    <w:rsid w:val="008357CB"/>
    <w:rsid w:val="008369BA"/>
    <w:rsid w:val="00837270"/>
    <w:rsid w:val="00837768"/>
    <w:rsid w:val="00840D32"/>
    <w:rsid w:val="00841357"/>
    <w:rsid w:val="00843933"/>
    <w:rsid w:val="00844C0D"/>
    <w:rsid w:val="008528AB"/>
    <w:rsid w:val="008528D0"/>
    <w:rsid w:val="00853613"/>
    <w:rsid w:val="008540A5"/>
    <w:rsid w:val="0085742C"/>
    <w:rsid w:val="00860375"/>
    <w:rsid w:val="00860D74"/>
    <w:rsid w:val="00861794"/>
    <w:rsid w:val="00864C1F"/>
    <w:rsid w:val="00865742"/>
    <w:rsid w:val="00870FA1"/>
    <w:rsid w:val="0087170C"/>
    <w:rsid w:val="008727C8"/>
    <w:rsid w:val="00874D56"/>
    <w:rsid w:val="00875220"/>
    <w:rsid w:val="00875D3C"/>
    <w:rsid w:val="0087636D"/>
    <w:rsid w:val="00880927"/>
    <w:rsid w:val="00881CD5"/>
    <w:rsid w:val="00883326"/>
    <w:rsid w:val="00884E2C"/>
    <w:rsid w:val="00890079"/>
    <w:rsid w:val="00891CD9"/>
    <w:rsid w:val="00892451"/>
    <w:rsid w:val="008940CB"/>
    <w:rsid w:val="008A0566"/>
    <w:rsid w:val="008A25E9"/>
    <w:rsid w:val="008A284F"/>
    <w:rsid w:val="008A5AC0"/>
    <w:rsid w:val="008A767E"/>
    <w:rsid w:val="008B3DD0"/>
    <w:rsid w:val="008B4962"/>
    <w:rsid w:val="008B4E67"/>
    <w:rsid w:val="008B605A"/>
    <w:rsid w:val="008B6A08"/>
    <w:rsid w:val="008B7001"/>
    <w:rsid w:val="008C0381"/>
    <w:rsid w:val="008C0A03"/>
    <w:rsid w:val="008C1B26"/>
    <w:rsid w:val="008C4778"/>
    <w:rsid w:val="008C5245"/>
    <w:rsid w:val="008E0239"/>
    <w:rsid w:val="008E1841"/>
    <w:rsid w:val="008E33A2"/>
    <w:rsid w:val="008E4718"/>
    <w:rsid w:val="008E4FBD"/>
    <w:rsid w:val="008E7505"/>
    <w:rsid w:val="008F0BC5"/>
    <w:rsid w:val="008F2446"/>
    <w:rsid w:val="008F287C"/>
    <w:rsid w:val="008F2B88"/>
    <w:rsid w:val="008F3012"/>
    <w:rsid w:val="008F5110"/>
    <w:rsid w:val="008F64DB"/>
    <w:rsid w:val="00901040"/>
    <w:rsid w:val="0090151D"/>
    <w:rsid w:val="009054AB"/>
    <w:rsid w:val="009104D7"/>
    <w:rsid w:val="009117EC"/>
    <w:rsid w:val="00912824"/>
    <w:rsid w:val="009139B3"/>
    <w:rsid w:val="0091527F"/>
    <w:rsid w:val="009164B9"/>
    <w:rsid w:val="00917A52"/>
    <w:rsid w:val="00921BEE"/>
    <w:rsid w:val="00921C87"/>
    <w:rsid w:val="00923AC9"/>
    <w:rsid w:val="00923F25"/>
    <w:rsid w:val="0092420A"/>
    <w:rsid w:val="00926155"/>
    <w:rsid w:val="0093481C"/>
    <w:rsid w:val="009351A3"/>
    <w:rsid w:val="00936A64"/>
    <w:rsid w:val="00937360"/>
    <w:rsid w:val="009378D7"/>
    <w:rsid w:val="0094053A"/>
    <w:rsid w:val="00945DC1"/>
    <w:rsid w:val="00946640"/>
    <w:rsid w:val="00946963"/>
    <w:rsid w:val="009506B0"/>
    <w:rsid w:val="0095258C"/>
    <w:rsid w:val="009532F1"/>
    <w:rsid w:val="00953491"/>
    <w:rsid w:val="009543FA"/>
    <w:rsid w:val="009552EB"/>
    <w:rsid w:val="00955A99"/>
    <w:rsid w:val="00957D9B"/>
    <w:rsid w:val="00961A11"/>
    <w:rsid w:val="00961B73"/>
    <w:rsid w:val="0096274F"/>
    <w:rsid w:val="00963435"/>
    <w:rsid w:val="00963503"/>
    <w:rsid w:val="009644C8"/>
    <w:rsid w:val="00965819"/>
    <w:rsid w:val="00965C33"/>
    <w:rsid w:val="00965DBD"/>
    <w:rsid w:val="00966704"/>
    <w:rsid w:val="00966922"/>
    <w:rsid w:val="00966C3A"/>
    <w:rsid w:val="00971944"/>
    <w:rsid w:val="00974CDA"/>
    <w:rsid w:val="00976BCB"/>
    <w:rsid w:val="0097754C"/>
    <w:rsid w:val="009815C6"/>
    <w:rsid w:val="00982EB9"/>
    <w:rsid w:val="00985A01"/>
    <w:rsid w:val="00985E0A"/>
    <w:rsid w:val="00986CB8"/>
    <w:rsid w:val="00990FCD"/>
    <w:rsid w:val="009914A1"/>
    <w:rsid w:val="00996201"/>
    <w:rsid w:val="009A0414"/>
    <w:rsid w:val="009A065F"/>
    <w:rsid w:val="009A14DA"/>
    <w:rsid w:val="009A2D08"/>
    <w:rsid w:val="009A39E1"/>
    <w:rsid w:val="009A3AD8"/>
    <w:rsid w:val="009A3E8B"/>
    <w:rsid w:val="009A3EE7"/>
    <w:rsid w:val="009A4FBF"/>
    <w:rsid w:val="009A640E"/>
    <w:rsid w:val="009A67E4"/>
    <w:rsid w:val="009A6EE8"/>
    <w:rsid w:val="009B0F58"/>
    <w:rsid w:val="009B378D"/>
    <w:rsid w:val="009B3D76"/>
    <w:rsid w:val="009B55F0"/>
    <w:rsid w:val="009B677D"/>
    <w:rsid w:val="009B7E44"/>
    <w:rsid w:val="009C0320"/>
    <w:rsid w:val="009C3160"/>
    <w:rsid w:val="009C3380"/>
    <w:rsid w:val="009C3398"/>
    <w:rsid w:val="009C3840"/>
    <w:rsid w:val="009D4CE4"/>
    <w:rsid w:val="009D6E2A"/>
    <w:rsid w:val="009D7897"/>
    <w:rsid w:val="009E5A66"/>
    <w:rsid w:val="009E7E38"/>
    <w:rsid w:val="009F060E"/>
    <w:rsid w:val="009F18AF"/>
    <w:rsid w:val="009F258D"/>
    <w:rsid w:val="009F265B"/>
    <w:rsid w:val="009F482C"/>
    <w:rsid w:val="009F563E"/>
    <w:rsid w:val="009F68DB"/>
    <w:rsid w:val="009F7531"/>
    <w:rsid w:val="00A00E73"/>
    <w:rsid w:val="00A0167E"/>
    <w:rsid w:val="00A03E3F"/>
    <w:rsid w:val="00A0442B"/>
    <w:rsid w:val="00A06C31"/>
    <w:rsid w:val="00A079E0"/>
    <w:rsid w:val="00A07E71"/>
    <w:rsid w:val="00A10D9B"/>
    <w:rsid w:val="00A1108E"/>
    <w:rsid w:val="00A14595"/>
    <w:rsid w:val="00A171D1"/>
    <w:rsid w:val="00A17444"/>
    <w:rsid w:val="00A246D9"/>
    <w:rsid w:val="00A24A19"/>
    <w:rsid w:val="00A25EC6"/>
    <w:rsid w:val="00A27C66"/>
    <w:rsid w:val="00A27CD0"/>
    <w:rsid w:val="00A33E85"/>
    <w:rsid w:val="00A34A65"/>
    <w:rsid w:val="00A35218"/>
    <w:rsid w:val="00A362B6"/>
    <w:rsid w:val="00A372ED"/>
    <w:rsid w:val="00A37CE2"/>
    <w:rsid w:val="00A434B7"/>
    <w:rsid w:val="00A45629"/>
    <w:rsid w:val="00A4795B"/>
    <w:rsid w:val="00A479B2"/>
    <w:rsid w:val="00A50F06"/>
    <w:rsid w:val="00A54031"/>
    <w:rsid w:val="00A5481E"/>
    <w:rsid w:val="00A55265"/>
    <w:rsid w:val="00A62C06"/>
    <w:rsid w:val="00A6454A"/>
    <w:rsid w:val="00A65060"/>
    <w:rsid w:val="00A67061"/>
    <w:rsid w:val="00A67DFF"/>
    <w:rsid w:val="00A702AC"/>
    <w:rsid w:val="00A71475"/>
    <w:rsid w:val="00A714DC"/>
    <w:rsid w:val="00A7179C"/>
    <w:rsid w:val="00A72286"/>
    <w:rsid w:val="00A72D49"/>
    <w:rsid w:val="00A73104"/>
    <w:rsid w:val="00A74E9B"/>
    <w:rsid w:val="00A759EE"/>
    <w:rsid w:val="00A761CB"/>
    <w:rsid w:val="00A775EE"/>
    <w:rsid w:val="00A77A60"/>
    <w:rsid w:val="00A80EBC"/>
    <w:rsid w:val="00A81C70"/>
    <w:rsid w:val="00A85701"/>
    <w:rsid w:val="00A871D5"/>
    <w:rsid w:val="00A928D5"/>
    <w:rsid w:val="00A92977"/>
    <w:rsid w:val="00A93035"/>
    <w:rsid w:val="00A93641"/>
    <w:rsid w:val="00A93651"/>
    <w:rsid w:val="00A94A71"/>
    <w:rsid w:val="00A95D1C"/>
    <w:rsid w:val="00AA1655"/>
    <w:rsid w:val="00AA1B50"/>
    <w:rsid w:val="00AA4A30"/>
    <w:rsid w:val="00AB0F93"/>
    <w:rsid w:val="00AB25A1"/>
    <w:rsid w:val="00AB50B1"/>
    <w:rsid w:val="00AB5C46"/>
    <w:rsid w:val="00AB6588"/>
    <w:rsid w:val="00AC0A0D"/>
    <w:rsid w:val="00AC2DA2"/>
    <w:rsid w:val="00AC4C1A"/>
    <w:rsid w:val="00AD118E"/>
    <w:rsid w:val="00AD1F2C"/>
    <w:rsid w:val="00AD3261"/>
    <w:rsid w:val="00AD4193"/>
    <w:rsid w:val="00AD4355"/>
    <w:rsid w:val="00AD5E9A"/>
    <w:rsid w:val="00AD78C2"/>
    <w:rsid w:val="00AE2366"/>
    <w:rsid w:val="00AE3F5F"/>
    <w:rsid w:val="00AE457B"/>
    <w:rsid w:val="00AE7793"/>
    <w:rsid w:val="00AE7E5D"/>
    <w:rsid w:val="00AF1302"/>
    <w:rsid w:val="00AF4EB1"/>
    <w:rsid w:val="00AF53D1"/>
    <w:rsid w:val="00AF57AC"/>
    <w:rsid w:val="00AF657A"/>
    <w:rsid w:val="00B00CCA"/>
    <w:rsid w:val="00B01241"/>
    <w:rsid w:val="00B01DE1"/>
    <w:rsid w:val="00B02970"/>
    <w:rsid w:val="00B05829"/>
    <w:rsid w:val="00B06448"/>
    <w:rsid w:val="00B11FBC"/>
    <w:rsid w:val="00B13228"/>
    <w:rsid w:val="00B13DC4"/>
    <w:rsid w:val="00B1600A"/>
    <w:rsid w:val="00B16C9E"/>
    <w:rsid w:val="00B16E32"/>
    <w:rsid w:val="00B17B7C"/>
    <w:rsid w:val="00B21112"/>
    <w:rsid w:val="00B214A3"/>
    <w:rsid w:val="00B23277"/>
    <w:rsid w:val="00B245AD"/>
    <w:rsid w:val="00B25FD3"/>
    <w:rsid w:val="00B26F2A"/>
    <w:rsid w:val="00B27B42"/>
    <w:rsid w:val="00B3042D"/>
    <w:rsid w:val="00B328A7"/>
    <w:rsid w:val="00B356BD"/>
    <w:rsid w:val="00B36991"/>
    <w:rsid w:val="00B40121"/>
    <w:rsid w:val="00B40E4E"/>
    <w:rsid w:val="00B4182B"/>
    <w:rsid w:val="00B427C4"/>
    <w:rsid w:val="00B42C67"/>
    <w:rsid w:val="00B43997"/>
    <w:rsid w:val="00B4451D"/>
    <w:rsid w:val="00B52862"/>
    <w:rsid w:val="00B55E54"/>
    <w:rsid w:val="00B56589"/>
    <w:rsid w:val="00B578CD"/>
    <w:rsid w:val="00B57FE5"/>
    <w:rsid w:val="00B605D1"/>
    <w:rsid w:val="00B60BA3"/>
    <w:rsid w:val="00B63E89"/>
    <w:rsid w:val="00B64AED"/>
    <w:rsid w:val="00B64D05"/>
    <w:rsid w:val="00B64DAE"/>
    <w:rsid w:val="00B65823"/>
    <w:rsid w:val="00B70460"/>
    <w:rsid w:val="00B73F5A"/>
    <w:rsid w:val="00B774CE"/>
    <w:rsid w:val="00B8012A"/>
    <w:rsid w:val="00B80690"/>
    <w:rsid w:val="00B81773"/>
    <w:rsid w:val="00B83645"/>
    <w:rsid w:val="00B9441B"/>
    <w:rsid w:val="00B95FF3"/>
    <w:rsid w:val="00B9601A"/>
    <w:rsid w:val="00BA2692"/>
    <w:rsid w:val="00BA3434"/>
    <w:rsid w:val="00BA3F53"/>
    <w:rsid w:val="00BA40A1"/>
    <w:rsid w:val="00BA5034"/>
    <w:rsid w:val="00BA7EAA"/>
    <w:rsid w:val="00BB21CA"/>
    <w:rsid w:val="00BB2D7D"/>
    <w:rsid w:val="00BB352C"/>
    <w:rsid w:val="00BB3E2F"/>
    <w:rsid w:val="00BB4BF8"/>
    <w:rsid w:val="00BB560A"/>
    <w:rsid w:val="00BB6AE8"/>
    <w:rsid w:val="00BC0252"/>
    <w:rsid w:val="00BC0B7D"/>
    <w:rsid w:val="00BC7D28"/>
    <w:rsid w:val="00BD3BCA"/>
    <w:rsid w:val="00BD702B"/>
    <w:rsid w:val="00BD70B9"/>
    <w:rsid w:val="00BD7B78"/>
    <w:rsid w:val="00BE0D67"/>
    <w:rsid w:val="00BE773B"/>
    <w:rsid w:val="00BE7AE1"/>
    <w:rsid w:val="00BF0151"/>
    <w:rsid w:val="00BF27AC"/>
    <w:rsid w:val="00BF30C7"/>
    <w:rsid w:val="00BF4BFA"/>
    <w:rsid w:val="00BF534B"/>
    <w:rsid w:val="00BF5687"/>
    <w:rsid w:val="00C000E3"/>
    <w:rsid w:val="00C02AE7"/>
    <w:rsid w:val="00C03531"/>
    <w:rsid w:val="00C05352"/>
    <w:rsid w:val="00C0696A"/>
    <w:rsid w:val="00C0742D"/>
    <w:rsid w:val="00C078E9"/>
    <w:rsid w:val="00C135C1"/>
    <w:rsid w:val="00C158E6"/>
    <w:rsid w:val="00C17A1E"/>
    <w:rsid w:val="00C17E6A"/>
    <w:rsid w:val="00C2054A"/>
    <w:rsid w:val="00C25635"/>
    <w:rsid w:val="00C32404"/>
    <w:rsid w:val="00C36A94"/>
    <w:rsid w:val="00C36AA2"/>
    <w:rsid w:val="00C379A5"/>
    <w:rsid w:val="00C4160B"/>
    <w:rsid w:val="00C4312C"/>
    <w:rsid w:val="00C43ADD"/>
    <w:rsid w:val="00C43E0C"/>
    <w:rsid w:val="00C4414E"/>
    <w:rsid w:val="00C56EBC"/>
    <w:rsid w:val="00C62065"/>
    <w:rsid w:val="00C62A96"/>
    <w:rsid w:val="00C64BAF"/>
    <w:rsid w:val="00C652C9"/>
    <w:rsid w:val="00C6549B"/>
    <w:rsid w:val="00C67791"/>
    <w:rsid w:val="00C73360"/>
    <w:rsid w:val="00C73A97"/>
    <w:rsid w:val="00C82EC6"/>
    <w:rsid w:val="00C83ECE"/>
    <w:rsid w:val="00C84177"/>
    <w:rsid w:val="00C8622C"/>
    <w:rsid w:val="00C86CB2"/>
    <w:rsid w:val="00C86FC7"/>
    <w:rsid w:val="00C874C2"/>
    <w:rsid w:val="00C876A2"/>
    <w:rsid w:val="00C90398"/>
    <w:rsid w:val="00C91C71"/>
    <w:rsid w:val="00C927AF"/>
    <w:rsid w:val="00C93566"/>
    <w:rsid w:val="00C94E45"/>
    <w:rsid w:val="00C95126"/>
    <w:rsid w:val="00C95D7E"/>
    <w:rsid w:val="00C968A2"/>
    <w:rsid w:val="00C96EC1"/>
    <w:rsid w:val="00CA1611"/>
    <w:rsid w:val="00CA4E07"/>
    <w:rsid w:val="00CA5831"/>
    <w:rsid w:val="00CA5A4A"/>
    <w:rsid w:val="00CA72A5"/>
    <w:rsid w:val="00CB1D00"/>
    <w:rsid w:val="00CB7225"/>
    <w:rsid w:val="00CC07BF"/>
    <w:rsid w:val="00CC33EB"/>
    <w:rsid w:val="00CC4488"/>
    <w:rsid w:val="00CC4651"/>
    <w:rsid w:val="00CC5C51"/>
    <w:rsid w:val="00CC6F30"/>
    <w:rsid w:val="00CD1231"/>
    <w:rsid w:val="00CD5C44"/>
    <w:rsid w:val="00CD6BDE"/>
    <w:rsid w:val="00CD79AD"/>
    <w:rsid w:val="00CE018E"/>
    <w:rsid w:val="00CE0D40"/>
    <w:rsid w:val="00CE1C63"/>
    <w:rsid w:val="00CE6353"/>
    <w:rsid w:val="00CE69F4"/>
    <w:rsid w:val="00CE7A4A"/>
    <w:rsid w:val="00CE7E2E"/>
    <w:rsid w:val="00CF0F62"/>
    <w:rsid w:val="00CF135D"/>
    <w:rsid w:val="00CF2D45"/>
    <w:rsid w:val="00CF4D7D"/>
    <w:rsid w:val="00D04DBC"/>
    <w:rsid w:val="00D05FB2"/>
    <w:rsid w:val="00D1199A"/>
    <w:rsid w:val="00D12CFA"/>
    <w:rsid w:val="00D1343F"/>
    <w:rsid w:val="00D13AA8"/>
    <w:rsid w:val="00D2070C"/>
    <w:rsid w:val="00D221DA"/>
    <w:rsid w:val="00D22E40"/>
    <w:rsid w:val="00D239B5"/>
    <w:rsid w:val="00D26404"/>
    <w:rsid w:val="00D27ADB"/>
    <w:rsid w:val="00D27B49"/>
    <w:rsid w:val="00D30629"/>
    <w:rsid w:val="00D30B6F"/>
    <w:rsid w:val="00D31663"/>
    <w:rsid w:val="00D31C88"/>
    <w:rsid w:val="00D32B72"/>
    <w:rsid w:val="00D32E18"/>
    <w:rsid w:val="00D356C0"/>
    <w:rsid w:val="00D3612D"/>
    <w:rsid w:val="00D37597"/>
    <w:rsid w:val="00D4033C"/>
    <w:rsid w:val="00D41D69"/>
    <w:rsid w:val="00D4210A"/>
    <w:rsid w:val="00D45504"/>
    <w:rsid w:val="00D45B0C"/>
    <w:rsid w:val="00D46142"/>
    <w:rsid w:val="00D47A4D"/>
    <w:rsid w:val="00D50C41"/>
    <w:rsid w:val="00D5346A"/>
    <w:rsid w:val="00D556B9"/>
    <w:rsid w:val="00D55767"/>
    <w:rsid w:val="00D57856"/>
    <w:rsid w:val="00D63CC4"/>
    <w:rsid w:val="00D64DA8"/>
    <w:rsid w:val="00D662E5"/>
    <w:rsid w:val="00D71BA0"/>
    <w:rsid w:val="00D72A63"/>
    <w:rsid w:val="00D749DF"/>
    <w:rsid w:val="00D75003"/>
    <w:rsid w:val="00D767CF"/>
    <w:rsid w:val="00D81CE2"/>
    <w:rsid w:val="00D82755"/>
    <w:rsid w:val="00D82E67"/>
    <w:rsid w:val="00D831AC"/>
    <w:rsid w:val="00D84D29"/>
    <w:rsid w:val="00D851C0"/>
    <w:rsid w:val="00D8610A"/>
    <w:rsid w:val="00D904B8"/>
    <w:rsid w:val="00D911AE"/>
    <w:rsid w:val="00D91806"/>
    <w:rsid w:val="00D9335C"/>
    <w:rsid w:val="00D93BAF"/>
    <w:rsid w:val="00D9623A"/>
    <w:rsid w:val="00D96A69"/>
    <w:rsid w:val="00D97926"/>
    <w:rsid w:val="00DA01E6"/>
    <w:rsid w:val="00DA071C"/>
    <w:rsid w:val="00DA086B"/>
    <w:rsid w:val="00DA3557"/>
    <w:rsid w:val="00DA4701"/>
    <w:rsid w:val="00DA5E98"/>
    <w:rsid w:val="00DA64DC"/>
    <w:rsid w:val="00DB1E12"/>
    <w:rsid w:val="00DB3079"/>
    <w:rsid w:val="00DB3A9F"/>
    <w:rsid w:val="00DC0CA4"/>
    <w:rsid w:val="00DC65F2"/>
    <w:rsid w:val="00DC6869"/>
    <w:rsid w:val="00DC7876"/>
    <w:rsid w:val="00DC7DD5"/>
    <w:rsid w:val="00DD055A"/>
    <w:rsid w:val="00DD6156"/>
    <w:rsid w:val="00DE1B31"/>
    <w:rsid w:val="00DE2508"/>
    <w:rsid w:val="00DE3ED7"/>
    <w:rsid w:val="00DE680C"/>
    <w:rsid w:val="00DE7DD1"/>
    <w:rsid w:val="00DF0EE9"/>
    <w:rsid w:val="00DF1291"/>
    <w:rsid w:val="00DF2016"/>
    <w:rsid w:val="00E00DD7"/>
    <w:rsid w:val="00E019C7"/>
    <w:rsid w:val="00E03E7C"/>
    <w:rsid w:val="00E07BBE"/>
    <w:rsid w:val="00E1392C"/>
    <w:rsid w:val="00E15932"/>
    <w:rsid w:val="00E219A2"/>
    <w:rsid w:val="00E22AC6"/>
    <w:rsid w:val="00E24830"/>
    <w:rsid w:val="00E24B02"/>
    <w:rsid w:val="00E3140E"/>
    <w:rsid w:val="00E3187C"/>
    <w:rsid w:val="00E318A6"/>
    <w:rsid w:val="00E31C86"/>
    <w:rsid w:val="00E32396"/>
    <w:rsid w:val="00E35363"/>
    <w:rsid w:val="00E36084"/>
    <w:rsid w:val="00E37EEF"/>
    <w:rsid w:val="00E4112A"/>
    <w:rsid w:val="00E41C62"/>
    <w:rsid w:val="00E41EE9"/>
    <w:rsid w:val="00E426D0"/>
    <w:rsid w:val="00E461D4"/>
    <w:rsid w:val="00E47A66"/>
    <w:rsid w:val="00E51669"/>
    <w:rsid w:val="00E545E0"/>
    <w:rsid w:val="00E54613"/>
    <w:rsid w:val="00E60103"/>
    <w:rsid w:val="00E62285"/>
    <w:rsid w:val="00E62819"/>
    <w:rsid w:val="00E6439E"/>
    <w:rsid w:val="00E71CCE"/>
    <w:rsid w:val="00E71E25"/>
    <w:rsid w:val="00E72F56"/>
    <w:rsid w:val="00E72F8D"/>
    <w:rsid w:val="00E75179"/>
    <w:rsid w:val="00E8035B"/>
    <w:rsid w:val="00E80DAE"/>
    <w:rsid w:val="00E84E60"/>
    <w:rsid w:val="00E8598C"/>
    <w:rsid w:val="00E87691"/>
    <w:rsid w:val="00E9045F"/>
    <w:rsid w:val="00E937CA"/>
    <w:rsid w:val="00E96BAC"/>
    <w:rsid w:val="00E97882"/>
    <w:rsid w:val="00EA0D4F"/>
    <w:rsid w:val="00EA143F"/>
    <w:rsid w:val="00EA25C4"/>
    <w:rsid w:val="00EA28DD"/>
    <w:rsid w:val="00EA3C87"/>
    <w:rsid w:val="00EA405B"/>
    <w:rsid w:val="00EA4755"/>
    <w:rsid w:val="00EA48D0"/>
    <w:rsid w:val="00EA4B60"/>
    <w:rsid w:val="00EA66D6"/>
    <w:rsid w:val="00EA7337"/>
    <w:rsid w:val="00EB3BB9"/>
    <w:rsid w:val="00EB4C26"/>
    <w:rsid w:val="00EB6134"/>
    <w:rsid w:val="00EB7426"/>
    <w:rsid w:val="00EB7A84"/>
    <w:rsid w:val="00EC0E08"/>
    <w:rsid w:val="00EC1A6C"/>
    <w:rsid w:val="00EC3679"/>
    <w:rsid w:val="00EC55D9"/>
    <w:rsid w:val="00EC6B41"/>
    <w:rsid w:val="00ED035E"/>
    <w:rsid w:val="00ED0E5C"/>
    <w:rsid w:val="00ED0F9E"/>
    <w:rsid w:val="00ED1711"/>
    <w:rsid w:val="00ED4337"/>
    <w:rsid w:val="00ED6C3E"/>
    <w:rsid w:val="00ED7509"/>
    <w:rsid w:val="00EE09A3"/>
    <w:rsid w:val="00EE0D0F"/>
    <w:rsid w:val="00EE1B6C"/>
    <w:rsid w:val="00EE26D8"/>
    <w:rsid w:val="00EE38AF"/>
    <w:rsid w:val="00EE4F06"/>
    <w:rsid w:val="00EE5395"/>
    <w:rsid w:val="00EF1873"/>
    <w:rsid w:val="00EF254B"/>
    <w:rsid w:val="00EF35E7"/>
    <w:rsid w:val="00EF3CC8"/>
    <w:rsid w:val="00EF4FF2"/>
    <w:rsid w:val="00EF6C82"/>
    <w:rsid w:val="00F021D5"/>
    <w:rsid w:val="00F05546"/>
    <w:rsid w:val="00F071DE"/>
    <w:rsid w:val="00F1035F"/>
    <w:rsid w:val="00F10616"/>
    <w:rsid w:val="00F10CEA"/>
    <w:rsid w:val="00F142B3"/>
    <w:rsid w:val="00F16287"/>
    <w:rsid w:val="00F16D05"/>
    <w:rsid w:val="00F2027D"/>
    <w:rsid w:val="00F218F5"/>
    <w:rsid w:val="00F2295E"/>
    <w:rsid w:val="00F255B8"/>
    <w:rsid w:val="00F25A1A"/>
    <w:rsid w:val="00F27F25"/>
    <w:rsid w:val="00F301AA"/>
    <w:rsid w:val="00F30D4F"/>
    <w:rsid w:val="00F32FF2"/>
    <w:rsid w:val="00F42246"/>
    <w:rsid w:val="00F4247F"/>
    <w:rsid w:val="00F438BE"/>
    <w:rsid w:val="00F4396E"/>
    <w:rsid w:val="00F5171A"/>
    <w:rsid w:val="00F52536"/>
    <w:rsid w:val="00F56275"/>
    <w:rsid w:val="00F601E7"/>
    <w:rsid w:val="00F60BF4"/>
    <w:rsid w:val="00F6110E"/>
    <w:rsid w:val="00F62F67"/>
    <w:rsid w:val="00F65557"/>
    <w:rsid w:val="00F66104"/>
    <w:rsid w:val="00F70786"/>
    <w:rsid w:val="00F716DC"/>
    <w:rsid w:val="00F7419C"/>
    <w:rsid w:val="00F74630"/>
    <w:rsid w:val="00F77E80"/>
    <w:rsid w:val="00F82551"/>
    <w:rsid w:val="00F82834"/>
    <w:rsid w:val="00F8562A"/>
    <w:rsid w:val="00F90210"/>
    <w:rsid w:val="00F9122A"/>
    <w:rsid w:val="00F9184C"/>
    <w:rsid w:val="00F94DAD"/>
    <w:rsid w:val="00F96B90"/>
    <w:rsid w:val="00FA499A"/>
    <w:rsid w:val="00FA5019"/>
    <w:rsid w:val="00FA66D2"/>
    <w:rsid w:val="00FA6900"/>
    <w:rsid w:val="00FA6D2C"/>
    <w:rsid w:val="00FA6E1C"/>
    <w:rsid w:val="00FB4206"/>
    <w:rsid w:val="00FB4714"/>
    <w:rsid w:val="00FB4EFD"/>
    <w:rsid w:val="00FB5ABC"/>
    <w:rsid w:val="00FB5BF6"/>
    <w:rsid w:val="00FB788F"/>
    <w:rsid w:val="00FC0184"/>
    <w:rsid w:val="00FC1017"/>
    <w:rsid w:val="00FC36D8"/>
    <w:rsid w:val="00FC60CE"/>
    <w:rsid w:val="00FC6B71"/>
    <w:rsid w:val="00FC779A"/>
    <w:rsid w:val="00FD02BE"/>
    <w:rsid w:val="00FD0DE5"/>
    <w:rsid w:val="00FD2538"/>
    <w:rsid w:val="00FE26F9"/>
    <w:rsid w:val="00FE2C95"/>
    <w:rsid w:val="00FE6E47"/>
    <w:rsid w:val="00FF11B7"/>
    <w:rsid w:val="00FF18FE"/>
    <w:rsid w:val="00FF1949"/>
    <w:rsid w:val="00FF2AC7"/>
    <w:rsid w:val="00FF3EC0"/>
    <w:rsid w:val="00FF4386"/>
    <w:rsid w:val="00FF5C51"/>
    <w:rsid w:val="00FF67F1"/>
    <w:rsid w:val="00FF7403"/>
    <w:rsid w:val="03840DBD"/>
    <w:rsid w:val="068724CD"/>
    <w:rsid w:val="22395238"/>
    <w:rsid w:val="2715B837"/>
    <w:rsid w:val="333FC57D"/>
    <w:rsid w:val="3E3268D0"/>
    <w:rsid w:val="3F6BF669"/>
    <w:rsid w:val="44CA4FA8"/>
    <w:rsid w:val="4CD647E6"/>
    <w:rsid w:val="4E9ECCF8"/>
    <w:rsid w:val="50D74FE7"/>
    <w:rsid w:val="558DE9F5"/>
    <w:rsid w:val="5BD1C4BA"/>
    <w:rsid w:val="6B3BBDB3"/>
    <w:rsid w:val="70B2B8B6"/>
    <w:rsid w:val="7258243C"/>
    <w:rsid w:val="7321E8C9"/>
    <w:rsid w:val="7BBEF1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64489A5F-03CA-49CB-93C1-10C4FCAF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30C7"/>
  </w:style>
  <w:style w:type="paragraph" w:styleId="Heading3">
    <w:name w:val="heading 3"/>
    <w:basedOn w:val="Normal"/>
    <w:next w:val="Normal"/>
    <w:link w:val="Heading3Char"/>
    <w:uiPriority w:val="9"/>
    <w:unhideWhenUsed/>
    <w:qFormat/>
    <w:rsid w:val="00A372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customStyle="1" w:styleId="normaltextrun">
    <w:name w:val="normaltextrun"/>
    <w:basedOn w:val="DefaultParagraphFont"/>
    <w:rsid w:val="00966C3A"/>
  </w:style>
  <w:style w:type="character" w:customStyle="1" w:styleId="Heading3Char">
    <w:name w:val="Heading 3 Char"/>
    <w:basedOn w:val="DefaultParagraphFont"/>
    <w:link w:val="Heading3"/>
    <w:uiPriority w:val="9"/>
    <w:rsid w:val="00A372ED"/>
    <w:rPr>
      <w:rFonts w:asciiTheme="majorHAnsi" w:eastAsiaTheme="majorEastAsia" w:hAnsiTheme="majorHAnsi" w:cstheme="majorBidi"/>
      <w:color w:val="243F60" w:themeColor="accent1" w:themeShade="7F"/>
      <w:sz w:val="24"/>
      <w:szCs w:val="24"/>
    </w:rPr>
  </w:style>
  <w:style w:type="paragraph" w:styleId="ListBullet">
    <w:name w:val="List Bullet"/>
    <w:basedOn w:val="Normal"/>
    <w:uiPriority w:val="99"/>
    <w:unhideWhenUsed/>
    <w:rsid w:val="007A299C"/>
    <w:pPr>
      <w:numPr>
        <w:numId w:val="5"/>
      </w:numPr>
      <w:contextualSpacing/>
    </w:pPr>
  </w:style>
  <w:style w:type="character" w:customStyle="1" w:styleId="UnresolvedMention1">
    <w:name w:val="Unresolved Mention1"/>
    <w:basedOn w:val="DefaultParagraphFont"/>
    <w:uiPriority w:val="99"/>
    <w:semiHidden/>
    <w:unhideWhenUsed/>
    <w:rsid w:val="00A33E85"/>
    <w:rPr>
      <w:color w:val="605E5C"/>
      <w:shd w:val="clear" w:color="auto" w:fill="E1DFDD"/>
    </w:rPr>
  </w:style>
  <w:style w:type="character" w:customStyle="1" w:styleId="UnresolvedMention2">
    <w:name w:val="Unresolved Mention2"/>
    <w:basedOn w:val="DefaultParagraphFont"/>
    <w:uiPriority w:val="99"/>
    <w:semiHidden/>
    <w:unhideWhenUsed/>
    <w:rsid w:val="00166598"/>
    <w:rPr>
      <w:color w:val="605E5C"/>
      <w:shd w:val="clear" w:color="auto" w:fill="E1DFDD"/>
    </w:rPr>
  </w:style>
  <w:style w:type="character" w:customStyle="1" w:styleId="cf01">
    <w:name w:val="cf01"/>
    <w:basedOn w:val="DefaultParagraphFont"/>
    <w:rsid w:val="006903DB"/>
    <w:rPr>
      <w:rFonts w:ascii="Segoe UI" w:hAnsi="Segoe UI" w:cs="Segoe UI" w:hint="default"/>
      <w:sz w:val="18"/>
      <w:szCs w:val="18"/>
    </w:rPr>
  </w:style>
  <w:style w:type="character" w:customStyle="1" w:styleId="eop">
    <w:name w:val="eop"/>
    <w:basedOn w:val="DefaultParagraphFont"/>
    <w:rsid w:val="00F8562A"/>
  </w:style>
  <w:style w:type="character" w:styleId="UnresolvedMention">
    <w:name w:val="Unresolved Mention"/>
    <w:basedOn w:val="DefaultParagraphFont"/>
    <w:uiPriority w:val="99"/>
    <w:semiHidden/>
    <w:unhideWhenUsed/>
    <w:rsid w:val="00D93BAF"/>
    <w:rPr>
      <w:color w:val="605E5C"/>
      <w:shd w:val="clear" w:color="auto" w:fill="E1DFDD"/>
    </w:rPr>
  </w:style>
  <w:style w:type="paragraph" w:customStyle="1" w:styleId="pf0">
    <w:name w:val="pf0"/>
    <w:basedOn w:val="Normal"/>
    <w:rsid w:val="001C6A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doi.org/10.1371/journal.pone.0279128" TargetMode="External" /><Relationship Id="rId2" Type="http://schemas.openxmlformats.org/officeDocument/2006/relationships/hyperlink" Target="https://doi.org/10.1080/13645579.2024.2443630" TargetMode="External" /><Relationship Id="rId3" Type="http://schemas.openxmlformats.org/officeDocument/2006/relationships/hyperlink" Target="https://wagesla.lacity.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AF4EA8AB2D6446B41B21CD92CC401C" ma:contentTypeVersion="4" ma:contentTypeDescription="Create a new document." ma:contentTypeScope="" ma:versionID="fea526bf6d3a007ec934a5063ee07222">
  <xsd:schema xmlns:xsd="http://www.w3.org/2001/XMLSchema" xmlns:xs="http://www.w3.org/2001/XMLSchema" xmlns:p="http://schemas.microsoft.com/office/2006/metadata/properties" xmlns:ns2="d6cb622e-ae91-494c-af39-efb39ecfb600" targetNamespace="http://schemas.microsoft.com/office/2006/metadata/properties" ma:root="true" ma:fieldsID="d2adfd8f098d58330a6ee7916cfd03cc" ns2:_="">
    <xsd:import namespace="d6cb622e-ae91-494c-af39-efb39ecfb6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b622e-ae91-494c-af39-efb39ecfb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B53EC0-2AD2-4CC9-AE70-D411D4612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b622e-ae91-494c-af39-efb39ecfb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1D8497-85FB-4A47-A418-324D7B5CB0D6}">
  <ds:schemaRefs>
    <ds:schemaRef ds:uri="http://schemas.openxmlformats.org/officeDocument/2006/bibliography"/>
  </ds:schemaRefs>
</ds:datastoreItem>
</file>

<file path=customXml/itemProps3.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4.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24</TotalTime>
  <Pages>11</Pages>
  <Words>3258</Words>
  <Characters>18800</Characters>
  <Application>Microsoft Office Word</Application>
  <DocSecurity>0</DocSecurity>
  <Lines>458</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Jedd McKenzie</dc:creator>
  <cp:lastModifiedBy>ACF PRA</cp:lastModifiedBy>
  <cp:revision>5</cp:revision>
  <dcterms:created xsi:type="dcterms:W3CDTF">2026-06-09T15:29:00Z</dcterms:created>
  <dcterms:modified xsi:type="dcterms:W3CDTF">2026-06-15T17:27:00Z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0x01010046AF4EA8AB2D6446B41B21CD92CC401C</vt:lpwstr>
  </property>
  <property fmtid="{D5CDD505-2E9C-101B-9397-08002B2CF9AE}" pid="3" name="MediaServiceImageTags">
    <vt:lpwstr/>
  </property>
</Properties>
</file>