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7585" w:rsidRPr="00B235CF" w:rsidP="00B235CF" w14:paraId="431DB997" w14:textId="3352919E">
      <w:pPr>
        <w:rPr>
          <w:b/>
          <w:bCs/>
        </w:rPr>
      </w:pPr>
      <w:r w:rsidRPr="171B86D0">
        <w:rPr>
          <w:b/>
          <w:bCs/>
        </w:rPr>
        <w:t>SUPPORTING STATEMENT</w:t>
      </w:r>
      <w:r w:rsidRPr="171B86D0" w:rsidR="00787478">
        <w:rPr>
          <w:b/>
          <w:bCs/>
        </w:rPr>
        <w:t xml:space="preserve"> </w:t>
      </w:r>
    </w:p>
    <w:p w:rsidR="00AF7585" w:rsidP="00B235CF" w14:paraId="6665B5F3" w14:textId="5CEED168">
      <w:pPr>
        <w:rPr>
          <w:b/>
          <w:bCs/>
        </w:rPr>
      </w:pPr>
      <w:r>
        <w:rPr>
          <w:b/>
          <w:bCs/>
        </w:rPr>
        <w:t>202</w:t>
      </w:r>
      <w:r w:rsidR="000B23D0">
        <w:rPr>
          <w:b/>
          <w:bCs/>
        </w:rPr>
        <w:t>6</w:t>
      </w:r>
      <w:r>
        <w:rPr>
          <w:b/>
          <w:bCs/>
        </w:rPr>
        <w:t xml:space="preserve"> </w:t>
      </w:r>
      <w:r w:rsidR="00102D0A">
        <w:rPr>
          <w:b/>
          <w:bCs/>
        </w:rPr>
        <w:t>Census of State and Local Law Enforcement Agencies (CSLLEA)</w:t>
      </w:r>
    </w:p>
    <w:p w:rsidR="00323365" w:rsidP="00EE5E9E" w14:paraId="67021693" w14:textId="77777777">
      <w:pPr>
        <w:rPr>
          <w:b/>
          <w:bCs/>
        </w:rPr>
      </w:pPr>
    </w:p>
    <w:p w:rsidR="004943FE" w:rsidP="004943FE" w14:paraId="4F5AE7F9" w14:textId="290DBD49">
      <w:pPr>
        <w:pStyle w:val="ListParagraph"/>
        <w:numPr>
          <w:ilvl w:val="0"/>
          <w:numId w:val="39"/>
        </w:numPr>
        <w:rPr>
          <w:b/>
          <w:bCs/>
        </w:rPr>
      </w:pPr>
      <w:r>
        <w:rPr>
          <w:b/>
          <w:bCs/>
        </w:rPr>
        <w:t>JUSTIFICATION</w:t>
      </w:r>
    </w:p>
    <w:p w:rsidR="004943FE" w:rsidRPr="004943FE" w:rsidP="004943FE" w14:paraId="5B4D21C7" w14:textId="77777777">
      <w:pPr>
        <w:pStyle w:val="ListParagraph"/>
        <w:rPr>
          <w:b/>
          <w:bCs/>
        </w:rPr>
      </w:pPr>
    </w:p>
    <w:p w:rsidR="00192787" w:rsidP="00EE5E9E" w14:paraId="65428344" w14:textId="66C28450">
      <w:pPr>
        <w:rPr>
          <w:b/>
          <w:bCs/>
        </w:rPr>
      </w:pPr>
      <w:r>
        <w:rPr>
          <w:b/>
          <w:bCs/>
        </w:rPr>
        <w:t>Overview</w:t>
      </w:r>
    </w:p>
    <w:p w:rsidR="00E61585" w:rsidP="00EE5E9E" w14:paraId="2662F692" w14:textId="3D99F669">
      <w:pPr>
        <w:rPr>
          <w:b/>
          <w:bCs/>
        </w:rPr>
      </w:pPr>
    </w:p>
    <w:p w:rsidR="002479AF" w:rsidP="00E61585" w14:paraId="4A57E647" w14:textId="2DDCA0E4">
      <w:pPr>
        <w:pStyle w:val="NoSpacing"/>
        <w:rPr>
          <w:rFonts w:ascii="Times New Roman" w:hAnsi="Times New Roman" w:cs="Times New Roman"/>
          <w:sz w:val="24"/>
          <w:szCs w:val="24"/>
        </w:rPr>
      </w:pPr>
      <w:r w:rsidRPr="00BF1857">
        <w:rPr>
          <w:rFonts w:ascii="Times New Roman" w:hAnsi="Times New Roman" w:cs="Times New Roman"/>
          <w:sz w:val="24"/>
          <w:szCs w:val="24"/>
        </w:rPr>
        <w:t>The Bureau of Justice Statistics (BJS) requests clearance</w:t>
      </w:r>
      <w:r w:rsidR="004943FE">
        <w:rPr>
          <w:rFonts w:ascii="Times New Roman" w:hAnsi="Times New Roman" w:cs="Times New Roman"/>
          <w:sz w:val="24"/>
          <w:szCs w:val="24"/>
        </w:rPr>
        <w:t xml:space="preserve"> from the Office of Management and Budget (OMB)</w:t>
      </w:r>
      <w:r w:rsidRPr="00BF1857">
        <w:rPr>
          <w:rFonts w:ascii="Times New Roman" w:hAnsi="Times New Roman" w:cs="Times New Roman"/>
          <w:sz w:val="24"/>
          <w:szCs w:val="24"/>
        </w:rPr>
        <w:t xml:space="preserve"> to conduct the </w:t>
      </w:r>
      <w:r>
        <w:rPr>
          <w:rFonts w:ascii="Times New Roman" w:hAnsi="Times New Roman" w:cs="Times New Roman"/>
          <w:sz w:val="24"/>
          <w:szCs w:val="24"/>
        </w:rPr>
        <w:t>202</w:t>
      </w:r>
      <w:r w:rsidR="000B23D0">
        <w:rPr>
          <w:rFonts w:ascii="Times New Roman" w:hAnsi="Times New Roman" w:cs="Times New Roman"/>
          <w:sz w:val="24"/>
          <w:szCs w:val="24"/>
        </w:rPr>
        <w:t>6</w:t>
      </w:r>
      <w:r w:rsidRPr="00BF1857">
        <w:rPr>
          <w:rFonts w:ascii="Times New Roman" w:hAnsi="Times New Roman" w:cs="Times New Roman"/>
          <w:sz w:val="24"/>
          <w:szCs w:val="24"/>
        </w:rPr>
        <w:t xml:space="preserve"> Census of </w:t>
      </w:r>
      <w:r>
        <w:rPr>
          <w:rFonts w:ascii="Times New Roman" w:hAnsi="Times New Roman" w:cs="Times New Roman"/>
          <w:sz w:val="24"/>
          <w:szCs w:val="24"/>
        </w:rPr>
        <w:t xml:space="preserve">State </w:t>
      </w:r>
      <w:r w:rsidRPr="00BF1857">
        <w:rPr>
          <w:rFonts w:ascii="Times New Roman" w:hAnsi="Times New Roman" w:cs="Times New Roman"/>
          <w:sz w:val="24"/>
          <w:szCs w:val="24"/>
        </w:rPr>
        <w:t>and Local Law Enforcement Agencies (</w:t>
      </w:r>
      <w:r>
        <w:rPr>
          <w:rFonts w:ascii="Times New Roman" w:hAnsi="Times New Roman" w:cs="Times New Roman"/>
          <w:sz w:val="24"/>
          <w:szCs w:val="24"/>
        </w:rPr>
        <w:t>CSLLEA</w:t>
      </w:r>
      <w:r w:rsidRPr="00BF1857">
        <w:rPr>
          <w:rFonts w:ascii="Times New Roman" w:hAnsi="Times New Roman" w:cs="Times New Roman"/>
          <w:sz w:val="24"/>
          <w:szCs w:val="24"/>
        </w:rPr>
        <w:t xml:space="preserve">). </w:t>
      </w:r>
      <w:r>
        <w:rPr>
          <w:rFonts w:ascii="Times New Roman" w:hAnsi="Times New Roman" w:cs="Times New Roman"/>
          <w:sz w:val="24"/>
          <w:szCs w:val="24"/>
        </w:rPr>
        <w:t>Historically, t</w:t>
      </w:r>
      <w:r w:rsidRPr="00BF1857">
        <w:rPr>
          <w:rFonts w:ascii="Times New Roman" w:hAnsi="Times New Roman" w:cs="Times New Roman"/>
          <w:sz w:val="24"/>
          <w:szCs w:val="24"/>
        </w:rPr>
        <w:t xml:space="preserve">he </w:t>
      </w:r>
      <w:r>
        <w:rPr>
          <w:rFonts w:ascii="Times New Roman" w:hAnsi="Times New Roman" w:cs="Times New Roman"/>
          <w:sz w:val="24"/>
          <w:szCs w:val="24"/>
        </w:rPr>
        <w:t xml:space="preserve">CSLLEA </w:t>
      </w:r>
      <w:r w:rsidRPr="00BF1857">
        <w:rPr>
          <w:rFonts w:ascii="Times New Roman" w:hAnsi="Times New Roman" w:cs="Times New Roman"/>
          <w:sz w:val="24"/>
          <w:szCs w:val="24"/>
        </w:rPr>
        <w:t xml:space="preserve">generates an enumeration of all </w:t>
      </w:r>
      <w:r w:rsidR="002027FF">
        <w:rPr>
          <w:rFonts w:ascii="Times New Roman" w:hAnsi="Times New Roman" w:cs="Times New Roman"/>
          <w:sz w:val="24"/>
          <w:szCs w:val="24"/>
        </w:rPr>
        <w:t>publicly funded</w:t>
      </w:r>
      <w:r w:rsidRPr="00BF1857">
        <w:rPr>
          <w:rFonts w:ascii="Times New Roman" w:hAnsi="Times New Roman" w:cs="Times New Roman"/>
          <w:sz w:val="24"/>
          <w:szCs w:val="24"/>
        </w:rPr>
        <w:t xml:space="preserve"> </w:t>
      </w:r>
      <w:r>
        <w:rPr>
          <w:rFonts w:ascii="Times New Roman" w:hAnsi="Times New Roman" w:cs="Times New Roman"/>
          <w:sz w:val="24"/>
          <w:szCs w:val="24"/>
        </w:rPr>
        <w:t>state, county, local</w:t>
      </w:r>
      <w:r w:rsidR="00702B60">
        <w:rPr>
          <w:rFonts w:ascii="Times New Roman" w:hAnsi="Times New Roman" w:cs="Times New Roman"/>
          <w:sz w:val="24"/>
          <w:szCs w:val="24"/>
        </w:rPr>
        <w:t>,</w:t>
      </w:r>
      <w:r>
        <w:rPr>
          <w:rFonts w:ascii="Times New Roman" w:hAnsi="Times New Roman" w:cs="Times New Roman"/>
          <w:sz w:val="24"/>
          <w:szCs w:val="24"/>
        </w:rPr>
        <w:t xml:space="preserve"> and tribal </w:t>
      </w:r>
      <w:r w:rsidRPr="00BF1857">
        <w:rPr>
          <w:rFonts w:ascii="Times New Roman" w:hAnsi="Times New Roman" w:cs="Times New Roman"/>
          <w:sz w:val="24"/>
          <w:szCs w:val="24"/>
        </w:rPr>
        <w:t xml:space="preserve">law enforcement agencies operating in the United States and provides complete personnel counts for the approximately </w:t>
      </w:r>
      <w:r>
        <w:rPr>
          <w:rFonts w:ascii="Times New Roman" w:hAnsi="Times New Roman" w:cs="Times New Roman"/>
          <w:sz w:val="24"/>
          <w:szCs w:val="24"/>
        </w:rPr>
        <w:t>20</w:t>
      </w:r>
      <w:r w:rsidRPr="00BF1857">
        <w:rPr>
          <w:rFonts w:ascii="Times New Roman" w:hAnsi="Times New Roman" w:cs="Times New Roman"/>
          <w:sz w:val="24"/>
          <w:szCs w:val="24"/>
        </w:rPr>
        <w:t xml:space="preserve">,000 </w:t>
      </w:r>
      <w:r w:rsidR="001E3DCA">
        <w:rPr>
          <w:rFonts w:ascii="Times New Roman" w:hAnsi="Times New Roman" w:cs="Times New Roman"/>
          <w:sz w:val="24"/>
          <w:szCs w:val="24"/>
        </w:rPr>
        <w:t xml:space="preserve">public </w:t>
      </w:r>
      <w:r w:rsidR="00184A13">
        <w:rPr>
          <w:rFonts w:ascii="Times New Roman" w:hAnsi="Times New Roman" w:cs="Times New Roman"/>
          <w:sz w:val="24"/>
          <w:szCs w:val="24"/>
        </w:rPr>
        <w:t>law enforcement agencies</w:t>
      </w:r>
      <w:r w:rsidRPr="00BF1857" w:rsidR="00184A13">
        <w:rPr>
          <w:rFonts w:ascii="Times New Roman" w:hAnsi="Times New Roman" w:cs="Times New Roman"/>
          <w:sz w:val="24"/>
          <w:szCs w:val="24"/>
        </w:rPr>
        <w:t xml:space="preserve"> </w:t>
      </w:r>
      <w:r w:rsidRPr="00BF1857">
        <w:rPr>
          <w:rFonts w:ascii="Times New Roman" w:hAnsi="Times New Roman" w:cs="Times New Roman"/>
          <w:sz w:val="24"/>
          <w:szCs w:val="24"/>
        </w:rPr>
        <w:t xml:space="preserve">operating nationally. </w:t>
      </w:r>
    </w:p>
    <w:p w:rsidR="002479AF" w:rsidP="00E61585" w14:paraId="4AD3F121" w14:textId="77777777">
      <w:pPr>
        <w:pStyle w:val="NoSpacing"/>
        <w:rPr>
          <w:rFonts w:ascii="Times New Roman" w:hAnsi="Times New Roman" w:cs="Times New Roman"/>
          <w:sz w:val="24"/>
          <w:szCs w:val="24"/>
        </w:rPr>
      </w:pPr>
    </w:p>
    <w:p w:rsidR="00E61585" w:rsidP="00E61585" w14:paraId="0DF262BA" w14:textId="14B3517B">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For the purposes of the </w:t>
      </w:r>
      <w:r>
        <w:rPr>
          <w:rFonts w:ascii="Times New Roman" w:hAnsi="Times New Roman" w:cs="Times New Roman"/>
          <w:sz w:val="24"/>
          <w:szCs w:val="24"/>
        </w:rPr>
        <w:t>CSLLEA</w:t>
      </w:r>
      <w:r w:rsidRPr="00BF1857">
        <w:rPr>
          <w:rFonts w:ascii="Times New Roman" w:hAnsi="Times New Roman" w:cs="Times New Roman"/>
          <w:sz w:val="24"/>
          <w:szCs w:val="24"/>
        </w:rPr>
        <w:t xml:space="preserve">, a “law enforcement agency” is a </w:t>
      </w:r>
      <w:r w:rsidR="002027FF">
        <w:rPr>
          <w:rFonts w:ascii="Times New Roman" w:hAnsi="Times New Roman" w:cs="Times New Roman"/>
          <w:sz w:val="24"/>
          <w:szCs w:val="24"/>
        </w:rPr>
        <w:t>publicly</w:t>
      </w:r>
      <w:r w:rsidRPr="00BF1857" w:rsidR="002027FF">
        <w:rPr>
          <w:rFonts w:ascii="Times New Roman" w:hAnsi="Times New Roman" w:cs="Times New Roman"/>
          <w:sz w:val="24"/>
          <w:szCs w:val="24"/>
        </w:rPr>
        <w:t xml:space="preserve"> funded</w:t>
      </w:r>
      <w:r w:rsidRPr="00BF1857">
        <w:rPr>
          <w:rFonts w:ascii="Times New Roman" w:hAnsi="Times New Roman" w:cs="Times New Roman"/>
          <w:sz w:val="24"/>
          <w:szCs w:val="24"/>
        </w:rPr>
        <w:t xml:space="preserve"> government entity responsible for enforcing laws, maintaining public order, and promoting public safety. To be within</w:t>
      </w:r>
      <w:r w:rsidR="008338BF">
        <w:rPr>
          <w:rFonts w:ascii="Times New Roman" w:hAnsi="Times New Roman" w:cs="Times New Roman"/>
          <w:sz w:val="24"/>
          <w:szCs w:val="24"/>
        </w:rPr>
        <w:t xml:space="preserve"> the</w:t>
      </w:r>
      <w:r w:rsidRPr="00BF1857">
        <w:rPr>
          <w:rFonts w:ascii="Times New Roman" w:hAnsi="Times New Roman" w:cs="Times New Roman"/>
          <w:sz w:val="24"/>
          <w:szCs w:val="24"/>
        </w:rPr>
        <w:t xml:space="preserve"> scope of the C</w:t>
      </w:r>
      <w:r>
        <w:rPr>
          <w:rFonts w:ascii="Times New Roman" w:hAnsi="Times New Roman" w:cs="Times New Roman"/>
          <w:sz w:val="24"/>
          <w:szCs w:val="24"/>
        </w:rPr>
        <w:t>SLLEA</w:t>
      </w:r>
      <w:r w:rsidRPr="00BF1857">
        <w:rPr>
          <w:rFonts w:ascii="Times New Roman" w:hAnsi="Times New Roman" w:cs="Times New Roman"/>
          <w:sz w:val="24"/>
          <w:szCs w:val="24"/>
        </w:rPr>
        <w:t>, a law enforcement agency must employ the equivalent of at l</w:t>
      </w:r>
      <w:r>
        <w:rPr>
          <w:rFonts w:ascii="Times New Roman" w:hAnsi="Times New Roman" w:cs="Times New Roman"/>
          <w:sz w:val="24"/>
          <w:szCs w:val="24"/>
        </w:rPr>
        <w:t>east one full-time sworn officer with general arrest powers</w:t>
      </w:r>
      <w:r w:rsidR="002027FF">
        <w:rPr>
          <w:rFonts w:ascii="Times New Roman" w:hAnsi="Times New Roman" w:cs="Times New Roman"/>
          <w:sz w:val="24"/>
          <w:szCs w:val="24"/>
        </w:rPr>
        <w:t>.</w:t>
      </w:r>
      <w:r>
        <w:rPr>
          <w:rStyle w:val="FootnoteReference"/>
          <w:rFonts w:ascii="Times New Roman" w:hAnsi="Times New Roman"/>
          <w:sz w:val="24"/>
          <w:szCs w:val="24"/>
        </w:rPr>
        <w:footnoteReference w:id="3"/>
      </w:r>
      <w:r w:rsidRPr="00BF1857">
        <w:rPr>
          <w:rFonts w:ascii="Times New Roman" w:hAnsi="Times New Roman" w:cs="Times New Roman"/>
          <w:sz w:val="24"/>
          <w:szCs w:val="24"/>
        </w:rPr>
        <w:t xml:space="preserve"> BJS has conducted the </w:t>
      </w:r>
      <w:r>
        <w:rPr>
          <w:rFonts w:ascii="Times New Roman" w:hAnsi="Times New Roman" w:cs="Times New Roman"/>
          <w:sz w:val="24"/>
          <w:szCs w:val="24"/>
        </w:rPr>
        <w:t>CSLLEA periodically</w:t>
      </w:r>
      <w:r w:rsidRPr="00BF1857">
        <w:rPr>
          <w:rFonts w:ascii="Times New Roman" w:hAnsi="Times New Roman" w:cs="Times New Roman"/>
          <w:sz w:val="24"/>
          <w:szCs w:val="24"/>
        </w:rPr>
        <w:t xml:space="preserve"> since 19</w:t>
      </w:r>
      <w:r>
        <w:rPr>
          <w:rFonts w:ascii="Times New Roman" w:hAnsi="Times New Roman" w:cs="Times New Roman"/>
          <w:sz w:val="24"/>
          <w:szCs w:val="24"/>
        </w:rPr>
        <w:t>86</w:t>
      </w:r>
      <w:r w:rsidR="000B66DB">
        <w:rPr>
          <w:rFonts w:ascii="Times New Roman" w:hAnsi="Times New Roman" w:cs="Times New Roman"/>
          <w:sz w:val="24"/>
          <w:szCs w:val="24"/>
        </w:rPr>
        <w:t xml:space="preserve">. </w:t>
      </w:r>
      <w:r w:rsidRPr="000B66DB" w:rsidR="000B66DB">
        <w:rPr>
          <w:rFonts w:ascii="Times New Roman" w:hAnsi="Times New Roman" w:cs="Times New Roman"/>
          <w:sz w:val="24"/>
          <w:szCs w:val="24"/>
        </w:rPr>
        <w:t xml:space="preserve">The last administration of the CSLLEA was in 2022 (OMB approval obtained on 8/3/2022; </w:t>
      </w:r>
      <w:r w:rsidRPr="007262AC" w:rsidR="007262AC">
        <w:rPr>
          <w:rFonts w:ascii="Times New Roman" w:hAnsi="Times New Roman" w:cs="Times New Roman"/>
          <w:sz w:val="24"/>
          <w:szCs w:val="24"/>
        </w:rPr>
        <w:t>OMB No.</w:t>
      </w:r>
      <w:r w:rsidRPr="000B66DB" w:rsidR="000B66DB">
        <w:rPr>
          <w:rFonts w:ascii="Times New Roman" w:hAnsi="Times New Roman" w:cs="Times New Roman"/>
          <w:sz w:val="24"/>
          <w:szCs w:val="24"/>
        </w:rPr>
        <w:t>1121-0346)</w:t>
      </w:r>
      <w:r w:rsidR="0064781A">
        <w:rPr>
          <w:rFonts w:ascii="Times New Roman" w:hAnsi="Times New Roman" w:cs="Times New Roman"/>
          <w:sz w:val="24"/>
          <w:szCs w:val="24"/>
        </w:rPr>
        <w:t xml:space="preserve"> and</w:t>
      </w:r>
      <w:r w:rsidRPr="00BF1857">
        <w:rPr>
          <w:rFonts w:ascii="Times New Roman" w:hAnsi="Times New Roman" w:cs="Times New Roman"/>
          <w:sz w:val="24"/>
          <w:szCs w:val="24"/>
        </w:rPr>
        <w:t xml:space="preserve"> the 20</w:t>
      </w:r>
      <w:r>
        <w:rPr>
          <w:rFonts w:ascii="Times New Roman" w:hAnsi="Times New Roman" w:cs="Times New Roman"/>
          <w:sz w:val="24"/>
          <w:szCs w:val="24"/>
        </w:rPr>
        <w:t>2</w:t>
      </w:r>
      <w:r w:rsidR="000B23D0">
        <w:rPr>
          <w:rFonts w:ascii="Times New Roman" w:hAnsi="Times New Roman" w:cs="Times New Roman"/>
          <w:sz w:val="24"/>
          <w:szCs w:val="24"/>
        </w:rPr>
        <w:t>6</w:t>
      </w:r>
      <w:r w:rsidRPr="00BF1857">
        <w:rPr>
          <w:rFonts w:ascii="Times New Roman" w:hAnsi="Times New Roman" w:cs="Times New Roman"/>
          <w:sz w:val="24"/>
          <w:szCs w:val="24"/>
        </w:rPr>
        <w:t xml:space="preserve"> administration </w:t>
      </w:r>
      <w:r w:rsidR="00BD4986">
        <w:rPr>
          <w:rFonts w:ascii="Times New Roman" w:hAnsi="Times New Roman" w:cs="Times New Roman"/>
          <w:sz w:val="24"/>
          <w:szCs w:val="24"/>
        </w:rPr>
        <w:t xml:space="preserve">will be </w:t>
      </w:r>
      <w:r w:rsidRPr="00BF1857">
        <w:rPr>
          <w:rFonts w:ascii="Times New Roman" w:hAnsi="Times New Roman" w:cs="Times New Roman"/>
          <w:sz w:val="24"/>
          <w:szCs w:val="24"/>
        </w:rPr>
        <w:t xml:space="preserve">the </w:t>
      </w:r>
      <w:r w:rsidR="000B23D0">
        <w:rPr>
          <w:rFonts w:ascii="Times New Roman" w:hAnsi="Times New Roman" w:cs="Times New Roman"/>
          <w:sz w:val="24"/>
          <w:szCs w:val="24"/>
        </w:rPr>
        <w:t>ninth</w:t>
      </w:r>
      <w:r>
        <w:rPr>
          <w:rFonts w:ascii="Times New Roman" w:hAnsi="Times New Roman" w:cs="Times New Roman"/>
          <w:sz w:val="24"/>
          <w:szCs w:val="24"/>
        </w:rPr>
        <w:t xml:space="preserve"> </w:t>
      </w:r>
      <w:r w:rsidRPr="00BF1857">
        <w:rPr>
          <w:rFonts w:ascii="Times New Roman" w:hAnsi="Times New Roman" w:cs="Times New Roman"/>
          <w:sz w:val="24"/>
          <w:szCs w:val="24"/>
        </w:rPr>
        <w:t xml:space="preserve">wave of data </w:t>
      </w:r>
      <w:r w:rsidR="002027FF">
        <w:rPr>
          <w:rFonts w:ascii="Times New Roman" w:hAnsi="Times New Roman" w:cs="Times New Roman"/>
          <w:sz w:val="24"/>
          <w:szCs w:val="24"/>
        </w:rPr>
        <w:t xml:space="preserve">collection </w:t>
      </w:r>
      <w:r w:rsidRPr="00BF1857">
        <w:rPr>
          <w:rFonts w:ascii="Times New Roman" w:hAnsi="Times New Roman" w:cs="Times New Roman"/>
          <w:sz w:val="24"/>
          <w:szCs w:val="24"/>
        </w:rPr>
        <w:t xml:space="preserve">in the statistical series. </w:t>
      </w:r>
    </w:p>
    <w:p w:rsidR="004943FE" w:rsidP="00E61585" w14:paraId="17C82BC0" w14:textId="77777777">
      <w:pPr>
        <w:pStyle w:val="NoSpacing"/>
        <w:rPr>
          <w:rFonts w:ascii="Times New Roman" w:hAnsi="Times New Roman" w:cs="Times New Roman"/>
          <w:sz w:val="24"/>
          <w:szCs w:val="24"/>
        </w:rPr>
      </w:pPr>
    </w:p>
    <w:p w:rsidR="00E61585" w:rsidRPr="00E61585" w:rsidP="00E61585" w14:paraId="01780059" w14:textId="624BC7AE">
      <w:pPr>
        <w:pStyle w:val="NoSpacing"/>
        <w:rPr>
          <w:rFonts w:ascii="Times New Roman" w:hAnsi="Times New Roman" w:cs="Times New Roman"/>
          <w:sz w:val="24"/>
          <w:szCs w:val="24"/>
        </w:rPr>
      </w:pPr>
      <w:r w:rsidRPr="00E61585">
        <w:rPr>
          <w:rFonts w:ascii="Times New Roman" w:hAnsi="Times New Roman" w:cs="Times New Roman"/>
          <w:sz w:val="24"/>
          <w:szCs w:val="24"/>
        </w:rPr>
        <w:t>The CSLLEA collects information from local police departments, sheriffs’ offices, primary state law enforcement agencies, and special jurisdiction agencies. Local police departments include municipal, county, and regional police that are granted authority from the local governing body that created it. Sheriffs’ offices are generally empowered to enforce laws at the county level, while primary state agencies provide general law enforcement services statewide with a focus on highway and rural area enforcement. Special jurisdiction agencies provide law enforcement services in areas within a specific jurisdiction</w:t>
      </w:r>
      <w:r w:rsidR="0064781A">
        <w:rPr>
          <w:rFonts w:ascii="Times New Roman" w:hAnsi="Times New Roman" w:cs="Times New Roman"/>
          <w:sz w:val="24"/>
          <w:szCs w:val="24"/>
        </w:rPr>
        <w:t>. T</w:t>
      </w:r>
      <w:r w:rsidRPr="00E61585">
        <w:rPr>
          <w:rFonts w:ascii="Times New Roman" w:hAnsi="Times New Roman" w:cs="Times New Roman"/>
          <w:sz w:val="24"/>
          <w:szCs w:val="24"/>
        </w:rPr>
        <w:t xml:space="preserve">hey are usually full-service departments that have been granted law enforcement authority in tribal lands, parks, transportation assets (e.g., airports, subways), housing authorities, </w:t>
      </w:r>
      <w:r w:rsidR="00FF1A78">
        <w:rPr>
          <w:rFonts w:ascii="Times New Roman" w:hAnsi="Times New Roman" w:cs="Times New Roman"/>
          <w:sz w:val="24"/>
          <w:szCs w:val="24"/>
        </w:rPr>
        <w:t xml:space="preserve">universities and colleges, K-12 </w:t>
      </w:r>
      <w:r w:rsidRPr="00E61585">
        <w:rPr>
          <w:rFonts w:ascii="Times New Roman" w:hAnsi="Times New Roman" w:cs="Times New Roman"/>
          <w:sz w:val="24"/>
          <w:szCs w:val="24"/>
        </w:rPr>
        <w:t xml:space="preserve">schools, hospitals, or government buildings. </w:t>
      </w:r>
    </w:p>
    <w:p w:rsidR="00E61585" w:rsidRPr="00E61585" w:rsidP="00E61585" w14:paraId="73B1FF2A" w14:textId="77777777">
      <w:pPr>
        <w:pStyle w:val="NoSpacing"/>
        <w:rPr>
          <w:rFonts w:ascii="Times New Roman" w:hAnsi="Times New Roman" w:cs="Times New Roman"/>
          <w:sz w:val="24"/>
          <w:szCs w:val="24"/>
        </w:rPr>
      </w:pPr>
    </w:p>
    <w:p w:rsidR="00E61585" w:rsidRPr="00E61585" w:rsidP="00E61585" w14:paraId="0E96EE3D" w14:textId="35F461F3">
      <w:pPr>
        <w:pStyle w:val="NoSpacing"/>
        <w:rPr>
          <w:rFonts w:ascii="Times New Roman" w:hAnsi="Times New Roman" w:cs="Times New Roman"/>
          <w:sz w:val="24"/>
          <w:szCs w:val="24"/>
        </w:rPr>
      </w:pPr>
      <w:r w:rsidRPr="00E61585">
        <w:rPr>
          <w:rFonts w:ascii="Times New Roman" w:hAnsi="Times New Roman" w:cs="Times New Roman"/>
          <w:sz w:val="24"/>
          <w:szCs w:val="24"/>
        </w:rPr>
        <w:t xml:space="preserve">The CSLLEA serves as </w:t>
      </w:r>
      <w:r w:rsidR="00075340">
        <w:rPr>
          <w:rFonts w:ascii="Times New Roman" w:hAnsi="Times New Roman" w:cs="Times New Roman"/>
          <w:sz w:val="24"/>
          <w:szCs w:val="24"/>
        </w:rPr>
        <w:t xml:space="preserve">one of </w:t>
      </w:r>
      <w:r w:rsidRPr="00E61585">
        <w:rPr>
          <w:rFonts w:ascii="Times New Roman" w:hAnsi="Times New Roman" w:cs="Times New Roman"/>
          <w:sz w:val="24"/>
          <w:szCs w:val="24"/>
        </w:rPr>
        <w:t>the core law enforcement collections at BJS. The primary purpose of the CSLLEA is to provide personnel counts and the functions of all law enforcement agencies in the U</w:t>
      </w:r>
      <w:r w:rsidR="0064781A">
        <w:rPr>
          <w:rFonts w:ascii="Times New Roman" w:hAnsi="Times New Roman" w:cs="Times New Roman"/>
          <w:sz w:val="24"/>
          <w:szCs w:val="24"/>
        </w:rPr>
        <w:t xml:space="preserve">nited </w:t>
      </w:r>
      <w:r w:rsidRPr="00E61585">
        <w:rPr>
          <w:rFonts w:ascii="Times New Roman" w:hAnsi="Times New Roman" w:cs="Times New Roman"/>
          <w:sz w:val="24"/>
          <w:szCs w:val="24"/>
        </w:rPr>
        <w:t>S</w:t>
      </w:r>
      <w:r w:rsidR="0064781A">
        <w:rPr>
          <w:rFonts w:ascii="Times New Roman" w:hAnsi="Times New Roman" w:cs="Times New Roman"/>
          <w:sz w:val="24"/>
          <w:szCs w:val="24"/>
        </w:rPr>
        <w:t>tates</w:t>
      </w:r>
      <w:r w:rsidR="00291885">
        <w:rPr>
          <w:rFonts w:ascii="Times New Roman" w:hAnsi="Times New Roman" w:cs="Times New Roman"/>
          <w:sz w:val="24"/>
          <w:szCs w:val="24"/>
        </w:rPr>
        <w:t xml:space="preserve">. </w:t>
      </w:r>
      <w:r w:rsidRPr="00E61585">
        <w:rPr>
          <w:rFonts w:ascii="Times New Roman" w:hAnsi="Times New Roman" w:cs="Times New Roman"/>
          <w:sz w:val="24"/>
          <w:szCs w:val="24"/>
        </w:rPr>
        <w:t>The CSLLEA is the only national data collection that provides personnel counts by full-time or part-time status</w:t>
      </w:r>
      <w:r w:rsidR="00684BAD">
        <w:rPr>
          <w:rFonts w:ascii="Times New Roman" w:hAnsi="Times New Roman" w:cs="Times New Roman"/>
          <w:sz w:val="24"/>
          <w:szCs w:val="24"/>
        </w:rPr>
        <w:t xml:space="preserve"> and</w:t>
      </w:r>
      <w:r w:rsidRPr="00E61585" w:rsidR="00684BAD">
        <w:rPr>
          <w:rFonts w:ascii="Times New Roman" w:hAnsi="Times New Roman" w:cs="Times New Roman"/>
          <w:sz w:val="24"/>
          <w:szCs w:val="24"/>
        </w:rPr>
        <w:t xml:space="preserve"> </w:t>
      </w:r>
      <w:r w:rsidRPr="00E61585">
        <w:rPr>
          <w:rFonts w:ascii="Times New Roman" w:hAnsi="Times New Roman" w:cs="Times New Roman"/>
          <w:sz w:val="24"/>
          <w:szCs w:val="24"/>
        </w:rPr>
        <w:t>sworn status</w:t>
      </w:r>
      <w:r w:rsidR="004829B7">
        <w:rPr>
          <w:rFonts w:ascii="Times New Roman" w:hAnsi="Times New Roman" w:cs="Times New Roman"/>
          <w:sz w:val="24"/>
          <w:szCs w:val="24"/>
        </w:rPr>
        <w:t xml:space="preserve"> for every law enforcement agency in the U</w:t>
      </w:r>
      <w:r w:rsidR="005B6288">
        <w:rPr>
          <w:rFonts w:ascii="Times New Roman" w:hAnsi="Times New Roman" w:cs="Times New Roman"/>
          <w:sz w:val="24"/>
          <w:szCs w:val="24"/>
        </w:rPr>
        <w:t xml:space="preserve">nited </w:t>
      </w:r>
      <w:r w:rsidR="004829B7">
        <w:rPr>
          <w:rFonts w:ascii="Times New Roman" w:hAnsi="Times New Roman" w:cs="Times New Roman"/>
          <w:sz w:val="24"/>
          <w:szCs w:val="24"/>
        </w:rPr>
        <w:t>S</w:t>
      </w:r>
      <w:r w:rsidR="005B6288">
        <w:rPr>
          <w:rFonts w:ascii="Times New Roman" w:hAnsi="Times New Roman" w:cs="Times New Roman"/>
          <w:sz w:val="24"/>
          <w:szCs w:val="24"/>
        </w:rPr>
        <w:t>tates</w:t>
      </w:r>
      <w:r w:rsidR="00684BAD">
        <w:rPr>
          <w:rFonts w:ascii="Times New Roman" w:hAnsi="Times New Roman" w:cs="Times New Roman"/>
          <w:sz w:val="24"/>
          <w:szCs w:val="24"/>
        </w:rPr>
        <w:t>.</w:t>
      </w:r>
      <w:r w:rsidRPr="00E61585">
        <w:rPr>
          <w:rFonts w:ascii="Times New Roman" w:hAnsi="Times New Roman" w:cs="Times New Roman"/>
          <w:sz w:val="24"/>
          <w:szCs w:val="24"/>
        </w:rPr>
        <w:t xml:space="preserve"> These data are frequently requested by practitioners, researchers</w:t>
      </w:r>
      <w:r w:rsidR="002027FF">
        <w:rPr>
          <w:rFonts w:ascii="Times New Roman" w:hAnsi="Times New Roman" w:cs="Times New Roman"/>
          <w:sz w:val="24"/>
          <w:szCs w:val="24"/>
        </w:rPr>
        <w:t>,</w:t>
      </w:r>
      <w:r w:rsidRPr="00E61585">
        <w:rPr>
          <w:rFonts w:ascii="Times New Roman" w:hAnsi="Times New Roman" w:cs="Times New Roman"/>
          <w:sz w:val="24"/>
          <w:szCs w:val="24"/>
        </w:rPr>
        <w:t xml:space="preserve"> and other stakeholders to compare similar law enforcement agencies and are also used in conjunction with other datasets such as the Federal Bureau of Investigation’s (FBI) Uniform Crime Reporting (UCR) Program and the Census Bureau’s American Community Survey.</w:t>
      </w:r>
    </w:p>
    <w:p w:rsidR="00E61585" w:rsidRPr="00E61585" w:rsidP="00E61585" w14:paraId="4F3E6277" w14:textId="77777777">
      <w:pPr>
        <w:pStyle w:val="NoSpacing"/>
        <w:rPr>
          <w:rFonts w:ascii="Times New Roman" w:hAnsi="Times New Roman" w:cs="Times New Roman"/>
          <w:sz w:val="24"/>
          <w:szCs w:val="24"/>
        </w:rPr>
      </w:pPr>
    </w:p>
    <w:p w:rsidR="00E61585" w:rsidP="00E61585" w14:paraId="6924D675" w14:textId="608CE6F3">
      <w:pPr>
        <w:pStyle w:val="NoSpacing"/>
        <w:rPr>
          <w:rFonts w:ascii="Times New Roman" w:hAnsi="Times New Roman" w:cs="Times New Roman"/>
          <w:sz w:val="24"/>
          <w:szCs w:val="24"/>
        </w:rPr>
      </w:pPr>
      <w:r w:rsidRPr="00E61585">
        <w:rPr>
          <w:rFonts w:ascii="Times New Roman" w:hAnsi="Times New Roman" w:cs="Times New Roman"/>
          <w:sz w:val="24"/>
          <w:szCs w:val="24"/>
        </w:rPr>
        <w:t>In addition to providing these key data, BJS also use</w:t>
      </w:r>
      <w:r w:rsidR="005D2745">
        <w:rPr>
          <w:rFonts w:ascii="Times New Roman" w:hAnsi="Times New Roman" w:cs="Times New Roman"/>
          <w:sz w:val="24"/>
          <w:szCs w:val="24"/>
        </w:rPr>
        <w:t>s</w:t>
      </w:r>
      <w:r w:rsidRPr="00E61585">
        <w:rPr>
          <w:rFonts w:ascii="Times New Roman" w:hAnsi="Times New Roman" w:cs="Times New Roman"/>
          <w:sz w:val="24"/>
          <w:szCs w:val="24"/>
        </w:rPr>
        <w:t xml:space="preserve"> the CSLLEA as a frame for its law enforcement surveys, including the Law Enforcement Management and Administrative Statistics (LEMAS) core (</w:t>
      </w:r>
      <w:r w:rsidRPr="00BC1A7C" w:rsidR="00BC1A7C">
        <w:rPr>
          <w:rFonts w:ascii="Times New Roman" w:hAnsi="Times New Roman" w:cs="Times New Roman"/>
          <w:sz w:val="24"/>
          <w:szCs w:val="24"/>
        </w:rPr>
        <w:t>OMB No.</w:t>
      </w:r>
      <w:r w:rsidR="00912C35">
        <w:rPr>
          <w:rFonts w:ascii="Times New Roman" w:hAnsi="Times New Roman" w:cs="Times New Roman"/>
          <w:sz w:val="24"/>
          <w:szCs w:val="24"/>
        </w:rPr>
        <w:t>1121-0240</w:t>
      </w:r>
      <w:r w:rsidRPr="00E61585">
        <w:rPr>
          <w:rFonts w:ascii="Times New Roman" w:hAnsi="Times New Roman" w:cs="Times New Roman"/>
          <w:sz w:val="24"/>
          <w:szCs w:val="24"/>
        </w:rPr>
        <w:t>) and supplements</w:t>
      </w:r>
      <w:r w:rsidR="009A023F">
        <w:rPr>
          <w:rFonts w:ascii="Times New Roman" w:hAnsi="Times New Roman" w:cs="Times New Roman"/>
          <w:sz w:val="24"/>
          <w:szCs w:val="24"/>
        </w:rPr>
        <w:t>, the Census of Law Enforcement Training Academies (CLETA</w:t>
      </w:r>
      <w:r w:rsidR="004C4FC9">
        <w:rPr>
          <w:rFonts w:ascii="Times New Roman" w:hAnsi="Times New Roman" w:cs="Times New Roman"/>
          <w:sz w:val="24"/>
          <w:szCs w:val="24"/>
        </w:rPr>
        <w:t>; OMB No. 1121-0255</w:t>
      </w:r>
      <w:r w:rsidR="009A023F">
        <w:rPr>
          <w:rFonts w:ascii="Times New Roman" w:hAnsi="Times New Roman" w:cs="Times New Roman"/>
          <w:sz w:val="24"/>
          <w:szCs w:val="24"/>
        </w:rPr>
        <w:t>), the Census of Publicly Funded Forensic Crime Laboratories (CPFFCL</w:t>
      </w:r>
      <w:r w:rsidR="00FA6DF7">
        <w:rPr>
          <w:rFonts w:ascii="Times New Roman" w:hAnsi="Times New Roman" w:cs="Times New Roman"/>
          <w:sz w:val="24"/>
          <w:szCs w:val="24"/>
        </w:rPr>
        <w:t xml:space="preserve">; </w:t>
      </w:r>
      <w:r w:rsidRPr="00FA6DF7" w:rsidR="00FA6DF7">
        <w:rPr>
          <w:rFonts w:ascii="Times New Roman" w:hAnsi="Times New Roman" w:cs="Times New Roman"/>
          <w:sz w:val="24"/>
          <w:szCs w:val="24"/>
        </w:rPr>
        <w:t>OMB No.1121-0269</w:t>
      </w:r>
      <w:r w:rsidR="009A023F">
        <w:rPr>
          <w:rFonts w:ascii="Times New Roman" w:hAnsi="Times New Roman" w:cs="Times New Roman"/>
          <w:sz w:val="24"/>
          <w:szCs w:val="24"/>
        </w:rPr>
        <w:t>), and the Census of Medical Examiner and Coroner Offices (CMEC</w:t>
      </w:r>
      <w:r w:rsidR="00CD1C2F">
        <w:rPr>
          <w:rFonts w:ascii="Times New Roman" w:hAnsi="Times New Roman" w:cs="Times New Roman"/>
          <w:sz w:val="24"/>
          <w:szCs w:val="24"/>
        </w:rPr>
        <w:t>; OMB No. 1121-0296</w:t>
      </w:r>
      <w:r w:rsidR="009A023F">
        <w:rPr>
          <w:rFonts w:ascii="Times New Roman" w:hAnsi="Times New Roman" w:cs="Times New Roman"/>
          <w:sz w:val="24"/>
          <w:szCs w:val="24"/>
        </w:rPr>
        <w:t>)</w:t>
      </w:r>
      <w:r w:rsidRPr="00E61585">
        <w:rPr>
          <w:rFonts w:ascii="Times New Roman" w:hAnsi="Times New Roman" w:cs="Times New Roman"/>
          <w:sz w:val="24"/>
          <w:szCs w:val="24"/>
        </w:rPr>
        <w:t>. The data captured on the CSLLEA instrument serve to inform which agencies may or may not be included in other surveys. For example, only general</w:t>
      </w:r>
      <w:r w:rsidR="00E340C2">
        <w:rPr>
          <w:rFonts w:ascii="Times New Roman" w:hAnsi="Times New Roman" w:cs="Times New Roman"/>
          <w:sz w:val="24"/>
          <w:szCs w:val="24"/>
        </w:rPr>
        <w:t>-</w:t>
      </w:r>
      <w:r w:rsidRPr="00E61585">
        <w:rPr>
          <w:rFonts w:ascii="Times New Roman" w:hAnsi="Times New Roman" w:cs="Times New Roman"/>
          <w:sz w:val="24"/>
          <w:szCs w:val="24"/>
        </w:rPr>
        <w:t xml:space="preserve">purpose agencies are on the frame for LEMAS surveys. </w:t>
      </w:r>
      <w:r w:rsidR="00C90072">
        <w:rPr>
          <w:rFonts w:ascii="Times New Roman" w:hAnsi="Times New Roman" w:cs="Times New Roman"/>
          <w:sz w:val="24"/>
          <w:szCs w:val="24"/>
        </w:rPr>
        <w:t xml:space="preserve">CSLLEA collects data on functions performed by agencies, </w:t>
      </w:r>
      <w:r w:rsidR="00F03F5D">
        <w:rPr>
          <w:rFonts w:ascii="Times New Roman" w:hAnsi="Times New Roman" w:cs="Times New Roman"/>
          <w:sz w:val="24"/>
          <w:szCs w:val="24"/>
        </w:rPr>
        <w:t xml:space="preserve">such as operating a training academy and operating a forensic crime lab. </w:t>
      </w:r>
      <w:r w:rsidR="001A319C">
        <w:rPr>
          <w:rFonts w:ascii="Times New Roman" w:hAnsi="Times New Roman" w:cs="Times New Roman"/>
          <w:sz w:val="24"/>
          <w:szCs w:val="24"/>
        </w:rPr>
        <w:t>These data</w:t>
      </w:r>
      <w:r w:rsidR="003267BC">
        <w:rPr>
          <w:rFonts w:ascii="Times New Roman" w:hAnsi="Times New Roman" w:cs="Times New Roman"/>
          <w:sz w:val="24"/>
          <w:szCs w:val="24"/>
        </w:rPr>
        <w:t xml:space="preserve"> </w:t>
      </w:r>
      <w:r w:rsidR="00276C6A">
        <w:rPr>
          <w:rFonts w:ascii="Times New Roman" w:hAnsi="Times New Roman" w:cs="Times New Roman"/>
          <w:sz w:val="24"/>
          <w:szCs w:val="24"/>
        </w:rPr>
        <w:t xml:space="preserve">assist in identifying agencies to be included in CLETA, CPFFCL, and CMEC. </w:t>
      </w:r>
      <w:r w:rsidRPr="00E61585">
        <w:rPr>
          <w:rFonts w:ascii="Times New Roman" w:hAnsi="Times New Roman" w:cs="Times New Roman"/>
          <w:sz w:val="24"/>
          <w:szCs w:val="24"/>
        </w:rPr>
        <w:t xml:space="preserve">Using CSLLEA as a frame for </w:t>
      </w:r>
      <w:r w:rsidR="00825955">
        <w:rPr>
          <w:rFonts w:ascii="Times New Roman" w:hAnsi="Times New Roman" w:cs="Times New Roman"/>
          <w:sz w:val="24"/>
          <w:szCs w:val="24"/>
        </w:rPr>
        <w:t>these</w:t>
      </w:r>
      <w:r w:rsidRPr="00E61585">
        <w:rPr>
          <w:rFonts w:ascii="Times New Roman" w:hAnsi="Times New Roman" w:cs="Times New Roman"/>
          <w:sz w:val="24"/>
          <w:szCs w:val="24"/>
        </w:rPr>
        <w:t xml:space="preserve"> other surveys means BJS does not have to burden agencies later to determine if they are in scope.</w:t>
      </w:r>
    </w:p>
    <w:p w:rsidR="004943FE" w:rsidP="00E61585" w14:paraId="136C4ED8" w14:textId="77777777">
      <w:pPr>
        <w:pStyle w:val="NoSpacing"/>
        <w:rPr>
          <w:rFonts w:ascii="Times New Roman" w:hAnsi="Times New Roman" w:cs="Times New Roman"/>
          <w:sz w:val="24"/>
          <w:szCs w:val="24"/>
        </w:rPr>
      </w:pPr>
    </w:p>
    <w:p w:rsidR="004943FE" w:rsidP="005548FA" w14:paraId="02711013" w14:textId="6A571B42">
      <w:pPr>
        <w:pStyle w:val="Heading2"/>
        <w:spacing w:before="0"/>
        <w:rPr>
          <w:rFonts w:ascii="Times New Roman" w:hAnsi="Times New Roman" w:eastAsiaTheme="minorHAnsi" w:cs="Times New Roman"/>
          <w:color w:val="auto"/>
          <w:sz w:val="24"/>
          <w:szCs w:val="24"/>
        </w:rPr>
      </w:pPr>
      <w:r w:rsidRPr="004943FE">
        <w:rPr>
          <w:rFonts w:ascii="Times New Roman" w:hAnsi="Times New Roman" w:eastAsiaTheme="minorHAnsi" w:cs="Times New Roman"/>
          <w:color w:val="auto"/>
          <w:sz w:val="24"/>
          <w:szCs w:val="24"/>
        </w:rPr>
        <w:t xml:space="preserve">In 2023, BJS selected and funded RTI International (RTI) to act as the data collection agent for the Law Enforcement Core Statistics (LECS) program, to include the 2026 CSLLEA (Federal Award Number 15PBJS-22-GK-00267-MUMU). RTI has successfully conducted multiple BJS surveys, including the 2024 LEMAS, the 2022 CSLLEA, </w:t>
      </w:r>
      <w:r w:rsidR="00457A77">
        <w:rPr>
          <w:rFonts w:ascii="Times New Roman" w:hAnsi="Times New Roman" w:eastAsiaTheme="minorHAnsi" w:cs="Times New Roman"/>
          <w:color w:val="auto"/>
          <w:sz w:val="24"/>
          <w:szCs w:val="24"/>
        </w:rPr>
        <w:t xml:space="preserve">the </w:t>
      </w:r>
      <w:r w:rsidRPr="004943FE">
        <w:rPr>
          <w:rFonts w:ascii="Times New Roman" w:hAnsi="Times New Roman" w:eastAsiaTheme="minorHAnsi" w:cs="Times New Roman"/>
          <w:color w:val="auto"/>
          <w:sz w:val="24"/>
          <w:szCs w:val="24"/>
        </w:rPr>
        <w:t>2023 LEMAS Post-Academy Training and Officer Wellness supplement survey, the 2020 LEMAS, and the 2018 CSLLEA. RTI also has extensive experience managing large scale federal projects, including managing the LECS program since 2015.</w:t>
      </w:r>
    </w:p>
    <w:p w:rsidR="005548FA" w:rsidRPr="005548FA" w:rsidP="005548FA" w14:paraId="200D2C5A" w14:textId="77777777">
      <w:pPr>
        <w:rPr>
          <w:rFonts w:eastAsiaTheme="minorHAnsi"/>
        </w:rPr>
      </w:pPr>
    </w:p>
    <w:p w:rsidR="00C563B0" w:rsidP="00C563B0" w14:paraId="4A53335A" w14:textId="78C47B81">
      <w:pPr>
        <w:pStyle w:val="NoSpacing"/>
        <w:rPr>
          <w:rFonts w:ascii="Times New Roman" w:hAnsi="Times New Roman" w:cs="Times New Roman"/>
          <w:sz w:val="24"/>
          <w:szCs w:val="24"/>
        </w:rPr>
      </w:pPr>
      <w:r w:rsidRPr="00CE3DC3">
        <w:rPr>
          <w:rFonts w:ascii="Times New Roman" w:hAnsi="Times New Roman" w:cs="Times New Roman"/>
          <w:sz w:val="24"/>
          <w:szCs w:val="24"/>
        </w:rPr>
        <w:t xml:space="preserve">The </w:t>
      </w:r>
      <w:r>
        <w:rPr>
          <w:rFonts w:ascii="Times New Roman" w:hAnsi="Times New Roman" w:cs="Times New Roman"/>
          <w:sz w:val="24"/>
          <w:szCs w:val="24"/>
        </w:rPr>
        <w:t>2026</w:t>
      </w:r>
      <w:r w:rsidRPr="00CE3DC3">
        <w:rPr>
          <w:rFonts w:ascii="Times New Roman" w:hAnsi="Times New Roman" w:cs="Times New Roman"/>
          <w:sz w:val="24"/>
          <w:szCs w:val="24"/>
        </w:rPr>
        <w:t xml:space="preserve"> CSLLEA is designed to collect general information on state, county</w:t>
      </w:r>
      <w:r>
        <w:rPr>
          <w:rFonts w:ascii="Times New Roman" w:hAnsi="Times New Roman" w:cs="Times New Roman"/>
          <w:sz w:val="24"/>
          <w:szCs w:val="24"/>
        </w:rPr>
        <w:t>,</w:t>
      </w:r>
      <w:r w:rsidRPr="00CE3DC3">
        <w:rPr>
          <w:rFonts w:ascii="Times New Roman" w:hAnsi="Times New Roman" w:cs="Times New Roman"/>
          <w:sz w:val="24"/>
          <w:szCs w:val="24"/>
        </w:rPr>
        <w:t xml:space="preserve"> and local law enforcement </w:t>
      </w:r>
      <w:r w:rsidRPr="00245C88">
        <w:rPr>
          <w:rFonts w:ascii="Times New Roman" w:hAnsi="Times New Roman" w:cs="Times New Roman"/>
          <w:sz w:val="24"/>
          <w:szCs w:val="24"/>
        </w:rPr>
        <w:t>agencies</w:t>
      </w:r>
      <w:r>
        <w:rPr>
          <w:rFonts w:ascii="Times New Roman" w:hAnsi="Times New Roman" w:cs="Times New Roman"/>
          <w:sz w:val="24"/>
          <w:szCs w:val="24"/>
        </w:rPr>
        <w:t xml:space="preserve"> and produce national-level estimates about the organization and characteristics of these </w:t>
      </w:r>
      <w:r w:rsidRPr="00E37F25">
        <w:rPr>
          <w:rFonts w:ascii="Times New Roman" w:hAnsi="Times New Roman" w:cs="Times New Roman"/>
          <w:sz w:val="24"/>
          <w:szCs w:val="24"/>
        </w:rPr>
        <w:t>agencies. The survey asks about the level of government that operates the agency, total operating budget, personnel counts, and the functions the agency performs on a regular or primary basis.</w:t>
      </w:r>
      <w:r>
        <w:rPr>
          <w:rFonts w:ascii="Times New Roman" w:hAnsi="Times New Roman" w:cs="Times New Roman"/>
          <w:sz w:val="24"/>
          <w:szCs w:val="24"/>
        </w:rPr>
        <w:t xml:space="preserve"> </w:t>
      </w:r>
      <w:r w:rsidRPr="00777512">
        <w:rPr>
          <w:rFonts w:ascii="Times New Roman" w:hAnsi="Times New Roman" w:cs="Times New Roman"/>
          <w:sz w:val="24"/>
          <w:szCs w:val="24"/>
        </w:rPr>
        <w:t xml:space="preserve">The proposed survey seeks to meet the needs of the law enforcement community, while maintaining the ability to trend over time with the previous </w:t>
      </w:r>
      <w:r w:rsidRPr="00291885">
        <w:rPr>
          <w:rFonts w:ascii="Times New Roman" w:hAnsi="Times New Roman" w:cs="Times New Roman"/>
          <w:sz w:val="24"/>
          <w:szCs w:val="24"/>
        </w:rPr>
        <w:t>CSLLEA</w:t>
      </w:r>
      <w:r w:rsidRPr="00777512">
        <w:rPr>
          <w:rFonts w:ascii="Times New Roman" w:hAnsi="Times New Roman" w:cs="Times New Roman"/>
          <w:sz w:val="24"/>
          <w:szCs w:val="24"/>
        </w:rPr>
        <w:t xml:space="preserve"> waves.</w:t>
      </w:r>
    </w:p>
    <w:p w:rsidR="005132AD" w:rsidP="00CA78D2" w14:paraId="623E345E" w14:textId="77777777">
      <w:pPr>
        <w:rPr>
          <w:rFonts w:eastAsiaTheme="minorEastAsia"/>
        </w:rPr>
      </w:pPr>
    </w:p>
    <w:p w:rsidR="00370160" w:rsidP="005132AD" w14:paraId="0B31BF6B" w14:textId="436CF375">
      <w:r>
        <w:t xml:space="preserve">The 2026 CSLLEA will be </w:t>
      </w:r>
      <w:r>
        <w:t>similar to</w:t>
      </w:r>
      <w:r>
        <w:t xml:space="preserve"> the approved</w:t>
      </w:r>
      <w:r w:rsidRPr="00AB16BC">
        <w:t xml:space="preserve"> </w:t>
      </w:r>
      <w:r>
        <w:t>2022 CSLLEA</w:t>
      </w:r>
      <w:r w:rsidRPr="00AB16BC">
        <w:t xml:space="preserve"> </w:t>
      </w:r>
      <w:r>
        <w:t xml:space="preserve">data collection, which used BJS’s Law Enforcement Agency Roster (LEAR) as the frame. The LEAR maintains information on all </w:t>
      </w:r>
      <w:r w:rsidR="000F0A24">
        <w:t xml:space="preserve">law enforcement agencies </w:t>
      </w:r>
      <w:r>
        <w:t>known to BJS and includes approximately 22,000 general-purpose and special purpose agencies as a frame</w:t>
      </w:r>
      <w:r w:rsidRPr="00AB16BC">
        <w:t xml:space="preserve">. </w:t>
      </w:r>
      <w:r>
        <w:t xml:space="preserve">The LEAR has been used as the frame for law enforcement establishment surveys since the 2016 LEMAS. </w:t>
      </w:r>
    </w:p>
    <w:p w:rsidR="00370160" w:rsidP="005132AD" w14:paraId="314F07E8" w14:textId="77777777"/>
    <w:p w:rsidR="00A4769B" w:rsidP="005132AD" w14:paraId="23EC5092" w14:textId="7D29CF1F">
      <w:r>
        <w:t>There are three main changes proposed for the 2026 CSLLEA: 1) expanding the frame to include campus law enforcement agencies serving private institutions, 2)</w:t>
      </w:r>
      <w:r w:rsidR="00FE7191">
        <w:t xml:space="preserve"> a</w:t>
      </w:r>
      <w:r w:rsidR="00541684">
        <w:t xml:space="preserve">sking agencies if they perform three additional functions, and </w:t>
      </w:r>
      <w:r w:rsidR="005C7FE5">
        <w:t xml:space="preserve">3) reformatting the instrument to improve </w:t>
      </w:r>
      <w:r>
        <w:t>readability and clarity.</w:t>
      </w:r>
    </w:p>
    <w:p w:rsidR="00370160" w:rsidP="005132AD" w14:paraId="3398A284" w14:textId="4DD5F387">
      <w:r>
        <w:t xml:space="preserve"> </w:t>
      </w:r>
      <w:r>
        <w:t xml:space="preserve"> </w:t>
      </w:r>
    </w:p>
    <w:p w:rsidR="005132AD" w:rsidP="005132AD" w14:paraId="52DD94E2" w14:textId="5B6E81D1">
      <w:r>
        <w:t xml:space="preserve">Historically, the CSLLEA data collection has been limited to publicly funded agencies. For the 2026 CSLLEA, BJS proposes to expand the CSLLEA frame to include campus law enforcement agencies at private universities. BJS has periodically surveyed campus law enforcement agencies at public and private institutions through the Survey of Campus Law Enforcement Agencies (SCLEA, </w:t>
      </w:r>
      <w:r w:rsidRPr="00793C3D">
        <w:t>OMB No.</w:t>
      </w:r>
      <w:r w:rsidRPr="00793C3D">
        <w:t xml:space="preserve"> </w:t>
      </w:r>
      <w:r>
        <w:t xml:space="preserve">1121-0334), most recently covering the 2021-2022 academic year. </w:t>
      </w:r>
      <w:r w:rsidR="00D61051">
        <w:t xml:space="preserve">BJS </w:t>
      </w:r>
      <w:r w:rsidR="004A7002">
        <w:t xml:space="preserve">had been </w:t>
      </w:r>
      <w:r w:rsidR="00E2117C">
        <w:t>considering</w:t>
      </w:r>
      <w:r w:rsidR="004A7002">
        <w:t xml:space="preserve"> </w:t>
      </w:r>
      <w:r w:rsidR="00064E84">
        <w:t>implementing a 5-year interval</w:t>
      </w:r>
      <w:r w:rsidR="00955C49">
        <w:t xml:space="preserve"> for </w:t>
      </w:r>
      <w:r w:rsidR="0021112B">
        <w:t>SCLEA</w:t>
      </w:r>
      <w:r w:rsidR="00D71311">
        <w:t>. However</w:t>
      </w:r>
      <w:r w:rsidR="00893CFF">
        <w:t xml:space="preserve">, </w:t>
      </w:r>
      <w:r w:rsidR="00517AE0">
        <w:t>based on the clos</w:t>
      </w:r>
      <w:r w:rsidR="00115C73">
        <w:t>e</w:t>
      </w:r>
      <w:r w:rsidR="00517AE0">
        <w:t>ness in timing with the 2026 CSLLEA</w:t>
      </w:r>
      <w:r w:rsidR="00115C73">
        <w:t xml:space="preserve"> and s</w:t>
      </w:r>
      <w:r>
        <w:t xml:space="preserve">ince campus law enforcement agencies at public institutions are regularly included in the CSLLEA, BJS recognized an opportunity for reduced costs and </w:t>
      </w:r>
      <w:r>
        <w:t xml:space="preserve">respondent burden by adding agencies serving private institutions to the </w:t>
      </w:r>
      <w:r w:rsidR="008B5D0B">
        <w:t xml:space="preserve">2026 </w:t>
      </w:r>
      <w:r>
        <w:t xml:space="preserve">CSLLEA data collection compared to administering both the </w:t>
      </w:r>
      <w:r w:rsidR="00CE0DD8">
        <w:t xml:space="preserve">2026 </w:t>
      </w:r>
      <w:r>
        <w:t xml:space="preserve">CSLLEA and </w:t>
      </w:r>
      <w:r w:rsidR="00CE0DD8">
        <w:t xml:space="preserve">then </w:t>
      </w:r>
      <w:r>
        <w:t>SCLEA</w:t>
      </w:r>
      <w:r w:rsidR="00CE0DD8">
        <w:t xml:space="preserve"> </w:t>
      </w:r>
      <w:r w:rsidR="00A77C0A">
        <w:t>shortly thereafter</w:t>
      </w:r>
      <w:r>
        <w:t xml:space="preserve">. </w:t>
      </w:r>
      <w:r w:rsidRPr="00AB16BC">
        <w:t xml:space="preserve">BJS plans to field the </w:t>
      </w:r>
      <w:r>
        <w:t>2026 CSLLEA</w:t>
      </w:r>
      <w:r w:rsidRPr="00AB16BC">
        <w:t xml:space="preserve"> survey </w:t>
      </w:r>
      <w:r w:rsidRPr="000578A0">
        <w:t>from November 2026 to August 2027</w:t>
      </w:r>
      <w:r w:rsidRPr="00AB16BC">
        <w:t>.</w:t>
      </w:r>
    </w:p>
    <w:p w:rsidR="005132AD" w:rsidP="00CA78D2" w14:paraId="05DE6E16" w14:textId="77777777">
      <w:pPr>
        <w:rPr>
          <w:rFonts w:eastAsiaTheme="minorEastAsia"/>
        </w:rPr>
      </w:pPr>
    </w:p>
    <w:p w:rsidR="00CA78D2" w:rsidP="00CA78D2" w14:paraId="3AE8879B" w14:textId="7904049B">
      <w:pPr>
        <w:rPr>
          <w:rFonts w:eastAsiaTheme="minorEastAsia"/>
        </w:rPr>
      </w:pPr>
      <w:r w:rsidRPr="00CA78D2">
        <w:rPr>
          <w:rFonts w:eastAsiaTheme="minorEastAsia"/>
        </w:rPr>
        <w:t xml:space="preserve">The 2026 CSLLEA </w:t>
      </w:r>
      <w:r w:rsidR="008647A0">
        <w:rPr>
          <w:rFonts w:eastAsiaTheme="minorEastAsia"/>
        </w:rPr>
        <w:t xml:space="preserve">instrument </w:t>
      </w:r>
      <w:r w:rsidR="00653638">
        <w:rPr>
          <w:rFonts w:eastAsiaTheme="minorEastAsia"/>
        </w:rPr>
        <w:t>(</w:t>
      </w:r>
      <w:r w:rsidR="00653638">
        <w:rPr>
          <w:rFonts w:eastAsiaTheme="minorEastAsia"/>
          <w:b/>
          <w:bCs/>
        </w:rPr>
        <w:t xml:space="preserve">Attachment </w:t>
      </w:r>
      <w:r w:rsidR="0033264B">
        <w:rPr>
          <w:rFonts w:eastAsiaTheme="minorEastAsia"/>
          <w:b/>
          <w:bCs/>
        </w:rPr>
        <w:t>A</w:t>
      </w:r>
      <w:r w:rsidR="00653638">
        <w:rPr>
          <w:rFonts w:eastAsiaTheme="minorEastAsia"/>
          <w:b/>
          <w:bCs/>
        </w:rPr>
        <w:t xml:space="preserve">) </w:t>
      </w:r>
      <w:r w:rsidRPr="00CA78D2">
        <w:rPr>
          <w:rFonts w:eastAsiaTheme="minorEastAsia"/>
        </w:rPr>
        <w:t xml:space="preserve">is almost identical in content to </w:t>
      </w:r>
      <w:r w:rsidR="003072CA">
        <w:rPr>
          <w:rFonts w:eastAsiaTheme="minorEastAsia"/>
        </w:rPr>
        <w:t xml:space="preserve">the </w:t>
      </w:r>
      <w:r w:rsidR="008A6DD0">
        <w:rPr>
          <w:rFonts w:eastAsiaTheme="minorEastAsia"/>
        </w:rPr>
        <w:t xml:space="preserve">one used for </w:t>
      </w:r>
      <w:r w:rsidRPr="00CA78D2">
        <w:rPr>
          <w:rFonts w:eastAsiaTheme="minorEastAsia"/>
        </w:rPr>
        <w:t xml:space="preserve">the 2022 CSLLEA. There are </w:t>
      </w:r>
      <w:r w:rsidRPr="00CA78D2">
        <w:rPr>
          <w:rFonts w:eastAsiaTheme="minorEastAsia"/>
        </w:rPr>
        <w:t>three</w:t>
      </w:r>
      <w:r w:rsidRPr="00CA78D2">
        <w:rPr>
          <w:rFonts w:eastAsiaTheme="minorEastAsia"/>
        </w:rPr>
        <w:t xml:space="preserve"> new yes/no questions</w:t>
      </w:r>
      <w:r w:rsidRPr="00CA78D2">
        <w:rPr>
          <w:rFonts w:eastAsiaTheme="minorEastAsia"/>
        </w:rPr>
        <w:t xml:space="preserve"> about agency functions. These new items ask agencies if they perform the following functions on a regular basis or have primary responsibility for performing them when needed:</w:t>
      </w:r>
    </w:p>
    <w:p w:rsidR="00CA78D2" w:rsidRPr="00CA78D2" w:rsidP="00CA78D2" w14:paraId="3A683C5C" w14:textId="76690F18">
      <w:pPr>
        <w:pStyle w:val="ListParagraph"/>
        <w:numPr>
          <w:ilvl w:val="0"/>
          <w:numId w:val="40"/>
        </w:numPr>
        <w:rPr>
          <w:rFonts w:eastAsiaTheme="minorEastAsia"/>
        </w:rPr>
      </w:pPr>
      <w:r w:rsidRPr="00CA78D2">
        <w:rPr>
          <w:rFonts w:eastAsiaTheme="minorEastAsia"/>
        </w:rPr>
        <w:t>Executing search warrants</w:t>
      </w:r>
    </w:p>
    <w:p w:rsidR="00CA78D2" w:rsidRPr="00CA78D2" w:rsidP="00CA78D2" w14:paraId="1FF0CA43" w14:textId="34B48745">
      <w:pPr>
        <w:pStyle w:val="ListParagraph"/>
        <w:numPr>
          <w:ilvl w:val="0"/>
          <w:numId w:val="40"/>
        </w:numPr>
        <w:rPr>
          <w:rFonts w:eastAsiaTheme="minorEastAsia"/>
        </w:rPr>
      </w:pPr>
      <w:r w:rsidRPr="00CA78D2">
        <w:rPr>
          <w:rFonts w:eastAsiaTheme="minorEastAsia"/>
        </w:rPr>
        <w:t>Real-time crime centers</w:t>
      </w:r>
    </w:p>
    <w:p w:rsidR="00CA78D2" w:rsidP="00CA78D2" w14:paraId="0D0DB197" w14:textId="6162A214">
      <w:pPr>
        <w:pStyle w:val="ListParagraph"/>
        <w:numPr>
          <w:ilvl w:val="0"/>
          <w:numId w:val="40"/>
        </w:numPr>
        <w:rPr>
          <w:rFonts w:eastAsiaTheme="minorEastAsia"/>
        </w:rPr>
      </w:pPr>
      <w:r w:rsidRPr="00CA78D2">
        <w:rPr>
          <w:rFonts w:eastAsiaTheme="minorEastAsia"/>
        </w:rPr>
        <w:t>Unmanned aerial systems (drones)</w:t>
      </w:r>
    </w:p>
    <w:p w:rsidR="00CA78D2" w:rsidRPr="00CA78D2" w:rsidP="00291885" w14:paraId="21798159" w14:textId="77777777">
      <w:pPr>
        <w:pStyle w:val="ListParagraph"/>
        <w:rPr>
          <w:rFonts w:eastAsiaTheme="minorEastAsia"/>
        </w:rPr>
      </w:pPr>
    </w:p>
    <w:p w:rsidR="00291885" w:rsidRPr="000578A0" w:rsidP="000578A0" w14:paraId="3D42B20E" w14:textId="106FEE26">
      <w:pPr>
        <w:rPr>
          <w:rFonts w:eastAsiaTheme="minorEastAsia"/>
        </w:rPr>
      </w:pPr>
      <w:r>
        <w:rPr>
          <w:rFonts w:eastAsiaTheme="minorEastAsia"/>
        </w:rPr>
        <w:t xml:space="preserve">The 2026 instrument has been reformatted significantly to improve </w:t>
      </w:r>
      <w:r w:rsidR="007E1985">
        <w:rPr>
          <w:rFonts w:eastAsiaTheme="minorEastAsia"/>
        </w:rPr>
        <w:t xml:space="preserve">readability and clarify routing through the instrument. The number of items on the survey has increased </w:t>
      </w:r>
      <w:r>
        <w:rPr>
          <w:rFonts w:eastAsiaTheme="minorEastAsia"/>
        </w:rPr>
        <w:t xml:space="preserve">from 8 to 17 </w:t>
      </w:r>
      <w:r w:rsidR="007E1985">
        <w:rPr>
          <w:rFonts w:eastAsiaTheme="minorEastAsia"/>
        </w:rPr>
        <w:t>as part of this reformatting. Items that were previously considered pre-survey items (contact information and the eligibility screener) are now numbered items on the instrument.</w:t>
      </w:r>
      <w:r w:rsidR="00243F26">
        <w:rPr>
          <w:rFonts w:eastAsiaTheme="minorEastAsia"/>
        </w:rPr>
        <w:t xml:space="preserve"> Additionally, some </w:t>
      </w:r>
      <w:r w:rsidR="007D7F5C">
        <w:rPr>
          <w:rFonts w:eastAsiaTheme="minorEastAsia"/>
        </w:rPr>
        <w:t>sub-items</w:t>
      </w:r>
      <w:r w:rsidR="00243F26">
        <w:rPr>
          <w:rFonts w:eastAsiaTheme="minorEastAsia"/>
        </w:rPr>
        <w:t xml:space="preserve"> from the 2022 CSLLEA were split</w:t>
      </w:r>
      <w:r w:rsidR="007D7F5C">
        <w:rPr>
          <w:rFonts w:eastAsiaTheme="minorEastAsia"/>
        </w:rPr>
        <w:t xml:space="preserve"> into their own items to improve the flow and readability of the instrument.</w:t>
      </w:r>
    </w:p>
    <w:p w:rsidR="00251CFB" w:rsidRPr="00AB16BC" w:rsidP="00291885" w14:paraId="2D493D95" w14:textId="77777777"/>
    <w:p w:rsidR="00291885" w:rsidRPr="00245C88" w:rsidP="00291885" w14:paraId="4DF88EC2" w14:textId="429316C8">
      <w:pPr>
        <w:pStyle w:val="NoSpacing"/>
        <w:rPr>
          <w:rFonts w:ascii="Times New Roman" w:hAnsi="Times New Roman" w:cs="Times New Roman"/>
          <w:sz w:val="24"/>
          <w:szCs w:val="24"/>
        </w:rPr>
      </w:pPr>
      <w:r w:rsidRPr="006A2AA5">
        <w:rPr>
          <w:rFonts w:ascii="Times New Roman" w:hAnsi="Times New Roman" w:cs="Times New Roman"/>
          <w:sz w:val="24"/>
          <w:szCs w:val="24"/>
        </w:rPr>
        <w:t xml:space="preserve">BJS will use web-based data collection in the </w:t>
      </w:r>
      <w:r w:rsidR="00251CFB">
        <w:rPr>
          <w:rFonts w:ascii="Times New Roman" w:hAnsi="Times New Roman" w:cs="Times New Roman"/>
          <w:sz w:val="24"/>
          <w:szCs w:val="24"/>
        </w:rPr>
        <w:t>2026 CSLLEA</w:t>
      </w:r>
      <w:r w:rsidRPr="006A2AA5">
        <w:rPr>
          <w:rFonts w:ascii="Times New Roman" w:hAnsi="Times New Roman" w:cs="Times New Roman"/>
          <w:sz w:val="24"/>
          <w:szCs w:val="24"/>
        </w:rPr>
        <w:t xml:space="preserve"> to promote high response rates, rapid data collection, and simplified data verification and report preparation. The survey administration will use best practices in survey data collection technology to establish shorter cycles for future surveys of </w:t>
      </w:r>
      <w:r w:rsidR="00E10167">
        <w:rPr>
          <w:rFonts w:ascii="Times New Roman" w:hAnsi="Times New Roman" w:cs="Times New Roman"/>
          <w:sz w:val="24"/>
          <w:szCs w:val="24"/>
        </w:rPr>
        <w:t>law enforcement agencies</w:t>
      </w:r>
      <w:r w:rsidRPr="006A2AA5" w:rsidR="00E10167">
        <w:rPr>
          <w:rFonts w:ascii="Times New Roman" w:hAnsi="Times New Roman" w:cs="Times New Roman"/>
          <w:sz w:val="24"/>
          <w:szCs w:val="24"/>
        </w:rPr>
        <w:t xml:space="preserve"> </w:t>
      </w:r>
      <w:r w:rsidRPr="006A2AA5">
        <w:rPr>
          <w:rFonts w:ascii="Times New Roman" w:hAnsi="Times New Roman" w:cs="Times New Roman"/>
          <w:sz w:val="24"/>
          <w:szCs w:val="24"/>
        </w:rPr>
        <w:t xml:space="preserve">(e.g., </w:t>
      </w:r>
      <w:r w:rsidR="00251CFB">
        <w:rPr>
          <w:rFonts w:ascii="Times New Roman" w:hAnsi="Times New Roman" w:cs="Times New Roman"/>
          <w:sz w:val="24"/>
          <w:szCs w:val="24"/>
        </w:rPr>
        <w:t xml:space="preserve">LEMAS, </w:t>
      </w:r>
      <w:r w:rsidRPr="006A2AA5">
        <w:rPr>
          <w:rFonts w:ascii="Times New Roman" w:hAnsi="Times New Roman" w:cs="Times New Roman"/>
          <w:sz w:val="24"/>
          <w:szCs w:val="24"/>
        </w:rPr>
        <w:t xml:space="preserve">LEMAS supplemental surveys). RTI will collect various </w:t>
      </w:r>
      <w:r w:rsidRPr="006A2AA5">
        <w:rPr>
          <w:rFonts w:ascii="Times New Roman" w:hAnsi="Times New Roman" w:cs="Times New Roman"/>
          <w:sz w:val="24"/>
          <w:szCs w:val="24"/>
        </w:rPr>
        <w:t>paradata</w:t>
      </w:r>
      <w:r w:rsidRPr="006A2AA5">
        <w:rPr>
          <w:rFonts w:ascii="Times New Roman" w:hAnsi="Times New Roman" w:cs="Times New Roman"/>
          <w:sz w:val="24"/>
          <w:szCs w:val="24"/>
        </w:rPr>
        <w:t xml:space="preserve"> (e.g., respondent response mode, time required to answer each question, total time for survey completion, the time interval between respondent access to the survey and completion of the survey, etc.) that will allow BJS to evaluate the impact of promoting online data collection. This information will also enable BJS to develop strategies to encourage greater online data collection for future </w:t>
      </w:r>
      <w:r w:rsidR="00251CFB">
        <w:rPr>
          <w:rFonts w:ascii="Times New Roman" w:hAnsi="Times New Roman" w:cs="Times New Roman"/>
          <w:sz w:val="24"/>
          <w:szCs w:val="24"/>
        </w:rPr>
        <w:t>CSLLEA</w:t>
      </w:r>
      <w:r w:rsidRPr="006A2AA5">
        <w:rPr>
          <w:rFonts w:ascii="Times New Roman" w:hAnsi="Times New Roman" w:cs="Times New Roman"/>
          <w:sz w:val="24"/>
          <w:szCs w:val="24"/>
        </w:rPr>
        <w:t xml:space="preserve"> surveys.</w:t>
      </w:r>
    </w:p>
    <w:p w:rsidR="007978DB" w:rsidRPr="00211B24" w:rsidP="00211B24" w14:paraId="2ECE214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11B24" w:rsidRPr="00211B24" w:rsidP="00211B24" w14:paraId="2D299E63" w14:textId="77777777">
      <w:pPr>
        <w:pStyle w:val="Heading2"/>
        <w:spacing w:before="0" w:after="120"/>
        <w:rPr>
          <w:rFonts w:ascii="Times New Roman" w:eastAsia="Times New Roman" w:hAnsi="Times New Roman" w:cs="Times New Roman"/>
          <w:b/>
          <w:color w:val="auto"/>
          <w:sz w:val="24"/>
          <w:szCs w:val="24"/>
        </w:rPr>
      </w:pPr>
      <w:r w:rsidRPr="00211B24">
        <w:rPr>
          <w:rFonts w:ascii="Times New Roman" w:eastAsia="Times New Roman" w:hAnsi="Times New Roman" w:cs="Times New Roman"/>
          <w:b/>
          <w:color w:val="auto"/>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1B24" w:rsidP="00211B24" w14:paraId="0BC55A65" w14:textId="77777777">
      <w:pPr>
        <w:numPr>
          <w:ilvl w:val="12"/>
          <w:numId w:val="0"/>
        </w:numPr>
        <w:shd w:val="solid" w:color="FFFFFF" w:fill="FFFFFF"/>
        <w:tabs>
          <w:tab w:val="left" w:pos="360"/>
          <w:tab w:val="left" w:pos="840"/>
        </w:tabs>
      </w:pPr>
    </w:p>
    <w:p w:rsidR="000D7AC5" w:rsidP="00510CD3" w14:paraId="1964A823" w14:textId="36B8567A">
      <w:r w:rsidRPr="00AD4DB9">
        <w:t>Under Title 34, United States Code, Section 10132</w:t>
      </w:r>
      <w:r>
        <w:t xml:space="preserve">, </w:t>
      </w:r>
      <w:r w:rsidRPr="00AD4DB9">
        <w:t xml:space="preserve">the BJS is directed to collect and analyze statistical information concerning the operation of the criminal justice system at the federal, state, </w:t>
      </w:r>
      <w:r>
        <w:t xml:space="preserve">tribal, </w:t>
      </w:r>
      <w:r w:rsidRPr="00AD4DB9">
        <w:t>and local levels</w:t>
      </w:r>
      <w:r w:rsidR="00211B24">
        <w:t xml:space="preserve"> (</w:t>
      </w:r>
      <w:r w:rsidR="00211B24">
        <w:rPr>
          <w:b/>
          <w:bCs/>
        </w:rPr>
        <w:t xml:space="preserve">Attachment </w:t>
      </w:r>
      <w:r w:rsidR="0033264B">
        <w:rPr>
          <w:b/>
          <w:bCs/>
        </w:rPr>
        <w:t>B</w:t>
      </w:r>
      <w:r w:rsidR="00211B24">
        <w:rPr>
          <w:b/>
          <w:bCs/>
        </w:rPr>
        <w:t>)</w:t>
      </w:r>
      <w:r w:rsidRPr="00AD4DB9">
        <w:t>. It disseminates high</w:t>
      </w:r>
      <w:r w:rsidR="004D2658">
        <w:t>-</w:t>
      </w:r>
      <w:r w:rsidRPr="00AD4DB9">
        <w:t>quality</w:t>
      </w:r>
      <w:r w:rsidR="00510CD3">
        <w:t xml:space="preserve"> statistics and</w:t>
      </w:r>
      <w:r w:rsidRPr="00AD4DB9">
        <w:t xml:space="preserve"> information to inform policymakers, researchers, criminal justice practitioners, and the </w:t>
      </w:r>
      <w:r w:rsidRPr="00AD4DB9">
        <w:t>general public</w:t>
      </w:r>
      <w:r w:rsidRPr="00AD4DB9">
        <w:t xml:space="preserve">. </w:t>
      </w:r>
    </w:p>
    <w:p w:rsidR="00510CD3" w:rsidRPr="00AD4DB9" w:rsidP="009C46DC" w14:paraId="493B1DB4" w14:textId="77777777"/>
    <w:p w:rsidR="00211B24" w:rsidP="000B66DB" w14:paraId="076B4935" w14:textId="76BC580F">
      <w:r w:rsidRPr="00AB16BC">
        <w:t>CSLLEA</w:t>
      </w:r>
      <w:r w:rsidRPr="00AB16BC">
        <w:t xml:space="preserve"> is part of BJS’s LECS program. This program </w:t>
      </w:r>
      <w:r>
        <w:t>includes</w:t>
      </w:r>
      <w:r w:rsidRPr="00AB16BC">
        <w:t xml:space="preserve"> surveys </w:t>
      </w:r>
      <w:r>
        <w:t>on law enforcement operations</w:t>
      </w:r>
      <w:r w:rsidRPr="00AB16BC">
        <w:t xml:space="preserve">, </w:t>
      </w:r>
      <w:r>
        <w:t>which is within</w:t>
      </w:r>
      <w:r w:rsidRPr="00AB16BC">
        <w:t xml:space="preserve"> BJS’s authorizing statute (see 34 USC § 10132(c)(4)). Core to BJS’s effort in describing the operations of </w:t>
      </w:r>
      <w:r w:rsidR="00F818D0">
        <w:t>law enforcement agencies</w:t>
      </w:r>
      <w:r w:rsidRPr="00AB16BC" w:rsidR="00F818D0">
        <w:t xml:space="preserve"> </w:t>
      </w:r>
      <w:r w:rsidRPr="00AB16BC">
        <w:t xml:space="preserve">are </w:t>
      </w:r>
      <w:r>
        <w:t xml:space="preserve">the </w:t>
      </w:r>
      <w:r w:rsidRPr="00AB16BC">
        <w:t>CSLLEA</w:t>
      </w:r>
      <w:r>
        <w:t xml:space="preserve"> </w:t>
      </w:r>
      <w:r w:rsidRPr="00AB16BC">
        <w:t xml:space="preserve">and the </w:t>
      </w:r>
      <w:r>
        <w:t>LEMAS</w:t>
      </w:r>
      <w:r w:rsidRPr="00AB16BC">
        <w:t xml:space="preserve"> </w:t>
      </w:r>
      <w:r>
        <w:t>core s</w:t>
      </w:r>
      <w:r w:rsidRPr="00AB16BC">
        <w:t>urvey</w:t>
      </w:r>
      <w:r>
        <w:t>, which has been</w:t>
      </w:r>
      <w:r w:rsidRPr="00AB16BC">
        <w:t xml:space="preserve"> conducted every 3-5 years since 1987. </w:t>
      </w:r>
    </w:p>
    <w:p w:rsidR="005B6288" w:rsidP="00510CD3" w14:paraId="3C722D8C" w14:textId="77777777"/>
    <w:p w:rsidR="00510CD3" w:rsidRPr="00AB16BC" w:rsidP="00510CD3" w14:paraId="4573917C" w14:textId="29EE2095">
      <w:r w:rsidRPr="00AD4DB9">
        <w:t xml:space="preserve">The size, purposes, efficiency, fairness, and impact of law enforcement in the </w:t>
      </w:r>
      <w:r>
        <w:t>U</w:t>
      </w:r>
      <w:r w:rsidR="0064781A">
        <w:t xml:space="preserve">nited </w:t>
      </w:r>
      <w:r>
        <w:t>S</w:t>
      </w:r>
      <w:r w:rsidR="0064781A">
        <w:t>tates</w:t>
      </w:r>
      <w:r w:rsidRPr="00AD4DB9">
        <w:t xml:space="preserve"> are ongoing national policy issues. Law enforcement agencies in the </w:t>
      </w:r>
      <w:r>
        <w:t>U</w:t>
      </w:r>
      <w:r w:rsidR="0064781A">
        <w:t xml:space="preserve">nited </w:t>
      </w:r>
      <w:r>
        <w:t>S</w:t>
      </w:r>
      <w:r w:rsidR="0064781A">
        <w:t>tates</w:t>
      </w:r>
      <w:r>
        <w:t xml:space="preserve"> </w:t>
      </w:r>
      <w:r w:rsidRPr="00AD4DB9">
        <w:t xml:space="preserve">are numerous, diverse, and highly fragmented with substantial differences in size, role, and </w:t>
      </w:r>
      <w:r w:rsidRPr="0001785E">
        <w:t>activities</w:t>
      </w:r>
      <w:r w:rsidR="003F23C1">
        <w:t>.</w:t>
      </w:r>
    </w:p>
    <w:p w:rsidR="00510CD3" w:rsidRPr="00AD4DB9" w:rsidP="00510CD3" w14:paraId="7DA120E7" w14:textId="77777777">
      <w:pPr>
        <w:numPr>
          <w:ilvl w:val="12"/>
          <w:numId w:val="0"/>
        </w:numPr>
        <w:shd w:val="solid" w:color="FFFFFF" w:fill="FFFFFF"/>
        <w:tabs>
          <w:tab w:val="left" w:pos="360"/>
          <w:tab w:val="left" w:pos="840"/>
        </w:tabs>
      </w:pPr>
    </w:p>
    <w:p w:rsidR="00A5080A" w:rsidP="000D7AC5" w14:paraId="23F4D438" w14:textId="4A80C184">
      <w:pPr>
        <w:keepNext/>
        <w:keepLines/>
      </w:pPr>
      <w:r>
        <w:t xml:space="preserve">Data collected during the </w:t>
      </w:r>
      <w:r w:rsidR="00763BCC">
        <w:t xml:space="preserve">2018 </w:t>
      </w:r>
      <w:r>
        <w:t xml:space="preserve">CSLLEA administration indicate there were </w:t>
      </w:r>
      <w:r w:rsidR="00790262">
        <w:t>17,</w:t>
      </w:r>
      <w:r w:rsidR="00763BCC">
        <w:t xml:space="preserve">541 </w:t>
      </w:r>
      <w:r>
        <w:t>agencies operated by general</w:t>
      </w:r>
      <w:r w:rsidR="001414BF">
        <w:t>-</w:t>
      </w:r>
      <w:r>
        <w:t>purpose agencies (i.e., any public agency with sworn officers whose patrol and enforcement responsibilities are primarily delimited by the boundaries of a municipal, county, or state government) and special</w:t>
      </w:r>
      <w:r w:rsidR="001414BF">
        <w:t>-</w:t>
      </w:r>
      <w:r>
        <w:t>purpose agencies (e.g., campus law enforcement, transportation, natural resources, etc.).</w:t>
      </w:r>
      <w:r>
        <w:t xml:space="preserve"> These law enforcement agencies employed more than 1.</w:t>
      </w:r>
      <w:r w:rsidR="00763BCC">
        <w:t xml:space="preserve">2 </w:t>
      </w:r>
      <w:r>
        <w:t xml:space="preserve">million full-time personnel in </w:t>
      </w:r>
      <w:r w:rsidR="00763BCC">
        <w:t>2018</w:t>
      </w:r>
      <w:r>
        <w:t xml:space="preserve">, including </w:t>
      </w:r>
      <w:r w:rsidR="00763BCC">
        <w:t>788,000</w:t>
      </w:r>
      <w:r>
        <w:t xml:space="preserve"> sworn officers. The majority (</w:t>
      </w:r>
      <w:r w:rsidR="00763BCC">
        <w:t>69</w:t>
      </w:r>
      <w:r>
        <w:t xml:space="preserve">%) of U.S. law enforcement agencies employed fewer than 25 full-time sworn personnel in </w:t>
      </w:r>
      <w:r w:rsidR="00763BCC">
        <w:t xml:space="preserve">2018 </w:t>
      </w:r>
      <w:r>
        <w:t xml:space="preserve">with </w:t>
      </w:r>
      <w:r w:rsidR="00763BCC">
        <w:t>40</w:t>
      </w:r>
      <w:r>
        <w:t xml:space="preserve">% of </w:t>
      </w:r>
      <w:r w:rsidR="00927BA3">
        <w:t xml:space="preserve">all </w:t>
      </w:r>
      <w:r>
        <w:t xml:space="preserve">agencies having fewer than 10 full-time sworn personnel. Large agencies, those with 100 or more full-time sworn personnel, </w:t>
      </w:r>
      <w:r>
        <w:t>employed</w:t>
      </w:r>
      <w:r>
        <w:t xml:space="preserve"> nearly two-thirds of the nation’s full-time sworn </w:t>
      </w:r>
      <w:r w:rsidR="0064781A">
        <w:t xml:space="preserve">personnel </w:t>
      </w:r>
      <w:r>
        <w:t>(</w:t>
      </w:r>
      <w:r w:rsidR="003F0077">
        <w:t>64</w:t>
      </w:r>
      <w:r>
        <w:t>%).</w:t>
      </w:r>
    </w:p>
    <w:p w:rsidR="00EC31BC" w:rsidRPr="00AD4DB9" w:rsidP="00EC31BC" w14:paraId="3A4D769B" w14:textId="77777777">
      <w:pPr>
        <w:numPr>
          <w:ilvl w:val="12"/>
          <w:numId w:val="0"/>
        </w:numPr>
        <w:shd w:val="solid" w:color="FFFFFF" w:fill="FFFFFF"/>
        <w:tabs>
          <w:tab w:val="left" w:pos="360"/>
          <w:tab w:val="left" w:pos="840"/>
        </w:tabs>
      </w:pPr>
    </w:p>
    <w:p w:rsidR="00EC31BC" w:rsidP="009C46DC" w14:paraId="48CBEE2D" w14:textId="7D567E36">
      <w:r>
        <w:t>C</w:t>
      </w:r>
      <w:r w:rsidRPr="00AD4DB9">
        <w:t xml:space="preserve">ollecting data on issues related to law enforcement personnel and functions </w:t>
      </w:r>
      <w:r w:rsidR="001414BF">
        <w:t xml:space="preserve">is </w:t>
      </w:r>
      <w:r w:rsidRPr="00AD4DB9">
        <w:t>of critical concern to BJS</w:t>
      </w:r>
      <w:r w:rsidR="0064781A">
        <w:t>,</w:t>
      </w:r>
      <w:r w:rsidRPr="00AD4DB9">
        <w:t xml:space="preserve"> </w:t>
      </w:r>
      <w:r w:rsidR="0064781A">
        <w:t>because</w:t>
      </w:r>
      <w:r w:rsidRPr="00AD4DB9" w:rsidR="0064781A">
        <w:t xml:space="preserve"> </w:t>
      </w:r>
      <w:r w:rsidRPr="00AD4DB9">
        <w:t xml:space="preserve">its mission </w:t>
      </w:r>
      <w:r w:rsidR="00A86024">
        <w:t xml:space="preserve">is </w:t>
      </w:r>
      <w:r w:rsidRPr="00AD4DB9">
        <w:t>to collect, analyze, publish, and disseminate information on the operation of justice systems at all levels of government. Developing and maintaining an accurate picture of the nation’s law enforcement workforce is paramount to understanding the current state of policing in the United States.</w:t>
      </w:r>
      <w:r w:rsidR="003F23C1">
        <w:t xml:space="preserve"> </w:t>
      </w:r>
      <w:r w:rsidR="00966010">
        <w:t>Law enforcement agencie</w:t>
      </w:r>
      <w:r w:rsidRPr="00AB16BC" w:rsidR="00966010">
        <w:t xml:space="preserve">s </w:t>
      </w:r>
      <w:r w:rsidRPr="00AB16BC" w:rsidR="003F23C1">
        <w:t xml:space="preserve">are the primary point of entry into the criminal justice system and play a crucial gatekeeping function in receiving reports of offenses, investigating crimes, making arrests, and detaining suspects. </w:t>
      </w:r>
      <w:r w:rsidR="003F23C1">
        <w:t>T</w:t>
      </w:r>
      <w:r w:rsidRPr="00AB16BC" w:rsidR="003F23C1">
        <w:t xml:space="preserve">hese agencies are </w:t>
      </w:r>
      <w:r w:rsidR="003F23C1">
        <w:t xml:space="preserve">also </w:t>
      </w:r>
      <w:r w:rsidRPr="00AB16BC" w:rsidR="003F23C1">
        <w:t>a major provider of statistical data on crime</w:t>
      </w:r>
      <w:r w:rsidR="003F23C1">
        <w:t xml:space="preserve"> and the administration of criminal justice</w:t>
      </w:r>
      <w:r w:rsidRPr="00AB16BC" w:rsidR="003F23C1">
        <w:t>.</w:t>
      </w:r>
      <w:r w:rsidR="003F23C1">
        <w:t xml:space="preserve"> </w:t>
      </w:r>
      <w:r w:rsidRPr="00AD4DB9">
        <w:t>BJS has conducted establishment surveys of law enforcement</w:t>
      </w:r>
      <w:r>
        <w:t xml:space="preserve"> agencies regularly since 1987,</w:t>
      </w:r>
      <w:r w:rsidR="00132E59">
        <w:t xml:space="preserve"> with the CSLLEA as the core </w:t>
      </w:r>
      <w:r w:rsidRPr="00AD4DB9">
        <w:t>of BJS’</w:t>
      </w:r>
      <w:r w:rsidR="0064781A">
        <w:t>s</w:t>
      </w:r>
      <w:r w:rsidRPr="00AD4DB9">
        <w:t xml:space="preserve"> law enforcement statistics</w:t>
      </w:r>
      <w:r w:rsidR="00132E59">
        <w:t xml:space="preserve"> program.</w:t>
      </w:r>
    </w:p>
    <w:p w:rsidR="00132E59" w:rsidP="00EC31BC" w14:paraId="1D9B8F89" w14:textId="77777777">
      <w:pPr>
        <w:numPr>
          <w:ilvl w:val="12"/>
          <w:numId w:val="0"/>
        </w:numPr>
        <w:shd w:val="solid" w:color="FFFFFF" w:fill="FFFFFF"/>
        <w:tabs>
          <w:tab w:val="left" w:pos="360"/>
          <w:tab w:val="left" w:pos="840"/>
        </w:tabs>
      </w:pPr>
    </w:p>
    <w:p w:rsidR="00EC31BC" w:rsidRPr="00AD4DB9" w:rsidP="00EC31BC" w14:paraId="2381CE82" w14:textId="351C1041">
      <w:pPr>
        <w:numPr>
          <w:ilvl w:val="12"/>
          <w:numId w:val="0"/>
        </w:numPr>
        <w:shd w:val="solid" w:color="FFFFFF" w:fill="FFFFFF"/>
        <w:tabs>
          <w:tab w:val="left" w:pos="360"/>
          <w:tab w:val="left" w:pos="840"/>
        </w:tabs>
      </w:pPr>
      <w:r w:rsidRPr="00AD4DB9">
        <w:t xml:space="preserve">The proposed </w:t>
      </w:r>
      <w:r w:rsidR="00330975">
        <w:t>202</w:t>
      </w:r>
      <w:r w:rsidR="000B23D0">
        <w:t>6</w:t>
      </w:r>
      <w:r>
        <w:t xml:space="preserve"> CSLLEA</w:t>
      </w:r>
      <w:r w:rsidRPr="00AD4DB9">
        <w:t xml:space="preserve"> is the only systematic, national-level data collection providing a complete enumeration of the </w:t>
      </w:r>
      <w:r w:rsidR="001414BF">
        <w:t>n</w:t>
      </w:r>
      <w:r w:rsidRPr="00AD4DB9">
        <w:t xml:space="preserve">ation’s </w:t>
      </w:r>
      <w:r>
        <w:t>state</w:t>
      </w:r>
      <w:r w:rsidRPr="00AD4DB9">
        <w:t xml:space="preserve"> and local law enforcement agencies and counts of their personnel. In addition, the C</w:t>
      </w:r>
      <w:r>
        <w:t>SLLEA</w:t>
      </w:r>
      <w:r w:rsidRPr="00AD4DB9">
        <w:t xml:space="preserve"> provides the basis for distinguishing among various types of law enforcement agencies by asking respondents to indicate the types of functions performed by the agency (e.g., law enforcement, investigati</w:t>
      </w:r>
      <w:r w:rsidR="00075319">
        <w:t>on</w:t>
      </w:r>
      <w:r w:rsidRPr="00AD4DB9">
        <w:t xml:space="preserve">, jail management, court security, and process serving). Unlike other sources of law enforcement information, </w:t>
      </w:r>
      <w:r>
        <w:t>such as the Federal Bureau of Investigation’s (FBI) Police Employee Data or</w:t>
      </w:r>
      <w:r w:rsidR="008B6369">
        <w:t xml:space="preserve"> the</w:t>
      </w:r>
      <w:r>
        <w:t xml:space="preserve"> U.S. Census Bureau’s Equal Employment Opportunity (EEO) </w:t>
      </w:r>
      <w:r w:rsidRPr="000B66DB">
        <w:t xml:space="preserve">collection (see </w:t>
      </w:r>
      <w:r w:rsidRPr="000B66DB" w:rsidR="008C683A">
        <w:t>S</w:t>
      </w:r>
      <w:r w:rsidRPr="000B66DB">
        <w:t>ection 4), the</w:t>
      </w:r>
      <w:r>
        <w:t xml:space="preserve"> CSLLEA</w:t>
      </w:r>
      <w:r w:rsidRPr="00AD4DB9">
        <w:t xml:space="preserve"> provides additional data to supplement basic personnel counts, including </w:t>
      </w:r>
      <w:r w:rsidR="0023626A">
        <w:t xml:space="preserve">a </w:t>
      </w:r>
      <w:r w:rsidRPr="00AD4DB9">
        <w:t>breakdown of agency functions.</w:t>
      </w:r>
    </w:p>
    <w:p w:rsidR="00EC31BC" w:rsidRPr="00AD4DB9" w:rsidP="00EC31BC" w14:paraId="45DC0B98" w14:textId="77777777">
      <w:pPr>
        <w:numPr>
          <w:ilvl w:val="12"/>
          <w:numId w:val="0"/>
        </w:numPr>
        <w:shd w:val="solid" w:color="FFFFFF" w:fill="FFFFFF"/>
        <w:tabs>
          <w:tab w:val="left" w:pos="360"/>
          <w:tab w:val="left" w:pos="840"/>
        </w:tabs>
      </w:pPr>
    </w:p>
    <w:p w:rsidR="00EC31BC" w:rsidP="00EC31BC" w14:paraId="25B5B32B" w14:textId="57CE630A">
      <w:pPr>
        <w:numPr>
          <w:ilvl w:val="12"/>
          <w:numId w:val="0"/>
        </w:numPr>
        <w:shd w:val="solid" w:color="FFFFFF" w:fill="FFFFFF"/>
        <w:tabs>
          <w:tab w:val="left" w:pos="360"/>
          <w:tab w:val="left" w:pos="840"/>
        </w:tabs>
      </w:pPr>
      <w:r w:rsidRPr="00AD4DB9">
        <w:t>Information collected through the C</w:t>
      </w:r>
      <w:r>
        <w:t>SLLEA</w:t>
      </w:r>
      <w:r w:rsidRPr="00AD4DB9">
        <w:t xml:space="preserve"> can provide local area estimates of personnel counts and functions</w:t>
      </w:r>
      <w:r w:rsidR="0064781A">
        <w:t>, and these</w:t>
      </w:r>
      <w:r w:rsidRPr="00AD4DB9">
        <w:t xml:space="preserve"> statistics are essential for </w:t>
      </w:r>
      <w:r w:rsidR="0088455F">
        <w:t xml:space="preserve">a </w:t>
      </w:r>
      <w:r w:rsidRPr="00AD4DB9">
        <w:t>better understanding</w:t>
      </w:r>
      <w:r w:rsidR="0088455F">
        <w:t xml:space="preserve"> of</w:t>
      </w:r>
      <w:r w:rsidRPr="00AD4DB9">
        <w:t xml:space="preserve"> the landscape of American policing. These </w:t>
      </w:r>
      <w:r w:rsidR="00E74FBF">
        <w:t xml:space="preserve">data </w:t>
      </w:r>
      <w:r w:rsidRPr="00AD4DB9">
        <w:t xml:space="preserve">can be used to examine the correlates of crime and estimate the effect of </w:t>
      </w:r>
      <w:r>
        <w:t xml:space="preserve">law enforcement </w:t>
      </w:r>
      <w:r w:rsidRPr="00AD4DB9">
        <w:t xml:space="preserve">practices on crime rates. Agency-level data </w:t>
      </w:r>
      <w:r w:rsidR="00C76360">
        <w:t xml:space="preserve">provide essential information </w:t>
      </w:r>
      <w:r w:rsidRPr="00AD4DB9">
        <w:t xml:space="preserve">to better understand </w:t>
      </w:r>
      <w:r>
        <w:t>law enforcement</w:t>
      </w:r>
      <w:r w:rsidRPr="00AD4DB9">
        <w:t xml:space="preserve"> performance in terms of crime and victimization rates. In addition, an understanding of the number and functions of law enforcement personnel </w:t>
      </w:r>
      <w:r w:rsidR="00D91AF2">
        <w:t>can</w:t>
      </w:r>
      <w:r w:rsidRPr="00AD4DB9" w:rsidR="00D91AF2">
        <w:t xml:space="preserve"> </w:t>
      </w:r>
      <w:r w:rsidRPr="00AD4DB9">
        <w:t xml:space="preserve">assist in planning for public welfare response to national emergencies. During a disaster, law enforcement officers play a critical role in operations such as search and rescue, evacuations, door-to-door checks, and </w:t>
      </w:r>
      <w:r w:rsidRPr="00AD4DB9">
        <w:t>maintaining</w:t>
      </w:r>
      <w:r w:rsidRPr="00AD4DB9">
        <w:t xml:space="preserve"> overall public safety. Information about the number of law enforcement personnel employed by agenc</w:t>
      </w:r>
      <w:r w:rsidR="0043507D">
        <w:t>ies</w:t>
      </w:r>
      <w:r w:rsidRPr="00AD4DB9">
        <w:t xml:space="preserve"> and the </w:t>
      </w:r>
      <w:r w:rsidRPr="00AD4DB9">
        <w:t xml:space="preserve">functions these </w:t>
      </w:r>
      <w:r w:rsidR="0023626A">
        <w:t>agencies</w:t>
      </w:r>
      <w:r w:rsidRPr="00AD4DB9" w:rsidR="0023626A">
        <w:t xml:space="preserve"> </w:t>
      </w:r>
      <w:r w:rsidRPr="00AD4DB9">
        <w:t xml:space="preserve">perform will aid in evaluating needs for national emergency preparedness. No other national data collection can provide comprehensive data on the </w:t>
      </w:r>
      <w:r>
        <w:t xml:space="preserve">services performed by </w:t>
      </w:r>
      <w:r w:rsidRPr="00AD4DB9">
        <w:t>law enforcement agencies.</w:t>
      </w:r>
    </w:p>
    <w:p w:rsidR="00EC31BC" w:rsidP="00EC31BC" w14:paraId="46A73025" w14:textId="77777777">
      <w:pPr>
        <w:numPr>
          <w:ilvl w:val="12"/>
          <w:numId w:val="0"/>
        </w:numPr>
        <w:shd w:val="solid" w:color="FFFFFF" w:fill="FFFFFF"/>
        <w:tabs>
          <w:tab w:val="left" w:pos="360"/>
          <w:tab w:val="left" w:pos="840"/>
        </w:tabs>
      </w:pPr>
    </w:p>
    <w:p w:rsidR="004D6F50" w:rsidP="004D6F50" w14:paraId="2E5E6FB9" w14:textId="23FC624D">
      <w:pPr>
        <w:numPr>
          <w:ilvl w:val="12"/>
          <w:numId w:val="0"/>
        </w:numPr>
        <w:shd w:val="solid" w:color="FFFFFF" w:fill="FFFFFF"/>
        <w:tabs>
          <w:tab w:val="left" w:pos="360"/>
          <w:tab w:val="left" w:pos="840"/>
        </w:tabs>
      </w:pPr>
      <w:r w:rsidRPr="00AD4DB9">
        <w:t>Accurate counts of law enforcement personnel, as well as the type of agencies employing personnel</w:t>
      </w:r>
      <w:r>
        <w:t>,</w:t>
      </w:r>
      <w:r w:rsidRPr="00AD4DB9">
        <w:t xml:space="preserve"> are necessary for implementing the majority of BJS’</w:t>
      </w:r>
      <w:r>
        <w:t>s</w:t>
      </w:r>
      <w:r w:rsidRPr="00AD4DB9">
        <w:t xml:space="preserve"> law enforcement statistics program. Without these statistics</w:t>
      </w:r>
      <w:r>
        <w:t>,</w:t>
      </w:r>
      <w:r w:rsidRPr="00AD4DB9">
        <w:t xml:space="preserve"> BJS could not produce national estimates on the organization and administration of police and sheriffs’ departments, including agency responsibilities, operating expenditures, job functions of sworn and civilian employees, demographic characteristics of sworn personnel, officer salaries, education and training requirements, equipment use, and polic</w:t>
      </w:r>
      <w:r w:rsidR="00E07731">
        <w:t>i</w:t>
      </w:r>
      <w:r w:rsidRPr="00AD4DB9">
        <w:t xml:space="preserve">es. </w:t>
      </w:r>
    </w:p>
    <w:p w:rsidR="004D6F50" w:rsidP="004D6F50" w14:paraId="6DAB0391" w14:textId="77777777">
      <w:pPr>
        <w:numPr>
          <w:ilvl w:val="12"/>
          <w:numId w:val="0"/>
        </w:numPr>
        <w:shd w:val="solid" w:color="FFFFFF" w:fill="FFFFFF"/>
        <w:tabs>
          <w:tab w:val="left" w:pos="360"/>
          <w:tab w:val="left" w:pos="840"/>
        </w:tabs>
      </w:pPr>
    </w:p>
    <w:p w:rsidR="007978DB" w:rsidRPr="000A5D82" w:rsidP="007978DB" w14:paraId="09F4049C" w14:textId="4C2F380F">
      <w:pPr>
        <w:pStyle w:val="NoSpacing"/>
        <w:rPr>
          <w:rFonts w:ascii="Times New Roman" w:hAnsi="Times New Roman" w:cs="Times New Roman"/>
          <w:sz w:val="24"/>
          <w:szCs w:val="24"/>
        </w:rPr>
      </w:pPr>
      <w:r w:rsidRPr="000A5D82">
        <w:rPr>
          <w:rFonts w:ascii="Times New Roman" w:hAnsi="Times New Roman" w:cs="Times New Roman"/>
          <w:sz w:val="24"/>
          <w:szCs w:val="24"/>
        </w:rPr>
        <w:t xml:space="preserve">The primary goals of the </w:t>
      </w:r>
      <w:r w:rsidRPr="007978DB">
        <w:rPr>
          <w:rFonts w:ascii="Times New Roman" w:hAnsi="Times New Roman" w:cs="Times New Roman"/>
          <w:sz w:val="24"/>
          <w:szCs w:val="24"/>
        </w:rPr>
        <w:t>proposed 202</w:t>
      </w:r>
      <w:r w:rsidR="000B23D0">
        <w:rPr>
          <w:rFonts w:ascii="Times New Roman" w:hAnsi="Times New Roman" w:cs="Times New Roman"/>
          <w:sz w:val="24"/>
          <w:szCs w:val="24"/>
        </w:rPr>
        <w:t>6</w:t>
      </w:r>
      <w:r w:rsidRPr="007978DB">
        <w:rPr>
          <w:rFonts w:ascii="Times New Roman" w:hAnsi="Times New Roman" w:cs="Times New Roman"/>
          <w:sz w:val="24"/>
          <w:szCs w:val="24"/>
        </w:rPr>
        <w:t xml:space="preserve"> CSLLEA </w:t>
      </w:r>
      <w:r w:rsidRPr="000A5D82">
        <w:rPr>
          <w:rFonts w:ascii="Times New Roman" w:hAnsi="Times New Roman" w:cs="Times New Roman"/>
          <w:sz w:val="24"/>
          <w:szCs w:val="24"/>
        </w:rPr>
        <w:t>are to (1) develop a national roster of active law enforcement agencies that employ the equivalent of one full-time sworn personnel to be used as a sampling frame for other collections, and (2) generate national statistics describing the size, characteristics, and functions of these agencies.</w:t>
      </w:r>
    </w:p>
    <w:p w:rsidR="007978DB" w:rsidP="000D7AC5" w14:paraId="0CB23364" w14:textId="60814D5A">
      <w:pPr>
        <w:keepNext/>
        <w:keepLines/>
      </w:pPr>
    </w:p>
    <w:p w:rsidR="006D0ECE" w:rsidRPr="00243F26" w:rsidP="00845455" w14:paraId="5E324887" w14:textId="36DD4063">
      <w:pPr>
        <w:numPr>
          <w:ilvl w:val="12"/>
          <w:numId w:val="0"/>
        </w:numPr>
        <w:shd w:val="solid" w:color="FFFFFF" w:fill="FFFFFF"/>
        <w:tabs>
          <w:tab w:val="left" w:pos="360"/>
          <w:tab w:val="left" w:pos="840"/>
        </w:tabs>
      </w:pPr>
      <w:r w:rsidRPr="00243F26">
        <w:t xml:space="preserve">The first </w:t>
      </w:r>
      <w:r w:rsidRPr="00243F26" w:rsidR="00243F26">
        <w:t>seven items</w:t>
      </w:r>
      <w:r w:rsidRPr="00243F26">
        <w:t xml:space="preserve"> of the </w:t>
      </w:r>
      <w:r w:rsidRPr="00243F26" w:rsidR="00243F26">
        <w:t xml:space="preserve">proposed </w:t>
      </w:r>
      <w:r w:rsidRPr="00243F26">
        <w:t>202</w:t>
      </w:r>
      <w:r w:rsidRPr="00243F26" w:rsidR="000B23D0">
        <w:t>6</w:t>
      </w:r>
      <w:r w:rsidRPr="00243F26">
        <w:t xml:space="preserve"> CSLLEA</w:t>
      </w:r>
      <w:r w:rsidRPr="00243F26" w:rsidR="00243F26">
        <w:t xml:space="preserve"> instrument</w:t>
      </w:r>
      <w:r w:rsidRPr="00243F26">
        <w:t xml:space="preserve"> </w:t>
      </w:r>
      <w:r w:rsidRPr="00243F26" w:rsidR="00562517">
        <w:t>(</w:t>
      </w:r>
      <w:r w:rsidRPr="00243F26" w:rsidR="00243F26">
        <w:t xml:space="preserve">CJ-38; </w:t>
      </w:r>
      <w:r w:rsidRPr="00243F26" w:rsidR="00562517">
        <w:rPr>
          <w:b/>
          <w:bCs/>
        </w:rPr>
        <w:t xml:space="preserve">Attachment </w:t>
      </w:r>
      <w:r w:rsidR="0033264B">
        <w:rPr>
          <w:b/>
          <w:bCs/>
        </w:rPr>
        <w:t>A</w:t>
      </w:r>
      <w:r w:rsidRPr="00243F26" w:rsidR="00562517">
        <w:t xml:space="preserve">) </w:t>
      </w:r>
      <w:r w:rsidRPr="00243F26" w:rsidR="00243F26">
        <w:t xml:space="preserve">ask the respondent to confirm or update agency contact information and review eligibility criteria. </w:t>
      </w:r>
      <w:r w:rsidR="00243F26">
        <w:t>Following the contact information and eligibility items, there are ten items that fall into four categories:</w:t>
      </w:r>
    </w:p>
    <w:p w:rsidR="00845455" w:rsidRPr="00AD4DB9" w:rsidP="00845455" w14:paraId="14A9A5A4" w14:textId="77777777">
      <w:pPr>
        <w:numPr>
          <w:ilvl w:val="12"/>
          <w:numId w:val="0"/>
        </w:numPr>
        <w:shd w:val="solid" w:color="FFFFFF" w:fill="FFFFFF"/>
        <w:tabs>
          <w:tab w:val="left" w:pos="360"/>
          <w:tab w:val="left" w:pos="840"/>
        </w:tabs>
      </w:pPr>
    </w:p>
    <w:p w:rsidR="00845455" w:rsidP="00845455" w14:paraId="4B4435F5" w14:textId="21DDB9C2">
      <w:pPr>
        <w:pStyle w:val="ListParagraph"/>
        <w:numPr>
          <w:ilvl w:val="0"/>
          <w:numId w:val="33"/>
        </w:numPr>
        <w:shd w:val="solid" w:color="FFFFFF" w:fill="FFFFFF"/>
        <w:tabs>
          <w:tab w:val="left" w:pos="360"/>
          <w:tab w:val="left" w:pos="840"/>
        </w:tabs>
        <w:autoSpaceDE w:val="0"/>
        <w:autoSpaceDN w:val="0"/>
        <w:adjustRightInd w:val="0"/>
      </w:pPr>
      <w:r>
        <w:t>Agency Geographic Jurisdiction (</w:t>
      </w:r>
      <w:r w:rsidR="00243F26">
        <w:t>Q8-10</w:t>
      </w:r>
      <w:r>
        <w:t>)</w:t>
      </w:r>
    </w:p>
    <w:p w:rsidR="00845455" w:rsidP="00845455" w14:paraId="12D6C662" w14:textId="77777777">
      <w:pPr>
        <w:pStyle w:val="ListParagraph"/>
        <w:shd w:val="solid" w:color="FFFFFF" w:fill="FFFFFF"/>
        <w:tabs>
          <w:tab w:val="left" w:pos="360"/>
          <w:tab w:val="left" w:pos="840"/>
        </w:tabs>
      </w:pPr>
    </w:p>
    <w:p w:rsidR="00D37659" w:rsidP="00146DF1" w14:paraId="4F664DFF" w14:textId="45B08B75">
      <w:pPr>
        <w:pStyle w:val="ListParagraph"/>
        <w:shd w:val="solid" w:color="FFFFFF" w:fill="FFFFFF"/>
        <w:tabs>
          <w:tab w:val="left" w:pos="360"/>
          <w:tab w:val="left" w:pos="840"/>
        </w:tabs>
      </w:pPr>
      <w:r>
        <w:t>Previous administrations of the CSLLEA (1986, 1992, 2000, 2014</w:t>
      </w:r>
      <w:r w:rsidR="00C2145A">
        <w:t>, 2018</w:t>
      </w:r>
      <w:r w:rsidR="000B23D0">
        <w:t>, and 2022</w:t>
      </w:r>
      <w:r>
        <w:t xml:space="preserve">) included an item that described the type of government </w:t>
      </w:r>
      <w:r>
        <w:t xml:space="preserve">that operated the agency </w:t>
      </w:r>
      <w:r>
        <w:t>or geographic jurisdiction covered by the agency (Q</w:t>
      </w:r>
      <w:r w:rsidR="007D7F5C">
        <w:t>8</w:t>
      </w:r>
      <w:r>
        <w:t>). The item allows BJS to classify agency type, which is used for stratification to sample for other collections. It also allow</w:t>
      </w:r>
      <w:r w:rsidR="000944C0">
        <w:t>s</w:t>
      </w:r>
      <w:r>
        <w:t xml:space="preserve"> BJS to examine the functions of law enforcement agencies across different types. </w:t>
      </w:r>
    </w:p>
    <w:p w:rsidR="00D37659" w:rsidP="00146DF1" w14:paraId="6450E6CE" w14:textId="77777777">
      <w:pPr>
        <w:pStyle w:val="ListParagraph"/>
        <w:shd w:val="solid" w:color="FFFFFF" w:fill="FFFFFF"/>
        <w:tabs>
          <w:tab w:val="left" w:pos="360"/>
          <w:tab w:val="left" w:pos="840"/>
        </w:tabs>
      </w:pPr>
    </w:p>
    <w:p w:rsidR="00C13B7C" w:rsidP="00146DF1" w14:paraId="60715153" w14:textId="74242EEA">
      <w:pPr>
        <w:pStyle w:val="ListParagraph"/>
        <w:shd w:val="solid" w:color="FFFFFF" w:fill="FFFFFF"/>
        <w:tabs>
          <w:tab w:val="left" w:pos="360"/>
          <w:tab w:val="left" w:pos="840"/>
        </w:tabs>
      </w:pPr>
      <w:r>
        <w:t>Q</w:t>
      </w:r>
      <w:r w:rsidR="007D7F5C">
        <w:t>9</w:t>
      </w:r>
      <w:r>
        <w:t xml:space="preserve"> </w:t>
      </w:r>
      <w:r w:rsidR="00D37659">
        <w:t xml:space="preserve">provides a definition of a multi-agency system and </w:t>
      </w:r>
      <w:r w:rsidR="00443185">
        <w:t>is intended for agencies that indicated in Q</w:t>
      </w:r>
      <w:r w:rsidR="007D7F5C">
        <w:t>8</w:t>
      </w:r>
      <w:r w:rsidR="00443185">
        <w:t xml:space="preserve"> that they are operated by a state government or a special district or authority. </w:t>
      </w:r>
      <w:r w:rsidR="004516B4">
        <w:t>This was added as a new item to the 2022 CSLLEA because a</w:t>
      </w:r>
      <w:r w:rsidR="00443185">
        <w:t xml:space="preserve">nalysis of the 2018 CSLLEA showed that some agency relationships between these agency types led to </w:t>
      </w:r>
      <w:r w:rsidR="00CE2D39">
        <w:t>duplication in the</w:t>
      </w:r>
      <w:r w:rsidR="00443185">
        <w:t xml:space="preserve"> reporting of personnel. To address this issue, Q</w:t>
      </w:r>
      <w:r w:rsidR="007D7F5C">
        <w:t>9</w:t>
      </w:r>
      <w:r w:rsidR="00443185">
        <w:t xml:space="preserve"> </w:t>
      </w:r>
      <w:r w:rsidR="007D7F5C">
        <w:t>asks if the agency meets the definition of a</w:t>
      </w:r>
      <w:r w:rsidR="00443185">
        <w:t xml:space="preserve"> multi-agency system</w:t>
      </w:r>
      <w:r w:rsidR="007D7F5C">
        <w:t xml:space="preserve">. If yes, the respondent is directed to Q10 to </w:t>
      </w:r>
      <w:r w:rsidR="00D37659">
        <w:t xml:space="preserve">identify </w:t>
      </w:r>
      <w:r w:rsidR="007D7F5C">
        <w:t>the agency</w:t>
      </w:r>
      <w:r w:rsidR="00D37659">
        <w:t xml:space="preserve"> as either the primary </w:t>
      </w:r>
      <w:r w:rsidR="00A217FE">
        <w:t xml:space="preserve">(also referred to as </w:t>
      </w:r>
      <w:r w:rsidR="00311F84">
        <w:t xml:space="preserve">the </w:t>
      </w:r>
      <w:r w:rsidR="00D37659">
        <w:t>parent agency</w:t>
      </w:r>
      <w:r w:rsidR="00A217FE">
        <w:t>)</w:t>
      </w:r>
      <w:r w:rsidR="00D37659">
        <w:t xml:space="preserve"> in the system or as a sub-component in the system</w:t>
      </w:r>
      <w:r w:rsidR="00443185">
        <w:t>. The parent/primary agencies are then asked to name their sub-components while sub-components are asked to name their parent/primary agency</w:t>
      </w:r>
      <w:r w:rsidR="00D37659">
        <w:t>.</w:t>
      </w:r>
      <w:r>
        <w:t xml:space="preserve"> These items will also allow BJS to identify potential duplication in responses received from multi-system agencies</w:t>
      </w:r>
      <w:r w:rsidR="00146DF1">
        <w:t xml:space="preserve"> and more accurate data to be collected and released.</w:t>
      </w:r>
      <w:r w:rsidR="007D7F5C">
        <w:t xml:space="preserve"> This information was key during 2022 analysis in identifying related agencies that </w:t>
      </w:r>
      <w:r w:rsidR="007D7F5C">
        <w:t>double</w:t>
      </w:r>
      <w:r w:rsidR="000578A0">
        <w:t>-</w:t>
      </w:r>
      <w:r w:rsidR="007D7F5C">
        <w:t>reported personnel.</w:t>
      </w:r>
    </w:p>
    <w:p w:rsidR="00845455" w:rsidP="00845455" w14:paraId="197E7E33" w14:textId="77777777">
      <w:pPr>
        <w:pStyle w:val="ListParagraph"/>
        <w:shd w:val="solid" w:color="FFFFFF" w:fill="FFFFFF"/>
        <w:tabs>
          <w:tab w:val="left" w:pos="360"/>
          <w:tab w:val="left" w:pos="840"/>
        </w:tabs>
      </w:pPr>
    </w:p>
    <w:p w:rsidR="00845455" w:rsidP="00223D3B" w14:paraId="24BC25CC" w14:textId="5B60C8BE">
      <w:pPr>
        <w:pStyle w:val="ListParagraph"/>
        <w:keepNext/>
        <w:numPr>
          <w:ilvl w:val="0"/>
          <w:numId w:val="33"/>
        </w:numPr>
        <w:shd w:val="solid" w:color="FFFFFF" w:fill="FFFFFF"/>
        <w:tabs>
          <w:tab w:val="left" w:pos="360"/>
          <w:tab w:val="left" w:pos="840"/>
        </w:tabs>
        <w:autoSpaceDE w:val="0"/>
        <w:autoSpaceDN w:val="0"/>
        <w:adjustRightInd w:val="0"/>
      </w:pPr>
      <w:r>
        <w:t>Operating Budget (Q</w:t>
      </w:r>
      <w:r w:rsidR="007D7F5C">
        <w:t>11</w:t>
      </w:r>
      <w:r>
        <w:t>)</w:t>
      </w:r>
    </w:p>
    <w:p w:rsidR="000944C0" w:rsidP="00223D3B" w14:paraId="414BB22E" w14:textId="77777777">
      <w:pPr>
        <w:pStyle w:val="ListParagraph"/>
        <w:keepNext/>
        <w:shd w:val="solid" w:color="FFFFFF" w:fill="FFFFFF"/>
        <w:tabs>
          <w:tab w:val="left" w:pos="360"/>
          <w:tab w:val="left" w:pos="840"/>
        </w:tabs>
        <w:autoSpaceDE w:val="0"/>
        <w:autoSpaceDN w:val="0"/>
        <w:adjustRightInd w:val="0"/>
      </w:pPr>
    </w:p>
    <w:p w:rsidR="00845455" w:rsidRPr="004D4BE7" w:rsidP="00845455" w14:paraId="6102D095" w14:textId="64A7B3A7">
      <w:pPr>
        <w:pStyle w:val="ListParagraph"/>
        <w:shd w:val="solid" w:color="FFFFFF" w:fill="FFFFFF"/>
        <w:tabs>
          <w:tab w:val="left" w:pos="360"/>
          <w:tab w:val="left" w:pos="840"/>
        </w:tabs>
      </w:pPr>
      <w:r>
        <w:t>BJS will</w:t>
      </w:r>
      <w:r w:rsidRPr="004D4BE7">
        <w:t xml:space="preserve"> </w:t>
      </w:r>
      <w:r w:rsidRPr="004D4BE7">
        <w:t xml:space="preserve">collect </w:t>
      </w:r>
      <w:r>
        <w:t>the</w:t>
      </w:r>
      <w:r w:rsidRPr="004D4BE7">
        <w:t xml:space="preserve"> total operating </w:t>
      </w:r>
      <w:r>
        <w:t>budget from each law enforcement agency</w:t>
      </w:r>
      <w:r>
        <w:t xml:space="preserve"> for 202</w:t>
      </w:r>
      <w:r w:rsidR="004516B4">
        <w:t>6</w:t>
      </w:r>
      <w:r>
        <w:t xml:space="preserve"> and 202</w:t>
      </w:r>
      <w:r w:rsidR="004516B4">
        <w:t>5</w:t>
      </w:r>
      <w:r w:rsidRPr="004D4BE7">
        <w:t xml:space="preserve">. </w:t>
      </w:r>
      <w:r>
        <w:t xml:space="preserve">This information is often used in conjunction with personnel size (authorized vs actual) to assess budget constraints. Budget is also used to determine optimal staffing sizes. </w:t>
      </w:r>
    </w:p>
    <w:p w:rsidR="00845455" w:rsidP="00845455" w14:paraId="4408DD4A" w14:textId="77777777">
      <w:pPr>
        <w:pStyle w:val="ListParagraph"/>
        <w:shd w:val="solid" w:color="FFFFFF" w:fill="FFFFFF"/>
        <w:tabs>
          <w:tab w:val="left" w:pos="360"/>
          <w:tab w:val="left" w:pos="840"/>
        </w:tabs>
      </w:pPr>
    </w:p>
    <w:p w:rsidR="00845455" w:rsidP="00845455" w14:paraId="231E2EB6" w14:textId="5371AA53">
      <w:pPr>
        <w:pStyle w:val="ListParagraph"/>
        <w:numPr>
          <w:ilvl w:val="0"/>
          <w:numId w:val="33"/>
        </w:numPr>
        <w:shd w:val="solid" w:color="FFFFFF" w:fill="FFFFFF"/>
        <w:tabs>
          <w:tab w:val="left" w:pos="360"/>
          <w:tab w:val="left" w:pos="840"/>
        </w:tabs>
        <w:autoSpaceDE w:val="0"/>
        <w:autoSpaceDN w:val="0"/>
        <w:adjustRightInd w:val="0"/>
      </w:pPr>
      <w:r>
        <w:t>Functions (Q</w:t>
      </w:r>
      <w:r w:rsidR="007D7F5C">
        <w:t>12-13</w:t>
      </w:r>
      <w:r>
        <w:t>)</w:t>
      </w:r>
    </w:p>
    <w:p w:rsidR="00845455" w:rsidP="00845455" w14:paraId="57F2B2E3" w14:textId="77777777">
      <w:pPr>
        <w:pStyle w:val="ListParagraph"/>
        <w:shd w:val="solid" w:color="FFFFFF" w:fill="FFFFFF"/>
        <w:tabs>
          <w:tab w:val="left" w:pos="360"/>
          <w:tab w:val="left" w:pos="840"/>
        </w:tabs>
      </w:pPr>
    </w:p>
    <w:p w:rsidR="00845455" w:rsidP="00845455" w14:paraId="14C5A634" w14:textId="0B22583C">
      <w:pPr>
        <w:shd w:val="solid" w:color="FFFFFF" w:fill="FFFFFF"/>
        <w:tabs>
          <w:tab w:val="left" w:pos="360"/>
          <w:tab w:val="left" w:pos="840"/>
        </w:tabs>
        <w:ind w:left="720"/>
      </w:pPr>
      <w:r w:rsidRPr="00AD4DB9">
        <w:t>T</w:t>
      </w:r>
      <w:r>
        <w:t xml:space="preserve">he proposed </w:t>
      </w:r>
      <w:r w:rsidR="00146DF1">
        <w:t>202</w:t>
      </w:r>
      <w:r w:rsidR="004516B4">
        <w:t>6</w:t>
      </w:r>
      <w:r w:rsidRPr="00AD4DB9">
        <w:t xml:space="preserve"> CSLLEA instrument will indicate the type of functions performed including patrol and response, criminal investigation, </w:t>
      </w:r>
      <w:r>
        <w:t>traffic</w:t>
      </w:r>
      <w:r w:rsidR="007D7F5C">
        <w:t xml:space="preserve"> and vehicle-related</w:t>
      </w:r>
      <w:r>
        <w:t xml:space="preserve">, </w:t>
      </w:r>
      <w:r w:rsidRPr="00AD4DB9">
        <w:t>detention-related, court-related services</w:t>
      </w:r>
      <w:r>
        <w:t>, forensic services, task force participation</w:t>
      </w:r>
      <w:r w:rsidR="00F07790">
        <w:t>,</w:t>
      </w:r>
      <w:r>
        <w:t xml:space="preserve"> and specialized functions</w:t>
      </w:r>
      <w:r w:rsidRPr="00AD4DB9">
        <w:t xml:space="preserve">. Detailed sub-functions in each of these sections will provide a descriptive overview of the various services and roles law enforcement agencies provide to the community and general criminal justice system. </w:t>
      </w:r>
    </w:p>
    <w:p w:rsidR="00845455" w:rsidRPr="002476E1" w:rsidP="00845455" w14:paraId="7D85D667" w14:textId="77777777">
      <w:pPr>
        <w:shd w:val="solid" w:color="FFFFFF" w:fill="FFFFFF"/>
        <w:tabs>
          <w:tab w:val="left" w:pos="360"/>
          <w:tab w:val="left" w:pos="840"/>
        </w:tabs>
      </w:pPr>
    </w:p>
    <w:p w:rsidR="00845455" w:rsidP="00845455" w14:paraId="127F327E" w14:textId="6FED7EA2">
      <w:pPr>
        <w:pStyle w:val="ListParagraph"/>
        <w:numPr>
          <w:ilvl w:val="0"/>
          <w:numId w:val="33"/>
        </w:numPr>
        <w:shd w:val="solid" w:color="FFFFFF" w:fill="FFFFFF"/>
        <w:tabs>
          <w:tab w:val="left" w:pos="360"/>
          <w:tab w:val="left" w:pos="840"/>
        </w:tabs>
        <w:autoSpaceDE w:val="0"/>
        <w:autoSpaceDN w:val="0"/>
        <w:adjustRightInd w:val="0"/>
      </w:pPr>
      <w:r>
        <w:t>Personnel (</w:t>
      </w:r>
      <w:r w:rsidR="007D7F5C">
        <w:t>Q14-1</w:t>
      </w:r>
      <w:r w:rsidR="007F64C1">
        <w:t>7</w:t>
      </w:r>
      <w:r>
        <w:t>)</w:t>
      </w:r>
    </w:p>
    <w:p w:rsidR="00845455" w:rsidP="00845455" w14:paraId="34C0D607" w14:textId="77777777">
      <w:pPr>
        <w:pStyle w:val="ListParagraph"/>
        <w:shd w:val="solid" w:color="FFFFFF" w:fill="FFFFFF"/>
        <w:tabs>
          <w:tab w:val="left" w:pos="360"/>
          <w:tab w:val="left" w:pos="840"/>
        </w:tabs>
      </w:pPr>
    </w:p>
    <w:p w:rsidR="00845455" w:rsidP="00845455" w14:paraId="64DFA49B" w14:textId="1A5B7303">
      <w:pPr>
        <w:numPr>
          <w:ilvl w:val="12"/>
          <w:numId w:val="0"/>
        </w:numPr>
        <w:shd w:val="solid" w:color="FFFFFF" w:fill="FFFFFF"/>
        <w:tabs>
          <w:tab w:val="left" w:pos="360"/>
          <w:tab w:val="left" w:pos="840"/>
        </w:tabs>
        <w:ind w:left="720"/>
      </w:pPr>
      <w:r>
        <w:t xml:space="preserve">The proposed </w:t>
      </w:r>
      <w:r w:rsidR="00146DF1">
        <w:t>202</w:t>
      </w:r>
      <w:r w:rsidR="004516B4">
        <w:t>6</w:t>
      </w:r>
      <w:r w:rsidRPr="00AD4DB9">
        <w:t xml:space="preserve"> CSLLEA instrument will collect detailed information on the number of full-time and part-time</w:t>
      </w:r>
      <w:r w:rsidR="002E07E8">
        <w:t xml:space="preserve"> paid agency employees by sworn status</w:t>
      </w:r>
      <w:r w:rsidR="000944C0">
        <w:t xml:space="preserve"> (Q</w:t>
      </w:r>
      <w:r w:rsidR="007D7F5C">
        <w:t>14</w:t>
      </w:r>
      <w:r w:rsidR="000944C0">
        <w:t>)</w:t>
      </w:r>
      <w:r w:rsidR="002E07E8">
        <w:t xml:space="preserve">. The CSLLEA will collect personnel counts for sworn officers with general arrest powers, </w:t>
      </w:r>
      <w:r w:rsidR="00DA2DA0">
        <w:t>officers with limited or no arrest powers</w:t>
      </w:r>
      <w:r w:rsidRPr="00AD4DB9">
        <w:t>, and non-sworn</w:t>
      </w:r>
      <w:r w:rsidR="002E07E8">
        <w:t>/civilian</w:t>
      </w:r>
      <w:r w:rsidRPr="00AD4DB9">
        <w:t xml:space="preserve"> personnel in </w:t>
      </w:r>
      <w:r>
        <w:t>law enforcement</w:t>
      </w:r>
      <w:r w:rsidRPr="00AD4DB9">
        <w:t xml:space="preserve"> agencies. These counts provide a general description of agency size and are used to identify changes in the number and type of personnel employed nationally</w:t>
      </w:r>
      <w:r>
        <w:t xml:space="preserve">.  </w:t>
      </w:r>
    </w:p>
    <w:p w:rsidR="00845455" w:rsidP="00845455" w14:paraId="72BAB4E2" w14:textId="77777777">
      <w:pPr>
        <w:numPr>
          <w:ilvl w:val="12"/>
          <w:numId w:val="0"/>
        </w:numPr>
        <w:shd w:val="solid" w:color="FFFFFF" w:fill="FFFFFF"/>
        <w:tabs>
          <w:tab w:val="left" w:pos="360"/>
          <w:tab w:val="left" w:pos="840"/>
        </w:tabs>
        <w:ind w:left="720"/>
      </w:pPr>
    </w:p>
    <w:p w:rsidR="00845455" w:rsidP="00845455" w14:paraId="7FBA357D" w14:textId="2896BDF3">
      <w:pPr>
        <w:numPr>
          <w:ilvl w:val="12"/>
          <w:numId w:val="0"/>
        </w:numPr>
        <w:shd w:val="solid" w:color="FFFFFF" w:fill="FFFFFF"/>
        <w:tabs>
          <w:tab w:val="left" w:pos="360"/>
          <w:tab w:val="left" w:pos="840"/>
        </w:tabs>
        <w:ind w:left="720"/>
      </w:pPr>
      <w:r w:rsidRPr="00AD4DB9">
        <w:t xml:space="preserve">In addition to providing a national enumeration of personnel employed by law enforcement agencies, the instrument will collect data on the sex of </w:t>
      </w:r>
      <w:r w:rsidR="00DA2DA0">
        <w:t>full-time personnel by sworn status</w:t>
      </w:r>
      <w:r w:rsidR="000944C0">
        <w:t xml:space="preserve"> (Q</w:t>
      </w:r>
      <w:r w:rsidR="007D7F5C">
        <w:t>15</w:t>
      </w:r>
      <w:r w:rsidR="000944C0">
        <w:t>)</w:t>
      </w:r>
      <w:r w:rsidRPr="00AD4DB9">
        <w:t xml:space="preserve">. </w:t>
      </w:r>
      <w:r>
        <w:t>There has been increased attention on the number of women in law enforcement</w:t>
      </w:r>
      <w:r w:rsidR="00707986">
        <w:t>,</w:t>
      </w:r>
      <w:r>
        <w:t xml:space="preserve"> and the CSLLEA will be able to provide this information for every law enforcement agency in the U</w:t>
      </w:r>
      <w:r w:rsidR="00707986">
        <w:t xml:space="preserve">nited </w:t>
      </w:r>
      <w:r>
        <w:t>S</w:t>
      </w:r>
      <w:r w:rsidR="00707986">
        <w:t>tates</w:t>
      </w:r>
      <w:r>
        <w:t xml:space="preserve">. </w:t>
      </w:r>
    </w:p>
    <w:p w:rsidR="00BF78EB" w:rsidP="004516B4" w14:paraId="332852CC" w14:textId="2CFD33B4">
      <w:pPr>
        <w:numPr>
          <w:ilvl w:val="12"/>
          <w:numId w:val="0"/>
        </w:numPr>
        <w:shd w:val="solid" w:color="FFFFFF" w:fill="FFFFFF"/>
        <w:tabs>
          <w:tab w:val="left" w:pos="360"/>
          <w:tab w:val="left" w:pos="840"/>
        </w:tabs>
      </w:pPr>
    </w:p>
    <w:p w:rsidR="00BF78EB" w:rsidP="00845455" w14:paraId="08B540D5" w14:textId="26C14223">
      <w:pPr>
        <w:numPr>
          <w:ilvl w:val="12"/>
          <w:numId w:val="0"/>
        </w:numPr>
        <w:shd w:val="solid" w:color="FFFFFF" w:fill="FFFFFF"/>
        <w:tabs>
          <w:tab w:val="left" w:pos="360"/>
          <w:tab w:val="left" w:pos="840"/>
        </w:tabs>
        <w:ind w:left="720"/>
      </w:pPr>
      <w:r>
        <w:t>Q</w:t>
      </w:r>
      <w:r w:rsidR="007F64C1">
        <w:t>16</w:t>
      </w:r>
      <w:r>
        <w:t xml:space="preserve"> collect</w:t>
      </w:r>
      <w:r w:rsidR="004516B4">
        <w:t>s</w:t>
      </w:r>
      <w:r>
        <w:t xml:space="preserve"> the race and Hispanic origin of full-time sworn officers. </w:t>
      </w:r>
      <w:r w:rsidR="004516B4">
        <w:t>This was added as a new item on the 2022 CSLLEA</w:t>
      </w:r>
      <w:r>
        <w:t xml:space="preserve"> </w:t>
      </w:r>
      <w:r w:rsidR="004516B4">
        <w:t>because of increasing</w:t>
      </w:r>
      <w:r>
        <w:t xml:space="preserve"> </w:t>
      </w:r>
      <w:r w:rsidR="00A76022">
        <w:t>interest in</w:t>
      </w:r>
      <w:r>
        <w:t xml:space="preserve"> the racial composition of law enforcement</w:t>
      </w:r>
      <w:r w:rsidR="004516B4">
        <w:t>. Prior to the 2022 CSLLEA, these estimates had</w:t>
      </w:r>
      <w:r>
        <w:t xml:space="preserve"> only </w:t>
      </w:r>
      <w:r w:rsidR="004516B4">
        <w:t xml:space="preserve">been </w:t>
      </w:r>
      <w:r>
        <w:t>available for general</w:t>
      </w:r>
      <w:r w:rsidR="00A66F73">
        <w:t>-</w:t>
      </w:r>
      <w:r>
        <w:t xml:space="preserve">purpose law enforcement agencies through the LEMAS. </w:t>
      </w:r>
      <w:r w:rsidR="004516B4">
        <w:t>Maintaining this item on the CSLLEA</w:t>
      </w:r>
      <w:r>
        <w:t xml:space="preserve"> will allow BJS to generate </w:t>
      </w:r>
      <w:r w:rsidR="004516B4">
        <w:t xml:space="preserve">trend </w:t>
      </w:r>
      <w:r>
        <w:t>estimates by race across all types of law enforcement agencies.</w:t>
      </w:r>
      <w:r w:rsidR="00014493">
        <w:t xml:space="preserve"> </w:t>
      </w:r>
    </w:p>
    <w:p w:rsidR="007F64C1" w:rsidP="00845455" w14:paraId="357FD36D" w14:textId="77777777">
      <w:pPr>
        <w:numPr>
          <w:ilvl w:val="12"/>
          <w:numId w:val="0"/>
        </w:numPr>
        <w:shd w:val="solid" w:color="FFFFFF" w:fill="FFFFFF"/>
        <w:tabs>
          <w:tab w:val="left" w:pos="360"/>
          <w:tab w:val="left" w:pos="840"/>
        </w:tabs>
        <w:ind w:left="720"/>
      </w:pPr>
    </w:p>
    <w:p w:rsidR="007F64C1" w:rsidRPr="00AD4DB9" w:rsidP="00845455" w14:paraId="151D8C26" w14:textId="53BF8F99">
      <w:pPr>
        <w:numPr>
          <w:ilvl w:val="12"/>
          <w:numId w:val="0"/>
        </w:numPr>
        <w:shd w:val="solid" w:color="FFFFFF" w:fill="FFFFFF"/>
        <w:tabs>
          <w:tab w:val="left" w:pos="360"/>
          <w:tab w:val="left" w:pos="840"/>
        </w:tabs>
        <w:ind w:left="720"/>
      </w:pPr>
      <w:r>
        <w:t>Q17 collects the number of personnel primarily assigned to work in any public K-12 school by sworn status. This item allows BJS to provide a national estimate of school resource officers (SROs), which has been another topic of interest in recent years. Additionally, maintaining a roster of agencies with SROs provides BJS with a frame should BJS decide to administer another wave of the Survey of Law Enforcement Personnel in Schools (</w:t>
      </w:r>
      <w:r w:rsidRPr="0062376F" w:rsidR="0062376F">
        <w:t>OMB No.</w:t>
      </w:r>
      <w:r>
        <w:t>1121-</w:t>
      </w:r>
      <w:r w:rsidR="0089766F">
        <w:t>0367)</w:t>
      </w:r>
      <w:r>
        <w:t>, which was conducted in 2019.</w:t>
      </w:r>
    </w:p>
    <w:p w:rsidR="00845455" w:rsidP="00845455" w14:paraId="25A2F220" w14:textId="77777777">
      <w:pPr>
        <w:numPr>
          <w:ilvl w:val="12"/>
          <w:numId w:val="0"/>
        </w:numPr>
        <w:shd w:val="solid" w:color="FFFFFF" w:fill="FFFFFF"/>
        <w:tabs>
          <w:tab w:val="left" w:pos="360"/>
          <w:tab w:val="left" w:pos="840"/>
        </w:tabs>
      </w:pPr>
    </w:p>
    <w:p w:rsidR="000D7AC5" w:rsidP="00980B1A" w14:paraId="261BA2F9" w14:textId="0FC4DA9A">
      <w:pPr>
        <w:numPr>
          <w:ilvl w:val="12"/>
          <w:numId w:val="0"/>
        </w:numPr>
        <w:shd w:val="solid" w:color="FFFFFF" w:fill="FFFFFF"/>
        <w:tabs>
          <w:tab w:val="left" w:pos="360"/>
          <w:tab w:val="left" w:pos="840"/>
        </w:tabs>
      </w:pPr>
      <w:r>
        <w:t>T</w:t>
      </w:r>
      <w:r w:rsidR="00845455">
        <w:t xml:space="preserve">he </w:t>
      </w:r>
      <w:r w:rsidR="00146DF1">
        <w:t>202</w:t>
      </w:r>
      <w:r w:rsidR="004516B4">
        <w:t>6</w:t>
      </w:r>
      <w:r w:rsidR="00146DF1">
        <w:t xml:space="preserve"> </w:t>
      </w:r>
      <w:r w:rsidR="00845455">
        <w:t xml:space="preserve">CSLLEA data </w:t>
      </w:r>
      <w:r w:rsidRPr="000578A0" w:rsidR="00845455">
        <w:t xml:space="preserve">collection will begin </w:t>
      </w:r>
      <w:r w:rsidRPr="000578A0">
        <w:t xml:space="preserve">in </w:t>
      </w:r>
      <w:r w:rsidRPr="000578A0" w:rsidR="004516B4">
        <w:t>November</w:t>
      </w:r>
      <w:r w:rsidRPr="000578A0">
        <w:t xml:space="preserve"> </w:t>
      </w:r>
      <w:r w:rsidRPr="000578A0" w:rsidR="00146DF1">
        <w:t>202</w:t>
      </w:r>
      <w:r w:rsidRPr="000578A0" w:rsidR="004516B4">
        <w:t>6</w:t>
      </w:r>
      <w:r w:rsidRPr="000578A0" w:rsidR="00146DF1">
        <w:t xml:space="preserve"> </w:t>
      </w:r>
      <w:r w:rsidRPr="000578A0" w:rsidR="00845455">
        <w:t xml:space="preserve">and </w:t>
      </w:r>
      <w:r w:rsidRPr="000578A0" w:rsidR="00A66F73">
        <w:t xml:space="preserve">end </w:t>
      </w:r>
      <w:r w:rsidRPr="000578A0" w:rsidR="002E64D7">
        <w:t xml:space="preserve">in </w:t>
      </w:r>
      <w:r w:rsidRPr="000578A0" w:rsidR="005E0195">
        <w:t>August</w:t>
      </w:r>
      <w:r w:rsidRPr="000578A0">
        <w:t xml:space="preserve"> </w:t>
      </w:r>
      <w:r w:rsidRPr="000578A0" w:rsidR="00845455">
        <w:t>20</w:t>
      </w:r>
      <w:r w:rsidRPr="000578A0" w:rsidR="00146DF1">
        <w:t>2</w:t>
      </w:r>
      <w:r w:rsidRPr="000578A0" w:rsidR="004516B4">
        <w:t>7</w:t>
      </w:r>
      <w:r w:rsidRPr="000578A0" w:rsidR="00845455">
        <w:t>. During this 9-month data collection</w:t>
      </w:r>
      <w:r w:rsidR="00845455">
        <w:t>, the instrument will be administered to approximately 2</w:t>
      </w:r>
      <w:r w:rsidR="0089766F">
        <w:t>2</w:t>
      </w:r>
      <w:r w:rsidR="00845455">
        <w:t>,000 law enforcement agencies in the U</w:t>
      </w:r>
      <w:r w:rsidR="004475BA">
        <w:t xml:space="preserve">nited </w:t>
      </w:r>
      <w:r w:rsidR="00845455">
        <w:t>S</w:t>
      </w:r>
      <w:r w:rsidR="004475BA">
        <w:t>tates</w:t>
      </w:r>
      <w:r w:rsidR="00845455">
        <w:t xml:space="preserve">. </w:t>
      </w:r>
    </w:p>
    <w:p w:rsidR="00AF7585" w:rsidP="00DE678D" w14:paraId="45A055BC" w14:textId="77777777">
      <w:pPr>
        <w:keepNext/>
        <w:keepLines/>
      </w:pPr>
    </w:p>
    <w:p w:rsidR="009B26ED" w:rsidRPr="009B26ED" w:rsidP="009B26ED" w14:paraId="714BE3EE" w14:textId="77777777">
      <w:pPr>
        <w:pStyle w:val="Heading2"/>
        <w:spacing w:before="0" w:after="120"/>
        <w:rPr>
          <w:rFonts w:ascii="Times New Roman" w:eastAsia="Times New Roman" w:hAnsi="Times New Roman" w:cs="Times New Roman"/>
          <w:b/>
          <w:color w:val="auto"/>
          <w:sz w:val="24"/>
          <w:szCs w:val="24"/>
        </w:rPr>
      </w:pPr>
      <w:r w:rsidRPr="009B26ED">
        <w:rPr>
          <w:rFonts w:ascii="Times New Roman" w:eastAsia="Times New Roman" w:hAnsi="Times New Roman" w:cs="Times New Roman"/>
          <w:b/>
          <w:color w:val="auto"/>
          <w:sz w:val="24"/>
          <w:szCs w:val="24"/>
        </w:rPr>
        <w:t xml:space="preserve">2. Indicate how, by whom, and for what purpose the information is to be used. Except for a new collection, indicate the actual use the agency has made of the information received from the current collection. </w:t>
      </w:r>
    </w:p>
    <w:p w:rsidR="00F133E9" w:rsidP="00F133E9" w14:paraId="53EE8DA0" w14:textId="77777777">
      <w:pPr>
        <w:numPr>
          <w:ilvl w:val="12"/>
          <w:numId w:val="0"/>
        </w:numPr>
        <w:shd w:val="solid" w:color="FFFFFF" w:fill="FFFFFF"/>
        <w:tabs>
          <w:tab w:val="left" w:pos="360"/>
          <w:tab w:val="left" w:pos="840"/>
        </w:tabs>
      </w:pPr>
    </w:p>
    <w:p w:rsidR="00F133E9" w:rsidRPr="00BE37DB" w:rsidP="00F133E9" w14:paraId="01BC0FE4" w14:textId="388B96AB">
      <w:r w:rsidRPr="00BE37DB">
        <w:t xml:space="preserve">BJS employs various methods to capture data to better understand the criminal justice system. For example, </w:t>
      </w:r>
      <w:r>
        <w:t>BJS</w:t>
      </w:r>
      <w:r w:rsidRPr="00BE37DB">
        <w:t xml:space="preserve"> capture</w:t>
      </w:r>
      <w:r>
        <w:t>s</w:t>
      </w:r>
      <w:r w:rsidRPr="00BE37DB">
        <w:t xml:space="preserve"> data on crime from resident </w:t>
      </w:r>
      <w:r>
        <w:t xml:space="preserve">and inmate </w:t>
      </w:r>
      <w:r w:rsidRPr="00BE37DB">
        <w:t xml:space="preserve">surveys and </w:t>
      </w:r>
      <w:r>
        <w:t>collects</w:t>
      </w:r>
      <w:r w:rsidRPr="00BE37DB">
        <w:t xml:space="preserve"> administrative data</w:t>
      </w:r>
      <w:r>
        <w:t xml:space="preserve"> to supplement survey data where available</w:t>
      </w:r>
      <w:r w:rsidRPr="00BE37DB">
        <w:t xml:space="preserve">. Data collections on agency characteristics are primarily conducted through establishment surveys, and this is the primary data collection vehicle for the law enforcement core collections. The </w:t>
      </w:r>
      <w:r>
        <w:t>CSLLEA</w:t>
      </w:r>
      <w:r w:rsidRPr="00BE37DB">
        <w:t xml:space="preserve"> is the only systematic establishment survey that produces </w:t>
      </w:r>
      <w:r>
        <w:t>local-level</w:t>
      </w:r>
      <w:r w:rsidRPr="00BE37DB">
        <w:t xml:space="preserve"> estimates of personnel</w:t>
      </w:r>
      <w:r>
        <w:t xml:space="preserve"> and functions of almost every law enforcement agency in the U</w:t>
      </w:r>
      <w:r w:rsidR="004475BA">
        <w:t xml:space="preserve">nited </w:t>
      </w:r>
      <w:r>
        <w:t>S</w:t>
      </w:r>
      <w:r w:rsidR="004475BA">
        <w:t>tates</w:t>
      </w:r>
      <w:r w:rsidRPr="00BE37DB">
        <w:t xml:space="preserve">. </w:t>
      </w:r>
    </w:p>
    <w:p w:rsidR="00F133E9" w:rsidRPr="00AD4DB9" w:rsidP="00F133E9" w14:paraId="26BA4C5C" w14:textId="77777777">
      <w:pPr>
        <w:numPr>
          <w:ilvl w:val="12"/>
          <w:numId w:val="0"/>
        </w:numPr>
        <w:shd w:val="solid" w:color="FFFFFF" w:fill="FFFFFF"/>
        <w:tabs>
          <w:tab w:val="left" w:pos="360"/>
          <w:tab w:val="left" w:pos="840"/>
        </w:tabs>
      </w:pPr>
    </w:p>
    <w:p w:rsidR="00F133E9" w:rsidRPr="009B26ED" w:rsidP="009B26ED" w14:paraId="5410378B" w14:textId="77777777">
      <w:pPr>
        <w:numPr>
          <w:ilvl w:val="12"/>
          <w:numId w:val="0"/>
        </w:numPr>
        <w:spacing w:after="160" w:line="252" w:lineRule="auto"/>
        <w:rPr>
          <w:rFonts w:eastAsiaTheme="minorEastAsia"/>
          <w:b/>
          <w:bCs/>
          <w:u w:val="single"/>
        </w:rPr>
      </w:pPr>
      <w:r w:rsidRPr="009B26ED">
        <w:rPr>
          <w:rFonts w:eastAsiaTheme="minorEastAsia"/>
          <w:b/>
          <w:bCs/>
          <w:u w:val="single"/>
        </w:rPr>
        <w:t>BJS Needs and Uses</w:t>
      </w:r>
    </w:p>
    <w:p w:rsidR="00F133E9" w:rsidRPr="00AD4DB9" w:rsidP="7834E123" w14:paraId="5EE08775" w14:textId="6404BD70">
      <w:pPr>
        <w:shd w:val="clear" w:color="auto" w:fill="FFFFFF" w:themeFill="background1"/>
        <w:tabs>
          <w:tab w:val="left" w:pos="360"/>
          <w:tab w:val="left" w:pos="840"/>
        </w:tabs>
      </w:pPr>
      <w:r>
        <w:t>The primary use of the national law enforcement roster</w:t>
      </w:r>
      <w:r w:rsidR="009B26ED">
        <w:t xml:space="preserve"> developed through the CSLLEA</w:t>
      </w:r>
      <w:r>
        <w:t xml:space="preserve"> is to ensure an accurate universe of agencies for all BJS law enforcement programs, including the LEMAS core and supplement surveys</w:t>
      </w:r>
      <w:r w:rsidR="0066379C">
        <w:t xml:space="preserve"> and</w:t>
      </w:r>
      <w:r>
        <w:t xml:space="preserve"> CPFFCL. </w:t>
      </w:r>
    </w:p>
    <w:p w:rsidR="00F133E9" w:rsidRPr="00AD4DB9" w:rsidP="00F133E9" w14:paraId="66B970A3" w14:textId="77777777">
      <w:pPr>
        <w:numPr>
          <w:ilvl w:val="12"/>
          <w:numId w:val="0"/>
        </w:numPr>
        <w:shd w:val="solid" w:color="FFFFFF" w:fill="FFFFFF"/>
        <w:tabs>
          <w:tab w:val="left" w:pos="360"/>
          <w:tab w:val="left" w:pos="840"/>
        </w:tabs>
      </w:pPr>
    </w:p>
    <w:p w:rsidR="00F133E9" w:rsidP="00F133E9" w14:paraId="732314F3" w14:textId="44554A62">
      <w:pPr>
        <w:numPr>
          <w:ilvl w:val="12"/>
          <w:numId w:val="0"/>
        </w:numPr>
        <w:shd w:val="solid" w:color="FFFFFF" w:fill="FFFFFF"/>
        <w:tabs>
          <w:tab w:val="left" w:pos="360"/>
          <w:tab w:val="left" w:pos="840"/>
        </w:tabs>
      </w:pPr>
      <w:r w:rsidRPr="00AD4DB9">
        <w:t>Since 1987, BJ</w:t>
      </w:r>
      <w:r>
        <w:t xml:space="preserve">S has successfully </w:t>
      </w:r>
      <w:r w:rsidRPr="00ED542D">
        <w:t>implemented 1</w:t>
      </w:r>
      <w:r w:rsidRPr="00ED542D" w:rsidR="00030921">
        <w:t>2</w:t>
      </w:r>
      <w:r w:rsidRPr="00ED542D">
        <w:t xml:space="preserve"> waves of the LEMAS (</w:t>
      </w:r>
      <w:r w:rsidRPr="00C37FED" w:rsidR="00C37FED">
        <w:t>OMB No.</w:t>
      </w:r>
      <w:r w:rsidRPr="00ED542D">
        <w:t xml:space="preserve">1121-0240) core survey. The LEMAS core samples roughly 3,500 state and local agencies and provides national estimates about the characteristics of the </w:t>
      </w:r>
      <w:r w:rsidRPr="00ED542D" w:rsidR="0011542F">
        <w:t xml:space="preserve">approximately </w:t>
      </w:r>
      <w:r w:rsidRPr="00ED542D" w:rsidR="00030921">
        <w:t>14,700</w:t>
      </w:r>
      <w:r w:rsidRPr="00AD4DB9" w:rsidR="0011542F">
        <w:t xml:space="preserve"> </w:t>
      </w:r>
      <w:r w:rsidRPr="00AD4DB9">
        <w:t>state and local general</w:t>
      </w:r>
      <w:r w:rsidR="00A66F73">
        <w:t>-</w:t>
      </w:r>
      <w:r w:rsidRPr="00AD4DB9">
        <w:t xml:space="preserve">purpose law enforcement agencies; the functions they perform; the resources available to them; the number, type, and working conditions of their employees; the automation of agency functions and their information systems; the extent to which weapons are authorized and used; the formal policies that guide and restrict the behavior of sworn personnel; and the organizational responses utilized by these agencies to address contemporary </w:t>
      </w:r>
      <w:r>
        <w:t xml:space="preserve">law enforcement challenges. Agency type and </w:t>
      </w:r>
      <w:r w:rsidR="00AC5264">
        <w:t xml:space="preserve">the </w:t>
      </w:r>
      <w:r>
        <w:t>number of full-time sworn officers</w:t>
      </w:r>
      <w:r w:rsidRPr="00AD4DB9">
        <w:t xml:space="preserve"> collected through the </w:t>
      </w:r>
      <w:r>
        <w:t>CSLLEA</w:t>
      </w:r>
      <w:r w:rsidRPr="00AD4DB9">
        <w:t xml:space="preserve"> are </w:t>
      </w:r>
      <w:r w:rsidR="00C51B4A">
        <w:t>necessary</w:t>
      </w:r>
      <w:r w:rsidRPr="00AD4DB9" w:rsidR="00C51B4A">
        <w:t xml:space="preserve"> </w:t>
      </w:r>
      <w:r w:rsidRPr="00AD4DB9">
        <w:t xml:space="preserve">to draw a </w:t>
      </w:r>
      <w:r>
        <w:t>representative</w:t>
      </w:r>
      <w:r w:rsidRPr="00AD4DB9">
        <w:t xml:space="preserve"> sample of agencies for the LEMAS survey.  </w:t>
      </w:r>
    </w:p>
    <w:p w:rsidR="00F133E9" w:rsidP="00F133E9" w14:paraId="23E79229" w14:textId="77777777">
      <w:pPr>
        <w:numPr>
          <w:ilvl w:val="12"/>
          <w:numId w:val="0"/>
        </w:numPr>
        <w:shd w:val="solid" w:color="FFFFFF" w:fill="FFFFFF"/>
        <w:tabs>
          <w:tab w:val="left" w:pos="360"/>
          <w:tab w:val="left" w:pos="840"/>
        </w:tabs>
      </w:pPr>
    </w:p>
    <w:p w:rsidR="00F133E9" w:rsidRPr="00255EEB" w:rsidP="00F133E9" w14:paraId="05DEE752" w14:textId="0590181E">
      <w:pPr>
        <w:numPr>
          <w:ilvl w:val="12"/>
          <w:numId w:val="0"/>
        </w:numPr>
        <w:shd w:val="solid" w:color="FFFFFF" w:fill="FFFFFF"/>
        <w:tabs>
          <w:tab w:val="left" w:pos="360"/>
          <w:tab w:val="left" w:pos="840"/>
        </w:tabs>
      </w:pPr>
      <w:r>
        <w:t>Similar to</w:t>
      </w:r>
      <w:r>
        <w:t xml:space="preserve"> LEMAS, the CPFFCL </w:t>
      </w:r>
      <w:r w:rsidR="00EC3C20">
        <w:t>(</w:t>
      </w:r>
      <w:r w:rsidRPr="00C37FED" w:rsidR="00C37FED">
        <w:t>OMB No.</w:t>
      </w:r>
      <w:r w:rsidR="00EC3C20">
        <w:t xml:space="preserve">1121-0269) </w:t>
      </w:r>
      <w:r>
        <w:t>collection rel</w:t>
      </w:r>
      <w:r w:rsidR="0011542F">
        <w:t>ies</w:t>
      </w:r>
      <w:r>
        <w:t xml:space="preserve"> on the CSLLEA for frame development. </w:t>
      </w:r>
      <w:r w:rsidRPr="00711865">
        <w:t>The CPFFCL</w:t>
      </w:r>
      <w:r w:rsidRPr="00255EEB">
        <w:t xml:space="preserve"> is a </w:t>
      </w:r>
      <w:r>
        <w:t>survey administered to</w:t>
      </w:r>
      <w:r w:rsidRPr="00255EEB">
        <w:t xml:space="preserve"> approximately 500 </w:t>
      </w:r>
      <w:r w:rsidR="00247CC4">
        <w:t>publicly</w:t>
      </w:r>
      <w:r w:rsidR="00EC3C20">
        <w:t xml:space="preserve"> </w:t>
      </w:r>
      <w:r w:rsidRPr="00255EEB">
        <w:t>funded forensic crime laboratories in the U</w:t>
      </w:r>
      <w:r w:rsidR="004475BA">
        <w:t xml:space="preserve">nited </w:t>
      </w:r>
      <w:r w:rsidRPr="00255EEB">
        <w:t>S</w:t>
      </w:r>
      <w:r w:rsidR="004475BA">
        <w:t>tates</w:t>
      </w:r>
      <w:r>
        <w:t>, a majority of which are connected to a law enforcement agency</w:t>
      </w:r>
      <w:r w:rsidRPr="00255EEB">
        <w:t xml:space="preserve">. </w:t>
      </w:r>
      <w:r>
        <w:t xml:space="preserve">BJS has conducted the CPFFCL periodically since 2002. </w:t>
      </w:r>
      <w:r>
        <w:t>The CSLLEA</w:t>
      </w:r>
      <w:r>
        <w:t xml:space="preserve"> provides necessary information for developing the CPFFCL frame by identifying which law enforcement agencies run a forensic crime laboratory. </w:t>
      </w:r>
    </w:p>
    <w:p w:rsidR="00F133E9" w:rsidRPr="00AD4DB9" w:rsidP="00F133E9" w14:paraId="535CDFA6" w14:textId="77777777">
      <w:pPr>
        <w:numPr>
          <w:ilvl w:val="12"/>
          <w:numId w:val="0"/>
        </w:numPr>
        <w:shd w:val="solid" w:color="FFFFFF" w:fill="FFFFFF"/>
        <w:tabs>
          <w:tab w:val="left" w:pos="360"/>
          <w:tab w:val="left" w:pos="840"/>
        </w:tabs>
      </w:pPr>
    </w:p>
    <w:p w:rsidR="007741E1" w:rsidRPr="007741E1" w:rsidP="007741E1" w14:paraId="7ACD89BF" w14:textId="19ECD280">
      <w:pPr>
        <w:numPr>
          <w:ilvl w:val="12"/>
          <w:numId w:val="0"/>
        </w:numPr>
        <w:shd w:val="solid" w:color="FFFFFF" w:fill="FFFFFF"/>
        <w:tabs>
          <w:tab w:val="left" w:pos="360"/>
          <w:tab w:val="left" w:pos="840"/>
        </w:tabs>
      </w:pPr>
      <w:r w:rsidRPr="00AD4DB9">
        <w:t>In addition to the general</w:t>
      </w:r>
      <w:r w:rsidR="0083608B">
        <w:t>-</w:t>
      </w:r>
      <w:r w:rsidRPr="00AD4DB9">
        <w:t>purpose agencies captured in the LEMAS survey, the C</w:t>
      </w:r>
      <w:r>
        <w:t>SLLEA frame</w:t>
      </w:r>
      <w:r w:rsidRPr="00AD4DB9">
        <w:t xml:space="preserve"> provides a means for identifying a variety of special</w:t>
      </w:r>
      <w:r w:rsidR="00B440D2">
        <w:t>-</w:t>
      </w:r>
      <w:r w:rsidRPr="00AD4DB9">
        <w:t xml:space="preserve">purpose agencies. Special jurisdiction law enforcement agencies are responsible for providing police services in areas within another jurisdiction. These types of agencies are usually full-service departments </w:t>
      </w:r>
      <w:r w:rsidR="00E31222">
        <w:t xml:space="preserve">that are </w:t>
      </w:r>
      <w:r w:rsidRPr="00AD4DB9">
        <w:t xml:space="preserve">granted law enforcement authority in parks, transportation assets (e.g., airports, subways), housing authorities, schools, hospitals, </w:t>
      </w:r>
      <w:r>
        <w:t>or</w:t>
      </w:r>
      <w:r w:rsidRPr="00AD4DB9">
        <w:t xml:space="preserve"> government buildings. The single largest type of special</w:t>
      </w:r>
      <w:r w:rsidR="00B440D2">
        <w:t>-</w:t>
      </w:r>
      <w:r w:rsidRPr="00AD4DB9">
        <w:t>purpose law enforcement agenc</w:t>
      </w:r>
      <w:r w:rsidR="00B440D2">
        <w:t xml:space="preserve">y is </w:t>
      </w:r>
      <w:r w:rsidRPr="00AD4DB9">
        <w:t>campus police, which BJS surveyed in 1995, 2005, 2012</w:t>
      </w:r>
      <w:r w:rsidR="005E0195">
        <w:t>, and 2021</w:t>
      </w:r>
      <w:r w:rsidRPr="00AD4DB9">
        <w:t xml:space="preserve">. </w:t>
      </w:r>
      <w:r w:rsidR="00E31222">
        <w:t xml:space="preserve">The 2021 SCLEA used the 2018 CSLLEA for frame development. </w:t>
      </w:r>
      <w:r w:rsidR="008C30B5">
        <w:t>The 202</w:t>
      </w:r>
      <w:r w:rsidR="003910FE">
        <w:t>2</w:t>
      </w:r>
      <w:r w:rsidR="008C30B5">
        <w:t xml:space="preserve"> CSLLEA provide</w:t>
      </w:r>
      <w:r w:rsidR="003910FE">
        <w:t>d</w:t>
      </w:r>
      <w:r w:rsidR="008C30B5">
        <w:t xml:space="preserve"> personnel count updates for </w:t>
      </w:r>
      <w:r w:rsidR="003910FE">
        <w:t xml:space="preserve">public </w:t>
      </w:r>
      <w:r w:rsidR="008C30B5">
        <w:t xml:space="preserve">campus </w:t>
      </w:r>
      <w:r w:rsidR="00467715">
        <w:t>law enforcement agencies</w:t>
      </w:r>
      <w:r w:rsidR="003910FE">
        <w:t>. The 2026 CSLLEA will update the 2022 counts for public campus law enforcement agencies, along with updating 2021 counts for private campus law enforcement agencies</w:t>
      </w:r>
      <w:r w:rsidR="00EC55AF">
        <w:t xml:space="preserve">. </w:t>
      </w:r>
      <w:r w:rsidRPr="007741E1">
        <w:t xml:space="preserve">BJS will use the results to establish a baseline and identify trends that will inform the optimal timing and frequency for future iterations of the SCLEA in subsequent years. This approach will enable data-driven scheduling decisions to maximize response rates and data quality. </w:t>
      </w:r>
    </w:p>
    <w:p w:rsidR="00F133E9" w:rsidRPr="00AD4DB9" w:rsidP="00F133E9" w14:paraId="20E08ADB" w14:textId="05D23AD1">
      <w:pPr>
        <w:numPr>
          <w:ilvl w:val="12"/>
          <w:numId w:val="0"/>
        </w:numPr>
        <w:shd w:val="solid" w:color="FFFFFF" w:fill="FFFFFF"/>
        <w:tabs>
          <w:tab w:val="left" w:pos="360"/>
          <w:tab w:val="left" w:pos="840"/>
        </w:tabs>
      </w:pPr>
    </w:p>
    <w:p w:rsidR="00F133E9" w:rsidP="00F133E9" w14:paraId="613BBD96" w14:textId="07AC7551">
      <w:pPr>
        <w:numPr>
          <w:ilvl w:val="12"/>
          <w:numId w:val="0"/>
        </w:numPr>
        <w:shd w:val="solid" w:color="FFFFFF" w:fill="FFFFFF"/>
        <w:tabs>
          <w:tab w:val="left" w:pos="360"/>
          <w:tab w:val="left" w:pos="840"/>
        </w:tabs>
      </w:pPr>
      <w:r w:rsidRPr="00AD4DB9">
        <w:t>In addition to providing a universe of agencies to ensure an accurate sampling frame, the C</w:t>
      </w:r>
      <w:r>
        <w:t>SLLEA</w:t>
      </w:r>
      <w:r w:rsidRPr="00AD4DB9">
        <w:t xml:space="preserve"> is a valuable source of descriptive information on the characteristics and trends in law enforcement in the </w:t>
      </w:r>
      <w:r>
        <w:t>U</w:t>
      </w:r>
      <w:r w:rsidR="004475BA">
        <w:t xml:space="preserve">nited </w:t>
      </w:r>
      <w:r>
        <w:t>S</w:t>
      </w:r>
      <w:r w:rsidR="004475BA">
        <w:t>tates</w:t>
      </w:r>
      <w:r>
        <w:t>. The administration of the 20</w:t>
      </w:r>
      <w:r w:rsidR="00546C71">
        <w:t>2</w:t>
      </w:r>
      <w:r w:rsidR="003910FE">
        <w:t>6</w:t>
      </w:r>
      <w:r w:rsidRPr="00AD4DB9">
        <w:t xml:space="preserve"> C</w:t>
      </w:r>
      <w:r>
        <w:t>SLLEA</w:t>
      </w:r>
      <w:r w:rsidRPr="00AD4DB9">
        <w:t xml:space="preserve"> will produce national statistics about the number of law enforcement agencies, the number of sworn and non-sworn personnel, and the range of functions performed by those age</w:t>
      </w:r>
      <w:r>
        <w:t xml:space="preserve">ncies during reference year </w:t>
      </w:r>
      <w:r w:rsidR="00BC3FAE">
        <w:t>202</w:t>
      </w:r>
      <w:r w:rsidR="003910FE">
        <w:t>6</w:t>
      </w:r>
      <w:r w:rsidRPr="00AD4DB9">
        <w:t xml:space="preserve">. </w:t>
      </w:r>
      <w:r w:rsidRPr="00AD4DB9">
        <w:t>These</w:t>
      </w:r>
      <w:r w:rsidRPr="00AD4DB9">
        <w:t xml:space="preserve"> data will be used to produce multi-year trends regarding characteristics of state, local, and special</w:t>
      </w:r>
      <w:r w:rsidR="001D34F2">
        <w:t>-</w:t>
      </w:r>
      <w:r w:rsidRPr="00AD4DB9">
        <w:t xml:space="preserve">purpose law enforcement agencies.  </w:t>
      </w:r>
    </w:p>
    <w:p w:rsidR="00F133E9" w:rsidRPr="00AD4DB9" w:rsidP="00F133E9" w14:paraId="4BE50F04" w14:textId="77777777">
      <w:pPr>
        <w:numPr>
          <w:ilvl w:val="12"/>
          <w:numId w:val="0"/>
        </w:numPr>
        <w:shd w:val="solid" w:color="FFFFFF" w:fill="FFFFFF"/>
        <w:tabs>
          <w:tab w:val="left" w:pos="360"/>
          <w:tab w:val="left" w:pos="840"/>
        </w:tabs>
      </w:pPr>
    </w:p>
    <w:p w:rsidR="00F133E9" w:rsidP="00F133E9" w14:paraId="2D7DD908" w14:textId="625D0489">
      <w:pPr>
        <w:numPr>
          <w:ilvl w:val="12"/>
          <w:numId w:val="0"/>
        </w:numPr>
        <w:shd w:val="solid" w:color="FFFFFF" w:fill="FFFFFF"/>
        <w:tabs>
          <w:tab w:val="left" w:pos="360"/>
          <w:tab w:val="left" w:pos="840"/>
        </w:tabs>
      </w:pPr>
      <w:r w:rsidRPr="00AD4DB9">
        <w:t>Without the C</w:t>
      </w:r>
      <w:r>
        <w:t>SLLEA</w:t>
      </w:r>
      <w:r w:rsidRPr="00AD4DB9">
        <w:t xml:space="preserve"> data, BJS will be unable to describe the functions performed by </w:t>
      </w:r>
      <w:r>
        <w:t xml:space="preserve">law enforcement </w:t>
      </w:r>
      <w:r w:rsidRPr="00AD4DB9">
        <w:t>agencies to the nation. For example, the C</w:t>
      </w:r>
      <w:r>
        <w:t>SLLEA</w:t>
      </w:r>
      <w:r w:rsidRPr="00AD4DB9">
        <w:t xml:space="preserve"> provides concrete measures </w:t>
      </w:r>
      <w:r w:rsidRPr="00AD4DB9">
        <w:t>of</w:t>
      </w:r>
      <w:r w:rsidRPr="00AD4DB9">
        <w:t xml:space="preserve"> the extent to which </w:t>
      </w:r>
      <w:r w:rsidR="00247CC4">
        <w:t>publicly</w:t>
      </w:r>
      <w:r w:rsidRPr="00AD4DB9">
        <w:t xml:space="preserve"> funded law enforcement agencies </w:t>
      </w:r>
      <w:r w:rsidR="0047457B">
        <w:t xml:space="preserve">can provide </w:t>
      </w:r>
      <w:r w:rsidRPr="00AD4DB9">
        <w:t xml:space="preserve">specialized services, such as </w:t>
      </w:r>
      <w:r>
        <w:t>crime analysis, bomb/</w:t>
      </w:r>
      <w:r w:rsidRPr="00AD4DB9">
        <w:t xml:space="preserve">explosives disposal, underwater recovery, and </w:t>
      </w:r>
      <w:r>
        <w:t>direct victim assistance or programs</w:t>
      </w:r>
      <w:r w:rsidRPr="00AD4DB9">
        <w:t>. The C</w:t>
      </w:r>
      <w:r>
        <w:t>SLLEA</w:t>
      </w:r>
      <w:r w:rsidRPr="00AD4DB9">
        <w:t xml:space="preserve"> is also able to capture changing patterns of law enforcement personnel and functions that </w:t>
      </w:r>
      <w:r w:rsidR="00BC3FAE">
        <w:t>can</w:t>
      </w:r>
      <w:r w:rsidRPr="00AD4DB9" w:rsidR="00BC3FAE">
        <w:t xml:space="preserve"> </w:t>
      </w:r>
      <w:r w:rsidRPr="00AD4DB9">
        <w:t xml:space="preserve">then </w:t>
      </w:r>
      <w:r w:rsidR="00FB60DB">
        <w:t xml:space="preserve">be </w:t>
      </w:r>
      <w:r w:rsidRPr="00AD4DB9">
        <w:t>used to develop more detail</w:t>
      </w:r>
      <w:r w:rsidR="00BC3FAE">
        <w:t>ed</w:t>
      </w:r>
      <w:r w:rsidRPr="00AD4DB9">
        <w:t xml:space="preserve"> collections or investigations through other vehicles.</w:t>
      </w:r>
      <w:r>
        <w:t xml:space="preserve"> </w:t>
      </w:r>
    </w:p>
    <w:p w:rsidR="00F133E9" w:rsidP="00F133E9" w14:paraId="4FFBD3CF" w14:textId="77777777">
      <w:pPr>
        <w:numPr>
          <w:ilvl w:val="12"/>
          <w:numId w:val="0"/>
        </w:numPr>
        <w:shd w:val="solid" w:color="FFFFFF" w:fill="FFFFFF"/>
        <w:tabs>
          <w:tab w:val="left" w:pos="360"/>
          <w:tab w:val="left" w:pos="840"/>
        </w:tabs>
      </w:pPr>
    </w:p>
    <w:p w:rsidR="00F133E9" w:rsidRPr="00740DA0" w:rsidP="00F133E9" w14:paraId="0AF9861E" w14:textId="677DF86F">
      <w:r w:rsidRPr="00740DA0">
        <w:t xml:space="preserve">The list below details the type of information that will be available through the </w:t>
      </w:r>
      <w:r w:rsidR="00546C71">
        <w:t>202</w:t>
      </w:r>
      <w:r w:rsidR="003910FE">
        <w:t>6</w:t>
      </w:r>
      <w:r>
        <w:t xml:space="preserve"> CSLLEA</w:t>
      </w:r>
      <w:r w:rsidRPr="00740DA0">
        <w:t xml:space="preserve"> data:</w:t>
      </w:r>
    </w:p>
    <w:p w:rsidR="00F133E9" w:rsidP="00F133E9" w14:paraId="219ADF2D" w14:textId="77777777">
      <w:pPr>
        <w:pStyle w:val="ListParagraph"/>
        <w:numPr>
          <w:ilvl w:val="0"/>
          <w:numId w:val="32"/>
        </w:numPr>
        <w:autoSpaceDE w:val="0"/>
        <w:autoSpaceDN w:val="0"/>
        <w:adjustRightInd w:val="0"/>
      </w:pPr>
      <w:r>
        <w:t>Number/percentages of law enforcement agencies by government entity</w:t>
      </w:r>
    </w:p>
    <w:p w:rsidR="00F133E9" w:rsidP="00F133E9" w14:paraId="4D70969E" w14:textId="4A76D5A1">
      <w:pPr>
        <w:pStyle w:val="ListParagraph"/>
        <w:numPr>
          <w:ilvl w:val="0"/>
          <w:numId w:val="32"/>
        </w:numPr>
        <w:autoSpaceDE w:val="0"/>
        <w:autoSpaceDN w:val="0"/>
        <w:adjustRightInd w:val="0"/>
      </w:pPr>
      <w:r>
        <w:t>Rates/percent</w:t>
      </w:r>
      <w:r w:rsidR="004475BA">
        <w:t>ages</w:t>
      </w:r>
      <w:r>
        <w:t xml:space="preserve"> of law enforcement agencies that are primarily responsible for law enforcement</w:t>
      </w:r>
    </w:p>
    <w:p w:rsidR="00F133E9" w:rsidRPr="00740DA0" w:rsidP="00F133E9" w14:paraId="734EF9FF" w14:textId="77777777">
      <w:pPr>
        <w:pStyle w:val="ListParagraph"/>
        <w:numPr>
          <w:ilvl w:val="0"/>
          <w:numId w:val="32"/>
        </w:numPr>
        <w:autoSpaceDE w:val="0"/>
        <w:autoSpaceDN w:val="0"/>
        <w:adjustRightInd w:val="0"/>
      </w:pPr>
      <w:r w:rsidRPr="00740DA0">
        <w:t xml:space="preserve">Average total operating budget </w:t>
      </w:r>
    </w:p>
    <w:p w:rsidR="00F133E9" w:rsidP="00F133E9" w14:paraId="37D99A3B" w14:textId="77777777">
      <w:pPr>
        <w:pStyle w:val="ListParagraph"/>
        <w:numPr>
          <w:ilvl w:val="0"/>
          <w:numId w:val="32"/>
        </w:numPr>
      </w:pPr>
      <w:r>
        <w:t xml:space="preserve">Rates/percentages of agencies that regularly engage in the functions of patrol and response, criminal investigation, traffic and vehicle-related functions, detention, court, forensic services, special safety, task force, and specialized tasks </w:t>
      </w:r>
    </w:p>
    <w:p w:rsidR="00F133E9" w:rsidP="00F133E9" w14:paraId="31FEA72C" w14:textId="460CE7BE">
      <w:pPr>
        <w:pStyle w:val="ListParagraph"/>
        <w:numPr>
          <w:ilvl w:val="0"/>
          <w:numId w:val="32"/>
        </w:numPr>
      </w:pPr>
      <w:r w:rsidRPr="00740DA0">
        <w:t>Number of full-time and part-time sworn officers</w:t>
      </w:r>
      <w:r w:rsidR="00BC3FAE">
        <w:t xml:space="preserve"> with general arrest powers</w:t>
      </w:r>
      <w:r>
        <w:t>, officers</w:t>
      </w:r>
      <w:r w:rsidRPr="00740DA0">
        <w:t xml:space="preserve"> </w:t>
      </w:r>
      <w:r w:rsidR="00BC3FAE">
        <w:t xml:space="preserve">with limited or no arrest powers, </w:t>
      </w:r>
      <w:r w:rsidRPr="00740DA0">
        <w:t>and non-sworn</w:t>
      </w:r>
      <w:r w:rsidR="00BC3FAE">
        <w:t>/civilian</w:t>
      </w:r>
      <w:r w:rsidRPr="00740DA0">
        <w:t xml:space="preserve"> employees</w:t>
      </w:r>
    </w:p>
    <w:p w:rsidR="00F133E9" w:rsidP="00F133E9" w14:paraId="115FFF61" w14:textId="617AB1D8">
      <w:pPr>
        <w:pStyle w:val="ListParagraph"/>
        <w:numPr>
          <w:ilvl w:val="0"/>
          <w:numId w:val="32"/>
        </w:numPr>
      </w:pPr>
      <w:r w:rsidRPr="00740DA0">
        <w:t>Sex</w:t>
      </w:r>
      <w:r>
        <w:t xml:space="preserve"> of full-time sworn personnel with general arrest powers</w:t>
      </w:r>
      <w:r w:rsidR="00BC3FAE">
        <w:t>, officers</w:t>
      </w:r>
      <w:r>
        <w:t xml:space="preserve"> with limited</w:t>
      </w:r>
      <w:r w:rsidR="00BC3FAE">
        <w:t xml:space="preserve"> or no</w:t>
      </w:r>
      <w:r>
        <w:t xml:space="preserve"> arrest powers</w:t>
      </w:r>
      <w:r w:rsidR="00BC3FAE">
        <w:t>, and non-sworn/civilian personnel</w:t>
      </w:r>
    </w:p>
    <w:p w:rsidR="00BC3FAE" w:rsidP="00F133E9" w14:paraId="1DAC5624" w14:textId="0071C70C">
      <w:pPr>
        <w:pStyle w:val="ListParagraph"/>
        <w:numPr>
          <w:ilvl w:val="0"/>
          <w:numId w:val="32"/>
        </w:numPr>
      </w:pPr>
      <w:r>
        <w:t>Race and Hispanic origin of full-time sworn personnel</w:t>
      </w:r>
    </w:p>
    <w:p w:rsidR="00ED542D" w:rsidRPr="00740DA0" w:rsidP="00F133E9" w14:paraId="4AEC81A5" w14:textId="42DD88CF">
      <w:pPr>
        <w:pStyle w:val="ListParagraph"/>
        <w:numPr>
          <w:ilvl w:val="0"/>
          <w:numId w:val="32"/>
        </w:numPr>
      </w:pPr>
      <w:r>
        <w:t>Number of full-time and part-time SROs by sworn status</w:t>
      </w:r>
    </w:p>
    <w:p w:rsidR="00F133E9" w:rsidRPr="00740DA0" w:rsidP="00F133E9" w14:paraId="45E76683" w14:textId="77777777">
      <w:pPr>
        <w:numPr>
          <w:ilvl w:val="12"/>
          <w:numId w:val="0"/>
        </w:numPr>
        <w:shd w:val="solid" w:color="FFFFFF" w:fill="FFFFFF"/>
        <w:tabs>
          <w:tab w:val="left" w:pos="360"/>
          <w:tab w:val="left" w:pos="840"/>
        </w:tabs>
      </w:pPr>
    </w:p>
    <w:p w:rsidR="00F133E9" w:rsidRPr="00AD4DB9" w:rsidP="00F133E9" w14:paraId="59548408" w14:textId="03FA1F72">
      <w:pPr>
        <w:numPr>
          <w:ilvl w:val="12"/>
          <w:numId w:val="0"/>
        </w:numPr>
        <w:shd w:val="solid" w:color="FFFFFF" w:fill="FFFFFF"/>
        <w:tabs>
          <w:tab w:val="left" w:pos="360"/>
          <w:tab w:val="left" w:pos="840"/>
        </w:tabs>
      </w:pPr>
      <w:r w:rsidRPr="00AD4DB9">
        <w:t>BJS will use the data gathered throug</w:t>
      </w:r>
      <w:r>
        <w:t xml:space="preserve">h the administration of the </w:t>
      </w:r>
      <w:r w:rsidR="00546C71">
        <w:t>202</w:t>
      </w:r>
      <w:r w:rsidR="00AD62FE">
        <w:t>6</w:t>
      </w:r>
      <w:r w:rsidRPr="00AD4DB9">
        <w:t xml:space="preserve"> C</w:t>
      </w:r>
      <w:r>
        <w:t>SLLEA</w:t>
      </w:r>
      <w:r w:rsidRPr="00AD4DB9">
        <w:t xml:space="preserve"> to disseminate information about law enforcement to the public. Past reports using the </w:t>
      </w:r>
      <w:r>
        <w:t>CSLLEA</w:t>
      </w:r>
      <w:r w:rsidR="00A67CA8">
        <w:t xml:space="preserve"> includ</w:t>
      </w:r>
      <w:r w:rsidR="004562FB">
        <w:t>e</w:t>
      </w:r>
      <w:r>
        <w:t xml:space="preserve"> </w:t>
      </w:r>
      <w:r w:rsidRPr="00AD4DB9">
        <w:t>(</w:t>
      </w:r>
      <w:hyperlink r:id="rId9" w:history="1">
        <w:r w:rsidRPr="004562FB" w:rsidR="004562FB">
          <w:rPr>
            <w:rStyle w:val="Hyperlink"/>
          </w:rPr>
          <w:t>https://bjs.ojp.gov/data-collection/census-state-and-local-law-enforcement-agencies-csllea</w:t>
        </w:r>
      </w:hyperlink>
      <w:r w:rsidRPr="00AD4DB9">
        <w:t>):</w:t>
      </w:r>
    </w:p>
    <w:p w:rsidR="00F133E9" w:rsidP="00F133E9" w14:paraId="1A5A1BF2" w14:textId="77777777">
      <w:pPr>
        <w:numPr>
          <w:ilvl w:val="12"/>
          <w:numId w:val="0"/>
        </w:numPr>
        <w:shd w:val="solid" w:color="FFFFFF" w:fill="FFFFFF"/>
        <w:tabs>
          <w:tab w:val="left" w:pos="360"/>
          <w:tab w:val="left" w:pos="840"/>
        </w:tabs>
      </w:pPr>
    </w:p>
    <w:p w:rsidR="00AD62FE" w:rsidRPr="00AD62FE" w:rsidP="7834E123" w14:paraId="57B107C8" w14:textId="2D166930">
      <w:pPr>
        <w:pStyle w:val="ListParagraph"/>
        <w:numPr>
          <w:ilvl w:val="0"/>
          <w:numId w:val="36"/>
        </w:numPr>
        <w:shd w:val="clear" w:color="auto" w:fill="FFFFFF" w:themeFill="background1"/>
        <w:tabs>
          <w:tab w:val="left" w:pos="360"/>
          <w:tab w:val="left" w:pos="840"/>
        </w:tabs>
      </w:pPr>
      <w:r w:rsidRPr="3653076B">
        <w:rPr>
          <w:i/>
          <w:iCs/>
        </w:rPr>
        <w:t>Census of State and Local Law Enforcement Agencies, 2022 – Statistical Tables</w:t>
      </w:r>
      <w:r>
        <w:t xml:space="preserve"> (</w:t>
      </w:r>
      <w:r w:rsidR="002210DF">
        <w:t>forthcoming; under Department review</w:t>
      </w:r>
      <w:r>
        <w:t>)</w:t>
      </w:r>
    </w:p>
    <w:p w:rsidR="4726C9C0" w:rsidRPr="0069609A" w:rsidP="7834E123" w14:paraId="521F0F55" w14:textId="60369F8F">
      <w:pPr>
        <w:pStyle w:val="ListParagraph"/>
        <w:numPr>
          <w:ilvl w:val="0"/>
          <w:numId w:val="36"/>
        </w:numPr>
        <w:shd w:val="clear" w:color="auto" w:fill="FFFFFF" w:themeFill="background1"/>
        <w:tabs>
          <w:tab w:val="left" w:pos="360"/>
          <w:tab w:val="left" w:pos="840"/>
        </w:tabs>
        <w:rPr>
          <w:i/>
          <w:iCs/>
        </w:rPr>
      </w:pPr>
      <w:r w:rsidRPr="7834E123">
        <w:rPr>
          <w:i/>
          <w:iCs/>
        </w:rPr>
        <w:t>Hiring and Retention of State and Local Law Enforcement Officers, 2020 – Statistical Tables</w:t>
      </w:r>
    </w:p>
    <w:p w:rsidR="004562FB" w:rsidP="0031273E" w14:paraId="5545ECE6" w14:textId="459DF446">
      <w:pPr>
        <w:pStyle w:val="ListParagraph"/>
        <w:numPr>
          <w:ilvl w:val="0"/>
          <w:numId w:val="36"/>
        </w:numPr>
        <w:shd w:val="solid" w:color="FFFFFF" w:fill="FFFFFF"/>
        <w:tabs>
          <w:tab w:val="left" w:pos="360"/>
          <w:tab w:val="left" w:pos="840"/>
        </w:tabs>
      </w:pPr>
      <w:r w:rsidRPr="002A7BB1">
        <w:rPr>
          <w:i/>
          <w:iCs/>
        </w:rPr>
        <w:t>Census of State and Local Law Enforcement Agencies, 2018</w:t>
      </w:r>
      <w:r w:rsidR="00AD62FE">
        <w:rPr>
          <w:i/>
          <w:iCs/>
        </w:rPr>
        <w:t xml:space="preserve"> – Statistical Tables</w:t>
      </w:r>
    </w:p>
    <w:p w:rsidR="00F133E9" w:rsidRPr="002A7BB1" w:rsidP="0031273E" w14:paraId="0DEEE21E" w14:textId="16397E1B">
      <w:pPr>
        <w:pStyle w:val="ListParagraph"/>
        <w:numPr>
          <w:ilvl w:val="0"/>
          <w:numId w:val="36"/>
        </w:numPr>
        <w:shd w:val="solid" w:color="FFFFFF" w:fill="FFFFFF"/>
        <w:tabs>
          <w:tab w:val="left" w:pos="360"/>
          <w:tab w:val="left" w:pos="840"/>
        </w:tabs>
        <w:rPr>
          <w:i/>
          <w:iCs/>
        </w:rPr>
      </w:pPr>
      <w:r w:rsidRPr="002A7BB1">
        <w:rPr>
          <w:i/>
          <w:iCs/>
        </w:rPr>
        <w:t>National Sources of Law Enforcement Employee Data</w:t>
      </w:r>
    </w:p>
    <w:p w:rsidR="00F133E9" w:rsidRPr="002A7BB1" w:rsidP="0031273E" w14:paraId="20654C27" w14:textId="77777777">
      <w:pPr>
        <w:pStyle w:val="ListParagraph"/>
        <w:numPr>
          <w:ilvl w:val="0"/>
          <w:numId w:val="36"/>
        </w:numPr>
        <w:shd w:val="solid" w:color="FFFFFF" w:fill="FFFFFF"/>
        <w:tabs>
          <w:tab w:val="left" w:pos="360"/>
          <w:tab w:val="left" w:pos="840"/>
        </w:tabs>
        <w:rPr>
          <w:i/>
          <w:iCs/>
        </w:rPr>
      </w:pPr>
      <w:r w:rsidRPr="002A7BB1">
        <w:rPr>
          <w:i/>
          <w:iCs/>
        </w:rPr>
        <w:t>Tribal Crime Data Collection Activities, 2012</w:t>
      </w:r>
    </w:p>
    <w:p w:rsidR="00F133E9" w:rsidRPr="002A7BB1" w:rsidP="0031273E" w14:paraId="692730EF" w14:textId="77777777">
      <w:pPr>
        <w:pStyle w:val="ListParagraph"/>
        <w:numPr>
          <w:ilvl w:val="0"/>
          <w:numId w:val="36"/>
        </w:numPr>
        <w:shd w:val="solid" w:color="FFFFFF" w:fill="FFFFFF"/>
        <w:tabs>
          <w:tab w:val="left" w:pos="360"/>
          <w:tab w:val="left" w:pos="840"/>
        </w:tabs>
        <w:rPr>
          <w:i/>
          <w:iCs/>
        </w:rPr>
      </w:pPr>
      <w:r w:rsidRPr="002A7BB1">
        <w:rPr>
          <w:i/>
          <w:iCs/>
        </w:rPr>
        <w:t>Compendium of Tribal Crime Data, 2011</w:t>
      </w:r>
    </w:p>
    <w:p w:rsidR="00F133E9" w:rsidRPr="002A7BB1" w:rsidP="7834E123" w14:paraId="1F8D2694" w14:textId="77777777">
      <w:pPr>
        <w:pStyle w:val="ListParagraph"/>
        <w:numPr>
          <w:ilvl w:val="0"/>
          <w:numId w:val="36"/>
        </w:numPr>
        <w:shd w:val="clear" w:color="auto" w:fill="FFFFFF" w:themeFill="background1"/>
        <w:tabs>
          <w:tab w:val="left" w:pos="360"/>
          <w:tab w:val="left" w:pos="840"/>
        </w:tabs>
        <w:rPr>
          <w:i/>
          <w:iCs/>
        </w:rPr>
      </w:pPr>
      <w:r w:rsidRPr="7834E123">
        <w:rPr>
          <w:i/>
          <w:iCs/>
        </w:rPr>
        <w:t xml:space="preserve">Hiring and Retention of State and Local Law Enforcement Officers, 2008 </w:t>
      </w:r>
    </w:p>
    <w:p w:rsidR="00F133E9" w:rsidRPr="002A7BB1" w:rsidP="0031273E" w14:paraId="050DC8DF"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2008</w:t>
      </w:r>
    </w:p>
    <w:p w:rsidR="00F133E9" w:rsidRPr="002A7BB1" w:rsidP="0031273E" w14:paraId="7CDFC2F6" w14:textId="77777777">
      <w:pPr>
        <w:pStyle w:val="ListParagraph"/>
        <w:numPr>
          <w:ilvl w:val="0"/>
          <w:numId w:val="36"/>
        </w:numPr>
        <w:shd w:val="solid" w:color="FFFFFF" w:fill="FFFFFF"/>
        <w:tabs>
          <w:tab w:val="left" w:pos="360"/>
          <w:tab w:val="left" w:pos="840"/>
        </w:tabs>
        <w:rPr>
          <w:i/>
          <w:iCs/>
        </w:rPr>
      </w:pPr>
      <w:r w:rsidRPr="002A7BB1">
        <w:rPr>
          <w:i/>
          <w:iCs/>
        </w:rPr>
        <w:t>Tribal Law Enforcement, 2008</w:t>
      </w:r>
    </w:p>
    <w:p w:rsidR="00F133E9" w:rsidRPr="002A7BB1" w:rsidP="0031273E" w14:paraId="2F476129"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2004</w:t>
      </w:r>
    </w:p>
    <w:p w:rsidR="00F133E9" w:rsidRPr="002A7BB1" w:rsidP="0031273E" w14:paraId="60673D3B"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2000</w:t>
      </w:r>
    </w:p>
    <w:p w:rsidR="00F133E9" w:rsidRPr="002A7BB1" w:rsidP="0031273E" w14:paraId="73A4EA61"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1996</w:t>
      </w:r>
    </w:p>
    <w:p w:rsidR="00F133E9" w:rsidRPr="002A7BB1" w:rsidP="0031273E" w14:paraId="18C0854D"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1992</w:t>
      </w:r>
    </w:p>
    <w:p w:rsidR="00F133E9" w:rsidRPr="00AD4DB9" w:rsidP="00F133E9" w14:paraId="2CC68A67" w14:textId="77777777">
      <w:pPr>
        <w:numPr>
          <w:ilvl w:val="12"/>
          <w:numId w:val="0"/>
        </w:numPr>
        <w:shd w:val="solid" w:color="FFFFFF" w:fill="FFFFFF"/>
        <w:tabs>
          <w:tab w:val="left" w:pos="360"/>
          <w:tab w:val="left" w:pos="840"/>
        </w:tabs>
      </w:pPr>
    </w:p>
    <w:p w:rsidR="00651729" w:rsidRPr="00B90872" w:rsidP="00651729" w14:paraId="5A2E0117" w14:textId="77777777">
      <w:pPr>
        <w:rPr>
          <w:bCs/>
          <w:i/>
          <w:iCs/>
          <w:u w:val="single"/>
        </w:rPr>
      </w:pPr>
      <w:r w:rsidRPr="00B90872">
        <w:rPr>
          <w:b/>
          <w:u w:val="single"/>
        </w:rPr>
        <w:t>Other Uses</w:t>
      </w:r>
      <w:r w:rsidRPr="00B90872">
        <w:rPr>
          <w:bCs/>
          <w:i/>
          <w:iCs/>
          <w:u w:val="single"/>
        </w:rPr>
        <w:t xml:space="preserve"> </w:t>
      </w:r>
    </w:p>
    <w:p w:rsidR="00651729" w:rsidP="00F133E9" w14:paraId="490B83B1" w14:textId="77777777">
      <w:pPr>
        <w:numPr>
          <w:ilvl w:val="12"/>
          <w:numId w:val="0"/>
        </w:numPr>
        <w:shd w:val="solid" w:color="FFFFFF" w:fill="FFFFFF"/>
        <w:tabs>
          <w:tab w:val="left" w:pos="360"/>
          <w:tab w:val="left" w:pos="840"/>
        </w:tabs>
      </w:pPr>
    </w:p>
    <w:p w:rsidR="00F133E9" w:rsidRPr="00AD4DB9" w:rsidP="00F133E9" w14:paraId="58D7F612" w14:textId="7CB8651A">
      <w:pPr>
        <w:numPr>
          <w:ilvl w:val="12"/>
          <w:numId w:val="0"/>
        </w:numPr>
        <w:shd w:val="solid" w:color="FFFFFF" w:fill="FFFFFF"/>
        <w:tabs>
          <w:tab w:val="left" w:pos="360"/>
          <w:tab w:val="left" w:pos="840"/>
        </w:tabs>
      </w:pPr>
      <w:r w:rsidRPr="00AD4DB9">
        <w:t>The information generated from the C</w:t>
      </w:r>
      <w:r>
        <w:t>SLLEA</w:t>
      </w:r>
      <w:r w:rsidRPr="00AD4DB9">
        <w:t xml:space="preserve"> is widely used and cited by law enforcement professional</w:t>
      </w:r>
      <w:r w:rsidR="00D91C03">
        <w:t>s</w:t>
      </w:r>
      <w:r w:rsidRPr="00AD4DB9">
        <w:t xml:space="preserve"> and research communities. The statistics generated by the C</w:t>
      </w:r>
      <w:r>
        <w:t>SLLEA</w:t>
      </w:r>
      <w:r w:rsidRPr="00AD4DB9">
        <w:t xml:space="preserve"> are requested and used by police chiefs, sheriffs, legislators, planners, researchers, and others to identify personnel and budgetary needs, trends, and priorities in law enforcement. The C</w:t>
      </w:r>
      <w:r>
        <w:t>SLLEA</w:t>
      </w:r>
      <w:r w:rsidRPr="00AD4DB9">
        <w:t xml:space="preserve"> has been used</w:t>
      </w:r>
      <w:r>
        <w:t xml:space="preserve"> to track employment trends in s</w:t>
      </w:r>
      <w:r w:rsidRPr="00AD4DB9">
        <w:t>tate and local law enforcement in the U</w:t>
      </w:r>
      <w:r w:rsidR="004475BA">
        <w:t xml:space="preserve">nited </w:t>
      </w:r>
      <w:r w:rsidRPr="00AD4DB9">
        <w:t>S</w:t>
      </w:r>
      <w:r w:rsidR="004475BA">
        <w:t>tates</w:t>
      </w:r>
      <w:r w:rsidRPr="00AD4DB9">
        <w:t xml:space="preserve"> since 1992 and will continue to inform polic</w:t>
      </w:r>
      <w:r w:rsidR="006914DC">
        <w:t>y</w:t>
      </w:r>
      <w:r w:rsidRPr="00AD4DB9">
        <w:t>making, planning, and budgeting at all levels of government.</w:t>
      </w:r>
    </w:p>
    <w:p w:rsidR="00F133E9" w:rsidP="00F133E9" w14:paraId="7007F0E5" w14:textId="77777777">
      <w:pPr>
        <w:numPr>
          <w:ilvl w:val="12"/>
          <w:numId w:val="0"/>
        </w:numPr>
        <w:shd w:val="solid" w:color="FFFFFF" w:fill="FFFFFF"/>
        <w:tabs>
          <w:tab w:val="left" w:pos="360"/>
          <w:tab w:val="left" w:pos="840"/>
        </w:tabs>
      </w:pPr>
    </w:p>
    <w:p w:rsidR="00F133E9" w:rsidP="00B561A5" w14:paraId="61622C98" w14:textId="3556337D">
      <w:r>
        <w:t>T</w:t>
      </w:r>
      <w:r w:rsidRPr="00AB16BC">
        <w:t xml:space="preserve">he </w:t>
      </w:r>
      <w:r>
        <w:t>CSLLEA</w:t>
      </w:r>
      <w:r w:rsidRPr="00AB16BC">
        <w:t xml:space="preserve"> is a recurring survey with well-established credibility in the criminal justice field</w:t>
      </w:r>
      <w:r>
        <w:t xml:space="preserve"> and </w:t>
      </w:r>
      <w:r w:rsidRPr="00AB16BC">
        <w:t>the data and BJS-published report</w:t>
      </w:r>
      <w:r>
        <w:t>s</w:t>
      </w:r>
      <w:r w:rsidRPr="00AB16BC">
        <w:t xml:space="preserve"> from the prior </w:t>
      </w:r>
      <w:r>
        <w:t>CSLLEA</w:t>
      </w:r>
      <w:r w:rsidRPr="00AB16BC">
        <w:t xml:space="preserve"> </w:t>
      </w:r>
      <w:r>
        <w:t>surveys</w:t>
      </w:r>
      <w:r w:rsidRPr="00AB16BC">
        <w:t xml:space="preserve"> ha</w:t>
      </w:r>
      <w:r>
        <w:t>ve</w:t>
      </w:r>
      <w:r w:rsidRPr="00AB16BC">
        <w:t xml:space="preserve"> been extensively used since release.</w:t>
      </w:r>
      <w:r>
        <w:t xml:space="preserve"> The CSLLEA data are</w:t>
      </w:r>
      <w:r w:rsidRPr="00AB16BC">
        <w:t xml:space="preserve"> made available to the public at the National Archive of Criminal Justice Data at the University of Michigan (NACJD). The </w:t>
      </w:r>
      <w:r>
        <w:t>2018</w:t>
      </w:r>
      <w:r w:rsidRPr="00AB16BC">
        <w:t xml:space="preserve"> </w:t>
      </w:r>
      <w:r>
        <w:t>CSLLEA</w:t>
      </w:r>
      <w:r w:rsidRPr="00AB16BC">
        <w:t xml:space="preserve"> </w:t>
      </w:r>
      <w:r>
        <w:t>data</w:t>
      </w:r>
      <w:r w:rsidRPr="00AB16BC">
        <w:t xml:space="preserve"> was made publicly available in </w:t>
      </w:r>
      <w:r>
        <w:t>May 2023</w:t>
      </w:r>
      <w:r w:rsidRPr="00AB16BC">
        <w:t xml:space="preserve">; the supporting documentation has been downloaded </w:t>
      </w:r>
      <w:r>
        <w:t>2,642</w:t>
      </w:r>
      <w:r w:rsidRPr="00AB16BC">
        <w:t xml:space="preserve"> times</w:t>
      </w:r>
      <w:r w:rsidR="00721D77">
        <w:t>,</w:t>
      </w:r>
      <w:r w:rsidRPr="00AB16BC">
        <w:t xml:space="preserve"> the data file itself </w:t>
      </w:r>
      <w:r w:rsidR="00721D77">
        <w:t xml:space="preserve">has been </w:t>
      </w:r>
      <w:r w:rsidRPr="00AB16BC">
        <w:t xml:space="preserve">downloaded </w:t>
      </w:r>
      <w:r>
        <w:t>877</w:t>
      </w:r>
      <w:r w:rsidRPr="00AB16BC">
        <w:t xml:space="preserve"> times</w:t>
      </w:r>
      <w:r w:rsidR="00721D77">
        <w:t>, and there are 12 related publications</w:t>
      </w:r>
      <w:r>
        <w:t>.</w:t>
      </w:r>
      <w:r>
        <w:rPr>
          <w:rStyle w:val="FootnoteReference"/>
        </w:rPr>
        <w:footnoteReference w:id="4"/>
      </w:r>
    </w:p>
    <w:p w:rsidR="00B561A5" w:rsidP="00B561A5" w14:paraId="5D20E347" w14:textId="77777777">
      <w:pPr>
        <w:numPr>
          <w:ilvl w:val="12"/>
          <w:numId w:val="0"/>
        </w:numPr>
        <w:shd w:val="solid" w:color="FFFFFF" w:fill="FFFFFF"/>
        <w:tabs>
          <w:tab w:val="left" w:pos="360"/>
          <w:tab w:val="left" w:pos="840"/>
        </w:tabs>
      </w:pPr>
    </w:p>
    <w:p w:rsidR="009507D1" w:rsidP="00064954" w14:paraId="145CD400" w14:textId="22616AED">
      <w:pPr>
        <w:numPr>
          <w:ilvl w:val="12"/>
          <w:numId w:val="0"/>
        </w:numPr>
        <w:shd w:val="solid" w:color="FFFFFF" w:fill="FFFFFF"/>
        <w:tabs>
          <w:tab w:val="left" w:pos="360"/>
          <w:tab w:val="left" w:pos="840"/>
        </w:tabs>
      </w:pPr>
      <w:r>
        <w:t xml:space="preserve">In addition to academic publications, BJS </w:t>
      </w:r>
      <w:r w:rsidR="004379A4">
        <w:t xml:space="preserve">has </w:t>
      </w:r>
      <w:r w:rsidR="0069609A">
        <w:t>received</w:t>
      </w:r>
      <w:r w:rsidR="004379A4">
        <w:t xml:space="preserve"> </w:t>
      </w:r>
      <w:r w:rsidR="001B7EA7">
        <w:t xml:space="preserve">several </w:t>
      </w:r>
      <w:r>
        <w:t>information requests that can be fulfilled by the CSLLEA data.</w:t>
      </w:r>
      <w:r w:rsidRPr="00AD4DB9">
        <w:t xml:space="preserve"> Uses of information include policy decisions, budget hearings, research and planning, market research, benchmark comparisons, grant applications, and journalistic purposes. BJS tracks the types of information requested that can be provided through its law enforcement data collections, as well as those requests </w:t>
      </w:r>
      <w:r w:rsidRPr="00064954">
        <w:t xml:space="preserve">that the data cannot fulfill. Since </w:t>
      </w:r>
      <w:r w:rsidRPr="00064954" w:rsidR="00A977C6">
        <w:t>the 2018 CSLLEA data were released in May 2023</w:t>
      </w:r>
      <w:r w:rsidRPr="00064954">
        <w:t xml:space="preserve">, BJS responded to </w:t>
      </w:r>
      <w:r w:rsidRPr="00064954" w:rsidR="00A977C6">
        <w:t>nearly</w:t>
      </w:r>
      <w:r w:rsidRPr="00064954">
        <w:t xml:space="preserve"> </w:t>
      </w:r>
      <w:r w:rsidRPr="00064954" w:rsidR="00A977C6">
        <w:t>6</w:t>
      </w:r>
      <w:r w:rsidRPr="00064954">
        <w:t>0</w:t>
      </w:r>
      <w:r w:rsidRPr="00064954">
        <w:t xml:space="preserve"> requests in which the CSLLEA data </w:t>
      </w:r>
      <w:r w:rsidRPr="00064954" w:rsidR="00A977C6">
        <w:t>were</w:t>
      </w:r>
      <w:r w:rsidRPr="00064954">
        <w:t xml:space="preserve"> referenced. </w:t>
      </w:r>
    </w:p>
    <w:p w:rsidR="000D5239" w:rsidP="00064954" w14:paraId="2BFAFE9C" w14:textId="77777777">
      <w:pPr>
        <w:numPr>
          <w:ilvl w:val="12"/>
          <w:numId w:val="0"/>
        </w:numPr>
        <w:shd w:val="solid" w:color="FFFFFF" w:fill="FFFFFF"/>
        <w:tabs>
          <w:tab w:val="left" w:pos="360"/>
          <w:tab w:val="left" w:pos="840"/>
        </w:tabs>
      </w:pPr>
    </w:p>
    <w:p w:rsidR="00451920" w:rsidP="00064954" w14:paraId="5CBAEDF5" w14:textId="72E95ABC">
      <w:pPr>
        <w:numPr>
          <w:ilvl w:val="12"/>
          <w:numId w:val="0"/>
        </w:numPr>
        <w:shd w:val="solid" w:color="FFFFFF" w:fill="FFFFFF"/>
        <w:tabs>
          <w:tab w:val="left" w:pos="360"/>
          <w:tab w:val="left" w:pos="840"/>
        </w:tabs>
      </w:pPr>
      <w:r>
        <w:t>According to Google Scholar, the 2018 CSLLEA publication released by BJS in October 2022 has been cited 50 times in the research literature as of March 2026.</w:t>
      </w:r>
      <w:r w:rsidR="009A66BA">
        <w:t xml:space="preserve"> Some example publications citing the 2018 CSLLEA include:</w:t>
      </w:r>
    </w:p>
    <w:p w:rsidR="00451920" w:rsidP="00451920" w14:paraId="1F658F42" w14:textId="77777777">
      <w:pPr>
        <w:numPr>
          <w:ilvl w:val="12"/>
          <w:numId w:val="0"/>
        </w:numPr>
        <w:shd w:val="solid" w:color="FFFFFF" w:fill="FFFFFF"/>
        <w:tabs>
          <w:tab w:val="left" w:pos="360"/>
          <w:tab w:val="left" w:pos="840"/>
        </w:tabs>
      </w:pPr>
    </w:p>
    <w:p w:rsidR="009A66BA" w:rsidP="009A66BA" w14:paraId="44F1EA90" w14:textId="0D15C291">
      <w:pPr>
        <w:pStyle w:val="ListParagraph"/>
        <w:numPr>
          <w:ilvl w:val="0"/>
          <w:numId w:val="47"/>
        </w:numPr>
        <w:shd w:val="solid" w:color="FFFFFF" w:fill="FFFFFF"/>
        <w:tabs>
          <w:tab w:val="left" w:pos="360"/>
          <w:tab w:val="left" w:pos="840"/>
        </w:tabs>
      </w:pPr>
      <w:r w:rsidRPr="00451920">
        <w:t>Dempsey, Ronald P., James R. Brunet, and Veljko Dubljević. "Exploring and understanding law enforcement’s relationship with technology: a qualitative interview study of police officers in North Carolina." </w:t>
      </w:r>
      <w:r w:rsidRPr="009A66BA">
        <w:rPr>
          <w:i/>
          <w:iCs/>
        </w:rPr>
        <w:t>Applied Sciences</w:t>
      </w:r>
      <w:r w:rsidRPr="00451920">
        <w:t> 13.6 (2023): 3887.</w:t>
      </w:r>
    </w:p>
    <w:p w:rsidR="009A66BA" w:rsidP="2CD1602E" w14:paraId="354808AC" w14:textId="7442D85C">
      <w:pPr>
        <w:pStyle w:val="ListParagraph"/>
        <w:numPr>
          <w:ilvl w:val="0"/>
          <w:numId w:val="47"/>
        </w:numPr>
        <w:shd w:val="clear" w:color="auto" w:fill="FFFFFF" w:themeFill="background1"/>
        <w:tabs>
          <w:tab w:val="left" w:pos="360"/>
          <w:tab w:val="left" w:pos="840"/>
        </w:tabs>
      </w:pPr>
      <w:r w:rsidRPr="009A66BA">
        <w:t>Schuck, Amie M., and Cara E. Rabe-Hemp. "Women police, legitimacy, and ethics of care." </w:t>
      </w:r>
      <w:r w:rsidRPr="009A66BA">
        <w:rPr>
          <w:i/>
          <w:iCs/>
        </w:rPr>
        <w:t>Policing: A Journal of Policy and Practice</w:t>
      </w:r>
      <w:r w:rsidRPr="009A66BA">
        <w:t> 18 (2024).</w:t>
      </w:r>
    </w:p>
    <w:p w:rsidR="009A66BA" w:rsidP="009A66BA" w14:paraId="31C15421" w14:textId="25B1036E">
      <w:pPr>
        <w:pStyle w:val="ListParagraph"/>
        <w:numPr>
          <w:ilvl w:val="0"/>
          <w:numId w:val="47"/>
        </w:numPr>
        <w:shd w:val="solid" w:color="FFFFFF" w:fill="FFFFFF"/>
        <w:tabs>
          <w:tab w:val="left" w:pos="360"/>
          <w:tab w:val="left" w:pos="840"/>
        </w:tabs>
      </w:pPr>
      <w:r w:rsidRPr="009A66BA">
        <w:t>Fix, Rebecca L., et al. "Factors promoting and inhibiting use of wellness resources among police: A mixed methods study." </w:t>
      </w:r>
      <w:r w:rsidRPr="009A66BA">
        <w:rPr>
          <w:i/>
          <w:iCs/>
        </w:rPr>
        <w:t>Police Quarterly</w:t>
      </w:r>
      <w:r w:rsidRPr="009A66BA">
        <w:t> 27.4 (2024): 407-437.</w:t>
      </w:r>
    </w:p>
    <w:p w:rsidR="00F133E9" w:rsidP="009A66BA" w14:paraId="7E7361C6" w14:textId="12DD5D5E">
      <w:pPr>
        <w:pStyle w:val="ListParagraph"/>
        <w:numPr>
          <w:ilvl w:val="0"/>
          <w:numId w:val="47"/>
        </w:numPr>
        <w:shd w:val="solid" w:color="FFFFFF" w:fill="FFFFFF"/>
        <w:tabs>
          <w:tab w:val="left" w:pos="360"/>
          <w:tab w:val="left" w:pos="840"/>
        </w:tabs>
      </w:pPr>
      <w:r w:rsidRPr="009A66BA">
        <w:t>McGough, Maureen Q., and Ivonne Roman. "The 30× 30 initiative: Seeking to improve public safety and transform departments by advancing women in policing." </w:t>
      </w:r>
      <w:r w:rsidRPr="009A66BA">
        <w:rPr>
          <w:i/>
          <w:iCs/>
        </w:rPr>
        <w:t>Policing: A Journal of Policy and Practice</w:t>
      </w:r>
      <w:r w:rsidRPr="009A66BA">
        <w:t> 18 (2024): paae020.</w:t>
      </w:r>
    </w:p>
    <w:p w:rsidR="009A66BA" w:rsidP="009A66BA" w14:paraId="3F36F6EB" w14:textId="4A1FDD8B">
      <w:pPr>
        <w:pStyle w:val="ListParagraph"/>
        <w:numPr>
          <w:ilvl w:val="0"/>
          <w:numId w:val="47"/>
        </w:numPr>
        <w:shd w:val="solid" w:color="FFFFFF" w:fill="FFFFFF"/>
        <w:tabs>
          <w:tab w:val="left" w:pos="360"/>
          <w:tab w:val="left" w:pos="840"/>
        </w:tabs>
      </w:pPr>
      <w:r w:rsidRPr="009A66BA">
        <w:t>Grunwald, Ben. "A large-scale study of the police retention crisis." </w:t>
      </w:r>
      <w:r w:rsidRPr="009A66BA">
        <w:rPr>
          <w:i/>
          <w:iCs/>
        </w:rPr>
        <w:t>Duke Law School Public Law &amp; Legal Theory Series</w:t>
      </w:r>
      <w:r w:rsidRPr="009A66BA">
        <w:t> 2024-41 (2024).</w:t>
      </w:r>
    </w:p>
    <w:p w:rsidR="00AF7585" w:rsidP="00EE5E9E" w14:paraId="3C620DE0" w14:textId="77777777">
      <w:pPr>
        <w:pStyle w:val="Default"/>
        <w:rPr>
          <w:rFonts w:ascii="Times New Roman" w:hAnsi="Times New Roman" w:cs="Times New Roman"/>
        </w:rPr>
      </w:pPr>
    </w:p>
    <w:p w:rsidR="00651729" w:rsidRPr="00AB16BC" w:rsidP="00651729" w14:paraId="7F88237E" w14:textId="77777777">
      <w:pPr>
        <w:rPr>
          <w:b/>
          <w:bCs/>
          <w:u w:val="single"/>
        </w:rPr>
      </w:pPr>
      <w:r w:rsidRPr="003A2EC5">
        <w:rPr>
          <w:b/>
          <w:bCs/>
        </w:rPr>
        <w:t>3.</w:t>
      </w:r>
      <w:r w:rsidRPr="00AB16BC">
        <w:t xml:space="preserve"> </w:t>
      </w:r>
      <w:r w:rsidRPr="006F4667">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F4667">
        <w:rPr>
          <w:b/>
          <w:bCs/>
        </w:rPr>
        <w:t>for adopting</w:t>
      </w:r>
      <w:r w:rsidRPr="006F4667">
        <w:rPr>
          <w:b/>
          <w:bCs/>
        </w:rPr>
        <w:t xml:space="preserve"> this means of collection. Also, describe any consideration of using information technology to reduce burden.</w:t>
      </w:r>
      <w:r w:rsidRPr="00AB16BC">
        <w:rPr>
          <w:b/>
          <w:bCs/>
        </w:rPr>
        <w:t xml:space="preserve"> </w:t>
      </w:r>
    </w:p>
    <w:p w:rsidR="00791524" w:rsidP="00791524" w14:paraId="74820E02" w14:textId="39CE3FB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51729" w:rsidP="00651729" w14:paraId="4099EFEF" w14:textId="5F12FFBF">
      <w:r>
        <w:t>The 202</w:t>
      </w:r>
      <w:r w:rsidR="00E12B24">
        <w:t>6</w:t>
      </w:r>
      <w:r>
        <w:t xml:space="preserve"> CSLLEA </w:t>
      </w:r>
      <w:r w:rsidRPr="00920F1D">
        <w:t xml:space="preserve">uses a multi-mode design in which respondents are directed to a web survey through mailed and emailed instructions. </w:t>
      </w:r>
      <w:r w:rsidRPr="00AB16BC">
        <w:t xml:space="preserve">The web survey is hosted </w:t>
      </w:r>
      <w:r>
        <w:t xml:space="preserve">on www.BJSLECS.org </w:t>
      </w:r>
      <w:r w:rsidRPr="00AB16BC">
        <w:t xml:space="preserve">by BJS’s data collection agent, RTI International (RTI). </w:t>
      </w:r>
      <w:r>
        <w:t xml:space="preserve">This website has been used by LECS since the 2016 LEMAS Body-Worn Camera supplement and has hosted </w:t>
      </w:r>
      <w:r w:rsidR="00867B5B">
        <w:t>seven</w:t>
      </w:r>
      <w:r>
        <w:t xml:space="preserve"> surveys to date. </w:t>
      </w:r>
      <w:r w:rsidRPr="00AB16BC">
        <w:t xml:space="preserve">Respondents will access the survey </w:t>
      </w:r>
      <w:r>
        <w:t>by</w:t>
      </w:r>
      <w:r w:rsidRPr="00AB16BC">
        <w:t xml:space="preserve"> using a unique </w:t>
      </w:r>
      <w:r>
        <w:t>username</w:t>
      </w:r>
      <w:r w:rsidRPr="00AB16BC">
        <w:t xml:space="preserve"> and password provided by RTI.</w:t>
      </w:r>
      <w:r>
        <w:t xml:space="preserve"> </w:t>
      </w:r>
      <w:r w:rsidRPr="00AB16BC">
        <w:t xml:space="preserve">The instrument has been designed using </w:t>
      </w:r>
      <w:r>
        <w:t xml:space="preserve">RTI’s Hatteras </w:t>
      </w:r>
      <w:r w:rsidRPr="00AB16BC">
        <w:t xml:space="preserve">survey software that will allow RTI to send an email to respondents explaining the </w:t>
      </w:r>
      <w:r w:rsidR="00C54D96">
        <w:t>CSLLEA</w:t>
      </w:r>
      <w:r w:rsidRPr="00AB16BC" w:rsidR="00C54D96">
        <w:t xml:space="preserve"> </w:t>
      </w:r>
      <w:r w:rsidRPr="00AB16BC">
        <w:t xml:space="preserve">survey and containing a hyperlink to the questionnaire. </w:t>
      </w:r>
    </w:p>
    <w:p w:rsidR="00651729" w:rsidP="00651729" w14:paraId="3C0381F2" w14:textId="77777777"/>
    <w:p w:rsidR="00651729" w:rsidRPr="00AB16BC" w:rsidP="00651729" w14:paraId="0ADAF896" w14:textId="77777777">
      <w:r w:rsidRPr="00AB16BC">
        <w:t xml:space="preserve">The web survey application will incorporate consistency checks to validate data entries and machine edits that check for inconsistent, out-of-range, or missing responses. These automated processes will help </w:t>
      </w:r>
      <w:r>
        <w:t xml:space="preserve">improve </w:t>
      </w:r>
      <w:r w:rsidRPr="00AB16BC">
        <w:t xml:space="preserve">data quality and minimize respondent burden resulting from follow-up contact to resolve data discrepancies or other issues. Respondents will be able to start the survey, </w:t>
      </w:r>
      <w:r>
        <w:t>save their responses</w:t>
      </w:r>
      <w:r w:rsidRPr="00AB16BC">
        <w:t xml:space="preserve"> and later resume from the point in the survey where they last entered data. The survey software allow</w:t>
      </w:r>
      <w:r>
        <w:t>s</w:t>
      </w:r>
      <w:r w:rsidRPr="00AB16BC">
        <w:t xml:space="preserve"> for real-time online tracking of respondents, thereby allowing BJS to monitor the completion of each agency’s responses. In addition, the web system supports the export of survey data and </w:t>
      </w:r>
      <w:r w:rsidRPr="00AB16BC">
        <w:t>paradata</w:t>
      </w:r>
      <w:r w:rsidRPr="00AB16BC">
        <w:t xml:space="preserve"> in various formats specified by BJS. </w:t>
      </w:r>
    </w:p>
    <w:p w:rsidR="00651729" w:rsidRPr="00AB16BC" w:rsidP="00651729" w14:paraId="0D7F4FB6" w14:textId="77777777"/>
    <w:p w:rsidR="00651729" w:rsidRPr="00AB16BC" w:rsidP="00651729" w14:paraId="6821BBF3" w14:textId="77777777">
      <w:r>
        <w:t>Although online completion of the survey is preferable for many reasons, a</w:t>
      </w:r>
      <w:r w:rsidRPr="00AB16BC">
        <w:t xml:space="preserve">gencies may have </w:t>
      </w:r>
      <w:r>
        <w:t>several</w:t>
      </w:r>
      <w:r w:rsidRPr="00AB16BC">
        <w:t xml:space="preserve"> reasons why they do not respond via the internet. For example, some might not have reliable internet access, and others might find it difficult to complete online because of the need </w:t>
      </w:r>
      <w:r w:rsidRPr="00AB16BC">
        <w:t>to involve multiple people in preparing the response.</w:t>
      </w:r>
      <w:r>
        <w:rPr>
          <w:rStyle w:val="FootnoteReference"/>
        </w:rPr>
        <w:footnoteReference w:id="5"/>
      </w:r>
      <w:r w:rsidRPr="003A1432">
        <w:rPr>
          <w:vertAlign w:val="superscript"/>
        </w:rPr>
        <w:t xml:space="preserve"> </w:t>
      </w:r>
      <w:r w:rsidRPr="00AB16BC">
        <w:t xml:space="preserve">Agencies that require paper access will have multiple methods of receiving paper versions of the instrument. Agencies will be able to download a PDF version of the survey from the survey site that can be printed or e-mailed to agency staff. Respondents can then gather data in hard copy and enter it into the online survey instrument or scan and return the completed survey form via mail or e-mail. Hard copies will </w:t>
      </w:r>
      <w:r>
        <w:t xml:space="preserve">also </w:t>
      </w:r>
      <w:r w:rsidRPr="00AB16BC">
        <w:t>be sent via mail during routine non-response follow-up.</w:t>
      </w:r>
      <w:r>
        <w:t xml:space="preserve"> </w:t>
      </w:r>
    </w:p>
    <w:p w:rsidR="00651729" w:rsidP="00651729" w14:paraId="369ADA56" w14:textId="77777777"/>
    <w:p w:rsidR="00651729" w:rsidP="00651729" w14:paraId="797DB8B6" w14:textId="77777777">
      <w:r w:rsidRPr="00AB16BC">
        <w:t>To process completed hard copy surveys, RTI will use a software package that employs Optical Character Recognition (OCR) to electronically convert scanned images of handwritten, typewritten, or printed text into machine-encoded text. Data captured via OCR will be manually reviewed to ensure accuracy. Use of this technology will minimize paper handling, reduce processing time, increase reliability, and enhance retention of written survey responses.</w:t>
      </w:r>
    </w:p>
    <w:p w:rsidR="00651729" w:rsidRPr="00AB16BC" w:rsidP="00651729" w14:paraId="67241327" w14:textId="77777777"/>
    <w:p w:rsidR="00651729" w:rsidP="00651729" w14:paraId="6DFFB4E1" w14:textId="77777777">
      <w:r w:rsidRPr="00AB16BC">
        <w:t xml:space="preserve">Upon completion of the project, the final dataset and supporting documentation will be made available to the public </w:t>
      </w:r>
      <w:r>
        <w:t xml:space="preserve">for free and </w:t>
      </w:r>
      <w:r w:rsidRPr="00AB16BC">
        <w:t xml:space="preserve">without restriction in an online archive </w:t>
      </w:r>
      <w:r>
        <w:t xml:space="preserve">(NACJD) </w:t>
      </w:r>
      <w:r w:rsidRPr="00AB16BC">
        <w:t xml:space="preserve">in multiple statistical platform formats. Access to </w:t>
      </w:r>
      <w:r w:rsidRPr="00AB16BC">
        <w:t>these</w:t>
      </w:r>
      <w:r w:rsidRPr="00AB16BC">
        <w:t xml:space="preserve"> data permits analysts to identify the specific responses of individual agencies and to conduct statistical analyses about </w:t>
      </w:r>
      <w:r>
        <w:t>LEA</w:t>
      </w:r>
      <w:r w:rsidRPr="00AB16BC">
        <w:t xml:space="preserve">s. </w:t>
      </w:r>
      <w:r w:rsidRPr="00AB16BC">
        <w:t>These</w:t>
      </w:r>
      <w:r w:rsidRPr="00AB16BC">
        <w:t xml:space="preserve"> data will have agency- and jurisdiction-specific identifiers that will permit public use in combination with other data files with similar identifiers.</w:t>
      </w:r>
    </w:p>
    <w:p w:rsidR="00651729" w:rsidRPr="00AB16BC" w:rsidP="00651729" w14:paraId="0615D828" w14:textId="77777777"/>
    <w:p w:rsidR="00651729" w:rsidRPr="00651729" w:rsidP="00651729" w14:paraId="05CB034B" w14:textId="2F737F17">
      <w:pPr>
        <w:pStyle w:val="Heading2"/>
        <w:keepNext w:val="0"/>
        <w:keepLines w:val="0"/>
        <w:spacing w:before="0" w:after="120"/>
        <w:rPr>
          <w:rFonts w:ascii="Times New Roman" w:eastAsia="Times New Roman" w:hAnsi="Times New Roman" w:cs="Times New Roman"/>
          <w:color w:val="auto"/>
          <w:sz w:val="24"/>
          <w:szCs w:val="24"/>
        </w:rPr>
      </w:pPr>
      <w:r w:rsidRPr="00651729">
        <w:rPr>
          <w:rFonts w:ascii="Times New Roman" w:eastAsia="Times New Roman" w:hAnsi="Times New Roman" w:cs="Times New Roman"/>
          <w:color w:val="auto"/>
          <w:sz w:val="24"/>
          <w:szCs w:val="24"/>
        </w:rPr>
        <w:t>The BJS-produced findings from the 202</w:t>
      </w:r>
      <w:r>
        <w:rPr>
          <w:rFonts w:ascii="Times New Roman" w:eastAsia="Times New Roman" w:hAnsi="Times New Roman" w:cs="Times New Roman"/>
          <w:color w:val="auto"/>
          <w:sz w:val="24"/>
          <w:szCs w:val="24"/>
        </w:rPr>
        <w:t>6</w:t>
      </w:r>
      <w:r w:rsidRPr="00651729">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CSLLEA</w:t>
      </w:r>
      <w:r w:rsidRPr="00651729">
        <w:rPr>
          <w:rFonts w:ascii="Times New Roman" w:eastAsia="Times New Roman" w:hAnsi="Times New Roman" w:cs="Times New Roman"/>
          <w:color w:val="auto"/>
          <w:sz w:val="24"/>
          <w:szCs w:val="24"/>
        </w:rPr>
        <w:t xml:space="preserve"> will be provided to the public in electronic format. The report will be available on the BJS website. </w:t>
      </w:r>
    </w:p>
    <w:p w:rsidR="00791524" w:rsidRPr="00867B5B" w:rsidP="00867B5B" w14:paraId="2953FF07" w14:textId="6C966E9A">
      <w:pPr>
        <w:rPr>
          <w:b/>
          <w:bCs/>
        </w:rPr>
      </w:pPr>
    </w:p>
    <w:p w:rsidR="00867B5B" w:rsidRPr="00867B5B" w:rsidP="00867B5B" w14:paraId="2DC2D546" w14:textId="77777777">
      <w:pPr>
        <w:rPr>
          <w:b/>
          <w:bCs/>
        </w:rPr>
      </w:pPr>
      <w:r w:rsidRPr="00867B5B">
        <w:rPr>
          <w:b/>
          <w:bCs/>
        </w:rPr>
        <w:t xml:space="preserve">4. Describe efforts to identify duplication. Show specifically why any similar information already available cannot be used or modified for use for the purposes described in Item A.2 above. </w:t>
      </w:r>
    </w:p>
    <w:p w:rsidR="00554338" w:rsidP="00554338" w14:paraId="0EFB3E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0AED" w:rsidP="00554338" w14:paraId="343AC890" w14:textId="5C15F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three</w:t>
      </w:r>
      <w:r w:rsidR="00554338">
        <w:t xml:space="preserve"> personnel </w:t>
      </w:r>
      <w:r>
        <w:t xml:space="preserve">count </w:t>
      </w:r>
      <w:r w:rsidR="00554338">
        <w:t xml:space="preserve">questions on the CSLLEA are also </w:t>
      </w:r>
      <w:r>
        <w:t>captured through</w:t>
      </w:r>
      <w:r w:rsidR="00554338">
        <w:t xml:space="preserve"> the LEMAS. </w:t>
      </w:r>
      <w:r w:rsidRPr="009460DA" w:rsidR="00E12B24">
        <w:t xml:space="preserve">Item </w:t>
      </w:r>
      <w:r w:rsidRPr="009460DA" w:rsidR="0047240E">
        <w:t>14</w:t>
      </w:r>
      <w:r w:rsidRPr="009460DA">
        <w:t>,</w:t>
      </w:r>
      <w:r w:rsidRPr="0047240E">
        <w:t xml:space="preserve"> which</w:t>
      </w:r>
      <w:r>
        <w:t xml:space="preserve"> collects the number of full-time and part-time personnel by sworn status,</w:t>
      </w:r>
      <w:r w:rsidR="007131F6">
        <w:t xml:space="preserve"> </w:t>
      </w:r>
      <w:r w:rsidR="00554338">
        <w:t xml:space="preserve">is considered an essential item for both collections—it serves as the measure of agency size on the CSLLEA for sampling purposes and for reporting out results on both collections. The number of full-time sworn equivalent is calculated from this item and allows BJS to pull a stratified sample from the CSLLEA for our various law enforcement surveys. For the LEMAS, </w:t>
      </w:r>
      <w:r w:rsidR="004E5E93">
        <w:t>BJS</w:t>
      </w:r>
      <w:r w:rsidR="00554338">
        <w:t xml:space="preserve"> use</w:t>
      </w:r>
      <w:r w:rsidR="004E5E93">
        <w:t>s</w:t>
      </w:r>
      <w:r w:rsidR="00554338">
        <w:t xml:space="preserve"> FTE on our report tables. Due to fluctuations in staffing size year to year, </w:t>
      </w:r>
      <w:r w:rsidR="004E5E93">
        <w:t>BJS’</w:t>
      </w:r>
      <w:r w:rsidR="00467715">
        <w:t>s</w:t>
      </w:r>
      <w:r w:rsidR="00554338">
        <w:t xml:space="preserve"> estimates rely on having an up-to-date FTE count. </w:t>
      </w:r>
    </w:p>
    <w:p w:rsidR="009F0AED" w:rsidP="00554338" w14:paraId="32E5A5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4338" w:rsidP="00554338" w14:paraId="4BC67274" w14:textId="597CF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9F0AED">
        <w:t xml:space="preserve">second </w:t>
      </w:r>
      <w:r>
        <w:t xml:space="preserve">item that overlaps on the CSLLEA and </w:t>
      </w:r>
      <w:r w:rsidRPr="009460DA">
        <w:t xml:space="preserve">LEMAS is Item </w:t>
      </w:r>
      <w:r w:rsidRPr="009460DA" w:rsidR="0047240E">
        <w:t>15</w:t>
      </w:r>
      <w:r w:rsidRPr="009460DA">
        <w:t>,</w:t>
      </w:r>
      <w:r w:rsidRPr="0047240E">
        <w:t xml:space="preserve"> which</w:t>
      </w:r>
      <w:r>
        <w:t xml:space="preserve"> </w:t>
      </w:r>
      <w:r w:rsidR="00AB2123">
        <w:t xml:space="preserve">collects </w:t>
      </w:r>
      <w:r w:rsidR="008C040F">
        <w:t xml:space="preserve">the sex of personnel. This </w:t>
      </w:r>
      <w:r>
        <w:t xml:space="preserve">was added to the CSLLEA for the first time in 2018. The LEMAS can only provide gender estimates for </w:t>
      </w:r>
      <w:r w:rsidR="000B13A3">
        <w:t xml:space="preserve">full-time sworn officers in </w:t>
      </w:r>
      <w:r>
        <w:t>general</w:t>
      </w:r>
      <w:r w:rsidR="004C5EF0">
        <w:t>-</w:t>
      </w:r>
      <w:r>
        <w:t xml:space="preserve">purpose agencies. </w:t>
      </w:r>
      <w:r w:rsidR="00867B5B">
        <w:t xml:space="preserve">Including this item in the </w:t>
      </w:r>
      <w:r>
        <w:t>CSLLEA</w:t>
      </w:r>
      <w:r w:rsidR="000B13A3">
        <w:t xml:space="preserve"> allow</w:t>
      </w:r>
      <w:r w:rsidR="00867B5B">
        <w:t>s</w:t>
      </w:r>
      <w:r w:rsidR="000B13A3">
        <w:t xml:space="preserve"> BJS to </w:t>
      </w:r>
      <w:r>
        <w:t>determine the proportion of female officers in special</w:t>
      </w:r>
      <w:r w:rsidR="004C5EF0">
        <w:t>-</w:t>
      </w:r>
      <w:r>
        <w:t>purpose agencies</w:t>
      </w:r>
      <w:r w:rsidR="000B13A3">
        <w:t xml:space="preserve"> and allow</w:t>
      </w:r>
      <w:r w:rsidR="00867B5B">
        <w:t>s</w:t>
      </w:r>
      <w:r w:rsidR="000B13A3">
        <w:t xml:space="preserve"> BJS to provide gender estimates for non-sworn/civilian personnel</w:t>
      </w:r>
      <w:r>
        <w:t xml:space="preserve">. </w:t>
      </w:r>
    </w:p>
    <w:p w:rsidR="00867B5B" w:rsidP="00554338" w14:paraId="760EF0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7B5B" w:rsidP="00554338" w14:paraId="159B9AFB" w14:textId="54CC8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5A42">
        <w:t>The third item that overlaps on the CSLLEA and LEMAS is Item 16, which collects the race and Hispanic Origin of full-time sworn officers. This was added to the CSLLEA for the first time in 2022. The LEMAS can only provide estimates for full-time sworn officers by race and Hispanic origin in general-purpose agencies. Including this item in the CSLLEA allows BJS to provide estimates of full-time sworn officers by race and Hispanic origin in special-purpose agencies and for non-sworn/civilian personnel.</w:t>
      </w:r>
    </w:p>
    <w:p w:rsidR="00554338" w:rsidP="00554338" w14:paraId="1721A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6553" w:rsidP="00554338" w14:paraId="15286121" w14:textId="17FDA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CSLLEA and LEMAS do not collect data in the same years. So</w:t>
      </w:r>
      <w:r w:rsidR="00B47714">
        <w:t>,</w:t>
      </w:r>
      <w:r>
        <w:t xml:space="preserve"> while the items overlap, the </w:t>
      </w:r>
      <w:r w:rsidR="00FA4403">
        <w:t>data years are different</w:t>
      </w:r>
      <w:r w:rsidR="00A1036F">
        <w:t>. This</w:t>
      </w:r>
      <w:r w:rsidR="00FA4403">
        <w:t xml:space="preserve"> allows BJS to provide trends in </w:t>
      </w:r>
      <w:r>
        <w:t xml:space="preserve">overall </w:t>
      </w:r>
      <w:r w:rsidR="00FA4403">
        <w:t xml:space="preserve">counts, sex, and race/Hispanic origin </w:t>
      </w:r>
      <w:r>
        <w:t xml:space="preserve">of law enforcement personnel across more years. </w:t>
      </w:r>
    </w:p>
    <w:p w:rsidR="00B47714" w:rsidP="00554338" w14:paraId="15956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4338" w:rsidRPr="000E6548" w:rsidP="00554338" w14:paraId="01C3D608" w14:textId="255DA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548">
        <w:t>Based on our knowledge of the federal statistical system and law enforcement surveys,</w:t>
      </w:r>
      <w:r w:rsidR="00CD5CAC">
        <w:t xml:space="preserve"> </w:t>
      </w:r>
      <w:r w:rsidRPr="000E6548">
        <w:t xml:space="preserve">BJS has determined that the </w:t>
      </w:r>
      <w:r w:rsidR="00FC3C15">
        <w:t>202</w:t>
      </w:r>
      <w:r w:rsidR="00E12B24">
        <w:t>6</w:t>
      </w:r>
      <w:r>
        <w:t xml:space="preserve"> CSLLEA</w:t>
      </w:r>
      <w:r w:rsidRPr="000E6548">
        <w:t xml:space="preserve"> includes measures of the number of law enforcement personnel that are also included in </w:t>
      </w:r>
      <w:r w:rsidR="00D0431D">
        <w:t>five</w:t>
      </w:r>
      <w:r w:rsidRPr="000E6548">
        <w:t xml:space="preserve"> ongoing surveys by other Federal agencies</w:t>
      </w:r>
      <w:r>
        <w:t>:</w:t>
      </w:r>
    </w:p>
    <w:p w:rsidR="00554338" w:rsidRPr="000E6548" w:rsidP="00554338" w14:paraId="50F69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431D" w:rsidP="00195A42" w14:paraId="6553E08C" w14:textId="195AE1DA">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pPr>
      <w:r>
        <w:t xml:space="preserve">The Federal Bureau of Investigation (FBI) annually collects information from </w:t>
      </w:r>
      <w:r w:rsidR="00467715">
        <w:t xml:space="preserve">law enforcement agencies </w:t>
      </w:r>
      <w:r>
        <w:t>about the number and sex of sworn and non</w:t>
      </w:r>
      <w:r w:rsidR="001438D3">
        <w:t>-</w:t>
      </w:r>
      <w:r>
        <w:t xml:space="preserve">sworn personnel as part of the “Number of Full-Time Law Enforcement Employees” (OMB No. 1110-0004). </w:t>
      </w:r>
    </w:p>
    <w:p w:rsidR="00386110" w:rsidP="00195A42" w14:paraId="4BD8AC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pPr>
    </w:p>
    <w:p w:rsidR="00D0431D" w:rsidP="00195A42" w14:paraId="7BE3F4AD" w14:textId="5DDA5969">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pPr>
      <w:r>
        <w:t>The Census Bureau tabulates and publishes Equal Employment Opportunity (EEO) information on the sex, race and ethnicity of persons who work in a protective service. This information is available for geographies that represent worksite and residence. This information has been based on the decennial census and more recently on the American Community Survey (OMB No. 0607-0810 &amp; 0607-0936). This tabulation is sponsored by the Equal Employment Opportunity Commission (EEOC), the Employment Litigation Section of the Civil Rights Division at the Department of Justice (DOJ), the Office of Federal Contract Compliance Programs (OFCCP) at the Department of Labor (DOL), and the Office of Personnel Management (OPM).</w:t>
      </w:r>
    </w:p>
    <w:p w:rsidR="00386110" w:rsidP="00195A42" w14:paraId="11B2D5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pPr>
    </w:p>
    <w:p w:rsidR="00386110" w:rsidP="00195A42" w14:paraId="6020464F" w14:textId="14ACCAFC">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pPr>
      <w:r>
        <w:t xml:space="preserve">The Bureau of Labor </w:t>
      </w:r>
      <w:r>
        <w:t>Statistics’</w:t>
      </w:r>
      <w:r w:rsidR="001438D3">
        <w:t>s</w:t>
      </w:r>
      <w:r>
        <w:t xml:space="preserve"> (BLS) “Occupational Employment Survey” (OMB No. 1220-0042) samples employers yearly about the number</w:t>
      </w:r>
      <w:r w:rsidR="00467715">
        <w:t xml:space="preserve"> and</w:t>
      </w:r>
      <w:r>
        <w:t xml:space="preserve"> race and Hispanic origin of employees in three Protective Service Occupation subcategories: 1) police and sheriff</w:t>
      </w:r>
      <w:r w:rsidR="00964831">
        <w:t>s</w:t>
      </w:r>
      <w:r>
        <w:t>’ patrol officers, 2) detectives and criminal investigators, and 3) first</w:t>
      </w:r>
      <w:r w:rsidR="001438D3">
        <w:t>-</w:t>
      </w:r>
      <w:r>
        <w:t xml:space="preserve">line supervisors of police and detectives. </w:t>
      </w:r>
    </w:p>
    <w:p w:rsidR="00386110" w:rsidP="00195A42" w14:paraId="14AB07B6" w14:textId="77777777">
      <w:pPr>
        <w:pStyle w:val="ListParagraph"/>
        <w:tabs>
          <w:tab w:val="left" w:pos="720"/>
        </w:tabs>
        <w:ind w:hanging="270"/>
      </w:pPr>
    </w:p>
    <w:p w:rsidR="00641C17" w:rsidP="00195A42" w14:paraId="32ABF3C8" w14:textId="35B6242B">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pPr>
      <w:r>
        <w:t>The EEOC biennially collects information from state and local governments on the number of employees who work in a protective service by salary, race/ethnicity, and sex. This information is collected as part of their S</w:t>
      </w:r>
      <w:r w:rsidRPr="00641C17">
        <w:t>tate and Local Government Information Report</w:t>
      </w:r>
      <w:r>
        <w:t xml:space="preserve"> (EEO-4; OMB No. 3046-0008).</w:t>
      </w:r>
    </w:p>
    <w:p w:rsidR="00641C17" w:rsidP="00195A42" w14:paraId="5E4E4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pPr>
    </w:p>
    <w:p w:rsidR="00D0431D" w:rsidP="00195A42" w14:paraId="732E8476" w14:textId="02D309E9">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pPr>
      <w:r>
        <w:t xml:space="preserve">The Census Bureau also collects data on </w:t>
      </w:r>
      <w:r w:rsidR="001438D3">
        <w:t xml:space="preserve">the </w:t>
      </w:r>
      <w:r>
        <w:t>number of employees (and total payroll) of police protection agencies as part of its Annual Survey of Public Employment &amp; Payroll (ASPEP; OMB No. 0607-0452).</w:t>
      </w:r>
    </w:p>
    <w:p w:rsidR="00554338" w:rsidP="00554338" w14:paraId="4CF935EE" w14:textId="77777777">
      <w:pPr>
        <w:shd w:val="solid" w:color="FFFFFF" w:fill="FFFFFF"/>
        <w:tabs>
          <w:tab w:val="left" w:pos="720"/>
          <w:tab w:val="left" w:pos="1440"/>
        </w:tabs>
      </w:pPr>
    </w:p>
    <w:p w:rsidR="00554338" w:rsidRPr="00DF4D22" w:rsidP="00554338" w14:paraId="0F96C467" w14:textId="77777777">
      <w:pPr>
        <w:shd w:val="solid" w:color="FFFFFF" w:fill="FFFFFF"/>
        <w:tabs>
          <w:tab w:val="left" w:pos="720"/>
          <w:tab w:val="left" w:pos="1440"/>
        </w:tabs>
        <w:rPr>
          <w:i/>
        </w:rPr>
      </w:pPr>
      <w:r w:rsidRPr="00DF4D22">
        <w:rPr>
          <w:i/>
        </w:rPr>
        <w:t>CSLLEA vs. FBI Police Employee Data</w:t>
      </w:r>
    </w:p>
    <w:p w:rsidR="00386110" w:rsidP="00386110" w14:paraId="47968586" w14:textId="1DE1D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identified four variables—the number of </w:t>
      </w:r>
      <w:r>
        <w:t>male</w:t>
      </w:r>
      <w:r>
        <w:t xml:space="preserve"> sworn, male non</w:t>
      </w:r>
      <w:r w:rsidR="001438D3">
        <w:t>-</w:t>
      </w:r>
      <w:r>
        <w:t>sworn, female sworn, and female non</w:t>
      </w:r>
      <w:r w:rsidR="001438D3">
        <w:t>-</w:t>
      </w:r>
      <w:r>
        <w:t xml:space="preserve">sworn personnel—that are collected and reported by the FBI survey and by BJS in the CSLLEA. </w:t>
      </w:r>
    </w:p>
    <w:p w:rsidR="00386110" w:rsidP="00386110" w14:paraId="748D4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6110" w:rsidP="00386110" w14:paraId="6BD00BB5" w14:textId="351793C6">
      <w:r>
        <w:t>BJS and FBI data collections differ on several key measures. First, the definition of law enforcement officer varies depending upon how the officer is funded at the agency. The FBI survey is limited to personnel paid “with law enforcement funds</w:t>
      </w:r>
      <w:r w:rsidR="00467715">
        <w:t>,</w:t>
      </w:r>
      <w:r>
        <w:t>” while the BJS surveys include all personnel regardless of what public funds pay their salaries. Second, the scope of agencies considered for inclusion in data collection efforts differs. BJS surveys capture all agencies that employ the equivalent (i.e., two part-time staff) of at least one full-time sworn person</w:t>
      </w:r>
      <w:r w:rsidR="0047457B">
        <w:t>,</w:t>
      </w:r>
      <w:r w:rsidR="00467715">
        <w:t xml:space="preserve"> </w:t>
      </w:r>
      <w:r>
        <w:t>while the FBI requires at least one full-time sworn staff member. Third, the data collection goals differ. The items about personnel in the FBI survey are collected in conjunction with annual data collections of hundreds of items about reported offenses and assaults on law enforcement officers. The FBI uses these data to report on offense, arrest, and assault rates per sworn personnel. Finally, BJS includes additional demographic variables (race and ethnicity) for sworn personnel.</w:t>
      </w:r>
    </w:p>
    <w:p w:rsidR="00386110" w:rsidP="00386110" w14:paraId="275E11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6110" w:rsidP="00386110" w14:paraId="5EDC8583" w14:textId="1444B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These design elements lead to differences in the estimated number of total sworn officers, which persist over time across various waves of data </w:t>
      </w:r>
      <w:r w:rsidRPr="00293F08">
        <w:t xml:space="preserve">collection. In the </w:t>
      </w:r>
      <w:r w:rsidR="002B10EF">
        <w:t>seven</w:t>
      </w:r>
      <w:r w:rsidRPr="00293F08">
        <w:t xml:space="preserve"> years (1992, 1996, 2000, 2004, 2008</w:t>
      </w:r>
      <w:r w:rsidRPr="00293F08" w:rsidR="001438D3">
        <w:t>,</w:t>
      </w:r>
      <w:r w:rsidRPr="00293F08">
        <w:t xml:space="preserve"> 2018</w:t>
      </w:r>
      <w:r w:rsidRPr="00293F08" w:rsidR="00293F08">
        <w:t>, and 2022</w:t>
      </w:r>
      <w:r w:rsidRPr="00293F08">
        <w:t xml:space="preserve">) for which both the FBI survey and the BJS CSLLEA were conducted, the FBI collected data </w:t>
      </w:r>
      <w:r w:rsidRPr="00CB5187">
        <w:t>from 3,</w:t>
      </w:r>
      <w:r w:rsidRPr="00CB5187" w:rsidR="002B10EF">
        <w:t>1</w:t>
      </w:r>
      <w:r w:rsidRPr="00CB5187">
        <w:t>00 to 5,</w:t>
      </w:r>
      <w:r w:rsidRPr="00CB5187" w:rsidR="00CB5187">
        <w:t>7</w:t>
      </w:r>
      <w:r w:rsidRPr="00CB5187">
        <w:t xml:space="preserve">00 </w:t>
      </w:r>
      <w:r w:rsidRPr="00CB5187" w:rsidR="006E2470">
        <w:t>(</w:t>
      </w:r>
      <w:r w:rsidRPr="00CB5187" w:rsidR="00CB5187">
        <w:t>up to 31</w:t>
      </w:r>
      <w:r w:rsidRPr="00CB5187" w:rsidR="006E2470">
        <w:t xml:space="preserve">%) </w:t>
      </w:r>
      <w:r w:rsidRPr="00CB5187">
        <w:t xml:space="preserve">fewer agencies and reported </w:t>
      </w:r>
      <w:r w:rsidRPr="00CB5187" w:rsidR="002B10EF">
        <w:t xml:space="preserve">56,700 to </w:t>
      </w:r>
      <w:r w:rsidRPr="00CB5187">
        <w:t>10</w:t>
      </w:r>
      <w:r w:rsidRPr="00CB5187" w:rsidR="002B10EF">
        <w:t>1</w:t>
      </w:r>
      <w:r w:rsidRPr="00CB5187">
        <w:t xml:space="preserve">,000 </w:t>
      </w:r>
      <w:r w:rsidRPr="00CB5187" w:rsidR="006E2470">
        <w:t>(</w:t>
      </w:r>
      <w:r w:rsidRPr="00CB5187" w:rsidR="002B10EF">
        <w:t xml:space="preserve">up to </w:t>
      </w:r>
      <w:r w:rsidRPr="00CB5187" w:rsidR="00CB5187">
        <w:t>13</w:t>
      </w:r>
      <w:r w:rsidRPr="00CB5187" w:rsidR="006E2470">
        <w:t xml:space="preserve">%) </w:t>
      </w:r>
      <w:r w:rsidRPr="00CB5187">
        <w:t>fewer total personnel. These</w:t>
      </w:r>
      <w:r w:rsidRPr="00293F08">
        <w:t xml:space="preserve"> differences are due in part to the different criteria for inclusion of agencies and personnel in these two surveys. Lastly, the FBI survey is limited to agencies that report to the FBI’s UCR program during a particular year</w:t>
      </w:r>
      <w:r w:rsidRPr="00293F08" w:rsidR="00CF25FC">
        <w:t>.</w:t>
      </w:r>
      <w:r>
        <w:rPr>
          <w:rStyle w:val="FootnoteReference"/>
        </w:rPr>
        <w:footnoteReference w:id="6"/>
      </w:r>
      <w:r w:rsidRPr="00293F08" w:rsidR="00CF25FC">
        <w:rPr>
          <w:vertAlign w:val="superscript"/>
        </w:rPr>
        <w:t>,</w:t>
      </w:r>
      <w:r>
        <w:rPr>
          <w:rStyle w:val="FootnoteReference"/>
        </w:rPr>
        <w:footnoteReference w:id="7"/>
      </w:r>
      <w:r>
        <w:t xml:space="preserve"> </w:t>
      </w:r>
    </w:p>
    <w:p w:rsidR="00386110" w:rsidP="00386110" w14:paraId="4CFAC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4338" w:rsidRPr="000E6548" w:rsidP="00386110" w14:paraId="49E2E660" w14:textId="4D86E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rsidRPr="000E6548">
        <w:t xml:space="preserve">ersonnel items included in the </w:t>
      </w:r>
      <w:r>
        <w:t>CSLLEA</w:t>
      </w:r>
      <w:r w:rsidRPr="000E6548">
        <w:t xml:space="preserve"> are used to provide the basis for computing the percentages of sworn personnel by law enforcement function. </w:t>
      </w:r>
      <w:r>
        <w:t>The CSLLEA</w:t>
      </w:r>
      <w:r w:rsidRPr="000E6548">
        <w:t xml:space="preserve"> also collects information about </w:t>
      </w:r>
      <w:r w:rsidR="00D9535B">
        <w:t>officers with limited or no arrest powers</w:t>
      </w:r>
      <w:r>
        <w:t xml:space="preserve"> and </w:t>
      </w:r>
      <w:r w:rsidRPr="000E6548">
        <w:t>part-time employees of</w:t>
      </w:r>
      <w:r>
        <w:t xml:space="preserve"> law enforcement agencies, whereas the FBI does not</w:t>
      </w:r>
      <w:r w:rsidRPr="000E6548">
        <w:t xml:space="preserve">. </w:t>
      </w:r>
    </w:p>
    <w:p w:rsidR="00554338" w:rsidRPr="000E6548" w:rsidP="00554338" w14:paraId="20ACD0DC" w14:textId="77777777">
      <w:pPr>
        <w:shd w:val="solid" w:color="FFFFFF" w:fill="FFFFFF"/>
        <w:tabs>
          <w:tab w:val="left" w:pos="720"/>
          <w:tab w:val="left" w:pos="1440"/>
        </w:tabs>
      </w:pPr>
    </w:p>
    <w:p w:rsidR="00554338" w:rsidRPr="000E6548" w:rsidP="00554338" w14:paraId="20D5558D" w14:textId="77777777">
      <w:pPr>
        <w:shd w:val="solid" w:color="FFFFFF" w:fill="FFFFFF"/>
        <w:tabs>
          <w:tab w:val="left" w:pos="720"/>
          <w:tab w:val="left" w:pos="1440"/>
        </w:tabs>
      </w:pPr>
      <w:r w:rsidRPr="000E6548">
        <w:t xml:space="preserve">To summarize, BJS and FBI data collections differ on several key measures: </w:t>
      </w:r>
    </w:p>
    <w:p w:rsidR="00554338" w:rsidRPr="000E6548" w:rsidP="00554338" w14:paraId="333FBC98" w14:textId="77777777">
      <w:pPr>
        <w:shd w:val="solid" w:color="FFFFFF" w:fill="FFFFFF"/>
        <w:tabs>
          <w:tab w:val="left" w:pos="720"/>
          <w:tab w:val="left" w:pos="1440"/>
        </w:tabs>
      </w:pPr>
    </w:p>
    <w:p w:rsidR="00554338" w:rsidRPr="000E6548" w:rsidP="00E12B24" w14:paraId="2F32D9CD" w14:textId="2281BAAD">
      <w:pPr>
        <w:pStyle w:val="ListParagraph"/>
        <w:numPr>
          <w:ilvl w:val="0"/>
          <w:numId w:val="38"/>
        </w:numPr>
        <w:shd w:val="solid" w:color="FFFFFF" w:fill="FFFFFF"/>
        <w:tabs>
          <w:tab w:val="left" w:pos="720"/>
          <w:tab w:val="left" w:pos="1440"/>
        </w:tabs>
        <w:ind w:left="720" w:hanging="360"/>
      </w:pPr>
      <w:r w:rsidRPr="000E6548">
        <w:t xml:space="preserve">Definition of law enforcement </w:t>
      </w:r>
      <w:r w:rsidRPr="000E6548" w:rsidR="00BF0C67">
        <w:t>officer</w:t>
      </w:r>
      <w:r w:rsidRPr="000E6548">
        <w:t xml:space="preserve"> varies depending upon how the officer is funded at the agency</w:t>
      </w:r>
    </w:p>
    <w:p w:rsidR="00554338" w:rsidRPr="000E6548" w:rsidP="002A7BB1" w14:paraId="4CDA6B5B" w14:textId="0E21CAB5">
      <w:pPr>
        <w:pStyle w:val="ListParagraph"/>
        <w:numPr>
          <w:ilvl w:val="0"/>
          <w:numId w:val="38"/>
        </w:numPr>
        <w:shd w:val="solid" w:color="FFFFFF" w:fill="FFFFFF"/>
        <w:tabs>
          <w:tab w:val="left" w:pos="720"/>
          <w:tab w:val="left" w:pos="1440"/>
        </w:tabs>
      </w:pPr>
      <w:r w:rsidRPr="000E6548">
        <w:t xml:space="preserve">Scope of agencies considered for inclusion in data collection efforts </w:t>
      </w:r>
    </w:p>
    <w:p w:rsidR="00554338" w:rsidRPr="000E6548" w:rsidP="002A7BB1" w14:paraId="725572BF" w14:textId="416A3155">
      <w:pPr>
        <w:pStyle w:val="ListParagraph"/>
        <w:numPr>
          <w:ilvl w:val="0"/>
          <w:numId w:val="38"/>
        </w:numPr>
        <w:shd w:val="solid" w:color="FFFFFF" w:fill="FFFFFF"/>
        <w:tabs>
          <w:tab w:val="left" w:pos="720"/>
          <w:tab w:val="left" w:pos="1440"/>
        </w:tabs>
      </w:pPr>
      <w:r w:rsidRPr="000E6548">
        <w:t>Data collection goals</w:t>
      </w:r>
    </w:p>
    <w:p w:rsidR="00554338" w:rsidRPr="000E6548" w:rsidP="002A7BB1" w14:paraId="532010C8" w14:textId="21F370D5">
      <w:pPr>
        <w:pStyle w:val="ListParagraph"/>
        <w:numPr>
          <w:ilvl w:val="0"/>
          <w:numId w:val="38"/>
        </w:numPr>
        <w:shd w:val="solid" w:color="FFFFFF" w:fill="FFFFFF"/>
        <w:tabs>
          <w:tab w:val="left" w:pos="720"/>
          <w:tab w:val="left" w:pos="1440"/>
        </w:tabs>
      </w:pPr>
      <w:r w:rsidRPr="000E6548">
        <w:t>BJS includes additional demographic variables for sworn personnel</w:t>
      </w:r>
    </w:p>
    <w:p w:rsidR="00554338" w:rsidRPr="000E6548" w:rsidP="00554338" w14:paraId="1030AB31" w14:textId="77777777">
      <w:pPr>
        <w:shd w:val="solid" w:color="FFFFFF" w:fill="FFFFFF"/>
        <w:tabs>
          <w:tab w:val="left" w:pos="720"/>
          <w:tab w:val="left" w:pos="1440"/>
        </w:tabs>
      </w:pPr>
    </w:p>
    <w:p w:rsidR="00554338" w:rsidP="00554338" w14:paraId="362424CF" w14:textId="5320D146">
      <w:pPr>
        <w:shd w:val="solid" w:color="FFFFFF" w:fill="FFFFFF"/>
        <w:tabs>
          <w:tab w:val="left" w:pos="720"/>
          <w:tab w:val="left" w:pos="1440"/>
        </w:tabs>
      </w:pPr>
      <w:r w:rsidRPr="000E6548">
        <w:t xml:space="preserve">These design elements lead to differences in the estimated number of total sworn officers, which persist over time across various waves of data collection. The number of duplicate data </w:t>
      </w:r>
      <w:r w:rsidRPr="000E6548">
        <w:t xml:space="preserve">collection items in the BJS and FBI data collection is small, and the information collected is necessary to meet the goals of each survey. </w:t>
      </w:r>
    </w:p>
    <w:p w:rsidR="00CF25FC" w:rsidP="00554338" w14:paraId="2D095F65" w14:textId="77777777">
      <w:pPr>
        <w:shd w:val="solid" w:color="FFFFFF" w:fill="FFFFFF"/>
        <w:tabs>
          <w:tab w:val="left" w:pos="720"/>
          <w:tab w:val="left" w:pos="1440"/>
        </w:tabs>
      </w:pPr>
    </w:p>
    <w:p w:rsidR="00386110" w:rsidRPr="00386110" w:rsidP="00554338" w14:paraId="3252795B" w14:textId="36962A72">
      <w:pPr>
        <w:shd w:val="solid" w:color="FFFFFF" w:fill="FFFFFF"/>
        <w:tabs>
          <w:tab w:val="left" w:pos="720"/>
          <w:tab w:val="left" w:pos="1440"/>
        </w:tabs>
        <w:rPr>
          <w:i/>
        </w:rPr>
      </w:pPr>
      <w:r>
        <w:rPr>
          <w:i/>
        </w:rPr>
        <w:t>CSLLEA vs OES</w:t>
      </w:r>
    </w:p>
    <w:p w:rsidR="00386110" w:rsidP="00386110" w14:paraId="0728A5CA" w14:textId="7B57B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Turning to the Occupational Employment Survey, both the BJS and BLS surveys report information about the number of law enforcement employees. The BLS survey emphasizes comparisons of the number of positions and their compensation among many occupation types across different geographical areas of the country. The samples and employee definitions used in these two surveys vary due to the differing purposes of the surveys. In law enforcement surveys</w:t>
      </w:r>
      <w:r w:rsidR="001C7A20">
        <w:t>,</w:t>
      </w:r>
      <w:r>
        <w:t xml:space="preserve"> the distinction between sworn and non</w:t>
      </w:r>
      <w:r w:rsidR="001438D3">
        <w:t>-</w:t>
      </w:r>
      <w:r>
        <w:t>sworn is crucial, but this distinction is not made in the BLS occupational sub-codes. Moreover, many law enforcement employees, such as forensic scientists or crime analysts, are unlikely to fit into any BLS occupational codes for protection service occupations.</w:t>
      </w:r>
    </w:p>
    <w:p w:rsidR="00386110" w:rsidRPr="000E6548" w:rsidP="00641C17" w14:paraId="4A56F236" w14:textId="601AF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with the FBI survey, the number of duplicate items in the BJS and BLS surveys is small, and the items are needed for the internal purposes of the survey. The BJS data are collected and reported at the agency level and at the national level </w:t>
      </w:r>
      <w:r w:rsidR="001C7A20">
        <w:t>by type of agency</w:t>
      </w:r>
      <w:r>
        <w:t>. The BLS data are collected at the employer level</w:t>
      </w:r>
      <w:r w:rsidR="00964831">
        <w:t>,</w:t>
      </w:r>
      <w:r>
        <w:t xml:space="preserve"> and three-year averages are reported at the SMSA level and the national level with no distinction among federal, state</w:t>
      </w:r>
      <w:r w:rsidR="001C7A20">
        <w:t>,</w:t>
      </w:r>
      <w:r>
        <w:t xml:space="preserve"> or local </w:t>
      </w:r>
      <w:r w:rsidR="00467715">
        <w:t>law enforcement agencies</w:t>
      </w:r>
      <w:r>
        <w:t>.</w:t>
      </w:r>
      <w:r w:rsidR="00641C17">
        <w:t xml:space="preserve"> In addition, the CSLLEA collects information from special</w:t>
      </w:r>
      <w:r w:rsidR="004C5EF0">
        <w:t>-</w:t>
      </w:r>
      <w:r w:rsidR="00641C17">
        <w:t xml:space="preserve">purpose law enforcement agencies, which either </w:t>
      </w:r>
      <w:r w:rsidR="00964831">
        <w:t xml:space="preserve">are </w:t>
      </w:r>
      <w:r w:rsidR="00641C17">
        <w:t>not collected in the BLS survey or are undifferentiated from other types of law enforcement.</w:t>
      </w:r>
    </w:p>
    <w:p w:rsidR="00554338" w:rsidRPr="00DF4D22" w:rsidP="00554338" w14:paraId="23A4E0E8" w14:textId="77777777">
      <w:pPr>
        <w:shd w:val="solid" w:color="FFFFFF" w:fill="FFFFFF"/>
        <w:tabs>
          <w:tab w:val="left" w:pos="720"/>
          <w:tab w:val="left" w:pos="1440"/>
        </w:tabs>
        <w:rPr>
          <w:i/>
        </w:rPr>
      </w:pPr>
    </w:p>
    <w:p w:rsidR="00554338" w:rsidRPr="00DF4D22" w:rsidP="00554338" w14:paraId="0754F79B" w14:textId="77777777">
      <w:pPr>
        <w:shd w:val="solid" w:color="FFFFFF" w:fill="FFFFFF"/>
        <w:tabs>
          <w:tab w:val="left" w:pos="720"/>
          <w:tab w:val="left" w:pos="1440"/>
        </w:tabs>
        <w:rPr>
          <w:i/>
        </w:rPr>
      </w:pPr>
      <w:r w:rsidRPr="00DF4D22">
        <w:rPr>
          <w:i/>
        </w:rPr>
        <w:t>CSLLEA vs. EEO</w:t>
      </w:r>
    </w:p>
    <w:p w:rsidR="00554338" w:rsidRPr="000E6548" w:rsidP="00554338" w14:paraId="61ABA82F" w14:textId="38D9AD48">
      <w:pPr>
        <w:shd w:val="solid" w:color="FFFFFF" w:fill="FFFFFF"/>
        <w:tabs>
          <w:tab w:val="left" w:pos="720"/>
          <w:tab w:val="left" w:pos="1440"/>
        </w:tabs>
      </w:pPr>
      <w:r w:rsidRPr="000E6548">
        <w:t xml:space="preserve">The </w:t>
      </w:r>
      <w:r>
        <w:t>EEO</w:t>
      </w:r>
      <w:r w:rsidRPr="000E6548">
        <w:t xml:space="preserve"> tabulations provide national estimates o</w:t>
      </w:r>
      <w:r w:rsidR="002C5844">
        <w:t>f</w:t>
      </w:r>
      <w:r w:rsidRPr="000E6548">
        <w:t xml:space="preserve"> the number of sworn and non</w:t>
      </w:r>
      <w:r>
        <w:t>-</w:t>
      </w:r>
      <w:r w:rsidRPr="000E6548">
        <w:t xml:space="preserve">sworn personnel involved in protective services for state and local governments. </w:t>
      </w:r>
      <w:r>
        <w:t>With the EEO</w:t>
      </w:r>
      <w:r w:rsidRPr="000E6548">
        <w:t xml:space="preserve"> tabulations</w:t>
      </w:r>
      <w:r w:rsidR="002C5844">
        <w:t>,</w:t>
      </w:r>
      <w:r w:rsidRPr="000E6548">
        <w:t xml:space="preserve"> it is </w:t>
      </w:r>
      <w:r>
        <w:t xml:space="preserve">not </w:t>
      </w:r>
      <w:r w:rsidRPr="000E6548">
        <w:t xml:space="preserve">possible to </w:t>
      </w:r>
      <w:r>
        <w:t>disaggregate</w:t>
      </w:r>
      <w:r w:rsidRPr="000E6548">
        <w:t xml:space="preserve"> the law enforcement</w:t>
      </w:r>
      <w:r w:rsidR="002C5844">
        <w:t>-</w:t>
      </w:r>
      <w:r w:rsidRPr="000E6548">
        <w:t xml:space="preserve">related job codes that may be subsumed under the “protective service” heading. This dataset also provides </w:t>
      </w:r>
      <w:r w:rsidRPr="000E6548">
        <w:t>geographic</w:t>
      </w:r>
      <w:r w:rsidRPr="000E6548">
        <w:t xml:space="preserve"> rather than agency staffing estimates. Estimates are provided for location of employment or residence rather than the law enforcement agency. </w:t>
      </w:r>
      <w:r>
        <w:t>CSLLEA</w:t>
      </w:r>
      <w:r w:rsidRPr="000E6548">
        <w:t xml:space="preserve"> data reflect place of work rather than location of work or place of residence. </w:t>
      </w:r>
      <w:r>
        <w:t>The EEO</w:t>
      </w:r>
      <w:r w:rsidRPr="000E6548">
        <w:t xml:space="preserve"> data are </w:t>
      </w:r>
      <w:r>
        <w:t>not granular enough</w:t>
      </w:r>
      <w:r w:rsidRPr="000E6548">
        <w:t xml:space="preserve"> to disaggregate the number of sworn officers working i</w:t>
      </w:r>
      <w:r>
        <w:t>n local law enforcement versus s</w:t>
      </w:r>
      <w:r w:rsidRPr="000E6548">
        <w:t>heriff</w:t>
      </w:r>
      <w:r w:rsidR="00964831">
        <w:t>s</w:t>
      </w:r>
      <w:r w:rsidRPr="000E6548">
        <w:t>’ offices</w:t>
      </w:r>
      <w:r w:rsidR="00964831">
        <w:t>,</w:t>
      </w:r>
      <w:r>
        <w:t xml:space="preserve"> and they do not provide a breakout by gender</w:t>
      </w:r>
      <w:r w:rsidRPr="000E6548">
        <w:t xml:space="preserve">. </w:t>
      </w:r>
    </w:p>
    <w:p w:rsidR="00641C17" w:rsidP="00554338" w14:paraId="6A05B869" w14:textId="383E5A43">
      <w:pPr>
        <w:shd w:val="solid" w:color="FFFFFF" w:fill="FFFFFF"/>
        <w:tabs>
          <w:tab w:val="left" w:pos="720"/>
          <w:tab w:val="left" w:pos="1440"/>
        </w:tabs>
      </w:pPr>
    </w:p>
    <w:p w:rsidR="00641C17" w:rsidRPr="007A2A17" w:rsidP="00554338" w14:paraId="4B198B64" w14:textId="3FA8EA60">
      <w:pPr>
        <w:shd w:val="solid" w:color="FFFFFF" w:fill="FFFFFF"/>
        <w:tabs>
          <w:tab w:val="left" w:pos="720"/>
          <w:tab w:val="left" w:pos="1440"/>
        </w:tabs>
        <w:rPr>
          <w:i/>
        </w:rPr>
      </w:pPr>
      <w:r>
        <w:rPr>
          <w:i/>
        </w:rPr>
        <w:t>CSLLEA vs. EEOC</w:t>
      </w:r>
    </w:p>
    <w:p w:rsidR="00641C17" w:rsidP="00641C17" w14:paraId="72EB4400" w14:textId="5562614C">
      <w:r>
        <w:t>The EEOC’s data collection is insufficient to disaggregate the number of sworn versus non</w:t>
      </w:r>
      <w:r w:rsidR="001438D3">
        <w:t>-</w:t>
      </w:r>
      <w:r>
        <w:t xml:space="preserve">sworn officers and </w:t>
      </w:r>
      <w:r w:rsidR="002C5844">
        <w:t>is</w:t>
      </w:r>
      <w:r>
        <w:t xml:space="preserve"> also insufficient to disaggregate those working in local law enforcement versus </w:t>
      </w:r>
      <w:r w:rsidR="00964831">
        <w:t>s</w:t>
      </w:r>
      <w:r>
        <w:t>heriff</w:t>
      </w:r>
      <w:r w:rsidR="00964831">
        <w:t>s</w:t>
      </w:r>
      <w:r>
        <w:t>’ offices. Similarly, while the EEOC data includes job function with protective service, a clear distinction does not exist between sworn and non</w:t>
      </w:r>
      <w:r w:rsidR="001438D3">
        <w:t>-</w:t>
      </w:r>
      <w:r>
        <w:t xml:space="preserve">sworn officers. Data collected by the EEOC are reported only at the national level; individual responses are confidential and used for investigative purposes by the EEOC and the Department of Justice. </w:t>
      </w:r>
    </w:p>
    <w:p w:rsidR="00641C17" w:rsidP="00554338" w14:paraId="501D231B" w14:textId="08D89E3A">
      <w:pPr>
        <w:shd w:val="solid" w:color="FFFFFF" w:fill="FFFFFF"/>
        <w:tabs>
          <w:tab w:val="left" w:pos="720"/>
          <w:tab w:val="left" w:pos="1440"/>
        </w:tabs>
      </w:pPr>
    </w:p>
    <w:p w:rsidR="00641C17" w:rsidRPr="00641C17" w:rsidP="00554338" w14:paraId="4A4D2F7E" w14:textId="22CCB98D">
      <w:pPr>
        <w:shd w:val="solid" w:color="FFFFFF" w:fill="FFFFFF"/>
        <w:tabs>
          <w:tab w:val="left" w:pos="720"/>
          <w:tab w:val="left" w:pos="1440"/>
        </w:tabs>
        <w:rPr>
          <w:i/>
        </w:rPr>
      </w:pPr>
      <w:r>
        <w:rPr>
          <w:i/>
        </w:rPr>
        <w:t>CSLLEA vs. ASPEP</w:t>
      </w:r>
    </w:p>
    <w:p w:rsidR="00641C17" w:rsidP="00641C17" w14:paraId="6757C4B0" w14:textId="4482EF73">
      <w:r>
        <w:t>Finally, the ASPEP data collection provides full-time and part-time employment and payroll estimates for persons with power of arrest within the police protection category</w:t>
      </w:r>
      <w:r w:rsidR="0047457B">
        <w:t>,</w:t>
      </w:r>
      <w:r>
        <w:t xml:space="preserve"> but the rest of the police protection category provides insufficient detail as to the work of sworn personnel and little to no detail on the job functions of non</w:t>
      </w:r>
      <w:r w:rsidR="001438D3">
        <w:t>-</w:t>
      </w:r>
      <w:r>
        <w:t>sworn personnel.</w:t>
      </w:r>
    </w:p>
    <w:p w:rsidR="00964831" w:rsidP="00641C17" w14:paraId="6E28E458" w14:textId="77777777"/>
    <w:p w:rsidR="00641C17" w:rsidRPr="00D7368C" w:rsidP="00D7368C" w14:paraId="2D2171AD" w14:textId="11EAC7B3">
      <w:pPr>
        <w:rPr>
          <w:i/>
        </w:rPr>
      </w:pPr>
      <w:r>
        <w:rPr>
          <w:i/>
        </w:rPr>
        <w:t>Summary</w:t>
      </w:r>
    </w:p>
    <w:p w:rsidR="00641C17" w:rsidP="00554338" w14:paraId="0DABFADE" w14:textId="1A50775C">
      <w:pPr>
        <w:shd w:val="solid" w:color="FFFFFF" w:fill="FFFFFF"/>
        <w:tabs>
          <w:tab w:val="left" w:pos="720"/>
          <w:tab w:val="left" w:pos="1440"/>
        </w:tabs>
      </w:pPr>
      <w:r>
        <w:t>BJS has identified five federally</w:t>
      </w:r>
      <w:r w:rsidR="006E2470">
        <w:t xml:space="preserve"> </w:t>
      </w:r>
      <w:r>
        <w:t xml:space="preserve">sponsored surveys with varying samples and measures of employees that can be used to estimate the number of law enforcement personnel in the United States. However, only BJS has a primary goal of creating national estimates of the number of </w:t>
      </w:r>
      <w:r w:rsidR="00467715">
        <w:t xml:space="preserve">law enforcement agencies </w:t>
      </w:r>
      <w:r>
        <w:t xml:space="preserve">and </w:t>
      </w:r>
      <w:r w:rsidR="002C5844">
        <w:t xml:space="preserve">the </w:t>
      </w:r>
      <w:r>
        <w:t>number of sworn and non</w:t>
      </w:r>
      <w:r w:rsidR="001438D3">
        <w:t>-</w:t>
      </w:r>
      <w:r>
        <w:t xml:space="preserve">sworn personnel. Furthermore, </w:t>
      </w:r>
      <w:r w:rsidR="00D7368C">
        <w:t>the CSLLEA</w:t>
      </w:r>
      <w:r w:rsidRPr="000E6548" w:rsidR="00D7368C">
        <w:t xml:space="preserve"> is the only data source that provides </w:t>
      </w:r>
      <w:r w:rsidR="00D7368C">
        <w:t>gender</w:t>
      </w:r>
      <w:r w:rsidRPr="000E6548" w:rsidR="00D7368C">
        <w:t xml:space="preserve"> of </w:t>
      </w:r>
      <w:r w:rsidR="001C7A20">
        <w:t xml:space="preserve">sworn officers with general arrest powers and officers with </w:t>
      </w:r>
      <w:r w:rsidR="001C7A20">
        <w:t>limited</w:t>
      </w:r>
      <w:r w:rsidR="001C7A20">
        <w:t xml:space="preserve"> or no arrest powers</w:t>
      </w:r>
      <w:r w:rsidR="00D7368C">
        <w:t xml:space="preserve"> </w:t>
      </w:r>
      <w:r w:rsidRPr="000E6548" w:rsidR="00D7368C">
        <w:t>based on the employing agency rather than residen</w:t>
      </w:r>
      <w:r w:rsidR="00D7368C">
        <w:t>ce for general and special</w:t>
      </w:r>
      <w:r w:rsidR="004C5EF0">
        <w:t>-</w:t>
      </w:r>
      <w:r w:rsidR="00D7368C">
        <w:t>purpose agencies</w:t>
      </w:r>
      <w:r w:rsidRPr="000E6548" w:rsidR="00D7368C">
        <w:t xml:space="preserve">. This allows for national estimates at all jurisdiction levels: local, county, and state. </w:t>
      </w:r>
    </w:p>
    <w:p w:rsidR="00AF7585" w:rsidP="00EE5E9E" w14:paraId="6B2F0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67B5B" w:rsidP="00867B5B" w14:paraId="11AA21B9" w14:textId="5AD14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67B5B">
        <w:rPr>
          <w:b/>
        </w:rPr>
        <w:t>Efforts to Minimize Burden</w:t>
      </w:r>
      <w:r w:rsidRPr="00867B5B" w:rsidR="00895815">
        <w:rPr>
          <w:b/>
        </w:rPr>
        <w:t xml:space="preserve"> </w:t>
      </w:r>
    </w:p>
    <w:p w:rsidR="00D7368C" w:rsidRPr="00D7368C" w:rsidP="00D7368C" w14:paraId="71DD14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7368C" w:rsidP="00D7368C" w14:paraId="00E7484B" w14:textId="00BF7629">
      <w:pPr>
        <w:shd w:val="solid" w:color="FFFFFF" w:fill="FFFFFF"/>
        <w:tabs>
          <w:tab w:val="left" w:pos="720"/>
          <w:tab w:val="left" w:pos="1440"/>
        </w:tabs>
      </w:pPr>
      <w:r w:rsidRPr="00FB2D7A">
        <w:t xml:space="preserve">Efforts to minimize burden </w:t>
      </w:r>
      <w:r>
        <w:t xml:space="preserve">have </w:t>
      </w:r>
      <w:r w:rsidRPr="00FB2D7A">
        <w:t xml:space="preserve">focused on </w:t>
      </w:r>
      <w:r>
        <w:t xml:space="preserve">three </w:t>
      </w:r>
      <w:r w:rsidRPr="00FB2D7A">
        <w:t xml:space="preserve">areas: </w:t>
      </w:r>
      <w:r>
        <w:t xml:space="preserve">extensive frame cleaning, </w:t>
      </w:r>
      <w:r w:rsidRPr="00FB2D7A">
        <w:t>instrument design</w:t>
      </w:r>
      <w:r w:rsidR="001C7A20">
        <w:t>,</w:t>
      </w:r>
      <w:r w:rsidRPr="00FB2D7A">
        <w:t xml:space="preserve"> and support services.</w:t>
      </w:r>
      <w:r w:rsidRPr="00394EE5">
        <w:t xml:space="preserve"> </w:t>
      </w:r>
    </w:p>
    <w:p w:rsidR="00D7368C" w:rsidP="00D7368C" w14:paraId="43CD0996" w14:textId="77777777">
      <w:pPr>
        <w:shd w:val="solid" w:color="FFFFFF" w:fill="FFFFFF"/>
        <w:tabs>
          <w:tab w:val="left" w:pos="720"/>
          <w:tab w:val="left" w:pos="1440"/>
        </w:tabs>
      </w:pPr>
    </w:p>
    <w:p w:rsidR="00D7368C" w:rsidP="00D7368C" w14:paraId="2BF59D01" w14:textId="16FD3CA1">
      <w:pPr>
        <w:shd w:val="solid" w:color="FFFFFF" w:fill="FFFFFF"/>
        <w:tabs>
          <w:tab w:val="left" w:pos="720"/>
          <w:tab w:val="left" w:pos="1440"/>
        </w:tabs>
      </w:pPr>
      <w:r>
        <w:t xml:space="preserve">RTI has conducted extensive frame cleaning efforts to ensure that only agencies within the scope of the CSLLEA are included in the frame. This effort has involved reviewing </w:t>
      </w:r>
      <w:r w:rsidR="00247CC4">
        <w:t>publicly</w:t>
      </w:r>
      <w:r>
        <w:t xml:space="preserve"> accessible data, including agency and city websites, budgets, and meeting minutes of city councils, </w:t>
      </w:r>
      <w:r w:rsidR="001B0DCB">
        <w:t xml:space="preserve">with the goal of determining </w:t>
      </w:r>
      <w:r>
        <w:t>which agencies are in-service</w:t>
      </w:r>
      <w:r w:rsidR="003770EC">
        <w:t xml:space="preserve"> </w:t>
      </w:r>
      <w:r>
        <w:t xml:space="preserve">and have at least one full-time equivalent sworn officer. This work minimizes burden on out-of-scope agencies and other government agencies that would need to respond </w:t>
      </w:r>
      <w:r>
        <w:t>for</w:t>
      </w:r>
      <w:r>
        <w:t xml:space="preserve"> agencies that are closed or out of service. </w:t>
      </w:r>
    </w:p>
    <w:p w:rsidR="00D7368C" w:rsidP="00D7368C" w14:paraId="089508AE" w14:textId="77777777">
      <w:pPr>
        <w:shd w:val="solid" w:color="FFFFFF" w:fill="FFFFFF"/>
        <w:tabs>
          <w:tab w:val="left" w:pos="720"/>
          <w:tab w:val="left" w:pos="1440"/>
        </w:tabs>
      </w:pPr>
    </w:p>
    <w:p w:rsidR="009100FD" w:rsidP="00D7368C" w14:paraId="10489A26" w14:textId="066FCF3A">
      <w:pPr>
        <w:shd w:val="solid" w:color="FFFFFF" w:fill="FFFFFF"/>
        <w:tabs>
          <w:tab w:val="left" w:pos="720"/>
          <w:tab w:val="left" w:pos="1440"/>
        </w:tabs>
      </w:pPr>
      <w:r>
        <w:t xml:space="preserve">BJS has reviewed each CSLLEA instrument and the historical use of these items to ensure that the survey content addresses only those issues needed to achieve the core goals described in Section 2. </w:t>
      </w:r>
    </w:p>
    <w:p w:rsidR="00B74259" w:rsidP="00D7368C" w14:paraId="1221B17D" w14:textId="77777777">
      <w:pPr>
        <w:shd w:val="solid" w:color="FFFFFF" w:fill="FFFFFF"/>
        <w:tabs>
          <w:tab w:val="left" w:pos="720"/>
          <w:tab w:val="left" w:pos="1440"/>
        </w:tabs>
      </w:pPr>
    </w:p>
    <w:p w:rsidR="00D7368C" w:rsidRPr="006F4667" w:rsidP="00D7368C" w14:paraId="587AC277" w14:textId="42977C84">
      <w:pPr>
        <w:shd w:val="solid" w:color="FFFFFF" w:fill="FFFFFF"/>
        <w:tabs>
          <w:tab w:val="left" w:pos="720"/>
          <w:tab w:val="left" w:pos="1440"/>
        </w:tabs>
      </w:pPr>
      <w:r w:rsidRPr="006F4667">
        <w:t xml:space="preserve">After careful consideration of the benefit of collecting the data versus the burden placed upon agencies, </w:t>
      </w:r>
      <w:r w:rsidRPr="006F4667" w:rsidR="007246C3">
        <w:t>BJS added</w:t>
      </w:r>
      <w:r w:rsidRPr="006F4667">
        <w:t xml:space="preserve"> </w:t>
      </w:r>
      <w:r w:rsidRPr="006F4667" w:rsidR="003770EC">
        <w:t>three</w:t>
      </w:r>
      <w:r w:rsidRPr="006F4667" w:rsidR="007246C3">
        <w:t xml:space="preserve"> new </w:t>
      </w:r>
      <w:r w:rsidRPr="006F4667" w:rsidR="003770EC">
        <w:t>sub-</w:t>
      </w:r>
      <w:r w:rsidRPr="006F4667" w:rsidR="007246C3">
        <w:t>items for the 202</w:t>
      </w:r>
      <w:r w:rsidRPr="006F4667" w:rsidR="003770EC">
        <w:t>6</w:t>
      </w:r>
      <w:r w:rsidRPr="006F4667" w:rsidR="007246C3">
        <w:t xml:space="preserve"> CSLLEA</w:t>
      </w:r>
      <w:r w:rsidRPr="006F4667" w:rsidR="003770EC">
        <w:t>.</w:t>
      </w:r>
      <w:r w:rsidRPr="006F4667" w:rsidR="007246C3">
        <w:t xml:space="preserve"> </w:t>
      </w:r>
      <w:r w:rsidRPr="006F4667" w:rsidR="00D82199">
        <w:t>The addition of the</w:t>
      </w:r>
      <w:r w:rsidRPr="006F4667" w:rsidR="003770EC">
        <w:t>se sub-items is expected to have a negligible impact on burden because each sub-item is an agency function to which the respondent is only asked to respond yes or no.</w:t>
      </w:r>
      <w:r w:rsidRPr="006F4667" w:rsidR="00D82199">
        <w:t xml:space="preserve"> </w:t>
      </w:r>
    </w:p>
    <w:p w:rsidR="00D7368C" w:rsidRPr="006F4667" w:rsidP="00D7368C" w14:paraId="48E2849C" w14:textId="77777777">
      <w:pPr>
        <w:shd w:val="solid" w:color="FFFFFF" w:fill="FFFFFF"/>
        <w:tabs>
          <w:tab w:val="left" w:pos="720"/>
          <w:tab w:val="left" w:pos="1440"/>
        </w:tabs>
      </w:pPr>
    </w:p>
    <w:p w:rsidR="00867B5B" w:rsidRPr="006F4667" w:rsidP="00867B5B" w14:paraId="37CA3996" w14:textId="48691070">
      <w:r w:rsidRPr="006F4667">
        <w:t xml:space="preserve">The 2026 CSLLEA survey was developed with web-based data collection in mind. Based on prior administrations, BJS expects most respondents to complete the survey online. Web-based system functions will be in place to ease the burden of survey completion. This includes built-in skip patterns, data checks, and best-practice web layouts. In addition, RTI utilizes an intelligent log-in program for data collection, which stores </w:t>
      </w:r>
      <w:r w:rsidR="00997E2B">
        <w:t>law enforcement agency</w:t>
      </w:r>
      <w:r w:rsidRPr="006F4667" w:rsidR="00997E2B">
        <w:t xml:space="preserve"> </w:t>
      </w:r>
      <w:r w:rsidRPr="006F4667">
        <w:t xml:space="preserve">information and responses and allows for multi-session completion of the survey instrument. Since many </w:t>
      </w:r>
      <w:r w:rsidR="00997E2B">
        <w:t>law enforcement agencies</w:t>
      </w:r>
      <w:r w:rsidR="00432945">
        <w:t>,</w:t>
      </w:r>
      <w:r w:rsidRPr="006F4667">
        <w:t xml:space="preserve"> particularly the larger ones, will need to seek </w:t>
      </w:r>
      <w:r w:rsidRPr="006F4667">
        <w:t>multiple information</w:t>
      </w:r>
      <w:r w:rsidRPr="006F4667">
        <w:t xml:space="preserve"> sources within their organizations to answer the survey, this will reduce burden by allowing data entry from different sources. It will also reduce burden by allowing respondents to stop and restart pending confirmation of information from others in the </w:t>
      </w:r>
      <w:r w:rsidR="00997E2B">
        <w:t>law enforcement agency</w:t>
      </w:r>
      <w:r w:rsidRPr="006F4667">
        <w:t xml:space="preserve">. </w:t>
      </w:r>
    </w:p>
    <w:p w:rsidR="00867B5B" w:rsidRPr="006F4667" w:rsidP="00867B5B" w14:paraId="21DCED8E" w14:textId="77777777"/>
    <w:p w:rsidR="00867B5B" w:rsidRPr="006F4667" w:rsidP="00867B5B" w14:paraId="640FF04E" w14:textId="35E03E0A">
      <w:r w:rsidRPr="006F4667">
        <w:t xml:space="preserve">RTI will </w:t>
      </w:r>
      <w:r w:rsidRPr="006F4667">
        <w:t>provide assistance</w:t>
      </w:r>
      <w:r w:rsidRPr="006F4667">
        <w:t xml:space="preserve"> by phone and email. Staff will be available during regular business hours (Eastern Time). When staff are not available, calls will be routed to voicemail. All inquiries will be responded to within 24 hours. A dedicated </w:t>
      </w:r>
      <w:r w:rsidRPr="006F4667" w:rsidR="008F28D2">
        <w:t>CSLLEA</w:t>
      </w:r>
      <w:r w:rsidRPr="006F4667">
        <w:t xml:space="preserve"> help email address will be </w:t>
      </w:r>
      <w:r w:rsidRPr="006F4667">
        <w:t>provided with all written materials and emails. A phone number and email address for the survey’s principal investigator will be provided to respondents to ensure timely communication.</w:t>
      </w:r>
    </w:p>
    <w:p w:rsidR="008F28D2" w:rsidP="00867B5B" w14:paraId="6C859B10" w14:textId="77777777"/>
    <w:p w:rsidR="00DD17AE" w:rsidP="00DD17AE" w14:paraId="546AD9F4" w14:textId="4D9A54F1">
      <w:r>
        <w:t xml:space="preserve">Finally, </w:t>
      </w:r>
      <w:r w:rsidR="0072151D">
        <w:t>by expanding</w:t>
      </w:r>
      <w:r>
        <w:t xml:space="preserve"> the 2026 CSLLEA frame to include campus law enforcement agencies at private universities</w:t>
      </w:r>
      <w:r w:rsidR="0072151D">
        <w:t xml:space="preserve">, BJS will reduce burden </w:t>
      </w:r>
      <w:r w:rsidR="00190B20">
        <w:t xml:space="preserve">among campus law enforcement agencies compared to administering the </w:t>
      </w:r>
      <w:r>
        <w:t>SCLEA</w:t>
      </w:r>
      <w:r>
        <w:t xml:space="preserve"> </w:t>
      </w:r>
      <w:r w:rsidR="00190B20">
        <w:t>separately</w:t>
      </w:r>
      <w:r>
        <w:t xml:space="preserve">. Since campus law enforcement agencies at public institutions are regularly included in the CSLLEA, BJS recognized an opportunity for reduced costs and respondent burden by adding agencies serving private institutions to the CSLLEA data collection compared to administering both the CSLLEA and SCLEA. </w:t>
      </w:r>
    </w:p>
    <w:p w:rsidR="00DD17AE" w:rsidRPr="006F4667" w:rsidP="00867B5B" w14:paraId="7131EC1B" w14:textId="223839CA"/>
    <w:p w:rsidR="006F4667" w:rsidRPr="006F4667" w:rsidP="008F28D2" w14:paraId="509DF85F" w14:textId="58F377C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u w:val="single"/>
        </w:rPr>
      </w:pPr>
      <w:r w:rsidRPr="006F4667">
        <w:rPr>
          <w:b/>
          <w:bCs/>
        </w:rPr>
        <w:t>5</w:t>
      </w:r>
      <w:r w:rsidRPr="006F4667">
        <w:t>.</w:t>
      </w:r>
      <w:r w:rsidRPr="006F4667">
        <w:rPr>
          <w:b/>
          <w:bCs/>
        </w:rPr>
        <w:t xml:space="preserve"> If the collection of information impacts small businesses or other small entities, describe any methods used to minimize burden.</w:t>
      </w:r>
      <w:r w:rsidRPr="006F4667">
        <w:rPr>
          <w:u w:val="single"/>
        </w:rPr>
        <w:t xml:space="preserve"> </w:t>
      </w:r>
    </w:p>
    <w:p w:rsidR="008F28D2" w:rsidRPr="00AB16BC" w:rsidP="008F28D2" w14:paraId="29896F4C" w14:textId="5FB92F56">
      <w:pPr>
        <w:rPr>
          <w:color w:val="000000"/>
        </w:rPr>
      </w:pPr>
      <w:r w:rsidRPr="006F4667">
        <w:rPr>
          <w:color w:val="000000"/>
        </w:rPr>
        <w:t xml:space="preserve">The 2026 CSLLEA data collection does not involve small businesses but includes small law enforcement agencies. BJS continues to use web-based data collection instruments to ease reporting and reduce the need for follow-up due to errors in reporting and incorrect skips caught by programmatic edit checks. Questions on the CSLLEA instrument have been streamlined such that most responses allow </w:t>
      </w:r>
      <w:r w:rsidR="00316D12">
        <w:rPr>
          <w:color w:val="000000"/>
        </w:rPr>
        <w:t>law enforcement agencies</w:t>
      </w:r>
      <w:r w:rsidRPr="006F4667" w:rsidR="00316D12">
        <w:rPr>
          <w:color w:val="000000"/>
        </w:rPr>
        <w:t xml:space="preserve"> </w:t>
      </w:r>
      <w:r w:rsidRPr="006F4667">
        <w:rPr>
          <w:color w:val="000000"/>
        </w:rPr>
        <w:t xml:space="preserve">to select from a list of options without needing to provide narratives or consult raw data pulls. This is intended to allow for easier </w:t>
      </w:r>
      <w:r w:rsidR="00316D12">
        <w:rPr>
          <w:color w:val="000000"/>
        </w:rPr>
        <w:t>law enforcement agency</w:t>
      </w:r>
      <w:r w:rsidRPr="006F4667" w:rsidR="00316D12">
        <w:rPr>
          <w:color w:val="000000"/>
        </w:rPr>
        <w:t xml:space="preserve"> </w:t>
      </w:r>
      <w:r w:rsidRPr="006F4667">
        <w:rPr>
          <w:color w:val="000000"/>
        </w:rPr>
        <w:t>response burden as it avoids extensive data requests or entry. For small agencies that may not be able to submit electronically, the 2026 CSLLEA will also be available via paper and phone.</w:t>
      </w:r>
      <w:r>
        <w:rPr>
          <w:color w:val="000000"/>
        </w:rPr>
        <w:t xml:space="preserve"> </w:t>
      </w:r>
    </w:p>
    <w:p w:rsidR="00AF7585" w:rsidP="006333D3" w14:paraId="46DC6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368C" w:rsidP="00233DDA" w14:paraId="698A0C6B" w14:textId="191FD0F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rPr>
      </w:pPr>
      <w:r w:rsidRPr="008F28D2">
        <w:rPr>
          <w:b/>
          <w:bCs/>
        </w:rPr>
        <w:t xml:space="preserve">6. Describe the </w:t>
      </w:r>
      <w:r w:rsidRPr="008F28D2">
        <w:rPr>
          <w:b/>
          <w:bCs/>
        </w:rPr>
        <w:t>consequence</w:t>
      </w:r>
      <w:r w:rsidRPr="008F28D2">
        <w:rPr>
          <w:b/>
          <w:bCs/>
        </w:rPr>
        <w:t xml:space="preserve"> </w:t>
      </w:r>
      <w:r w:rsidRPr="008F28D2">
        <w:rPr>
          <w:b/>
          <w:bCs/>
        </w:rPr>
        <w:t>to</w:t>
      </w:r>
      <w:r w:rsidRPr="008F28D2">
        <w:rPr>
          <w:b/>
          <w:bCs/>
        </w:rPr>
        <w:t xml:space="preserve"> federal program or policy activities if the collection is not conducted or is conducted less frequently, as well as any technical or legal obstacles to reducing burden</w:t>
      </w:r>
      <w:r>
        <w:rPr>
          <w:b/>
          <w:bCs/>
        </w:rPr>
        <w:t>.</w:t>
      </w:r>
    </w:p>
    <w:p w:rsidR="00D7368C" w:rsidP="00D7368C" w14:paraId="5DED5499" w14:textId="3649C46A">
      <w:r w:rsidRPr="0074577E">
        <w:t xml:space="preserve">Based in part on recommendations from the </w:t>
      </w:r>
      <w:r>
        <w:t>National Research Council</w:t>
      </w:r>
      <w:r w:rsidRPr="0074577E">
        <w:t xml:space="preserve">, BJS determined that it </w:t>
      </w:r>
      <w:r w:rsidR="00BE5101">
        <w:t>was</w:t>
      </w:r>
      <w:r w:rsidRPr="0074577E">
        <w:t xml:space="preserve"> necessary to establish a more regular schedule of future surveys of </w:t>
      </w:r>
      <w:r>
        <w:t>law enforcement agencies</w:t>
      </w:r>
      <w:r w:rsidRPr="0074577E">
        <w:t xml:space="preserve">. To this end, a significant portion of BJS’s law enforcement data collection efforts </w:t>
      </w:r>
      <w:r w:rsidR="00BE5101">
        <w:t>were</w:t>
      </w:r>
      <w:r w:rsidRPr="0074577E">
        <w:t xml:space="preserve"> combined into the LECS, which is comprised of the CSLLEA, LEMAS core, </w:t>
      </w:r>
      <w:r>
        <w:t xml:space="preserve">and </w:t>
      </w:r>
      <w:r w:rsidRPr="0074577E">
        <w:t>LEMAS topical supplements</w:t>
      </w:r>
      <w:r>
        <w:t xml:space="preserve">. </w:t>
      </w:r>
      <w:r w:rsidRPr="0074577E">
        <w:t xml:space="preserve">These data collection efforts will share a common alternating schedule that will serve to reduce burden and increase the timeliness of data collection. </w:t>
      </w:r>
      <w:r>
        <w:t xml:space="preserve">Other BJS law enforcement surveys that use the CSLLEA frame have been incorporated into the schedule to minimize burden on law enforcement agencies that are invited to participate in those surveys. </w:t>
      </w:r>
      <w:r w:rsidRPr="00E87F2D">
        <w:t xml:space="preserve">Table </w:t>
      </w:r>
      <w:r w:rsidRPr="00657270">
        <w:t>1</w:t>
      </w:r>
      <w:r w:rsidRPr="00E87F2D">
        <w:t xml:space="preserve"> shows</w:t>
      </w:r>
      <w:r w:rsidRPr="0074577E">
        <w:t xml:space="preserve"> the </w:t>
      </w:r>
      <w:r w:rsidR="00A322B9">
        <w:t xml:space="preserve">anticipated </w:t>
      </w:r>
      <w:r w:rsidRPr="0074577E">
        <w:t>data col</w:t>
      </w:r>
      <w:r>
        <w:t xml:space="preserve">lection schedule for these </w:t>
      </w:r>
      <w:r w:rsidRPr="0074577E">
        <w:t xml:space="preserve">projects. </w:t>
      </w:r>
    </w:p>
    <w:p w:rsidR="00D7368C" w:rsidP="00D7368C" w14:paraId="582F21EC" w14:textId="74102A55"/>
    <w:p w:rsidR="00D7368C" w:rsidP="00D7368C" w14:paraId="03D3889C" w14:textId="59E0F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Table 1. Data collection schedule for the key law enforcement collections, </w:t>
      </w:r>
      <w:r w:rsidR="00BE5101">
        <w:rPr>
          <w:b/>
        </w:rPr>
        <w:t>2026-2030</w:t>
      </w:r>
    </w:p>
    <w:tbl>
      <w:tblPr>
        <w:tblStyle w:val="TableGrid"/>
        <w:tblW w:w="0" w:type="auto"/>
        <w:tblLook w:val="04A0"/>
      </w:tblPr>
      <w:tblGrid>
        <w:gridCol w:w="6660"/>
        <w:gridCol w:w="2690"/>
      </w:tblGrid>
      <w:tr w14:paraId="6A0A7E99" w14:textId="77777777" w:rsidTr="00B974F6">
        <w:tblPrEx>
          <w:tblW w:w="0" w:type="auto"/>
          <w:tblLook w:val="04A0"/>
        </w:tblPrEx>
        <w:tc>
          <w:tcPr>
            <w:tcW w:w="6660" w:type="dxa"/>
            <w:tcBorders>
              <w:top w:val="single" w:sz="4" w:space="0" w:color="auto"/>
              <w:left w:val="nil"/>
              <w:bottom w:val="single" w:sz="4" w:space="0" w:color="auto"/>
              <w:right w:val="nil"/>
            </w:tcBorders>
            <w:hideMark/>
          </w:tcPr>
          <w:p w:rsidR="00D7368C" w14:paraId="652C7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Collection</w:t>
            </w:r>
          </w:p>
        </w:tc>
        <w:tc>
          <w:tcPr>
            <w:tcW w:w="2690" w:type="dxa"/>
            <w:tcBorders>
              <w:top w:val="single" w:sz="4" w:space="0" w:color="auto"/>
              <w:left w:val="nil"/>
              <w:bottom w:val="single" w:sz="4" w:space="0" w:color="auto"/>
              <w:right w:val="nil"/>
            </w:tcBorders>
            <w:hideMark/>
          </w:tcPr>
          <w:p w:rsidR="00D7368C" w14:paraId="76A66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Start of Data Collection</w:t>
            </w:r>
          </w:p>
        </w:tc>
      </w:tr>
      <w:tr w14:paraId="2BACE3F6" w14:textId="77777777" w:rsidTr="00B974F6">
        <w:tblPrEx>
          <w:tblW w:w="0" w:type="auto"/>
          <w:tblLook w:val="04A0"/>
        </w:tblPrEx>
        <w:tc>
          <w:tcPr>
            <w:tcW w:w="6660" w:type="dxa"/>
            <w:tcBorders>
              <w:top w:val="nil"/>
              <w:left w:val="nil"/>
              <w:bottom w:val="nil"/>
              <w:right w:val="nil"/>
            </w:tcBorders>
            <w:hideMark/>
          </w:tcPr>
          <w:p w:rsidR="00D7368C" w14:paraId="00B7AFE4" w14:textId="648C8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w:t>
            </w:r>
            <w:r w:rsidR="00BE5101">
              <w:rPr>
                <w:rFonts w:ascii="Times New Roman" w:hAnsi="Times New Roman"/>
              </w:rPr>
              <w:t>6</w:t>
            </w:r>
            <w:r>
              <w:rPr>
                <w:rFonts w:ascii="Times New Roman" w:hAnsi="Times New Roman"/>
              </w:rPr>
              <w:t xml:space="preserve"> CSLLEA </w:t>
            </w:r>
          </w:p>
        </w:tc>
        <w:tc>
          <w:tcPr>
            <w:tcW w:w="2690" w:type="dxa"/>
            <w:tcBorders>
              <w:top w:val="nil"/>
              <w:left w:val="nil"/>
              <w:bottom w:val="nil"/>
              <w:right w:val="nil"/>
            </w:tcBorders>
            <w:hideMark/>
          </w:tcPr>
          <w:p w:rsidR="00D7368C" w14:paraId="21E3652B" w14:textId="6A56E2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November 2026</w:t>
            </w:r>
          </w:p>
        </w:tc>
      </w:tr>
      <w:tr w14:paraId="62EE02F1" w14:textId="77777777" w:rsidTr="00B974F6">
        <w:tblPrEx>
          <w:tblW w:w="0" w:type="auto"/>
          <w:tblLook w:val="04A0"/>
        </w:tblPrEx>
        <w:tc>
          <w:tcPr>
            <w:tcW w:w="6660" w:type="dxa"/>
            <w:tcBorders>
              <w:top w:val="nil"/>
              <w:left w:val="nil"/>
              <w:bottom w:val="nil"/>
              <w:right w:val="nil"/>
            </w:tcBorders>
            <w:hideMark/>
          </w:tcPr>
          <w:p w:rsidR="000336DF" w14:paraId="1FF28365" w14:textId="13DB6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2026 Census of Law Enforcement Training Academies</w:t>
            </w:r>
          </w:p>
          <w:p w:rsidR="00D7368C" w14:paraId="22B22255" w14:textId="23600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w:t>
            </w:r>
            <w:r w:rsidR="00BE5101">
              <w:rPr>
                <w:rFonts w:ascii="Times New Roman" w:hAnsi="Times New Roman"/>
              </w:rPr>
              <w:t>7</w:t>
            </w:r>
            <w:r>
              <w:rPr>
                <w:rFonts w:ascii="Times New Roman" w:hAnsi="Times New Roman"/>
              </w:rPr>
              <w:t xml:space="preserve"> </w:t>
            </w:r>
            <w:r w:rsidR="001361E1">
              <w:rPr>
                <w:rFonts w:ascii="Times New Roman" w:hAnsi="Times New Roman"/>
              </w:rPr>
              <w:t>LEMAS s</w:t>
            </w:r>
            <w:r w:rsidR="00672A8C">
              <w:rPr>
                <w:rFonts w:ascii="Times New Roman" w:hAnsi="Times New Roman"/>
              </w:rPr>
              <w:t>upplement</w:t>
            </w:r>
          </w:p>
          <w:p w:rsidR="00D7368C" w14:paraId="26DBDD6D" w14:textId="3427A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w:t>
            </w:r>
            <w:r w:rsidR="00BE5101">
              <w:rPr>
                <w:rFonts w:ascii="Times New Roman" w:hAnsi="Times New Roman"/>
              </w:rPr>
              <w:t>8</w:t>
            </w:r>
            <w:r>
              <w:rPr>
                <w:rFonts w:ascii="Times New Roman" w:hAnsi="Times New Roman"/>
              </w:rPr>
              <w:t xml:space="preserve"> LEMAS core</w:t>
            </w:r>
          </w:p>
        </w:tc>
        <w:tc>
          <w:tcPr>
            <w:tcW w:w="2690" w:type="dxa"/>
            <w:tcBorders>
              <w:top w:val="nil"/>
              <w:left w:val="nil"/>
              <w:bottom w:val="nil"/>
              <w:right w:val="nil"/>
            </w:tcBorders>
            <w:hideMark/>
          </w:tcPr>
          <w:p w:rsidR="000336DF" w14:paraId="5381BF61" w14:textId="34F4B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March</w:t>
            </w:r>
            <w:r w:rsidR="00C67F71">
              <w:rPr>
                <w:rFonts w:ascii="Times New Roman" w:hAnsi="Times New Roman"/>
              </w:rPr>
              <w:t xml:space="preserve"> </w:t>
            </w:r>
            <w:r>
              <w:rPr>
                <w:rFonts w:ascii="Times New Roman" w:hAnsi="Times New Roman"/>
              </w:rPr>
              <w:t>202</w:t>
            </w:r>
            <w:r w:rsidR="00BE5101">
              <w:rPr>
                <w:rFonts w:ascii="Times New Roman" w:hAnsi="Times New Roman"/>
              </w:rPr>
              <w:t>7</w:t>
            </w:r>
          </w:p>
          <w:p w:rsidR="00D7368C" w14:paraId="5BCA65D1" w14:textId="7324A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January 202</w:t>
            </w:r>
            <w:r w:rsidR="00401F44">
              <w:rPr>
                <w:rFonts w:ascii="Times New Roman" w:hAnsi="Times New Roman"/>
              </w:rPr>
              <w:t>8</w:t>
            </w:r>
          </w:p>
          <w:p w:rsidR="00D7368C" w14:paraId="7EB0E27E" w14:textId="0516B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January 2029</w:t>
            </w:r>
          </w:p>
        </w:tc>
      </w:tr>
      <w:tr w14:paraId="43CC21C0" w14:textId="77777777" w:rsidTr="00B974F6">
        <w:tblPrEx>
          <w:tblW w:w="0" w:type="auto"/>
          <w:tblLook w:val="04A0"/>
        </w:tblPrEx>
        <w:tc>
          <w:tcPr>
            <w:tcW w:w="6660" w:type="dxa"/>
            <w:tcBorders>
              <w:top w:val="nil"/>
              <w:left w:val="nil"/>
              <w:bottom w:val="single" w:sz="4" w:space="0" w:color="auto"/>
              <w:right w:val="nil"/>
            </w:tcBorders>
            <w:hideMark/>
          </w:tcPr>
          <w:p w:rsidR="00D7368C" w14:paraId="26D16DFF" w14:textId="4F2B4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w:t>
            </w:r>
            <w:r w:rsidR="00BE5101">
              <w:rPr>
                <w:rFonts w:ascii="Times New Roman" w:hAnsi="Times New Roman"/>
              </w:rPr>
              <w:t>30</w:t>
            </w:r>
            <w:r>
              <w:rPr>
                <w:rFonts w:ascii="Times New Roman" w:hAnsi="Times New Roman"/>
              </w:rPr>
              <w:t xml:space="preserve"> CSLLEA</w:t>
            </w:r>
          </w:p>
        </w:tc>
        <w:tc>
          <w:tcPr>
            <w:tcW w:w="2690" w:type="dxa"/>
            <w:tcBorders>
              <w:top w:val="nil"/>
              <w:left w:val="nil"/>
              <w:bottom w:val="single" w:sz="4" w:space="0" w:color="auto"/>
              <w:right w:val="nil"/>
            </w:tcBorders>
            <w:hideMark/>
          </w:tcPr>
          <w:p w:rsidR="00D7368C" w14:paraId="79AED91D" w14:textId="6AE11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September 20</w:t>
            </w:r>
            <w:r w:rsidR="00BE5101">
              <w:rPr>
                <w:rFonts w:ascii="Times New Roman" w:hAnsi="Times New Roman"/>
              </w:rPr>
              <w:t>30</w:t>
            </w:r>
          </w:p>
        </w:tc>
      </w:tr>
    </w:tbl>
    <w:p w:rsidR="00D7368C" w:rsidP="00D7368C" w14:paraId="2B34FF02" w14:textId="77777777"/>
    <w:p w:rsidR="00D7368C" w:rsidRPr="0074577E" w:rsidP="00D7368C" w14:paraId="7AA47FE3" w14:textId="77DEA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4577E">
        <w:t xml:space="preserve">Conducting multiple surveys in a single year may lead to lower response rates and result in less precise and biased estimates for key survey items. Under the LECS model and </w:t>
      </w:r>
      <w:r>
        <w:t xml:space="preserve">taking into </w:t>
      </w:r>
      <w:r>
        <w:t>consideration other key BJS collections</w:t>
      </w:r>
      <w:r w:rsidRPr="0074577E">
        <w:t xml:space="preserve">, only one </w:t>
      </w:r>
      <w:r>
        <w:t xml:space="preserve">survey administration using the same sample </w:t>
      </w:r>
      <w:r w:rsidRPr="0074577E">
        <w:t>will be administered per year</w:t>
      </w:r>
      <w:r>
        <w:t xml:space="preserve">. </w:t>
      </w:r>
    </w:p>
    <w:p w:rsidR="005D317C" w:rsidRPr="00D7368C" w:rsidP="004259D9" w14:paraId="12701F23" w14:textId="5A779008">
      <w:pPr>
        <w:rPr>
          <w:b/>
        </w:rPr>
      </w:pPr>
    </w:p>
    <w:p w:rsidR="004244AF" w:rsidP="004244AF" w14:paraId="02594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A4D43">
        <w:rPr>
          <w:b/>
          <w:bCs/>
        </w:rPr>
        <w:t>7</w:t>
      </w:r>
      <w:r w:rsidRPr="001A4D43">
        <w:t xml:space="preserve">. </w:t>
      </w:r>
      <w:r w:rsidRPr="007B3BD3">
        <w:rPr>
          <w:b/>
          <w:bCs/>
        </w:rPr>
        <w:t>Explain any special circumstances that would cause an information collection to be conducted in a manner:</w:t>
      </w:r>
    </w:p>
    <w:p w:rsidR="004244AF" w:rsidRPr="007B3BD3" w:rsidP="004244AF" w14:paraId="585E9C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244AF" w:rsidRPr="007B3BD3" w:rsidP="004244AF" w14:paraId="329F37FF"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B3BD3">
        <w:rPr>
          <w:b/>
          <w:bCs/>
        </w:rPr>
        <w:t>requiring respondents to report information to the agency more often than quarterly;</w:t>
      </w:r>
    </w:p>
    <w:p w:rsidR="004244AF" w:rsidRPr="007B3BD3" w:rsidP="004244AF" w14:paraId="2133F659"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B3BD3">
        <w:rPr>
          <w:b/>
          <w:bCs/>
        </w:rPr>
        <w:t>requiring respondents to prepare a written response to a collection of information in fewer than 30 days after receipt of it;</w:t>
      </w:r>
    </w:p>
    <w:p w:rsidR="004244AF" w:rsidRPr="007B3BD3" w:rsidP="004244AF" w14:paraId="617E7D76"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B3BD3">
        <w:rPr>
          <w:b/>
          <w:bCs/>
        </w:rPr>
        <w:t>requiring respondents to submit more than an original and two copies of any document;</w:t>
      </w:r>
    </w:p>
    <w:p w:rsidR="004244AF" w:rsidRPr="007B3BD3" w:rsidP="004244AF" w14:paraId="4C9FFC7F"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B3BD3">
        <w:rPr>
          <w:b/>
          <w:bCs/>
        </w:rPr>
        <w:t>requiring respondents to retain records, other than health, medical, government contract, grant-in-aid, or tax records for more than three years;</w:t>
      </w:r>
    </w:p>
    <w:p w:rsidR="004244AF" w:rsidRPr="007B3BD3" w:rsidP="004244AF" w14:paraId="30A66BCE"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B3BD3">
        <w:rPr>
          <w:b/>
          <w:bCs/>
        </w:rPr>
        <w:t>in connection with a statistical survey, that is not designed to produce valid and reliable results that can be generalized to the universe of study;</w:t>
      </w:r>
    </w:p>
    <w:p w:rsidR="004244AF" w:rsidRPr="007B3BD3" w:rsidP="004244AF" w14:paraId="7B82853D"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B3BD3">
        <w:rPr>
          <w:b/>
          <w:bCs/>
        </w:rPr>
        <w:t>requiring the use of statistical data classification that has not been reviewed and approved by OMB;</w:t>
      </w:r>
    </w:p>
    <w:p w:rsidR="004244AF" w:rsidRPr="007B3BD3" w:rsidP="004244AF" w14:paraId="593E7955"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B3BD3">
        <w:rPr>
          <w:b/>
          <w:bCs/>
        </w:rPr>
        <w:t xml:space="preserve">that includes a pledge of </w:t>
      </w:r>
      <w:r w:rsidRPr="007B3BD3">
        <w:rPr>
          <w:b/>
          <w:bCs/>
        </w:rPr>
        <w:t>confidentially</w:t>
      </w:r>
      <w:r w:rsidRPr="007B3BD3">
        <w:rPr>
          <w:b/>
          <w:bCs/>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44AF" w:rsidRPr="007B3BD3" w:rsidP="004244AF" w14:paraId="4CC19B9A"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B3BD3">
        <w:rPr>
          <w:b/>
          <w:bCs/>
        </w:rPr>
        <w:t>requiring</w:t>
      </w:r>
      <w:r w:rsidRPr="007B3BD3">
        <w:rPr>
          <w:b/>
          <w:bCs/>
        </w:rPr>
        <w:t xml:space="preserve"> respondents to submit proprietary trade </w:t>
      </w:r>
      <w:r w:rsidRPr="007B3BD3">
        <w:rPr>
          <w:b/>
          <w:bCs/>
        </w:rPr>
        <w:t>secret</w:t>
      </w:r>
      <w:r w:rsidRPr="007B3BD3">
        <w:rPr>
          <w:b/>
          <w:bCs/>
        </w:rPr>
        <w:t>, or other confidential information unless the agency can demonstrate that it has instituted procedures to protect the information's confidentially to the extent permitted by law.</w:t>
      </w:r>
    </w:p>
    <w:p w:rsidR="00AF7585" w:rsidP="00F11F7E" w14:paraId="7CDFD4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P="00EE5E9E" w14:paraId="3DD960B4" w14:textId="3A479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special circumstances have been identified for this collection</w:t>
      </w:r>
      <w:r w:rsidR="009E45B1">
        <w:t>.</w:t>
      </w:r>
    </w:p>
    <w:p w:rsidR="00390444" w:rsidP="00EE5E9E" w14:paraId="5B4DC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01C99" w:rsidP="00701C99" w14:paraId="532731B8" w14:textId="4D72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1C99">
        <w:rPr>
          <w:b/>
          <w:bCs/>
        </w:rPr>
        <w:t xml:space="preserve">8. If applicable, provide a copy and identify the date and page number of </w:t>
      </w:r>
      <w:r w:rsidRPr="00701C99">
        <w:rPr>
          <w:b/>
          <w:bCs/>
        </w:rPr>
        <w:t>publication</w:t>
      </w:r>
      <w:r w:rsidRPr="00701C99">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1C99" w:rsidRPr="00701C99" w:rsidP="00701C99" w14:paraId="576747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1C99" w:rsidRPr="00701C99" w:rsidP="00701C99" w14:paraId="21AB4BD1"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01C99">
        <w:rPr>
          <w:b/>
          <w:bCs/>
        </w:rPr>
        <w:t xml:space="preserve">Describe efforts to consult with </w:t>
      </w:r>
      <w:r w:rsidRPr="00701C99">
        <w:rPr>
          <w:b/>
          <w:bCs/>
        </w:rPr>
        <w:t>persons</w:t>
      </w:r>
      <w:r w:rsidRPr="00701C99">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701C99" w:rsidRPr="00701C99" w:rsidP="00701C99" w14:paraId="438860F3"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701C99">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102D0A" w:rsidRPr="00D7368C" w:rsidP="00102D0A" w14:paraId="629B481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6026D3" w:rsidRPr="006026D3" w:rsidP="006026D3" w14:paraId="4C4E9BEA" w14:textId="306F748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pPr>
      <w:r w:rsidRPr="005E46B0">
        <w:t>The research under this clearance is consistent with the guidelines in 5 CFR 1320.8(d).</w:t>
      </w:r>
      <w:r w:rsidRPr="005E46B0">
        <w:t xml:space="preserve"> The 60-day notice for public commentary was published in the Federal Register, Volume </w:t>
      </w:r>
      <w:r w:rsidRPr="005E46B0" w:rsidR="008C5114">
        <w:t>91</w:t>
      </w:r>
      <w:r w:rsidRPr="005E46B0">
        <w:t xml:space="preserve">, Number </w:t>
      </w:r>
      <w:r w:rsidRPr="005E46B0" w:rsidR="008C5114">
        <w:t>74</w:t>
      </w:r>
      <w:r w:rsidRPr="005E46B0">
        <w:t xml:space="preserve">, pages </w:t>
      </w:r>
      <w:r w:rsidRPr="005E46B0" w:rsidR="005B2808">
        <w:t>20705-20706</w:t>
      </w:r>
      <w:r w:rsidRPr="005E46B0">
        <w:t xml:space="preserve"> on </w:t>
      </w:r>
      <w:r w:rsidRPr="005E46B0" w:rsidR="00413961">
        <w:t>Friday</w:t>
      </w:r>
      <w:r w:rsidRPr="005E46B0">
        <w:t xml:space="preserve">, </w:t>
      </w:r>
      <w:r w:rsidRPr="005E46B0" w:rsidR="00413961">
        <w:t>April 1</w:t>
      </w:r>
      <w:r w:rsidRPr="005E46B0" w:rsidR="005B2808">
        <w:t>7</w:t>
      </w:r>
      <w:r w:rsidRPr="005E46B0">
        <w:t xml:space="preserve">, </w:t>
      </w:r>
      <w:r w:rsidRPr="005E46B0" w:rsidR="005B2808">
        <w:t xml:space="preserve">2026 </w:t>
      </w:r>
      <w:r w:rsidRPr="005E46B0">
        <w:t>(</w:t>
      </w:r>
      <w:r w:rsidRPr="005E46B0">
        <w:rPr>
          <w:b/>
          <w:bCs/>
        </w:rPr>
        <w:t xml:space="preserve">Attachment </w:t>
      </w:r>
      <w:r w:rsidRPr="005E46B0" w:rsidR="0033264B">
        <w:rPr>
          <w:b/>
          <w:bCs/>
        </w:rPr>
        <w:t>C</w:t>
      </w:r>
      <w:r w:rsidRPr="005E46B0">
        <w:t>)</w:t>
      </w:r>
      <w:r w:rsidRPr="005E46B0">
        <w:t xml:space="preserve">. </w:t>
      </w:r>
      <w:r w:rsidRPr="005E46B0">
        <w:t xml:space="preserve">The comment period ended </w:t>
      </w:r>
      <w:r w:rsidRPr="005E46B0" w:rsidR="00551C93">
        <w:t>June 16, 2026</w:t>
      </w:r>
      <w:r w:rsidRPr="005E46B0">
        <w:t xml:space="preserve">. </w:t>
      </w:r>
      <w:r w:rsidRPr="005E46B0" w:rsidR="004E7CC7">
        <w:t>BJS did not receive any comments i</w:t>
      </w:r>
      <w:r w:rsidRPr="005E46B0" w:rsidR="0077334D">
        <w:t>n response to the 60-day notice</w:t>
      </w:r>
      <w:r w:rsidRPr="005E46B0" w:rsidR="004E7CC7">
        <w:t xml:space="preserve">. </w:t>
      </w:r>
      <w:r w:rsidRPr="005E46B0">
        <w:t xml:space="preserve">The 30-day notice for public commentary was published in the Federal Register, Volume </w:t>
      </w:r>
      <w:r w:rsidRPr="005E46B0" w:rsidR="005E46B0">
        <w:t>91</w:t>
      </w:r>
      <w:r w:rsidRPr="005E46B0">
        <w:t xml:space="preserve">, Number </w:t>
      </w:r>
      <w:r w:rsidRPr="005E46B0" w:rsidR="005626D2">
        <w:t>11</w:t>
      </w:r>
      <w:r w:rsidRPr="005E46B0" w:rsidR="005E46B0">
        <w:t>8</w:t>
      </w:r>
      <w:r w:rsidRPr="005E46B0">
        <w:t>, page</w:t>
      </w:r>
      <w:r w:rsidRPr="005E46B0" w:rsidR="005E46B0">
        <w:t>s</w:t>
      </w:r>
      <w:r w:rsidRPr="005E46B0">
        <w:t xml:space="preserve"> </w:t>
      </w:r>
      <w:r w:rsidRPr="005E46B0" w:rsidR="005E46B0">
        <w:t>37149-37150</w:t>
      </w:r>
      <w:r w:rsidRPr="005E46B0">
        <w:t xml:space="preserve">, on </w:t>
      </w:r>
      <w:r w:rsidRPr="005E46B0" w:rsidR="005E46B0">
        <w:t>Monday</w:t>
      </w:r>
      <w:r w:rsidRPr="005E46B0" w:rsidR="005626D2">
        <w:t xml:space="preserve">, June </w:t>
      </w:r>
      <w:r w:rsidRPr="005E46B0" w:rsidR="005E46B0">
        <w:t>22</w:t>
      </w:r>
      <w:r w:rsidRPr="005E46B0">
        <w:t>, 202</w:t>
      </w:r>
      <w:r w:rsidRPr="005E46B0" w:rsidR="005E46B0">
        <w:t>6</w:t>
      </w:r>
      <w:r w:rsidRPr="005E46B0">
        <w:t xml:space="preserve"> (</w:t>
      </w:r>
      <w:r w:rsidRPr="005E46B0">
        <w:rPr>
          <w:b/>
          <w:bCs/>
        </w:rPr>
        <w:t xml:space="preserve">Attachment </w:t>
      </w:r>
      <w:r w:rsidRPr="005E46B0" w:rsidR="0033264B">
        <w:rPr>
          <w:b/>
          <w:bCs/>
        </w:rPr>
        <w:t>D</w:t>
      </w:r>
      <w:r w:rsidRPr="005E46B0">
        <w:t>)</w:t>
      </w:r>
      <w:r w:rsidRPr="005E46B0">
        <w:t>.</w:t>
      </w:r>
      <w:r w:rsidRPr="006026D3">
        <w:t xml:space="preserve"> </w:t>
      </w:r>
    </w:p>
    <w:p w:rsidR="002A019F" w:rsidRPr="00701C99" w:rsidP="00701C99" w14:paraId="36C3E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1C99" w:rsidP="00701C99" w14:paraId="471C9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1C99">
        <w:rPr>
          <w:b/>
          <w:bCs/>
        </w:rPr>
        <w:t>9. Explain any decision to provide any payments or gifts to respondents, other than remuneration of contractors or grantees.</w:t>
      </w:r>
    </w:p>
    <w:p w:rsidR="00701C99" w:rsidRPr="00701C99" w:rsidP="00701C99" w14:paraId="2334E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1C99" w:rsidRPr="00AB16BC" w:rsidP="00701C99" w14:paraId="2EE20C4C" w14:textId="77777777">
      <w:pPr>
        <w:tabs>
          <w:tab w:val="left" w:pos="810"/>
          <w:tab w:val="left" w:pos="900"/>
        </w:tabs>
      </w:pPr>
      <w:r>
        <w:t xml:space="preserve">No government funds will be used as payment or for gifts to respondents. </w:t>
      </w:r>
      <w:r w:rsidRPr="00AB16BC">
        <w:t xml:space="preserve">Participation is voluntary and no gifts or incentives will be given. </w:t>
      </w:r>
    </w:p>
    <w:p w:rsidR="00642C10" w:rsidP="00EE5E9E" w14:paraId="69298C94" w14:textId="77777777"/>
    <w:p w:rsidR="00D7368C" w:rsidP="00701C99" w14:paraId="16F13A29" w14:textId="465B1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1C99">
        <w:rPr>
          <w:b/>
          <w:bCs/>
        </w:rPr>
        <w:t>10. Describe any assurance of confidentiality provided to respondents and the basis for the assurance in statute, regulation, or agency policy.</w:t>
      </w:r>
    </w:p>
    <w:p w:rsidR="00701C99" w:rsidRPr="00701C99" w:rsidP="00701C99" w14:paraId="7509BF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01C99" w:rsidRPr="00732673" w:rsidP="00701C99" w14:paraId="426E7DB9" w14:textId="77777777">
      <w:pPr>
        <w:tabs>
          <w:tab w:val="left" w:pos="810"/>
          <w:tab w:val="left" w:pos="900"/>
        </w:tabs>
      </w:pPr>
      <w:r w:rsidRPr="00732673">
        <w:t xml:space="preserve">BJS, its employees, and its data collection agents will use the data it collects only for statistical or research purposes, consistent with 34 U.S.C. § 10134, which states “data collected by the Bureau shall be used only for statistical or research purposes, and shall be gathered in a manner that precludes their use for law enforcement or any purpose relating a private person or public agency other than statistical or research purposes.” BJS is required to protect information identifiable to a private person from unauthorized disclosure and may not publicly release data in a way that could reasonably identify a specific private person, consistent with the confidentiality requirements in 34 U.S.C. § 10231 and 28 CFR Part 22. </w:t>
      </w:r>
    </w:p>
    <w:p w:rsidR="00701C99" w:rsidRPr="00732673" w:rsidP="00701C99" w14:paraId="23D9F754" w14:textId="77777777">
      <w:pPr>
        <w:tabs>
          <w:tab w:val="left" w:pos="810"/>
          <w:tab w:val="left" w:pos="900"/>
        </w:tabs>
      </w:pPr>
      <w:r w:rsidRPr="00732673">
        <w:t xml:space="preserve"> </w:t>
      </w:r>
    </w:p>
    <w:p w:rsidR="00701C99" w:rsidP="00701C99" w14:paraId="7BF2122D" w14:textId="2AF76572">
      <w:pPr>
        <w:tabs>
          <w:tab w:val="left" w:pos="810"/>
          <w:tab w:val="left" w:pos="900"/>
        </w:tabs>
        <w:rPr>
          <w:color w:val="000000"/>
        </w:rPr>
      </w:pPr>
      <w:r w:rsidRPr="00AB16BC">
        <w:rPr>
          <w:color w:val="000000"/>
        </w:rPr>
        <w:t xml:space="preserve">The data collected through the </w:t>
      </w:r>
      <w:r>
        <w:rPr>
          <w:color w:val="000000"/>
        </w:rPr>
        <w:t>CSLLEA</w:t>
      </w:r>
      <w:r w:rsidRPr="00AB16BC">
        <w:rPr>
          <w:color w:val="000000"/>
        </w:rPr>
        <w:t xml:space="preserve"> represent institutional characteristics of </w:t>
      </w:r>
      <w:r w:rsidR="004A2312">
        <w:t>law enforcement agencies</w:t>
      </w:r>
      <w:r w:rsidRPr="00AB16BC">
        <w:rPr>
          <w:color w:val="000000"/>
        </w:rPr>
        <w:t xml:space="preserve">. The fact that participation in this survey is voluntary is included on the first page of the survey instrument. </w:t>
      </w:r>
      <w:r>
        <w:rPr>
          <w:color w:val="000000"/>
        </w:rPr>
        <w:t>While the final data are archived publicly</w:t>
      </w:r>
      <w:r w:rsidRPr="00AB16BC">
        <w:rPr>
          <w:color w:val="000000"/>
        </w:rPr>
        <w:t xml:space="preserve">, BJS will not release the names, phone numbers, or email addresses of the actual persons responsible for completing the </w:t>
      </w:r>
      <w:r>
        <w:rPr>
          <w:color w:val="000000"/>
        </w:rPr>
        <w:t>2026 CSLLEA</w:t>
      </w:r>
      <w:r w:rsidRPr="00AB16BC">
        <w:rPr>
          <w:color w:val="000000"/>
        </w:rPr>
        <w:t xml:space="preserve"> survey.</w:t>
      </w:r>
      <w:r>
        <w:rPr>
          <w:color w:val="000000"/>
        </w:rPr>
        <w:br/>
      </w:r>
    </w:p>
    <w:p w:rsidR="00701C99" w:rsidRPr="00DF0BAE" w:rsidP="00701C99" w14:paraId="0610E264" w14:textId="5D6B4662">
      <w:pPr>
        <w:tabs>
          <w:tab w:val="left" w:pos="810"/>
          <w:tab w:val="left" w:pos="900"/>
        </w:tabs>
        <w:rPr>
          <w:u w:val="single"/>
        </w:rPr>
      </w:pPr>
      <w:r w:rsidRPr="003A2EC5">
        <w:rPr>
          <w:b/>
          <w:bCs/>
        </w:rPr>
        <w:t>11.</w:t>
      </w:r>
      <w:r>
        <w:rPr>
          <w:b/>
          <w:bCs/>
        </w:rPr>
        <w:t xml:space="preserve"> </w:t>
      </w:r>
      <w:r w:rsidRPr="003A2EC5">
        <w:rPr>
          <w:b/>
          <w:b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3A2EC5">
        <w:rPr>
          <w:b/>
          <w:bCs/>
        </w:rPr>
        <w:t>persons</w:t>
      </w:r>
      <w:r w:rsidRPr="003A2EC5">
        <w:rPr>
          <w:b/>
          <w:bCs/>
        </w:rPr>
        <w:t xml:space="preserve"> from whom the information is requested, and any steps to be taken to obtain their consent.</w:t>
      </w:r>
    </w:p>
    <w:p w:rsidR="00DD2365" w:rsidP="00577BFE" w14:paraId="17CC6D27" w14:textId="328A36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D2365" w:rsidRPr="00B27D7D" w:rsidP="00DD2365" w14:paraId="2EC32988" w14:textId="55C72CFC">
      <w:r>
        <w:t>N</w:t>
      </w:r>
      <w:r w:rsidRPr="00B27D7D">
        <w:t xml:space="preserve">o questions of a sensitive nature </w:t>
      </w:r>
      <w:r>
        <w:t xml:space="preserve">are </w:t>
      </w:r>
      <w:r w:rsidRPr="00B27D7D">
        <w:t xml:space="preserve">proposed </w:t>
      </w:r>
      <w:r>
        <w:t xml:space="preserve">for the </w:t>
      </w:r>
      <w:r w:rsidRPr="00B27D7D">
        <w:t>20</w:t>
      </w:r>
      <w:r w:rsidR="00E51A12">
        <w:t>2</w:t>
      </w:r>
      <w:r w:rsidR="00BE5101">
        <w:t>6</w:t>
      </w:r>
      <w:r>
        <w:t xml:space="preserve"> CSLLEA</w:t>
      </w:r>
      <w:r w:rsidRPr="00B27D7D">
        <w:t xml:space="preserve">. </w:t>
      </w:r>
    </w:p>
    <w:p w:rsidR="007B739F" w:rsidP="00EE5E9E" w14:paraId="28419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3A09" w:rsidRPr="00673A09" w:rsidP="00673A09" w14:paraId="37C4192C" w14:textId="6D28546F">
      <w:pPr>
        <w:tabs>
          <w:tab w:val="left" w:pos="810"/>
          <w:tab w:val="left" w:pos="900"/>
        </w:tabs>
        <w:rPr>
          <w:b/>
          <w:bCs/>
        </w:rPr>
      </w:pPr>
      <w:r w:rsidRPr="00673A09">
        <w:rPr>
          <w:b/>
          <w:bCs/>
        </w:rPr>
        <w:t>12.</w:t>
      </w:r>
      <w:r>
        <w:rPr>
          <w:b/>
          <w:bCs/>
        </w:rPr>
        <w:t xml:space="preserve"> </w:t>
      </w:r>
      <w:r w:rsidRPr="00673A09">
        <w:rPr>
          <w:b/>
          <w:bCs/>
        </w:rPr>
        <w:t>Provide estimates of the hour burden of the collection of information. The statement should:</w:t>
      </w:r>
    </w:p>
    <w:p w:rsidR="00673A09" w:rsidRPr="00673A09" w:rsidP="00673A09" w14:paraId="79067FED"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673A09">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673A09">
        <w:rPr>
          <w:b/>
          <w:bCs/>
        </w:rPr>
        <w:t xml:space="preserve">estimated hour burden, and explain the reasons for the variance. </w:t>
      </w:r>
      <w:r w:rsidRPr="00673A09">
        <w:rPr>
          <w:b/>
          <w:bCs/>
        </w:rPr>
        <w:t>General</w:t>
      </w:r>
      <w:r w:rsidRPr="00673A09">
        <w:rPr>
          <w:b/>
          <w:bCs/>
        </w:rPr>
        <w:t>, estimates should not include burden hours for customary and usual business practices.</w:t>
      </w:r>
    </w:p>
    <w:p w:rsidR="00673A09" w:rsidRPr="00673A09" w:rsidP="00673A09" w14:paraId="0966AA3A"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673A09">
        <w:rPr>
          <w:b/>
          <w:bCs/>
        </w:rPr>
        <w:t>If this request for approval covers more than one form, provide separate hour burden estimates for each form.</w:t>
      </w:r>
    </w:p>
    <w:p w:rsidR="00673A09" w:rsidRPr="00673A09" w:rsidP="00673A09" w14:paraId="429D21C0" w14:textId="77777777">
      <w:pPr>
        <w:pStyle w:val="Level1"/>
        <w:widowControl/>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673A09">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874D5" w:rsidRPr="006874D5" w:rsidP="006874D5" w14:paraId="5B85AA9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D8719D" w:rsidP="00255EB0" w14:paraId="35D8CDB4" w14:textId="3182B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has estimated the respondent burden for the proposed 202</w:t>
      </w:r>
      <w:r w:rsidR="00DA7C3D">
        <w:t>6</w:t>
      </w:r>
      <w:r>
        <w:t xml:space="preserve"> CSLLEA at </w:t>
      </w:r>
      <w:r w:rsidR="00E93CCA">
        <w:t>13,5</w:t>
      </w:r>
      <w:r w:rsidR="00DA7C3D">
        <w:t>66</w:t>
      </w:r>
      <w:r w:rsidR="00E93CCA">
        <w:t xml:space="preserve"> </w:t>
      </w:r>
      <w:r>
        <w:t xml:space="preserve">hours (Table 2). </w:t>
      </w:r>
      <w:r w:rsidR="009E7761">
        <w:t>Approximately 22,000 agencies will be invited to participate in the 2026 CSLLEA.</w:t>
      </w:r>
      <w:r>
        <w:t xml:space="preserve"> </w:t>
      </w:r>
      <w:r w:rsidR="00CE07A5">
        <w:t>T</w:t>
      </w:r>
      <w:r w:rsidRPr="00793538" w:rsidR="00793538">
        <w:t xml:space="preserve">he average total burden for each </w:t>
      </w:r>
      <w:r w:rsidR="000B7C89">
        <w:t xml:space="preserve">responding </w:t>
      </w:r>
      <w:r w:rsidRPr="00793538" w:rsidR="00793538">
        <w:t xml:space="preserve">agency </w:t>
      </w:r>
      <w:r w:rsidR="00734A2D">
        <w:t>to complete the 2026 CSLLEA is</w:t>
      </w:r>
      <w:r w:rsidR="00793538">
        <w:t xml:space="preserve"> 32 minutes. This is consistent with the estimate from the 2022 CSLLEA (32 minutes) since only minor changes are proposed for the 2026 instrument.</w:t>
      </w:r>
      <w:r w:rsidR="008D374C">
        <w:t xml:space="preserve"> </w:t>
      </w:r>
      <w:r w:rsidRPr="00D8719D">
        <w:t xml:space="preserve">Previous </w:t>
      </w:r>
      <w:r>
        <w:t>CSLLEA</w:t>
      </w:r>
      <w:r w:rsidRPr="00D8719D">
        <w:t xml:space="preserve"> collections </w:t>
      </w:r>
      <w:r w:rsidRPr="00D8719D">
        <w:t>suggest</w:t>
      </w:r>
      <w:r w:rsidRPr="00D8719D">
        <w:t xml:space="preserve"> 50% of respondents will require data quality follow-up (</w:t>
      </w:r>
      <w:r w:rsidR="00683034">
        <w:t>22,000</w:t>
      </w:r>
      <w:r w:rsidRPr="00D8719D">
        <w:t xml:space="preserve"> responding agencies x 50% = </w:t>
      </w:r>
      <w:r w:rsidR="00683034">
        <w:t>11,000</w:t>
      </w:r>
      <w:r w:rsidRPr="00D8719D">
        <w:t xml:space="preserve"> agencies), the majority of which are minor corrections or clarifications</w:t>
      </w:r>
      <w:r w:rsidRPr="006D4474">
        <w:t xml:space="preserve">. </w:t>
      </w:r>
    </w:p>
    <w:p w:rsidR="006841C0" w:rsidP="00673A09" w14:paraId="21E1DE79" w14:textId="06E5E876">
      <w:pPr>
        <w:pStyle w:val="NoSpacing"/>
        <w:spacing w:before="240"/>
        <w:rPr>
          <w:rFonts w:ascii="Times New Roman" w:hAnsi="Times New Roman" w:cs="Times New Roman"/>
          <w:sz w:val="24"/>
          <w:szCs w:val="24"/>
        </w:rPr>
      </w:pPr>
      <w:r w:rsidRPr="006D4474">
        <w:rPr>
          <w:rFonts w:ascii="Times New Roman" w:hAnsi="Times New Roman" w:cs="Times New Roman"/>
          <w:sz w:val="24"/>
          <w:szCs w:val="24"/>
        </w:rPr>
        <w:t>Using the national estimate of mean hourly wage for police officers and sheriff’s deputies from the Bureau of Labor Statistics, the estimated agency cost of employee time would be approximately $</w:t>
      </w:r>
      <w:r>
        <w:rPr>
          <w:rFonts w:ascii="Times New Roman" w:hAnsi="Times New Roman" w:cs="Times New Roman"/>
          <w:sz w:val="24"/>
          <w:szCs w:val="24"/>
        </w:rPr>
        <w:t>38.14</w:t>
      </w:r>
      <w:r w:rsidRPr="006D4474">
        <w:rPr>
          <w:rFonts w:ascii="Times New Roman" w:hAnsi="Times New Roman" w:cs="Times New Roman"/>
          <w:sz w:val="24"/>
          <w:szCs w:val="24"/>
        </w:rPr>
        <w:t xml:space="preserve"> hourly.</w:t>
      </w:r>
      <w:r>
        <w:rPr>
          <w:rStyle w:val="FootnoteReference"/>
          <w:rFonts w:ascii="Times New Roman" w:hAnsi="Times New Roman"/>
          <w:sz w:val="24"/>
          <w:szCs w:val="24"/>
        </w:rPr>
        <w:footnoteReference w:id="8"/>
      </w:r>
      <w:r w:rsidRPr="006D4474">
        <w:rPr>
          <w:rFonts w:ascii="Times New Roman" w:hAnsi="Times New Roman" w:cs="Times New Roman"/>
          <w:sz w:val="24"/>
          <w:szCs w:val="24"/>
        </w:rPr>
        <w:t xml:space="preserve"> Based on the estimated time burden per response and employee pay rate, the total respondent employee time cost burden is </w:t>
      </w:r>
      <w:r w:rsidRPr="00986C88">
        <w:rPr>
          <w:rFonts w:ascii="Times New Roman" w:hAnsi="Times New Roman" w:cs="Times New Roman"/>
          <w:sz w:val="24"/>
          <w:szCs w:val="24"/>
        </w:rPr>
        <w:t>estimated at $</w:t>
      </w:r>
      <w:r w:rsidR="00E93CCA">
        <w:rPr>
          <w:rFonts w:ascii="Times New Roman" w:hAnsi="Times New Roman" w:cs="Times New Roman"/>
          <w:sz w:val="24"/>
          <w:szCs w:val="24"/>
        </w:rPr>
        <w:t>517,408</w:t>
      </w:r>
      <w:r w:rsidRPr="00986C88">
        <w:rPr>
          <w:rFonts w:ascii="Times New Roman" w:hAnsi="Times New Roman" w:cs="Times New Roman"/>
          <w:sz w:val="24"/>
          <w:szCs w:val="24"/>
        </w:rPr>
        <w:t>.</w:t>
      </w:r>
    </w:p>
    <w:p w:rsidR="00673A09" w:rsidP="00B543AD" w14:paraId="2F6E7B9E" w14:textId="79765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6C88" w:rsidRPr="00733463" w:rsidP="00986C88" w14:paraId="351020D1" w14:textId="28778250">
      <w:pPr>
        <w:rPr>
          <w:b/>
        </w:rPr>
      </w:pPr>
      <w:r w:rsidRPr="00733463">
        <w:rPr>
          <w:b/>
        </w:rPr>
        <w:t xml:space="preserve">Table </w:t>
      </w:r>
      <w:r w:rsidR="006841C0">
        <w:rPr>
          <w:b/>
        </w:rPr>
        <w:t>2</w:t>
      </w:r>
      <w:r w:rsidRPr="00733463">
        <w:rPr>
          <w:b/>
        </w:rPr>
        <w:t xml:space="preserve">. </w:t>
      </w:r>
      <w:r w:rsidRPr="006D4474">
        <w:rPr>
          <w:b/>
          <w:bCs/>
        </w:rPr>
        <w:t>Summary of annual burden hours associated with</w:t>
      </w:r>
      <w:r>
        <w:rPr>
          <w:b/>
          <w:bCs/>
        </w:rPr>
        <w:t xml:space="preserve"> </w:t>
      </w:r>
      <w:r w:rsidRPr="00733463">
        <w:rPr>
          <w:b/>
        </w:rPr>
        <w:t>the</w:t>
      </w:r>
      <w:r>
        <w:rPr>
          <w:b/>
        </w:rPr>
        <w:t xml:space="preserve"> 2026</w:t>
      </w:r>
      <w:r w:rsidRPr="00733463">
        <w:rPr>
          <w:b/>
        </w:rPr>
        <w:t xml:space="preserve"> CSLLEA</w:t>
      </w:r>
    </w:p>
    <w:p w:rsidR="00233631" w:rsidP="00B543AD" w14:paraId="23A5BC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Style w:val="GridTable1Light"/>
        <w:tblW w:w="9895" w:type="dxa"/>
        <w:tblLayout w:type="fixed"/>
        <w:tblLook w:val="04A0"/>
      </w:tblPr>
      <w:tblGrid>
        <w:gridCol w:w="1165"/>
        <w:gridCol w:w="1440"/>
        <w:gridCol w:w="1260"/>
        <w:gridCol w:w="1260"/>
        <w:gridCol w:w="1530"/>
        <w:gridCol w:w="990"/>
        <w:gridCol w:w="900"/>
        <w:gridCol w:w="1350"/>
      </w:tblGrid>
      <w:tr w14:paraId="4C2C5F70" w14:textId="77777777" w:rsidTr="00882309">
        <w:tblPrEx>
          <w:tblW w:w="9895" w:type="dxa"/>
          <w:tblLayout w:type="fixed"/>
          <w:tblLook w:val="04A0"/>
        </w:tblPrEx>
        <w:trPr>
          <w:trHeight w:val="1056"/>
        </w:trPr>
        <w:tc>
          <w:tcPr>
            <w:tcW w:w="1165" w:type="dxa"/>
          </w:tcPr>
          <w:p w:rsidR="00233631" w:rsidRPr="00233631" w:rsidP="00A2643B" w14:paraId="24815CF6" w14:textId="77777777">
            <w:pPr>
              <w:keepNext/>
              <w:rPr>
                <w:rFonts w:ascii="Times New Roman" w:hAnsi="Times New Roman"/>
                <w:b w:val="0"/>
                <w:sz w:val="22"/>
                <w:szCs w:val="22"/>
              </w:rPr>
            </w:pPr>
            <w:bookmarkStart w:id="0" w:name="_Hlk171416137"/>
            <w:r w:rsidRPr="00233631">
              <w:rPr>
                <w:rFonts w:ascii="Times New Roman" w:hAnsi="Times New Roman"/>
                <w:sz w:val="22"/>
                <w:szCs w:val="22"/>
              </w:rPr>
              <w:t>Activity</w:t>
            </w:r>
          </w:p>
        </w:tc>
        <w:tc>
          <w:tcPr>
            <w:tcW w:w="1440" w:type="dxa"/>
          </w:tcPr>
          <w:p w:rsidR="00233631" w:rsidRPr="00233631" w:rsidP="00A2643B" w14:paraId="11D80C22" w14:textId="77777777">
            <w:pPr>
              <w:keepNext/>
              <w:jc w:val="left"/>
              <w:rPr>
                <w:rFonts w:ascii="Times New Roman" w:hAnsi="Times New Roman"/>
                <w:b w:val="0"/>
                <w:sz w:val="22"/>
                <w:szCs w:val="22"/>
              </w:rPr>
            </w:pPr>
            <w:r w:rsidRPr="00233631">
              <w:rPr>
                <w:rFonts w:ascii="Times New Roman" w:hAnsi="Times New Roman"/>
                <w:sz w:val="22"/>
                <w:szCs w:val="22"/>
              </w:rPr>
              <w:t>Number of Respondents</w:t>
            </w:r>
          </w:p>
        </w:tc>
        <w:tc>
          <w:tcPr>
            <w:tcW w:w="1260" w:type="dxa"/>
          </w:tcPr>
          <w:p w:rsidR="00233631" w:rsidRPr="00233631" w:rsidP="00A2643B" w14:paraId="285621C3" w14:textId="77777777">
            <w:pPr>
              <w:keepNext/>
              <w:jc w:val="left"/>
              <w:rPr>
                <w:rFonts w:ascii="Times New Roman" w:hAnsi="Times New Roman"/>
                <w:b w:val="0"/>
                <w:sz w:val="22"/>
                <w:szCs w:val="22"/>
              </w:rPr>
            </w:pPr>
            <w:r w:rsidRPr="00233631">
              <w:rPr>
                <w:rFonts w:ascii="Times New Roman" w:hAnsi="Times New Roman"/>
                <w:sz w:val="22"/>
                <w:szCs w:val="22"/>
              </w:rPr>
              <w:t>Frequency</w:t>
            </w:r>
          </w:p>
        </w:tc>
        <w:tc>
          <w:tcPr>
            <w:tcW w:w="1260" w:type="dxa"/>
          </w:tcPr>
          <w:p w:rsidR="00233631" w:rsidRPr="00233631" w:rsidP="00A2643B" w14:paraId="0B59EC2B" w14:textId="77777777">
            <w:pPr>
              <w:keepNext/>
              <w:jc w:val="left"/>
              <w:rPr>
                <w:rFonts w:ascii="Times New Roman" w:hAnsi="Times New Roman"/>
                <w:b w:val="0"/>
                <w:sz w:val="22"/>
                <w:szCs w:val="22"/>
              </w:rPr>
            </w:pPr>
            <w:r w:rsidRPr="00233631">
              <w:rPr>
                <w:rFonts w:ascii="Times New Roman" w:hAnsi="Times New Roman"/>
                <w:sz w:val="22"/>
                <w:szCs w:val="22"/>
              </w:rPr>
              <w:t>Total Annual Responses</w:t>
            </w:r>
          </w:p>
        </w:tc>
        <w:tc>
          <w:tcPr>
            <w:tcW w:w="1530" w:type="dxa"/>
          </w:tcPr>
          <w:p w:rsidR="00233631" w:rsidRPr="00233631" w:rsidP="00A2643B" w14:paraId="13C5D530" w14:textId="77777777">
            <w:pPr>
              <w:keepNext/>
              <w:jc w:val="left"/>
              <w:rPr>
                <w:rFonts w:ascii="Times New Roman" w:hAnsi="Times New Roman"/>
                <w:b w:val="0"/>
                <w:sz w:val="22"/>
                <w:szCs w:val="22"/>
              </w:rPr>
            </w:pPr>
            <w:r w:rsidRPr="00233631">
              <w:rPr>
                <w:rFonts w:ascii="Times New Roman" w:hAnsi="Times New Roman"/>
                <w:sz w:val="22"/>
                <w:szCs w:val="22"/>
              </w:rPr>
              <w:t>Participation time (minutes)</w:t>
            </w:r>
          </w:p>
        </w:tc>
        <w:tc>
          <w:tcPr>
            <w:tcW w:w="990" w:type="dxa"/>
          </w:tcPr>
          <w:p w:rsidR="00233631" w:rsidRPr="00233631" w:rsidP="00A2643B" w14:paraId="27904252" w14:textId="77777777">
            <w:pPr>
              <w:keepNext/>
              <w:jc w:val="left"/>
              <w:rPr>
                <w:rFonts w:ascii="Times New Roman" w:hAnsi="Times New Roman"/>
                <w:b w:val="0"/>
                <w:sz w:val="22"/>
                <w:szCs w:val="22"/>
              </w:rPr>
            </w:pPr>
            <w:r w:rsidRPr="00233631">
              <w:rPr>
                <w:rFonts w:ascii="Times New Roman" w:hAnsi="Times New Roman"/>
                <w:sz w:val="22"/>
                <w:szCs w:val="22"/>
              </w:rPr>
              <w:t>Total Burden (Hours)</w:t>
            </w:r>
          </w:p>
        </w:tc>
        <w:tc>
          <w:tcPr>
            <w:tcW w:w="900" w:type="dxa"/>
          </w:tcPr>
          <w:p w:rsidR="00233631" w:rsidRPr="00233631" w:rsidP="00A2643B" w14:paraId="644CF9E3" w14:textId="77777777">
            <w:pPr>
              <w:keepNext/>
              <w:jc w:val="left"/>
              <w:rPr>
                <w:rFonts w:ascii="Times New Roman" w:hAnsi="Times New Roman"/>
                <w:b w:val="0"/>
                <w:sz w:val="22"/>
                <w:szCs w:val="22"/>
              </w:rPr>
            </w:pPr>
            <w:r w:rsidRPr="00233631">
              <w:rPr>
                <w:rFonts w:ascii="Times New Roman" w:hAnsi="Times New Roman"/>
                <w:sz w:val="22"/>
                <w:szCs w:val="22"/>
              </w:rPr>
              <w:t>Hourly Rate</w:t>
            </w:r>
            <w:r>
              <w:rPr>
                <w:rStyle w:val="FootnoteReference"/>
                <w:rFonts w:ascii="Times New Roman" w:hAnsi="Times New Roman"/>
                <w:sz w:val="22"/>
                <w:szCs w:val="22"/>
              </w:rPr>
              <w:footnoteReference w:id="9"/>
            </w:r>
          </w:p>
        </w:tc>
        <w:tc>
          <w:tcPr>
            <w:tcW w:w="1350" w:type="dxa"/>
          </w:tcPr>
          <w:p w:rsidR="00233631" w:rsidRPr="00233631" w:rsidP="00A2643B" w14:paraId="781B58D8" w14:textId="77777777">
            <w:pPr>
              <w:keepNext/>
              <w:jc w:val="left"/>
              <w:rPr>
                <w:rFonts w:ascii="Times New Roman" w:hAnsi="Times New Roman"/>
                <w:b w:val="0"/>
                <w:sz w:val="22"/>
                <w:szCs w:val="22"/>
              </w:rPr>
            </w:pPr>
            <w:r w:rsidRPr="00233631">
              <w:rPr>
                <w:rFonts w:ascii="Times New Roman" w:hAnsi="Times New Roman"/>
                <w:sz w:val="22"/>
                <w:szCs w:val="22"/>
              </w:rPr>
              <w:t>Monetized Value of Respondent Time</w:t>
            </w:r>
            <w:r w:rsidRPr="00233631">
              <w:rPr>
                <w:rFonts w:ascii="Times New Roman" w:hAnsi="Times New Roman"/>
                <w:sz w:val="22"/>
                <w:szCs w:val="22"/>
                <w:vertAlign w:val="superscript"/>
              </w:rPr>
              <w:t>a</w:t>
            </w:r>
          </w:p>
        </w:tc>
      </w:tr>
      <w:tr w14:paraId="20654A4E" w14:textId="77777777" w:rsidTr="00882309">
        <w:tblPrEx>
          <w:tblW w:w="9895" w:type="dxa"/>
          <w:tblLayout w:type="fixed"/>
          <w:tblLook w:val="04A0"/>
        </w:tblPrEx>
        <w:trPr>
          <w:trHeight w:val="522"/>
        </w:trPr>
        <w:tc>
          <w:tcPr>
            <w:tcW w:w="1165" w:type="dxa"/>
          </w:tcPr>
          <w:p w:rsidR="00233631" w:rsidRPr="00233631" w:rsidP="00A2643B" w14:paraId="5D562706" w14:textId="77777777">
            <w:pPr>
              <w:keepNext/>
              <w:jc w:val="left"/>
              <w:rPr>
                <w:rFonts w:ascii="Times New Roman" w:hAnsi="Times New Roman"/>
                <w:bCs w:val="0"/>
                <w:sz w:val="22"/>
                <w:szCs w:val="22"/>
              </w:rPr>
            </w:pPr>
            <w:r w:rsidRPr="00233631">
              <w:rPr>
                <w:rFonts w:ascii="Times New Roman" w:hAnsi="Times New Roman"/>
                <w:bCs w:val="0"/>
                <w:sz w:val="22"/>
                <w:szCs w:val="22"/>
              </w:rPr>
              <w:t>Data collection</w:t>
            </w:r>
          </w:p>
        </w:tc>
        <w:tc>
          <w:tcPr>
            <w:tcW w:w="1440" w:type="dxa"/>
          </w:tcPr>
          <w:p w:rsidR="00233631" w:rsidRPr="004B2C4D" w:rsidP="00A2643B" w14:paraId="4D23FB21" w14:textId="6F052398">
            <w:pPr>
              <w:keepNext/>
              <w:jc w:val="center"/>
              <w:rPr>
                <w:rFonts w:ascii="Times New Roman" w:hAnsi="Times New Roman"/>
                <w:sz w:val="22"/>
                <w:szCs w:val="22"/>
              </w:rPr>
            </w:pPr>
            <w:r>
              <w:rPr>
                <w:rFonts w:ascii="Times New Roman" w:hAnsi="Times New Roman"/>
                <w:sz w:val="22"/>
                <w:szCs w:val="22"/>
              </w:rPr>
              <w:t>22</w:t>
            </w:r>
            <w:r w:rsidR="00405D69">
              <w:rPr>
                <w:rFonts w:ascii="Times New Roman" w:hAnsi="Times New Roman"/>
                <w:sz w:val="22"/>
                <w:szCs w:val="22"/>
              </w:rPr>
              <w:t>,000</w:t>
            </w:r>
          </w:p>
        </w:tc>
        <w:tc>
          <w:tcPr>
            <w:tcW w:w="1260" w:type="dxa"/>
          </w:tcPr>
          <w:p w:rsidR="00233631" w:rsidRPr="004B2C4D" w:rsidP="00A2643B" w14:paraId="7865F4AE" w14:textId="77777777">
            <w:pPr>
              <w:keepNext/>
              <w:jc w:val="center"/>
              <w:rPr>
                <w:rFonts w:ascii="Times New Roman" w:hAnsi="Times New Roman"/>
                <w:sz w:val="22"/>
                <w:szCs w:val="22"/>
              </w:rPr>
            </w:pPr>
            <w:r w:rsidRPr="004B2C4D">
              <w:rPr>
                <w:rFonts w:ascii="Times New Roman" w:hAnsi="Times New Roman"/>
                <w:sz w:val="22"/>
                <w:szCs w:val="22"/>
              </w:rPr>
              <w:t>1</w:t>
            </w:r>
          </w:p>
        </w:tc>
        <w:tc>
          <w:tcPr>
            <w:tcW w:w="1260" w:type="dxa"/>
          </w:tcPr>
          <w:p w:rsidR="00233631" w:rsidRPr="004B2C4D" w:rsidP="00A2643B" w14:paraId="7A68B34A" w14:textId="693B4001">
            <w:pPr>
              <w:keepNext/>
              <w:jc w:val="center"/>
              <w:rPr>
                <w:rFonts w:ascii="Times New Roman" w:hAnsi="Times New Roman"/>
                <w:sz w:val="22"/>
                <w:szCs w:val="22"/>
              </w:rPr>
            </w:pPr>
            <w:r>
              <w:rPr>
                <w:rFonts w:ascii="Times New Roman" w:hAnsi="Times New Roman"/>
                <w:sz w:val="22"/>
                <w:szCs w:val="22"/>
              </w:rPr>
              <w:t>22,000</w:t>
            </w:r>
          </w:p>
        </w:tc>
        <w:tc>
          <w:tcPr>
            <w:tcW w:w="1530" w:type="dxa"/>
          </w:tcPr>
          <w:p w:rsidR="00233631" w:rsidRPr="004B2C4D" w:rsidP="00A2643B" w14:paraId="1DB3164C" w14:textId="68A1B9CC">
            <w:pPr>
              <w:keepNext/>
              <w:jc w:val="center"/>
              <w:rPr>
                <w:rFonts w:ascii="Times New Roman" w:hAnsi="Times New Roman"/>
                <w:sz w:val="22"/>
                <w:szCs w:val="22"/>
              </w:rPr>
            </w:pPr>
            <w:r w:rsidRPr="004B2C4D">
              <w:rPr>
                <w:rFonts w:ascii="Times New Roman" w:hAnsi="Times New Roman"/>
                <w:sz w:val="22"/>
                <w:szCs w:val="22"/>
              </w:rPr>
              <w:t>32</w:t>
            </w:r>
          </w:p>
        </w:tc>
        <w:tc>
          <w:tcPr>
            <w:tcW w:w="990" w:type="dxa"/>
          </w:tcPr>
          <w:p w:rsidR="00233631" w:rsidRPr="004B2C4D" w:rsidP="00A2643B" w14:paraId="7A6B1130" w14:textId="0470EDD1">
            <w:pPr>
              <w:keepNext/>
              <w:jc w:val="center"/>
              <w:rPr>
                <w:rFonts w:ascii="Times New Roman" w:hAnsi="Times New Roman"/>
                <w:sz w:val="22"/>
                <w:szCs w:val="22"/>
              </w:rPr>
            </w:pPr>
            <w:r>
              <w:rPr>
                <w:rFonts w:ascii="Times New Roman" w:hAnsi="Times New Roman"/>
                <w:sz w:val="22"/>
                <w:szCs w:val="22"/>
              </w:rPr>
              <w:t>11,733</w:t>
            </w:r>
          </w:p>
        </w:tc>
        <w:tc>
          <w:tcPr>
            <w:tcW w:w="900" w:type="dxa"/>
          </w:tcPr>
          <w:p w:rsidR="00233631" w:rsidRPr="004B2C4D" w:rsidP="00A2643B" w14:paraId="787F4563" w14:textId="6B370A70">
            <w:pPr>
              <w:keepNext/>
              <w:jc w:val="center"/>
              <w:rPr>
                <w:rFonts w:ascii="Times New Roman" w:hAnsi="Times New Roman"/>
                <w:sz w:val="22"/>
                <w:szCs w:val="22"/>
              </w:rPr>
            </w:pPr>
            <w:r w:rsidRPr="004B2C4D">
              <w:rPr>
                <w:rFonts w:ascii="Times New Roman" w:hAnsi="Times New Roman"/>
                <w:sz w:val="22"/>
                <w:szCs w:val="22"/>
              </w:rPr>
              <w:t>$</w:t>
            </w:r>
            <w:r w:rsidRPr="004B2C4D" w:rsidR="004B2C4D">
              <w:rPr>
                <w:rFonts w:ascii="Times New Roman" w:hAnsi="Times New Roman"/>
                <w:sz w:val="22"/>
                <w:szCs w:val="22"/>
              </w:rPr>
              <w:t>38.14</w:t>
            </w:r>
          </w:p>
        </w:tc>
        <w:tc>
          <w:tcPr>
            <w:tcW w:w="1350" w:type="dxa"/>
          </w:tcPr>
          <w:p w:rsidR="00233631" w:rsidRPr="004B2C4D" w:rsidP="00A2643B" w14:paraId="4595D6FC" w14:textId="5B4F69CD">
            <w:pPr>
              <w:keepNext/>
              <w:jc w:val="center"/>
              <w:rPr>
                <w:rFonts w:ascii="Times New Roman" w:hAnsi="Times New Roman"/>
                <w:sz w:val="22"/>
                <w:szCs w:val="22"/>
              </w:rPr>
            </w:pPr>
            <w:r w:rsidRPr="004B2C4D">
              <w:rPr>
                <w:rFonts w:ascii="Times New Roman" w:hAnsi="Times New Roman"/>
                <w:sz w:val="22"/>
                <w:szCs w:val="22"/>
              </w:rPr>
              <w:t>$</w:t>
            </w:r>
            <w:r w:rsidR="00817372">
              <w:rPr>
                <w:rFonts w:ascii="Times New Roman" w:hAnsi="Times New Roman"/>
                <w:sz w:val="22"/>
                <w:szCs w:val="22"/>
              </w:rPr>
              <w:t>447,497</w:t>
            </w:r>
          </w:p>
        </w:tc>
      </w:tr>
      <w:tr w14:paraId="786B7A87" w14:textId="77777777" w:rsidTr="00882309">
        <w:tblPrEx>
          <w:tblW w:w="9895" w:type="dxa"/>
          <w:tblLayout w:type="fixed"/>
          <w:tblLook w:val="04A0"/>
        </w:tblPrEx>
        <w:trPr>
          <w:trHeight w:val="522"/>
        </w:trPr>
        <w:tc>
          <w:tcPr>
            <w:tcW w:w="1165" w:type="dxa"/>
          </w:tcPr>
          <w:p w:rsidR="00233631" w:rsidRPr="00233631" w:rsidP="00A2643B" w14:paraId="68E0541F" w14:textId="77777777">
            <w:pPr>
              <w:keepNext/>
              <w:rPr>
                <w:rFonts w:ascii="Times New Roman" w:hAnsi="Times New Roman"/>
                <w:b w:val="0"/>
                <w:bCs w:val="0"/>
                <w:iCs/>
                <w:sz w:val="22"/>
                <w:szCs w:val="22"/>
              </w:rPr>
            </w:pPr>
            <w:r w:rsidRPr="00233631">
              <w:rPr>
                <w:rFonts w:ascii="Times New Roman" w:hAnsi="Times New Roman"/>
                <w:iCs/>
                <w:sz w:val="22"/>
                <w:szCs w:val="22"/>
              </w:rPr>
              <w:t>Data quality follow-up</w:t>
            </w:r>
          </w:p>
        </w:tc>
        <w:tc>
          <w:tcPr>
            <w:tcW w:w="1440" w:type="dxa"/>
          </w:tcPr>
          <w:p w:rsidR="00233631" w:rsidRPr="00986C88" w:rsidP="00A2643B" w14:paraId="0108158A" w14:textId="73673E6F">
            <w:pPr>
              <w:keepNext/>
              <w:jc w:val="center"/>
              <w:rPr>
                <w:rFonts w:ascii="Times New Roman" w:hAnsi="Times New Roman"/>
                <w:bCs/>
                <w:iCs/>
                <w:sz w:val="22"/>
                <w:szCs w:val="22"/>
              </w:rPr>
            </w:pPr>
            <w:r>
              <w:rPr>
                <w:rFonts w:ascii="Times New Roman" w:hAnsi="Times New Roman"/>
                <w:bCs/>
                <w:iCs/>
                <w:sz w:val="22"/>
                <w:szCs w:val="22"/>
              </w:rPr>
              <w:t>11,000</w:t>
            </w:r>
          </w:p>
        </w:tc>
        <w:tc>
          <w:tcPr>
            <w:tcW w:w="1260" w:type="dxa"/>
          </w:tcPr>
          <w:p w:rsidR="00233631" w:rsidRPr="00986C88" w:rsidP="00A2643B" w14:paraId="2E2EEE4E" w14:textId="77777777">
            <w:pPr>
              <w:keepNext/>
              <w:jc w:val="center"/>
              <w:rPr>
                <w:rFonts w:ascii="Times New Roman" w:hAnsi="Times New Roman"/>
                <w:bCs/>
                <w:iCs/>
                <w:sz w:val="22"/>
                <w:szCs w:val="22"/>
              </w:rPr>
            </w:pPr>
            <w:r w:rsidRPr="00986C88">
              <w:rPr>
                <w:rFonts w:ascii="Times New Roman" w:hAnsi="Times New Roman"/>
                <w:bCs/>
                <w:iCs/>
                <w:sz w:val="22"/>
                <w:szCs w:val="22"/>
              </w:rPr>
              <w:t>1</w:t>
            </w:r>
          </w:p>
        </w:tc>
        <w:tc>
          <w:tcPr>
            <w:tcW w:w="1260" w:type="dxa"/>
          </w:tcPr>
          <w:p w:rsidR="00233631" w:rsidRPr="00986C88" w:rsidP="00A2643B" w14:paraId="5978EF64" w14:textId="58B7909C">
            <w:pPr>
              <w:keepNext/>
              <w:jc w:val="center"/>
              <w:rPr>
                <w:rFonts w:ascii="Times New Roman" w:hAnsi="Times New Roman"/>
                <w:bCs/>
                <w:iCs/>
                <w:sz w:val="22"/>
                <w:szCs w:val="22"/>
              </w:rPr>
            </w:pPr>
            <w:r>
              <w:rPr>
                <w:rFonts w:ascii="Times New Roman" w:hAnsi="Times New Roman"/>
                <w:bCs/>
                <w:iCs/>
                <w:sz w:val="22"/>
                <w:szCs w:val="22"/>
              </w:rPr>
              <w:t>11,000</w:t>
            </w:r>
          </w:p>
        </w:tc>
        <w:tc>
          <w:tcPr>
            <w:tcW w:w="1530" w:type="dxa"/>
          </w:tcPr>
          <w:p w:rsidR="00233631" w:rsidRPr="00986C88" w:rsidP="00A2643B" w14:paraId="0F84B87E" w14:textId="77777777">
            <w:pPr>
              <w:keepNext/>
              <w:jc w:val="center"/>
              <w:rPr>
                <w:rFonts w:ascii="Times New Roman" w:hAnsi="Times New Roman"/>
                <w:bCs/>
                <w:iCs/>
                <w:sz w:val="22"/>
                <w:szCs w:val="22"/>
              </w:rPr>
            </w:pPr>
            <w:r w:rsidRPr="00986C88">
              <w:rPr>
                <w:rFonts w:ascii="Times New Roman" w:hAnsi="Times New Roman"/>
                <w:bCs/>
                <w:iCs/>
                <w:sz w:val="22"/>
                <w:szCs w:val="22"/>
              </w:rPr>
              <w:t>10</w:t>
            </w:r>
          </w:p>
        </w:tc>
        <w:tc>
          <w:tcPr>
            <w:tcW w:w="990" w:type="dxa"/>
          </w:tcPr>
          <w:p w:rsidR="00233631" w:rsidRPr="00986C88" w:rsidP="00A2643B" w14:paraId="71A67DCE" w14:textId="51DBBF8E">
            <w:pPr>
              <w:keepNext/>
              <w:jc w:val="center"/>
              <w:rPr>
                <w:rFonts w:ascii="Times New Roman" w:hAnsi="Times New Roman"/>
                <w:bCs/>
                <w:iCs/>
                <w:sz w:val="22"/>
                <w:szCs w:val="22"/>
              </w:rPr>
            </w:pPr>
            <w:r w:rsidRPr="00986C88">
              <w:rPr>
                <w:rFonts w:ascii="Times New Roman" w:hAnsi="Times New Roman"/>
                <w:bCs/>
                <w:iCs/>
                <w:sz w:val="22"/>
                <w:szCs w:val="22"/>
              </w:rPr>
              <w:t>1,</w:t>
            </w:r>
            <w:r w:rsidR="00217627">
              <w:rPr>
                <w:rFonts w:ascii="Times New Roman" w:hAnsi="Times New Roman"/>
                <w:bCs/>
                <w:iCs/>
                <w:sz w:val="22"/>
                <w:szCs w:val="22"/>
              </w:rPr>
              <w:t>833</w:t>
            </w:r>
          </w:p>
        </w:tc>
        <w:tc>
          <w:tcPr>
            <w:tcW w:w="900" w:type="dxa"/>
          </w:tcPr>
          <w:p w:rsidR="00233631" w:rsidRPr="00986C88" w:rsidP="00A2643B" w14:paraId="1B354558" w14:textId="7B6E3722">
            <w:pPr>
              <w:keepNext/>
              <w:jc w:val="center"/>
              <w:rPr>
                <w:rFonts w:ascii="Times New Roman" w:hAnsi="Times New Roman"/>
                <w:bCs/>
                <w:iCs/>
                <w:sz w:val="22"/>
                <w:szCs w:val="22"/>
              </w:rPr>
            </w:pPr>
            <w:r w:rsidRPr="00986C88">
              <w:rPr>
                <w:rFonts w:ascii="Times New Roman" w:hAnsi="Times New Roman"/>
                <w:bCs/>
                <w:iCs/>
                <w:sz w:val="22"/>
                <w:szCs w:val="22"/>
              </w:rPr>
              <w:t>$</w:t>
            </w:r>
            <w:r w:rsidRPr="00986C88" w:rsidR="004B2C4D">
              <w:rPr>
                <w:rFonts w:ascii="Times New Roman" w:hAnsi="Times New Roman"/>
                <w:bCs/>
                <w:iCs/>
                <w:sz w:val="22"/>
                <w:szCs w:val="22"/>
              </w:rPr>
              <w:t>38.14</w:t>
            </w:r>
          </w:p>
        </w:tc>
        <w:tc>
          <w:tcPr>
            <w:tcW w:w="1350" w:type="dxa"/>
          </w:tcPr>
          <w:p w:rsidR="00233631" w:rsidRPr="00986C88" w:rsidP="00A2643B" w14:paraId="65B1FE09" w14:textId="5E731504">
            <w:pPr>
              <w:keepNext/>
              <w:jc w:val="center"/>
              <w:rPr>
                <w:rFonts w:ascii="Times New Roman" w:hAnsi="Times New Roman"/>
                <w:bCs/>
                <w:iCs/>
                <w:sz w:val="22"/>
                <w:szCs w:val="22"/>
              </w:rPr>
            </w:pPr>
            <w:r w:rsidRPr="00986C88">
              <w:rPr>
                <w:rFonts w:ascii="Times New Roman" w:hAnsi="Times New Roman"/>
                <w:bCs/>
                <w:iCs/>
                <w:sz w:val="22"/>
                <w:szCs w:val="22"/>
              </w:rPr>
              <w:t>$</w:t>
            </w:r>
            <w:r w:rsidR="00817372">
              <w:rPr>
                <w:rFonts w:ascii="Times New Roman" w:hAnsi="Times New Roman"/>
                <w:bCs/>
                <w:iCs/>
                <w:sz w:val="22"/>
                <w:szCs w:val="22"/>
              </w:rPr>
              <w:t>69,911</w:t>
            </w:r>
          </w:p>
        </w:tc>
      </w:tr>
      <w:tr w14:paraId="0AAD91B6" w14:textId="77777777" w:rsidTr="00882309">
        <w:tblPrEx>
          <w:tblW w:w="9895" w:type="dxa"/>
          <w:tblLayout w:type="fixed"/>
          <w:tblLook w:val="04A0"/>
        </w:tblPrEx>
        <w:trPr>
          <w:trHeight w:val="255"/>
        </w:trPr>
        <w:tc>
          <w:tcPr>
            <w:tcW w:w="1165" w:type="dxa"/>
          </w:tcPr>
          <w:p w:rsidR="00233631" w:rsidRPr="00233631" w:rsidP="00A2643B" w14:paraId="4E489663" w14:textId="77777777">
            <w:pPr>
              <w:keepNext/>
              <w:rPr>
                <w:rFonts w:ascii="Times New Roman" w:hAnsi="Times New Roman"/>
                <w:b w:val="0"/>
                <w:iCs/>
                <w:sz w:val="22"/>
                <w:szCs w:val="22"/>
              </w:rPr>
            </w:pPr>
            <w:r w:rsidRPr="00233631">
              <w:rPr>
                <w:rFonts w:ascii="Times New Roman" w:hAnsi="Times New Roman"/>
                <w:iCs/>
                <w:sz w:val="22"/>
                <w:szCs w:val="22"/>
              </w:rPr>
              <w:t>Total</w:t>
            </w:r>
          </w:p>
        </w:tc>
        <w:tc>
          <w:tcPr>
            <w:tcW w:w="1440" w:type="dxa"/>
          </w:tcPr>
          <w:p w:rsidR="00233631" w:rsidRPr="00986C88" w:rsidP="00A2643B" w14:paraId="51BE2BDB" w14:textId="4BAB563F">
            <w:pPr>
              <w:keepNext/>
              <w:jc w:val="center"/>
              <w:rPr>
                <w:rFonts w:ascii="Times New Roman" w:hAnsi="Times New Roman"/>
                <w:b/>
                <w:iCs/>
                <w:sz w:val="22"/>
                <w:szCs w:val="22"/>
              </w:rPr>
            </w:pPr>
            <w:r>
              <w:rPr>
                <w:rFonts w:ascii="Times New Roman" w:hAnsi="Times New Roman"/>
                <w:b/>
                <w:iCs/>
                <w:sz w:val="22"/>
                <w:szCs w:val="22"/>
              </w:rPr>
              <w:t>22,000</w:t>
            </w:r>
          </w:p>
        </w:tc>
        <w:tc>
          <w:tcPr>
            <w:tcW w:w="1260" w:type="dxa"/>
          </w:tcPr>
          <w:p w:rsidR="00233631" w:rsidRPr="00986C88" w:rsidP="00A2643B" w14:paraId="07A54CE0" w14:textId="77777777">
            <w:pPr>
              <w:keepNext/>
              <w:jc w:val="center"/>
              <w:rPr>
                <w:rFonts w:ascii="Times New Roman" w:hAnsi="Times New Roman"/>
                <w:b/>
                <w:iCs/>
                <w:sz w:val="22"/>
                <w:szCs w:val="22"/>
              </w:rPr>
            </w:pPr>
          </w:p>
        </w:tc>
        <w:tc>
          <w:tcPr>
            <w:tcW w:w="1260" w:type="dxa"/>
          </w:tcPr>
          <w:p w:rsidR="00233631" w:rsidRPr="00986C88" w:rsidP="00A2643B" w14:paraId="6B82D875" w14:textId="1A510537">
            <w:pPr>
              <w:keepNext/>
              <w:jc w:val="center"/>
              <w:rPr>
                <w:rFonts w:ascii="Times New Roman" w:hAnsi="Times New Roman"/>
                <w:b/>
                <w:iCs/>
                <w:sz w:val="22"/>
                <w:szCs w:val="22"/>
              </w:rPr>
            </w:pPr>
            <w:r>
              <w:rPr>
                <w:rFonts w:ascii="Times New Roman" w:hAnsi="Times New Roman"/>
                <w:b/>
                <w:iCs/>
                <w:sz w:val="22"/>
                <w:szCs w:val="22"/>
              </w:rPr>
              <w:t>22,000</w:t>
            </w:r>
          </w:p>
        </w:tc>
        <w:tc>
          <w:tcPr>
            <w:tcW w:w="1530" w:type="dxa"/>
          </w:tcPr>
          <w:p w:rsidR="00233631" w:rsidRPr="00986C88" w:rsidP="00A2643B" w14:paraId="15B6EB5B" w14:textId="77777777">
            <w:pPr>
              <w:keepNext/>
              <w:jc w:val="center"/>
              <w:rPr>
                <w:rFonts w:ascii="Times New Roman" w:hAnsi="Times New Roman"/>
                <w:b/>
                <w:iCs/>
                <w:sz w:val="22"/>
                <w:szCs w:val="22"/>
              </w:rPr>
            </w:pPr>
          </w:p>
        </w:tc>
        <w:tc>
          <w:tcPr>
            <w:tcW w:w="990" w:type="dxa"/>
          </w:tcPr>
          <w:p w:rsidR="00233631" w:rsidRPr="00986C88" w:rsidP="00A2643B" w14:paraId="256FB66F" w14:textId="52B47327">
            <w:pPr>
              <w:keepNext/>
              <w:jc w:val="center"/>
              <w:rPr>
                <w:rFonts w:ascii="Times New Roman" w:hAnsi="Times New Roman"/>
                <w:b/>
                <w:iCs/>
                <w:sz w:val="22"/>
                <w:szCs w:val="22"/>
              </w:rPr>
            </w:pPr>
            <w:r>
              <w:rPr>
                <w:rFonts w:ascii="Times New Roman" w:hAnsi="Times New Roman"/>
                <w:b/>
                <w:iCs/>
                <w:sz w:val="22"/>
                <w:szCs w:val="22"/>
              </w:rPr>
              <w:t>13,566</w:t>
            </w:r>
          </w:p>
        </w:tc>
        <w:tc>
          <w:tcPr>
            <w:tcW w:w="900" w:type="dxa"/>
          </w:tcPr>
          <w:p w:rsidR="00233631" w:rsidRPr="00986C88" w:rsidP="00A2643B" w14:paraId="49B698E4" w14:textId="77777777">
            <w:pPr>
              <w:keepNext/>
              <w:jc w:val="center"/>
              <w:rPr>
                <w:rFonts w:ascii="Times New Roman" w:hAnsi="Times New Roman"/>
                <w:b/>
                <w:iCs/>
                <w:sz w:val="22"/>
                <w:szCs w:val="22"/>
              </w:rPr>
            </w:pPr>
          </w:p>
        </w:tc>
        <w:tc>
          <w:tcPr>
            <w:tcW w:w="1350" w:type="dxa"/>
          </w:tcPr>
          <w:p w:rsidR="00233631" w:rsidRPr="00986C88" w:rsidP="00A2643B" w14:paraId="7D143120" w14:textId="1B25777E">
            <w:pPr>
              <w:keepNext/>
              <w:jc w:val="center"/>
              <w:rPr>
                <w:rFonts w:ascii="Times New Roman" w:hAnsi="Times New Roman"/>
                <w:b/>
                <w:iCs/>
                <w:sz w:val="22"/>
                <w:szCs w:val="22"/>
              </w:rPr>
            </w:pPr>
            <w:r w:rsidRPr="00986C88">
              <w:rPr>
                <w:rFonts w:ascii="Times New Roman" w:hAnsi="Times New Roman"/>
                <w:b/>
                <w:iCs/>
                <w:sz w:val="22"/>
                <w:szCs w:val="22"/>
              </w:rPr>
              <w:t>$</w:t>
            </w:r>
            <w:r w:rsidR="00E93CCA">
              <w:rPr>
                <w:rFonts w:ascii="Times New Roman" w:hAnsi="Times New Roman"/>
                <w:b/>
                <w:iCs/>
                <w:sz w:val="22"/>
                <w:szCs w:val="22"/>
              </w:rPr>
              <w:t>517,408</w:t>
            </w:r>
          </w:p>
        </w:tc>
      </w:tr>
    </w:tbl>
    <w:bookmarkEnd w:id="0"/>
    <w:p w:rsidR="00233631" w:rsidRPr="00986C88" w:rsidP="00986C88" w14:paraId="1757F5E7" w14:textId="7ACC141C">
      <w:pPr>
        <w:pStyle w:val="ListParagraph"/>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sz w:val="20"/>
          <w:szCs w:val="20"/>
        </w:rPr>
      </w:pPr>
      <w:r w:rsidRPr="00986C88">
        <w:rPr>
          <w:sz w:val="20"/>
          <w:szCs w:val="20"/>
        </w:rPr>
        <w:t>Monetized Value of Respondent Time = Total Burden (hours) x Hourly Rate.</w:t>
      </w:r>
    </w:p>
    <w:p w:rsidR="00DD2365" w:rsidRPr="00DD2365" w:rsidP="00DD2365" w14:paraId="73F5A24D" w14:textId="77777777">
      <w:pPr>
        <w:rPr>
          <w:highlight w:val="yellow"/>
        </w:rPr>
      </w:pPr>
    </w:p>
    <w:p w:rsidR="00DD2365" w:rsidP="0066023E" w14:paraId="04EEA061" w14:textId="23608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3A09" w:rsidRPr="00673A09" w:rsidP="00673A09" w14:paraId="335C5AE9" w14:textId="0A6125D5">
      <w:pPr>
        <w:tabs>
          <w:tab w:val="left" w:pos="810"/>
          <w:tab w:val="left" w:pos="900"/>
        </w:tabs>
        <w:rPr>
          <w:b/>
          <w:bCs/>
        </w:rPr>
      </w:pPr>
      <w:r w:rsidRPr="00673A09">
        <w:rPr>
          <w:b/>
          <w:bCs/>
        </w:rPr>
        <w:t>13.</w:t>
      </w:r>
      <w:r>
        <w:rPr>
          <w:b/>
          <w:bCs/>
        </w:rPr>
        <w:t xml:space="preserve"> </w:t>
      </w:r>
      <w:r w:rsidRPr="00673A09">
        <w:rPr>
          <w:b/>
          <w:bCs/>
        </w:rPr>
        <w:t>Provide an estimate of the total annual cost burden to respondents or recordkeepers resulting from the collection of information. (Do not include the cost of any hour burden shown in Items 12 and 14).</w:t>
      </w:r>
    </w:p>
    <w:p w:rsidR="00673A09" w:rsidRPr="00673A09" w:rsidP="00673A09" w14:paraId="7478A0E2" w14:textId="77777777">
      <w:pPr>
        <w:pStyle w:val="Heading2"/>
        <w:keepNext w:val="0"/>
        <w:keepLines w:val="0"/>
        <w:numPr>
          <w:ilvl w:val="0"/>
          <w:numId w:val="46"/>
        </w:numPr>
        <w:spacing w:after="120"/>
        <w:rPr>
          <w:rFonts w:ascii="Times New Roman" w:hAnsi="Times New Roman" w:cs="Times New Roman"/>
          <w:b/>
          <w:bCs/>
          <w:color w:val="auto"/>
          <w:sz w:val="24"/>
          <w:szCs w:val="24"/>
        </w:rPr>
      </w:pPr>
      <w:r w:rsidRPr="00673A09">
        <w:rPr>
          <w:rFonts w:ascii="Times New Roman" w:hAnsi="Times New Roman" w:cs="Times New Roman"/>
          <w:b/>
          <w:bCs/>
          <w:color w:val="auto"/>
          <w:sz w:val="24"/>
          <w:szCs w:val="24"/>
        </w:rPr>
        <w:t xml:space="preserve">The cost estimate should be split into two components: (a) a total capital and </w:t>
      </w:r>
      <w:r w:rsidRPr="00673A09">
        <w:rPr>
          <w:rFonts w:ascii="Times New Roman" w:hAnsi="Times New Roman" w:cs="Times New Roman"/>
          <w:b/>
          <w:bCs/>
          <w:color w:val="auto"/>
          <w:sz w:val="24"/>
          <w:szCs w:val="24"/>
        </w:rPr>
        <w:t>start up</w:t>
      </w:r>
      <w:r w:rsidRPr="00673A09">
        <w:rPr>
          <w:rFonts w:ascii="Times New Roman" w:hAnsi="Times New Roman" w:cs="Times New Roman"/>
          <w:b/>
          <w:bCs/>
          <w:color w:val="auto"/>
          <w:sz w:val="24"/>
          <w:szCs w:val="24"/>
        </w:rPr>
        <w:t xml:space="preserve"> cost component (annualized over its expected useful life); and (b) a total </w:t>
      </w:r>
      <w:r w:rsidRPr="00673A09">
        <w:rPr>
          <w:rFonts w:ascii="Times New Roman" w:hAnsi="Times New Roman" w:cs="Times New Roman"/>
          <w:b/>
          <w:bCs/>
          <w:color w:val="auto"/>
          <w:sz w:val="24"/>
          <w:szCs w:val="24"/>
        </w:rPr>
        <w:t xml:space="preserve">operation and maintenance and purchase of service component. The estimates should </w:t>
      </w:r>
      <w:r w:rsidRPr="00673A09">
        <w:rPr>
          <w:rFonts w:ascii="Times New Roman" w:hAnsi="Times New Roman" w:cs="Times New Roman"/>
          <w:b/>
          <w:bCs/>
          <w:color w:val="auto"/>
          <w:sz w:val="24"/>
          <w:szCs w:val="24"/>
        </w:rPr>
        <w:t>take into account</w:t>
      </w:r>
      <w:r w:rsidRPr="00673A09">
        <w:rPr>
          <w:rFonts w:ascii="Times New Roman" w:hAnsi="Times New Roman" w:cs="Times New Roman"/>
          <w:b/>
          <w:bCs/>
          <w:color w:val="auto"/>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73A09">
        <w:rPr>
          <w:rFonts w:ascii="Times New Roman" w:hAnsi="Times New Roman" w:cs="Times New Roman"/>
          <w:b/>
          <w:bCs/>
          <w:color w:val="auto"/>
          <w:sz w:val="24"/>
          <w:szCs w:val="24"/>
        </w:rPr>
        <w:t>time period</w:t>
      </w:r>
      <w:r w:rsidRPr="00673A09">
        <w:rPr>
          <w:rFonts w:ascii="Times New Roman" w:hAnsi="Times New Roman" w:cs="Times New Roman"/>
          <w:b/>
          <w:bCs/>
          <w:color w:val="auto"/>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673A09" w:rsidRPr="00673A09" w:rsidP="00673A09" w14:paraId="52C0F563" w14:textId="77777777">
      <w:pPr>
        <w:pStyle w:val="Heading2"/>
        <w:keepNext w:val="0"/>
        <w:keepLines w:val="0"/>
        <w:numPr>
          <w:ilvl w:val="0"/>
          <w:numId w:val="46"/>
        </w:numPr>
        <w:spacing w:after="120"/>
        <w:rPr>
          <w:rFonts w:ascii="Times New Roman" w:hAnsi="Times New Roman" w:cs="Times New Roman"/>
          <w:b/>
          <w:bCs/>
          <w:color w:val="auto"/>
          <w:sz w:val="24"/>
          <w:szCs w:val="24"/>
        </w:rPr>
      </w:pPr>
      <w:r w:rsidRPr="00673A09">
        <w:rPr>
          <w:rFonts w:ascii="Times New Roman" w:hAnsi="Times New Roman" w:cs="Times New Roman"/>
          <w:b/>
          <w:bCs/>
          <w:color w:val="auto"/>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73A09" w:rsidRPr="00673A09" w:rsidP="00673A09" w14:paraId="1BBD1778" w14:textId="4F92B766">
      <w:pPr>
        <w:pStyle w:val="Heading2"/>
        <w:keepNext w:val="0"/>
        <w:keepLines w:val="0"/>
        <w:numPr>
          <w:ilvl w:val="0"/>
          <w:numId w:val="46"/>
        </w:numPr>
        <w:spacing w:after="120"/>
        <w:rPr>
          <w:rFonts w:ascii="Times New Roman" w:hAnsi="Times New Roman" w:cs="Times New Roman"/>
          <w:b/>
          <w:bCs/>
          <w:color w:val="auto"/>
          <w:sz w:val="24"/>
          <w:szCs w:val="24"/>
        </w:rPr>
      </w:pPr>
      <w:r w:rsidRPr="00673A09">
        <w:rPr>
          <w:rFonts w:ascii="Times New Roman" w:hAnsi="Times New Roman" w:cs="Times New Roman"/>
          <w:b/>
          <w:bCs/>
          <w:color w:val="auto"/>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7585" w:rsidP="00577BFE" w14:paraId="772E8E58" w14:textId="77777777">
      <w:pPr>
        <w:pStyle w:val="Default"/>
        <w:keepNext/>
        <w:rPr>
          <w:rFonts w:ascii="Times New Roman" w:hAnsi="Times New Roman" w:cs="Times New Roman"/>
        </w:rPr>
      </w:pPr>
    </w:p>
    <w:p w:rsidR="00673A09" w:rsidRPr="00AB61FE" w:rsidP="00673A09" w14:paraId="2DC912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EC5">
        <w:t xml:space="preserve">There are no anticipated costs </w:t>
      </w:r>
      <w:r w:rsidRPr="003A2EC5">
        <w:t>to</w:t>
      </w:r>
      <w:r w:rsidRPr="003A2EC5">
        <w:t xml:space="preserve"> respondents beyond the employee time expended in gathering advance information or completing the instrument. Respondents are not being asked to purchase anything or maintain any services as part of this data collection. </w:t>
      </w:r>
      <w:r w:rsidRPr="00F37A78">
        <w:t>Furthermore</w:t>
      </w:r>
      <w:r w:rsidRPr="00AB16BC">
        <w:t xml:space="preserve">, purchase of outside accounting or information collection services, if performed by the respondent, is part of usual and customary business practices, not specifically required for providing information to </w:t>
      </w:r>
      <w:r w:rsidRPr="00AB61FE">
        <w:t xml:space="preserve">BJS. </w:t>
      </w:r>
    </w:p>
    <w:p w:rsidR="007908B3" w:rsidP="007908B3" w14:paraId="022A396F" w14:textId="46F98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908B3" w:rsidRPr="00673A09" w:rsidP="00673A09" w14:paraId="61C0468D" w14:textId="7183F2E7">
      <w:pPr>
        <w:tabs>
          <w:tab w:val="left" w:pos="810"/>
          <w:tab w:val="left" w:pos="900"/>
        </w:tabs>
        <w:rPr>
          <w:b/>
          <w:bCs/>
        </w:rPr>
      </w:pPr>
      <w:r>
        <w:rPr>
          <w:b/>
          <w:bCs/>
        </w:rPr>
        <w:t xml:space="preserve">14. </w:t>
      </w:r>
      <w:r w:rsidRPr="00AB61FE">
        <w:rPr>
          <w:b/>
          <w:bCs/>
        </w:rPr>
        <w:t xml:space="preserve">Provide estimates of the annualized cost to the Federal Government. Also, provide a description of the method used to estimate </w:t>
      </w:r>
      <w:r w:rsidRPr="00AB61FE">
        <w:rPr>
          <w:b/>
          <w:bCs/>
        </w:rPr>
        <w:t>cost</w:t>
      </w:r>
      <w:r w:rsidRPr="00AB61FE">
        <w:rPr>
          <w:b/>
          <w:bCs/>
        </w:rPr>
        <w:t>, which should include quantification of hours, operational expenses (such as equipment, overhead, printing, and support staff), any other expense that would not have been incurred</w:t>
      </w:r>
      <w:r w:rsidRPr="00673A09">
        <w:rPr>
          <w:b/>
          <w:bCs/>
        </w:rPr>
        <w:t xml:space="preserve"> </w:t>
      </w:r>
      <w:r w:rsidRPr="00AB61FE">
        <w:rPr>
          <w:b/>
          <w:bCs/>
        </w:rPr>
        <w:t>without this collection of information. Agencies also may aggregate cost estimates from Items 12, 13, and 14 into a single table.</w:t>
      </w:r>
    </w:p>
    <w:p w:rsidR="006841C0" w:rsidP="00673A09" w14:paraId="424E16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3A09" w:rsidP="00673A09" w14:paraId="44AB4FD4" w14:textId="3F11A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61FE">
        <w:t>The estimated total annual burden cost to the federal government for all aspects of the 202</w:t>
      </w:r>
      <w:r>
        <w:t>6</w:t>
      </w:r>
      <w:r w:rsidRPr="00AB61FE">
        <w:t xml:space="preserve"> </w:t>
      </w:r>
      <w:r w:rsidRPr="00FB5506">
        <w:t>CSLLEA (average) is $</w:t>
      </w:r>
      <w:r w:rsidRPr="00FB5506" w:rsidR="00FB5506">
        <w:t>521,034</w:t>
      </w:r>
      <w:r w:rsidRPr="00AB61FE">
        <w:t xml:space="preserve">. BJS personnel costs are calculated based on the Office of </w:t>
      </w:r>
      <w:r w:rsidRPr="008D22FF">
        <w:t>Personnel Management’s salary table effective January 202</w:t>
      </w:r>
      <w:r w:rsidRPr="008D22FF" w:rsidR="006841C0">
        <w:t>6</w:t>
      </w:r>
      <w:r w:rsidRPr="008D22FF">
        <w:t>. The Department estimates $</w:t>
      </w:r>
      <w:r w:rsidRPr="008D22FF" w:rsidR="008D22FF">
        <w:t>298,754</w:t>
      </w:r>
      <w:r w:rsidRPr="008D22FF">
        <w:t xml:space="preserve"> of contractual costs for 202</w:t>
      </w:r>
      <w:r w:rsidRPr="008D22FF" w:rsidR="008D22FF">
        <w:t xml:space="preserve">6, $1,017,883 for 2027, </w:t>
      </w:r>
      <w:r w:rsidRPr="008D22FF">
        <w:t>and $0 for 202</w:t>
      </w:r>
      <w:r w:rsidRPr="008D22FF" w:rsidR="008D22FF">
        <w:t>8</w:t>
      </w:r>
      <w:r w:rsidRPr="008D22FF">
        <w:t>. The estimated (average) total annual contractual cost burden for this collection is $</w:t>
      </w:r>
      <w:r w:rsidRPr="008D22FF" w:rsidR="008D22FF">
        <w:t>438,879</w:t>
      </w:r>
      <w:r w:rsidRPr="008D22FF">
        <w:t>.</w:t>
      </w:r>
    </w:p>
    <w:p w:rsidR="00673A09" w:rsidRPr="00AB61FE" w:rsidP="00673A09" w14:paraId="14DAC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3A09" w:rsidRPr="00AB61FE" w:rsidP="00673A09" w14:paraId="7B2247E3" w14:textId="342B32F8">
      <w:r w:rsidRPr="00AB61FE">
        <w:t xml:space="preserve">Currently, the division of labor for data collection is as follows: The data collection agent via cooperative agreement maintains and updates the respondent contact information database, conducts the survey through web-based collection, conducts follow-up, collects the data, and prepares a dataset for BJS use. BJS staff analyze the data, prepare statistical tables, and write </w:t>
      </w:r>
      <w:r w:rsidRPr="00AB61FE">
        <w:t xml:space="preserve">reports based on these data. </w:t>
      </w:r>
      <w:r w:rsidRPr="006841C0">
        <w:t xml:space="preserve">See Table </w:t>
      </w:r>
      <w:r w:rsidR="006841C0">
        <w:t>3</w:t>
      </w:r>
      <w:r w:rsidRPr="006841C0">
        <w:t xml:space="preserve"> for</w:t>
      </w:r>
      <w:r w:rsidRPr="00AB61FE">
        <w:t xml:space="preserve"> a detailed breakdown of costs to the Federal government.</w:t>
      </w:r>
    </w:p>
    <w:p w:rsidR="00030618" w:rsidP="00030618" w14:paraId="50A3C1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30618" w:rsidP="00030618" w14:paraId="7497A9F2" w14:textId="31A0953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4EEDD194">
        <w:rPr>
          <w:b/>
          <w:color w:val="000000" w:themeColor="text1"/>
        </w:rPr>
        <w:t xml:space="preserve">Table </w:t>
      </w:r>
      <w:r w:rsidRPr="4EEDD194" w:rsidR="006841C0">
        <w:rPr>
          <w:b/>
          <w:color w:val="000000" w:themeColor="text1"/>
        </w:rPr>
        <w:t>3</w:t>
      </w:r>
      <w:r w:rsidRPr="4EEDD194">
        <w:rPr>
          <w:b/>
          <w:color w:val="000000" w:themeColor="text1"/>
        </w:rPr>
        <w:t xml:space="preserve">. </w:t>
      </w:r>
      <w:r w:rsidRPr="00AB61FE" w:rsidR="006841C0">
        <w:rPr>
          <w:b/>
          <w:bCs/>
        </w:rPr>
        <w:t xml:space="preserve">Estimated Federal burden costs for the </w:t>
      </w:r>
      <w:r w:rsidR="006841C0">
        <w:rPr>
          <w:b/>
          <w:bCs/>
        </w:rPr>
        <w:t>2026 CSLLEA</w:t>
      </w:r>
      <w:r w:rsidRPr="00AB61FE" w:rsidR="006841C0">
        <w:rPr>
          <w:b/>
          <w:bCs/>
        </w:rPr>
        <w:t xml:space="preserve">, </w:t>
      </w:r>
      <w:r w:rsidR="006841C0">
        <w:rPr>
          <w:b/>
          <w:bCs/>
        </w:rPr>
        <w:t>2026-2028</w:t>
      </w:r>
    </w:p>
    <w:p w:rsidR="006841C0" w:rsidRPr="00545A0B" w:rsidP="00030618" w14:paraId="51B58B5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340" w:type="dxa"/>
        <w:tblLook w:val="04A0"/>
      </w:tblPr>
      <w:tblGrid>
        <w:gridCol w:w="802"/>
        <w:gridCol w:w="804"/>
        <w:gridCol w:w="3141"/>
        <w:gridCol w:w="1533"/>
        <w:gridCol w:w="1533"/>
        <w:gridCol w:w="1527"/>
      </w:tblGrid>
      <w:tr w14:paraId="544389FD" w14:textId="5EEEF010" w:rsidTr="1C7AC397">
        <w:tblPrEx>
          <w:tblW w:w="9340" w:type="dxa"/>
          <w:tblLook w:val="04A0"/>
        </w:tblPrEx>
        <w:trPr>
          <w:trHeight w:val="310"/>
        </w:trPr>
        <w:tc>
          <w:tcPr>
            <w:tcW w:w="4747" w:type="dxa"/>
            <w:gridSpan w:val="3"/>
            <w:tcBorders>
              <w:top w:val="single" w:sz="8" w:space="0" w:color="auto"/>
              <w:left w:val="single" w:sz="8" w:space="0" w:color="auto"/>
              <w:bottom w:val="single" w:sz="8" w:space="0" w:color="auto"/>
              <w:right w:val="single" w:sz="8" w:space="0" w:color="000000" w:themeColor="text1"/>
            </w:tcBorders>
            <w:vAlign w:val="center"/>
            <w:hideMark/>
          </w:tcPr>
          <w:p w:rsidR="006841C0" w:rsidRPr="006841C0" w:rsidP="006841C0" w14:paraId="333C9926" w14:textId="77777777">
            <w:pPr>
              <w:keepNext/>
              <w:rPr>
                <w:b/>
                <w:bCs/>
              </w:rPr>
            </w:pPr>
            <w:r w:rsidRPr="006841C0">
              <w:rPr>
                <w:b/>
                <w:bCs/>
              </w:rPr>
              <w:t>BJS costs</w:t>
            </w:r>
          </w:p>
        </w:tc>
        <w:tc>
          <w:tcPr>
            <w:tcW w:w="1533" w:type="dxa"/>
            <w:tcBorders>
              <w:top w:val="single" w:sz="4" w:space="0" w:color="auto"/>
              <w:left w:val="nil"/>
              <w:bottom w:val="single" w:sz="8" w:space="0" w:color="auto"/>
              <w:right w:val="single" w:sz="8" w:space="0" w:color="auto"/>
            </w:tcBorders>
          </w:tcPr>
          <w:p w:rsidR="006841C0" w:rsidRPr="006841C0" w:rsidP="006841C0" w14:paraId="36CC04D9" w14:textId="55FF0B05">
            <w:pPr>
              <w:keepNext/>
              <w:jc w:val="center"/>
              <w:rPr>
                <w:b/>
                <w:bCs/>
              </w:rPr>
            </w:pPr>
            <w:r w:rsidRPr="006841C0">
              <w:rPr>
                <w:b/>
                <w:bCs/>
              </w:rPr>
              <w:t>202</w:t>
            </w:r>
            <w:r>
              <w:rPr>
                <w:b/>
                <w:bCs/>
              </w:rPr>
              <w:t>6</w:t>
            </w:r>
          </w:p>
        </w:tc>
        <w:tc>
          <w:tcPr>
            <w:tcW w:w="1533" w:type="dxa"/>
            <w:tcBorders>
              <w:top w:val="single" w:sz="4" w:space="0" w:color="auto"/>
              <w:left w:val="nil"/>
              <w:bottom w:val="single" w:sz="8" w:space="0" w:color="auto"/>
              <w:right w:val="single" w:sz="8" w:space="0" w:color="auto"/>
            </w:tcBorders>
          </w:tcPr>
          <w:p w:rsidR="006841C0" w:rsidRPr="006841C0" w:rsidP="006841C0" w14:paraId="4BE2BB98" w14:textId="7BC618B2">
            <w:pPr>
              <w:keepNext/>
              <w:jc w:val="center"/>
              <w:rPr>
                <w:b/>
                <w:bCs/>
              </w:rPr>
            </w:pPr>
            <w:r w:rsidRPr="006841C0">
              <w:rPr>
                <w:b/>
                <w:bCs/>
              </w:rPr>
              <w:t>202</w:t>
            </w:r>
            <w:r>
              <w:rPr>
                <w:b/>
                <w:bCs/>
              </w:rPr>
              <w:t>7</w:t>
            </w:r>
          </w:p>
        </w:tc>
        <w:tc>
          <w:tcPr>
            <w:tcW w:w="1527" w:type="dxa"/>
            <w:tcBorders>
              <w:top w:val="single" w:sz="4" w:space="0" w:color="auto"/>
              <w:left w:val="nil"/>
              <w:bottom w:val="single" w:sz="8" w:space="0" w:color="auto"/>
              <w:right w:val="single" w:sz="8" w:space="0" w:color="auto"/>
            </w:tcBorders>
          </w:tcPr>
          <w:p w:rsidR="006841C0" w:rsidRPr="006841C0" w:rsidP="006841C0" w14:paraId="0F7C7640" w14:textId="42FC39F5">
            <w:pPr>
              <w:keepNext/>
              <w:jc w:val="center"/>
              <w:rPr>
                <w:b/>
                <w:bCs/>
              </w:rPr>
            </w:pPr>
            <w:r>
              <w:rPr>
                <w:b/>
                <w:bCs/>
              </w:rPr>
              <w:t>2028</w:t>
            </w:r>
          </w:p>
        </w:tc>
      </w:tr>
      <w:tr w14:paraId="4E8A2B78" w14:textId="34D11FF6" w:rsidTr="1C7AC397">
        <w:tblPrEx>
          <w:tblW w:w="9340" w:type="dxa"/>
          <w:tblLook w:val="04A0"/>
        </w:tblPrEx>
        <w:trPr>
          <w:trHeight w:val="32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3E118B99" w14:textId="77777777">
            <w:pPr>
              <w:keepNext/>
              <w:rPr>
                <w:color w:val="000000"/>
              </w:rPr>
            </w:pPr>
            <w:r w:rsidRPr="006841C0">
              <w:rPr>
                <w:color w:val="000000"/>
              </w:rPr>
              <w:t> </w:t>
            </w:r>
          </w:p>
        </w:tc>
        <w:tc>
          <w:tcPr>
            <w:tcW w:w="3945" w:type="dxa"/>
            <w:gridSpan w:val="2"/>
            <w:tcBorders>
              <w:top w:val="single" w:sz="8" w:space="0" w:color="auto"/>
              <w:left w:val="nil"/>
              <w:bottom w:val="single" w:sz="8" w:space="0" w:color="auto"/>
              <w:right w:val="single" w:sz="8" w:space="0" w:color="000000" w:themeColor="text1"/>
            </w:tcBorders>
            <w:vAlign w:val="center"/>
            <w:hideMark/>
          </w:tcPr>
          <w:p w:rsidR="006841C0" w:rsidRPr="006841C0" w:rsidP="006841C0" w14:paraId="42253A82" w14:textId="77777777">
            <w:pPr>
              <w:keepNext/>
              <w:rPr>
                <w:color w:val="000000"/>
              </w:rPr>
            </w:pPr>
            <w:r w:rsidRPr="006841C0">
              <w:rPr>
                <w:color w:val="000000"/>
              </w:rPr>
              <w:t>Staff salaries</w:t>
            </w:r>
          </w:p>
        </w:tc>
        <w:tc>
          <w:tcPr>
            <w:tcW w:w="1533" w:type="dxa"/>
            <w:tcBorders>
              <w:top w:val="nil"/>
              <w:left w:val="nil"/>
              <w:bottom w:val="single" w:sz="8" w:space="0" w:color="auto"/>
              <w:right w:val="single" w:sz="8" w:space="0" w:color="auto"/>
            </w:tcBorders>
          </w:tcPr>
          <w:p w:rsidR="006841C0" w:rsidRPr="006841C0" w:rsidP="006841C0" w14:paraId="29426379" w14:textId="77777777">
            <w:pPr>
              <w:keepNext/>
              <w:rPr>
                <w:color w:val="000000"/>
              </w:rPr>
            </w:pPr>
          </w:p>
        </w:tc>
        <w:tc>
          <w:tcPr>
            <w:tcW w:w="1533" w:type="dxa"/>
            <w:tcBorders>
              <w:top w:val="nil"/>
              <w:left w:val="nil"/>
              <w:bottom w:val="single" w:sz="8" w:space="0" w:color="auto"/>
              <w:right w:val="single" w:sz="8" w:space="0" w:color="auto"/>
            </w:tcBorders>
            <w:vAlign w:val="center"/>
          </w:tcPr>
          <w:p w:rsidR="006841C0" w:rsidRPr="006841C0" w:rsidP="006841C0" w14:paraId="72EECF0D" w14:textId="77777777">
            <w:pPr>
              <w:keepNext/>
              <w:jc w:val="center"/>
              <w:rPr>
                <w:color w:val="000000"/>
              </w:rPr>
            </w:pPr>
          </w:p>
        </w:tc>
        <w:tc>
          <w:tcPr>
            <w:tcW w:w="1527" w:type="dxa"/>
            <w:tcBorders>
              <w:top w:val="nil"/>
              <w:left w:val="nil"/>
              <w:bottom w:val="single" w:sz="8" w:space="0" w:color="auto"/>
              <w:right w:val="single" w:sz="8" w:space="0" w:color="auto"/>
            </w:tcBorders>
          </w:tcPr>
          <w:p w:rsidR="006841C0" w:rsidRPr="006841C0" w:rsidP="006841C0" w14:paraId="55C3E85F" w14:textId="77777777">
            <w:pPr>
              <w:keepNext/>
              <w:jc w:val="center"/>
              <w:rPr>
                <w:color w:val="000000"/>
              </w:rPr>
            </w:pPr>
          </w:p>
        </w:tc>
      </w:tr>
      <w:tr w14:paraId="02A81ABB" w14:textId="57B673B4" w:rsidTr="006841C0">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25B27D47" w14:textId="77777777">
            <w:pPr>
              <w:keepNext/>
              <w:rPr>
                <w:color w:val="000000"/>
              </w:rPr>
            </w:pPr>
            <w:r w:rsidRPr="006841C0">
              <w:rPr>
                <w:color w:val="000000"/>
              </w:rPr>
              <w:t> </w:t>
            </w:r>
          </w:p>
        </w:tc>
        <w:tc>
          <w:tcPr>
            <w:tcW w:w="804" w:type="dxa"/>
            <w:tcBorders>
              <w:top w:val="nil"/>
              <w:left w:val="nil"/>
              <w:bottom w:val="single" w:sz="8" w:space="0" w:color="auto"/>
              <w:right w:val="single" w:sz="8" w:space="0" w:color="auto"/>
            </w:tcBorders>
            <w:vAlign w:val="center"/>
            <w:hideMark/>
          </w:tcPr>
          <w:p w:rsidR="006841C0" w:rsidRPr="006841C0" w:rsidP="006841C0" w14:paraId="4B7CC8BC" w14:textId="77777777">
            <w:pPr>
              <w:keepNext/>
              <w:rPr>
                <w:color w:val="000000"/>
              </w:rPr>
            </w:pPr>
            <w:r w:rsidRPr="006841C0">
              <w:rPr>
                <w:color w:val="000000"/>
              </w:rPr>
              <w:t> </w:t>
            </w:r>
          </w:p>
        </w:tc>
        <w:tc>
          <w:tcPr>
            <w:tcW w:w="3141" w:type="dxa"/>
            <w:tcBorders>
              <w:top w:val="nil"/>
              <w:left w:val="nil"/>
              <w:bottom w:val="single" w:sz="8" w:space="0" w:color="auto"/>
              <w:right w:val="single" w:sz="8" w:space="0" w:color="auto"/>
            </w:tcBorders>
            <w:vAlign w:val="center"/>
            <w:hideMark/>
          </w:tcPr>
          <w:p w:rsidR="006841C0" w:rsidRPr="006841C0" w:rsidP="006841C0" w14:paraId="0D2DBA21" w14:textId="29A703EE">
            <w:pPr>
              <w:keepNext/>
              <w:rPr>
                <w:color w:val="000000"/>
              </w:rPr>
            </w:pPr>
            <w:r w:rsidRPr="006841C0">
              <w:rPr>
                <w:color w:val="000000"/>
              </w:rPr>
              <w:t>GS-1</w:t>
            </w:r>
            <w:r>
              <w:rPr>
                <w:color w:val="000000"/>
              </w:rPr>
              <w:t>3</w:t>
            </w:r>
            <w:r w:rsidRPr="006841C0">
              <w:rPr>
                <w:color w:val="000000"/>
              </w:rPr>
              <w:t xml:space="preserve"> Statistician (30%)</w:t>
            </w:r>
          </w:p>
        </w:tc>
        <w:tc>
          <w:tcPr>
            <w:tcW w:w="1533" w:type="dxa"/>
            <w:tcBorders>
              <w:top w:val="nil"/>
              <w:left w:val="nil"/>
              <w:bottom w:val="single" w:sz="8" w:space="0" w:color="auto"/>
              <w:right w:val="single" w:sz="8" w:space="0" w:color="auto"/>
            </w:tcBorders>
            <w:vAlign w:val="center"/>
          </w:tcPr>
          <w:p w:rsidR="006841C0" w:rsidRPr="006841C0" w:rsidP="006841C0" w14:paraId="2E4A31B2" w14:textId="63BA3D9C">
            <w:pPr>
              <w:keepNext/>
              <w:jc w:val="center"/>
              <w:rPr>
                <w:color w:val="000000"/>
              </w:rPr>
            </w:pPr>
            <w:r w:rsidRPr="006841C0">
              <w:rPr>
                <w:color w:val="000000"/>
              </w:rPr>
              <w:t>$</w:t>
            </w:r>
            <w:r w:rsidR="007B158A">
              <w:rPr>
                <w:color w:val="000000"/>
              </w:rPr>
              <w:t>36,536</w:t>
            </w:r>
          </w:p>
        </w:tc>
        <w:tc>
          <w:tcPr>
            <w:tcW w:w="1533" w:type="dxa"/>
            <w:tcBorders>
              <w:top w:val="nil"/>
              <w:left w:val="nil"/>
              <w:bottom w:val="single" w:sz="8" w:space="0" w:color="auto"/>
              <w:right w:val="single" w:sz="8" w:space="0" w:color="auto"/>
            </w:tcBorders>
            <w:vAlign w:val="center"/>
          </w:tcPr>
          <w:p w:rsidR="006841C0" w:rsidRPr="006841C0" w:rsidP="006841C0" w14:paraId="6F614BDC" w14:textId="48C832DD">
            <w:pPr>
              <w:keepNext/>
              <w:jc w:val="center"/>
              <w:rPr>
                <w:color w:val="000000"/>
              </w:rPr>
            </w:pPr>
            <w:r w:rsidRPr="006841C0">
              <w:rPr>
                <w:rFonts w:eastAsiaTheme="minorEastAsia"/>
                <w:color w:val="000000"/>
              </w:rPr>
              <w:t>$</w:t>
            </w:r>
            <w:r w:rsidR="007B158A">
              <w:rPr>
                <w:rFonts w:eastAsiaTheme="minorEastAsia"/>
                <w:color w:val="000000"/>
              </w:rPr>
              <w:t>36,901</w:t>
            </w:r>
          </w:p>
        </w:tc>
        <w:tc>
          <w:tcPr>
            <w:tcW w:w="1527" w:type="dxa"/>
            <w:tcBorders>
              <w:top w:val="nil"/>
              <w:left w:val="nil"/>
              <w:bottom w:val="single" w:sz="8" w:space="0" w:color="auto"/>
              <w:right w:val="single" w:sz="8" w:space="0" w:color="auto"/>
            </w:tcBorders>
          </w:tcPr>
          <w:p w:rsidR="006841C0" w:rsidRPr="006841C0" w:rsidP="006841C0" w14:paraId="0D81AF83" w14:textId="696813FA">
            <w:pPr>
              <w:keepNext/>
              <w:jc w:val="center"/>
              <w:rPr>
                <w:rFonts w:eastAsiaTheme="minorEastAsia"/>
                <w:color w:val="000000"/>
              </w:rPr>
            </w:pPr>
            <w:r w:rsidRPr="006841C0">
              <w:rPr>
                <w:rFonts w:eastAsiaTheme="minorEastAsia"/>
                <w:color w:val="000000"/>
              </w:rPr>
              <w:t>$</w:t>
            </w:r>
            <w:r>
              <w:rPr>
                <w:rFonts w:eastAsiaTheme="minorEastAsia"/>
                <w:color w:val="000000"/>
              </w:rPr>
              <w:t>37,270</w:t>
            </w:r>
          </w:p>
        </w:tc>
      </w:tr>
      <w:tr w14:paraId="11FC3548" w14:textId="657D5056" w:rsidTr="007B158A">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35DF11B1" w14:textId="77777777">
            <w:pPr>
              <w:keepNext/>
              <w:rPr>
                <w:color w:val="000000"/>
              </w:rPr>
            </w:pPr>
            <w:r w:rsidRPr="006841C0">
              <w:rPr>
                <w:color w:val="000000"/>
              </w:rPr>
              <w:t> </w:t>
            </w:r>
          </w:p>
        </w:tc>
        <w:tc>
          <w:tcPr>
            <w:tcW w:w="804" w:type="dxa"/>
            <w:tcBorders>
              <w:top w:val="nil"/>
              <w:left w:val="nil"/>
              <w:bottom w:val="single" w:sz="8" w:space="0" w:color="auto"/>
              <w:right w:val="single" w:sz="8" w:space="0" w:color="auto"/>
            </w:tcBorders>
            <w:vAlign w:val="center"/>
            <w:hideMark/>
          </w:tcPr>
          <w:p w:rsidR="006841C0" w:rsidRPr="006841C0" w:rsidP="006841C0" w14:paraId="49B680C7" w14:textId="77777777">
            <w:pPr>
              <w:keepNext/>
              <w:rPr>
                <w:color w:val="000000"/>
              </w:rPr>
            </w:pPr>
            <w:r w:rsidRPr="006841C0">
              <w:rPr>
                <w:color w:val="000000"/>
              </w:rPr>
              <w:t> </w:t>
            </w:r>
          </w:p>
        </w:tc>
        <w:tc>
          <w:tcPr>
            <w:tcW w:w="3141" w:type="dxa"/>
            <w:tcBorders>
              <w:top w:val="nil"/>
              <w:left w:val="nil"/>
              <w:bottom w:val="single" w:sz="8" w:space="0" w:color="auto"/>
              <w:right w:val="single" w:sz="8" w:space="0" w:color="auto"/>
            </w:tcBorders>
            <w:vAlign w:val="center"/>
            <w:hideMark/>
          </w:tcPr>
          <w:p w:rsidR="006841C0" w:rsidRPr="006841C0" w:rsidP="006841C0" w14:paraId="79772516" w14:textId="77777777">
            <w:pPr>
              <w:keepNext/>
              <w:rPr>
                <w:color w:val="000000"/>
              </w:rPr>
            </w:pPr>
            <w:r w:rsidRPr="006841C0">
              <w:rPr>
                <w:color w:val="000000"/>
              </w:rPr>
              <w:t>GS-15 Supervisory Statistician (5%)</w:t>
            </w:r>
          </w:p>
        </w:tc>
        <w:tc>
          <w:tcPr>
            <w:tcW w:w="1533" w:type="dxa"/>
            <w:tcBorders>
              <w:top w:val="nil"/>
              <w:left w:val="nil"/>
              <w:bottom w:val="single" w:sz="8" w:space="0" w:color="auto"/>
              <w:right w:val="single" w:sz="8" w:space="0" w:color="auto"/>
            </w:tcBorders>
            <w:vAlign w:val="center"/>
          </w:tcPr>
          <w:p w:rsidR="006841C0" w:rsidRPr="006841C0" w:rsidP="006841C0" w14:paraId="6AD6B22E" w14:textId="5AA36318">
            <w:pPr>
              <w:keepNext/>
              <w:jc w:val="center"/>
              <w:rPr>
                <w:color w:val="000000"/>
              </w:rPr>
            </w:pPr>
            <w:r w:rsidRPr="006841C0">
              <w:rPr>
                <w:color w:val="000000"/>
              </w:rPr>
              <w:t>$</w:t>
            </w:r>
            <w:r w:rsidR="007B158A">
              <w:rPr>
                <w:color w:val="000000"/>
              </w:rPr>
              <w:t>8,464</w:t>
            </w:r>
          </w:p>
        </w:tc>
        <w:tc>
          <w:tcPr>
            <w:tcW w:w="1533" w:type="dxa"/>
            <w:tcBorders>
              <w:top w:val="nil"/>
              <w:left w:val="nil"/>
              <w:bottom w:val="single" w:sz="8" w:space="0" w:color="auto"/>
              <w:right w:val="single" w:sz="8" w:space="0" w:color="auto"/>
            </w:tcBorders>
            <w:vAlign w:val="center"/>
          </w:tcPr>
          <w:p w:rsidR="006841C0" w:rsidRPr="006841C0" w:rsidP="006841C0" w14:paraId="497E6BD9" w14:textId="78536BB3">
            <w:pPr>
              <w:keepNext/>
              <w:jc w:val="center"/>
              <w:rPr>
                <w:color w:val="000000"/>
              </w:rPr>
            </w:pPr>
            <w:r w:rsidRPr="006841C0">
              <w:rPr>
                <w:rFonts w:eastAsiaTheme="minorEastAsia"/>
                <w:color w:val="000000"/>
              </w:rPr>
              <w:t>$</w:t>
            </w:r>
            <w:r w:rsidR="007B158A">
              <w:rPr>
                <w:rFonts w:eastAsiaTheme="minorEastAsia"/>
                <w:color w:val="000000"/>
              </w:rPr>
              <w:t>8,549</w:t>
            </w:r>
          </w:p>
        </w:tc>
        <w:tc>
          <w:tcPr>
            <w:tcW w:w="1527" w:type="dxa"/>
            <w:tcBorders>
              <w:top w:val="nil"/>
              <w:left w:val="nil"/>
              <w:bottom w:val="single" w:sz="8" w:space="0" w:color="auto"/>
              <w:right w:val="single" w:sz="8" w:space="0" w:color="auto"/>
            </w:tcBorders>
            <w:vAlign w:val="center"/>
          </w:tcPr>
          <w:p w:rsidR="006841C0" w:rsidRPr="006841C0" w:rsidP="006841C0" w14:paraId="137FE2AA" w14:textId="4AEBA952">
            <w:pPr>
              <w:keepNext/>
              <w:jc w:val="center"/>
              <w:rPr>
                <w:rFonts w:eastAsiaTheme="minorEastAsia"/>
                <w:color w:val="000000"/>
              </w:rPr>
            </w:pPr>
            <w:r>
              <w:rPr>
                <w:rFonts w:eastAsiaTheme="minorEastAsia"/>
                <w:color w:val="000000"/>
              </w:rPr>
              <w:t>$8,634</w:t>
            </w:r>
          </w:p>
        </w:tc>
      </w:tr>
      <w:tr w14:paraId="20D8BCBF" w14:textId="2C274B0E" w:rsidTr="006841C0">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1394CFA5" w14:textId="77777777">
            <w:pPr>
              <w:keepNext/>
              <w:rPr>
                <w:color w:val="000000"/>
              </w:rPr>
            </w:pPr>
            <w:r w:rsidRPr="006841C0">
              <w:rPr>
                <w:color w:val="000000"/>
              </w:rPr>
              <w:t> </w:t>
            </w:r>
          </w:p>
        </w:tc>
        <w:tc>
          <w:tcPr>
            <w:tcW w:w="804" w:type="dxa"/>
            <w:tcBorders>
              <w:top w:val="nil"/>
              <w:left w:val="nil"/>
              <w:bottom w:val="single" w:sz="8" w:space="0" w:color="auto"/>
              <w:right w:val="single" w:sz="8" w:space="0" w:color="auto"/>
            </w:tcBorders>
            <w:vAlign w:val="center"/>
            <w:hideMark/>
          </w:tcPr>
          <w:p w:rsidR="006841C0" w:rsidRPr="006841C0" w:rsidP="006841C0" w14:paraId="4EEEA12A" w14:textId="77777777">
            <w:pPr>
              <w:keepNext/>
              <w:rPr>
                <w:color w:val="000000"/>
              </w:rPr>
            </w:pPr>
            <w:r w:rsidRPr="006841C0">
              <w:rPr>
                <w:color w:val="000000"/>
              </w:rPr>
              <w:t> </w:t>
            </w:r>
          </w:p>
        </w:tc>
        <w:tc>
          <w:tcPr>
            <w:tcW w:w="3141" w:type="dxa"/>
            <w:tcBorders>
              <w:top w:val="nil"/>
              <w:left w:val="nil"/>
              <w:bottom w:val="single" w:sz="8" w:space="0" w:color="auto"/>
              <w:right w:val="single" w:sz="8" w:space="0" w:color="auto"/>
            </w:tcBorders>
            <w:vAlign w:val="center"/>
            <w:hideMark/>
          </w:tcPr>
          <w:p w:rsidR="006841C0" w:rsidRPr="006841C0" w:rsidP="006841C0" w14:paraId="33A9B940" w14:textId="77777777">
            <w:pPr>
              <w:keepNext/>
              <w:rPr>
                <w:color w:val="000000"/>
              </w:rPr>
            </w:pPr>
            <w:r w:rsidRPr="006841C0">
              <w:rPr>
                <w:color w:val="000000"/>
              </w:rPr>
              <w:t>GS-14 Lead Editor (5%)</w:t>
            </w:r>
          </w:p>
        </w:tc>
        <w:tc>
          <w:tcPr>
            <w:tcW w:w="1533" w:type="dxa"/>
            <w:tcBorders>
              <w:top w:val="nil"/>
              <w:left w:val="nil"/>
              <w:bottom w:val="single" w:sz="8" w:space="0" w:color="auto"/>
              <w:right w:val="single" w:sz="8" w:space="0" w:color="auto"/>
            </w:tcBorders>
            <w:vAlign w:val="center"/>
          </w:tcPr>
          <w:p w:rsidR="006841C0" w:rsidRPr="006841C0" w:rsidP="006841C0" w14:paraId="1134A2CC" w14:textId="4304CD00">
            <w:pPr>
              <w:keepNext/>
              <w:jc w:val="center"/>
              <w:rPr>
                <w:color w:val="000000"/>
              </w:rPr>
            </w:pPr>
            <w:r w:rsidRPr="1A2DB426">
              <w:rPr>
                <w:color w:val="000000" w:themeColor="text1"/>
              </w:rPr>
              <w:t>$0</w:t>
            </w:r>
          </w:p>
        </w:tc>
        <w:tc>
          <w:tcPr>
            <w:tcW w:w="1533" w:type="dxa"/>
            <w:tcBorders>
              <w:top w:val="nil"/>
              <w:left w:val="nil"/>
              <w:bottom w:val="single" w:sz="8" w:space="0" w:color="auto"/>
              <w:right w:val="single" w:sz="8" w:space="0" w:color="auto"/>
            </w:tcBorders>
            <w:vAlign w:val="center"/>
          </w:tcPr>
          <w:p w:rsidR="006841C0" w:rsidRPr="006841C0" w:rsidP="006841C0" w14:paraId="2B5617B8" w14:textId="07813E60">
            <w:pPr>
              <w:keepNext/>
              <w:jc w:val="center"/>
              <w:rPr>
                <w:color w:val="000000"/>
              </w:rPr>
            </w:pPr>
            <w:r w:rsidRPr="1A2DB426">
              <w:rPr>
                <w:color w:val="000000" w:themeColor="text1"/>
              </w:rPr>
              <w:t>$0</w:t>
            </w:r>
          </w:p>
        </w:tc>
        <w:tc>
          <w:tcPr>
            <w:tcW w:w="1527" w:type="dxa"/>
            <w:tcBorders>
              <w:top w:val="nil"/>
              <w:left w:val="nil"/>
              <w:bottom w:val="single" w:sz="8" w:space="0" w:color="auto"/>
              <w:right w:val="single" w:sz="8" w:space="0" w:color="auto"/>
            </w:tcBorders>
          </w:tcPr>
          <w:p w:rsidR="006841C0" w:rsidRPr="006841C0" w:rsidP="006841C0" w14:paraId="7A7733DF" w14:textId="382CE684">
            <w:pPr>
              <w:keepNext/>
              <w:jc w:val="center"/>
              <w:rPr>
                <w:rFonts w:eastAsiaTheme="minorEastAsia"/>
                <w:color w:val="000000"/>
              </w:rPr>
            </w:pPr>
            <w:r>
              <w:rPr>
                <w:rFonts w:eastAsiaTheme="minorEastAsia"/>
                <w:color w:val="000000"/>
              </w:rPr>
              <w:t>$7,340</w:t>
            </w:r>
          </w:p>
        </w:tc>
      </w:tr>
      <w:tr w14:paraId="035221CA" w14:textId="4A0DDF68" w:rsidTr="006841C0">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35CDA921" w14:textId="77777777">
            <w:pPr>
              <w:keepNext/>
              <w:rPr>
                <w:color w:val="000000"/>
              </w:rPr>
            </w:pPr>
            <w:r w:rsidRPr="006841C0">
              <w:rPr>
                <w:color w:val="000000"/>
              </w:rPr>
              <w:t> </w:t>
            </w:r>
          </w:p>
        </w:tc>
        <w:tc>
          <w:tcPr>
            <w:tcW w:w="804" w:type="dxa"/>
            <w:tcBorders>
              <w:top w:val="nil"/>
              <w:left w:val="nil"/>
              <w:bottom w:val="single" w:sz="8" w:space="0" w:color="auto"/>
              <w:right w:val="single" w:sz="8" w:space="0" w:color="auto"/>
            </w:tcBorders>
            <w:vAlign w:val="center"/>
            <w:hideMark/>
          </w:tcPr>
          <w:p w:rsidR="006841C0" w:rsidRPr="006841C0" w:rsidP="006841C0" w14:paraId="2DDE243E" w14:textId="77777777">
            <w:pPr>
              <w:keepNext/>
              <w:rPr>
                <w:color w:val="000000"/>
              </w:rPr>
            </w:pPr>
            <w:r w:rsidRPr="006841C0">
              <w:rPr>
                <w:color w:val="000000"/>
              </w:rPr>
              <w:t> </w:t>
            </w:r>
          </w:p>
        </w:tc>
        <w:tc>
          <w:tcPr>
            <w:tcW w:w="3141" w:type="dxa"/>
            <w:tcBorders>
              <w:top w:val="nil"/>
              <w:left w:val="nil"/>
              <w:bottom w:val="single" w:sz="8" w:space="0" w:color="auto"/>
              <w:right w:val="single" w:sz="8" w:space="0" w:color="auto"/>
            </w:tcBorders>
            <w:vAlign w:val="center"/>
            <w:hideMark/>
          </w:tcPr>
          <w:p w:rsidR="006841C0" w:rsidRPr="006841C0" w:rsidP="006841C0" w14:paraId="3E211C6A" w14:textId="77777777">
            <w:pPr>
              <w:keepNext/>
              <w:rPr>
                <w:color w:val="000000"/>
              </w:rPr>
            </w:pPr>
            <w:r w:rsidRPr="006841C0">
              <w:rPr>
                <w:color w:val="000000"/>
              </w:rPr>
              <w:t>Contract Writer/Editor (3%)</w:t>
            </w:r>
          </w:p>
        </w:tc>
        <w:tc>
          <w:tcPr>
            <w:tcW w:w="1533" w:type="dxa"/>
            <w:tcBorders>
              <w:top w:val="nil"/>
              <w:left w:val="nil"/>
              <w:bottom w:val="single" w:sz="8" w:space="0" w:color="auto"/>
              <w:right w:val="single" w:sz="8" w:space="0" w:color="auto"/>
            </w:tcBorders>
            <w:vAlign w:val="center"/>
          </w:tcPr>
          <w:p w:rsidR="006841C0" w:rsidRPr="006841C0" w:rsidP="006841C0" w14:paraId="174BE9B3" w14:textId="0B3591B5">
            <w:pPr>
              <w:keepNext/>
              <w:jc w:val="center"/>
              <w:rPr>
                <w:color w:val="000000"/>
              </w:rPr>
            </w:pPr>
            <w:r>
              <w:rPr>
                <w:color w:val="000000"/>
              </w:rPr>
              <w:t>$0</w:t>
            </w:r>
          </w:p>
        </w:tc>
        <w:tc>
          <w:tcPr>
            <w:tcW w:w="1533" w:type="dxa"/>
            <w:tcBorders>
              <w:top w:val="nil"/>
              <w:left w:val="nil"/>
              <w:bottom w:val="single" w:sz="8" w:space="0" w:color="auto"/>
              <w:right w:val="single" w:sz="8" w:space="0" w:color="auto"/>
            </w:tcBorders>
            <w:vAlign w:val="center"/>
          </w:tcPr>
          <w:p w:rsidR="006841C0" w:rsidRPr="006841C0" w:rsidP="006841C0" w14:paraId="56512DAD" w14:textId="68C796F1">
            <w:pPr>
              <w:keepNext/>
              <w:jc w:val="center"/>
              <w:rPr>
                <w:color w:val="000000"/>
              </w:rPr>
            </w:pPr>
            <w:r>
              <w:rPr>
                <w:color w:val="000000"/>
              </w:rPr>
              <w:t>$0</w:t>
            </w:r>
          </w:p>
        </w:tc>
        <w:tc>
          <w:tcPr>
            <w:tcW w:w="1527" w:type="dxa"/>
            <w:tcBorders>
              <w:top w:val="nil"/>
              <w:left w:val="nil"/>
              <w:bottom w:val="single" w:sz="8" w:space="0" w:color="auto"/>
              <w:right w:val="single" w:sz="8" w:space="0" w:color="auto"/>
            </w:tcBorders>
          </w:tcPr>
          <w:p w:rsidR="006841C0" w:rsidRPr="006841C0" w:rsidP="006841C0" w14:paraId="11407A1E" w14:textId="128A8256">
            <w:pPr>
              <w:keepNext/>
              <w:jc w:val="center"/>
              <w:rPr>
                <w:rFonts w:eastAsiaTheme="minorEastAsia"/>
                <w:color w:val="000000"/>
              </w:rPr>
            </w:pPr>
            <w:r>
              <w:rPr>
                <w:rFonts w:eastAsiaTheme="minorEastAsia"/>
                <w:color w:val="000000"/>
              </w:rPr>
              <w:t>$3,727</w:t>
            </w:r>
          </w:p>
        </w:tc>
      </w:tr>
      <w:tr w14:paraId="74D91104" w14:textId="71998280" w:rsidTr="007B158A">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00E6F0FE" w14:textId="77777777">
            <w:pPr>
              <w:keepNext/>
              <w:rPr>
                <w:color w:val="000000"/>
              </w:rPr>
            </w:pPr>
            <w:r w:rsidRPr="006841C0">
              <w:rPr>
                <w:color w:val="000000"/>
              </w:rPr>
              <w:t> </w:t>
            </w:r>
          </w:p>
        </w:tc>
        <w:tc>
          <w:tcPr>
            <w:tcW w:w="804" w:type="dxa"/>
            <w:tcBorders>
              <w:top w:val="nil"/>
              <w:left w:val="nil"/>
              <w:bottom w:val="single" w:sz="8" w:space="0" w:color="auto"/>
              <w:right w:val="single" w:sz="8" w:space="0" w:color="auto"/>
            </w:tcBorders>
            <w:vAlign w:val="center"/>
            <w:hideMark/>
          </w:tcPr>
          <w:p w:rsidR="006841C0" w:rsidRPr="006841C0" w:rsidP="006841C0" w14:paraId="36B7F301" w14:textId="77777777">
            <w:pPr>
              <w:keepNext/>
              <w:rPr>
                <w:color w:val="000000"/>
              </w:rPr>
            </w:pPr>
            <w:r w:rsidRPr="006841C0">
              <w:rPr>
                <w:color w:val="000000"/>
              </w:rPr>
              <w:t> </w:t>
            </w:r>
          </w:p>
        </w:tc>
        <w:tc>
          <w:tcPr>
            <w:tcW w:w="3141" w:type="dxa"/>
            <w:tcBorders>
              <w:top w:val="nil"/>
              <w:left w:val="nil"/>
              <w:bottom w:val="single" w:sz="8" w:space="0" w:color="auto"/>
              <w:right w:val="single" w:sz="8" w:space="0" w:color="auto"/>
            </w:tcBorders>
            <w:vAlign w:val="center"/>
            <w:hideMark/>
          </w:tcPr>
          <w:p w:rsidR="006841C0" w:rsidRPr="006841C0" w:rsidP="006841C0" w14:paraId="49F236B6" w14:textId="77777777">
            <w:pPr>
              <w:keepNext/>
              <w:rPr>
                <w:color w:val="000000"/>
              </w:rPr>
            </w:pPr>
            <w:r w:rsidRPr="006841C0">
              <w:rPr>
                <w:color w:val="000000"/>
              </w:rPr>
              <w:t>GS-15/SES/SL BJS Leadership (3%)</w:t>
            </w:r>
          </w:p>
        </w:tc>
        <w:tc>
          <w:tcPr>
            <w:tcW w:w="1533" w:type="dxa"/>
            <w:tcBorders>
              <w:top w:val="nil"/>
              <w:left w:val="nil"/>
              <w:bottom w:val="single" w:sz="8" w:space="0" w:color="auto"/>
              <w:right w:val="single" w:sz="8" w:space="0" w:color="auto"/>
            </w:tcBorders>
            <w:vAlign w:val="center"/>
          </w:tcPr>
          <w:p w:rsidR="006841C0" w:rsidRPr="006841C0" w:rsidP="006841C0" w14:paraId="6C29CA8B" w14:textId="09F0A270">
            <w:pPr>
              <w:keepNext/>
              <w:jc w:val="center"/>
              <w:rPr>
                <w:color w:val="000000"/>
              </w:rPr>
            </w:pPr>
            <w:r>
              <w:rPr>
                <w:color w:val="000000"/>
              </w:rPr>
              <w:t>$</w:t>
            </w:r>
            <w:r w:rsidR="007B158A">
              <w:rPr>
                <w:color w:val="000000"/>
              </w:rPr>
              <w:t>5,756</w:t>
            </w:r>
          </w:p>
        </w:tc>
        <w:tc>
          <w:tcPr>
            <w:tcW w:w="1533" w:type="dxa"/>
            <w:tcBorders>
              <w:top w:val="nil"/>
              <w:left w:val="nil"/>
              <w:bottom w:val="single" w:sz="8" w:space="0" w:color="auto"/>
              <w:right w:val="single" w:sz="8" w:space="0" w:color="auto"/>
            </w:tcBorders>
            <w:vAlign w:val="center"/>
          </w:tcPr>
          <w:p w:rsidR="006841C0" w:rsidRPr="006841C0" w:rsidP="006841C0" w14:paraId="1A4C1BF4" w14:textId="6D47BDCD">
            <w:pPr>
              <w:keepNext/>
              <w:jc w:val="center"/>
              <w:rPr>
                <w:color w:val="000000"/>
              </w:rPr>
            </w:pPr>
            <w:r>
              <w:rPr>
                <w:color w:val="000000"/>
              </w:rPr>
              <w:t>$</w:t>
            </w:r>
            <w:r w:rsidR="007B158A">
              <w:rPr>
                <w:color w:val="000000"/>
              </w:rPr>
              <w:t>5,813</w:t>
            </w:r>
          </w:p>
        </w:tc>
        <w:tc>
          <w:tcPr>
            <w:tcW w:w="1527" w:type="dxa"/>
            <w:tcBorders>
              <w:top w:val="nil"/>
              <w:left w:val="nil"/>
              <w:bottom w:val="single" w:sz="8" w:space="0" w:color="auto"/>
              <w:right w:val="single" w:sz="8" w:space="0" w:color="auto"/>
            </w:tcBorders>
            <w:vAlign w:val="center"/>
          </w:tcPr>
          <w:p w:rsidR="006841C0" w:rsidRPr="006841C0" w:rsidP="006841C0" w14:paraId="29304BC8" w14:textId="73B12BCD">
            <w:pPr>
              <w:keepNext/>
              <w:jc w:val="center"/>
              <w:rPr>
                <w:rFonts w:eastAsiaTheme="minorEastAsia"/>
                <w:color w:val="000000"/>
              </w:rPr>
            </w:pPr>
            <w:r>
              <w:rPr>
                <w:rFonts w:eastAsiaTheme="minorEastAsia"/>
                <w:color w:val="000000"/>
              </w:rPr>
              <w:t>$5,871</w:t>
            </w:r>
          </w:p>
        </w:tc>
      </w:tr>
      <w:tr w14:paraId="62210797" w14:textId="3CD8050F" w:rsidTr="006841C0">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466EBB31" w14:textId="77777777">
            <w:pPr>
              <w:keepNext/>
              <w:rPr>
                <w:color w:val="000000"/>
              </w:rPr>
            </w:pPr>
            <w:r w:rsidRPr="006841C0">
              <w:rPr>
                <w:color w:val="000000"/>
              </w:rPr>
              <w:t> </w:t>
            </w:r>
          </w:p>
        </w:tc>
        <w:tc>
          <w:tcPr>
            <w:tcW w:w="804" w:type="dxa"/>
            <w:tcBorders>
              <w:top w:val="nil"/>
              <w:left w:val="nil"/>
              <w:bottom w:val="single" w:sz="8" w:space="0" w:color="auto"/>
              <w:right w:val="single" w:sz="8" w:space="0" w:color="auto"/>
            </w:tcBorders>
            <w:vAlign w:val="center"/>
            <w:hideMark/>
          </w:tcPr>
          <w:p w:rsidR="006841C0" w:rsidRPr="006841C0" w:rsidP="006841C0" w14:paraId="211020A4" w14:textId="77777777">
            <w:pPr>
              <w:keepNext/>
              <w:rPr>
                <w:color w:val="000000"/>
              </w:rPr>
            </w:pPr>
            <w:r w:rsidRPr="006841C0">
              <w:rPr>
                <w:color w:val="000000"/>
              </w:rPr>
              <w:t> </w:t>
            </w:r>
          </w:p>
        </w:tc>
        <w:tc>
          <w:tcPr>
            <w:tcW w:w="3141" w:type="dxa"/>
            <w:tcBorders>
              <w:top w:val="nil"/>
              <w:left w:val="nil"/>
              <w:bottom w:val="single" w:sz="8" w:space="0" w:color="auto"/>
              <w:right w:val="single" w:sz="8" w:space="0" w:color="auto"/>
            </w:tcBorders>
            <w:vAlign w:val="center"/>
            <w:hideMark/>
          </w:tcPr>
          <w:p w:rsidR="006841C0" w:rsidRPr="006841C0" w:rsidP="006841C0" w14:paraId="02C10541" w14:textId="77777777">
            <w:pPr>
              <w:keepNext/>
              <w:rPr>
                <w:color w:val="000000"/>
              </w:rPr>
            </w:pPr>
            <w:r w:rsidRPr="006841C0">
              <w:rPr>
                <w:color w:val="000000"/>
              </w:rPr>
              <w:t>Subtotal salaries</w:t>
            </w:r>
          </w:p>
        </w:tc>
        <w:tc>
          <w:tcPr>
            <w:tcW w:w="1533" w:type="dxa"/>
            <w:tcBorders>
              <w:top w:val="nil"/>
              <w:left w:val="nil"/>
              <w:bottom w:val="single" w:sz="8" w:space="0" w:color="auto"/>
              <w:right w:val="single" w:sz="8" w:space="0" w:color="auto"/>
            </w:tcBorders>
          </w:tcPr>
          <w:p w:rsidR="006841C0" w:rsidRPr="006841C0" w:rsidP="006841C0" w14:paraId="41F341A4" w14:textId="674EBAD7">
            <w:pPr>
              <w:keepNext/>
              <w:jc w:val="center"/>
              <w:rPr>
                <w:b/>
                <w:bCs/>
                <w:color w:val="000000"/>
              </w:rPr>
            </w:pPr>
            <w:r w:rsidRPr="006841C0">
              <w:rPr>
                <w:rFonts w:eastAsiaTheme="minorEastAsia"/>
              </w:rPr>
              <w:t>$</w:t>
            </w:r>
            <w:r w:rsidR="007B158A">
              <w:rPr>
                <w:rFonts w:eastAsiaTheme="minorEastAsia"/>
              </w:rPr>
              <w:t>50,755</w:t>
            </w:r>
            <w:r w:rsidRPr="006841C0">
              <w:rPr>
                <w:rFonts w:eastAsiaTheme="minorEastAsia"/>
              </w:rPr>
              <w:t xml:space="preserve"> </w:t>
            </w:r>
          </w:p>
        </w:tc>
        <w:tc>
          <w:tcPr>
            <w:tcW w:w="1533" w:type="dxa"/>
            <w:tcBorders>
              <w:top w:val="nil"/>
              <w:left w:val="nil"/>
              <w:bottom w:val="single" w:sz="8" w:space="0" w:color="auto"/>
              <w:right w:val="single" w:sz="8" w:space="0" w:color="auto"/>
            </w:tcBorders>
          </w:tcPr>
          <w:p w:rsidR="006841C0" w:rsidRPr="006841C0" w:rsidP="006841C0" w14:paraId="2C29FECF" w14:textId="1B0F8ED8">
            <w:pPr>
              <w:keepNext/>
              <w:jc w:val="center"/>
              <w:rPr>
                <w:b/>
                <w:bCs/>
                <w:color w:val="000000"/>
              </w:rPr>
            </w:pPr>
            <w:r w:rsidRPr="006841C0">
              <w:rPr>
                <w:rFonts w:eastAsiaTheme="minorEastAsia"/>
              </w:rPr>
              <w:t>$</w:t>
            </w:r>
            <w:r w:rsidR="007B158A">
              <w:rPr>
                <w:rFonts w:eastAsiaTheme="minorEastAsia"/>
              </w:rPr>
              <w:t>51,262</w:t>
            </w:r>
            <w:r w:rsidRPr="006841C0">
              <w:rPr>
                <w:rFonts w:eastAsiaTheme="minorEastAsia"/>
              </w:rPr>
              <w:t xml:space="preserve"> </w:t>
            </w:r>
          </w:p>
        </w:tc>
        <w:tc>
          <w:tcPr>
            <w:tcW w:w="1527" w:type="dxa"/>
            <w:tcBorders>
              <w:top w:val="nil"/>
              <w:left w:val="nil"/>
              <w:bottom w:val="single" w:sz="8" w:space="0" w:color="auto"/>
              <w:right w:val="single" w:sz="8" w:space="0" w:color="auto"/>
            </w:tcBorders>
          </w:tcPr>
          <w:p w:rsidR="006841C0" w:rsidRPr="006841C0" w:rsidP="006841C0" w14:paraId="4646DC47" w14:textId="15CCBAB2">
            <w:pPr>
              <w:keepNext/>
              <w:jc w:val="center"/>
              <w:rPr>
                <w:rFonts w:eastAsiaTheme="minorEastAsia"/>
              </w:rPr>
            </w:pPr>
            <w:r>
              <w:rPr>
                <w:rFonts w:eastAsiaTheme="minorEastAsia"/>
              </w:rPr>
              <w:t>$62,842</w:t>
            </w:r>
          </w:p>
        </w:tc>
      </w:tr>
      <w:tr w14:paraId="1F0DE109" w14:textId="277D62BE" w:rsidTr="1C7AC397">
        <w:tblPrEx>
          <w:tblW w:w="9340" w:type="dxa"/>
          <w:tblLook w:val="04A0"/>
        </w:tblPrEx>
        <w:trPr>
          <w:trHeight w:val="33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282D1522" w14:textId="77777777">
            <w:pPr>
              <w:keepNext/>
              <w:rPr>
                <w:color w:val="000000"/>
              </w:rPr>
            </w:pPr>
            <w:r w:rsidRPr="006841C0">
              <w:rPr>
                <w:color w:val="000000"/>
              </w:rPr>
              <w:t> </w:t>
            </w:r>
          </w:p>
        </w:tc>
        <w:tc>
          <w:tcPr>
            <w:tcW w:w="3945" w:type="dxa"/>
            <w:gridSpan w:val="2"/>
            <w:tcBorders>
              <w:top w:val="single" w:sz="8" w:space="0" w:color="auto"/>
              <w:left w:val="nil"/>
              <w:bottom w:val="single" w:sz="8" w:space="0" w:color="auto"/>
              <w:right w:val="single" w:sz="8" w:space="0" w:color="000000" w:themeColor="text1"/>
            </w:tcBorders>
            <w:vAlign w:val="center"/>
            <w:hideMark/>
          </w:tcPr>
          <w:p w:rsidR="006841C0" w:rsidRPr="006841C0" w:rsidP="006841C0" w14:paraId="649074B1" w14:textId="77777777">
            <w:pPr>
              <w:keepNext/>
              <w:rPr>
                <w:color w:val="000000"/>
              </w:rPr>
            </w:pPr>
            <w:r w:rsidRPr="006841C0">
              <w:rPr>
                <w:color w:val="000000"/>
              </w:rPr>
              <w:t>Fringe benefits (30% of salaries)</w:t>
            </w:r>
          </w:p>
        </w:tc>
        <w:tc>
          <w:tcPr>
            <w:tcW w:w="1533" w:type="dxa"/>
            <w:tcBorders>
              <w:top w:val="nil"/>
              <w:left w:val="nil"/>
              <w:bottom w:val="single" w:sz="8" w:space="0" w:color="auto"/>
              <w:right w:val="single" w:sz="8" w:space="0" w:color="auto"/>
            </w:tcBorders>
          </w:tcPr>
          <w:p w:rsidR="006841C0" w:rsidRPr="006841C0" w:rsidP="006841C0" w14:paraId="14D9A51C" w14:textId="6C0AE1D0">
            <w:pPr>
              <w:keepNext/>
              <w:jc w:val="center"/>
              <w:rPr>
                <w:color w:val="000000"/>
              </w:rPr>
            </w:pPr>
            <w:r w:rsidRPr="006841C0">
              <w:rPr>
                <w:rFonts w:eastAsiaTheme="minorEastAsia"/>
              </w:rPr>
              <w:t>$</w:t>
            </w:r>
            <w:r w:rsidR="007B158A">
              <w:rPr>
                <w:rFonts w:eastAsiaTheme="minorEastAsia"/>
              </w:rPr>
              <w:t>15,226</w:t>
            </w:r>
            <w:r w:rsidRPr="006841C0">
              <w:rPr>
                <w:rFonts w:eastAsiaTheme="minorEastAsia"/>
              </w:rPr>
              <w:t xml:space="preserve"> </w:t>
            </w:r>
          </w:p>
        </w:tc>
        <w:tc>
          <w:tcPr>
            <w:tcW w:w="1533" w:type="dxa"/>
            <w:tcBorders>
              <w:top w:val="nil"/>
              <w:left w:val="nil"/>
              <w:bottom w:val="single" w:sz="8" w:space="0" w:color="auto"/>
              <w:right w:val="single" w:sz="8" w:space="0" w:color="auto"/>
            </w:tcBorders>
          </w:tcPr>
          <w:p w:rsidR="006841C0" w:rsidRPr="006841C0" w:rsidP="006841C0" w14:paraId="7C9FF1D8" w14:textId="0273F6BE">
            <w:pPr>
              <w:keepNext/>
              <w:jc w:val="center"/>
              <w:rPr>
                <w:color w:val="000000"/>
              </w:rPr>
            </w:pPr>
            <w:r w:rsidRPr="006841C0">
              <w:rPr>
                <w:rFonts w:eastAsiaTheme="minorEastAsia"/>
              </w:rPr>
              <w:t>$</w:t>
            </w:r>
            <w:r w:rsidR="007B158A">
              <w:rPr>
                <w:rFonts w:eastAsiaTheme="minorEastAsia"/>
              </w:rPr>
              <w:t>15,379</w:t>
            </w:r>
            <w:r w:rsidRPr="006841C0">
              <w:rPr>
                <w:rFonts w:eastAsiaTheme="minorEastAsia"/>
              </w:rPr>
              <w:t xml:space="preserve"> </w:t>
            </w:r>
          </w:p>
        </w:tc>
        <w:tc>
          <w:tcPr>
            <w:tcW w:w="1527" w:type="dxa"/>
            <w:tcBorders>
              <w:top w:val="nil"/>
              <w:left w:val="nil"/>
              <w:bottom w:val="single" w:sz="8" w:space="0" w:color="auto"/>
              <w:right w:val="single" w:sz="8" w:space="0" w:color="auto"/>
            </w:tcBorders>
          </w:tcPr>
          <w:p w:rsidR="006841C0" w:rsidRPr="006841C0" w:rsidP="006841C0" w14:paraId="1041C96D" w14:textId="3F0DC73F">
            <w:pPr>
              <w:keepNext/>
              <w:jc w:val="center"/>
              <w:rPr>
                <w:rFonts w:eastAsiaTheme="minorEastAsia"/>
              </w:rPr>
            </w:pPr>
            <w:r>
              <w:rPr>
                <w:rFonts w:eastAsiaTheme="minorEastAsia"/>
              </w:rPr>
              <w:t>$18,853</w:t>
            </w:r>
          </w:p>
        </w:tc>
      </w:tr>
      <w:tr w14:paraId="0F212DE6" w14:textId="46D90921" w:rsidTr="1C7AC397">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727EC998" w14:textId="77777777">
            <w:pPr>
              <w:keepNext/>
              <w:rPr>
                <w:color w:val="000000"/>
              </w:rPr>
            </w:pPr>
            <w:r w:rsidRPr="006841C0">
              <w:rPr>
                <w:color w:val="000000"/>
              </w:rPr>
              <w:t> </w:t>
            </w:r>
          </w:p>
        </w:tc>
        <w:tc>
          <w:tcPr>
            <w:tcW w:w="3945" w:type="dxa"/>
            <w:gridSpan w:val="2"/>
            <w:tcBorders>
              <w:top w:val="single" w:sz="8" w:space="0" w:color="auto"/>
              <w:left w:val="nil"/>
              <w:bottom w:val="single" w:sz="8" w:space="0" w:color="auto"/>
              <w:right w:val="single" w:sz="8" w:space="0" w:color="000000" w:themeColor="text1"/>
            </w:tcBorders>
            <w:vAlign w:val="center"/>
            <w:hideMark/>
          </w:tcPr>
          <w:p w:rsidR="006841C0" w:rsidRPr="006841C0" w:rsidP="006841C0" w14:paraId="0508B652" w14:textId="77777777">
            <w:pPr>
              <w:keepNext/>
              <w:rPr>
                <w:color w:val="000000"/>
              </w:rPr>
            </w:pPr>
            <w:r w:rsidRPr="006841C0">
              <w:rPr>
                <w:color w:val="000000"/>
              </w:rPr>
              <w:t>Subtotal: Salary &amp; fringe</w:t>
            </w:r>
          </w:p>
        </w:tc>
        <w:tc>
          <w:tcPr>
            <w:tcW w:w="1533" w:type="dxa"/>
            <w:tcBorders>
              <w:top w:val="nil"/>
              <w:left w:val="nil"/>
              <w:bottom w:val="single" w:sz="8" w:space="0" w:color="auto"/>
              <w:right w:val="single" w:sz="8" w:space="0" w:color="auto"/>
            </w:tcBorders>
          </w:tcPr>
          <w:p w:rsidR="006841C0" w:rsidRPr="006841C0" w:rsidP="006841C0" w14:paraId="3A47230F" w14:textId="40725CA7">
            <w:pPr>
              <w:keepNext/>
              <w:jc w:val="center"/>
              <w:rPr>
                <w:b/>
                <w:bCs/>
                <w:color w:val="000000"/>
              </w:rPr>
            </w:pPr>
            <w:r w:rsidRPr="006841C0">
              <w:rPr>
                <w:rFonts w:eastAsiaTheme="minorEastAsia"/>
              </w:rPr>
              <w:t>$</w:t>
            </w:r>
            <w:r w:rsidR="007B158A">
              <w:rPr>
                <w:rFonts w:eastAsiaTheme="minorEastAsia"/>
              </w:rPr>
              <w:t>65,981</w:t>
            </w:r>
            <w:r w:rsidRPr="006841C0">
              <w:rPr>
                <w:rFonts w:eastAsiaTheme="minorEastAsia"/>
              </w:rPr>
              <w:t xml:space="preserve"> </w:t>
            </w:r>
          </w:p>
        </w:tc>
        <w:tc>
          <w:tcPr>
            <w:tcW w:w="1533" w:type="dxa"/>
            <w:tcBorders>
              <w:top w:val="nil"/>
              <w:left w:val="nil"/>
              <w:bottom w:val="single" w:sz="8" w:space="0" w:color="auto"/>
              <w:right w:val="single" w:sz="8" w:space="0" w:color="auto"/>
            </w:tcBorders>
          </w:tcPr>
          <w:p w:rsidR="006841C0" w:rsidRPr="006841C0" w:rsidP="006841C0" w14:paraId="5618C3ED" w14:textId="4BCC214C">
            <w:pPr>
              <w:keepNext/>
              <w:jc w:val="center"/>
              <w:rPr>
                <w:b/>
                <w:bCs/>
                <w:color w:val="000000"/>
              </w:rPr>
            </w:pPr>
            <w:r w:rsidRPr="006841C0">
              <w:rPr>
                <w:rFonts w:eastAsiaTheme="minorEastAsia"/>
              </w:rPr>
              <w:t>$</w:t>
            </w:r>
            <w:r w:rsidR="007B158A">
              <w:rPr>
                <w:rFonts w:eastAsiaTheme="minorEastAsia"/>
              </w:rPr>
              <w:t>66,641</w:t>
            </w:r>
            <w:r w:rsidRPr="006841C0">
              <w:rPr>
                <w:rFonts w:eastAsiaTheme="minorEastAsia"/>
              </w:rPr>
              <w:t xml:space="preserve"> </w:t>
            </w:r>
          </w:p>
        </w:tc>
        <w:tc>
          <w:tcPr>
            <w:tcW w:w="1527" w:type="dxa"/>
            <w:tcBorders>
              <w:top w:val="nil"/>
              <w:left w:val="nil"/>
              <w:bottom w:val="single" w:sz="8" w:space="0" w:color="auto"/>
              <w:right w:val="single" w:sz="8" w:space="0" w:color="auto"/>
            </w:tcBorders>
          </w:tcPr>
          <w:p w:rsidR="006841C0" w:rsidRPr="006841C0" w:rsidP="006841C0" w14:paraId="0F40091D" w14:textId="203D519B">
            <w:pPr>
              <w:keepNext/>
              <w:jc w:val="center"/>
              <w:rPr>
                <w:rFonts w:eastAsiaTheme="minorEastAsia"/>
              </w:rPr>
            </w:pPr>
            <w:r>
              <w:rPr>
                <w:rFonts w:eastAsiaTheme="minorEastAsia"/>
              </w:rPr>
              <w:t>$81,695</w:t>
            </w:r>
          </w:p>
        </w:tc>
      </w:tr>
      <w:tr w14:paraId="179365BB" w14:textId="26AA5403" w:rsidTr="1C7AC397">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hideMark/>
          </w:tcPr>
          <w:p w:rsidR="006841C0" w:rsidRPr="006841C0" w:rsidP="006841C0" w14:paraId="06EA7905" w14:textId="77777777">
            <w:pPr>
              <w:keepNext/>
              <w:rPr>
                <w:color w:val="000000"/>
              </w:rPr>
            </w:pPr>
            <w:r w:rsidRPr="006841C0">
              <w:rPr>
                <w:color w:val="000000"/>
              </w:rPr>
              <w:t> </w:t>
            </w:r>
          </w:p>
        </w:tc>
        <w:tc>
          <w:tcPr>
            <w:tcW w:w="3945" w:type="dxa"/>
            <w:gridSpan w:val="2"/>
            <w:tcBorders>
              <w:top w:val="single" w:sz="8" w:space="0" w:color="auto"/>
              <w:left w:val="nil"/>
              <w:bottom w:val="single" w:sz="8" w:space="0" w:color="auto"/>
              <w:right w:val="single" w:sz="8" w:space="0" w:color="000000" w:themeColor="text1"/>
            </w:tcBorders>
            <w:vAlign w:val="center"/>
            <w:hideMark/>
          </w:tcPr>
          <w:p w:rsidR="006841C0" w:rsidRPr="006841C0" w:rsidP="006841C0" w14:paraId="6C316B96" w14:textId="77777777">
            <w:pPr>
              <w:keepNext/>
              <w:rPr>
                <w:color w:val="000000"/>
              </w:rPr>
            </w:pPr>
            <w:r w:rsidRPr="006841C0">
              <w:rPr>
                <w:color w:val="000000"/>
              </w:rPr>
              <w:t>Other administrative costs of salary &amp; fringe (15%)</w:t>
            </w:r>
          </w:p>
        </w:tc>
        <w:tc>
          <w:tcPr>
            <w:tcW w:w="1533" w:type="dxa"/>
            <w:tcBorders>
              <w:top w:val="nil"/>
              <w:left w:val="nil"/>
              <w:bottom w:val="single" w:sz="8" w:space="0" w:color="auto"/>
              <w:right w:val="single" w:sz="8" w:space="0" w:color="auto"/>
            </w:tcBorders>
            <w:vAlign w:val="center"/>
          </w:tcPr>
          <w:p w:rsidR="006841C0" w:rsidRPr="006841C0" w:rsidP="006841C0" w14:paraId="3EF9513A" w14:textId="0E702A2C">
            <w:pPr>
              <w:keepNext/>
              <w:jc w:val="center"/>
              <w:rPr>
                <w:color w:val="000000"/>
              </w:rPr>
            </w:pPr>
            <w:r w:rsidRPr="006841C0">
              <w:rPr>
                <w:rFonts w:eastAsiaTheme="minorEastAsia"/>
              </w:rPr>
              <w:t>$</w:t>
            </w:r>
            <w:r w:rsidR="007B158A">
              <w:rPr>
                <w:rFonts w:eastAsiaTheme="minorEastAsia"/>
              </w:rPr>
              <w:t>9,897</w:t>
            </w:r>
            <w:r w:rsidRPr="006841C0">
              <w:rPr>
                <w:rFonts w:eastAsiaTheme="minorEastAsia"/>
              </w:rPr>
              <w:t xml:space="preserve"> </w:t>
            </w:r>
          </w:p>
        </w:tc>
        <w:tc>
          <w:tcPr>
            <w:tcW w:w="1533" w:type="dxa"/>
            <w:tcBorders>
              <w:top w:val="nil"/>
              <w:left w:val="nil"/>
              <w:bottom w:val="single" w:sz="8" w:space="0" w:color="auto"/>
              <w:right w:val="single" w:sz="8" w:space="0" w:color="auto"/>
            </w:tcBorders>
            <w:vAlign w:val="center"/>
          </w:tcPr>
          <w:p w:rsidR="006841C0" w:rsidRPr="006841C0" w:rsidP="006841C0" w14:paraId="7DAE0219" w14:textId="0F769BC2">
            <w:pPr>
              <w:keepNext/>
              <w:jc w:val="center"/>
              <w:rPr>
                <w:color w:val="000000"/>
              </w:rPr>
            </w:pPr>
            <w:r w:rsidRPr="006841C0">
              <w:rPr>
                <w:rFonts w:eastAsiaTheme="minorEastAsia"/>
              </w:rPr>
              <w:t>$</w:t>
            </w:r>
            <w:r w:rsidR="007B158A">
              <w:rPr>
                <w:rFonts w:eastAsiaTheme="minorEastAsia"/>
              </w:rPr>
              <w:t>9,996</w:t>
            </w:r>
            <w:r w:rsidRPr="006841C0">
              <w:rPr>
                <w:rFonts w:eastAsiaTheme="minorEastAsia"/>
              </w:rPr>
              <w:t xml:space="preserve"> </w:t>
            </w:r>
          </w:p>
        </w:tc>
        <w:tc>
          <w:tcPr>
            <w:tcW w:w="1527" w:type="dxa"/>
            <w:tcBorders>
              <w:top w:val="nil"/>
              <w:left w:val="nil"/>
              <w:bottom w:val="single" w:sz="8" w:space="0" w:color="auto"/>
              <w:right w:val="single" w:sz="8" w:space="0" w:color="auto"/>
            </w:tcBorders>
            <w:vAlign w:val="center"/>
          </w:tcPr>
          <w:p w:rsidR="006841C0" w:rsidRPr="006841C0" w:rsidP="006841C0" w14:paraId="6F65AC96" w14:textId="39337A31">
            <w:pPr>
              <w:keepNext/>
              <w:jc w:val="center"/>
              <w:rPr>
                <w:rFonts w:eastAsiaTheme="minorEastAsia"/>
              </w:rPr>
            </w:pPr>
            <w:r>
              <w:rPr>
                <w:rFonts w:eastAsiaTheme="minorEastAsia"/>
              </w:rPr>
              <w:t>$12,254</w:t>
            </w:r>
          </w:p>
        </w:tc>
      </w:tr>
      <w:tr w14:paraId="339251BF" w14:textId="2A9AEADC" w:rsidTr="1C7AC397">
        <w:tblPrEx>
          <w:tblW w:w="9340" w:type="dxa"/>
          <w:tblLook w:val="04A0"/>
        </w:tblPrEx>
        <w:trPr>
          <w:trHeight w:val="300"/>
        </w:trPr>
        <w:tc>
          <w:tcPr>
            <w:tcW w:w="802" w:type="dxa"/>
            <w:tcBorders>
              <w:top w:val="nil"/>
              <w:left w:val="single" w:sz="8" w:space="0" w:color="auto"/>
              <w:bottom w:val="single" w:sz="8" w:space="0" w:color="auto"/>
              <w:right w:val="single" w:sz="8" w:space="0" w:color="auto"/>
            </w:tcBorders>
            <w:vAlign w:val="center"/>
          </w:tcPr>
          <w:p w:rsidR="006841C0" w:rsidRPr="006841C0" w:rsidP="006841C0" w14:paraId="0CB27919" w14:textId="77777777">
            <w:pPr>
              <w:keepNext/>
              <w:rPr>
                <w:color w:val="000000"/>
              </w:rPr>
            </w:pPr>
          </w:p>
        </w:tc>
        <w:tc>
          <w:tcPr>
            <w:tcW w:w="3945" w:type="dxa"/>
            <w:gridSpan w:val="2"/>
            <w:tcBorders>
              <w:top w:val="single" w:sz="8" w:space="0" w:color="auto"/>
              <w:left w:val="nil"/>
              <w:bottom w:val="single" w:sz="8" w:space="0" w:color="auto"/>
              <w:right w:val="single" w:sz="8" w:space="0" w:color="000000" w:themeColor="text1"/>
            </w:tcBorders>
            <w:vAlign w:val="center"/>
          </w:tcPr>
          <w:p w:rsidR="006841C0" w:rsidRPr="006841C0" w:rsidP="006841C0" w14:paraId="35DC7678" w14:textId="77777777">
            <w:pPr>
              <w:keepNext/>
              <w:rPr>
                <w:color w:val="000000"/>
              </w:rPr>
            </w:pPr>
            <w:r w:rsidRPr="006841C0">
              <w:rPr>
                <w:color w:val="000000"/>
              </w:rPr>
              <w:t>Subtotal: BJS costs</w:t>
            </w:r>
          </w:p>
        </w:tc>
        <w:tc>
          <w:tcPr>
            <w:tcW w:w="1533" w:type="dxa"/>
            <w:tcBorders>
              <w:top w:val="nil"/>
              <w:left w:val="nil"/>
              <w:bottom w:val="single" w:sz="8" w:space="0" w:color="auto"/>
              <w:right w:val="single" w:sz="8" w:space="0" w:color="auto"/>
            </w:tcBorders>
            <w:vAlign w:val="center"/>
          </w:tcPr>
          <w:p w:rsidR="006841C0" w:rsidRPr="006841C0" w:rsidP="006841C0" w14:paraId="65B9B0E2" w14:textId="1262F6FC">
            <w:pPr>
              <w:keepNext/>
              <w:jc w:val="center"/>
              <w:rPr>
                <w:b/>
                <w:bCs/>
                <w:color w:val="000000"/>
              </w:rPr>
            </w:pPr>
            <w:r w:rsidRPr="006841C0">
              <w:rPr>
                <w:rFonts w:eastAsiaTheme="minorEastAsia"/>
              </w:rPr>
              <w:t>$</w:t>
            </w:r>
            <w:r w:rsidR="007B158A">
              <w:rPr>
                <w:rFonts w:eastAsiaTheme="minorEastAsia"/>
              </w:rPr>
              <w:t>75,879</w:t>
            </w:r>
            <w:r w:rsidRPr="006841C0">
              <w:rPr>
                <w:rFonts w:eastAsiaTheme="minorEastAsia"/>
              </w:rPr>
              <w:t xml:space="preserve"> </w:t>
            </w:r>
          </w:p>
        </w:tc>
        <w:tc>
          <w:tcPr>
            <w:tcW w:w="1533" w:type="dxa"/>
            <w:tcBorders>
              <w:top w:val="nil"/>
              <w:left w:val="nil"/>
              <w:bottom w:val="single" w:sz="8" w:space="0" w:color="auto"/>
              <w:right w:val="single" w:sz="8" w:space="0" w:color="auto"/>
            </w:tcBorders>
            <w:vAlign w:val="bottom"/>
          </w:tcPr>
          <w:p w:rsidR="006841C0" w:rsidRPr="006841C0" w:rsidP="007B158A" w14:paraId="1FC3BF65" w14:textId="367D6A6F">
            <w:pPr>
              <w:keepNext/>
              <w:jc w:val="center"/>
              <w:rPr>
                <w:rFonts w:eastAsiaTheme="minorEastAsia"/>
              </w:rPr>
            </w:pPr>
            <w:r w:rsidRPr="006841C0">
              <w:rPr>
                <w:rFonts w:eastAsiaTheme="minorEastAsia"/>
              </w:rPr>
              <w:t>$</w:t>
            </w:r>
            <w:r w:rsidR="007B158A">
              <w:rPr>
                <w:rFonts w:eastAsiaTheme="minorEastAsia"/>
              </w:rPr>
              <w:t>76,637</w:t>
            </w:r>
          </w:p>
        </w:tc>
        <w:tc>
          <w:tcPr>
            <w:tcW w:w="1527" w:type="dxa"/>
            <w:tcBorders>
              <w:top w:val="nil"/>
              <w:left w:val="nil"/>
              <w:bottom w:val="single" w:sz="8" w:space="0" w:color="auto"/>
              <w:right w:val="single" w:sz="8" w:space="0" w:color="auto"/>
            </w:tcBorders>
            <w:vAlign w:val="bottom"/>
          </w:tcPr>
          <w:p w:rsidR="006841C0" w:rsidRPr="006841C0" w:rsidP="007B158A" w14:paraId="1430B0D9" w14:textId="243BD044">
            <w:pPr>
              <w:keepNext/>
              <w:jc w:val="center"/>
              <w:rPr>
                <w:rFonts w:eastAsiaTheme="minorEastAsia"/>
              </w:rPr>
            </w:pPr>
            <w:r>
              <w:rPr>
                <w:rFonts w:eastAsiaTheme="minorEastAsia"/>
              </w:rPr>
              <w:t>$93,949</w:t>
            </w:r>
          </w:p>
        </w:tc>
      </w:tr>
      <w:tr w14:paraId="50A938D5" w14:textId="2AFD2DC7" w:rsidTr="1C7AC397">
        <w:tblPrEx>
          <w:tblW w:w="9340" w:type="dxa"/>
          <w:tblLook w:val="04A0"/>
        </w:tblPrEx>
        <w:trPr>
          <w:trHeight w:val="300"/>
        </w:trPr>
        <w:tc>
          <w:tcPr>
            <w:tcW w:w="4747" w:type="dxa"/>
            <w:gridSpan w:val="3"/>
            <w:tcBorders>
              <w:top w:val="nil"/>
              <w:left w:val="single" w:sz="8" w:space="0" w:color="auto"/>
              <w:bottom w:val="single" w:sz="8" w:space="0" w:color="auto"/>
              <w:right w:val="single" w:sz="8" w:space="0" w:color="000000" w:themeColor="text1"/>
            </w:tcBorders>
            <w:vAlign w:val="center"/>
          </w:tcPr>
          <w:p w:rsidR="006841C0" w:rsidRPr="006841C0" w:rsidP="006841C0" w14:paraId="0F56CDE1" w14:textId="77777777">
            <w:pPr>
              <w:keepNext/>
              <w:rPr>
                <w:color w:val="000000"/>
              </w:rPr>
            </w:pPr>
            <w:r w:rsidRPr="006841C0">
              <w:rPr>
                <w:b/>
                <w:bCs/>
                <w:color w:val="000000"/>
              </w:rPr>
              <w:t>Data collection agent cost</w:t>
            </w:r>
          </w:p>
        </w:tc>
        <w:tc>
          <w:tcPr>
            <w:tcW w:w="1533" w:type="dxa"/>
            <w:tcBorders>
              <w:top w:val="nil"/>
              <w:left w:val="nil"/>
              <w:bottom w:val="single" w:sz="8" w:space="0" w:color="auto"/>
              <w:right w:val="single" w:sz="8" w:space="0" w:color="auto"/>
            </w:tcBorders>
            <w:vAlign w:val="center"/>
          </w:tcPr>
          <w:p w:rsidR="006841C0" w:rsidRPr="006841C0" w:rsidP="006841C0" w14:paraId="1024DAC7" w14:textId="77777777">
            <w:pPr>
              <w:keepNext/>
              <w:jc w:val="center"/>
              <w:rPr>
                <w:color w:val="000000"/>
              </w:rPr>
            </w:pPr>
          </w:p>
        </w:tc>
        <w:tc>
          <w:tcPr>
            <w:tcW w:w="1533" w:type="dxa"/>
            <w:tcBorders>
              <w:top w:val="nil"/>
              <w:left w:val="nil"/>
              <w:bottom w:val="single" w:sz="8" w:space="0" w:color="auto"/>
              <w:right w:val="single" w:sz="8" w:space="0" w:color="auto"/>
            </w:tcBorders>
          </w:tcPr>
          <w:p w:rsidR="006841C0" w:rsidRPr="006841C0" w:rsidP="006841C0" w14:paraId="70E9B3F2" w14:textId="77777777">
            <w:pPr>
              <w:keepNext/>
              <w:jc w:val="center"/>
              <w:rPr>
                <w:color w:val="000000"/>
              </w:rPr>
            </w:pPr>
          </w:p>
        </w:tc>
        <w:tc>
          <w:tcPr>
            <w:tcW w:w="1527" w:type="dxa"/>
            <w:tcBorders>
              <w:top w:val="nil"/>
              <w:left w:val="nil"/>
              <w:bottom w:val="single" w:sz="8" w:space="0" w:color="auto"/>
              <w:right w:val="single" w:sz="8" w:space="0" w:color="auto"/>
            </w:tcBorders>
          </w:tcPr>
          <w:p w:rsidR="006841C0" w:rsidRPr="006841C0" w:rsidP="006841C0" w14:paraId="4DD206EE" w14:textId="77777777">
            <w:pPr>
              <w:keepNext/>
              <w:jc w:val="center"/>
              <w:rPr>
                <w:color w:val="000000"/>
              </w:rPr>
            </w:pPr>
          </w:p>
        </w:tc>
      </w:tr>
      <w:tr w14:paraId="0C82BE5C" w14:textId="0D60B7EC" w:rsidTr="1C7AC397">
        <w:tblPrEx>
          <w:tblW w:w="9340" w:type="dxa"/>
          <w:tblLook w:val="04A0"/>
        </w:tblPrEx>
        <w:trPr>
          <w:trHeight w:val="300"/>
        </w:trPr>
        <w:tc>
          <w:tcPr>
            <w:tcW w:w="4747" w:type="dxa"/>
            <w:gridSpan w:val="3"/>
            <w:tcBorders>
              <w:top w:val="nil"/>
              <w:left w:val="single" w:sz="8" w:space="0" w:color="auto"/>
              <w:bottom w:val="single" w:sz="8" w:space="0" w:color="auto"/>
              <w:right w:val="single" w:sz="8" w:space="0" w:color="000000" w:themeColor="text1"/>
            </w:tcBorders>
            <w:vAlign w:val="center"/>
          </w:tcPr>
          <w:p w:rsidR="006841C0" w:rsidRPr="006841C0" w:rsidP="006841C0" w14:paraId="06F62F34" w14:textId="77777777">
            <w:pPr>
              <w:keepNext/>
              <w:rPr>
                <w:b/>
                <w:bCs/>
                <w:color w:val="000000"/>
              </w:rPr>
            </w:pPr>
            <w:r w:rsidRPr="006841C0">
              <w:rPr>
                <w:color w:val="000000"/>
              </w:rPr>
              <w:t>Data collection agent costs (salaries, fringe benefits, web survey, email and telephone follow-up, programming, and overhead)</w:t>
            </w:r>
          </w:p>
        </w:tc>
        <w:tc>
          <w:tcPr>
            <w:tcW w:w="1533" w:type="dxa"/>
            <w:tcBorders>
              <w:top w:val="nil"/>
              <w:left w:val="nil"/>
              <w:bottom w:val="single" w:sz="8" w:space="0" w:color="auto"/>
              <w:right w:val="single" w:sz="8" w:space="0" w:color="auto"/>
            </w:tcBorders>
            <w:vAlign w:val="center"/>
          </w:tcPr>
          <w:p w:rsidR="006841C0" w:rsidRPr="006841C0" w:rsidP="006841C0" w14:paraId="2D7D9FFB" w14:textId="717761DD">
            <w:pPr>
              <w:keepNext/>
              <w:jc w:val="center"/>
              <w:rPr>
                <w:rFonts w:eastAsiaTheme="minorEastAsia"/>
              </w:rPr>
            </w:pPr>
            <w:r w:rsidRPr="006841C0">
              <w:rPr>
                <w:color w:val="000000"/>
              </w:rPr>
              <w:t>$</w:t>
            </w:r>
            <w:r>
              <w:rPr>
                <w:color w:val="000000"/>
              </w:rPr>
              <w:t>298,754</w:t>
            </w:r>
          </w:p>
        </w:tc>
        <w:tc>
          <w:tcPr>
            <w:tcW w:w="1533" w:type="dxa"/>
            <w:tcBorders>
              <w:top w:val="nil"/>
              <w:left w:val="nil"/>
              <w:bottom w:val="single" w:sz="8" w:space="0" w:color="auto"/>
              <w:right w:val="single" w:sz="8" w:space="0" w:color="auto"/>
            </w:tcBorders>
            <w:vAlign w:val="center"/>
          </w:tcPr>
          <w:p w:rsidR="006841C0" w:rsidRPr="006841C0" w:rsidP="006841C0" w14:paraId="476F1B9A" w14:textId="0E1C84DB">
            <w:pPr>
              <w:keepNext/>
              <w:jc w:val="center"/>
              <w:rPr>
                <w:rFonts w:eastAsiaTheme="minorEastAsia"/>
              </w:rPr>
            </w:pPr>
            <w:r w:rsidRPr="006841C0">
              <w:rPr>
                <w:rFonts w:eastAsiaTheme="minorEastAsia"/>
              </w:rPr>
              <w:t>$</w:t>
            </w:r>
            <w:r>
              <w:rPr>
                <w:rFonts w:eastAsiaTheme="minorEastAsia"/>
              </w:rPr>
              <w:t>1,017,883</w:t>
            </w:r>
          </w:p>
        </w:tc>
        <w:tc>
          <w:tcPr>
            <w:tcW w:w="1527" w:type="dxa"/>
            <w:tcBorders>
              <w:top w:val="nil"/>
              <w:left w:val="nil"/>
              <w:bottom w:val="single" w:sz="8" w:space="0" w:color="auto"/>
              <w:right w:val="single" w:sz="8" w:space="0" w:color="auto"/>
            </w:tcBorders>
          </w:tcPr>
          <w:p w:rsidR="00AA656F" w:rsidP="006841C0" w14:paraId="4F730C4F" w14:textId="77777777">
            <w:pPr>
              <w:keepNext/>
              <w:jc w:val="center"/>
              <w:rPr>
                <w:rFonts w:eastAsiaTheme="minorEastAsia"/>
              </w:rPr>
            </w:pPr>
          </w:p>
          <w:p w:rsidR="006841C0" w:rsidRPr="006841C0" w:rsidP="006841C0" w14:paraId="527C9BF2" w14:textId="0502974D">
            <w:pPr>
              <w:keepNext/>
              <w:jc w:val="center"/>
              <w:rPr>
                <w:rFonts w:eastAsiaTheme="minorEastAsia"/>
              </w:rPr>
            </w:pPr>
            <w:r>
              <w:rPr>
                <w:rFonts w:eastAsiaTheme="minorEastAsia"/>
              </w:rPr>
              <w:t>$0</w:t>
            </w:r>
          </w:p>
        </w:tc>
      </w:tr>
      <w:tr w14:paraId="51D6F88B" w14:textId="11776A22" w:rsidTr="1C7AC397">
        <w:tblPrEx>
          <w:tblW w:w="9340" w:type="dxa"/>
          <w:tblLook w:val="04A0"/>
        </w:tblPrEx>
        <w:trPr>
          <w:trHeight w:val="310"/>
        </w:trPr>
        <w:tc>
          <w:tcPr>
            <w:tcW w:w="4747" w:type="dxa"/>
            <w:gridSpan w:val="3"/>
            <w:tcBorders>
              <w:top w:val="single" w:sz="8" w:space="0" w:color="auto"/>
              <w:left w:val="single" w:sz="8" w:space="0" w:color="auto"/>
              <w:bottom w:val="single" w:sz="8" w:space="0" w:color="auto"/>
              <w:right w:val="single" w:sz="8" w:space="0" w:color="000000" w:themeColor="text1"/>
            </w:tcBorders>
            <w:vAlign w:val="center"/>
            <w:hideMark/>
          </w:tcPr>
          <w:p w:rsidR="006841C0" w:rsidRPr="006841C0" w:rsidP="006841C0" w14:paraId="0ECD99FB" w14:textId="77777777">
            <w:pPr>
              <w:keepNext/>
              <w:rPr>
                <w:b/>
                <w:bCs/>
                <w:color w:val="000000"/>
              </w:rPr>
            </w:pPr>
            <w:r w:rsidRPr="006841C0">
              <w:rPr>
                <w:b/>
                <w:bCs/>
                <w:color w:val="000000"/>
              </w:rPr>
              <w:t>Total estimated Federal burden costs</w:t>
            </w:r>
          </w:p>
        </w:tc>
        <w:tc>
          <w:tcPr>
            <w:tcW w:w="1533" w:type="dxa"/>
            <w:tcBorders>
              <w:top w:val="nil"/>
              <w:left w:val="nil"/>
              <w:bottom w:val="single" w:sz="8" w:space="0" w:color="auto"/>
              <w:right w:val="single" w:sz="8" w:space="0" w:color="auto"/>
            </w:tcBorders>
          </w:tcPr>
          <w:p w:rsidR="006841C0" w:rsidRPr="006841C0" w:rsidP="006841C0" w14:paraId="0098DB66" w14:textId="37441766">
            <w:pPr>
              <w:keepNext/>
              <w:jc w:val="center"/>
              <w:rPr>
                <w:b/>
                <w:bCs/>
                <w:color w:val="000000"/>
              </w:rPr>
            </w:pPr>
            <w:r w:rsidRPr="006841C0">
              <w:rPr>
                <w:rFonts w:eastAsiaTheme="minorEastAsia"/>
              </w:rPr>
              <w:t>$</w:t>
            </w:r>
            <w:r w:rsidR="008135CA">
              <w:rPr>
                <w:rFonts w:eastAsiaTheme="minorEastAsia"/>
              </w:rPr>
              <w:t>374,633</w:t>
            </w:r>
            <w:r w:rsidRPr="006841C0">
              <w:rPr>
                <w:rFonts w:eastAsiaTheme="minorEastAsia"/>
              </w:rPr>
              <w:t xml:space="preserve"> </w:t>
            </w:r>
          </w:p>
        </w:tc>
        <w:tc>
          <w:tcPr>
            <w:tcW w:w="1533" w:type="dxa"/>
            <w:tcBorders>
              <w:top w:val="nil"/>
              <w:left w:val="nil"/>
              <w:bottom w:val="single" w:sz="8" w:space="0" w:color="auto"/>
              <w:right w:val="single" w:sz="8" w:space="0" w:color="auto"/>
            </w:tcBorders>
          </w:tcPr>
          <w:p w:rsidR="006841C0" w:rsidRPr="006841C0" w:rsidP="006841C0" w14:paraId="032587CA" w14:textId="088BF843">
            <w:pPr>
              <w:keepNext/>
              <w:jc w:val="center"/>
              <w:rPr>
                <w:b/>
                <w:bCs/>
                <w:color w:val="000000"/>
              </w:rPr>
            </w:pPr>
            <w:r w:rsidRPr="006841C0">
              <w:rPr>
                <w:rFonts w:eastAsiaTheme="minorEastAsia"/>
              </w:rPr>
              <w:t>$</w:t>
            </w:r>
            <w:r w:rsidR="008135CA">
              <w:rPr>
                <w:rFonts w:eastAsiaTheme="minorEastAsia"/>
              </w:rPr>
              <w:t>1,094,520</w:t>
            </w:r>
            <w:r w:rsidRPr="006841C0">
              <w:rPr>
                <w:rFonts w:eastAsiaTheme="minorEastAsia"/>
              </w:rPr>
              <w:t xml:space="preserve"> </w:t>
            </w:r>
          </w:p>
        </w:tc>
        <w:tc>
          <w:tcPr>
            <w:tcW w:w="1527" w:type="dxa"/>
            <w:tcBorders>
              <w:top w:val="nil"/>
              <w:left w:val="nil"/>
              <w:bottom w:val="single" w:sz="8" w:space="0" w:color="auto"/>
              <w:right w:val="single" w:sz="8" w:space="0" w:color="auto"/>
            </w:tcBorders>
          </w:tcPr>
          <w:p w:rsidR="006841C0" w:rsidRPr="006841C0" w:rsidP="006841C0" w14:paraId="2D2F5E50" w14:textId="05666374">
            <w:pPr>
              <w:keepNext/>
              <w:jc w:val="center"/>
              <w:rPr>
                <w:rFonts w:eastAsiaTheme="minorEastAsia"/>
              </w:rPr>
            </w:pPr>
            <w:r>
              <w:rPr>
                <w:rFonts w:eastAsiaTheme="minorEastAsia"/>
              </w:rPr>
              <w:t>$93,949</w:t>
            </w:r>
          </w:p>
        </w:tc>
      </w:tr>
    </w:tbl>
    <w:p w:rsidR="009502B6" w:rsidP="00AF7585" w14:paraId="6D057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3A09" w:rsidRPr="00AB61FE" w:rsidP="00673A09" w14:paraId="7EAD0B05" w14:textId="14D0670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AB61FE">
        <w:rPr>
          <w:b/>
          <w:bCs/>
        </w:rPr>
        <w:t>15.</w:t>
      </w:r>
      <w:r w:rsidRPr="00AB61FE">
        <w:rPr>
          <w:b/>
          <w:bCs/>
        </w:rPr>
        <w:tab/>
        <w:t xml:space="preserve">Explain the reasons for any program changes or adjustments. </w:t>
      </w:r>
    </w:p>
    <w:p w:rsidR="0025418F" w:rsidP="00C41196" w14:paraId="62EF0CB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22FF" w:rsidP="00DD37A0" w14:paraId="561122D8" w14:textId="16AEC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burden for the 2026 CSLLEA is reduced from the 2022 CSLLEA administration </w:t>
      </w:r>
      <w:r w:rsidR="007F6552">
        <w:t xml:space="preserve">due to </w:t>
      </w:r>
      <w:r w:rsidR="00B578F5">
        <w:t xml:space="preserve">fewer law enforcement </w:t>
      </w:r>
      <w:r w:rsidR="00CC1C7B">
        <w:t>agencies needing data quality follow-up</w:t>
      </w:r>
      <w:r w:rsidR="007F6552">
        <w:t xml:space="preserve">. </w:t>
      </w:r>
      <w:r w:rsidRPr="003F1A1A">
        <w:t>The 2026 CSLLEA instrument is almost identical in content to the 2022 CSLLEA instrument. Three sub-items were added to the list of agency functions, asking respondents to indicate</w:t>
      </w:r>
      <w:r w:rsidRPr="003F1A1A" w:rsidR="003F1A1A">
        <w:t xml:space="preserve"> </w:t>
      </w:r>
      <w:r w:rsidRPr="003F1A1A" w:rsidR="002C3759">
        <w:t>whether</w:t>
      </w:r>
      <w:r w:rsidRPr="003F1A1A" w:rsidR="003F1A1A">
        <w:t xml:space="preserve"> the agency is responsible for the function. These additions are expected to have a negligible effect on the burden.</w:t>
      </w:r>
    </w:p>
    <w:p w:rsidR="006D63ED" w:rsidP="00DD37A0" w14:paraId="6135DA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63ED" w:rsidRPr="003F1A1A" w:rsidP="00DD37A0" w14:paraId="30AA0653" w14:textId="6FB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2026 CSLLEA will </w:t>
      </w:r>
      <w:r w:rsidR="007C3318">
        <w:t xml:space="preserve">have a slight change in eligibility requirements and will </w:t>
      </w:r>
      <w:r>
        <w:t>include campus law enforcement agencies serving private institutions. Previous waves of the CSLLEA only included publicly funded law enforcement agencies. This adds an additional approximately 2,000 agencies to the frame. BJS has periodically conducted the SCLEA, surveying campus law enforcement agencies serving both public and private institutions. By adding agencies serving private institutions to the CSLLEA, BJS can reduce costs and respondent burden compared to administering both the CSLLEA and SCLEA.</w:t>
      </w:r>
    </w:p>
    <w:p w:rsidR="008D22FF" w:rsidP="00DD37A0" w14:paraId="4804D6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673A09" w:rsidP="00673A09" w14:paraId="0EC0CE34" w14:textId="3E1F4C9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Pr>
          <w:b/>
          <w:bCs/>
        </w:rPr>
        <w:t>16.</w:t>
      </w:r>
      <w:r w:rsidRPr="00AB61FE">
        <w:rPr>
          <w:b/>
          <w:bCs/>
        </w:rPr>
        <w:t xml:space="preserve">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AB61FE">
        <w:t>.</w:t>
      </w:r>
    </w:p>
    <w:p w:rsidR="003F1A1A" w:rsidP="00673A09" w14:paraId="400E6D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3F1A1A" w:rsidP="003F1A1A" w14:paraId="303A2595" w14:textId="7D4808D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AB61FE">
        <w:rPr>
          <w:b/>
          <w:bCs/>
        </w:rPr>
        <w:t xml:space="preserve">Table </w:t>
      </w:r>
      <w:r>
        <w:rPr>
          <w:b/>
          <w:bCs/>
        </w:rPr>
        <w:t>4</w:t>
      </w:r>
      <w:r w:rsidRPr="00AB61FE">
        <w:rPr>
          <w:b/>
          <w:bCs/>
        </w:rPr>
        <w:t xml:space="preserve">. Anticipated </w:t>
      </w:r>
      <w:r>
        <w:rPr>
          <w:b/>
          <w:bCs/>
        </w:rPr>
        <w:t xml:space="preserve">2026 CSLLEA </w:t>
      </w:r>
      <w:r w:rsidRPr="00AB61FE">
        <w:rPr>
          <w:b/>
          <w:bCs/>
        </w:rPr>
        <w:t>project schedule</w:t>
      </w:r>
    </w:p>
    <w:p w:rsidR="003F1A1A" w:rsidRPr="00AB61FE" w:rsidP="003F1A1A" w14:paraId="7849D56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tbl>
      <w:tblPr>
        <w:tblStyle w:val="GridTable1Light"/>
        <w:tblW w:w="9458" w:type="dxa"/>
        <w:tblLook w:val="04A0"/>
      </w:tblPr>
      <w:tblGrid>
        <w:gridCol w:w="4765"/>
        <w:gridCol w:w="2250"/>
        <w:gridCol w:w="2443"/>
      </w:tblGrid>
      <w:tr w14:paraId="047703BD" w14:textId="77777777" w:rsidTr="00B1108E">
        <w:tblPrEx>
          <w:tblW w:w="9458" w:type="dxa"/>
          <w:tblLook w:val="04A0"/>
        </w:tblPrEx>
        <w:tc>
          <w:tcPr>
            <w:tcW w:w="4765" w:type="dxa"/>
          </w:tcPr>
          <w:p w:rsidR="003F1A1A" w:rsidRPr="00AB61FE" w:rsidP="00B1108E" w14:paraId="41C08651" w14:textId="77777777">
            <w:pPr>
              <w:tabs>
                <w:tab w:val="left" w:pos="360"/>
                <w:tab w:val="left" w:pos="720"/>
              </w:tabs>
              <w:rPr>
                <w:rFonts w:ascii="Times New Roman" w:hAnsi="Times New Roman" w:cs="Times New Roman"/>
              </w:rPr>
            </w:pPr>
            <w:r w:rsidRPr="00AB61FE">
              <w:rPr>
                <w:rFonts w:ascii="Times New Roman" w:hAnsi="Times New Roman" w:cs="Times New Roman"/>
              </w:rPr>
              <w:t>Task</w:t>
            </w:r>
          </w:p>
        </w:tc>
        <w:tc>
          <w:tcPr>
            <w:tcW w:w="2250" w:type="dxa"/>
          </w:tcPr>
          <w:p w:rsidR="003F1A1A" w:rsidRPr="00AB61FE" w:rsidP="00B1108E" w14:paraId="11EDAC51" w14:textId="77777777">
            <w:pPr>
              <w:tabs>
                <w:tab w:val="left" w:pos="360"/>
                <w:tab w:val="left" w:pos="720"/>
              </w:tabs>
              <w:rPr>
                <w:rFonts w:ascii="Times New Roman" w:hAnsi="Times New Roman" w:cs="Times New Roman"/>
              </w:rPr>
            </w:pPr>
            <w:r w:rsidRPr="00AB61FE">
              <w:rPr>
                <w:rFonts w:ascii="Times New Roman" w:hAnsi="Times New Roman" w:cs="Times New Roman"/>
              </w:rPr>
              <w:t>Start Date</w:t>
            </w:r>
          </w:p>
        </w:tc>
        <w:tc>
          <w:tcPr>
            <w:tcW w:w="2443" w:type="dxa"/>
          </w:tcPr>
          <w:p w:rsidR="003F1A1A" w:rsidRPr="00AB61FE" w:rsidP="00B1108E" w14:paraId="65F85F90" w14:textId="77777777">
            <w:pPr>
              <w:tabs>
                <w:tab w:val="left" w:pos="360"/>
                <w:tab w:val="left" w:pos="720"/>
              </w:tabs>
              <w:rPr>
                <w:rFonts w:ascii="Times New Roman" w:hAnsi="Times New Roman" w:cs="Times New Roman"/>
              </w:rPr>
            </w:pPr>
            <w:r w:rsidRPr="00AB61FE">
              <w:rPr>
                <w:rFonts w:ascii="Times New Roman" w:hAnsi="Times New Roman" w:cs="Times New Roman"/>
              </w:rPr>
              <w:t>End Date</w:t>
            </w:r>
          </w:p>
        </w:tc>
      </w:tr>
      <w:tr w14:paraId="6CA6840C" w14:textId="77777777" w:rsidTr="00B1108E">
        <w:tblPrEx>
          <w:tblW w:w="9458" w:type="dxa"/>
          <w:tblLook w:val="04A0"/>
        </w:tblPrEx>
        <w:tc>
          <w:tcPr>
            <w:tcW w:w="4765" w:type="dxa"/>
          </w:tcPr>
          <w:p w:rsidR="003F1A1A" w:rsidRPr="007A15A8" w:rsidP="00B1108E" w14:paraId="64D716C4" w14:textId="77777777">
            <w:pPr>
              <w:tabs>
                <w:tab w:val="left" w:pos="360"/>
                <w:tab w:val="left" w:pos="720"/>
              </w:tabs>
              <w:rPr>
                <w:rFonts w:ascii="Times New Roman" w:hAnsi="Times New Roman" w:cs="Times New Roman"/>
                <w:b w:val="0"/>
                <w:bCs w:val="0"/>
              </w:rPr>
            </w:pPr>
            <w:r w:rsidRPr="007A15A8">
              <w:rPr>
                <w:color w:val="000000"/>
              </w:rPr>
              <w:t>Data collection</w:t>
            </w:r>
          </w:p>
        </w:tc>
        <w:tc>
          <w:tcPr>
            <w:tcW w:w="2250" w:type="dxa"/>
          </w:tcPr>
          <w:p w:rsidR="003F1A1A" w:rsidRPr="00900F86" w:rsidP="00B1108E" w14:paraId="2A914462" w14:textId="74FFE1E1">
            <w:pPr>
              <w:tabs>
                <w:tab w:val="left" w:pos="360"/>
                <w:tab w:val="left" w:pos="720"/>
              </w:tabs>
              <w:rPr>
                <w:rFonts w:ascii="Times New Roman" w:hAnsi="Times New Roman" w:cs="Times New Roman"/>
              </w:rPr>
            </w:pPr>
            <w:r w:rsidRPr="00900F86">
              <w:rPr>
                <w:rFonts w:ascii="Times New Roman" w:hAnsi="Times New Roman" w:cs="Times New Roman"/>
              </w:rPr>
              <w:t>November 2026</w:t>
            </w:r>
          </w:p>
        </w:tc>
        <w:tc>
          <w:tcPr>
            <w:tcW w:w="2443" w:type="dxa"/>
          </w:tcPr>
          <w:p w:rsidR="003F1A1A" w:rsidRPr="00900F86" w:rsidP="00B1108E" w14:paraId="21F91BA6" w14:textId="44C4C025">
            <w:pPr>
              <w:tabs>
                <w:tab w:val="left" w:pos="360"/>
                <w:tab w:val="left" w:pos="720"/>
              </w:tabs>
              <w:rPr>
                <w:rFonts w:ascii="Times New Roman" w:hAnsi="Times New Roman" w:cs="Times New Roman"/>
              </w:rPr>
            </w:pPr>
            <w:r w:rsidRPr="00900F86">
              <w:rPr>
                <w:rFonts w:ascii="Times New Roman" w:hAnsi="Times New Roman" w:cs="Times New Roman"/>
              </w:rPr>
              <w:t>August</w:t>
            </w:r>
            <w:r w:rsidRPr="00900F86">
              <w:rPr>
                <w:rFonts w:ascii="Times New Roman" w:hAnsi="Times New Roman" w:cs="Times New Roman"/>
              </w:rPr>
              <w:t xml:space="preserve"> 202</w:t>
            </w:r>
            <w:r w:rsidRPr="00900F86">
              <w:rPr>
                <w:rFonts w:ascii="Times New Roman" w:hAnsi="Times New Roman" w:cs="Times New Roman"/>
              </w:rPr>
              <w:t>7</w:t>
            </w:r>
          </w:p>
        </w:tc>
      </w:tr>
      <w:tr w14:paraId="1E6BC799" w14:textId="77777777" w:rsidTr="00B1108E">
        <w:tblPrEx>
          <w:tblW w:w="9458" w:type="dxa"/>
          <w:tblLook w:val="04A0"/>
        </w:tblPrEx>
        <w:tc>
          <w:tcPr>
            <w:tcW w:w="4765" w:type="dxa"/>
          </w:tcPr>
          <w:p w:rsidR="006F4667" w:rsidRPr="007A15A8" w:rsidP="006F4667" w14:paraId="4B24AAE8" w14:textId="77777777">
            <w:pPr>
              <w:tabs>
                <w:tab w:val="left" w:pos="360"/>
                <w:tab w:val="left" w:pos="720"/>
              </w:tabs>
              <w:jc w:val="left"/>
              <w:rPr>
                <w:rFonts w:ascii="Times New Roman" w:hAnsi="Times New Roman" w:cs="Times New Roman"/>
                <w:b w:val="0"/>
                <w:bCs w:val="0"/>
              </w:rPr>
            </w:pPr>
            <w:r w:rsidRPr="007A15A8">
              <w:rPr>
                <w:color w:val="000000"/>
              </w:rPr>
              <w:t>Notification of impending due dates, nonresponse follow-up, thank you letters</w:t>
            </w:r>
          </w:p>
        </w:tc>
        <w:tc>
          <w:tcPr>
            <w:tcW w:w="2250" w:type="dxa"/>
          </w:tcPr>
          <w:p w:rsidR="006F4667" w:rsidRPr="00900F86" w:rsidP="006F4667" w14:paraId="58BD6B82" w14:textId="2C5BE351">
            <w:pPr>
              <w:tabs>
                <w:tab w:val="left" w:pos="360"/>
                <w:tab w:val="left" w:pos="720"/>
              </w:tabs>
              <w:rPr>
                <w:rFonts w:ascii="Times New Roman" w:hAnsi="Times New Roman" w:cs="Times New Roman"/>
              </w:rPr>
            </w:pPr>
            <w:r w:rsidRPr="00900F86">
              <w:rPr>
                <w:rFonts w:ascii="Times New Roman" w:hAnsi="Times New Roman" w:cs="Times New Roman"/>
              </w:rPr>
              <w:t>November 2026</w:t>
            </w:r>
          </w:p>
        </w:tc>
        <w:tc>
          <w:tcPr>
            <w:tcW w:w="2443" w:type="dxa"/>
          </w:tcPr>
          <w:p w:rsidR="006F4667" w:rsidRPr="00900F86" w:rsidP="006F4667" w14:paraId="75D24346" w14:textId="70DFB0F6">
            <w:pPr>
              <w:tabs>
                <w:tab w:val="left" w:pos="360"/>
                <w:tab w:val="left" w:pos="720"/>
              </w:tabs>
              <w:rPr>
                <w:rFonts w:ascii="Times New Roman" w:hAnsi="Times New Roman" w:cs="Times New Roman"/>
              </w:rPr>
            </w:pPr>
            <w:r w:rsidRPr="00900F86">
              <w:rPr>
                <w:rFonts w:ascii="Times New Roman" w:hAnsi="Times New Roman" w:cs="Times New Roman"/>
              </w:rPr>
              <w:t>August 2027</w:t>
            </w:r>
          </w:p>
        </w:tc>
      </w:tr>
      <w:tr w14:paraId="702402F3" w14:textId="77777777" w:rsidTr="00B1108E">
        <w:tblPrEx>
          <w:tblW w:w="9458" w:type="dxa"/>
          <w:tblLook w:val="04A0"/>
        </w:tblPrEx>
        <w:tc>
          <w:tcPr>
            <w:tcW w:w="4765" w:type="dxa"/>
          </w:tcPr>
          <w:p w:rsidR="006F4667" w:rsidRPr="007A15A8" w:rsidP="006F4667" w14:paraId="27D4F31A" w14:textId="77777777">
            <w:pPr>
              <w:tabs>
                <w:tab w:val="left" w:pos="360"/>
                <w:tab w:val="left" w:pos="720"/>
              </w:tabs>
              <w:rPr>
                <w:rFonts w:ascii="Times New Roman" w:hAnsi="Times New Roman" w:cs="Times New Roman"/>
                <w:b w:val="0"/>
                <w:bCs w:val="0"/>
              </w:rPr>
            </w:pPr>
            <w:r w:rsidRPr="007A15A8">
              <w:rPr>
                <w:color w:val="000000"/>
              </w:rPr>
              <w:t>Data editing, verification, final callbacks</w:t>
            </w:r>
          </w:p>
        </w:tc>
        <w:tc>
          <w:tcPr>
            <w:tcW w:w="2250" w:type="dxa"/>
          </w:tcPr>
          <w:p w:rsidR="006F4667" w:rsidRPr="00900F86" w:rsidP="006F4667" w14:paraId="2F7F00F7" w14:textId="2E0E020D">
            <w:pPr>
              <w:tabs>
                <w:tab w:val="left" w:pos="360"/>
                <w:tab w:val="left" w:pos="720"/>
              </w:tabs>
              <w:rPr>
                <w:rFonts w:ascii="Times New Roman" w:hAnsi="Times New Roman" w:cs="Times New Roman"/>
              </w:rPr>
            </w:pPr>
            <w:r w:rsidRPr="00900F86">
              <w:rPr>
                <w:rFonts w:ascii="Times New Roman" w:hAnsi="Times New Roman" w:cs="Times New Roman"/>
              </w:rPr>
              <w:t>November 2026</w:t>
            </w:r>
          </w:p>
        </w:tc>
        <w:tc>
          <w:tcPr>
            <w:tcW w:w="2443" w:type="dxa"/>
          </w:tcPr>
          <w:p w:rsidR="006F4667" w:rsidRPr="00900F86" w:rsidP="006F4667" w14:paraId="3654D960" w14:textId="51CC6EF7">
            <w:pPr>
              <w:tabs>
                <w:tab w:val="left" w:pos="360"/>
                <w:tab w:val="left" w:pos="720"/>
              </w:tabs>
              <w:rPr>
                <w:rFonts w:ascii="Times New Roman" w:hAnsi="Times New Roman" w:cs="Times New Roman"/>
              </w:rPr>
            </w:pPr>
            <w:r w:rsidRPr="00900F86">
              <w:rPr>
                <w:rFonts w:ascii="Times New Roman" w:hAnsi="Times New Roman" w:cs="Times New Roman"/>
              </w:rPr>
              <w:t>August 2027</w:t>
            </w:r>
          </w:p>
        </w:tc>
      </w:tr>
      <w:tr w14:paraId="3FC8144D" w14:textId="77777777" w:rsidTr="00B1108E">
        <w:tblPrEx>
          <w:tblW w:w="9458" w:type="dxa"/>
          <w:tblLook w:val="04A0"/>
        </w:tblPrEx>
        <w:tc>
          <w:tcPr>
            <w:tcW w:w="4765" w:type="dxa"/>
          </w:tcPr>
          <w:p w:rsidR="003F1A1A" w:rsidRPr="007A15A8" w:rsidP="003F1A1A" w14:paraId="309224A1" w14:textId="77777777">
            <w:pPr>
              <w:tabs>
                <w:tab w:val="left" w:pos="360"/>
                <w:tab w:val="left" w:pos="720"/>
              </w:tabs>
              <w:jc w:val="left"/>
              <w:rPr>
                <w:rFonts w:ascii="Times New Roman" w:hAnsi="Times New Roman" w:cs="Times New Roman"/>
                <w:b w:val="0"/>
                <w:bCs w:val="0"/>
                <w:color w:val="000000"/>
              </w:rPr>
            </w:pPr>
            <w:r w:rsidRPr="007A15A8">
              <w:rPr>
                <w:color w:val="000000"/>
              </w:rPr>
              <w:t>Delivery of final analytic file and documentation</w:t>
            </w:r>
          </w:p>
        </w:tc>
        <w:tc>
          <w:tcPr>
            <w:tcW w:w="2250" w:type="dxa"/>
          </w:tcPr>
          <w:p w:rsidR="003F1A1A" w:rsidRPr="00900F86" w:rsidP="00B1108E" w14:paraId="7194142B" w14:textId="3D69CB27">
            <w:pPr>
              <w:tabs>
                <w:tab w:val="left" w:pos="360"/>
                <w:tab w:val="left" w:pos="720"/>
              </w:tabs>
              <w:rPr>
                <w:rFonts w:ascii="Times New Roman" w:hAnsi="Times New Roman" w:cs="Times New Roman"/>
              </w:rPr>
            </w:pPr>
            <w:r w:rsidRPr="00900F86">
              <w:rPr>
                <w:rFonts w:ascii="Times New Roman" w:hAnsi="Times New Roman" w:cs="Times New Roman"/>
              </w:rPr>
              <w:t>September 2027</w:t>
            </w:r>
          </w:p>
        </w:tc>
        <w:tc>
          <w:tcPr>
            <w:tcW w:w="2443" w:type="dxa"/>
          </w:tcPr>
          <w:p w:rsidR="003F1A1A" w:rsidRPr="00900F86" w:rsidP="00B1108E" w14:paraId="58D6B419" w14:textId="7334115F">
            <w:pPr>
              <w:tabs>
                <w:tab w:val="left" w:pos="360"/>
                <w:tab w:val="left" w:pos="720"/>
              </w:tabs>
              <w:rPr>
                <w:rFonts w:ascii="Times New Roman" w:hAnsi="Times New Roman" w:cs="Times New Roman"/>
              </w:rPr>
            </w:pPr>
            <w:r w:rsidRPr="00900F86">
              <w:rPr>
                <w:rFonts w:ascii="Times New Roman" w:hAnsi="Times New Roman" w:cs="Times New Roman"/>
              </w:rPr>
              <w:t>December 2027</w:t>
            </w:r>
          </w:p>
        </w:tc>
      </w:tr>
      <w:tr w14:paraId="70E61A5D" w14:textId="77777777" w:rsidTr="00B1108E">
        <w:tblPrEx>
          <w:tblW w:w="9458" w:type="dxa"/>
          <w:tblLook w:val="04A0"/>
        </w:tblPrEx>
        <w:tc>
          <w:tcPr>
            <w:tcW w:w="4765" w:type="dxa"/>
          </w:tcPr>
          <w:p w:rsidR="003F1A1A" w:rsidRPr="007A15A8" w:rsidP="00B1108E" w14:paraId="79BF930E" w14:textId="77777777">
            <w:pPr>
              <w:tabs>
                <w:tab w:val="left" w:pos="360"/>
                <w:tab w:val="left" w:pos="720"/>
              </w:tabs>
              <w:rPr>
                <w:rFonts w:ascii="Times New Roman" w:hAnsi="Times New Roman" w:cs="Times New Roman"/>
                <w:b w:val="0"/>
                <w:bCs w:val="0"/>
              </w:rPr>
            </w:pPr>
            <w:r w:rsidRPr="007A15A8">
              <w:rPr>
                <w:color w:val="000000"/>
              </w:rPr>
              <w:t>Analysis</w:t>
            </w:r>
          </w:p>
        </w:tc>
        <w:tc>
          <w:tcPr>
            <w:tcW w:w="2250" w:type="dxa"/>
          </w:tcPr>
          <w:p w:rsidR="003F1A1A" w:rsidRPr="00900F86" w:rsidP="00B1108E" w14:paraId="45796C0F" w14:textId="1351F892">
            <w:pPr>
              <w:tabs>
                <w:tab w:val="left" w:pos="360"/>
                <w:tab w:val="left" w:pos="720"/>
              </w:tabs>
              <w:rPr>
                <w:rFonts w:ascii="Times New Roman" w:hAnsi="Times New Roman" w:cs="Times New Roman"/>
              </w:rPr>
            </w:pPr>
            <w:r w:rsidRPr="00900F86">
              <w:rPr>
                <w:rFonts w:ascii="Times New Roman" w:hAnsi="Times New Roman" w:cs="Times New Roman"/>
              </w:rPr>
              <w:t>January 202</w:t>
            </w:r>
            <w:r w:rsidRPr="00900F86" w:rsidR="006F4667">
              <w:rPr>
                <w:rFonts w:ascii="Times New Roman" w:hAnsi="Times New Roman" w:cs="Times New Roman"/>
              </w:rPr>
              <w:t>8</w:t>
            </w:r>
          </w:p>
        </w:tc>
        <w:tc>
          <w:tcPr>
            <w:tcW w:w="2443" w:type="dxa"/>
          </w:tcPr>
          <w:p w:rsidR="003F1A1A" w:rsidRPr="00900F86" w:rsidP="00B1108E" w14:paraId="5E334B8C" w14:textId="529D18C9">
            <w:pPr>
              <w:tabs>
                <w:tab w:val="left" w:pos="360"/>
                <w:tab w:val="left" w:pos="720"/>
              </w:tabs>
              <w:rPr>
                <w:rFonts w:ascii="Times New Roman" w:hAnsi="Times New Roman" w:cs="Times New Roman"/>
              </w:rPr>
            </w:pPr>
            <w:r w:rsidRPr="00900F86">
              <w:rPr>
                <w:rFonts w:ascii="Times New Roman" w:hAnsi="Times New Roman" w:cs="Times New Roman"/>
              </w:rPr>
              <w:t>March 202</w:t>
            </w:r>
            <w:r w:rsidRPr="00900F86" w:rsidR="006F4667">
              <w:rPr>
                <w:rFonts w:ascii="Times New Roman" w:hAnsi="Times New Roman" w:cs="Times New Roman"/>
              </w:rPr>
              <w:t>8</w:t>
            </w:r>
          </w:p>
        </w:tc>
      </w:tr>
      <w:tr w14:paraId="3228B291" w14:textId="77777777" w:rsidTr="00B1108E">
        <w:tblPrEx>
          <w:tblW w:w="9458" w:type="dxa"/>
          <w:tblLook w:val="04A0"/>
        </w:tblPrEx>
        <w:tc>
          <w:tcPr>
            <w:tcW w:w="4765" w:type="dxa"/>
          </w:tcPr>
          <w:p w:rsidR="003F1A1A" w:rsidRPr="007A15A8" w:rsidP="00B1108E" w14:paraId="468E6030" w14:textId="77777777">
            <w:pPr>
              <w:tabs>
                <w:tab w:val="left" w:pos="360"/>
                <w:tab w:val="left" w:pos="720"/>
              </w:tabs>
              <w:rPr>
                <w:rFonts w:ascii="Times New Roman" w:hAnsi="Times New Roman" w:cs="Times New Roman"/>
                <w:b w:val="0"/>
                <w:bCs w:val="0"/>
              </w:rPr>
            </w:pPr>
            <w:r w:rsidRPr="007A15A8">
              <w:rPr>
                <w:color w:val="000000"/>
              </w:rPr>
              <w:t>Report writing, editing, and release</w:t>
            </w:r>
          </w:p>
        </w:tc>
        <w:tc>
          <w:tcPr>
            <w:tcW w:w="2250" w:type="dxa"/>
          </w:tcPr>
          <w:p w:rsidR="003F1A1A" w:rsidRPr="00900F86" w:rsidP="00B1108E" w14:paraId="5F0CFBC2" w14:textId="1ADA9766">
            <w:pPr>
              <w:tabs>
                <w:tab w:val="left" w:pos="360"/>
                <w:tab w:val="left" w:pos="720"/>
              </w:tabs>
              <w:rPr>
                <w:rFonts w:ascii="Times New Roman" w:hAnsi="Times New Roman" w:cs="Times New Roman"/>
              </w:rPr>
            </w:pPr>
            <w:r w:rsidRPr="00900F86">
              <w:rPr>
                <w:rFonts w:ascii="Times New Roman" w:hAnsi="Times New Roman" w:cs="Times New Roman"/>
              </w:rPr>
              <w:t>April 202</w:t>
            </w:r>
            <w:r w:rsidRPr="00900F86" w:rsidR="006F4667">
              <w:rPr>
                <w:rFonts w:ascii="Times New Roman" w:hAnsi="Times New Roman" w:cs="Times New Roman"/>
              </w:rPr>
              <w:t>8</w:t>
            </w:r>
          </w:p>
        </w:tc>
        <w:tc>
          <w:tcPr>
            <w:tcW w:w="2443" w:type="dxa"/>
          </w:tcPr>
          <w:p w:rsidR="003F1A1A" w:rsidRPr="00900F86" w:rsidP="00B1108E" w14:paraId="10233804" w14:textId="2021958A">
            <w:pPr>
              <w:tabs>
                <w:tab w:val="left" w:pos="360"/>
                <w:tab w:val="left" w:pos="720"/>
              </w:tabs>
              <w:rPr>
                <w:rFonts w:ascii="Times New Roman" w:hAnsi="Times New Roman" w:cs="Times New Roman"/>
              </w:rPr>
            </w:pPr>
            <w:r w:rsidRPr="00900F86">
              <w:rPr>
                <w:rFonts w:ascii="Times New Roman" w:hAnsi="Times New Roman" w:cs="Times New Roman"/>
              </w:rPr>
              <w:t>December 202</w:t>
            </w:r>
            <w:r w:rsidRPr="00900F86" w:rsidR="006F4667">
              <w:rPr>
                <w:rFonts w:ascii="Times New Roman" w:hAnsi="Times New Roman" w:cs="Times New Roman"/>
              </w:rPr>
              <w:t>8</w:t>
            </w:r>
          </w:p>
        </w:tc>
      </w:tr>
    </w:tbl>
    <w:p w:rsidR="003F1A1A" w:rsidRPr="00AB61FE" w:rsidP="003F1A1A" w14:paraId="5E573898" w14:textId="77777777">
      <w:pPr>
        <w:numPr>
          <w:ilvl w:val="12"/>
          <w:numId w:val="0"/>
        </w:numPr>
        <w:shd w:val="solid" w:color="FFFFFF" w:fill="FFFFFF"/>
        <w:tabs>
          <w:tab w:val="left" w:pos="1800"/>
          <w:tab w:val="left" w:pos="2280"/>
          <w:tab w:val="left" w:pos="2781"/>
          <w:tab w:val="left" w:pos="4234"/>
        </w:tabs>
        <w:ind w:right="180"/>
        <w:rPr>
          <w:i/>
          <w:iCs/>
        </w:rPr>
      </w:pPr>
      <w:r w:rsidRPr="00AB61FE">
        <w:rPr>
          <w:i/>
          <w:iCs/>
        </w:rPr>
        <w:t xml:space="preserve">For details on the project schedule, see Supporting Statement B. </w:t>
      </w:r>
    </w:p>
    <w:p w:rsidR="20123D5B" w14:paraId="79CA0164" w14:textId="273AD38A"/>
    <w:p w:rsidR="00673A09" w:rsidRPr="00AB61FE" w:rsidP="00673A09" w14:paraId="4E4619D2" w14:textId="1A4F84F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B61FE">
        <w:t>Dissemination products include press releases, annual bulletins, and the availability of the data online. In addition, BJS makes products available through the BJS website to disseminate key statistics. BJS plans at least one public report based on the 202</w:t>
      </w:r>
      <w:r>
        <w:t>6</w:t>
      </w:r>
      <w:r w:rsidRPr="00AB61FE">
        <w:t xml:space="preserve"> </w:t>
      </w:r>
      <w:r>
        <w:t>CSLLEA</w:t>
      </w:r>
      <w:r w:rsidRPr="00AB61FE">
        <w:t xml:space="preserve">, scheduled for </w:t>
      </w:r>
      <w:r w:rsidRPr="00900F86">
        <w:t>December 202</w:t>
      </w:r>
      <w:r w:rsidRPr="00900F86" w:rsidR="00A93C79">
        <w:t>8</w:t>
      </w:r>
      <w:r w:rsidRPr="00AB61FE">
        <w:t xml:space="preserve">, as part of the </w:t>
      </w:r>
      <w:hyperlink r:id="rId9" w:anchor="2-0" w:history="1">
        <w:r w:rsidR="00A93C79">
          <w:rPr>
            <w:rStyle w:val="Hyperlink"/>
            <w:rFonts w:cstheme="minorBidi"/>
          </w:rPr>
          <w:t>CSLLEA report series</w:t>
        </w:r>
      </w:hyperlink>
      <w:r>
        <w:rPr>
          <w:rStyle w:val="Hyperlink"/>
          <w:rFonts w:cstheme="minorBidi"/>
        </w:rPr>
        <w:t>.</w:t>
      </w:r>
      <w:r w:rsidRPr="00AB61FE">
        <w:t xml:space="preserve"> </w:t>
      </w:r>
    </w:p>
    <w:p w:rsidR="00F40BDE" w:rsidP="00F40BDE" w14:paraId="593D4882" w14:textId="77777777"/>
    <w:p w:rsidR="00A93C79" w:rsidP="00A93C79" w14:paraId="3E12C0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AB61FE">
        <w:rPr>
          <w:b/>
          <w:bCs/>
        </w:rPr>
        <w:t>17. If seeking approval to not display the expiration date for OMB approval of the information collection, explain the reasons that display would be inappropriate.</w:t>
      </w:r>
    </w:p>
    <w:p w:rsidR="00A93C79" w:rsidRPr="00AB61FE" w:rsidP="00A93C79" w14:paraId="4D7050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A93C79" w:rsidRPr="00AB61FE" w:rsidP="00A93C79" w14:paraId="7066361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B61FE">
        <w:t>No exemptions are being requested.</w:t>
      </w:r>
    </w:p>
    <w:p w:rsidR="00AF7585" w:rsidP="00EE5E9E" w14:paraId="3B612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3C79" w:rsidRPr="00AB61FE" w:rsidP="00A93C79" w14:paraId="107F31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B61FE">
        <w:rPr>
          <w:b/>
        </w:rPr>
        <w:t>18. Explain each exception to the certification statement.</w:t>
      </w:r>
    </w:p>
    <w:p w:rsidR="00A93C79" w:rsidRPr="00AB61FE" w:rsidP="00A93C79" w14:paraId="7A97906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B61FE">
        <w:t>This collection of information does not include any exceptions to the certificate statement.</w:t>
      </w:r>
    </w:p>
    <w:p w:rsidR="00A93C79" w:rsidRPr="00AB61FE" w:rsidP="00A93C79" w14:paraId="238B20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A93C79" w:rsidRPr="00AB61FE" w:rsidP="00A93C79" w14:paraId="2B77FA7A" w14:textId="77777777">
      <w:pPr>
        <w:spacing w:after="200" w:line="276" w:lineRule="auto"/>
      </w:pPr>
      <w:r w:rsidRPr="00AB61FE">
        <w:rPr>
          <w:b/>
          <w:bCs/>
        </w:rPr>
        <w:t>B. COLLECTIONS OF INFORMATON EMPLOYING STATISTICAL METHODS.</w:t>
      </w:r>
    </w:p>
    <w:p w:rsidR="00A93C79" w:rsidRPr="00295912" w:rsidP="00A93C79" w14:paraId="34D0E566" w14:textId="77777777">
      <w:r w:rsidRPr="00AB61FE">
        <w:t>This collection contains statistical data.</w:t>
      </w:r>
    </w:p>
    <w:p w:rsidR="00586629" w:rsidP="00A93C79" w14:paraId="213E9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615D" w:rsidP="00A93C79" w14:paraId="68FFC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3C79" w:rsidP="00A93C79" w14:paraId="6430D2DB" w14:textId="7FFB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248F">
        <w:t>List of Attachments</w:t>
      </w:r>
    </w:p>
    <w:p w:rsidR="00BA66B8" w:rsidP="00A93C79" w14:paraId="4266DB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6B8" w:rsidRPr="00401F72" w:rsidP="0051795E" w14:paraId="62DBE7C1" w14:textId="77777777">
      <w:pPr>
        <w:spacing w:after="160"/>
        <w:rPr>
          <w:bCs/>
        </w:rPr>
      </w:pPr>
      <w:r w:rsidRPr="00401F72">
        <w:rPr>
          <w:bCs/>
        </w:rPr>
        <w:t xml:space="preserve">Attachment A: </w:t>
      </w:r>
      <w:r>
        <w:t>2026 CSLLEA Questionnaire</w:t>
      </w:r>
      <w:r w:rsidRPr="00401F72">
        <w:rPr>
          <w:bCs/>
        </w:rPr>
        <w:t xml:space="preserve"> </w:t>
      </w:r>
    </w:p>
    <w:p w:rsidR="00BA66B8" w:rsidRPr="00401F72" w:rsidP="0051795E" w14:paraId="2956CA5B" w14:textId="77777777">
      <w:pPr>
        <w:spacing w:after="160"/>
      </w:pPr>
      <w:r w:rsidRPr="00401F72">
        <w:t xml:space="preserve">Attachment </w:t>
      </w:r>
      <w:r>
        <w:t>B</w:t>
      </w:r>
      <w:r w:rsidRPr="00401F72">
        <w:t>: Title 34, United States Code, Section 10132</w:t>
      </w:r>
    </w:p>
    <w:p w:rsidR="00BA66B8" w:rsidRPr="004E7CC7" w:rsidP="0051795E" w14:paraId="019DC67A" w14:textId="77777777">
      <w:pPr>
        <w:spacing w:after="160"/>
      </w:pPr>
      <w:r w:rsidRPr="004E7CC7">
        <w:rPr>
          <w:bCs/>
        </w:rPr>
        <w:t xml:space="preserve">Attachment C: </w:t>
      </w:r>
      <w:r w:rsidRPr="004E7CC7">
        <w:t>60-Day Notice</w:t>
      </w:r>
    </w:p>
    <w:p w:rsidR="00BA66B8" w:rsidP="0051795E" w14:paraId="1CD3D964" w14:textId="77777777">
      <w:pPr>
        <w:spacing w:after="160"/>
      </w:pPr>
      <w:r w:rsidRPr="004E7CC7">
        <w:t>Attachment D: 30-Day Notice</w:t>
      </w:r>
    </w:p>
    <w:p w:rsidR="00BA66B8" w:rsidRPr="00401F72" w:rsidP="0051795E" w14:paraId="0647851C" w14:textId="39632FFE">
      <w:pPr>
        <w:spacing w:after="160"/>
        <w:rPr>
          <w:bCs/>
        </w:rPr>
      </w:pPr>
      <w:r>
        <w:t>Attachment E: Study Announcement Letter</w:t>
      </w:r>
      <w:r w:rsidR="00B87886">
        <w:t>s</w:t>
      </w:r>
    </w:p>
    <w:p w:rsidR="00BA66B8" w:rsidRPr="00AF5AEE" w:rsidP="0051795E" w14:paraId="00CA2F7F" w14:textId="77777777">
      <w:pPr>
        <w:spacing w:after="160"/>
        <w:rPr>
          <w:bCs/>
        </w:rPr>
      </w:pPr>
      <w:r w:rsidRPr="00AF5AEE">
        <w:rPr>
          <w:bCs/>
        </w:rPr>
        <w:t>Attachment F: Invitation Letter</w:t>
      </w:r>
    </w:p>
    <w:p w:rsidR="00BA66B8" w:rsidRPr="00AF5AEE" w:rsidP="0051795E" w14:paraId="678CCC53" w14:textId="77777777">
      <w:pPr>
        <w:spacing w:after="160"/>
        <w:rPr>
          <w:bCs/>
        </w:rPr>
      </w:pPr>
      <w:r w:rsidRPr="00AF5AEE">
        <w:rPr>
          <w:bCs/>
        </w:rPr>
        <w:t xml:space="preserve">Attachment G: Survey Flyer </w:t>
      </w:r>
      <w:r w:rsidRPr="00AF5AEE">
        <w:rPr>
          <w:bCs/>
        </w:rPr>
        <w:tab/>
      </w:r>
    </w:p>
    <w:p w:rsidR="00BA66B8" w:rsidRPr="00AF5AEE" w:rsidP="0051795E" w14:paraId="1F8782A8" w14:textId="77777777">
      <w:pPr>
        <w:spacing w:after="160"/>
        <w:rPr>
          <w:bCs/>
        </w:rPr>
      </w:pPr>
      <w:r w:rsidRPr="00AF5AEE">
        <w:rPr>
          <w:bCs/>
        </w:rPr>
        <w:t>Attachment H. Letter of Support</w:t>
      </w:r>
      <w:r w:rsidRPr="00AF5AEE">
        <w:rPr>
          <w:bCs/>
        </w:rPr>
        <w:tab/>
      </w:r>
    </w:p>
    <w:p w:rsidR="00BA66B8" w:rsidRPr="00AF5AEE" w:rsidP="0051795E" w14:paraId="2CAC1CFB" w14:textId="77777777">
      <w:pPr>
        <w:spacing w:after="160"/>
        <w:rPr>
          <w:bCs/>
        </w:rPr>
      </w:pPr>
      <w:r w:rsidRPr="00AF5AEE">
        <w:rPr>
          <w:bCs/>
        </w:rPr>
        <w:t>Attachment I: Email Invitation</w:t>
      </w:r>
    </w:p>
    <w:p w:rsidR="00BA66B8" w:rsidRPr="00AF5AEE" w:rsidP="0051795E" w14:paraId="61E09AA1" w14:textId="77777777">
      <w:pPr>
        <w:spacing w:after="160"/>
        <w:rPr>
          <w:bCs/>
        </w:rPr>
      </w:pPr>
      <w:r w:rsidRPr="00AF5AEE">
        <w:rPr>
          <w:bCs/>
        </w:rPr>
        <w:t>Attachment J: First Reminder Letter</w:t>
      </w:r>
      <w:r w:rsidRPr="00AF5AEE">
        <w:rPr>
          <w:bCs/>
        </w:rPr>
        <w:tab/>
      </w:r>
    </w:p>
    <w:p w:rsidR="00BA66B8" w:rsidRPr="00AF5AEE" w:rsidP="0051795E" w14:paraId="0098FD57" w14:textId="77777777">
      <w:pPr>
        <w:spacing w:after="160"/>
        <w:rPr>
          <w:bCs/>
        </w:rPr>
      </w:pPr>
      <w:r w:rsidRPr="00AF5AEE">
        <w:rPr>
          <w:bCs/>
        </w:rPr>
        <w:t>Attachment K: Second Reminder Email</w:t>
      </w:r>
      <w:r w:rsidRPr="00AF5AEE">
        <w:rPr>
          <w:bCs/>
        </w:rPr>
        <w:tab/>
      </w:r>
    </w:p>
    <w:p w:rsidR="00BA66B8" w:rsidRPr="00AF5AEE" w:rsidP="0051795E" w14:paraId="083BA6D6" w14:textId="77777777">
      <w:pPr>
        <w:spacing w:after="160"/>
        <w:rPr>
          <w:bCs/>
        </w:rPr>
      </w:pPr>
      <w:r w:rsidRPr="00AF5AEE">
        <w:rPr>
          <w:bCs/>
        </w:rPr>
        <w:t>Attachment L: Third Reminder Postcard</w:t>
      </w:r>
      <w:r w:rsidRPr="00AF5AEE">
        <w:rPr>
          <w:bCs/>
        </w:rPr>
        <w:tab/>
      </w:r>
    </w:p>
    <w:p w:rsidR="00BA66B8" w:rsidRPr="00AF5AEE" w:rsidP="0051795E" w14:paraId="737C0401" w14:textId="77777777">
      <w:pPr>
        <w:spacing w:after="160"/>
        <w:rPr>
          <w:bCs/>
        </w:rPr>
      </w:pPr>
      <w:r w:rsidRPr="00AF5AEE">
        <w:rPr>
          <w:bCs/>
        </w:rPr>
        <w:t>Attachment M: Fourth Reminder Letter</w:t>
      </w:r>
      <w:r w:rsidRPr="00AF5AEE">
        <w:rPr>
          <w:bCs/>
        </w:rPr>
        <w:tab/>
      </w:r>
    </w:p>
    <w:p w:rsidR="00BA66B8" w:rsidRPr="00AF5AEE" w:rsidP="0051795E" w14:paraId="77B2A2C4" w14:textId="77777777">
      <w:pPr>
        <w:spacing w:after="160"/>
        <w:rPr>
          <w:bCs/>
        </w:rPr>
      </w:pPr>
      <w:r w:rsidRPr="00AF5AEE">
        <w:rPr>
          <w:bCs/>
        </w:rPr>
        <w:t>Attachment N: Fifth Reminder Email</w:t>
      </w:r>
      <w:r w:rsidRPr="00AF5AEE">
        <w:rPr>
          <w:bCs/>
        </w:rPr>
        <w:tab/>
      </w:r>
    </w:p>
    <w:p w:rsidR="00BA66B8" w:rsidRPr="00AF5AEE" w:rsidP="0051795E" w14:paraId="1B1B404D" w14:textId="77777777">
      <w:pPr>
        <w:spacing w:after="160"/>
        <w:rPr>
          <w:bCs/>
        </w:rPr>
      </w:pPr>
      <w:r w:rsidRPr="00AF5AEE">
        <w:rPr>
          <w:bCs/>
        </w:rPr>
        <w:t>Attachment O: Sixth Reminder Letter</w:t>
      </w:r>
      <w:r w:rsidRPr="00AF5AEE">
        <w:rPr>
          <w:bCs/>
        </w:rPr>
        <w:tab/>
      </w:r>
    </w:p>
    <w:p w:rsidR="00BA66B8" w:rsidRPr="00AF5AEE" w:rsidP="0051795E" w14:paraId="7F7E90A0" w14:textId="77777777">
      <w:pPr>
        <w:spacing w:after="160"/>
        <w:rPr>
          <w:bCs/>
        </w:rPr>
      </w:pPr>
      <w:r w:rsidRPr="00AF5AEE">
        <w:rPr>
          <w:bCs/>
        </w:rPr>
        <w:t>Attachment P: Seventh Reminder Letter</w:t>
      </w:r>
    </w:p>
    <w:p w:rsidR="00BA66B8" w:rsidRPr="00AF5AEE" w:rsidP="0051795E" w14:paraId="357F5558" w14:textId="77777777">
      <w:pPr>
        <w:spacing w:after="160"/>
        <w:rPr>
          <w:bCs/>
        </w:rPr>
      </w:pPr>
      <w:r w:rsidRPr="00AF5AEE">
        <w:rPr>
          <w:bCs/>
        </w:rPr>
        <w:t>Attachment Q: Sample Phone Follow-Up Script</w:t>
      </w:r>
      <w:r w:rsidRPr="00AF5AEE">
        <w:rPr>
          <w:bCs/>
        </w:rPr>
        <w:tab/>
      </w:r>
    </w:p>
    <w:p w:rsidR="00BA66B8" w:rsidRPr="00AF5AEE" w:rsidP="0051795E" w14:paraId="70F9D753" w14:textId="77777777">
      <w:pPr>
        <w:spacing w:after="160"/>
        <w:rPr>
          <w:bCs/>
        </w:rPr>
      </w:pPr>
      <w:r w:rsidRPr="00AF5AEE">
        <w:rPr>
          <w:bCs/>
        </w:rPr>
        <w:t>Attachment R: Eighth Reminder Email</w:t>
      </w:r>
    </w:p>
    <w:p w:rsidR="00BA66B8" w:rsidRPr="00AF5AEE" w:rsidP="0051795E" w14:paraId="3BC67A7F" w14:textId="77777777">
      <w:pPr>
        <w:spacing w:after="160"/>
        <w:rPr>
          <w:bCs/>
        </w:rPr>
      </w:pPr>
      <w:r w:rsidRPr="00AF5AEE">
        <w:rPr>
          <w:bCs/>
        </w:rPr>
        <w:t>Attachment S: Ninth Reminder Letter</w:t>
      </w:r>
    </w:p>
    <w:p w:rsidR="00BA66B8" w:rsidRPr="00AF5AEE" w:rsidP="0051795E" w14:paraId="485630FA" w14:textId="77777777">
      <w:pPr>
        <w:spacing w:after="160"/>
        <w:rPr>
          <w:bCs/>
        </w:rPr>
      </w:pPr>
      <w:r w:rsidRPr="00AF5AEE">
        <w:rPr>
          <w:bCs/>
        </w:rPr>
        <w:t>Attachment T: Tenth Reminder Letter</w:t>
      </w:r>
    </w:p>
    <w:p w:rsidR="00BA66B8" w:rsidRPr="00AF5AEE" w:rsidP="0051795E" w14:paraId="2DA1D4AB" w14:textId="77777777">
      <w:pPr>
        <w:spacing w:after="160"/>
        <w:rPr>
          <w:bCs/>
        </w:rPr>
      </w:pPr>
      <w:r w:rsidRPr="00AF5AEE">
        <w:rPr>
          <w:bCs/>
        </w:rPr>
        <w:t>Attachment U: End-of-Study Letter</w:t>
      </w:r>
      <w:r w:rsidRPr="00AF5AEE">
        <w:rPr>
          <w:bCs/>
        </w:rPr>
        <w:tab/>
      </w:r>
    </w:p>
    <w:p w:rsidR="00BA66B8" w:rsidRPr="00AF5AEE" w:rsidP="0051795E" w14:paraId="3468628A" w14:textId="77777777">
      <w:pPr>
        <w:spacing w:after="160"/>
        <w:rPr>
          <w:bCs/>
        </w:rPr>
      </w:pPr>
      <w:r w:rsidRPr="00AF5AEE">
        <w:rPr>
          <w:bCs/>
        </w:rPr>
        <w:t>Attachment V: End-of-Study Email</w:t>
      </w:r>
      <w:r w:rsidRPr="00AF5AEE">
        <w:rPr>
          <w:bCs/>
        </w:rPr>
        <w:tab/>
      </w:r>
    </w:p>
    <w:p w:rsidR="00BA66B8" w:rsidRPr="00AF5AEE" w:rsidP="0051795E" w14:paraId="23990760" w14:textId="77777777">
      <w:pPr>
        <w:spacing w:after="160"/>
        <w:rPr>
          <w:bCs/>
        </w:rPr>
      </w:pPr>
      <w:r w:rsidRPr="00AF5AEE">
        <w:rPr>
          <w:bCs/>
        </w:rPr>
        <w:t>Attachment W: Thank You Letter</w:t>
      </w:r>
    </w:p>
    <w:p w:rsidR="00BA66B8" w:rsidP="0051795E" w14:paraId="40BCAD0A" w14:textId="77777777">
      <w:pPr>
        <w:spacing w:after="160"/>
        <w:rPr>
          <w:bCs/>
        </w:rPr>
      </w:pPr>
      <w:r w:rsidRPr="00AF5AEE">
        <w:rPr>
          <w:bCs/>
        </w:rPr>
        <w:t>Attachment X: Help Desk Frequently Asked Questions</w:t>
      </w:r>
    </w:p>
    <w:p w:rsidR="00BA66B8" w:rsidP="00A93C79" w14:paraId="1A3AF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Sect="004259D9">
      <w:headerReference w:type="default" r:id="rId10"/>
      <w:footerReference w:type="default" r:id="rId11"/>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Baskerville Book">
    <w:altName w:val="Baskerville Old Fac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9EE" w14:paraId="2A486B44" w14:textId="5F7B356E">
    <w:pPr>
      <w:pStyle w:val="Footer"/>
      <w:jc w:val="center"/>
    </w:pPr>
    <w:r>
      <w:fldChar w:fldCharType="begin"/>
    </w:r>
    <w:r>
      <w:instrText xml:space="preserve"> PAGE   \* MERGEFORMAT </w:instrText>
    </w:r>
    <w:r>
      <w:fldChar w:fldCharType="separate"/>
    </w:r>
    <w:r>
      <w:rPr>
        <w:noProof/>
      </w:rPr>
      <w:t>24</w:t>
    </w:r>
    <w:r>
      <w:rPr>
        <w:noProof/>
      </w:rPr>
      <w:fldChar w:fldCharType="end"/>
    </w:r>
  </w:p>
  <w:p w:rsidR="008739EE" w14:paraId="3747E1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3AE5" w:rsidP="00AF7585" w14:paraId="30131972" w14:textId="77777777">
      <w:r>
        <w:separator/>
      </w:r>
    </w:p>
  </w:footnote>
  <w:footnote w:type="continuationSeparator" w:id="1">
    <w:p w:rsidR="00223AE5" w:rsidP="00AF7585" w14:paraId="648DF2AC" w14:textId="77777777">
      <w:r>
        <w:continuationSeparator/>
      </w:r>
    </w:p>
  </w:footnote>
  <w:footnote w:type="continuationNotice" w:id="2">
    <w:p w:rsidR="00223AE5" w14:paraId="056DD0BF" w14:textId="77777777"/>
  </w:footnote>
  <w:footnote w:id="3">
    <w:p w:rsidR="008739EE" w14:paraId="41762D89" w14:textId="4A468259">
      <w:pPr>
        <w:pStyle w:val="FootnoteText"/>
      </w:pPr>
      <w:r>
        <w:rPr>
          <w:rStyle w:val="FootnoteReference"/>
        </w:rPr>
        <w:footnoteRef/>
      </w:r>
      <w:r>
        <w:t xml:space="preserve"> A sworn officer with general arrest powers is a person formally authorized to make arrests for all crimes without geographic jurisdiction limitation while acting with the scope of explicit legal authority.</w:t>
      </w:r>
    </w:p>
  </w:footnote>
  <w:footnote w:id="4">
    <w:p w:rsidR="00721D77" w14:paraId="0E7C74FC" w14:textId="32DBA437">
      <w:pPr>
        <w:pStyle w:val="FootnoteText"/>
      </w:pPr>
      <w:r>
        <w:rPr>
          <w:rStyle w:val="FootnoteReference"/>
        </w:rPr>
        <w:footnoteRef/>
      </w:r>
      <w:r>
        <w:t xml:space="preserve"> See </w:t>
      </w:r>
      <w:hyperlink r:id="rId1" w:history="1">
        <w:r w:rsidRPr="00721D77">
          <w:rPr>
            <w:rStyle w:val="Hyperlink"/>
          </w:rPr>
          <w:t>https://pcms.icpsr.umich.edu/pcms/metrics/studies/38771/utilization</w:t>
        </w:r>
      </w:hyperlink>
      <w:r>
        <w:t xml:space="preserve"> as of March 13, 2026.</w:t>
      </w:r>
    </w:p>
  </w:footnote>
  <w:footnote w:id="5">
    <w:p w:rsidR="00651729" w:rsidRPr="003A1432" w:rsidP="00651729" w14:paraId="71345A60" w14:textId="49278637">
      <w:pPr>
        <w:pStyle w:val="FootnoteText"/>
        <w:rPr>
          <w:sz w:val="18"/>
          <w:szCs w:val="18"/>
        </w:rPr>
      </w:pPr>
      <w:r w:rsidRPr="003A1432">
        <w:rPr>
          <w:rStyle w:val="FootnoteReference"/>
          <w:sz w:val="18"/>
          <w:szCs w:val="18"/>
        </w:rPr>
        <w:footnoteRef/>
      </w:r>
      <w:r w:rsidRPr="003A1432">
        <w:rPr>
          <w:sz w:val="18"/>
          <w:szCs w:val="18"/>
          <w:vertAlign w:val="superscript"/>
        </w:rPr>
        <w:t xml:space="preserve"> </w:t>
      </w:r>
      <w:r w:rsidRPr="003A1432">
        <w:rPr>
          <w:sz w:val="18"/>
          <w:szCs w:val="18"/>
        </w:rPr>
        <w:t>Institution-level surveys of</w:t>
      </w:r>
      <w:r w:rsidRPr="003A1432">
        <w:rPr>
          <w:sz w:val="18"/>
          <w:szCs w:val="18"/>
        </w:rPr>
        <w:t xml:space="preserve"> </w:t>
      </w:r>
      <w:r w:rsidR="0059764F">
        <w:rPr>
          <w:sz w:val="18"/>
          <w:szCs w:val="18"/>
        </w:rPr>
        <w:t xml:space="preserve">law enforcement agencies </w:t>
      </w:r>
      <w:r w:rsidRPr="003A1432">
        <w:rPr>
          <w:sz w:val="18"/>
          <w:szCs w:val="18"/>
        </w:rPr>
        <w:t xml:space="preserve">are typically directed to the chief executive, who will then assign data gathering to other units and employees.  Once gathered, the data are typically reviewed by the chief executive and submitted either by the executive directly or by a point of contact assigned by the chief executive.  This is a common experience across our LECS-related work and other </w:t>
      </w:r>
      <w:r w:rsidR="00BB618B">
        <w:rPr>
          <w:sz w:val="18"/>
          <w:szCs w:val="18"/>
        </w:rPr>
        <w:t>law enforcement agency</w:t>
      </w:r>
      <w:r w:rsidRPr="003A1432">
        <w:rPr>
          <w:sz w:val="18"/>
          <w:szCs w:val="18"/>
        </w:rPr>
        <w:t xml:space="preserve"> surveys. </w:t>
      </w:r>
    </w:p>
  </w:footnote>
  <w:footnote w:id="6">
    <w:p w:rsidR="009A73E7" w:rsidRPr="00CF25FC" w:rsidP="00E640F8" w14:paraId="4C786FA3" w14:textId="5B67F271">
      <w:pPr>
        <w:ind w:left="720" w:hanging="720"/>
        <w:rPr>
          <w:sz w:val="20"/>
          <w:szCs w:val="20"/>
        </w:rPr>
      </w:pPr>
      <w:r>
        <w:rPr>
          <w:rStyle w:val="FootnoteReference"/>
        </w:rPr>
        <w:footnoteRef/>
      </w:r>
      <w:r w:rsidRPr="009A73E7">
        <w:rPr>
          <w:sz w:val="20"/>
          <w:szCs w:val="20"/>
        </w:rPr>
        <w:t xml:space="preserve"> Reaves, B. (2011). Census of State and Local Law Enforcement Agencies, 2008. Washington, D.C.: Bureau of Justice Statistics.</w:t>
      </w:r>
    </w:p>
  </w:footnote>
  <w:footnote w:id="7">
    <w:p w:rsidR="00CF25FC" w:rsidRPr="00CF25FC" w:rsidP="00E640F8" w14:paraId="22AC20F0" w14:textId="29937104">
      <w:pPr>
        <w:ind w:left="720" w:hanging="720"/>
        <w:rPr>
          <w:sz w:val="20"/>
          <w:szCs w:val="20"/>
        </w:rPr>
      </w:pPr>
      <w:r>
        <w:rPr>
          <w:rStyle w:val="FootnoteReference"/>
        </w:rPr>
        <w:footnoteRef/>
      </w:r>
      <w:r>
        <w:t xml:space="preserve"> </w:t>
      </w:r>
      <w:r w:rsidRPr="00CF25FC">
        <w:rPr>
          <w:sz w:val="20"/>
          <w:szCs w:val="20"/>
        </w:rPr>
        <w:t>Banks, D., Hendrix, J., Hickman, M.J., &amp; Kyckelhahn, T. (2016)</w:t>
      </w:r>
      <w:r w:rsidR="007921ED">
        <w:rPr>
          <w:sz w:val="20"/>
          <w:szCs w:val="20"/>
        </w:rPr>
        <w:t>.</w:t>
      </w:r>
      <w:r w:rsidRPr="00CF25FC">
        <w:rPr>
          <w:sz w:val="20"/>
          <w:szCs w:val="20"/>
        </w:rPr>
        <w:t xml:space="preserve"> National Sources of Law Enforcement Employment Data. Washington, D.C.: Bureau of Justice Statistics.</w:t>
      </w:r>
    </w:p>
    <w:p w:rsidR="00CF25FC" w14:paraId="2B48A363" w14:textId="407857C7">
      <w:pPr>
        <w:pStyle w:val="FootnoteText"/>
      </w:pPr>
    </w:p>
  </w:footnote>
  <w:footnote w:id="8">
    <w:p w:rsidR="00673A09" w:rsidRPr="003A1432" w:rsidP="00673A09" w14:paraId="377ECA94" w14:textId="77777777">
      <w:pPr>
        <w:pStyle w:val="FootnoteText"/>
        <w:rPr>
          <w:sz w:val="18"/>
          <w:szCs w:val="18"/>
        </w:rPr>
      </w:pPr>
      <w:r w:rsidRPr="003A1432">
        <w:rPr>
          <w:rStyle w:val="FootnoteReference"/>
          <w:sz w:val="18"/>
          <w:szCs w:val="18"/>
        </w:rPr>
        <w:footnoteRef/>
      </w:r>
      <w:r w:rsidRPr="003A1432">
        <w:rPr>
          <w:sz w:val="18"/>
          <w:szCs w:val="18"/>
          <w:vertAlign w:val="superscript"/>
        </w:rPr>
        <w:t xml:space="preserve"> </w:t>
      </w:r>
      <w:r>
        <w:rPr>
          <w:sz w:val="18"/>
          <w:szCs w:val="18"/>
        </w:rPr>
        <w:t>Occupational Tables</w:t>
      </w:r>
      <w:r w:rsidRPr="003A1432">
        <w:rPr>
          <w:sz w:val="18"/>
          <w:szCs w:val="18"/>
        </w:rPr>
        <w:t xml:space="preserve"> for police and sheriff’s patrol officers</w:t>
      </w:r>
      <w:r>
        <w:rPr>
          <w:sz w:val="18"/>
          <w:szCs w:val="18"/>
        </w:rPr>
        <w:t xml:space="preserve"> as of May 2024 are here: </w:t>
      </w:r>
      <w:hyperlink r:id="rId2" w:history="1">
        <w:r>
          <w:rPr>
            <w:rStyle w:val="Hyperlink"/>
          </w:rPr>
          <w:t>https://www.bls.gov/oes/tables.htm</w:t>
        </w:r>
      </w:hyperlink>
      <w:r>
        <w:t>.</w:t>
      </w:r>
    </w:p>
  </w:footnote>
  <w:footnote w:id="9">
    <w:p w:rsidR="00233631" w:rsidP="00233631" w14:paraId="3FBBBAF9" w14:textId="77777777">
      <w:pPr>
        <w:pStyle w:val="FootnoteText"/>
      </w:pPr>
      <w:r>
        <w:rPr>
          <w:rStyle w:val="FootnoteReference"/>
        </w:rPr>
        <w:footnoteRef/>
      </w:r>
      <w:r>
        <w:t xml:space="preserve"> </w:t>
      </w:r>
      <w:r>
        <w:rPr>
          <w:i/>
          <w:iCs/>
        </w:rPr>
        <w:t>Ibid.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9FA" w:rsidRPr="003A49FA" w14:paraId="1851C226" w14:textId="716B11D3">
    <w:pPr>
      <w:pStyle w:val="Header"/>
      <w:rPr>
        <w:sz w:val="20"/>
        <w:szCs w:val="20"/>
      </w:rPr>
    </w:pPr>
    <w:r w:rsidRPr="003A49FA">
      <w:rPr>
        <w:sz w:val="20"/>
        <w:szCs w:val="20"/>
      </w:rPr>
      <w:t>Census of State and Local Law Enforcement Agencies</w:t>
    </w:r>
  </w:p>
  <w:p w:rsidR="003A49FA" w:rsidRPr="003A49FA" w14:paraId="62577829" w14:textId="72EEC4D7">
    <w:pPr>
      <w:pStyle w:val="Header"/>
      <w:rPr>
        <w:sz w:val="20"/>
        <w:szCs w:val="20"/>
      </w:rPr>
    </w:pPr>
    <w:r w:rsidRPr="003A49FA">
      <w:rPr>
        <w:sz w:val="20"/>
        <w:szCs w:val="20"/>
      </w:rPr>
      <w:t>OMB Control Number 1121-0346</w:t>
    </w:r>
  </w:p>
  <w:p w:rsidR="003A49FA" w:rsidRPr="003A49FA" w14:paraId="6EA63F9A" w14:textId="16CDA4F0">
    <w:pPr>
      <w:pStyle w:val="Header"/>
      <w:rPr>
        <w:sz w:val="20"/>
        <w:szCs w:val="20"/>
      </w:rPr>
    </w:pPr>
    <w:r w:rsidRPr="003A49FA">
      <w:rPr>
        <w:sz w:val="20"/>
        <w:szCs w:val="20"/>
      </w:rPr>
      <w:t>OMB Expiration Date XX/XX/XXXX</w:t>
    </w:r>
  </w:p>
  <w:p w:rsidR="003A49FA" w14:paraId="26B32A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742235B"/>
    <w:multiLevelType w:val="hybridMultilevel"/>
    <w:tmpl w:val="0E648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37D37"/>
    <w:multiLevelType w:val="hybridMultilevel"/>
    <w:tmpl w:val="7DD24CB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E0DC6"/>
    <w:multiLevelType w:val="hybridMultilevel"/>
    <w:tmpl w:val="1E98F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BD362C"/>
    <w:multiLevelType w:val="hybridMultilevel"/>
    <w:tmpl w:val="00EE09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E3C5581"/>
    <w:multiLevelType w:val="hybridMultilevel"/>
    <w:tmpl w:val="2C00869A"/>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277D6B"/>
    <w:multiLevelType w:val="hybridMultilevel"/>
    <w:tmpl w:val="70F0117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D77D87"/>
    <w:multiLevelType w:val="hybridMultilevel"/>
    <w:tmpl w:val="0A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F63D5B"/>
    <w:multiLevelType w:val="hybridMultilevel"/>
    <w:tmpl w:val="D460217C"/>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
    <w:nsid w:val="181C31A7"/>
    <w:multiLevelType w:val="hybridMultilevel"/>
    <w:tmpl w:val="0438503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186643B6"/>
    <w:multiLevelType w:val="hybridMultilevel"/>
    <w:tmpl w:val="61BCBDF2"/>
    <w:lvl w:ilvl="0">
      <w:start w:val="3"/>
      <w:numFmt w:val="bullet"/>
      <w:lvlText w:val="-"/>
      <w:lvlJc w:val="left"/>
      <w:pPr>
        <w:ind w:left="996" w:hanging="360"/>
      </w:pPr>
      <w:rPr>
        <w:rFonts w:ascii="Times New Roman" w:eastAsia="Times New Roman" w:hAnsi="Times New Roman" w:hint="default"/>
      </w:rPr>
    </w:lvl>
    <w:lvl w:ilvl="1" w:tentative="1">
      <w:start w:val="1"/>
      <w:numFmt w:val="bullet"/>
      <w:lvlText w:val="o"/>
      <w:lvlJc w:val="left"/>
      <w:pPr>
        <w:ind w:left="1716" w:hanging="360"/>
      </w:pPr>
      <w:rPr>
        <w:rFonts w:ascii="Courier New" w:hAnsi="Courier New" w:hint="default"/>
      </w:rPr>
    </w:lvl>
    <w:lvl w:ilvl="2" w:tentative="1">
      <w:start w:val="1"/>
      <w:numFmt w:val="bullet"/>
      <w:lvlText w:val=""/>
      <w:lvlJc w:val="left"/>
      <w:pPr>
        <w:ind w:left="2436" w:hanging="360"/>
      </w:pPr>
      <w:rPr>
        <w:rFonts w:ascii="Wingdings" w:hAnsi="Wingdings" w:hint="default"/>
      </w:rPr>
    </w:lvl>
    <w:lvl w:ilvl="3" w:tentative="1">
      <w:start w:val="1"/>
      <w:numFmt w:val="bullet"/>
      <w:lvlText w:val=""/>
      <w:lvlJc w:val="left"/>
      <w:pPr>
        <w:ind w:left="3156" w:hanging="360"/>
      </w:pPr>
      <w:rPr>
        <w:rFonts w:ascii="Symbol" w:hAnsi="Symbol" w:hint="default"/>
      </w:rPr>
    </w:lvl>
    <w:lvl w:ilvl="4" w:tentative="1">
      <w:start w:val="1"/>
      <w:numFmt w:val="bullet"/>
      <w:lvlText w:val="o"/>
      <w:lvlJc w:val="left"/>
      <w:pPr>
        <w:ind w:left="3876" w:hanging="360"/>
      </w:pPr>
      <w:rPr>
        <w:rFonts w:ascii="Courier New" w:hAnsi="Courier New" w:hint="default"/>
      </w:rPr>
    </w:lvl>
    <w:lvl w:ilvl="5" w:tentative="1">
      <w:start w:val="1"/>
      <w:numFmt w:val="bullet"/>
      <w:lvlText w:val=""/>
      <w:lvlJc w:val="left"/>
      <w:pPr>
        <w:ind w:left="4596" w:hanging="360"/>
      </w:pPr>
      <w:rPr>
        <w:rFonts w:ascii="Wingdings" w:hAnsi="Wingdings" w:hint="default"/>
      </w:rPr>
    </w:lvl>
    <w:lvl w:ilvl="6" w:tentative="1">
      <w:start w:val="1"/>
      <w:numFmt w:val="bullet"/>
      <w:lvlText w:val=""/>
      <w:lvlJc w:val="left"/>
      <w:pPr>
        <w:ind w:left="5316" w:hanging="360"/>
      </w:pPr>
      <w:rPr>
        <w:rFonts w:ascii="Symbol" w:hAnsi="Symbol" w:hint="default"/>
      </w:rPr>
    </w:lvl>
    <w:lvl w:ilvl="7" w:tentative="1">
      <w:start w:val="1"/>
      <w:numFmt w:val="bullet"/>
      <w:lvlText w:val="o"/>
      <w:lvlJc w:val="left"/>
      <w:pPr>
        <w:ind w:left="6036" w:hanging="360"/>
      </w:pPr>
      <w:rPr>
        <w:rFonts w:ascii="Courier New" w:hAnsi="Courier New" w:hint="default"/>
      </w:rPr>
    </w:lvl>
    <w:lvl w:ilvl="8" w:tentative="1">
      <w:start w:val="1"/>
      <w:numFmt w:val="bullet"/>
      <w:lvlText w:val=""/>
      <w:lvlJc w:val="left"/>
      <w:pPr>
        <w:ind w:left="6756" w:hanging="360"/>
      </w:pPr>
      <w:rPr>
        <w:rFonts w:ascii="Wingdings" w:hAnsi="Wingdings" w:hint="default"/>
      </w:rPr>
    </w:lvl>
  </w:abstractNum>
  <w:abstractNum w:abstractNumId="11">
    <w:nsid w:val="1D9C2912"/>
    <w:multiLevelType w:val="hybridMultilevel"/>
    <w:tmpl w:val="A3C43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3409FC"/>
    <w:multiLevelType w:val="hybridMultilevel"/>
    <w:tmpl w:val="74A443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89C3548"/>
    <w:multiLevelType w:val="hybridMultilevel"/>
    <w:tmpl w:val="D266309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AC050BE"/>
    <w:multiLevelType w:val="hybridMultilevel"/>
    <w:tmpl w:val="A45E5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923720"/>
    <w:multiLevelType w:val="hybridMultilevel"/>
    <w:tmpl w:val="039E301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6">
    <w:nsid w:val="2F672FA6"/>
    <w:multiLevelType w:val="hybridMultilevel"/>
    <w:tmpl w:val="9C388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E46293"/>
    <w:multiLevelType w:val="hybridMultilevel"/>
    <w:tmpl w:val="C01C845E"/>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361529"/>
    <w:multiLevelType w:val="hybridMultilevel"/>
    <w:tmpl w:val="F26A4D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397F016C"/>
    <w:multiLevelType w:val="hybridMultilevel"/>
    <w:tmpl w:val="9C448182"/>
    <w:lvl w:ilvl="0">
      <w:start w:val="0"/>
      <w:numFmt w:val="bullet"/>
      <w:lvlText w:val=""/>
      <w:lvlJc w:val="left"/>
      <w:pPr>
        <w:ind w:left="360" w:hanging="360"/>
      </w:pPr>
      <w:rPr>
        <w:rFonts w:ascii="Symbol" w:eastAsia="Times New Roman"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A9E71E6"/>
    <w:multiLevelType w:val="hybridMultilevel"/>
    <w:tmpl w:val="BE208B0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B17E6D"/>
    <w:multiLevelType w:val="hybridMultilevel"/>
    <w:tmpl w:val="96B643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8B12EE"/>
    <w:multiLevelType w:val="hybridMultilevel"/>
    <w:tmpl w:val="C012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5A2D83"/>
    <w:multiLevelType w:val="hybridMultilevel"/>
    <w:tmpl w:val="0412A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7D4E39"/>
    <w:multiLevelType w:val="hybridMultilevel"/>
    <w:tmpl w:val="5F14E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9E53B9"/>
    <w:multiLevelType w:val="hybridMultilevel"/>
    <w:tmpl w:val="5F7A3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BF58E1"/>
    <w:multiLevelType w:val="hybridMultilevel"/>
    <w:tmpl w:val="A3406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FB5D6A"/>
    <w:multiLevelType w:val="hybridMultilevel"/>
    <w:tmpl w:val="2620DC7C"/>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8BF0AE9"/>
    <w:multiLevelType w:val="hybridMultilevel"/>
    <w:tmpl w:val="E2545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AD6DCF"/>
    <w:multiLevelType w:val="hybridMultilevel"/>
    <w:tmpl w:val="FA6A4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3F55C3"/>
    <w:multiLevelType w:val="hybridMultilevel"/>
    <w:tmpl w:val="D59C5A70"/>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31">
    <w:nsid w:val="4EAC5260"/>
    <w:multiLevelType w:val="hybridMultilevel"/>
    <w:tmpl w:val="66181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4732F5"/>
    <w:multiLevelType w:val="hybridMultilevel"/>
    <w:tmpl w:val="48BCA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BDE2799"/>
    <w:multiLevelType w:val="hybridMultilevel"/>
    <w:tmpl w:val="A6B03F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3DB255F"/>
    <w:multiLevelType w:val="hybridMultilevel"/>
    <w:tmpl w:val="E2EE68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50250A3"/>
    <w:multiLevelType w:val="hybridMultilevel"/>
    <w:tmpl w:val="A6823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A53301C"/>
    <w:multiLevelType w:val="hybridMultilevel"/>
    <w:tmpl w:val="DDBE3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CD6151F"/>
    <w:multiLevelType w:val="hybridMultilevel"/>
    <w:tmpl w:val="3A16BEA6"/>
    <w:lvl w:ilvl="0">
      <w:start w:val="20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1B7937"/>
    <w:multiLevelType w:val="hybridMultilevel"/>
    <w:tmpl w:val="AA1685E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3F4B34"/>
    <w:multiLevelType w:val="hybridMultilevel"/>
    <w:tmpl w:val="8932B6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0">
    <w:nsid w:val="754C2426"/>
    <w:multiLevelType w:val="hybridMultilevel"/>
    <w:tmpl w:val="E4983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073A9C"/>
    <w:multiLevelType w:val="hybridMultilevel"/>
    <w:tmpl w:val="47C6F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72323F"/>
    <w:multiLevelType w:val="hybridMultilevel"/>
    <w:tmpl w:val="C8087A80"/>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290653"/>
    <w:multiLevelType w:val="hybridMultilevel"/>
    <w:tmpl w:val="8932B6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4">
    <w:nsid w:val="78454D23"/>
    <w:multiLevelType w:val="hybridMultilevel"/>
    <w:tmpl w:val="0D668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BE254C8"/>
    <w:multiLevelType w:val="hybridMultilevel"/>
    <w:tmpl w:val="12E89A50"/>
    <w:lvl w:ilvl="0">
      <w:start w:val="1"/>
      <w:numFmt w:val="decimal"/>
      <w:lvlText w:val="%1."/>
      <w:lvlJc w:val="left"/>
      <w:pPr>
        <w:ind w:left="720" w:hanging="360"/>
      </w:pPr>
      <w:rPr>
        <w:rFonts w:cs="Times New Roman" w:hint="default"/>
        <w:u w:val="no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7CFD3980"/>
    <w:multiLevelType w:val="hybridMultilevel"/>
    <w:tmpl w:val="717E4D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5565968">
    <w:abstractNumId w:val="35"/>
  </w:num>
  <w:num w:numId="2" w16cid:durableId="1969118485">
    <w:abstractNumId w:val="36"/>
  </w:num>
  <w:num w:numId="3" w16cid:durableId="514344227">
    <w:abstractNumId w:val="44"/>
  </w:num>
  <w:num w:numId="4" w16cid:durableId="1539509393">
    <w:abstractNumId w:val="13"/>
  </w:num>
  <w:num w:numId="5" w16cid:durableId="1155485740">
    <w:abstractNumId w:val="39"/>
  </w:num>
  <w:num w:numId="6" w16cid:durableId="1947818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1064477">
    <w:abstractNumId w:val="19"/>
  </w:num>
  <w:num w:numId="8" w16cid:durableId="1065957571">
    <w:abstractNumId w:val="45"/>
  </w:num>
  <w:num w:numId="9" w16cid:durableId="379329443">
    <w:abstractNumId w:val="9"/>
  </w:num>
  <w:num w:numId="10" w16cid:durableId="795291119">
    <w:abstractNumId w:val="12"/>
  </w:num>
  <w:num w:numId="11" w16cid:durableId="1841458151">
    <w:abstractNumId w:val="31"/>
  </w:num>
  <w:num w:numId="12" w16cid:durableId="1549954114">
    <w:abstractNumId w:val="10"/>
  </w:num>
  <w:num w:numId="13" w16cid:durableId="1679311558">
    <w:abstractNumId w:val="40"/>
  </w:num>
  <w:num w:numId="14" w16cid:durableId="317654932">
    <w:abstractNumId w:val="26"/>
  </w:num>
  <w:num w:numId="15" w16cid:durableId="319890478">
    <w:abstractNumId w:val="2"/>
  </w:num>
  <w:num w:numId="16" w16cid:durableId="1906866012">
    <w:abstractNumId w:val="38"/>
  </w:num>
  <w:num w:numId="17" w16cid:durableId="1835218013">
    <w:abstractNumId w:val="27"/>
  </w:num>
  <w:num w:numId="18" w16cid:durableId="1703748652">
    <w:abstractNumId w:val="5"/>
  </w:num>
  <w:num w:numId="19" w16cid:durableId="1385718119">
    <w:abstractNumId w:val="20"/>
  </w:num>
  <w:num w:numId="20" w16cid:durableId="2084062826">
    <w:abstractNumId w:val="4"/>
  </w:num>
  <w:num w:numId="21" w16cid:durableId="1786383296">
    <w:abstractNumId w:val="33"/>
  </w:num>
  <w:num w:numId="22" w16cid:durableId="1283074695">
    <w:abstractNumId w:val="34"/>
  </w:num>
  <w:num w:numId="23" w16cid:durableId="715662259">
    <w:abstractNumId w:val="25"/>
  </w:num>
  <w:num w:numId="24" w16cid:durableId="508718590">
    <w:abstractNumId w:val="14"/>
  </w:num>
  <w:num w:numId="25" w16cid:durableId="672415955">
    <w:abstractNumId w:val="11"/>
  </w:num>
  <w:num w:numId="26" w16cid:durableId="666513912">
    <w:abstractNumId w:val="37"/>
  </w:num>
  <w:num w:numId="27" w16cid:durableId="1252009133">
    <w:abstractNumId w:val="30"/>
  </w:num>
  <w:num w:numId="28" w16cid:durableId="2024235967">
    <w:abstractNumId w:val="8"/>
  </w:num>
  <w:num w:numId="29" w16cid:durableId="1997341372">
    <w:abstractNumId w:val="16"/>
  </w:num>
  <w:num w:numId="30" w16cid:durableId="674767246">
    <w:abstractNumId w:val="1"/>
  </w:num>
  <w:num w:numId="31" w16cid:durableId="1206066676">
    <w:abstractNumId w:val="43"/>
  </w:num>
  <w:num w:numId="32" w16cid:durableId="1041786286">
    <w:abstractNumId w:val="22"/>
  </w:num>
  <w:num w:numId="33" w16cid:durableId="200750774">
    <w:abstractNumId w:val="28"/>
  </w:num>
  <w:num w:numId="34" w16cid:durableId="9997701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52808">
    <w:abstractNumId w:val="32"/>
  </w:num>
  <w:num w:numId="36" w16cid:durableId="1027100470">
    <w:abstractNumId w:val="24"/>
  </w:num>
  <w:num w:numId="37" w16cid:durableId="1256473566">
    <w:abstractNumId w:val="29"/>
  </w:num>
  <w:num w:numId="38" w16cid:durableId="2113936010">
    <w:abstractNumId w:val="6"/>
  </w:num>
  <w:num w:numId="39" w16cid:durableId="1829134540">
    <w:abstractNumId w:val="21"/>
  </w:num>
  <w:num w:numId="40" w16cid:durableId="809518819">
    <w:abstractNumId w:val="23"/>
  </w:num>
  <w:num w:numId="41" w16cid:durableId="1180656734">
    <w:abstractNumId w:val="41"/>
  </w:num>
  <w:num w:numId="42" w16cid:durableId="425612022">
    <w:abstractNumId w:val="15"/>
  </w:num>
  <w:num w:numId="43"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44" w16cid:durableId="1844197320">
    <w:abstractNumId w:val="17"/>
  </w:num>
  <w:num w:numId="45" w16cid:durableId="84503208">
    <w:abstractNumId w:val="42"/>
  </w:num>
  <w:num w:numId="46" w16cid:durableId="1081951486">
    <w:abstractNumId w:val="7"/>
  </w:num>
  <w:num w:numId="47" w16cid:durableId="217281693">
    <w:abstractNumId w:val="3"/>
  </w:num>
  <w:num w:numId="48" w16cid:durableId="174360550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85"/>
    <w:rsid w:val="0000043D"/>
    <w:rsid w:val="00002117"/>
    <w:rsid w:val="00002D22"/>
    <w:rsid w:val="00003940"/>
    <w:rsid w:val="00004964"/>
    <w:rsid w:val="00004A0A"/>
    <w:rsid w:val="000058A8"/>
    <w:rsid w:val="00005DDE"/>
    <w:rsid w:val="0000639C"/>
    <w:rsid w:val="00012F22"/>
    <w:rsid w:val="00014493"/>
    <w:rsid w:val="0001462D"/>
    <w:rsid w:val="00014D8C"/>
    <w:rsid w:val="00015C7B"/>
    <w:rsid w:val="000163E6"/>
    <w:rsid w:val="00016C20"/>
    <w:rsid w:val="0001785E"/>
    <w:rsid w:val="00017E40"/>
    <w:rsid w:val="00020C9F"/>
    <w:rsid w:val="00022768"/>
    <w:rsid w:val="00022A58"/>
    <w:rsid w:val="00022E50"/>
    <w:rsid w:val="00024B8C"/>
    <w:rsid w:val="00030618"/>
    <w:rsid w:val="00030921"/>
    <w:rsid w:val="00030B08"/>
    <w:rsid w:val="0003174C"/>
    <w:rsid w:val="00032B4A"/>
    <w:rsid w:val="000336DF"/>
    <w:rsid w:val="00034043"/>
    <w:rsid w:val="00042DFD"/>
    <w:rsid w:val="000435F4"/>
    <w:rsid w:val="00043C8B"/>
    <w:rsid w:val="00045FE2"/>
    <w:rsid w:val="0005282E"/>
    <w:rsid w:val="00053349"/>
    <w:rsid w:val="00054BA9"/>
    <w:rsid w:val="00054F21"/>
    <w:rsid w:val="000572E6"/>
    <w:rsid w:val="000578A0"/>
    <w:rsid w:val="0005791D"/>
    <w:rsid w:val="00057B82"/>
    <w:rsid w:val="00061B18"/>
    <w:rsid w:val="0006289A"/>
    <w:rsid w:val="00064954"/>
    <w:rsid w:val="00064AC4"/>
    <w:rsid w:val="00064E84"/>
    <w:rsid w:val="00066683"/>
    <w:rsid w:val="00067B9A"/>
    <w:rsid w:val="000701B9"/>
    <w:rsid w:val="00070E3F"/>
    <w:rsid w:val="00071725"/>
    <w:rsid w:val="00074192"/>
    <w:rsid w:val="000744FB"/>
    <w:rsid w:val="00074C49"/>
    <w:rsid w:val="00075319"/>
    <w:rsid w:val="00075340"/>
    <w:rsid w:val="0007574D"/>
    <w:rsid w:val="00075C6E"/>
    <w:rsid w:val="000770AF"/>
    <w:rsid w:val="000800A8"/>
    <w:rsid w:val="0008064E"/>
    <w:rsid w:val="00080F72"/>
    <w:rsid w:val="000815A9"/>
    <w:rsid w:val="000829BF"/>
    <w:rsid w:val="00083EC8"/>
    <w:rsid w:val="00084A6E"/>
    <w:rsid w:val="0009114B"/>
    <w:rsid w:val="000938AE"/>
    <w:rsid w:val="000941A5"/>
    <w:rsid w:val="000944C0"/>
    <w:rsid w:val="00094DB1"/>
    <w:rsid w:val="000960E2"/>
    <w:rsid w:val="0009676C"/>
    <w:rsid w:val="000A370C"/>
    <w:rsid w:val="000A54AC"/>
    <w:rsid w:val="000A5D82"/>
    <w:rsid w:val="000B0998"/>
    <w:rsid w:val="000B13A3"/>
    <w:rsid w:val="000B23D0"/>
    <w:rsid w:val="000B2A2D"/>
    <w:rsid w:val="000B2E6B"/>
    <w:rsid w:val="000B447E"/>
    <w:rsid w:val="000B4651"/>
    <w:rsid w:val="000B50F8"/>
    <w:rsid w:val="000B66DB"/>
    <w:rsid w:val="000B68BB"/>
    <w:rsid w:val="000B7C89"/>
    <w:rsid w:val="000C04C1"/>
    <w:rsid w:val="000C2138"/>
    <w:rsid w:val="000C294D"/>
    <w:rsid w:val="000C29DC"/>
    <w:rsid w:val="000C2FF5"/>
    <w:rsid w:val="000C6B08"/>
    <w:rsid w:val="000C6DA8"/>
    <w:rsid w:val="000C7BE6"/>
    <w:rsid w:val="000D0F06"/>
    <w:rsid w:val="000D1D8D"/>
    <w:rsid w:val="000D2F8F"/>
    <w:rsid w:val="000D32F1"/>
    <w:rsid w:val="000D4699"/>
    <w:rsid w:val="000D5239"/>
    <w:rsid w:val="000D6E19"/>
    <w:rsid w:val="000D7A23"/>
    <w:rsid w:val="000D7AC5"/>
    <w:rsid w:val="000E0605"/>
    <w:rsid w:val="000E116B"/>
    <w:rsid w:val="000E2FE3"/>
    <w:rsid w:val="000E47EC"/>
    <w:rsid w:val="000E55AE"/>
    <w:rsid w:val="000E5B17"/>
    <w:rsid w:val="000E6548"/>
    <w:rsid w:val="000F09E0"/>
    <w:rsid w:val="000F0A24"/>
    <w:rsid w:val="000F1B88"/>
    <w:rsid w:val="000F543D"/>
    <w:rsid w:val="000F631B"/>
    <w:rsid w:val="000F73AC"/>
    <w:rsid w:val="00101128"/>
    <w:rsid w:val="00101302"/>
    <w:rsid w:val="00102D0A"/>
    <w:rsid w:val="00102E39"/>
    <w:rsid w:val="00102F47"/>
    <w:rsid w:val="00103272"/>
    <w:rsid w:val="00104824"/>
    <w:rsid w:val="00104FE0"/>
    <w:rsid w:val="00105617"/>
    <w:rsid w:val="001062D1"/>
    <w:rsid w:val="001071AB"/>
    <w:rsid w:val="00111B71"/>
    <w:rsid w:val="00112738"/>
    <w:rsid w:val="00112868"/>
    <w:rsid w:val="00114F73"/>
    <w:rsid w:val="0011542F"/>
    <w:rsid w:val="00115C73"/>
    <w:rsid w:val="00120977"/>
    <w:rsid w:val="001215E8"/>
    <w:rsid w:val="00122EA6"/>
    <w:rsid w:val="001233D5"/>
    <w:rsid w:val="00123BA9"/>
    <w:rsid w:val="001244BC"/>
    <w:rsid w:val="00124CAE"/>
    <w:rsid w:val="00125097"/>
    <w:rsid w:val="00125634"/>
    <w:rsid w:val="00132388"/>
    <w:rsid w:val="001327DA"/>
    <w:rsid w:val="00132E59"/>
    <w:rsid w:val="001347A1"/>
    <w:rsid w:val="00134F37"/>
    <w:rsid w:val="001361E1"/>
    <w:rsid w:val="0013668E"/>
    <w:rsid w:val="001402B7"/>
    <w:rsid w:val="00140957"/>
    <w:rsid w:val="00140C91"/>
    <w:rsid w:val="0014106E"/>
    <w:rsid w:val="001414BF"/>
    <w:rsid w:val="00141973"/>
    <w:rsid w:val="001438D3"/>
    <w:rsid w:val="00143E4D"/>
    <w:rsid w:val="0014467F"/>
    <w:rsid w:val="001452C7"/>
    <w:rsid w:val="001458E4"/>
    <w:rsid w:val="00146210"/>
    <w:rsid w:val="00146DF1"/>
    <w:rsid w:val="001478E0"/>
    <w:rsid w:val="00151503"/>
    <w:rsid w:val="001515F5"/>
    <w:rsid w:val="00151878"/>
    <w:rsid w:val="0015327A"/>
    <w:rsid w:val="00154372"/>
    <w:rsid w:val="00154F13"/>
    <w:rsid w:val="00155575"/>
    <w:rsid w:val="00162650"/>
    <w:rsid w:val="00162E64"/>
    <w:rsid w:val="00164E67"/>
    <w:rsid w:val="00166485"/>
    <w:rsid w:val="00167138"/>
    <w:rsid w:val="00171344"/>
    <w:rsid w:val="001739E6"/>
    <w:rsid w:val="001749DD"/>
    <w:rsid w:val="00174A98"/>
    <w:rsid w:val="00175C5F"/>
    <w:rsid w:val="00176F0F"/>
    <w:rsid w:val="00180054"/>
    <w:rsid w:val="00181B96"/>
    <w:rsid w:val="001822B0"/>
    <w:rsid w:val="0018239D"/>
    <w:rsid w:val="0018348A"/>
    <w:rsid w:val="001835C0"/>
    <w:rsid w:val="0018490A"/>
    <w:rsid w:val="00184A13"/>
    <w:rsid w:val="001864F5"/>
    <w:rsid w:val="00186E9E"/>
    <w:rsid w:val="00187B31"/>
    <w:rsid w:val="0019015C"/>
    <w:rsid w:val="00190B20"/>
    <w:rsid w:val="00191F9C"/>
    <w:rsid w:val="00192787"/>
    <w:rsid w:val="00194973"/>
    <w:rsid w:val="00195A42"/>
    <w:rsid w:val="001A1846"/>
    <w:rsid w:val="001A2EA8"/>
    <w:rsid w:val="001A319C"/>
    <w:rsid w:val="001A3BDB"/>
    <w:rsid w:val="001A4D43"/>
    <w:rsid w:val="001A538D"/>
    <w:rsid w:val="001A5D76"/>
    <w:rsid w:val="001A6646"/>
    <w:rsid w:val="001A6B65"/>
    <w:rsid w:val="001B09B2"/>
    <w:rsid w:val="001B0DCB"/>
    <w:rsid w:val="001B2EB8"/>
    <w:rsid w:val="001B440D"/>
    <w:rsid w:val="001B5CCD"/>
    <w:rsid w:val="001B6F3B"/>
    <w:rsid w:val="001B7EA7"/>
    <w:rsid w:val="001B7FC0"/>
    <w:rsid w:val="001C0DA6"/>
    <w:rsid w:val="001C470F"/>
    <w:rsid w:val="001C5D6B"/>
    <w:rsid w:val="001C7769"/>
    <w:rsid w:val="001C7A20"/>
    <w:rsid w:val="001D01D1"/>
    <w:rsid w:val="001D089E"/>
    <w:rsid w:val="001D0A85"/>
    <w:rsid w:val="001D0C2B"/>
    <w:rsid w:val="001D2124"/>
    <w:rsid w:val="001D30CD"/>
    <w:rsid w:val="001D3193"/>
    <w:rsid w:val="001D34F2"/>
    <w:rsid w:val="001D45A1"/>
    <w:rsid w:val="001D56D0"/>
    <w:rsid w:val="001D6DEB"/>
    <w:rsid w:val="001E03D0"/>
    <w:rsid w:val="001E0408"/>
    <w:rsid w:val="001E2454"/>
    <w:rsid w:val="001E2A3E"/>
    <w:rsid w:val="001E3DCA"/>
    <w:rsid w:val="001F1B44"/>
    <w:rsid w:val="001F2F51"/>
    <w:rsid w:val="00200046"/>
    <w:rsid w:val="00200128"/>
    <w:rsid w:val="00200EC2"/>
    <w:rsid w:val="002027FF"/>
    <w:rsid w:val="0020291F"/>
    <w:rsid w:val="00202D50"/>
    <w:rsid w:val="0020369A"/>
    <w:rsid w:val="00204356"/>
    <w:rsid w:val="00205760"/>
    <w:rsid w:val="00206A0E"/>
    <w:rsid w:val="002075FE"/>
    <w:rsid w:val="00210F7A"/>
    <w:rsid w:val="0021112B"/>
    <w:rsid w:val="00211B24"/>
    <w:rsid w:val="00212EFE"/>
    <w:rsid w:val="00214EAE"/>
    <w:rsid w:val="00215D2D"/>
    <w:rsid w:val="00216355"/>
    <w:rsid w:val="0021710E"/>
    <w:rsid w:val="00217627"/>
    <w:rsid w:val="002210DF"/>
    <w:rsid w:val="00221D64"/>
    <w:rsid w:val="00222135"/>
    <w:rsid w:val="002223DC"/>
    <w:rsid w:val="00223AE5"/>
    <w:rsid w:val="00223D3B"/>
    <w:rsid w:val="002242A0"/>
    <w:rsid w:val="002258DE"/>
    <w:rsid w:val="00227003"/>
    <w:rsid w:val="002311A1"/>
    <w:rsid w:val="00231622"/>
    <w:rsid w:val="0023320A"/>
    <w:rsid w:val="00233631"/>
    <w:rsid w:val="00233DDA"/>
    <w:rsid w:val="0023626A"/>
    <w:rsid w:val="002366C2"/>
    <w:rsid w:val="00236A09"/>
    <w:rsid w:val="002375CB"/>
    <w:rsid w:val="00237D93"/>
    <w:rsid w:val="002416FD"/>
    <w:rsid w:val="00243BD5"/>
    <w:rsid w:val="00243F26"/>
    <w:rsid w:val="002445B6"/>
    <w:rsid w:val="0024525C"/>
    <w:rsid w:val="002452A0"/>
    <w:rsid w:val="00245C88"/>
    <w:rsid w:val="002476E1"/>
    <w:rsid w:val="002479AF"/>
    <w:rsid w:val="00247CC4"/>
    <w:rsid w:val="00251CFB"/>
    <w:rsid w:val="0025418F"/>
    <w:rsid w:val="00254306"/>
    <w:rsid w:val="0025470A"/>
    <w:rsid w:val="00255EB0"/>
    <w:rsid w:val="00255EEB"/>
    <w:rsid w:val="00257925"/>
    <w:rsid w:val="002655D7"/>
    <w:rsid w:val="00265D45"/>
    <w:rsid w:val="00265E74"/>
    <w:rsid w:val="0027094D"/>
    <w:rsid w:val="00270F52"/>
    <w:rsid w:val="002721FD"/>
    <w:rsid w:val="00273A85"/>
    <w:rsid w:val="002756BD"/>
    <w:rsid w:val="002756CF"/>
    <w:rsid w:val="002759AC"/>
    <w:rsid w:val="00276C6A"/>
    <w:rsid w:val="00276FFE"/>
    <w:rsid w:val="00281E6A"/>
    <w:rsid w:val="002847DD"/>
    <w:rsid w:val="00285E39"/>
    <w:rsid w:val="002870E1"/>
    <w:rsid w:val="002873C6"/>
    <w:rsid w:val="00290179"/>
    <w:rsid w:val="00291885"/>
    <w:rsid w:val="002921CF"/>
    <w:rsid w:val="00292FF5"/>
    <w:rsid w:val="00293F08"/>
    <w:rsid w:val="00295912"/>
    <w:rsid w:val="00296CE4"/>
    <w:rsid w:val="00297E51"/>
    <w:rsid w:val="002A019F"/>
    <w:rsid w:val="002A070F"/>
    <w:rsid w:val="002A2059"/>
    <w:rsid w:val="002A20C8"/>
    <w:rsid w:val="002A36C6"/>
    <w:rsid w:val="002A380C"/>
    <w:rsid w:val="002A7BB1"/>
    <w:rsid w:val="002B05FF"/>
    <w:rsid w:val="002B06C8"/>
    <w:rsid w:val="002B10EF"/>
    <w:rsid w:val="002B19FB"/>
    <w:rsid w:val="002B22E4"/>
    <w:rsid w:val="002B4D57"/>
    <w:rsid w:val="002B6B3F"/>
    <w:rsid w:val="002B710A"/>
    <w:rsid w:val="002B7D84"/>
    <w:rsid w:val="002C017F"/>
    <w:rsid w:val="002C033F"/>
    <w:rsid w:val="002C038A"/>
    <w:rsid w:val="002C10C5"/>
    <w:rsid w:val="002C1E5A"/>
    <w:rsid w:val="002C36CA"/>
    <w:rsid w:val="002C3759"/>
    <w:rsid w:val="002C3956"/>
    <w:rsid w:val="002C5844"/>
    <w:rsid w:val="002C58EC"/>
    <w:rsid w:val="002C6BED"/>
    <w:rsid w:val="002C6ED1"/>
    <w:rsid w:val="002D0760"/>
    <w:rsid w:val="002D0AEB"/>
    <w:rsid w:val="002D2668"/>
    <w:rsid w:val="002D2DAE"/>
    <w:rsid w:val="002D3464"/>
    <w:rsid w:val="002D463C"/>
    <w:rsid w:val="002E0274"/>
    <w:rsid w:val="002E07E8"/>
    <w:rsid w:val="002E0BD9"/>
    <w:rsid w:val="002E109F"/>
    <w:rsid w:val="002E18F7"/>
    <w:rsid w:val="002E1D3B"/>
    <w:rsid w:val="002E30BD"/>
    <w:rsid w:val="002E3F4D"/>
    <w:rsid w:val="002E48ED"/>
    <w:rsid w:val="002E4C51"/>
    <w:rsid w:val="002E64D7"/>
    <w:rsid w:val="002E6A47"/>
    <w:rsid w:val="002E703D"/>
    <w:rsid w:val="002F2442"/>
    <w:rsid w:val="00304BD4"/>
    <w:rsid w:val="00305CD2"/>
    <w:rsid w:val="00305EB5"/>
    <w:rsid w:val="00306CA3"/>
    <w:rsid w:val="003072CA"/>
    <w:rsid w:val="0030761A"/>
    <w:rsid w:val="00310CEB"/>
    <w:rsid w:val="00311BAE"/>
    <w:rsid w:val="00311F84"/>
    <w:rsid w:val="003125C9"/>
    <w:rsid w:val="0031273E"/>
    <w:rsid w:val="00315BC6"/>
    <w:rsid w:val="0031615D"/>
    <w:rsid w:val="003167E3"/>
    <w:rsid w:val="00316D12"/>
    <w:rsid w:val="0031734E"/>
    <w:rsid w:val="0031794B"/>
    <w:rsid w:val="00322D3B"/>
    <w:rsid w:val="00323365"/>
    <w:rsid w:val="003249DB"/>
    <w:rsid w:val="0032529A"/>
    <w:rsid w:val="003254B8"/>
    <w:rsid w:val="003267BC"/>
    <w:rsid w:val="003273E3"/>
    <w:rsid w:val="00330975"/>
    <w:rsid w:val="0033264B"/>
    <w:rsid w:val="00332B88"/>
    <w:rsid w:val="0033353B"/>
    <w:rsid w:val="003337F4"/>
    <w:rsid w:val="00333E34"/>
    <w:rsid w:val="00334260"/>
    <w:rsid w:val="00334A8C"/>
    <w:rsid w:val="00334DDE"/>
    <w:rsid w:val="00335AF0"/>
    <w:rsid w:val="0033660B"/>
    <w:rsid w:val="00337115"/>
    <w:rsid w:val="003441BF"/>
    <w:rsid w:val="003446FB"/>
    <w:rsid w:val="0034491D"/>
    <w:rsid w:val="0035214E"/>
    <w:rsid w:val="003525C6"/>
    <w:rsid w:val="003528F5"/>
    <w:rsid w:val="00353F1A"/>
    <w:rsid w:val="003566BB"/>
    <w:rsid w:val="00357869"/>
    <w:rsid w:val="00360516"/>
    <w:rsid w:val="003608A5"/>
    <w:rsid w:val="003617DA"/>
    <w:rsid w:val="00361ADC"/>
    <w:rsid w:val="00362A91"/>
    <w:rsid w:val="00362C39"/>
    <w:rsid w:val="00363A73"/>
    <w:rsid w:val="00364B0D"/>
    <w:rsid w:val="00364CA2"/>
    <w:rsid w:val="00370160"/>
    <w:rsid w:val="00370D2A"/>
    <w:rsid w:val="00371355"/>
    <w:rsid w:val="00376F7F"/>
    <w:rsid w:val="003770EC"/>
    <w:rsid w:val="00377A45"/>
    <w:rsid w:val="00380843"/>
    <w:rsid w:val="00381611"/>
    <w:rsid w:val="00382D35"/>
    <w:rsid w:val="0038308A"/>
    <w:rsid w:val="003839CF"/>
    <w:rsid w:val="00385638"/>
    <w:rsid w:val="00385BFF"/>
    <w:rsid w:val="00385C11"/>
    <w:rsid w:val="00386110"/>
    <w:rsid w:val="00387BC9"/>
    <w:rsid w:val="00390444"/>
    <w:rsid w:val="0039076A"/>
    <w:rsid w:val="003910FE"/>
    <w:rsid w:val="00391B4F"/>
    <w:rsid w:val="00391F13"/>
    <w:rsid w:val="00393DE0"/>
    <w:rsid w:val="00394EE5"/>
    <w:rsid w:val="0039640A"/>
    <w:rsid w:val="00397842"/>
    <w:rsid w:val="003A0051"/>
    <w:rsid w:val="003A062E"/>
    <w:rsid w:val="003A0861"/>
    <w:rsid w:val="003A0D1F"/>
    <w:rsid w:val="003A1432"/>
    <w:rsid w:val="003A21C1"/>
    <w:rsid w:val="003A2EC5"/>
    <w:rsid w:val="003A3190"/>
    <w:rsid w:val="003A4091"/>
    <w:rsid w:val="003A40C4"/>
    <w:rsid w:val="003A49FA"/>
    <w:rsid w:val="003A5281"/>
    <w:rsid w:val="003A56E8"/>
    <w:rsid w:val="003A6D91"/>
    <w:rsid w:val="003A7E28"/>
    <w:rsid w:val="003B0606"/>
    <w:rsid w:val="003B0921"/>
    <w:rsid w:val="003B092A"/>
    <w:rsid w:val="003B1ED9"/>
    <w:rsid w:val="003B22CF"/>
    <w:rsid w:val="003B3077"/>
    <w:rsid w:val="003B71F1"/>
    <w:rsid w:val="003C0041"/>
    <w:rsid w:val="003C011B"/>
    <w:rsid w:val="003C0236"/>
    <w:rsid w:val="003C7B63"/>
    <w:rsid w:val="003D0437"/>
    <w:rsid w:val="003D08CA"/>
    <w:rsid w:val="003D093D"/>
    <w:rsid w:val="003D1AA0"/>
    <w:rsid w:val="003D2358"/>
    <w:rsid w:val="003D3631"/>
    <w:rsid w:val="003D402D"/>
    <w:rsid w:val="003D4DF3"/>
    <w:rsid w:val="003D5479"/>
    <w:rsid w:val="003D54FE"/>
    <w:rsid w:val="003E000C"/>
    <w:rsid w:val="003E0868"/>
    <w:rsid w:val="003E235B"/>
    <w:rsid w:val="003E596B"/>
    <w:rsid w:val="003E68F0"/>
    <w:rsid w:val="003E74D1"/>
    <w:rsid w:val="003E779A"/>
    <w:rsid w:val="003E7BF3"/>
    <w:rsid w:val="003F0077"/>
    <w:rsid w:val="003F0162"/>
    <w:rsid w:val="003F0ECC"/>
    <w:rsid w:val="003F17E9"/>
    <w:rsid w:val="003F1A1A"/>
    <w:rsid w:val="003F23C1"/>
    <w:rsid w:val="003F2888"/>
    <w:rsid w:val="003F36FC"/>
    <w:rsid w:val="003F3E45"/>
    <w:rsid w:val="003F5860"/>
    <w:rsid w:val="003F5936"/>
    <w:rsid w:val="003F6339"/>
    <w:rsid w:val="003F7A04"/>
    <w:rsid w:val="003F7B31"/>
    <w:rsid w:val="003F7E6A"/>
    <w:rsid w:val="004001DD"/>
    <w:rsid w:val="0040077B"/>
    <w:rsid w:val="00401F44"/>
    <w:rsid w:val="00401F72"/>
    <w:rsid w:val="00402167"/>
    <w:rsid w:val="0040354B"/>
    <w:rsid w:val="00404B7E"/>
    <w:rsid w:val="00404D10"/>
    <w:rsid w:val="00405D69"/>
    <w:rsid w:val="00410121"/>
    <w:rsid w:val="00410772"/>
    <w:rsid w:val="00413961"/>
    <w:rsid w:val="00416611"/>
    <w:rsid w:val="00420698"/>
    <w:rsid w:val="00420F51"/>
    <w:rsid w:val="00421912"/>
    <w:rsid w:val="00422E19"/>
    <w:rsid w:val="00423E20"/>
    <w:rsid w:val="00423FCB"/>
    <w:rsid w:val="004244AF"/>
    <w:rsid w:val="00424740"/>
    <w:rsid w:val="00424C21"/>
    <w:rsid w:val="004259D9"/>
    <w:rsid w:val="0042690C"/>
    <w:rsid w:val="00431CBC"/>
    <w:rsid w:val="00431DD0"/>
    <w:rsid w:val="00432945"/>
    <w:rsid w:val="00434B24"/>
    <w:rsid w:val="0043507D"/>
    <w:rsid w:val="00435FBC"/>
    <w:rsid w:val="004379A4"/>
    <w:rsid w:val="004408A1"/>
    <w:rsid w:val="00441238"/>
    <w:rsid w:val="00441966"/>
    <w:rsid w:val="00441A07"/>
    <w:rsid w:val="004426D6"/>
    <w:rsid w:val="00442953"/>
    <w:rsid w:val="00443185"/>
    <w:rsid w:val="00444633"/>
    <w:rsid w:val="00446254"/>
    <w:rsid w:val="004475BA"/>
    <w:rsid w:val="00451049"/>
    <w:rsid w:val="004516B4"/>
    <w:rsid w:val="00451920"/>
    <w:rsid w:val="00453223"/>
    <w:rsid w:val="00453F04"/>
    <w:rsid w:val="004562FB"/>
    <w:rsid w:val="004563F0"/>
    <w:rsid w:val="0045708F"/>
    <w:rsid w:val="004579EE"/>
    <w:rsid w:val="00457A77"/>
    <w:rsid w:val="004608B3"/>
    <w:rsid w:val="0046146F"/>
    <w:rsid w:val="0046495D"/>
    <w:rsid w:val="00464FD9"/>
    <w:rsid w:val="00466E3F"/>
    <w:rsid w:val="00467715"/>
    <w:rsid w:val="00470BE2"/>
    <w:rsid w:val="0047240E"/>
    <w:rsid w:val="00472D0F"/>
    <w:rsid w:val="004739E9"/>
    <w:rsid w:val="00473AFB"/>
    <w:rsid w:val="0047457B"/>
    <w:rsid w:val="00474C39"/>
    <w:rsid w:val="00476193"/>
    <w:rsid w:val="004762F3"/>
    <w:rsid w:val="00476485"/>
    <w:rsid w:val="00476CEC"/>
    <w:rsid w:val="00477993"/>
    <w:rsid w:val="00480044"/>
    <w:rsid w:val="0048037A"/>
    <w:rsid w:val="00480A8B"/>
    <w:rsid w:val="00481FCA"/>
    <w:rsid w:val="004829B7"/>
    <w:rsid w:val="004835E3"/>
    <w:rsid w:val="0048523D"/>
    <w:rsid w:val="00490316"/>
    <w:rsid w:val="0049097C"/>
    <w:rsid w:val="00491CC4"/>
    <w:rsid w:val="004943FE"/>
    <w:rsid w:val="00494A88"/>
    <w:rsid w:val="00495D46"/>
    <w:rsid w:val="0049747A"/>
    <w:rsid w:val="0049790D"/>
    <w:rsid w:val="004979E4"/>
    <w:rsid w:val="004979EE"/>
    <w:rsid w:val="004A2312"/>
    <w:rsid w:val="004A4032"/>
    <w:rsid w:val="004A48E5"/>
    <w:rsid w:val="004A6560"/>
    <w:rsid w:val="004A7002"/>
    <w:rsid w:val="004A70AC"/>
    <w:rsid w:val="004B2C4D"/>
    <w:rsid w:val="004B2FF1"/>
    <w:rsid w:val="004B3010"/>
    <w:rsid w:val="004B3D5A"/>
    <w:rsid w:val="004B5DDB"/>
    <w:rsid w:val="004C0399"/>
    <w:rsid w:val="004C0ECD"/>
    <w:rsid w:val="004C190B"/>
    <w:rsid w:val="004C2371"/>
    <w:rsid w:val="004C26C1"/>
    <w:rsid w:val="004C29EA"/>
    <w:rsid w:val="004C2E1B"/>
    <w:rsid w:val="004C3346"/>
    <w:rsid w:val="004C3E6F"/>
    <w:rsid w:val="004C4FC9"/>
    <w:rsid w:val="004C5EF0"/>
    <w:rsid w:val="004C7A5D"/>
    <w:rsid w:val="004C7C46"/>
    <w:rsid w:val="004D0F0E"/>
    <w:rsid w:val="004D13ED"/>
    <w:rsid w:val="004D2658"/>
    <w:rsid w:val="004D3708"/>
    <w:rsid w:val="004D47DC"/>
    <w:rsid w:val="004D4BE7"/>
    <w:rsid w:val="004D6F50"/>
    <w:rsid w:val="004D7229"/>
    <w:rsid w:val="004D7AA6"/>
    <w:rsid w:val="004E0FD0"/>
    <w:rsid w:val="004E4984"/>
    <w:rsid w:val="004E5158"/>
    <w:rsid w:val="004E5E93"/>
    <w:rsid w:val="004E69F3"/>
    <w:rsid w:val="004E7B9D"/>
    <w:rsid w:val="004E7CC7"/>
    <w:rsid w:val="004F1E5E"/>
    <w:rsid w:val="004F21D3"/>
    <w:rsid w:val="004F2847"/>
    <w:rsid w:val="004F5B5D"/>
    <w:rsid w:val="004F73F7"/>
    <w:rsid w:val="004F7450"/>
    <w:rsid w:val="00500378"/>
    <w:rsid w:val="00503321"/>
    <w:rsid w:val="00506640"/>
    <w:rsid w:val="00506DE7"/>
    <w:rsid w:val="005076E5"/>
    <w:rsid w:val="00507BB6"/>
    <w:rsid w:val="00507FBE"/>
    <w:rsid w:val="00510145"/>
    <w:rsid w:val="00510922"/>
    <w:rsid w:val="00510CD3"/>
    <w:rsid w:val="00513255"/>
    <w:rsid w:val="005132AD"/>
    <w:rsid w:val="00515788"/>
    <w:rsid w:val="0051795E"/>
    <w:rsid w:val="00517AE0"/>
    <w:rsid w:val="005203D6"/>
    <w:rsid w:val="005222AA"/>
    <w:rsid w:val="00523500"/>
    <w:rsid w:val="00525DF1"/>
    <w:rsid w:val="005279BB"/>
    <w:rsid w:val="00530734"/>
    <w:rsid w:val="005342A2"/>
    <w:rsid w:val="00534462"/>
    <w:rsid w:val="0053572F"/>
    <w:rsid w:val="005358ED"/>
    <w:rsid w:val="00535ADB"/>
    <w:rsid w:val="00537221"/>
    <w:rsid w:val="00541684"/>
    <w:rsid w:val="005416F7"/>
    <w:rsid w:val="00542C76"/>
    <w:rsid w:val="005446F2"/>
    <w:rsid w:val="0054495F"/>
    <w:rsid w:val="0054565D"/>
    <w:rsid w:val="00545A0B"/>
    <w:rsid w:val="005462AF"/>
    <w:rsid w:val="005468B0"/>
    <w:rsid w:val="00546C71"/>
    <w:rsid w:val="00547CBB"/>
    <w:rsid w:val="00550E6F"/>
    <w:rsid w:val="0055138C"/>
    <w:rsid w:val="00551C93"/>
    <w:rsid w:val="005528E3"/>
    <w:rsid w:val="005535FA"/>
    <w:rsid w:val="00553C01"/>
    <w:rsid w:val="0055431E"/>
    <w:rsid w:val="00554338"/>
    <w:rsid w:val="005548FA"/>
    <w:rsid w:val="0055719F"/>
    <w:rsid w:val="00562517"/>
    <w:rsid w:val="005626D2"/>
    <w:rsid w:val="0056352A"/>
    <w:rsid w:val="005661E8"/>
    <w:rsid w:val="00566FFD"/>
    <w:rsid w:val="00570A81"/>
    <w:rsid w:val="00571454"/>
    <w:rsid w:val="00571F9D"/>
    <w:rsid w:val="005741C3"/>
    <w:rsid w:val="005749B6"/>
    <w:rsid w:val="00574C7F"/>
    <w:rsid w:val="0057541F"/>
    <w:rsid w:val="00575F27"/>
    <w:rsid w:val="00577BFE"/>
    <w:rsid w:val="00577DC6"/>
    <w:rsid w:val="00577DFE"/>
    <w:rsid w:val="00580DFF"/>
    <w:rsid w:val="00582665"/>
    <w:rsid w:val="00583F09"/>
    <w:rsid w:val="00584C6A"/>
    <w:rsid w:val="00586629"/>
    <w:rsid w:val="00587590"/>
    <w:rsid w:val="005961AB"/>
    <w:rsid w:val="0059764F"/>
    <w:rsid w:val="005A096B"/>
    <w:rsid w:val="005A1100"/>
    <w:rsid w:val="005A3925"/>
    <w:rsid w:val="005A4A16"/>
    <w:rsid w:val="005A4C95"/>
    <w:rsid w:val="005A5C97"/>
    <w:rsid w:val="005A5ED0"/>
    <w:rsid w:val="005A6FA8"/>
    <w:rsid w:val="005A7706"/>
    <w:rsid w:val="005B0041"/>
    <w:rsid w:val="005B0510"/>
    <w:rsid w:val="005B0C5A"/>
    <w:rsid w:val="005B2808"/>
    <w:rsid w:val="005B374D"/>
    <w:rsid w:val="005B3FED"/>
    <w:rsid w:val="005B4CE7"/>
    <w:rsid w:val="005B58B0"/>
    <w:rsid w:val="005B5F3E"/>
    <w:rsid w:val="005B6288"/>
    <w:rsid w:val="005C04B6"/>
    <w:rsid w:val="005C0507"/>
    <w:rsid w:val="005C0D1C"/>
    <w:rsid w:val="005C325F"/>
    <w:rsid w:val="005C470E"/>
    <w:rsid w:val="005C6564"/>
    <w:rsid w:val="005C77BD"/>
    <w:rsid w:val="005C7FE5"/>
    <w:rsid w:val="005D0FB0"/>
    <w:rsid w:val="005D193F"/>
    <w:rsid w:val="005D1F5D"/>
    <w:rsid w:val="005D2745"/>
    <w:rsid w:val="005D2E7A"/>
    <w:rsid w:val="005D3031"/>
    <w:rsid w:val="005D317C"/>
    <w:rsid w:val="005D599A"/>
    <w:rsid w:val="005D5A29"/>
    <w:rsid w:val="005D71C6"/>
    <w:rsid w:val="005E0195"/>
    <w:rsid w:val="005E2B68"/>
    <w:rsid w:val="005E3701"/>
    <w:rsid w:val="005E37BB"/>
    <w:rsid w:val="005E46B0"/>
    <w:rsid w:val="005F0741"/>
    <w:rsid w:val="005F2389"/>
    <w:rsid w:val="005F3385"/>
    <w:rsid w:val="005F4939"/>
    <w:rsid w:val="00601376"/>
    <w:rsid w:val="00601F2E"/>
    <w:rsid w:val="006021A8"/>
    <w:rsid w:val="0060253F"/>
    <w:rsid w:val="006026D3"/>
    <w:rsid w:val="00602E6E"/>
    <w:rsid w:val="0061013A"/>
    <w:rsid w:val="0061161E"/>
    <w:rsid w:val="006131E8"/>
    <w:rsid w:val="00615D70"/>
    <w:rsid w:val="0061629D"/>
    <w:rsid w:val="00620A84"/>
    <w:rsid w:val="00621D4F"/>
    <w:rsid w:val="0062282F"/>
    <w:rsid w:val="00622AA5"/>
    <w:rsid w:val="00623126"/>
    <w:rsid w:val="0062376F"/>
    <w:rsid w:val="00623ACD"/>
    <w:rsid w:val="00623CEB"/>
    <w:rsid w:val="00625115"/>
    <w:rsid w:val="00625B09"/>
    <w:rsid w:val="00625B38"/>
    <w:rsid w:val="00630A0C"/>
    <w:rsid w:val="00631754"/>
    <w:rsid w:val="00631F4C"/>
    <w:rsid w:val="00632667"/>
    <w:rsid w:val="006326AE"/>
    <w:rsid w:val="006333D3"/>
    <w:rsid w:val="0063388F"/>
    <w:rsid w:val="006346E7"/>
    <w:rsid w:val="00635314"/>
    <w:rsid w:val="0063689C"/>
    <w:rsid w:val="00636DA4"/>
    <w:rsid w:val="006371E8"/>
    <w:rsid w:val="00637AE7"/>
    <w:rsid w:val="00637CA9"/>
    <w:rsid w:val="006403E1"/>
    <w:rsid w:val="00641C17"/>
    <w:rsid w:val="00642C10"/>
    <w:rsid w:val="006477A2"/>
    <w:rsid w:val="0064781A"/>
    <w:rsid w:val="0065008E"/>
    <w:rsid w:val="00651729"/>
    <w:rsid w:val="00651C20"/>
    <w:rsid w:val="00651D10"/>
    <w:rsid w:val="00653638"/>
    <w:rsid w:val="00656538"/>
    <w:rsid w:val="00656F36"/>
    <w:rsid w:val="00657059"/>
    <w:rsid w:val="00657270"/>
    <w:rsid w:val="00657B4D"/>
    <w:rsid w:val="0066023E"/>
    <w:rsid w:val="006603A9"/>
    <w:rsid w:val="0066379C"/>
    <w:rsid w:val="00663A24"/>
    <w:rsid w:val="00664AC2"/>
    <w:rsid w:val="00671D27"/>
    <w:rsid w:val="00672A8C"/>
    <w:rsid w:val="006738BC"/>
    <w:rsid w:val="00673A09"/>
    <w:rsid w:val="006763F4"/>
    <w:rsid w:val="00676553"/>
    <w:rsid w:val="00682A43"/>
    <w:rsid w:val="00683034"/>
    <w:rsid w:val="006841C0"/>
    <w:rsid w:val="00684BAD"/>
    <w:rsid w:val="00685039"/>
    <w:rsid w:val="00686B15"/>
    <w:rsid w:val="00686C19"/>
    <w:rsid w:val="006874D5"/>
    <w:rsid w:val="00687FFC"/>
    <w:rsid w:val="006914DC"/>
    <w:rsid w:val="006922BC"/>
    <w:rsid w:val="006944A8"/>
    <w:rsid w:val="006944F2"/>
    <w:rsid w:val="0069609A"/>
    <w:rsid w:val="006A1A8A"/>
    <w:rsid w:val="006A27B8"/>
    <w:rsid w:val="006A2AA5"/>
    <w:rsid w:val="006A5653"/>
    <w:rsid w:val="006A56D7"/>
    <w:rsid w:val="006A67AA"/>
    <w:rsid w:val="006B1B9F"/>
    <w:rsid w:val="006B214F"/>
    <w:rsid w:val="006B3626"/>
    <w:rsid w:val="006B511E"/>
    <w:rsid w:val="006C011C"/>
    <w:rsid w:val="006C15B6"/>
    <w:rsid w:val="006C26CD"/>
    <w:rsid w:val="006C3EFF"/>
    <w:rsid w:val="006C429D"/>
    <w:rsid w:val="006C44A1"/>
    <w:rsid w:val="006C670F"/>
    <w:rsid w:val="006D0048"/>
    <w:rsid w:val="006D078D"/>
    <w:rsid w:val="006D0ECE"/>
    <w:rsid w:val="006D2153"/>
    <w:rsid w:val="006D34CB"/>
    <w:rsid w:val="006D40D3"/>
    <w:rsid w:val="006D4474"/>
    <w:rsid w:val="006D63ED"/>
    <w:rsid w:val="006D6D82"/>
    <w:rsid w:val="006D6E11"/>
    <w:rsid w:val="006D771F"/>
    <w:rsid w:val="006D7E4F"/>
    <w:rsid w:val="006E16C4"/>
    <w:rsid w:val="006E1B77"/>
    <w:rsid w:val="006E2470"/>
    <w:rsid w:val="006E2C56"/>
    <w:rsid w:val="006E4589"/>
    <w:rsid w:val="006E7592"/>
    <w:rsid w:val="006F41A2"/>
    <w:rsid w:val="006F45AF"/>
    <w:rsid w:val="006F4667"/>
    <w:rsid w:val="006F480A"/>
    <w:rsid w:val="006F551A"/>
    <w:rsid w:val="006F77A3"/>
    <w:rsid w:val="0070115D"/>
    <w:rsid w:val="00701C99"/>
    <w:rsid w:val="007029D8"/>
    <w:rsid w:val="00702B60"/>
    <w:rsid w:val="00704A14"/>
    <w:rsid w:val="00707986"/>
    <w:rsid w:val="00707C7F"/>
    <w:rsid w:val="007115EE"/>
    <w:rsid w:val="00711865"/>
    <w:rsid w:val="00712813"/>
    <w:rsid w:val="0071292D"/>
    <w:rsid w:val="007131F6"/>
    <w:rsid w:val="00716E38"/>
    <w:rsid w:val="00717343"/>
    <w:rsid w:val="0072151D"/>
    <w:rsid w:val="00721D77"/>
    <w:rsid w:val="0072244A"/>
    <w:rsid w:val="007246C3"/>
    <w:rsid w:val="007262AC"/>
    <w:rsid w:val="00726BE3"/>
    <w:rsid w:val="00727719"/>
    <w:rsid w:val="007315F2"/>
    <w:rsid w:val="007324D3"/>
    <w:rsid w:val="00732673"/>
    <w:rsid w:val="00732F46"/>
    <w:rsid w:val="00733463"/>
    <w:rsid w:val="00734A2D"/>
    <w:rsid w:val="00735ABE"/>
    <w:rsid w:val="00736BFF"/>
    <w:rsid w:val="00737D74"/>
    <w:rsid w:val="00740C8F"/>
    <w:rsid w:val="00740DA0"/>
    <w:rsid w:val="00743089"/>
    <w:rsid w:val="0074364B"/>
    <w:rsid w:val="0074444B"/>
    <w:rsid w:val="0074577E"/>
    <w:rsid w:val="0074628D"/>
    <w:rsid w:val="00747719"/>
    <w:rsid w:val="00747EEF"/>
    <w:rsid w:val="00750AA5"/>
    <w:rsid w:val="007534FE"/>
    <w:rsid w:val="0075376F"/>
    <w:rsid w:val="007537A1"/>
    <w:rsid w:val="00754E3A"/>
    <w:rsid w:val="00754E5A"/>
    <w:rsid w:val="00760A34"/>
    <w:rsid w:val="00761563"/>
    <w:rsid w:val="00763BCC"/>
    <w:rsid w:val="00764087"/>
    <w:rsid w:val="007640BA"/>
    <w:rsid w:val="007675CA"/>
    <w:rsid w:val="00767A13"/>
    <w:rsid w:val="00767E52"/>
    <w:rsid w:val="00771627"/>
    <w:rsid w:val="007729D0"/>
    <w:rsid w:val="0077334D"/>
    <w:rsid w:val="007741E1"/>
    <w:rsid w:val="007764FB"/>
    <w:rsid w:val="00776ABC"/>
    <w:rsid w:val="00777512"/>
    <w:rsid w:val="00777FFA"/>
    <w:rsid w:val="0078235E"/>
    <w:rsid w:val="0078300C"/>
    <w:rsid w:val="00784522"/>
    <w:rsid w:val="0078545D"/>
    <w:rsid w:val="007858AE"/>
    <w:rsid w:val="00787478"/>
    <w:rsid w:val="00787778"/>
    <w:rsid w:val="00787C15"/>
    <w:rsid w:val="00790262"/>
    <w:rsid w:val="007908B3"/>
    <w:rsid w:val="007914FC"/>
    <w:rsid w:val="00791524"/>
    <w:rsid w:val="007920D6"/>
    <w:rsid w:val="007921ED"/>
    <w:rsid w:val="007930C4"/>
    <w:rsid w:val="00793538"/>
    <w:rsid w:val="00793C3D"/>
    <w:rsid w:val="00795286"/>
    <w:rsid w:val="00796282"/>
    <w:rsid w:val="007978DB"/>
    <w:rsid w:val="007A04D3"/>
    <w:rsid w:val="007A0664"/>
    <w:rsid w:val="007A1513"/>
    <w:rsid w:val="007A15A8"/>
    <w:rsid w:val="007A17BA"/>
    <w:rsid w:val="007A2A17"/>
    <w:rsid w:val="007A39D9"/>
    <w:rsid w:val="007A43E1"/>
    <w:rsid w:val="007A5BD5"/>
    <w:rsid w:val="007A6095"/>
    <w:rsid w:val="007A6646"/>
    <w:rsid w:val="007A7E96"/>
    <w:rsid w:val="007B0C85"/>
    <w:rsid w:val="007B158A"/>
    <w:rsid w:val="007B2EED"/>
    <w:rsid w:val="007B316D"/>
    <w:rsid w:val="007B383E"/>
    <w:rsid w:val="007B3A7E"/>
    <w:rsid w:val="007B3BD3"/>
    <w:rsid w:val="007B3EFF"/>
    <w:rsid w:val="007B739F"/>
    <w:rsid w:val="007C0338"/>
    <w:rsid w:val="007C0505"/>
    <w:rsid w:val="007C0827"/>
    <w:rsid w:val="007C1528"/>
    <w:rsid w:val="007C3318"/>
    <w:rsid w:val="007C5FD9"/>
    <w:rsid w:val="007C7A62"/>
    <w:rsid w:val="007D0EA8"/>
    <w:rsid w:val="007D32DA"/>
    <w:rsid w:val="007D6864"/>
    <w:rsid w:val="007D7430"/>
    <w:rsid w:val="007D7F5C"/>
    <w:rsid w:val="007E0195"/>
    <w:rsid w:val="007E0BB0"/>
    <w:rsid w:val="007E12D0"/>
    <w:rsid w:val="007E1985"/>
    <w:rsid w:val="007E2249"/>
    <w:rsid w:val="007E32CD"/>
    <w:rsid w:val="007E3570"/>
    <w:rsid w:val="007E4ECE"/>
    <w:rsid w:val="007E6E03"/>
    <w:rsid w:val="007E7135"/>
    <w:rsid w:val="007E76EF"/>
    <w:rsid w:val="007F105F"/>
    <w:rsid w:val="007F2C9B"/>
    <w:rsid w:val="007F4C03"/>
    <w:rsid w:val="007F5752"/>
    <w:rsid w:val="007F64C1"/>
    <w:rsid w:val="007F6552"/>
    <w:rsid w:val="008003B3"/>
    <w:rsid w:val="00801924"/>
    <w:rsid w:val="00804E09"/>
    <w:rsid w:val="008078B8"/>
    <w:rsid w:val="0081224E"/>
    <w:rsid w:val="0081317A"/>
    <w:rsid w:val="008135CA"/>
    <w:rsid w:val="0081371D"/>
    <w:rsid w:val="00814593"/>
    <w:rsid w:val="008146AA"/>
    <w:rsid w:val="008153BB"/>
    <w:rsid w:val="008165D3"/>
    <w:rsid w:val="00817372"/>
    <w:rsid w:val="00817AFB"/>
    <w:rsid w:val="008200CD"/>
    <w:rsid w:val="00824AA2"/>
    <w:rsid w:val="00825955"/>
    <w:rsid w:val="008310A7"/>
    <w:rsid w:val="0083302B"/>
    <w:rsid w:val="00833548"/>
    <w:rsid w:val="008338BF"/>
    <w:rsid w:val="00833CF5"/>
    <w:rsid w:val="00834C0D"/>
    <w:rsid w:val="00835FF3"/>
    <w:rsid w:val="0083608B"/>
    <w:rsid w:val="00836F5C"/>
    <w:rsid w:val="00837762"/>
    <w:rsid w:val="00841447"/>
    <w:rsid w:val="008435CC"/>
    <w:rsid w:val="00845455"/>
    <w:rsid w:val="00850803"/>
    <w:rsid w:val="00850D6E"/>
    <w:rsid w:val="00856464"/>
    <w:rsid w:val="00857531"/>
    <w:rsid w:val="00857887"/>
    <w:rsid w:val="00857929"/>
    <w:rsid w:val="008611C1"/>
    <w:rsid w:val="0086421D"/>
    <w:rsid w:val="008647A0"/>
    <w:rsid w:val="00867B5B"/>
    <w:rsid w:val="00872373"/>
    <w:rsid w:val="008739EE"/>
    <w:rsid w:val="00876A3A"/>
    <w:rsid w:val="00877AFE"/>
    <w:rsid w:val="008802F2"/>
    <w:rsid w:val="0088049A"/>
    <w:rsid w:val="00882309"/>
    <w:rsid w:val="0088455F"/>
    <w:rsid w:val="0088491D"/>
    <w:rsid w:val="00884CD3"/>
    <w:rsid w:val="00884E14"/>
    <w:rsid w:val="00885756"/>
    <w:rsid w:val="00886453"/>
    <w:rsid w:val="00886486"/>
    <w:rsid w:val="00886D78"/>
    <w:rsid w:val="00890195"/>
    <w:rsid w:val="00893CFF"/>
    <w:rsid w:val="00895815"/>
    <w:rsid w:val="00895827"/>
    <w:rsid w:val="00895D4F"/>
    <w:rsid w:val="0089766F"/>
    <w:rsid w:val="00897EB2"/>
    <w:rsid w:val="008A04AF"/>
    <w:rsid w:val="008A0A1B"/>
    <w:rsid w:val="008A102D"/>
    <w:rsid w:val="008A1215"/>
    <w:rsid w:val="008A1B5A"/>
    <w:rsid w:val="008A2ABA"/>
    <w:rsid w:val="008A2E32"/>
    <w:rsid w:val="008A34B8"/>
    <w:rsid w:val="008A4566"/>
    <w:rsid w:val="008A4DF0"/>
    <w:rsid w:val="008A5930"/>
    <w:rsid w:val="008A6DD0"/>
    <w:rsid w:val="008A722C"/>
    <w:rsid w:val="008B0831"/>
    <w:rsid w:val="008B0F7F"/>
    <w:rsid w:val="008B29DD"/>
    <w:rsid w:val="008B2E40"/>
    <w:rsid w:val="008B3227"/>
    <w:rsid w:val="008B3707"/>
    <w:rsid w:val="008B4515"/>
    <w:rsid w:val="008B4565"/>
    <w:rsid w:val="008B5220"/>
    <w:rsid w:val="008B5D0B"/>
    <w:rsid w:val="008B6369"/>
    <w:rsid w:val="008C040F"/>
    <w:rsid w:val="008C30B5"/>
    <w:rsid w:val="008C33FC"/>
    <w:rsid w:val="008C352D"/>
    <w:rsid w:val="008C36AD"/>
    <w:rsid w:val="008C4871"/>
    <w:rsid w:val="008C5114"/>
    <w:rsid w:val="008C5B24"/>
    <w:rsid w:val="008C61EB"/>
    <w:rsid w:val="008C683A"/>
    <w:rsid w:val="008D04D0"/>
    <w:rsid w:val="008D063C"/>
    <w:rsid w:val="008D0B1E"/>
    <w:rsid w:val="008D22FF"/>
    <w:rsid w:val="008D2B7B"/>
    <w:rsid w:val="008D374C"/>
    <w:rsid w:val="008D3CCE"/>
    <w:rsid w:val="008D4E71"/>
    <w:rsid w:val="008D583B"/>
    <w:rsid w:val="008D7CC0"/>
    <w:rsid w:val="008D7DCF"/>
    <w:rsid w:val="008E2B2D"/>
    <w:rsid w:val="008E3711"/>
    <w:rsid w:val="008E3C00"/>
    <w:rsid w:val="008E48AC"/>
    <w:rsid w:val="008E544C"/>
    <w:rsid w:val="008E691A"/>
    <w:rsid w:val="008E7A3C"/>
    <w:rsid w:val="008E7C41"/>
    <w:rsid w:val="008F14BC"/>
    <w:rsid w:val="008F2084"/>
    <w:rsid w:val="008F21E1"/>
    <w:rsid w:val="008F28D2"/>
    <w:rsid w:val="008F4CE3"/>
    <w:rsid w:val="008F543F"/>
    <w:rsid w:val="008F72B9"/>
    <w:rsid w:val="008F73CF"/>
    <w:rsid w:val="009001C2"/>
    <w:rsid w:val="009006AE"/>
    <w:rsid w:val="00900F86"/>
    <w:rsid w:val="00903141"/>
    <w:rsid w:val="009100FD"/>
    <w:rsid w:val="009114FD"/>
    <w:rsid w:val="00911D1F"/>
    <w:rsid w:val="00912C35"/>
    <w:rsid w:val="0091513D"/>
    <w:rsid w:val="0091664B"/>
    <w:rsid w:val="00916D85"/>
    <w:rsid w:val="00917824"/>
    <w:rsid w:val="00917D6F"/>
    <w:rsid w:val="00920F1D"/>
    <w:rsid w:val="00920F26"/>
    <w:rsid w:val="0092236C"/>
    <w:rsid w:val="00922B3A"/>
    <w:rsid w:val="009242C6"/>
    <w:rsid w:val="00924340"/>
    <w:rsid w:val="00924A59"/>
    <w:rsid w:val="00925176"/>
    <w:rsid w:val="00927BA3"/>
    <w:rsid w:val="009313A7"/>
    <w:rsid w:val="00931E2B"/>
    <w:rsid w:val="00934516"/>
    <w:rsid w:val="00934DE0"/>
    <w:rsid w:val="00934EC5"/>
    <w:rsid w:val="00937C94"/>
    <w:rsid w:val="009415E6"/>
    <w:rsid w:val="00941DF9"/>
    <w:rsid w:val="009442D4"/>
    <w:rsid w:val="009460DA"/>
    <w:rsid w:val="009500AA"/>
    <w:rsid w:val="009502B6"/>
    <w:rsid w:val="00950306"/>
    <w:rsid w:val="009507D1"/>
    <w:rsid w:val="00951060"/>
    <w:rsid w:val="00953D99"/>
    <w:rsid w:val="00953F7A"/>
    <w:rsid w:val="00954583"/>
    <w:rsid w:val="00955C49"/>
    <w:rsid w:val="009611E0"/>
    <w:rsid w:val="00962488"/>
    <w:rsid w:val="00964831"/>
    <w:rsid w:val="00966010"/>
    <w:rsid w:val="00966C7F"/>
    <w:rsid w:val="00966D48"/>
    <w:rsid w:val="00967EA4"/>
    <w:rsid w:val="009717C1"/>
    <w:rsid w:val="00973F49"/>
    <w:rsid w:val="009745C2"/>
    <w:rsid w:val="00974EE5"/>
    <w:rsid w:val="00974FFE"/>
    <w:rsid w:val="009769F0"/>
    <w:rsid w:val="0097761D"/>
    <w:rsid w:val="00980B1A"/>
    <w:rsid w:val="009844B8"/>
    <w:rsid w:val="009844EB"/>
    <w:rsid w:val="00984FDA"/>
    <w:rsid w:val="0098536C"/>
    <w:rsid w:val="00985C0E"/>
    <w:rsid w:val="009868DA"/>
    <w:rsid w:val="00986C88"/>
    <w:rsid w:val="00987A54"/>
    <w:rsid w:val="009915CE"/>
    <w:rsid w:val="00994045"/>
    <w:rsid w:val="00994426"/>
    <w:rsid w:val="009965CF"/>
    <w:rsid w:val="00996F04"/>
    <w:rsid w:val="0099735C"/>
    <w:rsid w:val="00997507"/>
    <w:rsid w:val="00997E2B"/>
    <w:rsid w:val="009A023F"/>
    <w:rsid w:val="009A101F"/>
    <w:rsid w:val="009A2867"/>
    <w:rsid w:val="009A3F2B"/>
    <w:rsid w:val="009A537C"/>
    <w:rsid w:val="009A5619"/>
    <w:rsid w:val="009A564A"/>
    <w:rsid w:val="009A66BA"/>
    <w:rsid w:val="009A73E7"/>
    <w:rsid w:val="009A7BB0"/>
    <w:rsid w:val="009A7C79"/>
    <w:rsid w:val="009B0885"/>
    <w:rsid w:val="009B1D63"/>
    <w:rsid w:val="009B26ED"/>
    <w:rsid w:val="009B2BB5"/>
    <w:rsid w:val="009B3B01"/>
    <w:rsid w:val="009B498C"/>
    <w:rsid w:val="009B4E34"/>
    <w:rsid w:val="009B7599"/>
    <w:rsid w:val="009B7911"/>
    <w:rsid w:val="009C0430"/>
    <w:rsid w:val="009C093F"/>
    <w:rsid w:val="009C1BC7"/>
    <w:rsid w:val="009C1F2D"/>
    <w:rsid w:val="009C3976"/>
    <w:rsid w:val="009C3995"/>
    <w:rsid w:val="009C46DC"/>
    <w:rsid w:val="009C4FB0"/>
    <w:rsid w:val="009C7779"/>
    <w:rsid w:val="009C7810"/>
    <w:rsid w:val="009D0FA0"/>
    <w:rsid w:val="009D207D"/>
    <w:rsid w:val="009D5C5E"/>
    <w:rsid w:val="009E2167"/>
    <w:rsid w:val="009E38CF"/>
    <w:rsid w:val="009E45B1"/>
    <w:rsid w:val="009E526C"/>
    <w:rsid w:val="009E5379"/>
    <w:rsid w:val="009E568B"/>
    <w:rsid w:val="009E7761"/>
    <w:rsid w:val="009E7A0F"/>
    <w:rsid w:val="009F0AED"/>
    <w:rsid w:val="009F15A9"/>
    <w:rsid w:val="009F3848"/>
    <w:rsid w:val="009F47ED"/>
    <w:rsid w:val="009F52B5"/>
    <w:rsid w:val="009F5A71"/>
    <w:rsid w:val="009F651E"/>
    <w:rsid w:val="009F7980"/>
    <w:rsid w:val="00A01062"/>
    <w:rsid w:val="00A02338"/>
    <w:rsid w:val="00A02509"/>
    <w:rsid w:val="00A02F8C"/>
    <w:rsid w:val="00A07FF9"/>
    <w:rsid w:val="00A1036F"/>
    <w:rsid w:val="00A13885"/>
    <w:rsid w:val="00A13B24"/>
    <w:rsid w:val="00A200DB"/>
    <w:rsid w:val="00A211EB"/>
    <w:rsid w:val="00A217FE"/>
    <w:rsid w:val="00A22AF2"/>
    <w:rsid w:val="00A23286"/>
    <w:rsid w:val="00A245E8"/>
    <w:rsid w:val="00A24ABF"/>
    <w:rsid w:val="00A2643B"/>
    <w:rsid w:val="00A275B3"/>
    <w:rsid w:val="00A301FD"/>
    <w:rsid w:val="00A31FE5"/>
    <w:rsid w:val="00A322B9"/>
    <w:rsid w:val="00A323E8"/>
    <w:rsid w:val="00A33454"/>
    <w:rsid w:val="00A33528"/>
    <w:rsid w:val="00A35A48"/>
    <w:rsid w:val="00A3647B"/>
    <w:rsid w:val="00A4018C"/>
    <w:rsid w:val="00A405F1"/>
    <w:rsid w:val="00A43428"/>
    <w:rsid w:val="00A4486B"/>
    <w:rsid w:val="00A457C0"/>
    <w:rsid w:val="00A458D5"/>
    <w:rsid w:val="00A459B8"/>
    <w:rsid w:val="00A45B2D"/>
    <w:rsid w:val="00A475C1"/>
    <w:rsid w:val="00A4769B"/>
    <w:rsid w:val="00A5080A"/>
    <w:rsid w:val="00A53F4C"/>
    <w:rsid w:val="00A5474F"/>
    <w:rsid w:val="00A549DA"/>
    <w:rsid w:val="00A55C8F"/>
    <w:rsid w:val="00A56FD1"/>
    <w:rsid w:val="00A65E7D"/>
    <w:rsid w:val="00A66F73"/>
    <w:rsid w:val="00A67505"/>
    <w:rsid w:val="00A67682"/>
    <w:rsid w:val="00A67CA8"/>
    <w:rsid w:val="00A71107"/>
    <w:rsid w:val="00A719AE"/>
    <w:rsid w:val="00A72277"/>
    <w:rsid w:val="00A72288"/>
    <w:rsid w:val="00A746A7"/>
    <w:rsid w:val="00A76022"/>
    <w:rsid w:val="00A76D09"/>
    <w:rsid w:val="00A77690"/>
    <w:rsid w:val="00A77C0A"/>
    <w:rsid w:val="00A802BD"/>
    <w:rsid w:val="00A8213F"/>
    <w:rsid w:val="00A8379F"/>
    <w:rsid w:val="00A839AB"/>
    <w:rsid w:val="00A86024"/>
    <w:rsid w:val="00A90E25"/>
    <w:rsid w:val="00A90E50"/>
    <w:rsid w:val="00A91314"/>
    <w:rsid w:val="00A92433"/>
    <w:rsid w:val="00A9303C"/>
    <w:rsid w:val="00A93C79"/>
    <w:rsid w:val="00A9454C"/>
    <w:rsid w:val="00A9636E"/>
    <w:rsid w:val="00A96FB0"/>
    <w:rsid w:val="00A977C6"/>
    <w:rsid w:val="00AA1816"/>
    <w:rsid w:val="00AA1E39"/>
    <w:rsid w:val="00AA6464"/>
    <w:rsid w:val="00AA656F"/>
    <w:rsid w:val="00AA685C"/>
    <w:rsid w:val="00AA6E48"/>
    <w:rsid w:val="00AA7971"/>
    <w:rsid w:val="00AB1009"/>
    <w:rsid w:val="00AB16BC"/>
    <w:rsid w:val="00AB2123"/>
    <w:rsid w:val="00AB3726"/>
    <w:rsid w:val="00AB493C"/>
    <w:rsid w:val="00AB61FE"/>
    <w:rsid w:val="00AB6A62"/>
    <w:rsid w:val="00AC2B8C"/>
    <w:rsid w:val="00AC2F8D"/>
    <w:rsid w:val="00AC5264"/>
    <w:rsid w:val="00AC6B1C"/>
    <w:rsid w:val="00AC6E92"/>
    <w:rsid w:val="00AD084E"/>
    <w:rsid w:val="00AD29AE"/>
    <w:rsid w:val="00AD4DB9"/>
    <w:rsid w:val="00AD60E1"/>
    <w:rsid w:val="00AD62FE"/>
    <w:rsid w:val="00AE071B"/>
    <w:rsid w:val="00AE1D01"/>
    <w:rsid w:val="00AF0F88"/>
    <w:rsid w:val="00AF1E11"/>
    <w:rsid w:val="00AF49E3"/>
    <w:rsid w:val="00AF56E8"/>
    <w:rsid w:val="00AF5AEE"/>
    <w:rsid w:val="00AF7585"/>
    <w:rsid w:val="00B00A35"/>
    <w:rsid w:val="00B0377E"/>
    <w:rsid w:val="00B03E95"/>
    <w:rsid w:val="00B04143"/>
    <w:rsid w:val="00B04275"/>
    <w:rsid w:val="00B04A0B"/>
    <w:rsid w:val="00B054C2"/>
    <w:rsid w:val="00B06322"/>
    <w:rsid w:val="00B1108E"/>
    <w:rsid w:val="00B142D0"/>
    <w:rsid w:val="00B179F3"/>
    <w:rsid w:val="00B20F3B"/>
    <w:rsid w:val="00B213DB"/>
    <w:rsid w:val="00B235C7"/>
    <w:rsid w:val="00B235CF"/>
    <w:rsid w:val="00B2406D"/>
    <w:rsid w:val="00B26E46"/>
    <w:rsid w:val="00B27B5B"/>
    <w:rsid w:val="00B27D7D"/>
    <w:rsid w:val="00B312B4"/>
    <w:rsid w:val="00B32700"/>
    <w:rsid w:val="00B34023"/>
    <w:rsid w:val="00B3638E"/>
    <w:rsid w:val="00B40170"/>
    <w:rsid w:val="00B41816"/>
    <w:rsid w:val="00B42001"/>
    <w:rsid w:val="00B438F8"/>
    <w:rsid w:val="00B44024"/>
    <w:rsid w:val="00B440D2"/>
    <w:rsid w:val="00B45691"/>
    <w:rsid w:val="00B45CE8"/>
    <w:rsid w:val="00B47714"/>
    <w:rsid w:val="00B50967"/>
    <w:rsid w:val="00B5124E"/>
    <w:rsid w:val="00B52D1F"/>
    <w:rsid w:val="00B543AD"/>
    <w:rsid w:val="00B545D3"/>
    <w:rsid w:val="00B54730"/>
    <w:rsid w:val="00B55D72"/>
    <w:rsid w:val="00B561A5"/>
    <w:rsid w:val="00B56D33"/>
    <w:rsid w:val="00B5702C"/>
    <w:rsid w:val="00B578F5"/>
    <w:rsid w:val="00B61C63"/>
    <w:rsid w:val="00B628F8"/>
    <w:rsid w:val="00B6441D"/>
    <w:rsid w:val="00B64888"/>
    <w:rsid w:val="00B673D8"/>
    <w:rsid w:val="00B715BB"/>
    <w:rsid w:val="00B71DCD"/>
    <w:rsid w:val="00B7251E"/>
    <w:rsid w:val="00B735E7"/>
    <w:rsid w:val="00B74029"/>
    <w:rsid w:val="00B74259"/>
    <w:rsid w:val="00B7545E"/>
    <w:rsid w:val="00B7620D"/>
    <w:rsid w:val="00B76F8D"/>
    <w:rsid w:val="00B778C9"/>
    <w:rsid w:val="00B77C38"/>
    <w:rsid w:val="00B812E8"/>
    <w:rsid w:val="00B82DAD"/>
    <w:rsid w:val="00B83BC5"/>
    <w:rsid w:val="00B85353"/>
    <w:rsid w:val="00B853DD"/>
    <w:rsid w:val="00B87886"/>
    <w:rsid w:val="00B90060"/>
    <w:rsid w:val="00B90872"/>
    <w:rsid w:val="00B914D5"/>
    <w:rsid w:val="00B96D02"/>
    <w:rsid w:val="00B96D37"/>
    <w:rsid w:val="00B96DA3"/>
    <w:rsid w:val="00B974F6"/>
    <w:rsid w:val="00B9764D"/>
    <w:rsid w:val="00B978A7"/>
    <w:rsid w:val="00B97A97"/>
    <w:rsid w:val="00BA1FAC"/>
    <w:rsid w:val="00BA1FFE"/>
    <w:rsid w:val="00BA34B5"/>
    <w:rsid w:val="00BA3CF2"/>
    <w:rsid w:val="00BA66B8"/>
    <w:rsid w:val="00BA712B"/>
    <w:rsid w:val="00BB16C3"/>
    <w:rsid w:val="00BB1FEC"/>
    <w:rsid w:val="00BB2F05"/>
    <w:rsid w:val="00BB618B"/>
    <w:rsid w:val="00BB681C"/>
    <w:rsid w:val="00BB74C1"/>
    <w:rsid w:val="00BC0217"/>
    <w:rsid w:val="00BC1A7C"/>
    <w:rsid w:val="00BC2206"/>
    <w:rsid w:val="00BC3FAE"/>
    <w:rsid w:val="00BC565E"/>
    <w:rsid w:val="00BC6133"/>
    <w:rsid w:val="00BC665A"/>
    <w:rsid w:val="00BC6DCE"/>
    <w:rsid w:val="00BD14D7"/>
    <w:rsid w:val="00BD20E5"/>
    <w:rsid w:val="00BD493F"/>
    <w:rsid w:val="00BD4986"/>
    <w:rsid w:val="00BD6A42"/>
    <w:rsid w:val="00BD7388"/>
    <w:rsid w:val="00BE18BE"/>
    <w:rsid w:val="00BE24C6"/>
    <w:rsid w:val="00BE37DB"/>
    <w:rsid w:val="00BE5101"/>
    <w:rsid w:val="00BE6DA4"/>
    <w:rsid w:val="00BF0C67"/>
    <w:rsid w:val="00BF0E95"/>
    <w:rsid w:val="00BF1857"/>
    <w:rsid w:val="00BF2D30"/>
    <w:rsid w:val="00BF319D"/>
    <w:rsid w:val="00BF3860"/>
    <w:rsid w:val="00BF6585"/>
    <w:rsid w:val="00BF7048"/>
    <w:rsid w:val="00BF78EB"/>
    <w:rsid w:val="00C007D1"/>
    <w:rsid w:val="00C00C85"/>
    <w:rsid w:val="00C02640"/>
    <w:rsid w:val="00C031C8"/>
    <w:rsid w:val="00C03CAE"/>
    <w:rsid w:val="00C061BE"/>
    <w:rsid w:val="00C063A5"/>
    <w:rsid w:val="00C06F42"/>
    <w:rsid w:val="00C12F12"/>
    <w:rsid w:val="00C13B7C"/>
    <w:rsid w:val="00C1421D"/>
    <w:rsid w:val="00C2003B"/>
    <w:rsid w:val="00C201AF"/>
    <w:rsid w:val="00C20BCE"/>
    <w:rsid w:val="00C2145A"/>
    <w:rsid w:val="00C21BA4"/>
    <w:rsid w:val="00C21D3D"/>
    <w:rsid w:val="00C22446"/>
    <w:rsid w:val="00C239D7"/>
    <w:rsid w:val="00C24ADC"/>
    <w:rsid w:val="00C25CC2"/>
    <w:rsid w:val="00C27984"/>
    <w:rsid w:val="00C27A8A"/>
    <w:rsid w:val="00C30904"/>
    <w:rsid w:val="00C3237B"/>
    <w:rsid w:val="00C329BE"/>
    <w:rsid w:val="00C339A5"/>
    <w:rsid w:val="00C339B0"/>
    <w:rsid w:val="00C356B4"/>
    <w:rsid w:val="00C35C64"/>
    <w:rsid w:val="00C35EF9"/>
    <w:rsid w:val="00C360EE"/>
    <w:rsid w:val="00C370C3"/>
    <w:rsid w:val="00C37FED"/>
    <w:rsid w:val="00C41196"/>
    <w:rsid w:val="00C438C8"/>
    <w:rsid w:val="00C449CF"/>
    <w:rsid w:val="00C44B1B"/>
    <w:rsid w:val="00C4513F"/>
    <w:rsid w:val="00C47124"/>
    <w:rsid w:val="00C51B4A"/>
    <w:rsid w:val="00C5231E"/>
    <w:rsid w:val="00C5441E"/>
    <w:rsid w:val="00C54D96"/>
    <w:rsid w:val="00C55DF8"/>
    <w:rsid w:val="00C563B0"/>
    <w:rsid w:val="00C56532"/>
    <w:rsid w:val="00C565EC"/>
    <w:rsid w:val="00C57B23"/>
    <w:rsid w:val="00C6083E"/>
    <w:rsid w:val="00C6184E"/>
    <w:rsid w:val="00C61B04"/>
    <w:rsid w:val="00C63AFE"/>
    <w:rsid w:val="00C64E47"/>
    <w:rsid w:val="00C64EF7"/>
    <w:rsid w:val="00C666E3"/>
    <w:rsid w:val="00C675C8"/>
    <w:rsid w:val="00C67EE2"/>
    <w:rsid w:val="00C67F71"/>
    <w:rsid w:val="00C71422"/>
    <w:rsid w:val="00C721EA"/>
    <w:rsid w:val="00C729B4"/>
    <w:rsid w:val="00C744C4"/>
    <w:rsid w:val="00C748CB"/>
    <w:rsid w:val="00C76360"/>
    <w:rsid w:val="00C77867"/>
    <w:rsid w:val="00C77C69"/>
    <w:rsid w:val="00C80680"/>
    <w:rsid w:val="00C80BC6"/>
    <w:rsid w:val="00C85811"/>
    <w:rsid w:val="00C90072"/>
    <w:rsid w:val="00CA1CCB"/>
    <w:rsid w:val="00CA6E19"/>
    <w:rsid w:val="00CA7116"/>
    <w:rsid w:val="00CA78D2"/>
    <w:rsid w:val="00CB248F"/>
    <w:rsid w:val="00CB38F3"/>
    <w:rsid w:val="00CB5187"/>
    <w:rsid w:val="00CB7FB2"/>
    <w:rsid w:val="00CC0534"/>
    <w:rsid w:val="00CC1C7B"/>
    <w:rsid w:val="00CC24E1"/>
    <w:rsid w:val="00CC5617"/>
    <w:rsid w:val="00CC75BA"/>
    <w:rsid w:val="00CC7D13"/>
    <w:rsid w:val="00CD0E51"/>
    <w:rsid w:val="00CD1156"/>
    <w:rsid w:val="00CD1C2F"/>
    <w:rsid w:val="00CD310B"/>
    <w:rsid w:val="00CD4494"/>
    <w:rsid w:val="00CD4EB4"/>
    <w:rsid w:val="00CD54A1"/>
    <w:rsid w:val="00CD57BA"/>
    <w:rsid w:val="00CD5841"/>
    <w:rsid w:val="00CD5CAC"/>
    <w:rsid w:val="00CD5DA9"/>
    <w:rsid w:val="00CD6A5C"/>
    <w:rsid w:val="00CE07A5"/>
    <w:rsid w:val="00CE0DD8"/>
    <w:rsid w:val="00CE2D39"/>
    <w:rsid w:val="00CE2E84"/>
    <w:rsid w:val="00CE3DC3"/>
    <w:rsid w:val="00CE4B9B"/>
    <w:rsid w:val="00CE4DB3"/>
    <w:rsid w:val="00CE66CE"/>
    <w:rsid w:val="00CE689E"/>
    <w:rsid w:val="00CF0009"/>
    <w:rsid w:val="00CF1A90"/>
    <w:rsid w:val="00CF25FC"/>
    <w:rsid w:val="00CF2ABD"/>
    <w:rsid w:val="00CF2C2E"/>
    <w:rsid w:val="00CF2E05"/>
    <w:rsid w:val="00CF3471"/>
    <w:rsid w:val="00CF35EF"/>
    <w:rsid w:val="00CF4330"/>
    <w:rsid w:val="00CF44AC"/>
    <w:rsid w:val="00CF4BE1"/>
    <w:rsid w:val="00CF51D9"/>
    <w:rsid w:val="00CF5A1C"/>
    <w:rsid w:val="00CF5CF9"/>
    <w:rsid w:val="00CF5F81"/>
    <w:rsid w:val="00CF6C61"/>
    <w:rsid w:val="00D00121"/>
    <w:rsid w:val="00D00848"/>
    <w:rsid w:val="00D02A41"/>
    <w:rsid w:val="00D03100"/>
    <w:rsid w:val="00D0431D"/>
    <w:rsid w:val="00D053A7"/>
    <w:rsid w:val="00D0798A"/>
    <w:rsid w:val="00D10701"/>
    <w:rsid w:val="00D116E1"/>
    <w:rsid w:val="00D125F6"/>
    <w:rsid w:val="00D13028"/>
    <w:rsid w:val="00D14032"/>
    <w:rsid w:val="00D17381"/>
    <w:rsid w:val="00D20145"/>
    <w:rsid w:val="00D208B4"/>
    <w:rsid w:val="00D20989"/>
    <w:rsid w:val="00D20ACA"/>
    <w:rsid w:val="00D24009"/>
    <w:rsid w:val="00D24324"/>
    <w:rsid w:val="00D25DFF"/>
    <w:rsid w:val="00D27137"/>
    <w:rsid w:val="00D3381B"/>
    <w:rsid w:val="00D33E52"/>
    <w:rsid w:val="00D35A6F"/>
    <w:rsid w:val="00D365B5"/>
    <w:rsid w:val="00D36629"/>
    <w:rsid w:val="00D37659"/>
    <w:rsid w:val="00D41558"/>
    <w:rsid w:val="00D41A9C"/>
    <w:rsid w:val="00D42535"/>
    <w:rsid w:val="00D445A5"/>
    <w:rsid w:val="00D45CC8"/>
    <w:rsid w:val="00D46C63"/>
    <w:rsid w:val="00D475E0"/>
    <w:rsid w:val="00D52808"/>
    <w:rsid w:val="00D53C71"/>
    <w:rsid w:val="00D53E84"/>
    <w:rsid w:val="00D54F1E"/>
    <w:rsid w:val="00D603A3"/>
    <w:rsid w:val="00D61051"/>
    <w:rsid w:val="00D6259B"/>
    <w:rsid w:val="00D63DC8"/>
    <w:rsid w:val="00D65339"/>
    <w:rsid w:val="00D65767"/>
    <w:rsid w:val="00D66A56"/>
    <w:rsid w:val="00D66C0B"/>
    <w:rsid w:val="00D67ABD"/>
    <w:rsid w:val="00D71311"/>
    <w:rsid w:val="00D7368C"/>
    <w:rsid w:val="00D752AC"/>
    <w:rsid w:val="00D77459"/>
    <w:rsid w:val="00D775D3"/>
    <w:rsid w:val="00D80075"/>
    <w:rsid w:val="00D808E3"/>
    <w:rsid w:val="00D82199"/>
    <w:rsid w:val="00D824A3"/>
    <w:rsid w:val="00D829CB"/>
    <w:rsid w:val="00D84F15"/>
    <w:rsid w:val="00D8719D"/>
    <w:rsid w:val="00D87E7F"/>
    <w:rsid w:val="00D906A6"/>
    <w:rsid w:val="00D91AF2"/>
    <w:rsid w:val="00D91C03"/>
    <w:rsid w:val="00D9241B"/>
    <w:rsid w:val="00D92D4E"/>
    <w:rsid w:val="00D9304C"/>
    <w:rsid w:val="00D9393B"/>
    <w:rsid w:val="00D94277"/>
    <w:rsid w:val="00D9535B"/>
    <w:rsid w:val="00DA2DA0"/>
    <w:rsid w:val="00DA596F"/>
    <w:rsid w:val="00DA59F7"/>
    <w:rsid w:val="00DA7C3D"/>
    <w:rsid w:val="00DB00D3"/>
    <w:rsid w:val="00DB01DB"/>
    <w:rsid w:val="00DB067E"/>
    <w:rsid w:val="00DB124B"/>
    <w:rsid w:val="00DB1502"/>
    <w:rsid w:val="00DB1EB1"/>
    <w:rsid w:val="00DB4991"/>
    <w:rsid w:val="00DB668B"/>
    <w:rsid w:val="00DC225F"/>
    <w:rsid w:val="00DC2B1C"/>
    <w:rsid w:val="00DC384F"/>
    <w:rsid w:val="00DC62A4"/>
    <w:rsid w:val="00DC68FB"/>
    <w:rsid w:val="00DC7C9C"/>
    <w:rsid w:val="00DD0A37"/>
    <w:rsid w:val="00DD0C4A"/>
    <w:rsid w:val="00DD17AE"/>
    <w:rsid w:val="00DD2365"/>
    <w:rsid w:val="00DD37A0"/>
    <w:rsid w:val="00DD3E64"/>
    <w:rsid w:val="00DD4387"/>
    <w:rsid w:val="00DD774C"/>
    <w:rsid w:val="00DE113D"/>
    <w:rsid w:val="00DE16C0"/>
    <w:rsid w:val="00DE2AA0"/>
    <w:rsid w:val="00DE48F9"/>
    <w:rsid w:val="00DE5322"/>
    <w:rsid w:val="00DE57EE"/>
    <w:rsid w:val="00DE5E38"/>
    <w:rsid w:val="00DE678D"/>
    <w:rsid w:val="00DF0BAE"/>
    <w:rsid w:val="00DF13CB"/>
    <w:rsid w:val="00DF1C91"/>
    <w:rsid w:val="00DF3785"/>
    <w:rsid w:val="00DF4D22"/>
    <w:rsid w:val="00DF4F00"/>
    <w:rsid w:val="00DF5913"/>
    <w:rsid w:val="00DF6A99"/>
    <w:rsid w:val="00DF6E35"/>
    <w:rsid w:val="00DF73E0"/>
    <w:rsid w:val="00DF7C31"/>
    <w:rsid w:val="00E01611"/>
    <w:rsid w:val="00E021D1"/>
    <w:rsid w:val="00E0267A"/>
    <w:rsid w:val="00E03EB1"/>
    <w:rsid w:val="00E050D5"/>
    <w:rsid w:val="00E0642C"/>
    <w:rsid w:val="00E074E2"/>
    <w:rsid w:val="00E07731"/>
    <w:rsid w:val="00E10167"/>
    <w:rsid w:val="00E1242F"/>
    <w:rsid w:val="00E12B24"/>
    <w:rsid w:val="00E12F0E"/>
    <w:rsid w:val="00E13CDD"/>
    <w:rsid w:val="00E14A1B"/>
    <w:rsid w:val="00E1570A"/>
    <w:rsid w:val="00E16AF4"/>
    <w:rsid w:val="00E16B0D"/>
    <w:rsid w:val="00E1730A"/>
    <w:rsid w:val="00E20A11"/>
    <w:rsid w:val="00E2117C"/>
    <w:rsid w:val="00E2351D"/>
    <w:rsid w:val="00E23E40"/>
    <w:rsid w:val="00E2534C"/>
    <w:rsid w:val="00E25C3B"/>
    <w:rsid w:val="00E31222"/>
    <w:rsid w:val="00E32B50"/>
    <w:rsid w:val="00E340C2"/>
    <w:rsid w:val="00E35A4D"/>
    <w:rsid w:val="00E35D7C"/>
    <w:rsid w:val="00E37F25"/>
    <w:rsid w:val="00E4173F"/>
    <w:rsid w:val="00E44E65"/>
    <w:rsid w:val="00E45322"/>
    <w:rsid w:val="00E47EE2"/>
    <w:rsid w:val="00E51A12"/>
    <w:rsid w:val="00E53082"/>
    <w:rsid w:val="00E5390E"/>
    <w:rsid w:val="00E55E76"/>
    <w:rsid w:val="00E5758C"/>
    <w:rsid w:val="00E612E0"/>
    <w:rsid w:val="00E61585"/>
    <w:rsid w:val="00E61CD9"/>
    <w:rsid w:val="00E632B8"/>
    <w:rsid w:val="00E640F8"/>
    <w:rsid w:val="00E66F1E"/>
    <w:rsid w:val="00E70C20"/>
    <w:rsid w:val="00E719A8"/>
    <w:rsid w:val="00E73B3F"/>
    <w:rsid w:val="00E74510"/>
    <w:rsid w:val="00E74FBF"/>
    <w:rsid w:val="00E74FF0"/>
    <w:rsid w:val="00E75F19"/>
    <w:rsid w:val="00E77263"/>
    <w:rsid w:val="00E77944"/>
    <w:rsid w:val="00E77CAC"/>
    <w:rsid w:val="00E80F4D"/>
    <w:rsid w:val="00E81F55"/>
    <w:rsid w:val="00E83160"/>
    <w:rsid w:val="00E850F6"/>
    <w:rsid w:val="00E877C8"/>
    <w:rsid w:val="00E8794E"/>
    <w:rsid w:val="00E87AFD"/>
    <w:rsid w:val="00E87F2D"/>
    <w:rsid w:val="00E90335"/>
    <w:rsid w:val="00E92937"/>
    <w:rsid w:val="00E935BA"/>
    <w:rsid w:val="00E93C1A"/>
    <w:rsid w:val="00E93C55"/>
    <w:rsid w:val="00E93CCA"/>
    <w:rsid w:val="00E9433C"/>
    <w:rsid w:val="00E9499A"/>
    <w:rsid w:val="00E950D8"/>
    <w:rsid w:val="00E950FC"/>
    <w:rsid w:val="00E952D3"/>
    <w:rsid w:val="00E953DD"/>
    <w:rsid w:val="00E956B9"/>
    <w:rsid w:val="00E96305"/>
    <w:rsid w:val="00EA0069"/>
    <w:rsid w:val="00EA28E1"/>
    <w:rsid w:val="00EA3A79"/>
    <w:rsid w:val="00EA3F90"/>
    <w:rsid w:val="00EA3FD8"/>
    <w:rsid w:val="00EA7DBE"/>
    <w:rsid w:val="00EB12FA"/>
    <w:rsid w:val="00EB144D"/>
    <w:rsid w:val="00EB33F8"/>
    <w:rsid w:val="00EB63DD"/>
    <w:rsid w:val="00EB6920"/>
    <w:rsid w:val="00EB734D"/>
    <w:rsid w:val="00EC0A89"/>
    <w:rsid w:val="00EC1DE2"/>
    <w:rsid w:val="00EC31BC"/>
    <w:rsid w:val="00EC3791"/>
    <w:rsid w:val="00EC3C20"/>
    <w:rsid w:val="00EC55AF"/>
    <w:rsid w:val="00EC5A0F"/>
    <w:rsid w:val="00EC6DCA"/>
    <w:rsid w:val="00EC7F34"/>
    <w:rsid w:val="00ED2B61"/>
    <w:rsid w:val="00ED4935"/>
    <w:rsid w:val="00ED542D"/>
    <w:rsid w:val="00ED68D4"/>
    <w:rsid w:val="00ED7134"/>
    <w:rsid w:val="00ED75B9"/>
    <w:rsid w:val="00ED7CC6"/>
    <w:rsid w:val="00ED7E46"/>
    <w:rsid w:val="00EE05DF"/>
    <w:rsid w:val="00EE1BDC"/>
    <w:rsid w:val="00EE24B6"/>
    <w:rsid w:val="00EE3A87"/>
    <w:rsid w:val="00EE4E1A"/>
    <w:rsid w:val="00EE5745"/>
    <w:rsid w:val="00EE5E9E"/>
    <w:rsid w:val="00EE630A"/>
    <w:rsid w:val="00EE64D1"/>
    <w:rsid w:val="00EE697B"/>
    <w:rsid w:val="00EF004B"/>
    <w:rsid w:val="00EF2F7F"/>
    <w:rsid w:val="00EF3585"/>
    <w:rsid w:val="00EF3FAF"/>
    <w:rsid w:val="00EF501E"/>
    <w:rsid w:val="00EF6E04"/>
    <w:rsid w:val="00F03F5D"/>
    <w:rsid w:val="00F0699C"/>
    <w:rsid w:val="00F06F3E"/>
    <w:rsid w:val="00F07790"/>
    <w:rsid w:val="00F11688"/>
    <w:rsid w:val="00F11F7E"/>
    <w:rsid w:val="00F133E9"/>
    <w:rsid w:val="00F1420B"/>
    <w:rsid w:val="00F14FE5"/>
    <w:rsid w:val="00F1573A"/>
    <w:rsid w:val="00F21C7D"/>
    <w:rsid w:val="00F21D27"/>
    <w:rsid w:val="00F22F73"/>
    <w:rsid w:val="00F24A11"/>
    <w:rsid w:val="00F24C1B"/>
    <w:rsid w:val="00F24DE3"/>
    <w:rsid w:val="00F272FE"/>
    <w:rsid w:val="00F37A78"/>
    <w:rsid w:val="00F40BDE"/>
    <w:rsid w:val="00F426A4"/>
    <w:rsid w:val="00F448C7"/>
    <w:rsid w:val="00F45C29"/>
    <w:rsid w:val="00F46129"/>
    <w:rsid w:val="00F4660B"/>
    <w:rsid w:val="00F503AD"/>
    <w:rsid w:val="00F517E0"/>
    <w:rsid w:val="00F524D9"/>
    <w:rsid w:val="00F531F2"/>
    <w:rsid w:val="00F550B3"/>
    <w:rsid w:val="00F567B3"/>
    <w:rsid w:val="00F6304E"/>
    <w:rsid w:val="00F63750"/>
    <w:rsid w:val="00F661D3"/>
    <w:rsid w:val="00F67409"/>
    <w:rsid w:val="00F7213A"/>
    <w:rsid w:val="00F72A8C"/>
    <w:rsid w:val="00F72AF3"/>
    <w:rsid w:val="00F73ED2"/>
    <w:rsid w:val="00F74626"/>
    <w:rsid w:val="00F76801"/>
    <w:rsid w:val="00F77B1E"/>
    <w:rsid w:val="00F80447"/>
    <w:rsid w:val="00F80B81"/>
    <w:rsid w:val="00F80D9D"/>
    <w:rsid w:val="00F813D4"/>
    <w:rsid w:val="00F818D0"/>
    <w:rsid w:val="00F8276C"/>
    <w:rsid w:val="00F9165F"/>
    <w:rsid w:val="00F93B77"/>
    <w:rsid w:val="00F94904"/>
    <w:rsid w:val="00F94DC2"/>
    <w:rsid w:val="00F97DE4"/>
    <w:rsid w:val="00FA0721"/>
    <w:rsid w:val="00FA36A9"/>
    <w:rsid w:val="00FA4403"/>
    <w:rsid w:val="00FA5D16"/>
    <w:rsid w:val="00FA651A"/>
    <w:rsid w:val="00FA6DF7"/>
    <w:rsid w:val="00FA7CEC"/>
    <w:rsid w:val="00FB18C2"/>
    <w:rsid w:val="00FB1CC2"/>
    <w:rsid w:val="00FB264A"/>
    <w:rsid w:val="00FB2D7A"/>
    <w:rsid w:val="00FB4502"/>
    <w:rsid w:val="00FB536D"/>
    <w:rsid w:val="00FB5394"/>
    <w:rsid w:val="00FB5506"/>
    <w:rsid w:val="00FB60DB"/>
    <w:rsid w:val="00FC0C85"/>
    <w:rsid w:val="00FC1F97"/>
    <w:rsid w:val="00FC37AD"/>
    <w:rsid w:val="00FC3C15"/>
    <w:rsid w:val="00FC412D"/>
    <w:rsid w:val="00FC4248"/>
    <w:rsid w:val="00FD0A82"/>
    <w:rsid w:val="00FD2BFF"/>
    <w:rsid w:val="00FD2F8D"/>
    <w:rsid w:val="00FD36A9"/>
    <w:rsid w:val="00FD39B2"/>
    <w:rsid w:val="00FD45D8"/>
    <w:rsid w:val="00FD47D6"/>
    <w:rsid w:val="00FE01CF"/>
    <w:rsid w:val="00FE040C"/>
    <w:rsid w:val="00FE336E"/>
    <w:rsid w:val="00FE4BFA"/>
    <w:rsid w:val="00FE5556"/>
    <w:rsid w:val="00FE7191"/>
    <w:rsid w:val="00FF0F79"/>
    <w:rsid w:val="00FF1122"/>
    <w:rsid w:val="00FF1A78"/>
    <w:rsid w:val="00FF1D82"/>
    <w:rsid w:val="00FF3882"/>
    <w:rsid w:val="00FF4116"/>
    <w:rsid w:val="00FF466E"/>
    <w:rsid w:val="00FF7A17"/>
    <w:rsid w:val="011C9745"/>
    <w:rsid w:val="017FAF46"/>
    <w:rsid w:val="02242AA8"/>
    <w:rsid w:val="0305663F"/>
    <w:rsid w:val="0409AFDD"/>
    <w:rsid w:val="040F4DFB"/>
    <w:rsid w:val="04478AA9"/>
    <w:rsid w:val="046095DA"/>
    <w:rsid w:val="046A5D7F"/>
    <w:rsid w:val="0488443D"/>
    <w:rsid w:val="04DA3C35"/>
    <w:rsid w:val="0514AA8A"/>
    <w:rsid w:val="072D25CB"/>
    <w:rsid w:val="08798895"/>
    <w:rsid w:val="08A36C6D"/>
    <w:rsid w:val="0914486D"/>
    <w:rsid w:val="0C609BE4"/>
    <w:rsid w:val="0D047294"/>
    <w:rsid w:val="0E07722F"/>
    <w:rsid w:val="0E85D0AF"/>
    <w:rsid w:val="0F6094D6"/>
    <w:rsid w:val="0F70E167"/>
    <w:rsid w:val="0FD316DC"/>
    <w:rsid w:val="1056446C"/>
    <w:rsid w:val="10DA520D"/>
    <w:rsid w:val="116D1656"/>
    <w:rsid w:val="11982DD9"/>
    <w:rsid w:val="11D7E3B7"/>
    <w:rsid w:val="12563B4F"/>
    <w:rsid w:val="1276226E"/>
    <w:rsid w:val="132B3A2D"/>
    <w:rsid w:val="137FA9A3"/>
    <w:rsid w:val="15C6FEA0"/>
    <w:rsid w:val="1619DF18"/>
    <w:rsid w:val="168D063B"/>
    <w:rsid w:val="1700160A"/>
    <w:rsid w:val="171B86D0"/>
    <w:rsid w:val="188CA62F"/>
    <w:rsid w:val="195E5DE3"/>
    <w:rsid w:val="198A763F"/>
    <w:rsid w:val="1A19F125"/>
    <w:rsid w:val="1A2DB426"/>
    <w:rsid w:val="1B8676C2"/>
    <w:rsid w:val="1BF6E18C"/>
    <w:rsid w:val="1C21D9E1"/>
    <w:rsid w:val="1C7AC397"/>
    <w:rsid w:val="1C97EBE9"/>
    <w:rsid w:val="1CB77BD9"/>
    <w:rsid w:val="1CF1554E"/>
    <w:rsid w:val="1D401BF2"/>
    <w:rsid w:val="1DE6E02E"/>
    <w:rsid w:val="1EEC8F60"/>
    <w:rsid w:val="1F06DB69"/>
    <w:rsid w:val="20123D5B"/>
    <w:rsid w:val="20E4CC9E"/>
    <w:rsid w:val="21064435"/>
    <w:rsid w:val="21D0AD96"/>
    <w:rsid w:val="2244B899"/>
    <w:rsid w:val="22E7D598"/>
    <w:rsid w:val="2300EBE6"/>
    <w:rsid w:val="2332628B"/>
    <w:rsid w:val="238329C2"/>
    <w:rsid w:val="23D8308E"/>
    <w:rsid w:val="248F0401"/>
    <w:rsid w:val="25AC6227"/>
    <w:rsid w:val="25EC3F76"/>
    <w:rsid w:val="262AD462"/>
    <w:rsid w:val="2728B76F"/>
    <w:rsid w:val="279C133A"/>
    <w:rsid w:val="27F800BF"/>
    <w:rsid w:val="28B21589"/>
    <w:rsid w:val="2906BB9B"/>
    <w:rsid w:val="2937E39B"/>
    <w:rsid w:val="29E6FCB5"/>
    <w:rsid w:val="2A9B6CB8"/>
    <w:rsid w:val="2AD8667E"/>
    <w:rsid w:val="2B3FC5C1"/>
    <w:rsid w:val="2B4E028F"/>
    <w:rsid w:val="2BBE03FB"/>
    <w:rsid w:val="2CD1602E"/>
    <w:rsid w:val="2E0907DF"/>
    <w:rsid w:val="2E180169"/>
    <w:rsid w:val="2EB2C141"/>
    <w:rsid w:val="2F4DB365"/>
    <w:rsid w:val="2F8E2F93"/>
    <w:rsid w:val="2FB51922"/>
    <w:rsid w:val="306381E7"/>
    <w:rsid w:val="30EE76F4"/>
    <w:rsid w:val="32204D04"/>
    <w:rsid w:val="33CAE4B4"/>
    <w:rsid w:val="352EA357"/>
    <w:rsid w:val="352FBD6A"/>
    <w:rsid w:val="35DDCF1C"/>
    <w:rsid w:val="3653076B"/>
    <w:rsid w:val="368073A7"/>
    <w:rsid w:val="381B3FA0"/>
    <w:rsid w:val="38228F6D"/>
    <w:rsid w:val="384EDDD9"/>
    <w:rsid w:val="38BE3C47"/>
    <w:rsid w:val="390E8FF9"/>
    <w:rsid w:val="39B8E1EE"/>
    <w:rsid w:val="3B07AAF2"/>
    <w:rsid w:val="3B1F60D1"/>
    <w:rsid w:val="3B6750C8"/>
    <w:rsid w:val="3B9559D9"/>
    <w:rsid w:val="3C21E300"/>
    <w:rsid w:val="3CA75F1F"/>
    <w:rsid w:val="3CD77994"/>
    <w:rsid w:val="3CDB4F05"/>
    <w:rsid w:val="3DE9B030"/>
    <w:rsid w:val="3E40F440"/>
    <w:rsid w:val="3F7E9F1D"/>
    <w:rsid w:val="408B1709"/>
    <w:rsid w:val="40968897"/>
    <w:rsid w:val="4166AB09"/>
    <w:rsid w:val="41AF7F1B"/>
    <w:rsid w:val="41CD4D03"/>
    <w:rsid w:val="42DBB57D"/>
    <w:rsid w:val="432AB62E"/>
    <w:rsid w:val="432E1404"/>
    <w:rsid w:val="445E65B9"/>
    <w:rsid w:val="4466CA5C"/>
    <w:rsid w:val="44BFB131"/>
    <w:rsid w:val="44ECF6A7"/>
    <w:rsid w:val="45143DCA"/>
    <w:rsid w:val="4542A111"/>
    <w:rsid w:val="457E96CC"/>
    <w:rsid w:val="45D855DD"/>
    <w:rsid w:val="46DF8438"/>
    <w:rsid w:val="4726C9C0"/>
    <w:rsid w:val="476A09AC"/>
    <w:rsid w:val="4939D1CF"/>
    <w:rsid w:val="496B59C4"/>
    <w:rsid w:val="49F595EE"/>
    <w:rsid w:val="4A996215"/>
    <w:rsid w:val="4B330270"/>
    <w:rsid w:val="4C5B43EB"/>
    <w:rsid w:val="4C770F70"/>
    <w:rsid w:val="4DAC0AAC"/>
    <w:rsid w:val="4E99BB9A"/>
    <w:rsid w:val="4EDA6E90"/>
    <w:rsid w:val="4EEDD194"/>
    <w:rsid w:val="4F82A61D"/>
    <w:rsid w:val="502C79EF"/>
    <w:rsid w:val="50936AF4"/>
    <w:rsid w:val="5093CE23"/>
    <w:rsid w:val="50CB25B4"/>
    <w:rsid w:val="50F8EB01"/>
    <w:rsid w:val="5194FDC6"/>
    <w:rsid w:val="51E9782C"/>
    <w:rsid w:val="522C59B1"/>
    <w:rsid w:val="5298CC8A"/>
    <w:rsid w:val="531D06EB"/>
    <w:rsid w:val="538C2DAE"/>
    <w:rsid w:val="53916510"/>
    <w:rsid w:val="53ADDFB3"/>
    <w:rsid w:val="55E17F83"/>
    <w:rsid w:val="573DF375"/>
    <w:rsid w:val="57B13C81"/>
    <w:rsid w:val="57DCD8AA"/>
    <w:rsid w:val="5899F9F8"/>
    <w:rsid w:val="593C6A1B"/>
    <w:rsid w:val="5983204B"/>
    <w:rsid w:val="59DFCF15"/>
    <w:rsid w:val="59F7FA2E"/>
    <w:rsid w:val="5A3DCA8B"/>
    <w:rsid w:val="5A716557"/>
    <w:rsid w:val="5A9163FB"/>
    <w:rsid w:val="5AEAA177"/>
    <w:rsid w:val="5B2E293D"/>
    <w:rsid w:val="5B8DFEA5"/>
    <w:rsid w:val="5BB010E3"/>
    <w:rsid w:val="5BFFE6F8"/>
    <w:rsid w:val="5D0E0323"/>
    <w:rsid w:val="5DEACB42"/>
    <w:rsid w:val="5E504CB7"/>
    <w:rsid w:val="5E7B47C7"/>
    <w:rsid w:val="5FB81C87"/>
    <w:rsid w:val="609A120F"/>
    <w:rsid w:val="61F776F4"/>
    <w:rsid w:val="62E89899"/>
    <w:rsid w:val="6351614A"/>
    <w:rsid w:val="647DA3F3"/>
    <w:rsid w:val="64E43424"/>
    <w:rsid w:val="6526C817"/>
    <w:rsid w:val="65587569"/>
    <w:rsid w:val="657246AD"/>
    <w:rsid w:val="66326837"/>
    <w:rsid w:val="667D63AD"/>
    <w:rsid w:val="66926E7B"/>
    <w:rsid w:val="669F70F3"/>
    <w:rsid w:val="66F445CA"/>
    <w:rsid w:val="68D07C5E"/>
    <w:rsid w:val="68D27FE5"/>
    <w:rsid w:val="68E89DD4"/>
    <w:rsid w:val="699523CA"/>
    <w:rsid w:val="69B30908"/>
    <w:rsid w:val="69B36F6B"/>
    <w:rsid w:val="69FEC505"/>
    <w:rsid w:val="6A00CAAB"/>
    <w:rsid w:val="6AF64BCC"/>
    <w:rsid w:val="6BA12457"/>
    <w:rsid w:val="6CDF5B2A"/>
    <w:rsid w:val="6CE8B360"/>
    <w:rsid w:val="6D8AD2BF"/>
    <w:rsid w:val="6DC86ECD"/>
    <w:rsid w:val="6DFF91AE"/>
    <w:rsid w:val="6EA626DB"/>
    <w:rsid w:val="6EFAFCBF"/>
    <w:rsid w:val="6F6E838B"/>
    <w:rsid w:val="70993E64"/>
    <w:rsid w:val="71658D50"/>
    <w:rsid w:val="71E352EC"/>
    <w:rsid w:val="722EAE27"/>
    <w:rsid w:val="7351D490"/>
    <w:rsid w:val="741DB40E"/>
    <w:rsid w:val="74533EF5"/>
    <w:rsid w:val="74A87D30"/>
    <w:rsid w:val="74D69E46"/>
    <w:rsid w:val="755A55B8"/>
    <w:rsid w:val="7565CE49"/>
    <w:rsid w:val="758C3F3E"/>
    <w:rsid w:val="75C69CC2"/>
    <w:rsid w:val="76484BA1"/>
    <w:rsid w:val="769B74FD"/>
    <w:rsid w:val="7834E123"/>
    <w:rsid w:val="7963B6F0"/>
    <w:rsid w:val="7A226A2E"/>
    <w:rsid w:val="7B118E9E"/>
    <w:rsid w:val="7B84E83E"/>
    <w:rsid w:val="7BA3C7C6"/>
    <w:rsid w:val="7BD481E4"/>
    <w:rsid w:val="7C5C6AF3"/>
    <w:rsid w:val="7CD602AD"/>
    <w:rsid w:val="7DD083EE"/>
    <w:rsid w:val="7E1B1DE6"/>
    <w:rsid w:val="7E45ABE2"/>
    <w:rsid w:val="7E6391A9"/>
    <w:rsid w:val="7E87F93C"/>
    <w:rsid w:val="7ED803B3"/>
    <w:rsid w:val="7ED97F15"/>
    <w:rsid w:val="7FC70B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539CF27"/>
  <w15:docId w15:val="{B8C2B9BE-1D1B-4FF7-8D54-EB073ED9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585"/>
    <w:rPr>
      <w:sz w:val="24"/>
      <w:szCs w:val="24"/>
    </w:rPr>
  </w:style>
  <w:style w:type="paragraph" w:styleId="Heading1">
    <w:name w:val="heading 1"/>
    <w:basedOn w:val="Normal"/>
    <w:next w:val="Normal"/>
    <w:link w:val="Heading1Char"/>
    <w:qFormat/>
    <w:rsid w:val="00877A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4943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rsid w:val="00AF7585"/>
    <w:rPr>
      <w:sz w:val="20"/>
      <w:szCs w:val="20"/>
    </w:rPr>
  </w:style>
  <w:style w:type="character" w:customStyle="1" w:styleId="FootnoteTextChar">
    <w:name w:val="Footnote Text Char"/>
    <w:basedOn w:val="DefaultParagraphFont"/>
    <w:link w:val="FootnoteText"/>
    <w:uiPriority w:val="99"/>
    <w:rsid w:val="00AF7585"/>
  </w:style>
  <w:style w:type="character" w:styleId="FootnoteReference">
    <w:name w:val="footnote reference"/>
    <w:basedOn w:val="DefaultParagraphFont"/>
    <w:uiPriority w:val="99"/>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rsid w:val="00AF7585"/>
    <w:rPr>
      <w:rFonts w:cs="Times New Roman"/>
      <w:sz w:val="16"/>
    </w:rPr>
  </w:style>
  <w:style w:type="paragraph" w:styleId="CommentText">
    <w:name w:val="annotation text"/>
    <w:basedOn w:val="Normal"/>
    <w:link w:val="CommentTextChar"/>
    <w:rsid w:val="00AF7585"/>
    <w:rPr>
      <w:sz w:val="20"/>
      <w:szCs w:val="20"/>
    </w:rPr>
  </w:style>
  <w:style w:type="character" w:customStyle="1" w:styleId="CommentTextChar">
    <w:name w:val="Comment Text Char"/>
    <w:basedOn w:val="DefaultParagraphFont"/>
    <w:link w:val="CommentText"/>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character" w:customStyle="1" w:styleId="currenthithighlight">
    <w:name w:val="currenthithighlight"/>
    <w:basedOn w:val="DefaultParagraphFont"/>
    <w:rsid w:val="004C3E6F"/>
  </w:style>
  <w:style w:type="character" w:customStyle="1" w:styleId="xbe">
    <w:name w:val="_xbe"/>
    <w:basedOn w:val="DefaultParagraphFont"/>
    <w:rsid w:val="004C3E6F"/>
  </w:style>
  <w:style w:type="character" w:customStyle="1" w:styleId="Heading1Char">
    <w:name w:val="Heading 1 Char"/>
    <w:basedOn w:val="DefaultParagraphFont"/>
    <w:link w:val="Heading1"/>
    <w:rsid w:val="00877AFE"/>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D20989"/>
    <w:rPr>
      <w:color w:val="800080" w:themeColor="followedHyperlink"/>
      <w:u w:val="single"/>
    </w:rPr>
  </w:style>
  <w:style w:type="paragraph" w:styleId="NoSpacing">
    <w:name w:val="No Spacing"/>
    <w:uiPriority w:val="1"/>
    <w:qFormat/>
    <w:rsid w:val="00E6158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F2084"/>
    <w:rPr>
      <w:color w:val="605E5C"/>
      <w:shd w:val="clear" w:color="auto" w:fill="E1DFDD"/>
    </w:rPr>
  </w:style>
  <w:style w:type="table" w:styleId="GridTable1Light">
    <w:name w:val="Grid Table 1 Light"/>
    <w:basedOn w:val="TableNormal"/>
    <w:uiPriority w:val="46"/>
    <w:rsid w:val="00233631"/>
    <w:pPr>
      <w:jc w:val="both"/>
    </w:pPr>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4943FE"/>
    <w:rPr>
      <w:rFonts w:asciiTheme="majorHAnsi" w:eastAsiaTheme="majorEastAsia" w:hAnsiTheme="majorHAnsi" w:cstheme="majorBidi"/>
      <w:color w:val="365F91" w:themeColor="accent1" w:themeShade="BF"/>
      <w:sz w:val="26"/>
      <w:szCs w:val="26"/>
    </w:rPr>
  </w:style>
  <w:style w:type="paragraph" w:customStyle="1" w:styleId="bodytextpsg">
    <w:name w:val="body text_psg"/>
    <w:basedOn w:val="Normal"/>
    <w:link w:val="bodytextpsgChar"/>
    <w:rsid w:val="00291885"/>
    <w:pPr>
      <w:spacing w:after="120" w:line="252" w:lineRule="auto"/>
      <w:ind w:firstLine="360"/>
      <w:jc w:val="both"/>
    </w:pPr>
    <w:rPr>
      <w:rFonts w:asciiTheme="minorHAnsi" w:eastAsiaTheme="minorEastAsia" w:hAnsiTheme="minorHAnsi" w:cstheme="minorBidi"/>
      <w:sz w:val="20"/>
      <w:szCs w:val="20"/>
    </w:rPr>
  </w:style>
  <w:style w:type="character" w:customStyle="1" w:styleId="bodytextpsgChar">
    <w:name w:val="body text_psg Char"/>
    <w:link w:val="bodytextpsg"/>
    <w:rsid w:val="00291885"/>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bjs.ojp.gov/data-collection/census-state-and-local-law-enforcement-agencies-cslle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pcms.icpsr.umich.edu/pcms/metrics/studies/38771/utilization" TargetMode="External" /><Relationship Id="rId2"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F31A2ADE40747A7A21FE5D8C464C1" ma:contentTypeVersion="4" ma:contentTypeDescription="Create a new document." ma:contentTypeScope="" ma:versionID="2339d38628c303cc403a4a9c90291ca5">
  <xsd:schema xmlns:xsd="http://www.w3.org/2001/XMLSchema" xmlns:xs="http://www.w3.org/2001/XMLSchema" xmlns:p="http://schemas.microsoft.com/office/2006/metadata/properties" xmlns:ns2="0adfcf02-59e0-4ea4-9508-f49070d14868" targetNamespace="http://schemas.microsoft.com/office/2006/metadata/properties" ma:root="true" ma:fieldsID="7c47f0452a2824bea62ca538efaafff4" ns2:_="">
    <xsd:import namespace="0adfcf02-59e0-4ea4-9508-f49070d148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fcf02-59e0-4ea4-9508-f49070d14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B04C9-0884-47E3-ACBF-C48EDAD09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4D6C5-35EF-4EE9-8022-8FFA233DD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fcf02-59e0-4ea4-9508-f49070d1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FE5E2-5723-4FF8-8C8C-E36F07D6EAC7}">
  <ds:schemaRefs>
    <ds:schemaRef ds:uri="http://schemas.openxmlformats.org/officeDocument/2006/bibliography"/>
  </ds:schemaRefs>
</ds:datastoreItem>
</file>

<file path=customXml/itemProps4.xml><?xml version="1.0" encoding="utf-8"?>
<ds:datastoreItem xmlns:ds="http://schemas.openxmlformats.org/officeDocument/2006/customXml" ds:itemID="{5EAA9B14-455B-48F7-9E0D-3158BF1ED9D4}">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17</TotalTime>
  <Pages>23</Pages>
  <Words>9800</Words>
  <Characters>55862</Characters>
  <Application>Microsoft Office Word</Application>
  <DocSecurity>0</DocSecurity>
  <Lines>465</Lines>
  <Paragraphs>131</Paragraphs>
  <ScaleCrop>false</ScaleCrop>
  <Company>DOJ</Company>
  <LinksUpToDate>false</LinksUpToDate>
  <CharactersWithSpaces>65531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Adams, Devon</cp:lastModifiedBy>
  <cp:revision>7</cp:revision>
  <cp:lastPrinted>2015-12-28T18:38:00Z</cp:lastPrinted>
  <dcterms:created xsi:type="dcterms:W3CDTF">2026-06-16T19:00:00Z</dcterms:created>
  <dcterms:modified xsi:type="dcterms:W3CDTF">2026-06-22T14:56:00Z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0x010100409F31A2ADE40747A7A21FE5D8C464C1</vt:lpwstr>
  </property>
</Properties>
</file>