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21095" w:rsidRPr="00596C3F" w:rsidP="00421095" w14:paraId="5AC31AEE"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Pr>
          <w:b/>
          <w:bCs/>
        </w:rPr>
        <w:t xml:space="preserve">Part B. </w:t>
      </w:r>
      <w:r w:rsidRPr="00596C3F">
        <w:rPr>
          <w:b/>
          <w:bCs/>
        </w:rPr>
        <w:t>Collection of Information Employing Statistical Methods</w:t>
      </w:r>
    </w:p>
    <w:p w:rsidR="00421095" w:rsidRPr="00596C3F" w:rsidP="00421095" w14:paraId="09ECFB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84901" w:rsidRPr="001E73C9" w:rsidP="53D65BBC" w14:paraId="637DD076" w14:textId="33A640CB">
      <w:pPr>
        <w:pStyle w:val="ListParagraph"/>
        <w:numPr>
          <w:ilvl w:val="0"/>
          <w:numId w:val="7"/>
        </w:numPr>
        <w:rPr>
          <w:b/>
          <w:bCs/>
          <w:u w:val="single"/>
        </w:rPr>
      </w:pPr>
      <w:r w:rsidRPr="00CC62A5">
        <w:rPr>
          <w:b/>
          <w:bCs/>
          <w:u w:val="single"/>
        </w:rPr>
        <w:t>Universe and Respondent Selection</w:t>
      </w:r>
      <w:r w:rsidRPr="001E73C9" w:rsidR="009C0B37">
        <w:rPr>
          <w:b/>
          <w:bCs/>
        </w:rPr>
        <w:t xml:space="preserve"> </w:t>
      </w:r>
    </w:p>
    <w:p w:rsidR="00F84901" w:rsidRPr="00596C3F" w:rsidP="00F84901" w14:paraId="6CB32691" w14:textId="77777777">
      <w:pPr>
        <w:pStyle w:val="SP-SglSpPara"/>
        <w:ind w:firstLine="0"/>
        <w:jc w:val="left"/>
        <w:rPr>
          <w:sz w:val="24"/>
          <w:szCs w:val="24"/>
        </w:rPr>
      </w:pPr>
    </w:p>
    <w:p w:rsidR="009C0B37" w:rsidP="009C0B37" w14:paraId="7B0B2D15" w14:textId="51F69B7A">
      <w:r w:rsidRPr="002A55FF">
        <w:t xml:space="preserve">The universe for the </w:t>
      </w:r>
      <w:r w:rsidRPr="002A55FF" w:rsidR="11D1F46A">
        <w:t>20</w:t>
      </w:r>
      <w:r w:rsidR="11D1F46A">
        <w:t>26</w:t>
      </w:r>
      <w:r w:rsidRPr="002A55FF" w:rsidR="11D1F46A">
        <w:t xml:space="preserve"> </w:t>
      </w:r>
      <w:r w:rsidRPr="002A55FF">
        <w:t xml:space="preserve">Census </w:t>
      </w:r>
      <w:r>
        <w:t xml:space="preserve">of State and Local Law Enforcement Agencies (CSLLEA) </w:t>
      </w:r>
      <w:r w:rsidRPr="002A55FF">
        <w:t xml:space="preserve">will consist of all </w:t>
      </w:r>
      <w:r>
        <w:t>s</w:t>
      </w:r>
      <w:r w:rsidRPr="002A55FF">
        <w:t>tate</w:t>
      </w:r>
      <w:r>
        <w:t xml:space="preserve">, county, </w:t>
      </w:r>
      <w:r w:rsidRPr="002A55FF">
        <w:t>local</w:t>
      </w:r>
      <w:r w:rsidR="3032FAC8">
        <w:t>,</w:t>
      </w:r>
      <w:r>
        <w:t xml:space="preserve"> and tribal</w:t>
      </w:r>
      <w:r w:rsidRPr="002A55FF">
        <w:t xml:space="preserve"> law enforcement agencies in the </w:t>
      </w:r>
      <w:r>
        <w:t>50 states and District of Columbia</w:t>
      </w:r>
      <w:r w:rsidRPr="002A55FF">
        <w:t xml:space="preserve"> that are (1) publicly funded </w:t>
      </w:r>
      <w:r w:rsidR="4508608C">
        <w:t>law enforcement agencies</w:t>
      </w:r>
      <w:r w:rsidR="218C187C">
        <w:t xml:space="preserve"> </w:t>
      </w:r>
      <w:r w:rsidR="4611F38B">
        <w:t xml:space="preserve">(LEAs) </w:t>
      </w:r>
      <w:r w:rsidRPr="002A55FF" w:rsidR="218C187C">
        <w:t>employ</w:t>
      </w:r>
      <w:r w:rsidR="218C187C">
        <w:t>ing</w:t>
      </w:r>
      <w:r w:rsidRPr="002A55FF" w:rsidR="218C187C">
        <w:t xml:space="preserve"> </w:t>
      </w:r>
      <w:r w:rsidR="218C187C">
        <w:t xml:space="preserve">at least </w:t>
      </w:r>
      <w:r w:rsidRPr="002A55FF" w:rsidR="218C187C">
        <w:t xml:space="preserve">the equivalent of one full-time sworn </w:t>
      </w:r>
      <w:r w:rsidR="4611F38B">
        <w:t xml:space="preserve">(FTS) </w:t>
      </w:r>
      <w:r w:rsidRPr="002A55FF" w:rsidR="218C187C">
        <w:t>officer with general arrest powers</w:t>
      </w:r>
      <w:r w:rsidR="317BC8E3">
        <w:t xml:space="preserve"> </w:t>
      </w:r>
      <w:r w:rsidR="218C187C">
        <w:t xml:space="preserve">or (2) </w:t>
      </w:r>
      <w:r w:rsidR="317BC8E3">
        <w:t xml:space="preserve">publicly or </w:t>
      </w:r>
      <w:r w:rsidR="11D1F46A">
        <w:t xml:space="preserve">privately funded campus </w:t>
      </w:r>
      <w:r w:rsidR="530AA09C">
        <w:t>LEAs</w:t>
      </w:r>
      <w:r w:rsidR="11D1F46A">
        <w:t xml:space="preserve"> </w:t>
      </w:r>
      <w:r w:rsidRPr="002A55FF" w:rsidR="218C187C">
        <w:t>employ</w:t>
      </w:r>
      <w:r w:rsidR="218C187C">
        <w:t>ing</w:t>
      </w:r>
      <w:r w:rsidRPr="002A55FF" w:rsidR="218C187C">
        <w:t xml:space="preserve"> </w:t>
      </w:r>
      <w:r w:rsidR="218C187C">
        <w:t xml:space="preserve">at least </w:t>
      </w:r>
      <w:r w:rsidRPr="002A55FF" w:rsidR="218C187C">
        <w:t xml:space="preserve">the equivalent of one </w:t>
      </w:r>
      <w:r w:rsidR="4611F38B">
        <w:t>FTS</w:t>
      </w:r>
      <w:r w:rsidRPr="002A55FF" w:rsidR="218C187C">
        <w:t xml:space="preserve"> officer with general arrest powers</w:t>
      </w:r>
      <w:r w:rsidRPr="002A55FF">
        <w:t>.</w:t>
      </w:r>
      <w:r>
        <w:rPr>
          <w:rStyle w:val="FootnoteReference"/>
        </w:rPr>
        <w:footnoteReference w:id="2"/>
      </w:r>
      <w:r w:rsidRPr="002A55FF">
        <w:t xml:space="preserve"> This </w:t>
      </w:r>
      <w:r w:rsidR="218C187C">
        <w:t xml:space="preserve">includes </w:t>
      </w:r>
      <w:r w:rsidRPr="002A55FF">
        <w:t>local, county, and regional agencies</w:t>
      </w:r>
      <w:r>
        <w:t>;</w:t>
      </w:r>
      <w:r w:rsidRPr="002A55FF">
        <w:t xml:space="preserve"> state police and highway patrol</w:t>
      </w:r>
      <w:r>
        <w:t xml:space="preserve"> agencies;</w:t>
      </w:r>
      <w:r w:rsidRPr="002A55FF">
        <w:t xml:space="preserve"> sheriff’s offices</w:t>
      </w:r>
      <w:r>
        <w:t>;</w:t>
      </w:r>
      <w:r w:rsidRPr="002A55FF">
        <w:t xml:space="preserve"> </w:t>
      </w:r>
      <w:r>
        <w:t xml:space="preserve">and </w:t>
      </w:r>
      <w:r w:rsidRPr="002A55FF">
        <w:t xml:space="preserve">special purpose agencies that are focused on </w:t>
      </w:r>
      <w:r>
        <w:t xml:space="preserve">tribal lands, </w:t>
      </w:r>
      <w:r w:rsidRPr="002A55FF">
        <w:t>public facilities</w:t>
      </w:r>
      <w:r>
        <w:t xml:space="preserve">, </w:t>
      </w:r>
      <w:r w:rsidRPr="002A55FF">
        <w:t xml:space="preserve">natural resources, transportation systems, criminal investigations, </w:t>
      </w:r>
      <w:r w:rsidR="2A5D2162">
        <w:t xml:space="preserve">postsecondary institutions, </w:t>
      </w:r>
      <w:r w:rsidRPr="002A55FF">
        <w:t xml:space="preserve">and other types of targeted enforcement. </w:t>
      </w:r>
    </w:p>
    <w:p w:rsidR="00F75E16" w:rsidP="009C0B37" w14:paraId="283AF783" w14:textId="77777777"/>
    <w:p w:rsidR="00CE5DA4" w:rsidP="00F75E16" w14:paraId="6DBB797C" w14:textId="54887EDF">
      <w:pPr>
        <w:pStyle w:val="SP-SglSpPara"/>
        <w:ind w:firstLine="0"/>
        <w:jc w:val="left"/>
        <w:rPr>
          <w:sz w:val="24"/>
          <w:szCs w:val="24"/>
        </w:rPr>
      </w:pPr>
      <w:r>
        <w:rPr>
          <w:sz w:val="24"/>
          <w:szCs w:val="24"/>
        </w:rPr>
        <w:t>The 2026 CSLLEA</w:t>
      </w:r>
      <w:r w:rsidRPr="00596C3F">
        <w:rPr>
          <w:sz w:val="24"/>
          <w:szCs w:val="24"/>
        </w:rPr>
        <w:t xml:space="preserve"> </w:t>
      </w:r>
      <w:r>
        <w:rPr>
          <w:sz w:val="24"/>
          <w:szCs w:val="24"/>
        </w:rPr>
        <w:t>universe is obtained using the Law Enforcement Agency Roster (LEAR), an enumeration of all law enforcement agencies operating in the United States that RTI International (RTI) maintains for the Bureau of Justice Statistics (BJS</w:t>
      </w:r>
      <w:r w:rsidRPr="00CE5DA4">
        <w:rPr>
          <w:sz w:val="24"/>
          <w:szCs w:val="24"/>
        </w:rPr>
        <w:t xml:space="preserve">). </w:t>
      </w:r>
      <w:r>
        <w:rPr>
          <w:sz w:val="24"/>
          <w:szCs w:val="24"/>
        </w:rPr>
        <w:t xml:space="preserve">The </w:t>
      </w:r>
      <w:r w:rsidRPr="00CE5DA4">
        <w:rPr>
          <w:sz w:val="24"/>
          <w:szCs w:val="24"/>
        </w:rPr>
        <w:t>LEAR contains data on agency operations, eligibility, staffing, and contact information</w:t>
      </w:r>
      <w:r>
        <w:rPr>
          <w:sz w:val="24"/>
          <w:szCs w:val="24"/>
        </w:rPr>
        <w:t xml:space="preserve"> for</w:t>
      </w:r>
      <w:r w:rsidRPr="00CE5DA4">
        <w:rPr>
          <w:sz w:val="24"/>
          <w:szCs w:val="24"/>
        </w:rPr>
        <w:t xml:space="preserve"> all general purpose (i.e., local/county/regional police departments, sheriffs’ offices, and the 50 primary state and highway patrol agencies) and special purpose LEAs (e.g., park police, transit, tribal,</w:t>
      </w:r>
      <w:r w:rsidRPr="00F4304A">
        <w:rPr>
          <w:sz w:val="24"/>
          <w:szCs w:val="24"/>
        </w:rPr>
        <w:t xml:space="preserve"> campus, and independent school districts) in the United States. </w:t>
      </w:r>
      <w:r>
        <w:t>See Table 1 for a list of data elements stored in the LEAR.</w:t>
      </w:r>
    </w:p>
    <w:p w:rsidR="00BD4655" w:rsidP="00711520" w14:paraId="4A47E8B4" w14:textId="77777777"/>
    <w:p w:rsidR="007A0F24" w:rsidRPr="00CE5DA4" w:rsidP="00711520" w14:paraId="184524DD" w14:textId="780F2A22">
      <w:pPr>
        <w:rPr>
          <w:b/>
          <w:bCs/>
        </w:rPr>
      </w:pPr>
      <w:r w:rsidRPr="00CE5DA4">
        <w:rPr>
          <w:b/>
          <w:bCs/>
        </w:rPr>
        <w:t>Table 1</w:t>
      </w:r>
      <w:r w:rsidRPr="00CE5DA4">
        <w:rPr>
          <w:b/>
          <w:bCs/>
        </w:rPr>
        <w:t>. Data Elements Contained in the Law Enforcement Agency Roster</w:t>
      </w:r>
    </w:p>
    <w:tbl>
      <w:tblPr>
        <w:tblStyle w:val="TableGrid"/>
        <w:tblW w:w="0" w:type="auto"/>
        <w:tblLook w:val="04A0"/>
      </w:tblPr>
      <w:tblGrid>
        <w:gridCol w:w="4675"/>
        <w:gridCol w:w="4675"/>
      </w:tblGrid>
      <w:tr w14:paraId="4B42F6F1" w14:textId="77777777" w:rsidTr="00BD4655">
        <w:tblPrEx>
          <w:tblW w:w="0" w:type="auto"/>
          <w:tblLook w:val="04A0"/>
        </w:tblPrEx>
        <w:tc>
          <w:tcPr>
            <w:tcW w:w="4675" w:type="dxa"/>
          </w:tcPr>
          <w:p w:rsidR="00BD4655" w:rsidP="00711520" w14:paraId="45224206" w14:textId="1A010B42">
            <w:r>
              <w:t>Agency ID (unique to LEAR)</w:t>
            </w:r>
          </w:p>
        </w:tc>
        <w:tc>
          <w:tcPr>
            <w:tcW w:w="4675" w:type="dxa"/>
          </w:tcPr>
          <w:p w:rsidR="00BD4655" w:rsidP="00711520" w14:paraId="4E4BC149" w14:textId="73CBCE67">
            <w:r>
              <w:t xml:space="preserve">Agency </w:t>
            </w:r>
            <w:r w:rsidR="00301BA6">
              <w:t>Eligibility</w:t>
            </w:r>
          </w:p>
        </w:tc>
      </w:tr>
      <w:tr w14:paraId="4210CA93" w14:textId="77777777" w:rsidTr="00BD4655">
        <w:tblPrEx>
          <w:tblW w:w="0" w:type="auto"/>
          <w:tblLook w:val="04A0"/>
        </w:tblPrEx>
        <w:tc>
          <w:tcPr>
            <w:tcW w:w="4675" w:type="dxa"/>
          </w:tcPr>
          <w:p w:rsidR="00301BA6" w:rsidP="00301BA6" w14:paraId="63086B31" w14:textId="79F2BCE0">
            <w:r>
              <w:t>Agency Name</w:t>
            </w:r>
          </w:p>
        </w:tc>
        <w:tc>
          <w:tcPr>
            <w:tcW w:w="4675" w:type="dxa"/>
          </w:tcPr>
          <w:p w:rsidR="00301BA6" w:rsidP="00301BA6" w14:paraId="5505295D" w14:textId="7A94C0B7">
            <w:r>
              <w:t>Agency Sample Type</w:t>
            </w:r>
          </w:p>
        </w:tc>
      </w:tr>
      <w:tr w14:paraId="64FE805B" w14:textId="77777777" w:rsidTr="00BD4655">
        <w:tblPrEx>
          <w:tblW w:w="0" w:type="auto"/>
          <w:tblLook w:val="04A0"/>
        </w:tblPrEx>
        <w:tc>
          <w:tcPr>
            <w:tcW w:w="4675" w:type="dxa"/>
          </w:tcPr>
          <w:p w:rsidR="00301BA6" w:rsidP="00301BA6" w14:paraId="19383190" w14:textId="046D6A92">
            <w:r>
              <w:t xml:space="preserve">Agency Address </w:t>
            </w:r>
          </w:p>
        </w:tc>
        <w:tc>
          <w:tcPr>
            <w:tcW w:w="4675" w:type="dxa"/>
          </w:tcPr>
          <w:p w:rsidR="00301BA6" w:rsidP="00301BA6" w14:paraId="1BD211B8" w14:textId="5BB659C4">
            <w:r>
              <w:t>Agency Training Academy Type</w:t>
            </w:r>
          </w:p>
        </w:tc>
      </w:tr>
      <w:tr w14:paraId="3BB20F7C" w14:textId="77777777" w:rsidTr="00BD4655">
        <w:tblPrEx>
          <w:tblW w:w="0" w:type="auto"/>
          <w:tblLook w:val="04A0"/>
        </w:tblPrEx>
        <w:tc>
          <w:tcPr>
            <w:tcW w:w="4675" w:type="dxa"/>
          </w:tcPr>
          <w:p w:rsidR="00301BA6" w:rsidP="00301BA6" w14:paraId="128F0BF6" w14:textId="48C1714D">
            <w:r>
              <w:t>Agency Chief Executive Name</w:t>
            </w:r>
          </w:p>
        </w:tc>
        <w:tc>
          <w:tcPr>
            <w:tcW w:w="4675" w:type="dxa"/>
          </w:tcPr>
          <w:p w:rsidR="00301BA6" w:rsidP="00301BA6" w14:paraId="14CA9B3C" w14:textId="25CA1A37">
            <w:r>
              <w:t>Survey Point of Contact Name</w:t>
            </w:r>
          </w:p>
        </w:tc>
      </w:tr>
      <w:tr w14:paraId="30138621" w14:textId="77777777" w:rsidTr="00BD4655">
        <w:tblPrEx>
          <w:tblW w:w="0" w:type="auto"/>
          <w:tblLook w:val="04A0"/>
        </w:tblPrEx>
        <w:tc>
          <w:tcPr>
            <w:tcW w:w="4675" w:type="dxa"/>
          </w:tcPr>
          <w:p w:rsidR="00301BA6" w:rsidP="00301BA6" w14:paraId="3908D4D9" w14:textId="1AEACCC2">
            <w:r>
              <w:t>Agency Chief Executive Title</w:t>
            </w:r>
          </w:p>
        </w:tc>
        <w:tc>
          <w:tcPr>
            <w:tcW w:w="4675" w:type="dxa"/>
          </w:tcPr>
          <w:p w:rsidR="00301BA6" w:rsidP="00301BA6" w14:paraId="22DA69A4" w14:textId="4F105394">
            <w:r>
              <w:t>Survey Point of Contact Title</w:t>
            </w:r>
          </w:p>
        </w:tc>
      </w:tr>
      <w:tr w14:paraId="26404E83" w14:textId="77777777" w:rsidTr="00BD4655">
        <w:tblPrEx>
          <w:tblW w:w="0" w:type="auto"/>
          <w:tblLook w:val="04A0"/>
        </w:tblPrEx>
        <w:tc>
          <w:tcPr>
            <w:tcW w:w="4675" w:type="dxa"/>
          </w:tcPr>
          <w:p w:rsidR="00301BA6" w:rsidP="00301BA6" w14:paraId="780D79C0" w14:textId="7730ED20">
            <w:r>
              <w:t>Agency Chief Executive Phone Number</w:t>
            </w:r>
          </w:p>
        </w:tc>
        <w:tc>
          <w:tcPr>
            <w:tcW w:w="4675" w:type="dxa"/>
          </w:tcPr>
          <w:p w:rsidR="00301BA6" w:rsidP="00301BA6" w14:paraId="3804ABD1" w14:textId="5E5EE826">
            <w:r>
              <w:t>Survey Point of Contact Phone Number</w:t>
            </w:r>
          </w:p>
        </w:tc>
      </w:tr>
      <w:tr w14:paraId="327C5A8B" w14:textId="77777777" w:rsidTr="00BD4655">
        <w:tblPrEx>
          <w:tblW w:w="0" w:type="auto"/>
          <w:tblLook w:val="04A0"/>
        </w:tblPrEx>
        <w:tc>
          <w:tcPr>
            <w:tcW w:w="4675" w:type="dxa"/>
          </w:tcPr>
          <w:p w:rsidR="00301BA6" w:rsidP="00301BA6" w14:paraId="6EE45F93" w14:textId="7BBD744E">
            <w:r>
              <w:t>Agency Chief Executive Email</w:t>
            </w:r>
          </w:p>
        </w:tc>
        <w:tc>
          <w:tcPr>
            <w:tcW w:w="4675" w:type="dxa"/>
          </w:tcPr>
          <w:p w:rsidR="00301BA6" w:rsidP="00301BA6" w14:paraId="4A3370D4" w14:textId="44B09778">
            <w:r>
              <w:t>Survey Point of Contact Email</w:t>
            </w:r>
          </w:p>
        </w:tc>
      </w:tr>
      <w:tr w14:paraId="1674C3BB" w14:textId="77777777" w:rsidTr="00BD4655">
        <w:tblPrEx>
          <w:tblW w:w="0" w:type="auto"/>
          <w:tblLook w:val="04A0"/>
        </w:tblPrEx>
        <w:tc>
          <w:tcPr>
            <w:tcW w:w="4675" w:type="dxa"/>
          </w:tcPr>
          <w:p w:rsidR="00301BA6" w:rsidP="00301BA6" w14:paraId="366E0A0E" w14:textId="2713DB4F">
            <w:r>
              <w:t>Full-Time Sworn Officers</w:t>
            </w:r>
          </w:p>
        </w:tc>
        <w:tc>
          <w:tcPr>
            <w:tcW w:w="4675" w:type="dxa"/>
          </w:tcPr>
          <w:p w:rsidR="00301BA6" w:rsidP="00301BA6" w14:paraId="36848F28" w14:textId="3F3F1604">
            <w:r>
              <w:t>7and 9-digit Originating Agency Identifier</w:t>
            </w:r>
          </w:p>
        </w:tc>
      </w:tr>
      <w:tr w14:paraId="148E84C5" w14:textId="77777777" w:rsidTr="00BD4655">
        <w:tblPrEx>
          <w:tblW w:w="0" w:type="auto"/>
          <w:tblLook w:val="04A0"/>
        </w:tblPrEx>
        <w:tc>
          <w:tcPr>
            <w:tcW w:w="4675" w:type="dxa"/>
          </w:tcPr>
          <w:p w:rsidR="00301BA6" w:rsidP="00301BA6" w14:paraId="52CBC09E" w14:textId="6C6F9B45">
            <w:r>
              <w:t>Full-Time Equivalent Sworn Officers</w:t>
            </w:r>
          </w:p>
        </w:tc>
        <w:tc>
          <w:tcPr>
            <w:tcW w:w="4675" w:type="dxa"/>
          </w:tcPr>
          <w:p w:rsidR="00301BA6" w:rsidP="00301BA6" w14:paraId="6DA9577F" w14:textId="33E92B47">
            <w:r>
              <w:t>Part-Time Sworn Officers</w:t>
            </w:r>
          </w:p>
        </w:tc>
      </w:tr>
    </w:tbl>
    <w:p w:rsidR="007A0F24" w:rsidP="00711520" w14:paraId="62AD202D" w14:textId="77777777"/>
    <w:p w:rsidR="00CE5DA4" w:rsidP="00CE5DA4" w14:paraId="500DCD97" w14:textId="33C67ADF">
      <w:pPr>
        <w:pStyle w:val="SP-SglSpPara"/>
        <w:ind w:firstLine="0"/>
        <w:jc w:val="left"/>
        <w:rPr>
          <w:sz w:val="24"/>
          <w:szCs w:val="24"/>
        </w:rPr>
      </w:pPr>
      <w:r w:rsidRPr="00F4304A">
        <w:rPr>
          <w:sz w:val="24"/>
          <w:szCs w:val="24"/>
        </w:rPr>
        <w:t xml:space="preserve">The LEAR was first developed in 2016 and has since been updated with data from public membership listings and other BJS data collections, including the 2016 LEMAS core, 2016 LEMAS Body-Worn Camera Supplement, 2018 CSLLEA, 2020 LEMAS </w:t>
      </w:r>
      <w:r>
        <w:rPr>
          <w:sz w:val="24"/>
          <w:szCs w:val="24"/>
        </w:rPr>
        <w:t>c</w:t>
      </w:r>
      <w:r w:rsidRPr="00F4304A">
        <w:rPr>
          <w:sz w:val="24"/>
          <w:szCs w:val="24"/>
        </w:rPr>
        <w:t>ore, 2021 Survey of Campus Law Enforcement Agencies (SCLEA)</w:t>
      </w:r>
      <w:r>
        <w:rPr>
          <w:sz w:val="24"/>
          <w:szCs w:val="24"/>
        </w:rPr>
        <w:t>, 2022 CSLLEA, the 2023 LEMAS Post-Academy Training and Officer Wellness Survey (LEMAS PATOW), and the 2024 LEMAS</w:t>
      </w:r>
      <w:r w:rsidRPr="00F4304A">
        <w:rPr>
          <w:sz w:val="24"/>
          <w:szCs w:val="24"/>
        </w:rPr>
        <w:t xml:space="preserve">. </w:t>
      </w:r>
      <w:r>
        <w:rPr>
          <w:sz w:val="24"/>
          <w:szCs w:val="24"/>
        </w:rPr>
        <w:t>Table 2 provides more details on recent BJS data collections that have been used to update the LEAR.</w:t>
      </w:r>
    </w:p>
    <w:p w:rsidR="00CE5DA4" w:rsidP="00CE5DA4" w14:paraId="3C94F1D2" w14:textId="77777777"/>
    <w:p w:rsidR="00CE5DA4" w:rsidP="00711520" w14:paraId="34768BC0" w14:textId="77777777"/>
    <w:p w:rsidR="00AF12AC" w:rsidP="00711520" w14:paraId="4CC494CB" w14:textId="77777777">
      <w:pPr>
        <w:rPr>
          <w:b/>
          <w:bCs/>
        </w:rPr>
      </w:pPr>
    </w:p>
    <w:p w:rsidR="007A0F24" w:rsidRPr="00CE5DA4" w:rsidP="00711520" w14:paraId="725DF0C0" w14:textId="791243EB">
      <w:pPr>
        <w:rPr>
          <w:b/>
          <w:bCs/>
        </w:rPr>
      </w:pPr>
      <w:r w:rsidRPr="00CE5DA4">
        <w:rPr>
          <w:b/>
          <w:bCs/>
        </w:rPr>
        <w:t xml:space="preserve">Table </w:t>
      </w:r>
      <w:r w:rsidRPr="00CE5DA4" w:rsidR="00CE5DA4">
        <w:rPr>
          <w:b/>
          <w:bCs/>
        </w:rPr>
        <w:t>2</w:t>
      </w:r>
      <w:r w:rsidRPr="00CE5DA4">
        <w:rPr>
          <w:b/>
          <w:bCs/>
        </w:rPr>
        <w:t xml:space="preserve">. </w:t>
      </w:r>
      <w:r w:rsidRPr="00CE5DA4" w:rsidR="00CE5DA4">
        <w:rPr>
          <w:b/>
          <w:bCs/>
        </w:rPr>
        <w:t xml:space="preserve">BJS </w:t>
      </w:r>
      <w:r w:rsidRPr="00CE5DA4">
        <w:rPr>
          <w:b/>
          <w:bCs/>
        </w:rPr>
        <w:t>Data Collections Used to Update the Law Enforcement Agency Roster</w:t>
      </w:r>
    </w:p>
    <w:tbl>
      <w:tblPr>
        <w:tblStyle w:val="TableGrid"/>
        <w:tblW w:w="10075" w:type="dxa"/>
        <w:tblLook w:val="04A0"/>
      </w:tblPr>
      <w:tblGrid>
        <w:gridCol w:w="3901"/>
        <w:gridCol w:w="3274"/>
        <w:gridCol w:w="1723"/>
        <w:gridCol w:w="1177"/>
      </w:tblGrid>
      <w:tr w14:paraId="14362DDF" w14:textId="77777777" w:rsidTr="001F0F93">
        <w:tblPrEx>
          <w:tblW w:w="10075" w:type="dxa"/>
          <w:tblLook w:val="04A0"/>
        </w:tblPrEx>
        <w:tc>
          <w:tcPr>
            <w:tcW w:w="3901" w:type="dxa"/>
          </w:tcPr>
          <w:p w:rsidR="001A5534" w:rsidRPr="001F0F93" w:rsidP="00711520" w14:paraId="608530D4" w14:textId="1013B50B">
            <w:pPr>
              <w:rPr>
                <w:b/>
                <w:bCs/>
              </w:rPr>
            </w:pPr>
            <w:r w:rsidRPr="001F0F93">
              <w:rPr>
                <w:b/>
                <w:bCs/>
              </w:rPr>
              <w:t>Data Collection</w:t>
            </w:r>
          </w:p>
        </w:tc>
        <w:tc>
          <w:tcPr>
            <w:tcW w:w="3274" w:type="dxa"/>
          </w:tcPr>
          <w:p w:rsidR="001A5534" w:rsidRPr="001F0F93" w:rsidP="00711520" w14:paraId="6E99C11F" w14:textId="638DA1CC">
            <w:pPr>
              <w:rPr>
                <w:b/>
                <w:bCs/>
              </w:rPr>
            </w:pPr>
            <w:r w:rsidRPr="001F0F93">
              <w:rPr>
                <w:b/>
                <w:bCs/>
              </w:rPr>
              <w:t>Agency Types</w:t>
            </w:r>
          </w:p>
        </w:tc>
        <w:tc>
          <w:tcPr>
            <w:tcW w:w="1723" w:type="dxa"/>
          </w:tcPr>
          <w:p w:rsidR="001A5534" w:rsidRPr="001F0F93" w:rsidP="00711520" w14:paraId="70AF2CF9" w14:textId="03FBC8D8">
            <w:pPr>
              <w:rPr>
                <w:b/>
                <w:bCs/>
              </w:rPr>
            </w:pPr>
            <w:r w:rsidRPr="001F0F93">
              <w:rPr>
                <w:b/>
                <w:bCs/>
              </w:rPr>
              <w:t>Sample</w:t>
            </w:r>
            <w:r w:rsidR="00BD6806">
              <w:rPr>
                <w:b/>
                <w:bCs/>
              </w:rPr>
              <w:t>/Frame</w:t>
            </w:r>
            <w:r w:rsidRPr="001F0F93">
              <w:rPr>
                <w:b/>
                <w:bCs/>
              </w:rPr>
              <w:t xml:space="preserve"> Size</w:t>
            </w:r>
          </w:p>
        </w:tc>
        <w:tc>
          <w:tcPr>
            <w:tcW w:w="1177" w:type="dxa"/>
          </w:tcPr>
          <w:p w:rsidR="001A5534" w:rsidRPr="001F0F93" w:rsidP="00711520" w14:paraId="0B5D453F" w14:textId="200B2591">
            <w:pPr>
              <w:rPr>
                <w:b/>
                <w:bCs/>
              </w:rPr>
            </w:pPr>
            <w:r w:rsidRPr="001F0F93">
              <w:rPr>
                <w:b/>
                <w:bCs/>
              </w:rPr>
              <w:t>Response Rate</w:t>
            </w:r>
          </w:p>
        </w:tc>
      </w:tr>
      <w:tr w14:paraId="6B5D0998" w14:textId="77777777" w:rsidTr="001F0F93">
        <w:tblPrEx>
          <w:tblW w:w="10075" w:type="dxa"/>
          <w:tblLook w:val="04A0"/>
        </w:tblPrEx>
        <w:tc>
          <w:tcPr>
            <w:tcW w:w="3901" w:type="dxa"/>
          </w:tcPr>
          <w:p w:rsidR="001A5534" w:rsidP="00711520" w14:paraId="7D8A8F63" w14:textId="5976B36F">
            <w:r>
              <w:t>2021 Survey of Campus Law Enforcement Agencies (SCLEA)</w:t>
            </w:r>
          </w:p>
        </w:tc>
        <w:tc>
          <w:tcPr>
            <w:tcW w:w="3274" w:type="dxa"/>
          </w:tcPr>
          <w:p w:rsidR="001A5534" w:rsidP="00711520" w14:paraId="64515E15" w14:textId="0A81BBD0">
            <w:r>
              <w:t>Campus LEAs with a full-time enrollment of 1,000 or more students</w:t>
            </w:r>
          </w:p>
        </w:tc>
        <w:tc>
          <w:tcPr>
            <w:tcW w:w="1723" w:type="dxa"/>
          </w:tcPr>
          <w:p w:rsidR="001A5534" w:rsidP="00711520" w14:paraId="47ABBED4" w14:textId="245DBB1B">
            <w:r>
              <w:t>1,954</w:t>
            </w:r>
          </w:p>
        </w:tc>
        <w:tc>
          <w:tcPr>
            <w:tcW w:w="1177" w:type="dxa"/>
          </w:tcPr>
          <w:p w:rsidR="001A5534" w:rsidP="00711520" w14:paraId="22C49A38" w14:textId="6557C378">
            <w:r>
              <w:t>80.1</w:t>
            </w:r>
            <w:r w:rsidR="004A51EC">
              <w:t>%</w:t>
            </w:r>
          </w:p>
        </w:tc>
      </w:tr>
      <w:tr w14:paraId="63E394DF" w14:textId="77777777" w:rsidTr="001F0F93">
        <w:tblPrEx>
          <w:tblW w:w="10075" w:type="dxa"/>
          <w:tblLook w:val="04A0"/>
        </w:tblPrEx>
        <w:tc>
          <w:tcPr>
            <w:tcW w:w="3901" w:type="dxa"/>
          </w:tcPr>
          <w:p w:rsidR="00BD6806" w:rsidP="00BD6806" w14:paraId="6B45EF59" w14:textId="3395B304">
            <w:r>
              <w:t>2022 CSLLEA</w:t>
            </w:r>
          </w:p>
        </w:tc>
        <w:tc>
          <w:tcPr>
            <w:tcW w:w="3274" w:type="dxa"/>
          </w:tcPr>
          <w:p w:rsidR="00BD6806" w:rsidP="00BD6806" w14:paraId="4C137019" w14:textId="08D028DD">
            <w:r>
              <w:t xml:space="preserve">Publicly funded LEAs employing </w:t>
            </w:r>
            <w:r w:rsidR="007A0F24">
              <w:t xml:space="preserve">at least </w:t>
            </w:r>
            <w:r>
              <w:t>the equivalent of one full-time sworn officer</w:t>
            </w:r>
          </w:p>
        </w:tc>
        <w:tc>
          <w:tcPr>
            <w:tcW w:w="1723" w:type="dxa"/>
          </w:tcPr>
          <w:p w:rsidR="00BD6806" w:rsidP="00BD6806" w14:paraId="74FC0F28" w14:textId="1E132657">
            <w:r>
              <w:t>19,924</w:t>
            </w:r>
          </w:p>
        </w:tc>
        <w:tc>
          <w:tcPr>
            <w:tcW w:w="1177" w:type="dxa"/>
          </w:tcPr>
          <w:p w:rsidR="00BD6806" w:rsidP="00BD6806" w14:paraId="04DE6C0B" w14:textId="72F2CE99">
            <w:r>
              <w:t>85.</w:t>
            </w:r>
            <w:r w:rsidR="003562C0">
              <w:t>6</w:t>
            </w:r>
            <w:r w:rsidR="004A51EC">
              <w:t>%</w:t>
            </w:r>
          </w:p>
        </w:tc>
      </w:tr>
      <w:tr w14:paraId="4CDE4A88" w14:textId="77777777" w:rsidTr="001F0F93">
        <w:tblPrEx>
          <w:tblW w:w="10075" w:type="dxa"/>
          <w:tblLook w:val="04A0"/>
        </w:tblPrEx>
        <w:tc>
          <w:tcPr>
            <w:tcW w:w="3901" w:type="dxa"/>
          </w:tcPr>
          <w:p w:rsidR="00BD6806" w:rsidP="00BD6806" w14:paraId="2CD315AA" w14:textId="5BCADC1B">
            <w:r>
              <w:t xml:space="preserve">2023 Law Enforcement Management and Administrative Statistics (LEMAS) – Post Academy Training and Officer Wellness </w:t>
            </w:r>
            <w:r w:rsidR="00352B7C">
              <w:t xml:space="preserve">Supplement </w:t>
            </w:r>
          </w:p>
        </w:tc>
        <w:tc>
          <w:tcPr>
            <w:tcW w:w="3274" w:type="dxa"/>
          </w:tcPr>
          <w:p w:rsidR="00BD6806" w:rsidP="00BD6806" w14:paraId="09A68F56" w14:textId="36FD9456">
            <w:r>
              <w:t>L</w:t>
            </w:r>
            <w:r w:rsidRPr="001A5534">
              <w:t>ocal and county police, sheriffs’ offices, and primary state police agencies employ</w:t>
            </w:r>
            <w:r w:rsidR="007A0F24">
              <w:t>ing at least</w:t>
            </w:r>
            <w:r w:rsidRPr="001A5534">
              <w:t xml:space="preserve"> the equivalent of one full-time sworn officer</w:t>
            </w:r>
          </w:p>
        </w:tc>
        <w:tc>
          <w:tcPr>
            <w:tcW w:w="1723" w:type="dxa"/>
          </w:tcPr>
          <w:p w:rsidR="00BD6806" w:rsidP="00BD6806" w14:paraId="38F2EEC1" w14:textId="0A08B0AD">
            <w:r>
              <w:t>3,500</w:t>
            </w:r>
          </w:p>
        </w:tc>
        <w:tc>
          <w:tcPr>
            <w:tcW w:w="1177" w:type="dxa"/>
          </w:tcPr>
          <w:p w:rsidR="00BD6806" w:rsidP="00BD6806" w14:paraId="5ABE2D57" w14:textId="67ECB505">
            <w:r>
              <w:t>70.1</w:t>
            </w:r>
            <w:r w:rsidR="004A51EC">
              <w:t>%</w:t>
            </w:r>
          </w:p>
        </w:tc>
      </w:tr>
      <w:tr w14:paraId="2173AF24" w14:textId="77777777" w:rsidTr="001F0F93">
        <w:tblPrEx>
          <w:tblW w:w="10075" w:type="dxa"/>
          <w:tblLook w:val="04A0"/>
        </w:tblPrEx>
        <w:tc>
          <w:tcPr>
            <w:tcW w:w="3901" w:type="dxa"/>
          </w:tcPr>
          <w:p w:rsidR="00BD6806" w:rsidP="00BD6806" w14:paraId="06DE1AC7" w14:textId="06EA11BF">
            <w:r>
              <w:t>2024 LEMAS</w:t>
            </w:r>
          </w:p>
        </w:tc>
        <w:tc>
          <w:tcPr>
            <w:tcW w:w="3274" w:type="dxa"/>
          </w:tcPr>
          <w:p w:rsidR="00BD6806" w:rsidP="00BD6806" w14:paraId="7B4512B2" w14:textId="36461141">
            <w:r>
              <w:t>L</w:t>
            </w:r>
            <w:r w:rsidRPr="001A5534">
              <w:t>ocal and county police, sheriffs’ offices, and primary state police agencies employ</w:t>
            </w:r>
            <w:r>
              <w:t>ing at least</w:t>
            </w:r>
            <w:r w:rsidRPr="001A5534">
              <w:t xml:space="preserve"> the equivalent of one full-time sworn officer</w:t>
            </w:r>
          </w:p>
        </w:tc>
        <w:tc>
          <w:tcPr>
            <w:tcW w:w="1723" w:type="dxa"/>
          </w:tcPr>
          <w:p w:rsidR="00BD6806" w:rsidP="00BD6806" w14:paraId="11B5EFD4" w14:textId="17947A2E">
            <w:r>
              <w:t>3,500</w:t>
            </w:r>
          </w:p>
        </w:tc>
        <w:tc>
          <w:tcPr>
            <w:tcW w:w="1177" w:type="dxa"/>
          </w:tcPr>
          <w:p w:rsidR="00BD6806" w:rsidP="00BD6806" w14:paraId="0BBE5FF3" w14:textId="7EE98151">
            <w:r>
              <w:t>78.0%</w:t>
            </w:r>
          </w:p>
        </w:tc>
      </w:tr>
    </w:tbl>
    <w:p w:rsidR="001A5534" w:rsidP="00711520" w14:paraId="458322D1" w14:textId="77777777"/>
    <w:p w:rsidR="00CE5DA4" w:rsidP="00CE5DA4" w14:paraId="06BF7BBA" w14:textId="14CC7586">
      <w:r>
        <w:t>Additional non-BJS data sources have also been integrated into the LEAR and will be used to further verify and supplement the existing data. These include the 2024 FBI’s Police Employee Data, data from state Peace Officer Standards and Training (POST) commissions or offices, state chief and sheriffs’ association lists, the Integrated Postsecondary Education Data System (IPEDS), and media announcements</w:t>
      </w:r>
      <w:r w:rsidRPr="00B502CB">
        <w:t xml:space="preserve">. Information from </w:t>
      </w:r>
      <w:r w:rsidR="00A17702">
        <w:t>all</w:t>
      </w:r>
      <w:r>
        <w:t xml:space="preserve"> these various sources</w:t>
      </w:r>
      <w:r w:rsidRPr="00B502CB">
        <w:t xml:space="preserve"> </w:t>
      </w:r>
      <w:r>
        <w:t xml:space="preserve">result </w:t>
      </w:r>
      <w:r w:rsidRPr="00B502CB">
        <w:t>in the most comprehensive</w:t>
      </w:r>
      <w:r>
        <w:t xml:space="preserve"> and up-to-date</w:t>
      </w:r>
      <w:r w:rsidRPr="00B502CB">
        <w:t xml:space="preserve"> list of law enforcement agencies known.</w:t>
      </w:r>
      <w:r>
        <w:t xml:space="preserve"> </w:t>
      </w:r>
    </w:p>
    <w:p w:rsidR="001F0F93" w:rsidP="00711520" w14:paraId="2A773605" w14:textId="77777777"/>
    <w:p w:rsidR="00711520" w:rsidP="00711520" w14:paraId="30B89F78" w14:textId="58D805B0">
      <w:r>
        <w:t>Update</w:t>
      </w:r>
      <w:r w:rsidR="001F0F93">
        <w:t>s</w:t>
      </w:r>
      <w:r>
        <w:t xml:space="preserve"> to the LEAR are made </w:t>
      </w:r>
      <w:r w:rsidR="001F0F93">
        <w:t>using the</w:t>
      </w:r>
      <w:r>
        <w:t xml:space="preserve"> Agency Records Management System (ARMS)</w:t>
      </w:r>
      <w:r w:rsidR="005D5E6F">
        <w:t xml:space="preserve">. ARMS is </w:t>
      </w:r>
      <w:r>
        <w:t xml:space="preserve">a centralized utility for </w:t>
      </w:r>
      <w:r w:rsidR="00A71869">
        <w:t>inputting</w:t>
      </w:r>
      <w:r>
        <w:t xml:space="preserve"> new information</w:t>
      </w:r>
      <w:r w:rsidR="00A71869">
        <w:t xml:space="preserve">, coordinating reviews of new contact information, and updating the </w:t>
      </w:r>
      <w:r>
        <w:t xml:space="preserve">LEAR after </w:t>
      </w:r>
      <w:r w:rsidR="00A71869">
        <w:t>approvals</w:t>
      </w:r>
      <w:r>
        <w:rPr>
          <w:rStyle w:val="FootnoteReference"/>
        </w:rPr>
        <w:footnoteReference w:id="3"/>
      </w:r>
      <w:r w:rsidR="00A71869">
        <w:t xml:space="preserve"> are received</w:t>
      </w:r>
      <w:r>
        <w:t>.</w:t>
      </w:r>
      <w:r w:rsidR="001F0F93">
        <w:t xml:space="preserve"> ARMS can </w:t>
      </w:r>
      <w:r w:rsidR="007A0F24">
        <w:t xml:space="preserve">be used </w:t>
      </w:r>
      <w:r w:rsidR="001F0F93">
        <w:t xml:space="preserve">to </w:t>
      </w:r>
      <w:r w:rsidR="007A0F24">
        <w:t xml:space="preserve">process </w:t>
      </w:r>
      <w:r w:rsidR="001F0F93">
        <w:t xml:space="preserve">updates to individual records or </w:t>
      </w:r>
      <w:r w:rsidR="007A0F24">
        <w:t xml:space="preserve">in </w:t>
      </w:r>
      <w:r w:rsidR="001F0F93">
        <w:t>bulk. To ensure the accuracy of LEAR updates, updates to individual records are assigned to a reviewer and the full record is only updated after the reviewer confirms the accuracy of the update. Bulk updates are only made after a BJS statistician has given approval to update based on a data product (</w:t>
      </w:r>
      <w:r w:rsidR="003D17FD">
        <w:t xml:space="preserve">e.g., </w:t>
      </w:r>
      <w:r w:rsidR="001F0F93">
        <w:t>sample file, final data delivery)</w:t>
      </w:r>
      <w:r w:rsidR="003D17FD">
        <w:t>.</w:t>
      </w:r>
      <w:r>
        <w:t xml:space="preserve"> </w:t>
      </w:r>
    </w:p>
    <w:p w:rsidR="00711520" w:rsidP="00E6742D" w14:paraId="0DA235BD" w14:textId="77777777">
      <w:pPr>
        <w:pStyle w:val="SP-SglSpPara"/>
        <w:ind w:firstLine="0"/>
        <w:jc w:val="left"/>
        <w:rPr>
          <w:sz w:val="24"/>
          <w:szCs w:val="24"/>
        </w:rPr>
      </w:pPr>
    </w:p>
    <w:p w:rsidR="00611B5F" w:rsidP="00366193" w14:paraId="44918EB1" w14:textId="58BC7B9B">
      <w:r>
        <w:t xml:space="preserve">To produce the CSLLEA universe, the LEAR </w:t>
      </w:r>
      <w:r w:rsidR="00C13F18">
        <w:t>will be</w:t>
      </w:r>
      <w:r>
        <w:t xml:space="preserve"> filtered to </w:t>
      </w:r>
      <w:r w:rsidR="00BA02B0">
        <w:t xml:space="preserve">remove </w:t>
      </w:r>
      <w:r>
        <w:t>agencies that are: out of service, not publicly funded</w:t>
      </w:r>
      <w:r w:rsidR="008879D0">
        <w:t xml:space="preserve"> (with the exception of </w:t>
      </w:r>
      <w:r w:rsidR="004F322F">
        <w:t>campus LEAs</w:t>
      </w:r>
      <w:r w:rsidR="00C13F18">
        <w:t xml:space="preserve"> serving private institutions</w:t>
      </w:r>
      <w:r w:rsidR="004F322F">
        <w:t>)</w:t>
      </w:r>
      <w:r>
        <w:t xml:space="preserve">, provide law enforcement services under a contract with another agency, or do not employ at least one </w:t>
      </w:r>
      <w:r w:rsidR="00352B7C">
        <w:t>full-time equivalent</w:t>
      </w:r>
      <w:r>
        <w:t xml:space="preserve"> sworn officer. </w:t>
      </w:r>
    </w:p>
    <w:p w:rsidR="00473176" w:rsidP="00366193" w14:paraId="084E56EA" w14:textId="40690E9F"/>
    <w:p w:rsidR="00473176" w:rsidP="13D46B0C" w14:paraId="5758D700" w14:textId="29F72E01">
      <w:pPr>
        <w:rPr>
          <w:sz w:val="22"/>
          <w:szCs w:val="22"/>
        </w:rPr>
      </w:pPr>
      <w:r>
        <w:t xml:space="preserve">RTI </w:t>
      </w:r>
      <w:r w:rsidR="1618F632">
        <w:t>and BJS</w:t>
      </w:r>
      <w:r w:rsidR="4BE29D7F">
        <w:t xml:space="preserve"> will</w:t>
      </w:r>
      <w:r w:rsidR="1618F632">
        <w:t xml:space="preserve"> then </w:t>
      </w:r>
      <w:r>
        <w:t>compare the frequencies</w:t>
      </w:r>
      <w:r w:rsidR="1618F632">
        <w:t xml:space="preserve"> for each</w:t>
      </w:r>
      <w:r>
        <w:t xml:space="preserve"> agency type in the preliminary frame extracted from the LEAR with the frequencies from the 20</w:t>
      </w:r>
      <w:r w:rsidR="73C2263D">
        <w:t>22</w:t>
      </w:r>
      <w:r>
        <w:t xml:space="preserve"> CSLLEA. </w:t>
      </w:r>
      <w:r w:rsidR="3FAED59D">
        <w:t>Historically, t</w:t>
      </w:r>
      <w:r>
        <w:t xml:space="preserve">he proportions </w:t>
      </w:r>
      <w:r w:rsidR="21670617">
        <w:t xml:space="preserve">are </w:t>
      </w:r>
      <w:r>
        <w:t>very close</w:t>
      </w:r>
      <w:r w:rsidR="6C2C4F9A">
        <w:t xml:space="preserve"> and this check will serve to identify potential issues with the preliminary frame.</w:t>
      </w:r>
      <w:r>
        <w:t xml:space="preserve"> RTI </w:t>
      </w:r>
      <w:r w:rsidR="73C2263D">
        <w:t>will investigate</w:t>
      </w:r>
      <w:r>
        <w:t xml:space="preserve"> </w:t>
      </w:r>
      <w:r w:rsidR="4937C8E4">
        <w:t>any agency types with an absolute difference of greater than 5</w:t>
      </w:r>
      <w:r w:rsidR="6D7B3781">
        <w:t xml:space="preserve"> percent</w:t>
      </w:r>
      <w:r w:rsidR="73C2263D">
        <w:t xml:space="preserve"> to ensure agencies were not included or excluded in error</w:t>
      </w:r>
      <w:r w:rsidR="4937C8E4">
        <w:t xml:space="preserve">. BJS </w:t>
      </w:r>
      <w:r w:rsidR="4C46B4A8">
        <w:t xml:space="preserve">will </w:t>
      </w:r>
      <w:r w:rsidR="4937C8E4">
        <w:t xml:space="preserve">also identify additional agency types that may require investigation. </w:t>
      </w:r>
    </w:p>
    <w:p w:rsidR="00473176" w:rsidP="00473176" w14:paraId="063CF285" w14:textId="77777777"/>
    <w:p w:rsidR="00473176" w:rsidP="00473176" w14:paraId="6B3091C9" w14:textId="08756C77">
      <w:r>
        <w:t xml:space="preserve">Next, RTI </w:t>
      </w:r>
      <w:r w:rsidR="00C13F18">
        <w:t xml:space="preserve">will </w:t>
      </w:r>
      <w:r>
        <w:t>compare</w:t>
      </w:r>
      <w:r>
        <w:t xml:space="preserve"> addresses and phone numbers of cases in the preliminary frame to identify possible duplicates. </w:t>
      </w:r>
      <w:r>
        <w:t>Any</w:t>
      </w:r>
      <w:r>
        <w:t xml:space="preserve"> matched pairs/sets</w:t>
      </w:r>
      <w:r>
        <w:t xml:space="preserve"> that are identified will be reviewed to determine </w:t>
      </w:r>
      <w:r w:rsidR="003D17FD">
        <w:t>whether</w:t>
      </w:r>
      <w:r>
        <w:t xml:space="preserve"> the agencies are duplicates</w:t>
      </w:r>
      <w:r>
        <w:t>.</w:t>
      </w:r>
      <w:r>
        <w:rPr>
          <w:rStyle w:val="FootnoteReference"/>
        </w:rPr>
        <w:footnoteReference w:id="4"/>
      </w:r>
      <w:r>
        <w:t xml:space="preserve">  </w:t>
      </w:r>
    </w:p>
    <w:p w:rsidR="00C824D4" w:rsidP="00AC34F8" w14:paraId="387408AA" w14:textId="77777777"/>
    <w:p w:rsidR="00366193" w:rsidP="13D46B0C" w14:paraId="45C4F130" w14:textId="773B19EA">
      <w:pPr>
        <w:rPr>
          <w:i/>
          <w:iCs/>
        </w:rPr>
      </w:pPr>
      <w:r>
        <w:t xml:space="preserve">Status issues, potential duplicates, and other eligibility issues that are not easily resolved will be investigated by reviewing notes that RTI might have on the agency from previous data collections and through online searches. Reviews will be conducted in two stages within the ARMS. During the first stage, research will be done online using publicly sourced information. Sources will include (1) records from prior surveys, (2) webpages, (3) city-, county-, or organization-level budgets, (4) official governmental reports, and (5) news reports/articles from reputable sources. All updated data will be entered in </w:t>
      </w:r>
      <w:r w:rsidR="62D38D16">
        <w:t xml:space="preserve">the </w:t>
      </w:r>
      <w:r>
        <w:t xml:space="preserve">ARMS and then tracked and approved through the standard verification process before becoming part of LEAR. During the second stage, cases that could not be resolved through these means will be initiated for direct phone or email outreach. </w:t>
      </w:r>
      <w:r w:rsidR="0E7C3693">
        <w:t>BJS requested and received generic clearance approval (</w:t>
      </w:r>
      <w:r w:rsidRPr="13D46B0C" w:rsidR="58620C3C">
        <w:rPr>
          <w:color w:val="424242"/>
        </w:rPr>
        <w:t>OMB No.</w:t>
      </w:r>
      <w:r w:rsidRPr="13D46B0C" w:rsidR="58620C3C">
        <w:t xml:space="preserve"> </w:t>
      </w:r>
      <w:r w:rsidR="308B6844">
        <w:t xml:space="preserve">1121-0339) </w:t>
      </w:r>
      <w:r w:rsidR="0E7C3693">
        <w:t xml:space="preserve">for </w:t>
      </w:r>
      <w:r w:rsidR="7091EF8E">
        <w:t>7</w:t>
      </w:r>
      <w:r w:rsidR="0E7C3693">
        <w:t xml:space="preserve">5 hours for frame development outreach. </w:t>
      </w:r>
      <w:r>
        <w:t xml:space="preserve">Any updated agency information will be entered in </w:t>
      </w:r>
      <w:r w:rsidR="62D38D16">
        <w:t xml:space="preserve">the </w:t>
      </w:r>
      <w:r>
        <w:t xml:space="preserve">ARMS and </w:t>
      </w:r>
      <w:r w:rsidR="19E09B0F">
        <w:t>updated in the</w:t>
      </w:r>
      <w:r>
        <w:t xml:space="preserve"> LEAR as appropriate</w:t>
      </w:r>
      <w:r w:rsidR="0E7C3693">
        <w:t>.</w:t>
      </w:r>
    </w:p>
    <w:p w:rsidR="004A6B77" w:rsidP="009C0B37" w14:paraId="3A48BFE4" w14:textId="77777777">
      <w:pPr>
        <w:rPr>
          <w:i/>
        </w:rPr>
      </w:pPr>
    </w:p>
    <w:p w:rsidR="009C0B37" w:rsidP="009C0B37" w14:paraId="7094C3F0" w14:textId="2F78FD1A">
      <w:r>
        <w:rPr>
          <w:i/>
        </w:rPr>
        <w:t>Elimination of Out-of-Scope Agencies for CSLLEA</w:t>
      </w:r>
      <w:r>
        <w:t xml:space="preserve">. </w:t>
      </w:r>
      <w:r w:rsidRPr="002A55FF">
        <w:t>The following actions have been taken to reduce the possibility of including out</w:t>
      </w:r>
      <w:r w:rsidR="0024297E">
        <w:t>-</w:t>
      </w:r>
      <w:r w:rsidRPr="002A55FF">
        <w:t>of</w:t>
      </w:r>
      <w:r w:rsidR="0024297E">
        <w:t>-</w:t>
      </w:r>
      <w:r w:rsidRPr="002A55FF">
        <w:t>scope agencies.</w:t>
      </w:r>
    </w:p>
    <w:p w:rsidR="009C0B37" w:rsidRPr="002A55FF" w:rsidP="009C0B37" w14:paraId="162DB298" w14:textId="77777777">
      <w:pPr>
        <w:ind w:firstLine="720"/>
      </w:pPr>
    </w:p>
    <w:p w:rsidR="009C0B37" w:rsidRPr="002A55FF" w:rsidP="009C0B37" w14:paraId="722933FA" w14:textId="4D2C933E">
      <w:pPr>
        <w:pStyle w:val="ListParagraph"/>
        <w:numPr>
          <w:ilvl w:val="0"/>
          <w:numId w:val="28"/>
        </w:numPr>
      </w:pPr>
      <w:r w:rsidRPr="002A55FF">
        <w:t>Agency in-service status has been verified across multiple datasets</w:t>
      </w:r>
      <w:r>
        <w:t>, including state POST lists and chief and sheriff association lists,</w:t>
      </w:r>
      <w:r w:rsidRPr="002A55FF">
        <w:t xml:space="preserve"> to reduce the burden on cities without a law enforcement agency. </w:t>
      </w:r>
    </w:p>
    <w:p w:rsidR="009C0B37" w:rsidRPr="002A55FF" w:rsidP="009C0B37" w14:paraId="31BBF7F4" w14:textId="1A9904EA">
      <w:pPr>
        <w:pStyle w:val="ListParagraph"/>
        <w:numPr>
          <w:ilvl w:val="0"/>
          <w:numId w:val="28"/>
        </w:numPr>
      </w:pPr>
      <w:r w:rsidRPr="002A55FF">
        <w:t xml:space="preserve">Non-publicly funded </w:t>
      </w:r>
      <w:r w:rsidR="0024297E">
        <w:t>LEAs</w:t>
      </w:r>
      <w:r w:rsidRPr="002A55FF">
        <w:t xml:space="preserve"> (</w:t>
      </w:r>
      <w:r w:rsidR="003D17FD">
        <w:t>except for</w:t>
      </w:r>
      <w:r w:rsidR="00BF487B">
        <w:t xml:space="preserve"> those</w:t>
      </w:r>
      <w:r w:rsidR="0024297E">
        <w:t xml:space="preserve"> serving </w:t>
      </w:r>
      <w:r w:rsidRPr="002A55FF">
        <w:t>private universities)</w:t>
      </w:r>
      <w:r>
        <w:t xml:space="preserve"> have been vetted</w:t>
      </w:r>
      <w:r w:rsidRPr="002A55FF">
        <w:t xml:space="preserve">. </w:t>
      </w:r>
    </w:p>
    <w:p w:rsidR="009C0B37" w:rsidRPr="002A55FF" w:rsidP="009C0B37" w14:paraId="1324287B" w14:textId="7B5E4598">
      <w:pPr>
        <w:pStyle w:val="ListParagraph"/>
        <w:numPr>
          <w:ilvl w:val="0"/>
          <w:numId w:val="28"/>
        </w:numPr>
      </w:pPr>
      <w:r w:rsidRPr="002A55FF">
        <w:t xml:space="preserve">Publicly available information was reviewed to </w:t>
      </w:r>
      <w:r w:rsidR="003D17FD">
        <w:t xml:space="preserve">identify </w:t>
      </w:r>
      <w:r w:rsidRPr="002A55FF">
        <w:t xml:space="preserve">agencies </w:t>
      </w:r>
      <w:r w:rsidR="003D17FD">
        <w:t xml:space="preserve">that </w:t>
      </w:r>
      <w:r w:rsidRPr="002A55FF">
        <w:t xml:space="preserve">do not have </w:t>
      </w:r>
      <w:r>
        <w:t xml:space="preserve">general </w:t>
      </w:r>
      <w:r w:rsidRPr="002A55FF">
        <w:t xml:space="preserve">sworn law enforcement authority. </w:t>
      </w:r>
    </w:p>
    <w:p w:rsidR="009C0B37" w:rsidRPr="002A55FF" w:rsidP="009C0B37" w14:paraId="6D31AC2E" w14:textId="268D5CB5">
      <w:pPr>
        <w:pStyle w:val="ListParagraph"/>
        <w:numPr>
          <w:ilvl w:val="0"/>
          <w:numId w:val="28"/>
        </w:numPr>
      </w:pPr>
      <w:r>
        <w:t>Agency</w:t>
      </w:r>
      <w:r w:rsidRPr="002A55FF">
        <w:t xml:space="preserve"> size has been checked across a variety of sources</w:t>
      </w:r>
      <w:r>
        <w:t xml:space="preserve">, including </w:t>
      </w:r>
      <w:r w:rsidR="00BF487B">
        <w:t>the previously listed data collections</w:t>
      </w:r>
      <w:r w:rsidR="003D17FD">
        <w:t>,</w:t>
      </w:r>
      <w:r w:rsidR="00BF487B">
        <w:t xml:space="preserve"> </w:t>
      </w:r>
      <w:r w:rsidRPr="002A55FF">
        <w:t xml:space="preserve">to </w:t>
      </w:r>
      <w:r>
        <w:t>minimize</w:t>
      </w:r>
      <w:r w:rsidRPr="002A55FF">
        <w:t xml:space="preserve"> the number of agencies </w:t>
      </w:r>
      <w:r>
        <w:t xml:space="preserve">in the frame </w:t>
      </w:r>
      <w:r w:rsidRPr="002A55FF">
        <w:t xml:space="preserve">with </w:t>
      </w:r>
      <w:r w:rsidR="003D17FD">
        <w:t xml:space="preserve">the equivalent of </w:t>
      </w:r>
      <w:r w:rsidRPr="002A55FF">
        <w:t xml:space="preserve">less than one </w:t>
      </w:r>
      <w:r w:rsidR="003D17FD">
        <w:t>FTS</w:t>
      </w:r>
      <w:r w:rsidRPr="002A55FF">
        <w:t xml:space="preserve">. </w:t>
      </w:r>
    </w:p>
    <w:p w:rsidR="009C0B37" w:rsidRPr="00E75832" w:rsidP="009C0B37" w14:paraId="1F779731" w14:textId="45028FA1">
      <w:pPr>
        <w:rPr>
          <w:strike/>
        </w:rPr>
      </w:pPr>
    </w:p>
    <w:p w:rsidR="009C0B37" w:rsidP="35107414" w14:paraId="49EFEBBF" w14:textId="0663362F">
      <w:r>
        <w:t xml:space="preserve">Although the development and review of the CSLLEA universe is not finished, </w:t>
      </w:r>
      <w:r w:rsidR="003D17FD">
        <w:t xml:space="preserve">it is anticipated </w:t>
      </w:r>
      <w:r w:rsidR="003562C0">
        <w:t>that</w:t>
      </w:r>
      <w:r w:rsidR="003D17FD">
        <w:t xml:space="preserve"> approximately </w:t>
      </w:r>
      <w:r w:rsidR="00366193">
        <w:t>2</w:t>
      </w:r>
      <w:r w:rsidR="00C13F18">
        <w:t>2</w:t>
      </w:r>
      <w:r w:rsidR="5697E0A0">
        <w:t>,000</w:t>
      </w:r>
      <w:r>
        <w:t xml:space="preserve"> agencies will be defined as in-scope for the collection.</w:t>
      </w:r>
    </w:p>
    <w:p w:rsidR="00D566D1" w:rsidP="35107414" w14:paraId="6400A9E6" w14:textId="77777777"/>
    <w:p w:rsidR="00D566D1" w:rsidP="35107414" w14:paraId="4BC533AF" w14:textId="77777777">
      <w:pPr>
        <w:rPr>
          <w:i/>
          <w:iCs/>
        </w:rPr>
      </w:pPr>
    </w:p>
    <w:p w:rsidR="00A355FD" w:rsidRPr="00677A7D" w:rsidP="35107414" w14:paraId="4B4D2ACB" w14:textId="77777777">
      <w:pPr>
        <w:rPr>
          <w:i/>
          <w:iCs/>
        </w:rPr>
      </w:pPr>
    </w:p>
    <w:p w:rsidR="009C0B37" w:rsidP="00E6742D" w14:paraId="6218E84D" w14:textId="77777777">
      <w:pPr>
        <w:pStyle w:val="SP-SglSpPara"/>
        <w:ind w:firstLine="0"/>
        <w:jc w:val="left"/>
        <w:rPr>
          <w:sz w:val="24"/>
          <w:szCs w:val="24"/>
        </w:rPr>
      </w:pPr>
    </w:p>
    <w:p w:rsidR="00A6699A" w:rsidP="7F342760" w14:paraId="71D15AF0" w14:textId="5CDCD7C3">
      <w:pPr>
        <w:pStyle w:val="ListParagraph"/>
        <w:numPr>
          <w:ilvl w:val="0"/>
          <w:numId w:val="7"/>
        </w:numPr>
        <w:rPr>
          <w:b/>
          <w:bCs/>
          <w:u w:val="single"/>
        </w:rPr>
      </w:pPr>
      <w:r w:rsidRPr="35107414">
        <w:rPr>
          <w:b/>
          <w:bCs/>
          <w:u w:val="single"/>
        </w:rPr>
        <w:t>Procedures for Collecting Information</w:t>
      </w:r>
    </w:p>
    <w:p w:rsidR="00A6699A" w:rsidRPr="00596C3F" w:rsidP="0088712E" w14:paraId="079AAD37" w14:textId="77777777">
      <w:pPr>
        <w:pStyle w:val="ListParagraph"/>
        <w:ind w:left="0"/>
        <w:rPr>
          <w:b/>
          <w:u w:val="single"/>
        </w:rPr>
      </w:pPr>
    </w:p>
    <w:p w:rsidR="00C20214" w:rsidP="00690FF0" w14:paraId="120D32D1" w14:textId="77777777">
      <w:r w:rsidRPr="3F1902C0">
        <w:rPr>
          <w:i/>
          <w:iCs/>
        </w:rPr>
        <w:t>Data Collection Procedures</w:t>
      </w:r>
    </w:p>
    <w:p w:rsidR="00C20214" w:rsidP="00690FF0" w14:paraId="3E34D087" w14:textId="77777777"/>
    <w:p w:rsidR="00C20214" w:rsidP="00690FF0" w14:paraId="7B006784" w14:textId="5C0F81DA">
      <w:r>
        <w:t>The 2026 CSLLEA data collection effort will mirror the protocols used for the 202</w:t>
      </w:r>
      <w:r w:rsidR="7026DFD8">
        <w:t>2</w:t>
      </w:r>
      <w:r>
        <w:t xml:space="preserve"> </w:t>
      </w:r>
      <w:r w:rsidR="7026DFD8">
        <w:t>CSLLEA</w:t>
      </w:r>
      <w:r>
        <w:t xml:space="preserve"> with some enhancements (</w:t>
      </w:r>
      <w:r w:rsidRPr="13D46B0C">
        <w:rPr>
          <w:b/>
          <w:bCs/>
        </w:rPr>
        <w:t xml:space="preserve">Table </w:t>
      </w:r>
      <w:r w:rsidRPr="13D46B0C" w:rsidR="4BE29D7F">
        <w:rPr>
          <w:b/>
          <w:bCs/>
        </w:rPr>
        <w:t>3</w:t>
      </w:r>
      <w:r>
        <w:t xml:space="preserve">). </w:t>
      </w:r>
      <w:r w:rsidR="7026DFD8">
        <w:t>A</w:t>
      </w:r>
      <w:r>
        <w:t xml:space="preserve"> robust nonresponse follow-up strategy will be employed to </w:t>
      </w:r>
      <w:r w:rsidR="55182376">
        <w:t>achieve</w:t>
      </w:r>
      <w:r>
        <w:t xml:space="preserve"> </w:t>
      </w:r>
      <w:r w:rsidR="7026DFD8">
        <w:t xml:space="preserve">a response rate </w:t>
      </w:r>
      <w:r w:rsidR="00F9018A">
        <w:t>of 85%</w:t>
      </w:r>
      <w:r w:rsidR="0DC509AE">
        <w:t xml:space="preserve"> (see Methods to Maximize Response Rates below)</w:t>
      </w:r>
      <w:r>
        <w:t>. This comprehensive series of mailings and non-response follow-up activities is designed to facilitate high response rates and data quality.</w:t>
      </w:r>
    </w:p>
    <w:p w:rsidR="00690FF0" w:rsidRPr="00217D7B" w:rsidP="00690FF0" w14:paraId="14AD1AC9" w14:textId="77777777">
      <w:pPr>
        <w:pStyle w:val="NoSpacing"/>
      </w:pPr>
    </w:p>
    <w:p w:rsidR="007455C0" w:rsidP="007455C0" w14:paraId="695325C2" w14:textId="539079B5">
      <w:r>
        <w:t>A</w:t>
      </w:r>
      <w:r w:rsidR="74B8EBAC">
        <w:t>pproximately 3 weeks prior to the survey launch</w:t>
      </w:r>
      <w:r>
        <w:t>,</w:t>
      </w:r>
      <w:r w:rsidR="74B8EBAC">
        <w:t xml:space="preserve"> a</w:t>
      </w:r>
      <w:r w:rsidR="55868477">
        <w:t xml:space="preserve"> study announcement</w:t>
      </w:r>
      <w:r w:rsidR="74B8EBAC">
        <w:t xml:space="preserve"> letter</w:t>
      </w:r>
      <w:r w:rsidR="5B47BC37">
        <w:t xml:space="preserve"> (</w:t>
      </w:r>
      <w:r w:rsidRPr="0F8DAD60" w:rsidR="5B47BC37">
        <w:rPr>
          <w:b/>
          <w:bCs/>
        </w:rPr>
        <w:t xml:space="preserve">Attachment </w:t>
      </w:r>
      <w:r w:rsidR="00D82D92">
        <w:rPr>
          <w:b/>
          <w:bCs/>
        </w:rPr>
        <w:t>E</w:t>
      </w:r>
      <w:r w:rsidR="00D82D92">
        <w:t xml:space="preserve">) </w:t>
      </w:r>
      <w:r>
        <w:t xml:space="preserve">will be sent out to all agencies in the CSLLEA universe. </w:t>
      </w:r>
      <w:r w:rsidR="008F3154">
        <w:t>For sheriffs’ offices, t</w:t>
      </w:r>
      <w:r>
        <w:t xml:space="preserve">he letter will be </w:t>
      </w:r>
      <w:r w:rsidR="74B8EBAC">
        <w:t xml:space="preserve">signed by the Director of </w:t>
      </w:r>
      <w:r w:rsidR="003B1BA0">
        <w:t>the National Sheriffs’ Association. For all other law enforcement agencies, the letter will be signed by</w:t>
      </w:r>
      <w:r w:rsidR="55868477">
        <w:t xml:space="preserve"> </w:t>
      </w:r>
      <w:r w:rsidR="74B8EBAC">
        <w:t xml:space="preserve">the </w:t>
      </w:r>
      <w:r w:rsidR="00282906">
        <w:t>Director of</w:t>
      </w:r>
      <w:r w:rsidR="55868477">
        <w:t xml:space="preserve"> </w:t>
      </w:r>
      <w:r w:rsidR="74B8EBAC">
        <w:t>the International Association of Chiefs of Police (IACP)</w:t>
      </w:r>
      <w:r w:rsidR="55868477">
        <w:t xml:space="preserve">. </w:t>
      </w:r>
      <w:r w:rsidR="661C637E">
        <w:t>The letter will</w:t>
      </w:r>
      <w:r w:rsidR="74B8EBAC">
        <w:t xml:space="preserve"> indicat</w:t>
      </w:r>
      <w:r w:rsidR="661C637E">
        <w:t>e</w:t>
      </w:r>
      <w:r w:rsidR="74B8EBAC">
        <w:t xml:space="preserve"> </w:t>
      </w:r>
      <w:r w:rsidR="48E59B11">
        <w:t>the signatory’s</w:t>
      </w:r>
      <w:r w:rsidR="74B8EBAC">
        <w:t xml:space="preserve"> support of the 2026 CSLLEA</w:t>
      </w:r>
      <w:r w:rsidR="661C637E">
        <w:t xml:space="preserve"> and</w:t>
      </w:r>
      <w:r w:rsidR="74B8EBAC">
        <w:t xml:space="preserve"> provide a toll-free phone number and project-specific email address for the survey Help Desk, should the</w:t>
      </w:r>
      <w:r w:rsidR="6E3A599E">
        <w:t xml:space="preserve"> point of contact</w:t>
      </w:r>
      <w:r w:rsidR="74B8EBAC">
        <w:t xml:space="preserve"> </w:t>
      </w:r>
      <w:r w:rsidR="6E3A599E">
        <w:t>(</w:t>
      </w:r>
      <w:r w:rsidR="74B8EBAC">
        <w:t>POC</w:t>
      </w:r>
      <w:r w:rsidR="6E3A599E">
        <w:t>)</w:t>
      </w:r>
      <w:r w:rsidR="74B8EBAC">
        <w:t xml:space="preserve"> have any questions. </w:t>
      </w:r>
    </w:p>
    <w:p w:rsidR="007455C0" w:rsidP="007455C0" w14:paraId="35DC7033" w14:textId="77777777"/>
    <w:p w:rsidR="004A417A" w:rsidRPr="004A417A" w:rsidP="007455C0" w14:paraId="12C9E5BF" w14:textId="4F5092B4">
      <w:pPr>
        <w:rPr>
          <w:b/>
          <w:bCs/>
        </w:rPr>
      </w:pPr>
      <w:r w:rsidRPr="13D46B0C">
        <w:rPr>
          <w:b/>
          <w:bCs/>
        </w:rPr>
        <w:t xml:space="preserve">Table </w:t>
      </w:r>
      <w:r w:rsidRPr="13D46B0C" w:rsidR="4BE29D7F">
        <w:rPr>
          <w:b/>
          <w:bCs/>
        </w:rPr>
        <w:t>3</w:t>
      </w:r>
      <w:r w:rsidRPr="13D46B0C">
        <w:rPr>
          <w:b/>
          <w:bCs/>
        </w:rPr>
        <w:t xml:space="preserve">. Outreach schedule for 2026 CSLLEA </w:t>
      </w:r>
    </w:p>
    <w:p w:rsidR="004A417A" w:rsidP="007455C0" w14:paraId="0C212E6E" w14:textId="77777777"/>
    <w:tbl>
      <w:tblPr>
        <w:tblStyle w:val="TableGrid"/>
        <w:tblW w:w="0" w:type="auto"/>
        <w:tblLook w:val="04A0"/>
      </w:tblPr>
      <w:tblGrid>
        <w:gridCol w:w="2337"/>
        <w:gridCol w:w="2337"/>
        <w:gridCol w:w="2338"/>
        <w:gridCol w:w="2338"/>
      </w:tblGrid>
      <w:tr w14:paraId="7547D67A" w14:textId="77777777" w:rsidTr="00A37AB4">
        <w:tblPrEx>
          <w:tblW w:w="0" w:type="auto"/>
          <w:tblLook w:val="04A0"/>
        </w:tblPrEx>
        <w:tc>
          <w:tcPr>
            <w:tcW w:w="2337" w:type="dxa"/>
          </w:tcPr>
          <w:p w:rsidR="00A37AB4" w:rsidRPr="00A37AB4" w:rsidP="007455C0" w14:paraId="47577DED" w14:textId="068767A4">
            <w:pPr>
              <w:rPr>
                <w:b/>
                <w:bCs/>
              </w:rPr>
            </w:pPr>
            <w:r>
              <w:rPr>
                <w:b/>
                <w:bCs/>
              </w:rPr>
              <w:t>Survey Communication</w:t>
            </w:r>
          </w:p>
        </w:tc>
        <w:tc>
          <w:tcPr>
            <w:tcW w:w="2337" w:type="dxa"/>
          </w:tcPr>
          <w:p w:rsidR="00A37AB4" w:rsidRPr="00A37AB4" w:rsidP="007455C0" w14:paraId="0286C179" w14:textId="28536510">
            <w:pPr>
              <w:rPr>
                <w:b/>
                <w:bCs/>
              </w:rPr>
            </w:pPr>
            <w:r w:rsidRPr="00A37AB4">
              <w:rPr>
                <w:b/>
                <w:bCs/>
              </w:rPr>
              <w:t>Project Week</w:t>
            </w:r>
          </w:p>
        </w:tc>
        <w:tc>
          <w:tcPr>
            <w:tcW w:w="2338" w:type="dxa"/>
          </w:tcPr>
          <w:p w:rsidR="00A37AB4" w:rsidRPr="00A37AB4" w:rsidP="007455C0" w14:paraId="06B8E04E" w14:textId="523B2ACE">
            <w:pPr>
              <w:rPr>
                <w:b/>
                <w:bCs/>
              </w:rPr>
            </w:pPr>
            <w:r w:rsidRPr="00A37AB4">
              <w:rPr>
                <w:b/>
                <w:bCs/>
              </w:rPr>
              <w:t>Mode</w:t>
            </w:r>
          </w:p>
        </w:tc>
        <w:tc>
          <w:tcPr>
            <w:tcW w:w="2338" w:type="dxa"/>
          </w:tcPr>
          <w:p w:rsidR="00A37AB4" w:rsidRPr="00A37AB4" w:rsidP="007455C0" w14:paraId="7D81BD4B" w14:textId="5317A643">
            <w:pPr>
              <w:rPr>
                <w:b/>
                <w:bCs/>
              </w:rPr>
            </w:pPr>
            <w:r w:rsidRPr="00A37AB4">
              <w:rPr>
                <w:b/>
                <w:bCs/>
              </w:rPr>
              <w:t>Attachment</w:t>
            </w:r>
          </w:p>
        </w:tc>
      </w:tr>
      <w:tr w14:paraId="1B41FC37" w14:textId="77777777" w:rsidTr="00A37AB4">
        <w:tblPrEx>
          <w:tblW w:w="0" w:type="auto"/>
          <w:tblLook w:val="04A0"/>
        </w:tblPrEx>
        <w:tc>
          <w:tcPr>
            <w:tcW w:w="2337" w:type="dxa"/>
          </w:tcPr>
          <w:p w:rsidR="00A37AB4" w:rsidP="007455C0" w14:paraId="5FFBFB22" w14:textId="70F2FF89">
            <w:r>
              <w:t>Study Announcement Letter</w:t>
            </w:r>
          </w:p>
        </w:tc>
        <w:tc>
          <w:tcPr>
            <w:tcW w:w="2337" w:type="dxa"/>
          </w:tcPr>
          <w:p w:rsidR="00A37AB4" w:rsidP="004A417A" w14:paraId="60DE2815" w14:textId="60817F69">
            <w:pPr>
              <w:jc w:val="center"/>
            </w:pPr>
            <w:r>
              <w:t>3 weeks prior to invitation</w:t>
            </w:r>
          </w:p>
        </w:tc>
        <w:tc>
          <w:tcPr>
            <w:tcW w:w="2338" w:type="dxa"/>
          </w:tcPr>
          <w:p w:rsidR="00A37AB4" w:rsidP="004A417A" w14:paraId="45B49A93" w14:textId="5DC0D720">
            <w:pPr>
              <w:jc w:val="center"/>
            </w:pPr>
            <w:r>
              <w:t>Mail</w:t>
            </w:r>
          </w:p>
        </w:tc>
        <w:tc>
          <w:tcPr>
            <w:tcW w:w="2338" w:type="dxa"/>
          </w:tcPr>
          <w:p w:rsidR="00A37AB4" w:rsidP="007455C0" w14:paraId="3C9AD74A" w14:textId="2F9D5879">
            <w:r>
              <w:t>E</w:t>
            </w:r>
          </w:p>
        </w:tc>
      </w:tr>
      <w:tr w14:paraId="002A91A5" w14:textId="77777777" w:rsidTr="00A37AB4">
        <w:tblPrEx>
          <w:tblW w:w="0" w:type="auto"/>
          <w:tblLook w:val="04A0"/>
        </w:tblPrEx>
        <w:tc>
          <w:tcPr>
            <w:tcW w:w="2337" w:type="dxa"/>
          </w:tcPr>
          <w:p w:rsidR="004A417A" w:rsidP="004A417A" w14:paraId="4D7584A6" w14:textId="432FD5F3">
            <w:r>
              <w:t>Invitation, Informational Flyer, and Letter of Support</w:t>
            </w:r>
          </w:p>
        </w:tc>
        <w:tc>
          <w:tcPr>
            <w:tcW w:w="2337" w:type="dxa"/>
          </w:tcPr>
          <w:p w:rsidR="004A417A" w:rsidP="004A417A" w14:paraId="306EB6C3" w14:textId="43554C5A">
            <w:pPr>
              <w:jc w:val="center"/>
            </w:pPr>
            <w:r>
              <w:t>1</w:t>
            </w:r>
          </w:p>
        </w:tc>
        <w:tc>
          <w:tcPr>
            <w:tcW w:w="2338" w:type="dxa"/>
          </w:tcPr>
          <w:p w:rsidR="004A417A" w:rsidP="004A417A" w14:paraId="2266243E" w14:textId="21751D19">
            <w:pPr>
              <w:jc w:val="center"/>
            </w:pPr>
            <w:r>
              <w:t>Mail</w:t>
            </w:r>
          </w:p>
        </w:tc>
        <w:tc>
          <w:tcPr>
            <w:tcW w:w="2338" w:type="dxa"/>
          </w:tcPr>
          <w:p w:rsidR="004A417A" w:rsidP="004A417A" w14:paraId="43892A5A" w14:textId="3C243E2A">
            <w:r>
              <w:t>F, G, H</w:t>
            </w:r>
          </w:p>
        </w:tc>
      </w:tr>
      <w:tr w14:paraId="61439157" w14:textId="77777777" w:rsidTr="00A37AB4">
        <w:tblPrEx>
          <w:tblW w:w="0" w:type="auto"/>
          <w:tblLook w:val="04A0"/>
        </w:tblPrEx>
        <w:tc>
          <w:tcPr>
            <w:tcW w:w="2337" w:type="dxa"/>
          </w:tcPr>
          <w:p w:rsidR="004A417A" w:rsidP="004A417A" w14:paraId="7C221D56" w14:textId="7443FDDB">
            <w:r>
              <w:t>Invitation</w:t>
            </w:r>
            <w:r w:rsidR="005357C8">
              <w:t xml:space="preserve"> email</w:t>
            </w:r>
          </w:p>
        </w:tc>
        <w:tc>
          <w:tcPr>
            <w:tcW w:w="2337" w:type="dxa"/>
          </w:tcPr>
          <w:p w:rsidR="004A417A" w:rsidP="004A417A" w14:paraId="43CC6780" w14:textId="65AB3909">
            <w:pPr>
              <w:jc w:val="center"/>
            </w:pPr>
            <w:r>
              <w:t>2</w:t>
            </w:r>
          </w:p>
        </w:tc>
        <w:tc>
          <w:tcPr>
            <w:tcW w:w="2338" w:type="dxa"/>
          </w:tcPr>
          <w:p w:rsidR="004A417A" w:rsidP="004A417A" w14:paraId="13AB7A16" w14:textId="6451AFDB">
            <w:pPr>
              <w:jc w:val="center"/>
            </w:pPr>
            <w:r>
              <w:t>Email</w:t>
            </w:r>
          </w:p>
        </w:tc>
        <w:tc>
          <w:tcPr>
            <w:tcW w:w="2338" w:type="dxa"/>
          </w:tcPr>
          <w:p w:rsidR="004A417A" w:rsidP="004A417A" w14:paraId="347756A4" w14:textId="56883A83">
            <w:r>
              <w:t>I</w:t>
            </w:r>
          </w:p>
        </w:tc>
      </w:tr>
      <w:tr w14:paraId="4BE1B183" w14:textId="77777777" w:rsidTr="00A37AB4">
        <w:tblPrEx>
          <w:tblW w:w="0" w:type="auto"/>
          <w:tblLook w:val="04A0"/>
        </w:tblPrEx>
        <w:tc>
          <w:tcPr>
            <w:tcW w:w="2337" w:type="dxa"/>
          </w:tcPr>
          <w:p w:rsidR="004A417A" w:rsidP="004A417A" w14:paraId="782BA68C" w14:textId="10539DB7">
            <w:r>
              <w:t>First Reminder</w:t>
            </w:r>
          </w:p>
        </w:tc>
        <w:tc>
          <w:tcPr>
            <w:tcW w:w="2337" w:type="dxa"/>
          </w:tcPr>
          <w:p w:rsidR="004A417A" w:rsidP="004A417A" w14:paraId="3DA130EF" w14:textId="5CFBA9E4">
            <w:pPr>
              <w:jc w:val="center"/>
            </w:pPr>
            <w:r>
              <w:t>4</w:t>
            </w:r>
          </w:p>
        </w:tc>
        <w:tc>
          <w:tcPr>
            <w:tcW w:w="2338" w:type="dxa"/>
          </w:tcPr>
          <w:p w:rsidR="004A417A" w:rsidP="004A417A" w14:paraId="6BDF2633" w14:textId="5C11F5C7">
            <w:pPr>
              <w:jc w:val="center"/>
            </w:pPr>
            <w:r>
              <w:t>Mail</w:t>
            </w:r>
          </w:p>
        </w:tc>
        <w:tc>
          <w:tcPr>
            <w:tcW w:w="2338" w:type="dxa"/>
          </w:tcPr>
          <w:p w:rsidR="004A417A" w:rsidP="004A417A" w14:paraId="6AC96983" w14:textId="5B63D089">
            <w:r>
              <w:t>J</w:t>
            </w:r>
          </w:p>
        </w:tc>
      </w:tr>
      <w:tr w14:paraId="4986B0E1" w14:textId="77777777" w:rsidTr="00A37AB4">
        <w:tblPrEx>
          <w:tblW w:w="0" w:type="auto"/>
          <w:tblLook w:val="04A0"/>
        </w:tblPrEx>
        <w:tc>
          <w:tcPr>
            <w:tcW w:w="2337" w:type="dxa"/>
          </w:tcPr>
          <w:p w:rsidR="004A417A" w:rsidP="004A417A" w14:paraId="2C63D039" w14:textId="72D62309">
            <w:r>
              <w:t>Second Reminder</w:t>
            </w:r>
          </w:p>
        </w:tc>
        <w:tc>
          <w:tcPr>
            <w:tcW w:w="2337" w:type="dxa"/>
          </w:tcPr>
          <w:p w:rsidR="004A417A" w:rsidP="004A417A" w14:paraId="0C37E830" w14:textId="5E79A564">
            <w:pPr>
              <w:jc w:val="center"/>
            </w:pPr>
            <w:r>
              <w:t>5</w:t>
            </w:r>
          </w:p>
        </w:tc>
        <w:tc>
          <w:tcPr>
            <w:tcW w:w="2338" w:type="dxa"/>
          </w:tcPr>
          <w:p w:rsidR="004A417A" w:rsidP="004A417A" w14:paraId="57D325DE" w14:textId="0133394A">
            <w:pPr>
              <w:jc w:val="center"/>
            </w:pPr>
            <w:r>
              <w:t>Email</w:t>
            </w:r>
          </w:p>
        </w:tc>
        <w:tc>
          <w:tcPr>
            <w:tcW w:w="2338" w:type="dxa"/>
          </w:tcPr>
          <w:p w:rsidR="004A417A" w:rsidP="004A417A" w14:paraId="5A60AAD6" w14:textId="2431B477">
            <w:r>
              <w:t>K</w:t>
            </w:r>
          </w:p>
        </w:tc>
      </w:tr>
      <w:tr w14:paraId="41E985E4" w14:textId="77777777" w:rsidTr="00A37AB4">
        <w:tblPrEx>
          <w:tblW w:w="0" w:type="auto"/>
          <w:tblLook w:val="04A0"/>
        </w:tblPrEx>
        <w:tc>
          <w:tcPr>
            <w:tcW w:w="2337" w:type="dxa"/>
          </w:tcPr>
          <w:p w:rsidR="004A417A" w:rsidP="004A417A" w14:paraId="2AFD3628" w14:textId="36C243AF">
            <w:r>
              <w:t>Third Reminder</w:t>
            </w:r>
          </w:p>
        </w:tc>
        <w:tc>
          <w:tcPr>
            <w:tcW w:w="2337" w:type="dxa"/>
          </w:tcPr>
          <w:p w:rsidR="004A417A" w:rsidP="004A417A" w14:paraId="4F137745" w14:textId="2D029166">
            <w:pPr>
              <w:jc w:val="center"/>
            </w:pPr>
            <w:r>
              <w:t>7</w:t>
            </w:r>
          </w:p>
        </w:tc>
        <w:tc>
          <w:tcPr>
            <w:tcW w:w="2338" w:type="dxa"/>
          </w:tcPr>
          <w:p w:rsidR="004A417A" w:rsidP="004A417A" w14:paraId="38D36AA2" w14:textId="0B4C68C5">
            <w:pPr>
              <w:jc w:val="center"/>
            </w:pPr>
            <w:r>
              <w:t>Mail</w:t>
            </w:r>
          </w:p>
        </w:tc>
        <w:tc>
          <w:tcPr>
            <w:tcW w:w="2338" w:type="dxa"/>
          </w:tcPr>
          <w:p w:rsidR="004A417A" w:rsidP="004A417A" w14:paraId="21AE9727" w14:textId="4D6E99EC">
            <w:r>
              <w:t>L</w:t>
            </w:r>
          </w:p>
        </w:tc>
      </w:tr>
      <w:tr w14:paraId="3168FF13" w14:textId="77777777" w:rsidTr="00A37AB4">
        <w:tblPrEx>
          <w:tblW w:w="0" w:type="auto"/>
          <w:tblLook w:val="04A0"/>
        </w:tblPrEx>
        <w:tc>
          <w:tcPr>
            <w:tcW w:w="2337" w:type="dxa"/>
          </w:tcPr>
          <w:p w:rsidR="004A417A" w:rsidP="004A417A" w14:paraId="0B8A1EC5" w14:textId="4F95FF81">
            <w:r>
              <w:t>Fourth Reminder with Survey Form</w:t>
            </w:r>
          </w:p>
        </w:tc>
        <w:tc>
          <w:tcPr>
            <w:tcW w:w="2337" w:type="dxa"/>
          </w:tcPr>
          <w:p w:rsidR="004A417A" w:rsidP="004A417A" w14:paraId="4CCB30E0" w14:textId="0A0BF252">
            <w:pPr>
              <w:jc w:val="center"/>
            </w:pPr>
            <w:r>
              <w:t>9</w:t>
            </w:r>
          </w:p>
        </w:tc>
        <w:tc>
          <w:tcPr>
            <w:tcW w:w="2338" w:type="dxa"/>
          </w:tcPr>
          <w:p w:rsidR="004A417A" w:rsidP="004A417A" w14:paraId="2A1EDBE4" w14:textId="2CEEE5CB">
            <w:pPr>
              <w:jc w:val="center"/>
            </w:pPr>
            <w:r>
              <w:t>Mail</w:t>
            </w:r>
          </w:p>
        </w:tc>
        <w:tc>
          <w:tcPr>
            <w:tcW w:w="2338" w:type="dxa"/>
          </w:tcPr>
          <w:p w:rsidR="004A417A" w:rsidP="004A417A" w14:paraId="7CE67D7C" w14:textId="503ADC26">
            <w:r>
              <w:t>M</w:t>
            </w:r>
            <w:r w:rsidR="0094698E">
              <w:t xml:space="preserve">, </w:t>
            </w:r>
            <w:r w:rsidR="00EF6B93">
              <w:t>A</w:t>
            </w:r>
          </w:p>
        </w:tc>
      </w:tr>
      <w:tr w14:paraId="00E3E6AE" w14:textId="77777777" w:rsidTr="00A37AB4">
        <w:tblPrEx>
          <w:tblW w:w="0" w:type="auto"/>
          <w:tblLook w:val="04A0"/>
        </w:tblPrEx>
        <w:tc>
          <w:tcPr>
            <w:tcW w:w="2337" w:type="dxa"/>
          </w:tcPr>
          <w:p w:rsidR="004A417A" w:rsidP="004A417A" w14:paraId="3F98A415" w14:textId="42155D61">
            <w:r>
              <w:t>Fifth Reminder</w:t>
            </w:r>
          </w:p>
        </w:tc>
        <w:tc>
          <w:tcPr>
            <w:tcW w:w="2337" w:type="dxa"/>
          </w:tcPr>
          <w:p w:rsidR="004A417A" w:rsidP="004A417A" w14:paraId="5DDB9710" w14:textId="1BA66D55">
            <w:pPr>
              <w:jc w:val="center"/>
            </w:pPr>
            <w:r>
              <w:t>10</w:t>
            </w:r>
            <w:r w:rsidR="00611AB4">
              <w:t xml:space="preserve"> </w:t>
            </w:r>
          </w:p>
        </w:tc>
        <w:tc>
          <w:tcPr>
            <w:tcW w:w="2338" w:type="dxa"/>
          </w:tcPr>
          <w:p w:rsidR="004A417A" w:rsidP="004A417A" w14:paraId="4C3F2E0F" w14:textId="63350B50">
            <w:pPr>
              <w:jc w:val="center"/>
            </w:pPr>
            <w:r>
              <w:t>Email</w:t>
            </w:r>
          </w:p>
        </w:tc>
        <w:tc>
          <w:tcPr>
            <w:tcW w:w="2338" w:type="dxa"/>
          </w:tcPr>
          <w:p w:rsidR="004A417A" w:rsidP="004A417A" w14:paraId="2ED6C8D9" w14:textId="26422EF9">
            <w:r>
              <w:t>N</w:t>
            </w:r>
          </w:p>
        </w:tc>
      </w:tr>
      <w:tr w14:paraId="04263C93" w14:textId="77777777" w:rsidTr="00A37AB4">
        <w:tblPrEx>
          <w:tblW w:w="0" w:type="auto"/>
          <w:tblLook w:val="04A0"/>
        </w:tblPrEx>
        <w:tc>
          <w:tcPr>
            <w:tcW w:w="2337" w:type="dxa"/>
          </w:tcPr>
          <w:p w:rsidR="004A417A" w:rsidP="004A417A" w14:paraId="6AF35430" w14:textId="14E02BF9">
            <w:r>
              <w:t>Sixth Reminder</w:t>
            </w:r>
          </w:p>
        </w:tc>
        <w:tc>
          <w:tcPr>
            <w:tcW w:w="2337" w:type="dxa"/>
          </w:tcPr>
          <w:p w:rsidR="004A417A" w:rsidP="004A417A" w14:paraId="13F1A203" w14:textId="42004B1C">
            <w:pPr>
              <w:jc w:val="center"/>
            </w:pPr>
            <w:r>
              <w:t>13</w:t>
            </w:r>
          </w:p>
        </w:tc>
        <w:tc>
          <w:tcPr>
            <w:tcW w:w="2338" w:type="dxa"/>
          </w:tcPr>
          <w:p w:rsidR="004A417A" w:rsidP="004A417A" w14:paraId="37E10836" w14:textId="52DB7629">
            <w:pPr>
              <w:jc w:val="center"/>
            </w:pPr>
            <w:r>
              <w:t>Mail</w:t>
            </w:r>
          </w:p>
        </w:tc>
        <w:tc>
          <w:tcPr>
            <w:tcW w:w="2338" w:type="dxa"/>
          </w:tcPr>
          <w:p w:rsidR="004A417A" w:rsidP="004A417A" w14:paraId="4F04BF28" w14:textId="16F1A9C8">
            <w:r>
              <w:t>O</w:t>
            </w:r>
          </w:p>
        </w:tc>
      </w:tr>
      <w:tr w14:paraId="13AA3EF1" w14:textId="77777777" w:rsidTr="00A37AB4">
        <w:tblPrEx>
          <w:tblW w:w="0" w:type="auto"/>
          <w:tblLook w:val="04A0"/>
        </w:tblPrEx>
        <w:tc>
          <w:tcPr>
            <w:tcW w:w="2337" w:type="dxa"/>
          </w:tcPr>
          <w:p w:rsidR="004A417A" w:rsidP="004A417A" w14:paraId="3BDEDC1D" w14:textId="42C87D4B">
            <w:r>
              <w:t>Seventh Reminder</w:t>
            </w:r>
          </w:p>
        </w:tc>
        <w:tc>
          <w:tcPr>
            <w:tcW w:w="2337" w:type="dxa"/>
          </w:tcPr>
          <w:p w:rsidR="004A417A" w:rsidP="004A417A" w14:paraId="6FAF16E1" w14:textId="40509365">
            <w:pPr>
              <w:jc w:val="center"/>
            </w:pPr>
            <w:r>
              <w:t>1</w:t>
            </w:r>
            <w:r w:rsidR="007B673F">
              <w:t>8</w:t>
            </w:r>
          </w:p>
        </w:tc>
        <w:tc>
          <w:tcPr>
            <w:tcW w:w="2338" w:type="dxa"/>
          </w:tcPr>
          <w:p w:rsidR="004A417A" w:rsidP="004A417A" w14:paraId="2B0DA77B" w14:textId="4C083767">
            <w:pPr>
              <w:jc w:val="center"/>
            </w:pPr>
            <w:r>
              <w:t>Mail</w:t>
            </w:r>
          </w:p>
        </w:tc>
        <w:tc>
          <w:tcPr>
            <w:tcW w:w="2338" w:type="dxa"/>
          </w:tcPr>
          <w:p w:rsidR="004A417A" w:rsidP="004A417A" w14:paraId="45DEE955" w14:textId="41D3BB62">
            <w:r>
              <w:t>P</w:t>
            </w:r>
          </w:p>
        </w:tc>
      </w:tr>
      <w:tr w14:paraId="170B2450" w14:textId="77777777" w:rsidTr="00A069A6">
        <w:tblPrEx>
          <w:tblW w:w="0" w:type="auto"/>
          <w:tblLook w:val="04A0"/>
        </w:tblPrEx>
        <w:tc>
          <w:tcPr>
            <w:tcW w:w="2337" w:type="dxa"/>
          </w:tcPr>
          <w:p w:rsidR="004A417A" w:rsidRPr="00A069A6" w:rsidP="004A417A" w14:paraId="3B0CA3DB" w14:textId="7BA059E5">
            <w:r w:rsidRPr="00A069A6">
              <w:t>Telephone Reminders</w:t>
            </w:r>
          </w:p>
        </w:tc>
        <w:tc>
          <w:tcPr>
            <w:tcW w:w="2337" w:type="dxa"/>
          </w:tcPr>
          <w:p w:rsidR="004A417A" w:rsidRPr="00A069A6" w:rsidP="004A417A" w14:paraId="6EF6E731" w14:textId="0204F4D0">
            <w:pPr>
              <w:jc w:val="center"/>
            </w:pPr>
            <w:r w:rsidRPr="00A069A6">
              <w:t>19-</w:t>
            </w:r>
            <w:r w:rsidRPr="00A069A6" w:rsidR="007B673F">
              <w:t>34</w:t>
            </w:r>
          </w:p>
        </w:tc>
        <w:tc>
          <w:tcPr>
            <w:tcW w:w="2338" w:type="dxa"/>
          </w:tcPr>
          <w:p w:rsidR="004A417A" w:rsidP="004A417A" w14:paraId="11102C74" w14:textId="3137E1DB">
            <w:pPr>
              <w:jc w:val="center"/>
            </w:pPr>
            <w:r>
              <w:t>Telephone</w:t>
            </w:r>
          </w:p>
        </w:tc>
        <w:tc>
          <w:tcPr>
            <w:tcW w:w="2338" w:type="dxa"/>
          </w:tcPr>
          <w:p w:rsidR="004A417A" w:rsidP="004A417A" w14:paraId="3486161D" w14:textId="1889D592">
            <w:r>
              <w:t>Q</w:t>
            </w:r>
          </w:p>
        </w:tc>
      </w:tr>
      <w:tr w14:paraId="7F85894D" w14:textId="77777777" w:rsidTr="00A069A6">
        <w:tblPrEx>
          <w:tblW w:w="0" w:type="auto"/>
          <w:tblLook w:val="04A0"/>
        </w:tblPrEx>
        <w:tc>
          <w:tcPr>
            <w:tcW w:w="2337" w:type="dxa"/>
          </w:tcPr>
          <w:p w:rsidR="004A417A" w:rsidRPr="00A069A6" w:rsidP="004A417A" w14:paraId="7FD97B0E" w14:textId="40F143DC">
            <w:r w:rsidRPr="00A069A6">
              <w:t>Eighth Reminder</w:t>
            </w:r>
          </w:p>
        </w:tc>
        <w:tc>
          <w:tcPr>
            <w:tcW w:w="2337" w:type="dxa"/>
          </w:tcPr>
          <w:p w:rsidR="004A417A" w:rsidRPr="00A069A6" w:rsidP="004A417A" w14:paraId="5552C9DC" w14:textId="20803831">
            <w:pPr>
              <w:jc w:val="center"/>
            </w:pPr>
            <w:r w:rsidRPr="00A069A6">
              <w:t>2</w:t>
            </w:r>
            <w:r w:rsidRPr="00A069A6" w:rsidR="00A069A6">
              <w:t>1</w:t>
            </w:r>
          </w:p>
        </w:tc>
        <w:tc>
          <w:tcPr>
            <w:tcW w:w="2338" w:type="dxa"/>
          </w:tcPr>
          <w:p w:rsidR="004A417A" w:rsidP="004A417A" w14:paraId="6416EDD6" w14:textId="08B55ABB">
            <w:pPr>
              <w:jc w:val="center"/>
            </w:pPr>
            <w:r>
              <w:t>Email</w:t>
            </w:r>
          </w:p>
        </w:tc>
        <w:tc>
          <w:tcPr>
            <w:tcW w:w="2338" w:type="dxa"/>
          </w:tcPr>
          <w:p w:rsidR="004A417A" w:rsidP="004A417A" w14:paraId="5EAF20AE" w14:textId="6FD8317A">
            <w:r>
              <w:t>R</w:t>
            </w:r>
          </w:p>
        </w:tc>
      </w:tr>
      <w:tr w14:paraId="24A05624" w14:textId="77777777" w:rsidTr="00A069A6">
        <w:tblPrEx>
          <w:tblW w:w="0" w:type="auto"/>
          <w:tblLook w:val="04A0"/>
        </w:tblPrEx>
        <w:tc>
          <w:tcPr>
            <w:tcW w:w="2337" w:type="dxa"/>
          </w:tcPr>
          <w:p w:rsidR="004A417A" w:rsidRPr="00A069A6" w:rsidP="004A417A" w14:paraId="3F9E4F17" w14:textId="36156AEF">
            <w:r w:rsidRPr="00A069A6">
              <w:t>Ninth Reminder</w:t>
            </w:r>
          </w:p>
        </w:tc>
        <w:tc>
          <w:tcPr>
            <w:tcW w:w="2337" w:type="dxa"/>
          </w:tcPr>
          <w:p w:rsidR="004A417A" w:rsidRPr="00A069A6" w:rsidP="004A417A" w14:paraId="374CF8C0" w14:textId="1D3BAA06">
            <w:pPr>
              <w:jc w:val="center"/>
            </w:pPr>
            <w:r w:rsidRPr="00A069A6">
              <w:t>23</w:t>
            </w:r>
          </w:p>
        </w:tc>
        <w:tc>
          <w:tcPr>
            <w:tcW w:w="2338" w:type="dxa"/>
          </w:tcPr>
          <w:p w:rsidR="004A417A" w:rsidP="004A417A" w14:paraId="1EEFBDF6" w14:textId="645ECE20">
            <w:pPr>
              <w:jc w:val="center"/>
            </w:pPr>
            <w:r>
              <w:t>Mail</w:t>
            </w:r>
          </w:p>
        </w:tc>
        <w:tc>
          <w:tcPr>
            <w:tcW w:w="2338" w:type="dxa"/>
          </w:tcPr>
          <w:p w:rsidR="004A417A" w:rsidP="004A417A" w14:paraId="6E574288" w14:textId="7385B75D">
            <w:r>
              <w:t>S</w:t>
            </w:r>
          </w:p>
        </w:tc>
      </w:tr>
      <w:tr w14:paraId="1725E97B" w14:textId="77777777" w:rsidTr="00A069A6">
        <w:tblPrEx>
          <w:tblW w:w="0" w:type="auto"/>
          <w:tblLook w:val="04A0"/>
        </w:tblPrEx>
        <w:tc>
          <w:tcPr>
            <w:tcW w:w="2337" w:type="dxa"/>
          </w:tcPr>
          <w:p w:rsidR="004A417A" w:rsidRPr="00A069A6" w:rsidP="004A417A" w14:paraId="581EDEE8" w14:textId="247AD3AD">
            <w:r w:rsidRPr="00A069A6">
              <w:t>Tenth Reminder</w:t>
            </w:r>
          </w:p>
        </w:tc>
        <w:tc>
          <w:tcPr>
            <w:tcW w:w="2337" w:type="dxa"/>
          </w:tcPr>
          <w:p w:rsidR="004A417A" w:rsidRPr="00A069A6" w:rsidP="004A417A" w14:paraId="335A5654" w14:textId="3C4D18E3">
            <w:pPr>
              <w:jc w:val="center"/>
            </w:pPr>
            <w:r w:rsidRPr="00A069A6">
              <w:t>2</w:t>
            </w:r>
            <w:r w:rsidRPr="00A069A6" w:rsidR="007B673F">
              <w:t>7</w:t>
            </w:r>
          </w:p>
        </w:tc>
        <w:tc>
          <w:tcPr>
            <w:tcW w:w="2338" w:type="dxa"/>
          </w:tcPr>
          <w:p w:rsidR="004A417A" w:rsidP="004A417A" w14:paraId="2BAEAB82" w14:textId="1020F022">
            <w:pPr>
              <w:jc w:val="center"/>
            </w:pPr>
            <w:r>
              <w:t>Email</w:t>
            </w:r>
          </w:p>
        </w:tc>
        <w:tc>
          <w:tcPr>
            <w:tcW w:w="2338" w:type="dxa"/>
          </w:tcPr>
          <w:p w:rsidR="004A417A" w:rsidP="004A417A" w14:paraId="66F66FA5" w14:textId="44F3BA27">
            <w:r>
              <w:t>T</w:t>
            </w:r>
          </w:p>
        </w:tc>
      </w:tr>
      <w:tr w14:paraId="26363267" w14:textId="77777777" w:rsidTr="00A069A6">
        <w:tblPrEx>
          <w:tblW w:w="0" w:type="auto"/>
          <w:tblLook w:val="04A0"/>
        </w:tblPrEx>
        <w:tc>
          <w:tcPr>
            <w:tcW w:w="2337" w:type="dxa"/>
          </w:tcPr>
          <w:p w:rsidR="00A37AB4" w:rsidRPr="00A069A6" w:rsidP="00A37AB4" w14:paraId="4EDEF735" w14:textId="5A94E1D1">
            <w:r w:rsidRPr="00A069A6">
              <w:t>End of Study Notice</w:t>
            </w:r>
          </w:p>
        </w:tc>
        <w:tc>
          <w:tcPr>
            <w:tcW w:w="2337" w:type="dxa"/>
          </w:tcPr>
          <w:p w:rsidR="00A37AB4" w:rsidRPr="00A069A6" w:rsidP="004A417A" w14:paraId="5ABE8F15" w14:textId="6CF4D14F">
            <w:pPr>
              <w:jc w:val="center"/>
            </w:pPr>
            <w:r w:rsidRPr="00A069A6">
              <w:t>34</w:t>
            </w:r>
          </w:p>
        </w:tc>
        <w:tc>
          <w:tcPr>
            <w:tcW w:w="2338" w:type="dxa"/>
          </w:tcPr>
          <w:p w:rsidR="00A37AB4" w:rsidP="004A417A" w14:paraId="5B8408DF" w14:textId="1B6E3F07">
            <w:pPr>
              <w:jc w:val="center"/>
            </w:pPr>
            <w:r>
              <w:t>Mail</w:t>
            </w:r>
          </w:p>
        </w:tc>
        <w:tc>
          <w:tcPr>
            <w:tcW w:w="2338" w:type="dxa"/>
          </w:tcPr>
          <w:p w:rsidR="00A37AB4" w:rsidP="00A37AB4" w14:paraId="73553098" w14:textId="581455AE">
            <w:r>
              <w:t>U</w:t>
            </w:r>
          </w:p>
        </w:tc>
      </w:tr>
      <w:tr w14:paraId="543FFEE0" w14:textId="77777777" w:rsidTr="00A069A6">
        <w:tblPrEx>
          <w:tblW w:w="0" w:type="auto"/>
          <w:tblLook w:val="04A0"/>
        </w:tblPrEx>
        <w:tc>
          <w:tcPr>
            <w:tcW w:w="2337" w:type="dxa"/>
          </w:tcPr>
          <w:p w:rsidR="00A37AB4" w:rsidRPr="00A069A6" w:rsidP="00A37AB4" w14:paraId="071A5157" w14:textId="3621BEB4">
            <w:r w:rsidRPr="00A069A6">
              <w:t>End of Study Notice</w:t>
            </w:r>
          </w:p>
        </w:tc>
        <w:tc>
          <w:tcPr>
            <w:tcW w:w="2337" w:type="dxa"/>
          </w:tcPr>
          <w:p w:rsidR="00A37AB4" w:rsidRPr="00A069A6" w:rsidP="004A417A" w14:paraId="17AF1B9F" w14:textId="598768CE">
            <w:pPr>
              <w:jc w:val="center"/>
            </w:pPr>
            <w:r w:rsidRPr="00A069A6">
              <w:t>34</w:t>
            </w:r>
          </w:p>
        </w:tc>
        <w:tc>
          <w:tcPr>
            <w:tcW w:w="2338" w:type="dxa"/>
          </w:tcPr>
          <w:p w:rsidR="00A37AB4" w:rsidP="004A417A" w14:paraId="33C37243" w14:textId="08F2550A">
            <w:pPr>
              <w:jc w:val="center"/>
            </w:pPr>
            <w:r>
              <w:t>Email</w:t>
            </w:r>
          </w:p>
        </w:tc>
        <w:tc>
          <w:tcPr>
            <w:tcW w:w="2338" w:type="dxa"/>
          </w:tcPr>
          <w:p w:rsidR="00A37AB4" w:rsidP="00A37AB4" w14:paraId="6C034376" w14:textId="6A3B52A3">
            <w:r>
              <w:t>V</w:t>
            </w:r>
          </w:p>
        </w:tc>
      </w:tr>
      <w:tr w14:paraId="208BEA83" w14:textId="77777777" w:rsidTr="00A069A6">
        <w:tblPrEx>
          <w:tblW w:w="0" w:type="auto"/>
          <w:tblLook w:val="04A0"/>
        </w:tblPrEx>
        <w:tc>
          <w:tcPr>
            <w:tcW w:w="2337" w:type="dxa"/>
          </w:tcPr>
          <w:p w:rsidR="00A37AB4" w:rsidRPr="00A069A6" w:rsidP="00A37AB4" w14:paraId="0AFA7416" w14:textId="32B0733D">
            <w:r w:rsidRPr="00A069A6">
              <w:t>Thank You Notice</w:t>
            </w:r>
          </w:p>
        </w:tc>
        <w:tc>
          <w:tcPr>
            <w:tcW w:w="2337" w:type="dxa"/>
          </w:tcPr>
          <w:p w:rsidR="00A37AB4" w:rsidRPr="00A069A6" w:rsidP="004A417A" w14:paraId="45442292" w14:textId="1A026614">
            <w:pPr>
              <w:jc w:val="center"/>
            </w:pPr>
            <w:r w:rsidRPr="00A069A6">
              <w:t>4</w:t>
            </w:r>
            <w:r w:rsidRPr="00A069A6" w:rsidR="004A417A">
              <w:t>-</w:t>
            </w:r>
            <w:r w:rsidRPr="00A069A6" w:rsidR="007B673F">
              <w:t>34</w:t>
            </w:r>
          </w:p>
        </w:tc>
        <w:tc>
          <w:tcPr>
            <w:tcW w:w="2338" w:type="dxa"/>
          </w:tcPr>
          <w:p w:rsidR="00A37AB4" w:rsidP="004A417A" w14:paraId="61EF05D1" w14:textId="4A3B1861">
            <w:pPr>
              <w:jc w:val="center"/>
            </w:pPr>
            <w:r>
              <w:t>Email/Mail</w:t>
            </w:r>
          </w:p>
        </w:tc>
        <w:tc>
          <w:tcPr>
            <w:tcW w:w="2338" w:type="dxa"/>
          </w:tcPr>
          <w:p w:rsidR="00A37AB4" w:rsidP="00A37AB4" w14:paraId="29BF0768" w14:textId="555240A7">
            <w:r>
              <w:t>W</w:t>
            </w:r>
          </w:p>
        </w:tc>
      </w:tr>
    </w:tbl>
    <w:p w:rsidR="00A37AB4" w:rsidP="007455C0" w14:paraId="0BD1077A" w14:textId="77777777"/>
    <w:p w:rsidR="3BDCE1F0" w14:paraId="05573D11" w14:textId="04EE45B4">
      <w:r>
        <w:t xml:space="preserve">Data collection will begin with an invitation </w:t>
      </w:r>
      <w:r w:rsidR="00E10D69">
        <w:t>pa</w:t>
      </w:r>
      <w:r w:rsidR="00B7233D">
        <w:t>cket</w:t>
      </w:r>
      <w:r w:rsidR="00E10D69">
        <w:t xml:space="preserve"> </w:t>
      </w:r>
      <w:r>
        <w:t>mailed via USPS</w:t>
      </w:r>
      <w:r w:rsidR="00B7233D">
        <w:t>.</w:t>
      </w:r>
      <w:r w:rsidR="00373902">
        <w:t xml:space="preserve"> The packet will include </w:t>
      </w:r>
      <w:r w:rsidR="002E2357">
        <w:t>an invitation letter</w:t>
      </w:r>
      <w:r>
        <w:t xml:space="preserve"> on BJS letterhead and signed by the BJS Acting Director to t</w:t>
      </w:r>
      <w:r w:rsidR="31D0EE73">
        <w:t xml:space="preserve">he </w:t>
      </w:r>
      <w:r>
        <w:t xml:space="preserve">agency head inviting the LEA to participate in </w:t>
      </w:r>
      <w:r w:rsidRPr="35107414">
        <w:t xml:space="preserve">the </w:t>
      </w:r>
      <w:r>
        <w:t>survey (</w:t>
      </w:r>
      <w:r w:rsidRPr="0066316E">
        <w:rPr>
          <w:b/>
          <w:bCs/>
        </w:rPr>
        <w:t xml:space="preserve">Attachment </w:t>
      </w:r>
      <w:r w:rsidRPr="0F8DAD60" w:rsidR="008F5E3F">
        <w:rPr>
          <w:b/>
          <w:bCs/>
        </w:rPr>
        <w:t>F</w:t>
      </w:r>
      <w:r>
        <w:t>)</w:t>
      </w:r>
      <w:r w:rsidR="5B47BC37">
        <w:t>. The letter</w:t>
      </w:r>
      <w:r w:rsidRPr="35107414" w:rsidR="53D949C4">
        <w:t xml:space="preserve"> will include the survey web address</w:t>
      </w:r>
      <w:r w:rsidR="5B47BC37">
        <w:t xml:space="preserve">, </w:t>
      </w:r>
      <w:r w:rsidRPr="35107414" w:rsidR="53D949C4">
        <w:t>agency-specific log-in credentials</w:t>
      </w:r>
      <w:r w:rsidR="5B47BC37">
        <w:t xml:space="preserve">, and </w:t>
      </w:r>
      <w:r w:rsidRPr="35107414" w:rsidR="53D949C4">
        <w:t xml:space="preserve">a toll-free phone number and project-specific email address for the survey Help Desk. </w:t>
      </w:r>
      <w:r w:rsidR="49E99C0E">
        <w:t>In add</w:t>
      </w:r>
      <w:r w:rsidR="003F559F">
        <w:t>i</w:t>
      </w:r>
      <w:r w:rsidR="49E99C0E">
        <w:t xml:space="preserve">tion, the invitation packet will include an </w:t>
      </w:r>
      <w:r w:rsidRPr="35107414" w:rsidR="53D949C4">
        <w:t>informational flyer (</w:t>
      </w:r>
      <w:r w:rsidRPr="00220FB1" w:rsidR="53D949C4">
        <w:rPr>
          <w:b/>
          <w:bCs/>
        </w:rPr>
        <w:t xml:space="preserve">Attachment </w:t>
      </w:r>
      <w:r w:rsidRPr="0F8DAD60" w:rsidR="008F5E3F">
        <w:rPr>
          <w:b/>
          <w:bCs/>
        </w:rPr>
        <w:t>G</w:t>
      </w:r>
      <w:r w:rsidR="008F5E3F">
        <w:t>)</w:t>
      </w:r>
      <w:r w:rsidR="618CACBA">
        <w:t xml:space="preserve">. </w:t>
      </w:r>
      <w:r w:rsidRPr="35107414" w:rsidR="53D949C4">
        <w:t>The flyer will describe the overall BJS law enforcement survey program and how the CSLLEA relates to other BJS collections</w:t>
      </w:r>
      <w:r w:rsidRPr="00060504" w:rsidR="53D949C4">
        <w:t xml:space="preserve">. </w:t>
      </w:r>
      <w:r w:rsidRPr="00060504" w:rsidR="5B47BC37">
        <w:t xml:space="preserve">The invitation packet will also include </w:t>
      </w:r>
      <w:r w:rsidRPr="00060504" w:rsidR="53D949C4">
        <w:t>a letter of support signed by the major law enforcement organizations in the U.S. (</w:t>
      </w:r>
      <w:r w:rsidRPr="00060504" w:rsidR="0022260A">
        <w:t>e.g.,</w:t>
      </w:r>
      <w:r w:rsidRPr="00060504" w:rsidR="53D949C4">
        <w:t xml:space="preserve"> International Association of Chiefs of Police (IACP), National Sheriffs’ Association (NSA), Major County Sheriffs of America (MCSA), Major City Chiefs of Police (MCCP), and Association of State Criminal Investigative Agencies (ASCIA)) (</w:t>
      </w:r>
      <w:r w:rsidRPr="00060504" w:rsidR="53D949C4">
        <w:rPr>
          <w:b/>
          <w:bCs/>
        </w:rPr>
        <w:t xml:space="preserve">Attachment </w:t>
      </w:r>
      <w:r w:rsidRPr="00060504" w:rsidR="00B82E83">
        <w:rPr>
          <w:b/>
          <w:bCs/>
        </w:rPr>
        <w:t>H</w:t>
      </w:r>
      <w:r w:rsidRPr="00060504" w:rsidR="00B82E83">
        <w:t>).</w:t>
      </w:r>
      <w:r w:rsidR="00B82E83">
        <w:t xml:space="preserve"> </w:t>
      </w:r>
      <w:r w:rsidRPr="35107414" w:rsidR="0DBFE004">
        <w:t xml:space="preserve">In order to maximize efficiency and decrease costs over the long-term, the initial mailing will not include a </w:t>
      </w:r>
      <w:r w:rsidRPr="35107414" w:rsidR="6D9C7256">
        <w:t>hardcopy</w:t>
      </w:r>
      <w:r w:rsidRPr="35107414" w:rsidR="0DBFE004">
        <w:t xml:space="preserve"> </w:t>
      </w:r>
      <w:r w:rsidRPr="003F559F" w:rsidR="0DBFE004">
        <w:t>instrument.</w:t>
      </w:r>
      <w:r>
        <w:rPr>
          <w:rStyle w:val="FootnoteReference"/>
        </w:rPr>
        <w:footnoteReference w:id="5"/>
      </w:r>
      <w:r w:rsidRPr="003F559F" w:rsidR="403FE8E8">
        <w:t xml:space="preserve"> </w:t>
      </w:r>
    </w:p>
    <w:p w:rsidR="3BDCE1F0" w14:paraId="03A05B7F" w14:textId="6C543CA1">
      <w:r w:rsidRPr="50392E28">
        <w:t xml:space="preserve"> </w:t>
      </w:r>
    </w:p>
    <w:p w:rsidR="00CB0D9B" w:rsidP="00CB0D9B" w14:paraId="7C2999C7" w14:textId="64CAB342">
      <w:r>
        <w:t xml:space="preserve">Approximately </w:t>
      </w:r>
      <w:r w:rsidR="661C637E">
        <w:t xml:space="preserve">1 </w:t>
      </w:r>
      <w:r>
        <w:t xml:space="preserve">week after sending the survey invitation letter, RTI will send </w:t>
      </w:r>
      <w:r w:rsidR="5BF00D08">
        <w:t xml:space="preserve">the </w:t>
      </w:r>
      <w:r w:rsidR="6E3A599E">
        <w:t xml:space="preserve">survey invitation letter </w:t>
      </w:r>
      <w:r w:rsidR="6FCF2A28">
        <w:t xml:space="preserve">via email </w:t>
      </w:r>
      <w:r w:rsidR="6E3A599E">
        <w:t>(</w:t>
      </w:r>
      <w:r w:rsidRPr="13D46B0C" w:rsidR="6E3A599E">
        <w:rPr>
          <w:b/>
          <w:bCs/>
        </w:rPr>
        <w:t xml:space="preserve">Attachment </w:t>
      </w:r>
      <w:r w:rsidR="00B82E83">
        <w:rPr>
          <w:b/>
          <w:bCs/>
        </w:rPr>
        <w:t>I</w:t>
      </w:r>
      <w:r w:rsidR="6E3A599E">
        <w:t>) to those recipients for whom an email address is available to confirm receipt of the study materials. The email invitation will provide a link to the web survey, login credentials for the agency, and Help Desk contact information.</w:t>
      </w:r>
    </w:p>
    <w:p w:rsidR="00CB0D9B" w:rsidRPr="00CB0D9B" w:rsidP="00CB0D9B" w14:paraId="30297270" w14:textId="77777777">
      <w:pPr>
        <w:rPr>
          <w:rFonts w:asciiTheme="minorHAnsi" w:eastAsiaTheme="minorEastAsia" w:hAnsiTheme="minorHAnsi" w:cstheme="minorBidi"/>
        </w:rPr>
      </w:pPr>
    </w:p>
    <w:p w:rsidR="00CB0D9B" w:rsidP="00CB0D9B" w14:paraId="224F9AAE" w14:textId="13EC454F">
      <w:r>
        <w:t xml:space="preserve">Three weeks after sending the survey invitation </w:t>
      </w:r>
      <w:r w:rsidR="5C288DF9">
        <w:t>packet</w:t>
      </w:r>
      <w:r>
        <w:t xml:space="preserve">, </w:t>
      </w:r>
      <w:r w:rsidR="6E3A599E">
        <w:t>the first reminder letter</w:t>
      </w:r>
      <w:r w:rsidRPr="13D46B0C">
        <w:rPr>
          <w:b/>
          <w:bCs/>
        </w:rPr>
        <w:t xml:space="preserve"> </w:t>
      </w:r>
      <w:r>
        <w:t xml:space="preserve">will be </w:t>
      </w:r>
      <w:r w:rsidR="6ED08B21">
        <w:t xml:space="preserve">mailed </w:t>
      </w:r>
      <w:r>
        <w:t xml:space="preserve">to </w:t>
      </w:r>
      <w:r w:rsidR="6E3A599E">
        <w:t>the POC at nonresponding agencies</w:t>
      </w:r>
      <w:r>
        <w:t xml:space="preserve"> (</w:t>
      </w:r>
      <w:r w:rsidRPr="13D46B0C">
        <w:rPr>
          <w:b/>
          <w:bCs/>
        </w:rPr>
        <w:t xml:space="preserve">Attachment </w:t>
      </w:r>
      <w:r w:rsidR="00B82E83">
        <w:rPr>
          <w:b/>
          <w:bCs/>
        </w:rPr>
        <w:t>J</w:t>
      </w:r>
      <w:r w:rsidR="00B82E83">
        <w:t xml:space="preserve">). </w:t>
      </w:r>
      <w:r w:rsidR="1EED6E95">
        <w:t xml:space="preserve">One week </w:t>
      </w:r>
      <w:r w:rsidR="6E3A599E">
        <w:t>later</w:t>
      </w:r>
      <w:r w:rsidR="0DBFE004">
        <w:t xml:space="preserve">, a </w:t>
      </w:r>
      <w:r w:rsidR="4A9EA8F0">
        <w:t xml:space="preserve">second </w:t>
      </w:r>
      <w:r w:rsidR="0DBFE004">
        <w:t>reminder</w:t>
      </w:r>
      <w:r w:rsidRPr="13D46B0C" w:rsidR="0DBFE004">
        <w:rPr>
          <w:b/>
          <w:bCs/>
        </w:rPr>
        <w:t xml:space="preserve"> </w:t>
      </w:r>
      <w:r w:rsidR="0DBFE004">
        <w:t xml:space="preserve">will be </w:t>
      </w:r>
      <w:r w:rsidR="6E3A599E">
        <w:t xml:space="preserve">emailed </w:t>
      </w:r>
      <w:r w:rsidR="0DBFE004">
        <w:t>to POCs at nonresponding agencies</w:t>
      </w:r>
      <w:r w:rsidR="36B740C0">
        <w:t xml:space="preserve"> </w:t>
      </w:r>
      <w:r w:rsidR="0DBFE004">
        <w:t>(</w:t>
      </w:r>
      <w:r w:rsidRPr="13D46B0C" w:rsidR="0DBFE004">
        <w:rPr>
          <w:b/>
          <w:bCs/>
        </w:rPr>
        <w:t xml:space="preserve">Attachment </w:t>
      </w:r>
      <w:r w:rsidR="00877538">
        <w:rPr>
          <w:b/>
          <w:bCs/>
        </w:rPr>
        <w:t>K</w:t>
      </w:r>
      <w:r w:rsidR="00877538">
        <w:t xml:space="preserve">). </w:t>
      </w:r>
      <w:r w:rsidR="6E3A599E">
        <w:t>These reminder letter and email, signed by the BJS Project Manager, will express the importance of the CSLLEA to the LEA community and encourage response via the online survey (or hardcopy, if preferred).</w:t>
      </w:r>
    </w:p>
    <w:p w:rsidR="00CB0D9B" w:rsidRPr="00CB0D9B" w:rsidP="00CB0D9B" w14:paraId="6CF830C8" w14:textId="77777777">
      <w:pPr>
        <w:rPr>
          <w:rFonts w:asciiTheme="minorHAnsi" w:eastAsiaTheme="minorEastAsia" w:hAnsiTheme="minorHAnsi" w:cstheme="minorBidi"/>
        </w:rPr>
      </w:pPr>
    </w:p>
    <w:p w:rsidR="7B0EE450" w:rsidRPr="00CB0D9B" w:rsidP="13D46B0C" w14:paraId="23B5D47B" w14:textId="57050C6A">
      <w:pPr>
        <w:rPr>
          <w:rFonts w:asciiTheme="minorHAnsi" w:eastAsiaTheme="minorEastAsia" w:hAnsiTheme="minorHAnsi" w:cstheme="minorBidi"/>
        </w:rPr>
      </w:pPr>
      <w:r>
        <w:t>Two</w:t>
      </w:r>
      <w:r w:rsidR="646B83E2">
        <w:t xml:space="preserve"> weeks after sending the </w:t>
      </w:r>
      <w:r>
        <w:t>second reminder</w:t>
      </w:r>
      <w:r w:rsidR="646B83E2">
        <w:t xml:space="preserve">, RTI will </w:t>
      </w:r>
      <w:r w:rsidR="3824ACD1">
        <w:t>mail a postcard third reminder to POCs that will include the website</w:t>
      </w:r>
      <w:r w:rsidR="43DBEC64">
        <w:t xml:space="preserve"> and login instructions</w:t>
      </w:r>
      <w:r w:rsidR="71F635E3">
        <w:t xml:space="preserve"> (</w:t>
      </w:r>
      <w:r w:rsidRPr="13D46B0C" w:rsidR="71F635E3">
        <w:rPr>
          <w:b/>
          <w:bCs/>
        </w:rPr>
        <w:t xml:space="preserve">Attachment </w:t>
      </w:r>
      <w:r w:rsidR="00877538">
        <w:rPr>
          <w:b/>
          <w:bCs/>
        </w:rPr>
        <w:t>L</w:t>
      </w:r>
      <w:r w:rsidR="71F635E3">
        <w:t>)</w:t>
      </w:r>
      <w:r w:rsidR="43DBEC64">
        <w:t xml:space="preserve">. Changing the appearance of the communication to a </w:t>
      </w:r>
      <w:r w:rsidR="3824ACD1">
        <w:t>postcard</w:t>
      </w:r>
      <w:r w:rsidR="43DBEC64">
        <w:t xml:space="preserve"> will draw the attention of t</w:t>
      </w:r>
      <w:r w:rsidR="3DC8FE16">
        <w:t>he recipients and help spur participation.</w:t>
      </w:r>
    </w:p>
    <w:p w:rsidR="00CB0D9B" w:rsidP="00CB0D9B" w14:paraId="28285133" w14:textId="77777777">
      <w:pPr>
        <w:pStyle w:val="ListParagraph"/>
        <w:rPr>
          <w:rFonts w:asciiTheme="minorHAnsi" w:eastAsiaTheme="minorEastAsia" w:hAnsiTheme="minorHAnsi" w:cstheme="minorBidi"/>
        </w:rPr>
      </w:pPr>
    </w:p>
    <w:p w:rsidR="3BDCE1F0" w:rsidP="003012A1" w14:paraId="78393272" w14:textId="7701CDDB">
      <w:r w:rsidRPr="35107414">
        <w:t>T</w:t>
      </w:r>
      <w:r w:rsidRPr="35107414" w:rsidR="7DC519ED">
        <w:t xml:space="preserve">wo </w:t>
      </w:r>
      <w:r w:rsidRPr="35107414">
        <w:t xml:space="preserve">weeks after the </w:t>
      </w:r>
      <w:r w:rsidRPr="35107414" w:rsidR="4A5C9813">
        <w:t xml:space="preserve">third </w:t>
      </w:r>
      <w:r w:rsidRPr="35107414">
        <w:t>reminder</w:t>
      </w:r>
      <w:r w:rsidRPr="35107414" w:rsidR="2CACA040">
        <w:t xml:space="preserve">s </w:t>
      </w:r>
      <w:r w:rsidRPr="35107414">
        <w:t xml:space="preserve">are sent, RTI will send </w:t>
      </w:r>
      <w:r w:rsidRPr="003012A1">
        <w:t xml:space="preserve">a </w:t>
      </w:r>
      <w:r w:rsidRPr="003012A1" w:rsidR="5D6F4ED2">
        <w:t>fourth</w:t>
      </w:r>
      <w:r w:rsidRPr="003012A1">
        <w:t xml:space="preserve"> reminder letter via USPS</w:t>
      </w:r>
      <w:r w:rsidR="007D6088">
        <w:t xml:space="preserve"> </w:t>
      </w:r>
      <w:r w:rsidRPr="003012A1">
        <w:t>to POCs in agencies that have not respon</w:t>
      </w:r>
      <w:r w:rsidRPr="35107414">
        <w:t>ded (</w:t>
      </w:r>
      <w:r w:rsidRPr="003012A1">
        <w:rPr>
          <w:b/>
          <w:bCs/>
        </w:rPr>
        <w:t xml:space="preserve">Attachment </w:t>
      </w:r>
      <w:r w:rsidR="00877538">
        <w:rPr>
          <w:b/>
          <w:bCs/>
        </w:rPr>
        <w:t>M</w:t>
      </w:r>
      <w:r w:rsidRPr="35107414" w:rsidR="00877538">
        <w:t xml:space="preserve">). </w:t>
      </w:r>
      <w:r w:rsidRPr="35107414">
        <w:t xml:space="preserve">This mailing will also include a </w:t>
      </w:r>
      <w:r w:rsidRPr="35107414" w:rsidR="0DA215E4">
        <w:t>hardcopy</w:t>
      </w:r>
      <w:r w:rsidRPr="35107414">
        <w:t xml:space="preserve"> questionnaire (</w:t>
      </w:r>
      <w:r w:rsidRPr="003012A1">
        <w:rPr>
          <w:b/>
          <w:bCs/>
        </w:rPr>
        <w:t xml:space="preserve">Attachment </w:t>
      </w:r>
      <w:r w:rsidR="00877538">
        <w:rPr>
          <w:b/>
          <w:bCs/>
        </w:rPr>
        <w:t>A</w:t>
      </w:r>
      <w:r w:rsidRPr="35107414" w:rsidR="00877538">
        <w:t xml:space="preserve">) </w:t>
      </w:r>
      <w:r w:rsidRPr="35107414">
        <w:t>and</w:t>
      </w:r>
      <w:r w:rsidR="003012A1">
        <w:t xml:space="preserve"> a business reply</w:t>
      </w:r>
      <w:r w:rsidRPr="35107414">
        <w:t xml:space="preserve"> return envelope.</w:t>
      </w:r>
    </w:p>
    <w:p w:rsidR="003012A1" w:rsidRPr="003012A1" w:rsidP="003012A1" w14:paraId="2E1AD902" w14:textId="77777777">
      <w:pPr>
        <w:rPr>
          <w:rFonts w:asciiTheme="minorHAnsi" w:eastAsiaTheme="minorEastAsia" w:hAnsiTheme="minorHAnsi" w:cstheme="minorBidi"/>
        </w:rPr>
      </w:pPr>
    </w:p>
    <w:p w:rsidR="3BDCE1F0" w:rsidRPr="007D6088" w:rsidP="13D46B0C" w14:paraId="6B4C6256" w14:textId="527BA742">
      <w:pPr>
        <w:rPr>
          <w:rFonts w:asciiTheme="minorHAnsi" w:eastAsiaTheme="minorEastAsia" w:hAnsiTheme="minorHAnsi" w:cstheme="minorBidi"/>
        </w:rPr>
      </w:pPr>
      <w:r>
        <w:t xml:space="preserve">One week </w:t>
      </w:r>
      <w:r w:rsidR="0DBFE004">
        <w:t xml:space="preserve">after sending the </w:t>
      </w:r>
      <w:r w:rsidR="1A5EC572">
        <w:t xml:space="preserve">fourth </w:t>
      </w:r>
      <w:r w:rsidR="0DBFE004">
        <w:t xml:space="preserve">reminder, a </w:t>
      </w:r>
      <w:r w:rsidR="4651B9E2">
        <w:t xml:space="preserve">fifth </w:t>
      </w:r>
      <w:r w:rsidR="0DBFE004">
        <w:t xml:space="preserve">reminder </w:t>
      </w:r>
      <w:r w:rsidR="3A7D8754">
        <w:t>will be sent to nonrespond</w:t>
      </w:r>
      <w:r w:rsidR="002E5C35">
        <w:t>e</w:t>
      </w:r>
      <w:r w:rsidR="3A7D8754">
        <w:t xml:space="preserve">nts </w:t>
      </w:r>
      <w:r w:rsidR="0DBFE004">
        <w:t>via email (</w:t>
      </w:r>
      <w:r w:rsidRPr="13D46B0C" w:rsidR="0DBFE004">
        <w:rPr>
          <w:b/>
          <w:bCs/>
        </w:rPr>
        <w:t xml:space="preserve">Attachment </w:t>
      </w:r>
      <w:r w:rsidR="004D3CA4">
        <w:rPr>
          <w:b/>
          <w:bCs/>
        </w:rPr>
        <w:t>N</w:t>
      </w:r>
      <w:r w:rsidR="004D3CA4">
        <w:t>).</w:t>
      </w:r>
    </w:p>
    <w:p w:rsidR="007D6088" w:rsidP="007D6088" w14:paraId="77B672B8" w14:textId="77777777"/>
    <w:p w:rsidR="3BDCE1F0" w:rsidP="007D6088" w14:paraId="4A62E8EB" w14:textId="0179A002">
      <w:r w:rsidRPr="35107414">
        <w:t>Three weeks</w:t>
      </w:r>
      <w:r w:rsidRPr="35107414">
        <w:t xml:space="preserve"> after the </w:t>
      </w:r>
      <w:r w:rsidRPr="35107414" w:rsidR="66472F42">
        <w:t xml:space="preserve">fifth </w:t>
      </w:r>
      <w:r w:rsidRPr="35107414">
        <w:t>reminder</w:t>
      </w:r>
      <w:r w:rsidRPr="35107414" w:rsidR="41D66A59">
        <w:t xml:space="preserve">, a letter will be sent to nonrespondents as a </w:t>
      </w:r>
      <w:r w:rsidRPr="007D6088" w:rsidR="41D66A59">
        <w:t>sixth reminder</w:t>
      </w:r>
      <w:r w:rsidR="007D6088">
        <w:t xml:space="preserve"> and </w:t>
      </w:r>
      <w:r w:rsidRPr="35107414" w:rsidR="41D66A59">
        <w:t xml:space="preserve">will </w:t>
      </w:r>
      <w:r w:rsidRPr="35107414" w:rsidR="09981B8C">
        <w:t xml:space="preserve">include the URL and login </w:t>
      </w:r>
      <w:r w:rsidRPr="35107414" w:rsidR="573C3100">
        <w:t>instructions</w:t>
      </w:r>
      <w:r w:rsidR="007D6088">
        <w:t xml:space="preserve"> </w:t>
      </w:r>
      <w:r w:rsidRPr="35107414" w:rsidR="007D6088">
        <w:t>(</w:t>
      </w:r>
      <w:r w:rsidRPr="007D6088" w:rsidR="007D6088">
        <w:rPr>
          <w:b/>
          <w:bCs/>
        </w:rPr>
        <w:t xml:space="preserve">Attachment </w:t>
      </w:r>
      <w:r w:rsidR="004D3CA4">
        <w:rPr>
          <w:b/>
          <w:bCs/>
        </w:rPr>
        <w:t>O</w:t>
      </w:r>
      <w:r w:rsidRPr="35107414" w:rsidR="004D3CA4">
        <w:t xml:space="preserve">).  </w:t>
      </w:r>
    </w:p>
    <w:p w:rsidR="007D6088" w:rsidRPr="007D6088" w:rsidP="007D6088" w14:paraId="6A61966A" w14:textId="77777777">
      <w:pPr>
        <w:rPr>
          <w:rFonts w:asciiTheme="minorHAnsi" w:eastAsiaTheme="minorEastAsia" w:hAnsiTheme="minorHAnsi" w:cstheme="minorBidi"/>
        </w:rPr>
      </w:pPr>
    </w:p>
    <w:p w:rsidR="3BDCE1F0" w:rsidP="007D6088" w14:paraId="7DBD7094" w14:textId="2CD3C0B8">
      <w:r>
        <w:t>A seventh reminder (</w:t>
      </w:r>
      <w:r w:rsidRPr="004D3CA4">
        <w:rPr>
          <w:b/>
          <w:bCs/>
        </w:rPr>
        <w:t xml:space="preserve">Attachment </w:t>
      </w:r>
      <w:r w:rsidRPr="004D3CA4" w:rsidR="004D3CA4">
        <w:rPr>
          <w:b/>
          <w:bCs/>
        </w:rPr>
        <w:t>P</w:t>
      </w:r>
      <w:r>
        <w:t>) will be sent via UPS to all nonresponding LEAs o</w:t>
      </w:r>
      <w:r w:rsidRPr="35107414" w:rsidR="31D14315">
        <w:t>ne month after the sixth reminder</w:t>
      </w:r>
      <w:r>
        <w:t xml:space="preserve">. </w:t>
      </w:r>
      <w:r w:rsidRPr="35107414" w:rsidR="58826A0D">
        <w:t>Changing the mode of delivery is expected to draw the attention of the recipient and help spur participation.</w:t>
      </w:r>
    </w:p>
    <w:p w:rsidR="007D6088" w:rsidRPr="007D6088" w:rsidP="007D6088" w14:paraId="69270393" w14:textId="77777777">
      <w:pPr>
        <w:rPr>
          <w:rFonts w:asciiTheme="minorHAnsi" w:eastAsiaTheme="minorEastAsia" w:hAnsiTheme="minorHAnsi" w:cstheme="minorBidi"/>
        </w:rPr>
      </w:pPr>
    </w:p>
    <w:p w:rsidR="3BDCE1F0" w:rsidP="007D6088" w14:paraId="5ABEC49E" w14:textId="0CC051C9">
      <w:r>
        <w:t>Telephone follow-up with all nonresponding LEAs will begin t</w:t>
      </w:r>
      <w:r w:rsidRPr="35107414" w:rsidR="3AA92385">
        <w:t xml:space="preserve">en days after the seventh reminder is sent </w:t>
      </w:r>
      <w:r w:rsidRPr="35107414">
        <w:t xml:space="preserve">(approximately </w:t>
      </w:r>
      <w:r w:rsidRPr="35107414" w:rsidR="7A9FF404">
        <w:t>4</w:t>
      </w:r>
      <w:r w:rsidRPr="35107414">
        <w:t xml:space="preserve"> months after sending the survey invitation letters)</w:t>
      </w:r>
      <w:r>
        <w:t xml:space="preserve"> (</w:t>
      </w:r>
      <w:r w:rsidRPr="004D3CA4">
        <w:rPr>
          <w:b/>
          <w:bCs/>
        </w:rPr>
        <w:t xml:space="preserve">Attachment </w:t>
      </w:r>
      <w:r w:rsidRPr="004D3CA4" w:rsidR="004D3CA4">
        <w:rPr>
          <w:b/>
          <w:bCs/>
        </w:rPr>
        <w:t>Q</w:t>
      </w:r>
      <w:r>
        <w:t>)</w:t>
      </w:r>
      <w:r w:rsidRPr="35107414">
        <w:t>. These contacts will include efforts to complete the survey during the call and to prompt nonrespondents to complete the survey via the web.</w:t>
      </w:r>
    </w:p>
    <w:p w:rsidR="007D6088" w:rsidP="007D6088" w14:paraId="70E688E0" w14:textId="77777777"/>
    <w:p w:rsidR="3BDCE1F0" w:rsidP="00A2620B" w14:paraId="3D45A626" w14:textId="01948B43">
      <w:r w:rsidRPr="00A069A6">
        <w:t>An eighth reminder email will be sent to nonresponding agencies a</w:t>
      </w:r>
      <w:r w:rsidRPr="00A069A6">
        <w:t>bout 3 weeks after phone follow-up</w:t>
      </w:r>
      <w:r w:rsidRPr="00A069A6">
        <w:t xml:space="preserve"> begins</w:t>
      </w:r>
      <w:r w:rsidRPr="00A069A6">
        <w:t xml:space="preserve"> (</w:t>
      </w:r>
      <w:r w:rsidRPr="00A069A6">
        <w:rPr>
          <w:b/>
          <w:bCs/>
        </w:rPr>
        <w:t xml:space="preserve">Attachment </w:t>
      </w:r>
      <w:r w:rsidR="00060C86">
        <w:rPr>
          <w:b/>
          <w:bCs/>
        </w:rPr>
        <w:t>R</w:t>
      </w:r>
      <w:r w:rsidRPr="00A069A6" w:rsidR="00060C86">
        <w:t>).</w:t>
      </w:r>
    </w:p>
    <w:p w:rsidR="00A2620B" w:rsidRPr="00A2620B" w:rsidP="00A2620B" w14:paraId="172D5539" w14:textId="77777777">
      <w:pPr>
        <w:rPr>
          <w:rFonts w:asciiTheme="minorHAnsi" w:eastAsiaTheme="minorEastAsia" w:hAnsiTheme="minorHAnsi" w:cstheme="minorBidi"/>
        </w:rPr>
      </w:pPr>
    </w:p>
    <w:p w:rsidR="00A069A6" w:rsidRPr="00A069A6" w:rsidP="00A2620B" w14:paraId="21E916E4" w14:textId="7B39B3CA">
      <w:r>
        <w:t>About three</w:t>
      </w:r>
      <w:r w:rsidRPr="35107414" w:rsidR="668E9F84">
        <w:t xml:space="preserve"> weeks after the eighth reminder email is sent, we will mail </w:t>
      </w:r>
      <w:r w:rsidRPr="00A2620B" w:rsidR="668E9F84">
        <w:t xml:space="preserve">the ninth </w:t>
      </w:r>
      <w:r>
        <w:t>reminder letter (</w:t>
      </w:r>
      <w:r>
        <w:rPr>
          <w:b/>
          <w:bCs/>
        </w:rPr>
        <w:t xml:space="preserve">Attachment </w:t>
      </w:r>
      <w:r w:rsidR="00060C86">
        <w:rPr>
          <w:b/>
          <w:bCs/>
        </w:rPr>
        <w:t>S</w:t>
      </w:r>
      <w:r>
        <w:t>). About four weeks later, we will mail the tenth reminder letter (</w:t>
      </w:r>
      <w:r>
        <w:rPr>
          <w:b/>
          <w:bCs/>
        </w:rPr>
        <w:t xml:space="preserve">Attachment </w:t>
      </w:r>
      <w:r w:rsidR="0070651F">
        <w:rPr>
          <w:b/>
          <w:bCs/>
        </w:rPr>
        <w:t>T</w:t>
      </w:r>
      <w:r>
        <w:t>).</w:t>
      </w:r>
    </w:p>
    <w:p w:rsidR="00A2620B" w:rsidRPr="00A2620B" w:rsidP="00A2620B" w14:paraId="0114F42B" w14:textId="77777777">
      <w:pPr>
        <w:rPr>
          <w:rFonts w:asciiTheme="minorHAnsi" w:eastAsiaTheme="minorEastAsia" w:hAnsiTheme="minorHAnsi" w:cstheme="minorBidi"/>
        </w:rPr>
      </w:pPr>
    </w:p>
    <w:p w:rsidR="00C46EDE" w:rsidRPr="00A2620B" w:rsidP="00A2620B" w14:paraId="1907272F" w14:textId="2529DF2B">
      <w:r>
        <w:t>T</w:t>
      </w:r>
      <w:r w:rsidRPr="009661F3" w:rsidR="3BDCE1F0">
        <w:t>he</w:t>
      </w:r>
      <w:r w:rsidRPr="009661F3">
        <w:t xml:space="preserve"> next correspondence </w:t>
      </w:r>
      <w:r w:rsidRPr="009661F3" w:rsidR="3BDCE1F0">
        <w:t xml:space="preserve">will be an </w:t>
      </w:r>
      <w:r w:rsidRPr="00A2620B" w:rsidR="3BDCE1F0">
        <w:t>end-of-study letter</w:t>
      </w:r>
      <w:r w:rsidRPr="00A2620B" w:rsidR="3BDCE1F0">
        <w:rPr>
          <w:b/>
          <w:bCs/>
        </w:rPr>
        <w:t xml:space="preserve"> </w:t>
      </w:r>
      <w:r w:rsidRPr="009661F3" w:rsidR="3BDCE1F0">
        <w:t>(</w:t>
      </w:r>
      <w:r w:rsidRPr="00A2620B" w:rsidR="3BDCE1F0">
        <w:rPr>
          <w:b/>
          <w:bCs/>
        </w:rPr>
        <w:t xml:space="preserve">Attachment </w:t>
      </w:r>
      <w:r w:rsidR="000F5FB6">
        <w:rPr>
          <w:b/>
          <w:bCs/>
        </w:rPr>
        <w:t>U</w:t>
      </w:r>
      <w:r w:rsidRPr="009661F3" w:rsidR="000F5FB6">
        <w:t xml:space="preserve">) </w:t>
      </w:r>
      <w:r w:rsidRPr="009661F3" w:rsidR="3BDCE1F0">
        <w:t xml:space="preserve">to nonrespondents to announce the forthcoming closure of the study and make a final appeal to participate. This </w:t>
      </w:r>
      <w:r w:rsidRPr="009661F3" w:rsidR="376D1CB8">
        <w:t xml:space="preserve">communication </w:t>
      </w:r>
      <w:r w:rsidRPr="009661F3" w:rsidR="3BDCE1F0">
        <w:t xml:space="preserve">will be sent approximately </w:t>
      </w:r>
      <w:r w:rsidRPr="009661F3" w:rsidR="09F26289">
        <w:t xml:space="preserve">4 </w:t>
      </w:r>
      <w:r w:rsidRPr="009661F3" w:rsidR="3BDCE1F0">
        <w:t>weeks before the survey is closed.</w:t>
      </w:r>
      <w:r>
        <w:t xml:space="preserve"> </w:t>
      </w:r>
      <w:r w:rsidRPr="009661F3">
        <w:t xml:space="preserve">The final correspondence </w:t>
      </w:r>
      <w:r w:rsidRPr="00A069A6">
        <w:t>will be an end-of-study email</w:t>
      </w:r>
      <w:r w:rsidRPr="00A2620B">
        <w:rPr>
          <w:b/>
          <w:bCs/>
        </w:rPr>
        <w:t xml:space="preserve"> </w:t>
      </w:r>
      <w:r w:rsidRPr="009661F3">
        <w:t>(</w:t>
      </w:r>
      <w:r w:rsidRPr="00A2620B">
        <w:rPr>
          <w:b/>
          <w:bCs/>
        </w:rPr>
        <w:t xml:space="preserve">Attachment </w:t>
      </w:r>
      <w:r w:rsidR="000F5FB6">
        <w:rPr>
          <w:b/>
          <w:bCs/>
        </w:rPr>
        <w:t>V</w:t>
      </w:r>
      <w:r w:rsidRPr="009661F3" w:rsidR="000F5FB6">
        <w:t xml:space="preserve">) </w:t>
      </w:r>
      <w:r w:rsidRPr="009661F3">
        <w:t>to ensure as many nonrespondents as possible are aware of the upcoming survey close. This</w:t>
      </w:r>
      <w:r w:rsidRPr="35107414">
        <w:t xml:space="preserve"> communication will be sent approximately </w:t>
      </w:r>
      <w:r>
        <w:t>3</w:t>
      </w:r>
      <w:r w:rsidRPr="35107414">
        <w:t xml:space="preserve"> weeks before the survey is closed.</w:t>
      </w:r>
    </w:p>
    <w:p w:rsidR="3BDCE1F0" w14:paraId="291E675E" w14:textId="684C94B7">
      <w:r w:rsidRPr="50392E28">
        <w:t xml:space="preserve"> </w:t>
      </w:r>
    </w:p>
    <w:p w:rsidR="00A2620B" w:rsidP="00A2620B" w14:paraId="17940D50" w14:textId="00D97F3D">
      <w:pPr>
        <w:pStyle w:val="ListParagraph"/>
        <w:ind w:left="0"/>
      </w:pPr>
      <w:r w:rsidRPr="35107414">
        <w:t xml:space="preserve">Throughout the data collection period, respondents will receive </w:t>
      </w:r>
      <w:r>
        <w:t xml:space="preserve">a thank you email or letter depending on the mode of completion </w:t>
      </w:r>
      <w:r w:rsidRPr="0066316E">
        <w:rPr>
          <w:b/>
          <w:bCs/>
        </w:rPr>
        <w:t xml:space="preserve">(Attachment </w:t>
      </w:r>
      <w:r w:rsidR="000F5FB6">
        <w:rPr>
          <w:b/>
          <w:bCs/>
        </w:rPr>
        <w:t>W</w:t>
      </w:r>
      <w:r w:rsidRPr="0066316E">
        <w:rPr>
          <w:b/>
          <w:bCs/>
        </w:rPr>
        <w:t>)</w:t>
      </w:r>
      <w:r>
        <w:t>. The thank you will acknowledge receipt of the survey and state that the agency may be contacted for clarification once their survey responses are processed.</w:t>
      </w:r>
    </w:p>
    <w:p w:rsidR="00C20214" w14:paraId="67DA5AA1" w14:textId="06A0A625">
      <w:r w:rsidRPr="50392E28">
        <w:t xml:space="preserve"> </w:t>
      </w:r>
    </w:p>
    <w:p w:rsidR="00C20214" w:rsidP="00C20214" w14:paraId="7B04569A" w14:textId="5F20ED48">
      <w:r w:rsidRPr="3F1902C0">
        <w:t>The 202</w:t>
      </w:r>
      <w:r>
        <w:t>6</w:t>
      </w:r>
      <w:r w:rsidRPr="3F1902C0">
        <w:t xml:space="preserve"> CSLLEA will employ a multi-mode approach that relies primarily on web-based data collection; nonresponse follow-up efforts will allow for both hardcopy and phone survey response. When the 20</w:t>
      </w:r>
      <w:r>
        <w:t>22</w:t>
      </w:r>
      <w:r w:rsidRPr="3F1902C0">
        <w:t xml:space="preserve"> CSLLEA ended data collection, there was an overall response rate of </w:t>
      </w:r>
      <w:r>
        <w:t>86 percent</w:t>
      </w:r>
      <w:r w:rsidRPr="3F1902C0">
        <w:t xml:space="preserve"> (about 1</w:t>
      </w:r>
      <w:r>
        <w:t>5</w:t>
      </w:r>
      <w:r w:rsidRPr="3F1902C0">
        <w:t>,</w:t>
      </w:r>
      <w:r>
        <w:t>1</w:t>
      </w:r>
      <w:r w:rsidRPr="3F1902C0">
        <w:t xml:space="preserve">00 agencies). Of these, </w:t>
      </w:r>
      <w:r w:rsidRPr="003A45B3" w:rsidR="003A45B3">
        <w:t>more than</w:t>
      </w:r>
      <w:r w:rsidRPr="003A45B3">
        <w:t xml:space="preserve"> </w:t>
      </w:r>
      <w:r w:rsidRPr="003A45B3" w:rsidR="003A45B3">
        <w:t>11</w:t>
      </w:r>
      <w:r w:rsidRPr="003A45B3">
        <w:t>,</w:t>
      </w:r>
      <w:r w:rsidRPr="003A45B3" w:rsidR="003A45B3">
        <w:t>500</w:t>
      </w:r>
      <w:r w:rsidRPr="003A45B3">
        <w:t xml:space="preserve"> agencies (</w:t>
      </w:r>
      <w:r w:rsidRPr="003A45B3" w:rsidR="003A45B3">
        <w:t>76</w:t>
      </w:r>
      <w:r w:rsidRPr="003A45B3">
        <w:t>%) responded</w:t>
      </w:r>
      <w:r w:rsidRPr="3F1902C0">
        <w:t xml:space="preserve"> via web. Due to increased web-based capabilities of </w:t>
      </w:r>
      <w:r>
        <w:t>LEAs</w:t>
      </w:r>
      <w:r w:rsidRPr="3F1902C0">
        <w:t xml:space="preserve"> and the project’s strong encouragement to respond using the web-based data collection tool, BJS expects that most of the agencies responding to the 202</w:t>
      </w:r>
      <w:r>
        <w:t>6</w:t>
      </w:r>
      <w:r w:rsidRPr="3F1902C0">
        <w:t xml:space="preserve"> CSLLEA will use the web-based option. </w:t>
      </w:r>
    </w:p>
    <w:p w:rsidR="00C20214" w14:paraId="5D0A9BB5" w14:textId="77777777"/>
    <w:p w:rsidR="00C20214" w:rsidRPr="00C20214" w14:paraId="44A11DD9" w14:textId="7D81A016">
      <w:pPr>
        <w:rPr>
          <w:i/>
          <w:iCs/>
        </w:rPr>
      </w:pPr>
      <w:r w:rsidRPr="00C20214">
        <w:rPr>
          <w:i/>
          <w:iCs/>
        </w:rPr>
        <w:t>Data Processing</w:t>
      </w:r>
    </w:p>
    <w:p w:rsidR="0089709F" w14:paraId="439077D9" w14:textId="77777777"/>
    <w:p w:rsidR="00C20214" w:rsidP="00C20214" w14:paraId="3C0A17D7" w14:textId="77777777">
      <w:r w:rsidRPr="50392E28">
        <w:t>Upon receipt of a survey (web or hardcopy), data will be reviewed and edited, and if needed, the respondent will be contacted to clarify answers or provide missing information</w:t>
      </w:r>
      <w:r>
        <w:t>.</w:t>
      </w:r>
      <w:r w:rsidRPr="50392E28">
        <w:t xml:space="preserve"> </w:t>
      </w:r>
      <w:r>
        <w:t xml:space="preserve">Respondents who submit via web will be prompted with real-time validation checks when submitting missing or inconsistent data. Any unresolved items that remain after the respondent submits will result in recontact by RTI staff to the respondent to attempt to resolve these issues. </w:t>
      </w:r>
    </w:p>
    <w:p w:rsidR="00C20214" w:rsidP="00C20214" w14:paraId="6A417449" w14:textId="77777777"/>
    <w:p w:rsidR="00C20214" w:rsidP="00C20214" w14:paraId="6C1704E9" w14:textId="77777777">
      <w:r w:rsidRPr="50392E28">
        <w:t xml:space="preserve">The hardcopy survey will be developed </w:t>
      </w:r>
      <w:r>
        <w:t xml:space="preserve">and keyed </w:t>
      </w:r>
      <w:r w:rsidRPr="50392E28">
        <w:t xml:space="preserve">using </w:t>
      </w:r>
      <w:r w:rsidRPr="50392E28">
        <w:t>TeleForm</w:t>
      </w:r>
      <w:r w:rsidRPr="50392E28">
        <w:t xml:space="preserve">, which will allow the surveys to be scanned and the data read directly into the same database containing the web survey data. This will ensure that the same </w:t>
      </w:r>
      <w:r>
        <w:t xml:space="preserve">post-collection </w:t>
      </w:r>
      <w:r w:rsidRPr="50392E28">
        <w:t>data quality review procedures</w:t>
      </w:r>
      <w:r>
        <w:t>, which mirror and expand upon the web validation checks,</w:t>
      </w:r>
      <w:r w:rsidRPr="50392E28">
        <w:t xml:space="preserve"> are applied to all survey data, regardless of response mode. The following is a summary of the data quality assurance steps that RTI will </w:t>
      </w:r>
      <w:r>
        <w:t>take</w:t>
      </w:r>
      <w:r w:rsidRPr="50392E28">
        <w:t xml:space="preserve"> during the data collection and processing period:</w:t>
      </w:r>
    </w:p>
    <w:p w:rsidR="3BDCE1F0" w14:paraId="536EB5EE" w14:textId="4A244A2B">
      <w:r w:rsidRPr="50392E28">
        <w:t xml:space="preserve"> </w:t>
      </w:r>
    </w:p>
    <w:p w:rsidR="0089709F" w:rsidP="0089709F" w14:paraId="52D48563" w14:textId="023D1CA4">
      <w:r w:rsidRPr="00A2620B">
        <w:rPr>
          <w:i/>
          <w:iCs/>
        </w:rPr>
        <w:t>Data Entry.</w:t>
      </w:r>
      <w:r w:rsidRPr="35107414">
        <w:t xml:space="preserve"> Respondents completing the survey via the web instrument will enter their responses directly into the online instrument. For those respondents returning the survey via hardcopy (mail or fax), data will be scanned once received and determined complete. To confirm that editing rules are being followed, RTI will review frequencies for the entered data after the first 10 percent of cases are received. Any issues will be investigated and resolved. Throughout the remainder of the data collection period, RTI staff will conduct regular data frequency reviews to evaluate the quality and completeness of data captured in both the web and hardcopy modes.</w:t>
      </w:r>
      <w:r w:rsidRPr="0089709F">
        <w:t xml:space="preserve"> </w:t>
      </w:r>
      <w:r w:rsidRPr="35107414">
        <w:t>Once the data have been entered into the database, it will be made available to BJS via an SFTP site.</w:t>
      </w:r>
    </w:p>
    <w:p w:rsidR="0089709F" w:rsidP="0089709F" w14:paraId="53ED8A49" w14:textId="77777777"/>
    <w:p w:rsidR="3BDCE1F0" w14:paraId="6B918CB1" w14:textId="39F26FB0">
      <w:r w:rsidRPr="00CA0982">
        <w:rPr>
          <w:i/>
          <w:iCs/>
        </w:rPr>
        <w:t>Data Editing.</w:t>
      </w:r>
      <w:r w:rsidRPr="50392E28">
        <w:t xml:space="preserve"> RTI will attempt to reconcile missing or erroneous data through automated and manual edits of each questionnaire. In collaboration with BJS, RTI will develop a list of edits that can be completed by referring to other data provided by the respondent on the survey instrument. For example, if a screening question was left blank, but the follow-up questions were completed, a manual edit could be made to indicate the intended positive response to the screening question. Through this process, RTI can quickly identify which hardcopy cases require follow-up and indicate the items that need clarification or retrieval from the respondent.</w:t>
      </w:r>
    </w:p>
    <w:p w:rsidR="3BDCE1F0" w14:paraId="3E98D49A" w14:textId="7A3D6E76">
      <w:r w:rsidRPr="50392E28">
        <w:t xml:space="preserve"> </w:t>
      </w:r>
    </w:p>
    <w:p w:rsidR="3BDCE1F0" w14:paraId="6050AC04" w14:textId="5154137C">
      <w:r w:rsidRPr="00CA0982">
        <w:rPr>
          <w:i/>
          <w:iCs/>
        </w:rPr>
        <w:t>Data Retrieval.</w:t>
      </w:r>
      <w:r w:rsidRPr="35107414">
        <w:t xml:space="preserve"> When it is determined that data retrieval is needed, an Agency Liaison (AL) will contact the respondent for clarification. Throughout the data retrieval process, RTI will document the questions needing retrieval (</w:t>
      </w:r>
      <w:r w:rsidRPr="35107414" w:rsidR="6E11BF6D">
        <w:t>e.g.,</w:t>
      </w:r>
      <w:r w:rsidRPr="35107414">
        <w:t xml:space="preserve"> missing or inconsistent data elements), request clarification on the provided information, obtain values for missing data elements, and examine any other issues related to the respondent’s submission. </w:t>
      </w:r>
    </w:p>
    <w:p w:rsidR="3BDCE1F0" w14:paraId="004C5DCA" w14:textId="098BDA60">
      <w:r w:rsidRPr="50392E28">
        <w:t xml:space="preserve"> </w:t>
      </w:r>
    </w:p>
    <w:p w:rsidR="50392E28" w:rsidP="50392E28" w14:paraId="55AFDA64" w14:textId="4CBC6297">
      <w:pPr>
        <w:pStyle w:val="ListParagraph"/>
        <w:ind w:left="0"/>
      </w:pPr>
    </w:p>
    <w:p w:rsidR="00421095" w:rsidRPr="00596C3F" w:rsidP="7F342760" w14:paraId="7DC66A0D" w14:textId="347F72F7">
      <w:pPr>
        <w:pStyle w:val="ListParagraph"/>
        <w:keepNext/>
        <w:keepLines/>
        <w:numPr>
          <w:ilvl w:val="0"/>
          <w:numId w:val="7"/>
        </w:numPr>
        <w:rPr>
          <w:b/>
          <w:bCs/>
          <w:u w:val="single"/>
        </w:rPr>
      </w:pPr>
      <w:r w:rsidRPr="7C110E9B">
        <w:rPr>
          <w:b/>
          <w:bCs/>
          <w:u w:val="single"/>
        </w:rPr>
        <w:t>Methods to Maximize Response Rates</w:t>
      </w:r>
      <w:r w:rsidRPr="7C110E9B" w:rsidR="00223623">
        <w:rPr>
          <w:b/>
          <w:bCs/>
        </w:rPr>
        <w:t xml:space="preserve"> </w:t>
      </w:r>
    </w:p>
    <w:p w:rsidR="00421095" w:rsidRPr="00596C3F" w:rsidP="0024443E" w14:paraId="3FDF6A49" w14:textId="77777777">
      <w:pPr>
        <w:keepNext/>
        <w:keepLines/>
        <w:rPr>
          <w:highlight w:val="yellow"/>
        </w:rPr>
      </w:pPr>
    </w:p>
    <w:p w:rsidR="00421095" w:rsidRPr="00596C3F" w:rsidP="35107414" w14:paraId="4C21FBC8" w14:textId="39414CE1">
      <w:r w:rsidRPr="741403E9">
        <w:t>The CSLLEA has historically achieved high rates of survey response</w:t>
      </w:r>
      <w:r w:rsidR="70C6F23D">
        <w:t xml:space="preserve">, ranging from </w:t>
      </w:r>
      <w:r w:rsidR="338EEBAD">
        <w:t>99</w:t>
      </w:r>
      <w:r w:rsidR="5E188E12">
        <w:t xml:space="preserve">% </w:t>
      </w:r>
      <w:r w:rsidR="338EEBAD">
        <w:t xml:space="preserve">in 2008 and earlier </w:t>
      </w:r>
      <w:r w:rsidRPr="005E5206" w:rsidR="338EEBAD">
        <w:t xml:space="preserve">iterations to </w:t>
      </w:r>
      <w:r w:rsidR="5E188E12">
        <w:t xml:space="preserve">92% in 2018 and </w:t>
      </w:r>
      <w:r w:rsidRPr="005E5206" w:rsidR="00EB51D9">
        <w:t>8</w:t>
      </w:r>
      <w:r w:rsidR="00EB51D9">
        <w:t>6</w:t>
      </w:r>
      <w:r w:rsidR="5E188E12">
        <w:t>%</w:t>
      </w:r>
      <w:r w:rsidRPr="005E5206" w:rsidR="6D7B3781">
        <w:t xml:space="preserve"> percent</w:t>
      </w:r>
      <w:r w:rsidRPr="005E5206" w:rsidR="338EEBAD">
        <w:t xml:space="preserve"> in 20</w:t>
      </w:r>
      <w:r w:rsidRPr="005E5206" w:rsidR="2934B344">
        <w:t>22</w:t>
      </w:r>
      <w:r w:rsidRPr="005E5206" w:rsidR="338EEBAD">
        <w:t>.</w:t>
      </w:r>
      <w:r w:rsidR="338EEBAD">
        <w:t xml:space="preserve"> </w:t>
      </w:r>
      <w:r w:rsidR="451E0C3C">
        <w:t xml:space="preserve">However, recent years have seen decreasing response rates. This </w:t>
      </w:r>
      <w:r w:rsidR="338EEBAD">
        <w:t>might be due in part to a general decrease in establishment survey participation</w:t>
      </w:r>
      <w:r w:rsidR="009B53C8">
        <w:t>.</w:t>
      </w:r>
      <w:r>
        <w:rPr>
          <w:rStyle w:val="FootnoteReference"/>
        </w:rPr>
        <w:footnoteReference w:id="6"/>
      </w:r>
      <w:r w:rsidRPr="007925A3" w:rsidR="00505AFE">
        <w:rPr>
          <w:vertAlign w:val="superscript"/>
        </w:rPr>
        <w:t>,</w:t>
      </w:r>
      <w:r>
        <w:rPr>
          <w:rStyle w:val="FootnoteReference"/>
        </w:rPr>
        <w:footnoteReference w:id="7"/>
      </w:r>
      <w:r w:rsidR="009B53C8">
        <w:t xml:space="preserve"> </w:t>
      </w:r>
      <w:r w:rsidR="1DAED141">
        <w:t xml:space="preserve">For example, even though the </w:t>
      </w:r>
      <w:r w:rsidR="5E188E12">
        <w:t xml:space="preserve">2018 and </w:t>
      </w:r>
      <w:r w:rsidR="1DAED141">
        <w:t>2022 survey burden (</w:t>
      </w:r>
      <w:r w:rsidR="5E188E12">
        <w:t xml:space="preserve">30 and </w:t>
      </w:r>
      <w:r w:rsidR="1DAED141">
        <w:t>32 minutes</w:t>
      </w:r>
      <w:r w:rsidR="5E188E12">
        <w:t>, respectively</w:t>
      </w:r>
      <w:r w:rsidR="1DAED141">
        <w:t xml:space="preserve">) </w:t>
      </w:r>
      <w:r w:rsidR="0EE0C820">
        <w:t>was</w:t>
      </w:r>
      <w:r w:rsidR="1DAED141">
        <w:t xml:space="preserve"> </w:t>
      </w:r>
      <w:r w:rsidR="1DAED141">
        <w:t>similar to</w:t>
      </w:r>
      <w:r w:rsidR="1DAED141">
        <w:t xml:space="preserve"> the burden in 2008 and before, the response rate </w:t>
      </w:r>
      <w:r w:rsidR="70039C1A">
        <w:t>has been lower</w:t>
      </w:r>
      <w:r w:rsidR="1DAED141">
        <w:t xml:space="preserve">. </w:t>
      </w:r>
      <w:r w:rsidRPr="741403E9">
        <w:t>BJS and RTI will undertake various procedures to maximize the likelihood that the 20</w:t>
      </w:r>
      <w:r w:rsidRPr="741403E9" w:rsidR="495DC7A9">
        <w:t>2</w:t>
      </w:r>
      <w:r w:rsidR="3BAFEFAD">
        <w:t>6</w:t>
      </w:r>
      <w:r w:rsidRPr="741403E9">
        <w:t xml:space="preserve"> CSLLEA reaches a level of participation</w:t>
      </w:r>
      <w:r w:rsidR="6424AFB8">
        <w:t xml:space="preserve"> that is at least comparable to the more recent iterations of the collection</w:t>
      </w:r>
      <w:r w:rsidRPr="741403E9">
        <w:t>.</w:t>
      </w:r>
      <w:r w:rsidR="5E188E12">
        <w:t xml:space="preserve"> For example, RTI will work with BJS to </w:t>
      </w:r>
      <w:r w:rsidRPr="003471F7" w:rsidR="5E188E12">
        <w:t xml:space="preserve">adapt survey outreach protocols based </w:t>
      </w:r>
      <w:r w:rsidRPr="003471F7" w:rsidR="5E188E12">
        <w:t>on</w:t>
      </w:r>
      <w:r w:rsidR="5E188E12">
        <w:t xml:space="preserve"> </w:t>
      </w:r>
      <w:r w:rsidRPr="003471F7" w:rsidR="5E188E12">
        <w:t>response patterns and tailor messag</w:t>
      </w:r>
      <w:r w:rsidR="5E188E12">
        <w:t>es by</w:t>
      </w:r>
      <w:r w:rsidRPr="003471F7" w:rsidR="5E188E12">
        <w:t xml:space="preserve"> agency type</w:t>
      </w:r>
      <w:r w:rsidR="5E188E12">
        <w:t xml:space="preserve"> similar to what was done for the 2024 LEMAS, 2022 CSLLEA, and LEMAS PATOW.</w:t>
      </w:r>
      <w:r w:rsidRPr="741403E9">
        <w:t xml:space="preserve"> </w:t>
      </w:r>
    </w:p>
    <w:p w:rsidR="00421095" w:rsidRPr="00596C3F" w:rsidP="00421095" w14:paraId="1423324F" w14:textId="40EC6C13">
      <w:r w:rsidRPr="35107414">
        <w:t xml:space="preserve"> </w:t>
      </w:r>
    </w:p>
    <w:p w:rsidR="0073242B" w:rsidP="00421095" w14:paraId="4879347D" w14:textId="77777777">
      <w:r w:rsidRPr="35107414">
        <w:t>BJS will use a web-based instrument supported by several online help functions to maximize response rates. For convenience, respondents will receive the survey link in an email invitation and a mailed hardcopy invitation. A Help Desk will be available to provide both substantive and technical assistance. BJS will supply the Help Desk with answers to frequently asked questions and guidance on additional questions that may arise</w:t>
      </w:r>
      <w:r w:rsidR="00EA2A20">
        <w:t xml:space="preserve"> (</w:t>
      </w:r>
      <w:r w:rsidRPr="003A45B3" w:rsidR="00EA2A20">
        <w:rPr>
          <w:b/>
          <w:bCs/>
        </w:rPr>
        <w:t>Attachment X</w:t>
      </w:r>
      <w:r w:rsidR="00EA2A20">
        <w:t>)</w:t>
      </w:r>
      <w:r w:rsidRPr="35107414">
        <w:t xml:space="preserve">. In addition, the web survey interface is user-friendly, which encourages response and ensures </w:t>
      </w:r>
      <w:r>
        <w:t>more</w:t>
      </w:r>
      <w:r w:rsidRPr="35107414" w:rsidR="0068590E">
        <w:t xml:space="preserve"> </w:t>
      </w:r>
      <w:r w:rsidRPr="35107414" w:rsidR="00105E90">
        <w:t>accura</w:t>
      </w:r>
      <w:r>
        <w:t>te responses</w:t>
      </w:r>
      <w:r w:rsidRPr="35107414">
        <w:t xml:space="preserve">. Because online submission is such an important response method, close attention will be paid to the formatting of the web survey instrument. The online application will be flexible so it can adapt to meet the needs of multiple device types (e.g., desktop computer and tablet), browser types (e.g., </w:t>
      </w:r>
      <w:r w:rsidR="001E73C9">
        <w:t>Edge, Safari,</w:t>
      </w:r>
      <w:r w:rsidRPr="35107414">
        <w:t xml:space="preserve"> and Google Chrome), and screen sizes. </w:t>
      </w:r>
    </w:p>
    <w:p w:rsidR="0073242B" w:rsidP="00421095" w14:paraId="52BD0F1F" w14:textId="77777777"/>
    <w:p w:rsidR="0073242B" w:rsidRPr="00596C3F" w:rsidP="0073242B" w14:paraId="5F9A4C54" w14:textId="725CE13C">
      <w:r w:rsidRPr="35107414">
        <w:t>Other features in the instrument will include the following</w:t>
      </w:r>
      <w:r>
        <w:t>,</w:t>
      </w:r>
      <w:r w:rsidRPr="0073242B">
        <w:t xml:space="preserve"> </w:t>
      </w:r>
      <w:r>
        <w:t>each intended to enhance respondent experience and reduce burden, resulting in continued respondent cooperation</w:t>
      </w:r>
      <w:r w:rsidRPr="35107414">
        <w:t>:</w:t>
      </w:r>
    </w:p>
    <w:p w:rsidR="00421095" w:rsidRPr="00596C3F" w:rsidP="00421095" w14:paraId="796FB268" w14:textId="3D6F14AC">
      <w:r w:rsidRPr="35107414">
        <w:t xml:space="preserve"> </w:t>
      </w:r>
    </w:p>
    <w:p w:rsidR="00421095" w:rsidRPr="00596C3F" w:rsidP="0073242B" w14:paraId="4A474825" w14:textId="1C30B985">
      <w:pPr>
        <w:pStyle w:val="ListParagraph"/>
        <w:numPr>
          <w:ilvl w:val="0"/>
          <w:numId w:val="29"/>
        </w:numPr>
        <w:rPr>
          <w:rFonts w:asciiTheme="minorHAnsi" w:eastAsiaTheme="minorEastAsia" w:hAnsiTheme="minorHAnsi" w:cstheme="minorBidi"/>
        </w:rPr>
      </w:pPr>
      <w:r w:rsidRPr="35107414">
        <w:t>Respondents’ answers will be saved automatically, and they will have the option to leave the survey partway through and return later to finish.</w:t>
      </w:r>
    </w:p>
    <w:p w:rsidR="00421095" w:rsidRPr="00596C3F" w:rsidP="0073242B" w14:paraId="4F41EA53" w14:textId="5030006E">
      <w:pPr>
        <w:pStyle w:val="ListParagraph"/>
        <w:numPr>
          <w:ilvl w:val="0"/>
          <w:numId w:val="29"/>
        </w:numPr>
        <w:rPr>
          <w:rFonts w:asciiTheme="minorHAnsi" w:eastAsiaTheme="minorEastAsia" w:hAnsiTheme="minorHAnsi" w:cstheme="minorBidi"/>
        </w:rPr>
      </w:pPr>
      <w:r w:rsidRPr="35107414">
        <w:t xml:space="preserve">The online instrument will be programmed with data consistency checks and automatic prompts to ensure inter-item consistency and reduce the likelihood of “don’t know” and out-of-range responses, thereby reducing the need for follow-up with the respondent after survey submission. </w:t>
      </w:r>
    </w:p>
    <w:p w:rsidR="00421095" w:rsidRPr="00596C3F" w:rsidP="0073242B" w14:paraId="3B14886B" w14:textId="026E3AB1">
      <w:pPr>
        <w:pStyle w:val="ListParagraph"/>
        <w:numPr>
          <w:ilvl w:val="0"/>
          <w:numId w:val="29"/>
        </w:numPr>
      </w:pPr>
      <w:r w:rsidRPr="35107414">
        <w:t>The online consistenc</w:t>
      </w:r>
      <w:r w:rsidRPr="35107414" w:rsidR="08A4AA58">
        <w:t>y</w:t>
      </w:r>
      <w:r w:rsidRPr="35107414">
        <w:t xml:space="preserve"> checks will be tailored </w:t>
      </w:r>
      <w:r w:rsidR="008C5377">
        <w:t xml:space="preserve">based on previously reported data or on </w:t>
      </w:r>
      <w:r w:rsidRPr="35107414">
        <w:t>the type and size of agency so that the</w:t>
      </w:r>
      <w:r w:rsidRPr="35107414" w:rsidR="73F3D785">
        <w:t xml:space="preserve">y are triggered only when appropriate. </w:t>
      </w:r>
      <w:r w:rsidR="0073242B">
        <w:t xml:space="preserve">These checks will provide the respondent with helpful information in resolving any validation errors and reducing the likelihood of breakoff. </w:t>
      </w:r>
      <w:r w:rsidRPr="35107414" w:rsidR="73F3D785">
        <w:t xml:space="preserve">For example, an agency </w:t>
      </w:r>
      <w:r w:rsidR="008C5377">
        <w:t>that reported 500 full-time sworn officers in the 20</w:t>
      </w:r>
      <w:r w:rsidR="0024577B">
        <w:t>22</w:t>
      </w:r>
      <w:r w:rsidR="008C5377">
        <w:t xml:space="preserve"> CS</w:t>
      </w:r>
      <w:r w:rsidR="00105E90">
        <w:t>L</w:t>
      </w:r>
      <w:r w:rsidR="008C5377">
        <w:t xml:space="preserve">LEA will not be prompted if the </w:t>
      </w:r>
      <w:r w:rsidR="00105E90">
        <w:t>2026</w:t>
      </w:r>
      <w:r w:rsidR="008C5377">
        <w:t xml:space="preserve"> response is 525 but will be prompted if the response is 52. Checks for agencies that are new to the CSLLEA or did not respond to an item in the 20</w:t>
      </w:r>
      <w:r w:rsidR="0024577B">
        <w:t>22</w:t>
      </w:r>
      <w:r w:rsidR="008C5377">
        <w:t xml:space="preserve"> CSLLEA will be based on the mean reported value of the item by</w:t>
      </w:r>
      <w:r w:rsidR="0024577B">
        <w:t xml:space="preserve"> size and</w:t>
      </w:r>
      <w:r w:rsidR="008C5377">
        <w:t xml:space="preserve"> type of agency</w:t>
      </w:r>
      <w:r w:rsidRPr="35107414" w:rsidR="6F0C5739">
        <w:t xml:space="preserve">. </w:t>
      </w:r>
    </w:p>
    <w:p w:rsidR="00421095" w:rsidRPr="00596C3F" w:rsidP="0073242B" w14:paraId="3029BDA9" w14:textId="259ED7C4">
      <w:pPr>
        <w:pStyle w:val="ListParagraph"/>
        <w:numPr>
          <w:ilvl w:val="0"/>
          <w:numId w:val="29"/>
        </w:numPr>
        <w:rPr>
          <w:rFonts w:asciiTheme="minorHAnsi" w:eastAsiaTheme="minorEastAsia" w:hAnsiTheme="minorHAnsi" w:cstheme="minorBidi"/>
        </w:rPr>
      </w:pPr>
      <w:r w:rsidRPr="741403E9">
        <w:t>LEAs may also download and print a hardcopy survey from the website or request one from the Help Desk.</w:t>
      </w:r>
    </w:p>
    <w:p w:rsidR="00421095" w:rsidRPr="00596C3F" w:rsidP="741403E9" w14:paraId="38A1BDB6" w14:textId="23CA32ED">
      <w:r>
        <w:br/>
      </w:r>
      <w:r w:rsidRPr="741403E9" w:rsidR="54994417">
        <w:t>To obtain higher response rates and to ensure unbiased estimates, multi-stage survey administration and follow-up procedures have been incorporated into BJS’s response plans. Ensuring adequate response (not just agency response rates, but also item responses) begins with introducing agencies to the survey</w:t>
      </w:r>
      <w:r w:rsidR="007F4589">
        <w:t xml:space="preserve"> via the announcement letter </w:t>
      </w:r>
      <w:r w:rsidR="00105E90">
        <w:t>signed</w:t>
      </w:r>
      <w:r w:rsidR="007F4589">
        <w:t xml:space="preserve"> by either IACP or NSA</w:t>
      </w:r>
      <w:r w:rsidR="006E5F98">
        <w:t xml:space="preserve"> (</w:t>
      </w:r>
      <w:r w:rsidRPr="006E5F98" w:rsidR="006E5F98">
        <w:rPr>
          <w:b/>
          <w:bCs/>
        </w:rPr>
        <w:t xml:space="preserve">Attachment </w:t>
      </w:r>
      <w:r w:rsidR="00E52531">
        <w:rPr>
          <w:b/>
          <w:bCs/>
        </w:rPr>
        <w:t>E</w:t>
      </w:r>
      <w:r w:rsidR="006E5F98">
        <w:t>)</w:t>
      </w:r>
      <w:r w:rsidRPr="741403E9" w:rsidR="54994417">
        <w:t xml:space="preserve">. </w:t>
      </w:r>
      <w:r w:rsidR="003929DD">
        <w:t>Agencies will then receive a</w:t>
      </w:r>
      <w:r w:rsidR="00E157BE">
        <w:t xml:space="preserve"> survey </w:t>
      </w:r>
      <w:r w:rsidR="007F4589">
        <w:t xml:space="preserve">invitation </w:t>
      </w:r>
      <w:r w:rsidR="006E5F98">
        <w:t>letter and supporting materials</w:t>
      </w:r>
      <w:r w:rsidR="007F4589">
        <w:t xml:space="preserve"> </w:t>
      </w:r>
      <w:r w:rsidRPr="741403E9" w:rsidR="54994417">
        <w:t>(</w:t>
      </w:r>
      <w:r w:rsidRPr="006E5F98" w:rsidR="54994417">
        <w:rPr>
          <w:b/>
          <w:bCs/>
        </w:rPr>
        <w:t xml:space="preserve">Attachments </w:t>
      </w:r>
      <w:r w:rsidR="00E52531">
        <w:rPr>
          <w:b/>
          <w:bCs/>
        </w:rPr>
        <w:t>F</w:t>
      </w:r>
      <w:r w:rsidR="00A323C9">
        <w:rPr>
          <w:b/>
          <w:bCs/>
        </w:rPr>
        <w:t>-H</w:t>
      </w:r>
      <w:r w:rsidRPr="741403E9" w:rsidR="00E52531">
        <w:t>)</w:t>
      </w:r>
      <w:r w:rsidR="00E52531">
        <w:t xml:space="preserve">, </w:t>
      </w:r>
      <w:r w:rsidR="006E5F98">
        <w:t>followed by periodic reminders (</w:t>
      </w:r>
      <w:r w:rsidRPr="006E5F98" w:rsidR="006E5F98">
        <w:rPr>
          <w:b/>
          <w:bCs/>
        </w:rPr>
        <w:t xml:space="preserve">Attachments </w:t>
      </w:r>
      <w:r w:rsidR="00AD6A55">
        <w:rPr>
          <w:b/>
          <w:bCs/>
        </w:rPr>
        <w:t>J-U</w:t>
      </w:r>
      <w:r w:rsidR="006E5F98">
        <w:t>)</w:t>
      </w:r>
      <w:r w:rsidRPr="741403E9" w:rsidR="54994417">
        <w:t>. Resources available to help the respondent complete the survey (</w:t>
      </w:r>
      <w:r w:rsidRPr="741403E9" w:rsidR="20DEFC0D">
        <w:t>e.g.,</w:t>
      </w:r>
      <w:r w:rsidRPr="741403E9" w:rsidR="54994417">
        <w:t xml:space="preserve"> </w:t>
      </w:r>
      <w:r w:rsidR="006E5F98">
        <w:t>tele</w:t>
      </w:r>
      <w:r w:rsidRPr="741403E9" w:rsidR="54994417">
        <w:t xml:space="preserve">phone- or email-based Help Desk support) will be described in </w:t>
      </w:r>
      <w:r w:rsidR="002D5C42">
        <w:t>each</w:t>
      </w:r>
      <w:r w:rsidRPr="741403E9" w:rsidR="002D5C42">
        <w:t xml:space="preserve"> </w:t>
      </w:r>
      <w:r w:rsidRPr="741403E9" w:rsidR="54994417">
        <w:t>communication. We will provide LEAs with online and fax methods to identify respondents and change the</w:t>
      </w:r>
      <w:r w:rsidR="006E5F98">
        <w:t xml:space="preserve"> agency</w:t>
      </w:r>
      <w:r w:rsidRPr="741403E9" w:rsidR="54994417">
        <w:t xml:space="preserve"> POC assignment if needed. The online and hardcopy versions of the instrument will capture the name of the individual who completes the survey to </w:t>
      </w:r>
      <w:r w:rsidRPr="741403E9" w:rsidR="54994417">
        <w:t xml:space="preserve">facilitate follow-up </w:t>
      </w:r>
      <w:r w:rsidR="006E5F98">
        <w:t xml:space="preserve">if needed </w:t>
      </w:r>
      <w:r w:rsidRPr="741403E9" w:rsidR="54994417">
        <w:t xml:space="preserve">later. </w:t>
      </w:r>
      <w:r>
        <w:br/>
      </w:r>
    </w:p>
    <w:p w:rsidR="006E5F98" w:rsidRPr="00D534B2" w:rsidP="006E5F98" w14:paraId="1D28262B" w14:textId="77777777">
      <w:pPr>
        <w:rPr>
          <w:u w:val="single"/>
        </w:rPr>
      </w:pPr>
      <w:r w:rsidRPr="00D534B2">
        <w:rPr>
          <w:u w:val="single"/>
        </w:rPr>
        <w:t>Nonresponse Adjustments</w:t>
      </w:r>
    </w:p>
    <w:p w:rsidR="00537510" w:rsidP="006E5F98" w14:paraId="41CBFE03" w14:textId="18363D3C">
      <w:r w:rsidRPr="00006B87">
        <w:rPr>
          <w:i/>
        </w:rPr>
        <w:t>Unit nonresponse</w:t>
      </w:r>
      <w:r w:rsidRPr="00006B87">
        <w:t>.</w:t>
      </w:r>
      <w:r>
        <w:t xml:space="preserve"> </w:t>
      </w:r>
      <w:r w:rsidR="007F4589">
        <w:t xml:space="preserve">As is typical </w:t>
      </w:r>
      <w:r>
        <w:t>with</w:t>
      </w:r>
      <w:r w:rsidRPr="7AD241BE" w:rsidR="007F4589">
        <w:t xml:space="preserve"> </w:t>
      </w:r>
      <w:r w:rsidRPr="7AD241BE" w:rsidR="54994417">
        <w:t>any survey, some of the selected units (</w:t>
      </w:r>
      <w:r>
        <w:t>in this case</w:t>
      </w:r>
      <w:r w:rsidRPr="7AD241BE" w:rsidR="54994417">
        <w:t xml:space="preserve">, </w:t>
      </w:r>
      <w:r w:rsidR="008C5377">
        <w:t>LEAs</w:t>
      </w:r>
      <w:r w:rsidRPr="7AD241BE" w:rsidR="54994417">
        <w:t>) will not respond to the survey request (i.e., unit nonresponse) and some will not respond to particular questions (i.e., item nonresponse)</w:t>
      </w:r>
      <w:r>
        <w:t>, despite best efforts made to collect all the data</w:t>
      </w:r>
      <w:r w:rsidRPr="7AD241BE" w:rsidR="54994417">
        <w:t>. Weighting will be used to adjust for unit nonresponse in the 20</w:t>
      </w:r>
      <w:r w:rsidRPr="7AD241BE" w:rsidR="1DC7077C">
        <w:t>2</w:t>
      </w:r>
      <w:r w:rsidR="003929DD">
        <w:t>6</w:t>
      </w:r>
      <w:r w:rsidRPr="7AD241BE" w:rsidR="54994417">
        <w:t xml:space="preserve"> CSLLEA. To determine which factors to use in the agency nonresponse weight adjustments, a procedure available in RTI’s SUDAAN software based on the Generalized Exponential Model (GEM) will be used to model the response propensity using information from the </w:t>
      </w:r>
      <w:r w:rsidRPr="7AD241BE" w:rsidR="12462D7D">
        <w:t>LEAR</w:t>
      </w:r>
      <w:r w:rsidRPr="7AD241BE" w:rsidR="54994417">
        <w:t xml:space="preserve"> (e.g., agency characteristics such as geography, operating budget, whether </w:t>
      </w:r>
      <w:r>
        <w:t xml:space="preserve">sworn </w:t>
      </w:r>
      <w:r w:rsidRPr="7AD241BE" w:rsidR="54994417">
        <w:t>officers have arrest powers) within sampling strata</w:t>
      </w:r>
      <w:r>
        <w:t>.</w:t>
      </w:r>
      <w:r>
        <w:rPr>
          <w:rStyle w:val="FootnoteReference"/>
        </w:rPr>
        <w:footnoteReference w:id="8"/>
      </w:r>
      <w:r w:rsidRPr="7AD241BE" w:rsidR="54994417">
        <w:t xml:space="preserve"> </w:t>
      </w:r>
      <w:r>
        <w:t xml:space="preserve">SUDAAN is a statistical software package that analyzes complex survey data. </w:t>
      </w:r>
      <w:r w:rsidRPr="7AD241BE" w:rsidR="54994417">
        <w:t xml:space="preserve">Ideally, only variables highly correlated with the outcomes of interest will be included in the model used to reduce potential bias. Given the expected differential response rates by agency type and size, the weighting adjustment procedures will attempt to minimize the bias in the estimates within these domains. </w:t>
      </w:r>
    </w:p>
    <w:p w:rsidR="00537510" w:rsidP="006E5F98" w14:paraId="2CE3D2CF" w14:textId="77777777"/>
    <w:p w:rsidR="00421095" w:rsidRPr="00596C3F" w:rsidP="006E5F98" w14:paraId="41213F44" w14:textId="65C031FC">
      <w:r w:rsidRPr="003F559F">
        <w:rPr>
          <w:i/>
          <w:iCs/>
        </w:rPr>
        <w:t>Item nonresponse.</w:t>
      </w:r>
      <w:r w:rsidRPr="003F559F" w:rsidR="00DC3B7A">
        <w:rPr>
          <w:i/>
          <w:iCs/>
        </w:rPr>
        <w:t xml:space="preserve"> </w:t>
      </w:r>
      <w:r w:rsidRPr="003F559F" w:rsidR="00DC3B7A">
        <w:t xml:space="preserve">Historically, item missingness in the CSLLEA has generally been low. In limited cases, imputation will be used to address item nonresponse. For example, two primary state agencies did not respond to the 2022 CSLLEA. Since primary state agencies are unique and weighting is not appropriate, BJS imputed the number of full-time sworn officers from the 2020 LEMAS, which was the most recent </w:t>
      </w:r>
      <w:r w:rsidRPr="003F559F" w:rsidR="003A45B3">
        <w:t xml:space="preserve">prior BJS data available. </w:t>
      </w:r>
      <w:r w:rsidRPr="003F559F">
        <w:br/>
      </w:r>
      <w:r w:rsidRPr="003F559F">
        <w:br/>
      </w:r>
      <w:r w:rsidRPr="003F559F" w:rsidR="007F4589">
        <w:t>B</w:t>
      </w:r>
      <w:r w:rsidRPr="003F559F" w:rsidR="54994417">
        <w:t>ased on the</w:t>
      </w:r>
      <w:r w:rsidRPr="003F559F" w:rsidR="00A63F72">
        <w:t xml:space="preserve"> 2022 CSLLEA</w:t>
      </w:r>
      <w:r w:rsidRPr="003F559F" w:rsidR="54994417">
        <w:t xml:space="preserve">, </w:t>
      </w:r>
      <w:r w:rsidRPr="003F559F" w:rsidR="007F4589">
        <w:t xml:space="preserve">the target </w:t>
      </w:r>
      <w:r w:rsidRPr="003F559F" w:rsidR="54994417">
        <w:t xml:space="preserve">overall response rate </w:t>
      </w:r>
      <w:r w:rsidRPr="003F559F" w:rsidR="007F4589">
        <w:t>is</w:t>
      </w:r>
      <w:r w:rsidRPr="003F559F" w:rsidR="54994417">
        <w:t xml:space="preserve"> </w:t>
      </w:r>
      <w:r w:rsidRPr="003F559F" w:rsidR="00A63F72">
        <w:t>85%</w:t>
      </w:r>
      <w:r w:rsidRPr="003F559F" w:rsidR="54994417">
        <w:t xml:space="preserve">. </w:t>
      </w:r>
      <w:r w:rsidR="00311F82">
        <w:t xml:space="preserve">BJS </w:t>
      </w:r>
      <w:r w:rsidR="006A30D8">
        <w:t xml:space="preserve">recognizes that this target is below the OMB threshold </w:t>
      </w:r>
      <w:r w:rsidR="000669C7">
        <w:t xml:space="preserve">of 95% </w:t>
      </w:r>
      <w:r w:rsidR="00AB749E">
        <w:t xml:space="preserve">response </w:t>
      </w:r>
      <w:r w:rsidR="000669C7">
        <w:t xml:space="preserve">for census data collections. </w:t>
      </w:r>
      <w:r w:rsidRPr="003F559F" w:rsidR="54994417">
        <w:t>To ensure that nonresponding agencies are not fundamentally different than those that participate, a nonresponse bias analysis will be conducted. Administrative data on agency type, size</w:t>
      </w:r>
      <w:r w:rsidRPr="003F559F" w:rsidR="00A63F72">
        <w:t>,</w:t>
      </w:r>
      <w:r w:rsidRPr="003F559F" w:rsidR="54994417">
        <w:t xml:space="preserve"> and census region or division will be used in the nonresponse bias analysis. For each agency characteristic, BJS will compare the distribution of respondents to nonrespondents. A </w:t>
      </w:r>
      <w:r w:rsidRPr="003F559F" w:rsidR="00A63F72">
        <w:t>Cohen’s Effect Size statistic will be calculated for each characteristic. If any characteristic has an effect size that falls into the “medium” or “high” category, as defined by Cohen, then there is a potential for bias in the estimates.</w:t>
      </w:r>
      <w:r>
        <w:rPr>
          <w:rStyle w:val="FootnoteReference"/>
        </w:rPr>
        <w:footnoteReference w:id="9"/>
      </w:r>
      <w:r w:rsidRPr="003F559F" w:rsidR="00A63F72">
        <w:t xml:space="preserve"> Each estimate will be included in a nonresponse model to adjust weights to minimize the potential for bias in the estimates. In addition to estimating effect sizes, an examination of early and late responders will be conducted. If late responders (i.e., those that take more contact attempts before responding) are significantly different on the key outcomes of interest, that is also an indication of potential bias. Comparison will be made to determine if the potential for bias varies by agency type and size.</w:t>
      </w:r>
      <w:r w:rsidRPr="7AD241BE" w:rsidR="00A63F72">
        <w:t xml:space="preserve"> </w:t>
      </w:r>
      <w:r>
        <w:br/>
      </w:r>
      <w:r w:rsidRPr="7AD241BE" w:rsidR="54994417">
        <w:t xml:space="preserve"> </w:t>
      </w:r>
    </w:p>
    <w:p w:rsidR="00421095" w:rsidRPr="00596C3F" w:rsidP="7F342760" w14:paraId="479397FF" w14:textId="589DD473">
      <w:pPr>
        <w:pStyle w:val="ListParagraph"/>
        <w:numPr>
          <w:ilvl w:val="0"/>
          <w:numId w:val="7"/>
        </w:numPr>
        <w:rPr>
          <w:b/>
          <w:bCs/>
          <w:u w:val="single"/>
        </w:rPr>
      </w:pPr>
      <w:r w:rsidRPr="741403E9">
        <w:rPr>
          <w:b/>
          <w:bCs/>
          <w:u w:val="single"/>
        </w:rPr>
        <w:t>Final Testing of Procedures</w:t>
      </w:r>
      <w:r w:rsidRPr="741403E9" w:rsidR="00223623">
        <w:rPr>
          <w:b/>
          <w:bCs/>
        </w:rPr>
        <w:t xml:space="preserve"> </w:t>
      </w:r>
    </w:p>
    <w:p w:rsidR="00421095" w:rsidRPr="00596C3F" w:rsidP="00421095" w14:paraId="043AE81C" w14:textId="77777777">
      <w:pPr>
        <w:pStyle w:val="ListParagraph"/>
        <w:ind w:left="360"/>
        <w:rPr>
          <w:highlight w:val="yellow"/>
          <w:u w:val="single"/>
        </w:rPr>
      </w:pPr>
    </w:p>
    <w:p w:rsidR="00A63F72" w:rsidP="00F84901" w14:paraId="04923113" w14:textId="77777777">
      <w:r>
        <w:t>Most of</w:t>
      </w:r>
      <w:r w:rsidR="00330DA4">
        <w:t xml:space="preserve"> the questions </w:t>
      </w:r>
      <w:r w:rsidR="00182079">
        <w:t>included in the 202</w:t>
      </w:r>
      <w:r w:rsidR="00B8768B">
        <w:t>6</w:t>
      </w:r>
      <w:r w:rsidR="00182079">
        <w:t xml:space="preserve"> CSLLEA</w:t>
      </w:r>
      <w:r w:rsidR="00D02AB6">
        <w:t xml:space="preserve"> mirror those used in </w:t>
      </w:r>
      <w:r w:rsidR="001E73C9">
        <w:t>the 2022</w:t>
      </w:r>
      <w:r w:rsidR="00B8768B">
        <w:t xml:space="preserve"> </w:t>
      </w:r>
      <w:r w:rsidR="00D02AB6">
        <w:t>CSLLEA</w:t>
      </w:r>
      <w:r>
        <w:t xml:space="preserve"> to ensure data comparability</w:t>
      </w:r>
      <w:r w:rsidR="00D02AB6">
        <w:t>. </w:t>
      </w:r>
      <w:r w:rsidR="001E73C9">
        <w:t xml:space="preserve">In anticipation of the 2026 CSLLEA, </w:t>
      </w:r>
      <w:r w:rsidR="00B8768B">
        <w:t xml:space="preserve">changes were made to the format of the paper survey </w:t>
      </w:r>
      <w:r w:rsidR="001E73C9">
        <w:t xml:space="preserve">for the 2022 CSLLEA </w:t>
      </w:r>
      <w:r w:rsidR="00B8768B">
        <w:t>to increase the clarity and legibility of the form. Changes include</w:t>
      </w:r>
      <w:r>
        <w:t>:</w:t>
      </w:r>
    </w:p>
    <w:p w:rsidR="00A63F72" w:rsidP="00A63F72" w14:paraId="023F2AC4" w14:textId="72EF11CE">
      <w:pPr>
        <w:pStyle w:val="ListParagraph"/>
        <w:numPr>
          <w:ilvl w:val="0"/>
          <w:numId w:val="30"/>
        </w:numPr>
      </w:pPr>
      <w:r>
        <w:t>increasing the font size from 10 pt to 11.5 pt</w:t>
      </w:r>
      <w:r>
        <w:t>,</w:t>
      </w:r>
      <w:r>
        <w:t xml:space="preserve"> </w:t>
      </w:r>
    </w:p>
    <w:p w:rsidR="00A63F72" w:rsidP="00A63F72" w14:paraId="305D4299" w14:textId="77777777">
      <w:pPr>
        <w:pStyle w:val="ListParagraph"/>
        <w:numPr>
          <w:ilvl w:val="0"/>
          <w:numId w:val="30"/>
        </w:numPr>
      </w:pPr>
      <w:r>
        <w:t xml:space="preserve">adding arrows to direct respondents </w:t>
      </w:r>
      <w:r>
        <w:t xml:space="preserve">to the next applicable item </w:t>
      </w:r>
      <w:r>
        <w:t>based on their answer</w:t>
      </w:r>
      <w:r>
        <w:t>,</w:t>
      </w:r>
      <w:r>
        <w:t xml:space="preserve"> standardizing answer icons (square boxes for multiple-select answers and circles for exclusive answer choices), </w:t>
      </w:r>
    </w:p>
    <w:p w:rsidR="00A63F72" w:rsidP="00A63F72" w14:paraId="553D7910" w14:textId="77777777">
      <w:pPr>
        <w:pStyle w:val="ListParagraph"/>
        <w:numPr>
          <w:ilvl w:val="0"/>
          <w:numId w:val="30"/>
        </w:numPr>
      </w:pPr>
      <w:r>
        <w:t xml:space="preserve">highlighting respondent instructions in colored boxes, </w:t>
      </w:r>
    </w:p>
    <w:p w:rsidR="00A63F72" w:rsidP="00A63F72" w14:paraId="4CC79821" w14:textId="77777777">
      <w:pPr>
        <w:pStyle w:val="ListParagraph"/>
        <w:numPr>
          <w:ilvl w:val="0"/>
          <w:numId w:val="30"/>
        </w:numPr>
      </w:pPr>
      <w:r>
        <w:t xml:space="preserve">moving instruction boxes to the top of pages, and </w:t>
      </w:r>
    </w:p>
    <w:p w:rsidR="00A63F72" w:rsidP="00A63F72" w14:paraId="202F73A4" w14:textId="47CF5D3C">
      <w:pPr>
        <w:pStyle w:val="ListParagraph"/>
        <w:numPr>
          <w:ilvl w:val="0"/>
          <w:numId w:val="30"/>
        </w:numPr>
      </w:pPr>
      <w:r>
        <w:t>splitting some items into two smaller, easier to read questions rather than one large question (</w:t>
      </w:r>
      <w:r>
        <w:t>where it was</w:t>
      </w:r>
      <w:r>
        <w:t xml:space="preserve"> easier for respondents to miss a row). </w:t>
      </w:r>
    </w:p>
    <w:p w:rsidR="00A63F72" w:rsidP="00F84901" w14:paraId="19E4856B" w14:textId="77777777"/>
    <w:p w:rsidR="00F84901" w:rsidRPr="00A63F72" w:rsidP="00F84901" w14:paraId="5795E495" w14:textId="57740B5B">
      <w:r>
        <w:t>Review of the</w:t>
      </w:r>
      <w:r w:rsidR="00105E90">
        <w:t xml:space="preserve"> 2022 </w:t>
      </w:r>
      <w:r>
        <w:t>data indicate</w:t>
      </w:r>
      <w:r w:rsidR="00CC62A5">
        <w:t>s</w:t>
      </w:r>
      <w:r>
        <w:t xml:space="preserve"> </w:t>
      </w:r>
      <w:r w:rsidR="00B8768B">
        <w:t>the question wording</w:t>
      </w:r>
      <w:r>
        <w:t xml:space="preserve"> performed well</w:t>
      </w:r>
      <w:r w:rsidR="00B8768B">
        <w:t xml:space="preserve"> in terms of data quality and response</w:t>
      </w:r>
      <w:r>
        <w:t xml:space="preserve"> and did not require revisions. Therefore, testing of the 202</w:t>
      </w:r>
      <w:r w:rsidR="00B8768B">
        <w:t>6</w:t>
      </w:r>
      <w:r>
        <w:t xml:space="preserve"> CSLLEA items was not necessary</w:t>
      </w:r>
      <w:r w:rsidR="00B8768B">
        <w:t xml:space="preserve"> since the changes were primarily to formatting and necessitated by data quality or response issues. </w:t>
      </w:r>
    </w:p>
    <w:p w:rsidR="00D02AB6" w:rsidP="00F84901" w14:paraId="1A1F40C4" w14:textId="77777777">
      <w:pPr>
        <w:rPr>
          <w:u w:val="single"/>
        </w:rPr>
      </w:pPr>
    </w:p>
    <w:p w:rsidR="00F84901" w:rsidRPr="008D7CC0" w:rsidP="00D534B2" w14:paraId="2C6F0BDC" w14:textId="3EC1FFAF">
      <w:pPr>
        <w:pStyle w:val="ListParagraph"/>
        <w:numPr>
          <w:ilvl w:val="0"/>
          <w:numId w:val="7"/>
        </w:numPr>
        <w:rPr>
          <w:b/>
          <w:u w:val="single"/>
        </w:rPr>
      </w:pPr>
      <w:r w:rsidRPr="008D7CC0">
        <w:rPr>
          <w:b/>
          <w:u w:val="single"/>
        </w:rPr>
        <w:t>Contacts for Statistical Aspects and Data Collection</w:t>
      </w:r>
    </w:p>
    <w:p w:rsidR="00F84901" w:rsidRPr="00596C3F" w:rsidP="00F84901" w14:paraId="3B26C7B2" w14:textId="77777777">
      <w:pPr>
        <w:rPr>
          <w:u w:val="single"/>
        </w:rPr>
      </w:pPr>
    </w:p>
    <w:p w:rsidR="00F84901" w:rsidP="00F84901" w14:paraId="59C7CA29" w14:textId="77777777">
      <w:pPr>
        <w:pStyle w:val="ListParagraph"/>
        <w:numPr>
          <w:ilvl w:val="0"/>
          <w:numId w:val="8"/>
        </w:numPr>
        <w:tabs>
          <w:tab w:val="left" w:pos="360"/>
        </w:tabs>
        <w:ind w:left="0" w:firstLine="0"/>
      </w:pPr>
      <w:r>
        <w:t xml:space="preserve">BJS contacts include: </w:t>
      </w:r>
    </w:p>
    <w:p w:rsidR="00F84901" w:rsidP="00F84901" w14:paraId="60A36035" w14:textId="2DC1AE84">
      <w:pPr>
        <w:pStyle w:val="ListParagraph"/>
        <w:tabs>
          <w:tab w:val="left" w:pos="360"/>
        </w:tabs>
        <w:ind w:left="0"/>
      </w:pPr>
      <w:r>
        <w:tab/>
      </w:r>
    </w:p>
    <w:p w:rsidR="006446A3" w:rsidP="00F84901" w14:paraId="7A50BC37" w14:textId="07387469">
      <w:pPr>
        <w:pStyle w:val="ListParagraph"/>
        <w:tabs>
          <w:tab w:val="left" w:pos="360"/>
        </w:tabs>
        <w:ind w:left="0"/>
      </w:pPr>
      <w:r>
        <w:tab/>
      </w:r>
      <w:r>
        <w:tab/>
        <w:t>Elizabeth Davis</w:t>
      </w:r>
    </w:p>
    <w:p w:rsidR="006446A3" w:rsidP="00F84901" w14:paraId="1BD68C0E" w14:textId="258122AD">
      <w:pPr>
        <w:pStyle w:val="ListParagraph"/>
        <w:tabs>
          <w:tab w:val="left" w:pos="360"/>
        </w:tabs>
        <w:ind w:left="0"/>
      </w:pPr>
      <w:r>
        <w:tab/>
      </w:r>
      <w:r>
        <w:tab/>
        <w:t>Statistician</w:t>
      </w:r>
    </w:p>
    <w:p w:rsidR="006446A3" w:rsidP="00F84901" w14:paraId="4ADB836D" w14:textId="57BFF4C8">
      <w:pPr>
        <w:pStyle w:val="ListParagraph"/>
        <w:tabs>
          <w:tab w:val="left" w:pos="360"/>
        </w:tabs>
        <w:ind w:left="0"/>
      </w:pPr>
      <w:r>
        <w:tab/>
      </w:r>
      <w:r>
        <w:tab/>
        <w:t>202-</w:t>
      </w:r>
      <w:r w:rsidR="00105E90">
        <w:t>598-9782</w:t>
      </w:r>
    </w:p>
    <w:p w:rsidR="006446A3" w:rsidP="00F84901" w14:paraId="146ED0CE" w14:textId="711E240B">
      <w:pPr>
        <w:pStyle w:val="ListParagraph"/>
        <w:tabs>
          <w:tab w:val="left" w:pos="360"/>
        </w:tabs>
        <w:ind w:left="0"/>
      </w:pPr>
      <w:r>
        <w:tab/>
      </w:r>
      <w:r>
        <w:tab/>
      </w:r>
      <w:hyperlink r:id="rId9" w:history="1">
        <w:r w:rsidRPr="00C25D1B">
          <w:rPr>
            <w:rStyle w:val="Hyperlink"/>
          </w:rPr>
          <w:t>Elizabeth.Davis@usdoj.gov</w:t>
        </w:r>
      </w:hyperlink>
    </w:p>
    <w:p w:rsidR="006446A3" w:rsidP="00F84901" w14:paraId="5D223402" w14:textId="77777777">
      <w:pPr>
        <w:pStyle w:val="ListParagraph"/>
        <w:tabs>
          <w:tab w:val="left" w:pos="360"/>
        </w:tabs>
        <w:ind w:left="0"/>
      </w:pPr>
      <w:r>
        <w:tab/>
      </w:r>
      <w:r>
        <w:tab/>
      </w:r>
    </w:p>
    <w:p w:rsidR="006446A3" w:rsidP="00F84901" w14:paraId="67B0DAEE" w14:textId="1208091B">
      <w:pPr>
        <w:pStyle w:val="ListParagraph"/>
        <w:tabs>
          <w:tab w:val="left" w:pos="360"/>
        </w:tabs>
        <w:ind w:left="0"/>
      </w:pPr>
      <w:r>
        <w:tab/>
      </w:r>
      <w:r>
        <w:tab/>
        <w:t>Alexia Cooper</w:t>
      </w:r>
    </w:p>
    <w:p w:rsidR="006446A3" w:rsidP="006446A3" w14:paraId="3AC5F2D4" w14:textId="6E5C2742">
      <w:pPr>
        <w:ind w:left="720"/>
      </w:pPr>
      <w:r>
        <w:t>Law Enforcement Statistics Unit Chief</w:t>
      </w:r>
    </w:p>
    <w:p w:rsidR="006446A3" w:rsidP="00F84901" w14:paraId="4FA9D59C" w14:textId="53397008">
      <w:pPr>
        <w:pStyle w:val="ListParagraph"/>
        <w:tabs>
          <w:tab w:val="left" w:pos="360"/>
        </w:tabs>
        <w:ind w:left="0"/>
      </w:pPr>
      <w:r>
        <w:tab/>
      </w:r>
      <w:r>
        <w:tab/>
        <w:t>202-</w:t>
      </w:r>
      <w:r w:rsidR="00105E90">
        <w:t>598</w:t>
      </w:r>
      <w:r>
        <w:t>-</w:t>
      </w:r>
      <w:r w:rsidR="00105E90">
        <w:t>7905</w:t>
      </w:r>
    </w:p>
    <w:p w:rsidR="00B10337" w:rsidP="00F84901" w14:paraId="1B50155E" w14:textId="535E9902">
      <w:pPr>
        <w:pStyle w:val="ListParagraph"/>
        <w:tabs>
          <w:tab w:val="left" w:pos="360"/>
        </w:tabs>
        <w:ind w:left="0"/>
      </w:pPr>
      <w:r>
        <w:tab/>
      </w:r>
      <w:r>
        <w:tab/>
      </w:r>
      <w:hyperlink r:id="rId10" w:history="1">
        <w:r w:rsidRPr="00C25D1B">
          <w:rPr>
            <w:rStyle w:val="Hyperlink"/>
          </w:rPr>
          <w:t>Alexia.Cooper@usdoj.gov</w:t>
        </w:r>
      </w:hyperlink>
    </w:p>
    <w:p w:rsidR="00BF496B" w:rsidP="00BF496B" w14:paraId="28C1C858" w14:textId="77777777">
      <w:pPr>
        <w:pStyle w:val="ListParagraph"/>
        <w:tabs>
          <w:tab w:val="left" w:pos="360"/>
        </w:tabs>
        <w:ind w:left="0"/>
      </w:pPr>
    </w:p>
    <w:p w:rsidR="00F84901" w:rsidP="00F84901" w14:paraId="6BD056BF" w14:textId="77777777">
      <w:pPr>
        <w:pStyle w:val="ListParagraph"/>
        <w:numPr>
          <w:ilvl w:val="0"/>
          <w:numId w:val="8"/>
        </w:numPr>
        <w:tabs>
          <w:tab w:val="left" w:pos="360"/>
        </w:tabs>
        <w:ind w:left="0" w:firstLine="0"/>
      </w:pPr>
      <w:r>
        <w:t>Persons consulted on statistical methodology:</w:t>
      </w:r>
    </w:p>
    <w:p w:rsidR="00F84901" w:rsidP="00F84901" w14:paraId="329CD4E6" w14:textId="77777777">
      <w:pPr>
        <w:tabs>
          <w:tab w:val="left" w:pos="360"/>
        </w:tabs>
      </w:pPr>
    </w:p>
    <w:p w:rsidR="00F84901" w:rsidP="00F84901" w14:paraId="45A04A9B" w14:textId="1BDC066B">
      <w:pPr>
        <w:pStyle w:val="ListParagraph"/>
        <w:tabs>
          <w:tab w:val="left" w:pos="360"/>
        </w:tabs>
        <w:ind w:left="0"/>
      </w:pPr>
      <w:r>
        <w:tab/>
      </w:r>
      <w:r>
        <w:tab/>
      </w:r>
      <w:r w:rsidR="00223623">
        <w:t>Harley Rohloff</w:t>
      </w:r>
    </w:p>
    <w:p w:rsidR="00F84901" w:rsidP="00F84901" w14:paraId="315AE7FD" w14:textId="77777777">
      <w:pPr>
        <w:pStyle w:val="ListParagraph"/>
        <w:tabs>
          <w:tab w:val="left" w:pos="360"/>
        </w:tabs>
        <w:ind w:left="0"/>
      </w:pPr>
      <w:r>
        <w:tab/>
      </w:r>
      <w:r>
        <w:tab/>
        <w:t>RTI International</w:t>
      </w:r>
    </w:p>
    <w:p w:rsidR="00F84901" w:rsidP="00F84901" w14:paraId="078299EC" w14:textId="77777777"/>
    <w:p w:rsidR="00F84901" w:rsidP="00F84901" w14:paraId="3857B160" w14:textId="77777777">
      <w:pPr>
        <w:pStyle w:val="ListParagraph"/>
        <w:numPr>
          <w:ilvl w:val="0"/>
          <w:numId w:val="8"/>
        </w:numPr>
        <w:tabs>
          <w:tab w:val="left" w:pos="360"/>
        </w:tabs>
        <w:ind w:left="0" w:firstLine="0"/>
      </w:pPr>
      <w:r>
        <w:t>Persons consulted on data collection and analysis:</w:t>
      </w:r>
    </w:p>
    <w:p w:rsidR="00F84901" w:rsidP="00F84901" w14:paraId="173C8406" w14:textId="77777777">
      <w:pPr>
        <w:ind w:firstLine="720"/>
      </w:pPr>
    </w:p>
    <w:p w:rsidR="00F84901" w:rsidP="00F84901" w14:paraId="07A18CFC" w14:textId="07820693">
      <w:pPr>
        <w:ind w:firstLine="720"/>
      </w:pPr>
      <w:r>
        <w:t>Dustin Williams</w:t>
      </w:r>
    </w:p>
    <w:p w:rsidR="00F84901" w:rsidP="741403E9" w14:paraId="5BAA58DE" w14:textId="77777777">
      <w:pPr>
        <w:pStyle w:val="ListParagraph"/>
      </w:pPr>
      <w:r>
        <w:t>RTI International</w:t>
      </w:r>
    </w:p>
    <w:p w:rsidR="00F84901" w:rsidP="00F84901" w14:paraId="312014C4" w14:textId="77777777">
      <w:pPr>
        <w:ind w:left="360"/>
      </w:pPr>
    </w:p>
    <w:p w:rsidR="00F84901" w:rsidP="00F84901" w14:paraId="36C96E0F" w14:textId="7B997528">
      <w:pPr>
        <w:ind w:left="360" w:firstLine="360"/>
      </w:pPr>
      <w:r>
        <w:t>Crystal Daye</w:t>
      </w:r>
    </w:p>
    <w:p w:rsidR="0067742B" w:rsidP="002F32F5" w14:paraId="688FFA88" w14:textId="77777777">
      <w:pPr>
        <w:ind w:left="360" w:firstLine="360"/>
      </w:pPr>
      <w:r>
        <w:t>RTI International</w:t>
      </w:r>
    </w:p>
    <w:p w:rsidR="00801E9A" w:rsidP="00801E9A" w14:paraId="43942CBC" w14:textId="77777777">
      <w:pPr>
        <w:spacing w:after="200" w:line="276" w:lineRule="auto"/>
      </w:pPr>
    </w:p>
    <w:p w:rsidR="00801E9A" w:rsidRPr="00801E9A" w:rsidP="00801E9A" w14:paraId="580046C4" w14:textId="77777777"/>
    <w:p w:rsidR="000E733D" w:rsidRPr="00BD19E9" w:rsidP="00801E9A" w14:paraId="42EB19D7" w14:textId="6E3EB09A">
      <w:pPr>
        <w:spacing w:after="200" w:line="276" w:lineRule="auto"/>
      </w:pPr>
    </w:p>
    <w:sectPr w:rsidSect="002A780B">
      <w:headerReference w:type="default" r:id="rId11"/>
      <w:footerReference w:type="defaul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Book">
    <w:altName w:val="Baskerville Old Face"/>
    <w:panose1 w:val="00000000000000000000"/>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6DC3" w14:paraId="02D1C7E9" w14:textId="3AEEE159">
    <w:pPr>
      <w:pStyle w:val="Footer"/>
      <w:jc w:val="center"/>
    </w:pPr>
    <w:r>
      <w:fldChar w:fldCharType="begin"/>
    </w:r>
    <w:r>
      <w:instrText xml:space="preserve"> PAGE   \* MERGEFORMAT </w:instrText>
    </w:r>
    <w:r>
      <w:fldChar w:fldCharType="separate"/>
    </w:r>
    <w:r w:rsidR="00B848AA">
      <w:rPr>
        <w:noProof/>
      </w:rPr>
      <w:t>2</w:t>
    </w:r>
    <w:r>
      <w:rPr>
        <w:noProof/>
      </w:rPr>
      <w:fldChar w:fldCharType="end"/>
    </w:r>
  </w:p>
  <w:p w:rsidR="00676DC3" w14:paraId="44EEF2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7BB4" w:rsidP="00421095" w14:paraId="76BBA9F2" w14:textId="77777777">
      <w:r>
        <w:separator/>
      </w:r>
    </w:p>
  </w:footnote>
  <w:footnote w:type="continuationSeparator" w:id="1">
    <w:p w:rsidR="00F87BB4" w:rsidP="00421095" w14:paraId="27B8BAD2" w14:textId="77777777">
      <w:r>
        <w:continuationSeparator/>
      </w:r>
    </w:p>
  </w:footnote>
  <w:footnote w:id="2">
    <w:p w:rsidR="002D0A40" w:rsidP="002D0A40" w14:paraId="4FE94881" w14:textId="77777777">
      <w:pPr>
        <w:pStyle w:val="FootnoteText"/>
      </w:pPr>
      <w:r>
        <w:rPr>
          <w:rStyle w:val="FootnoteReference"/>
        </w:rPr>
        <w:footnoteRef/>
      </w:r>
      <w:r>
        <w:t xml:space="preserve"> For the purposes of the 2026 CSLLEA, campus law enforcement agencies include all U.S. based postsecondary institutions offering in-person instruction. </w:t>
      </w:r>
    </w:p>
  </w:footnote>
  <w:footnote w:id="3">
    <w:p w:rsidR="00352B7C" w14:paraId="725F1052" w14:textId="2CB6CEE9">
      <w:pPr>
        <w:pStyle w:val="FootnoteText"/>
      </w:pPr>
      <w:r>
        <w:rPr>
          <w:rStyle w:val="FootnoteReference"/>
        </w:rPr>
        <w:footnoteRef/>
      </w:r>
      <w:r>
        <w:t xml:space="preserve"> LEAR update made via ARMS are immediately routed to the Frame Manager and are reviewed and approved within two business days.  </w:t>
      </w:r>
    </w:p>
  </w:footnote>
  <w:footnote w:id="4">
    <w:p w:rsidR="00BF487B" w14:paraId="3B3B07B6" w14:textId="26769CFB">
      <w:pPr>
        <w:pStyle w:val="FootnoteText"/>
      </w:pPr>
      <w:r>
        <w:rPr>
          <w:rStyle w:val="FootnoteReference"/>
        </w:rPr>
        <w:footnoteRef/>
      </w:r>
      <w:r>
        <w:t xml:space="preserve"> It is anticipated that many of these will not be duplicates since 2018 and 2022 CSLLEA universe development efforts demonstrated that many of these are two small agencies sharing a physical location. </w:t>
      </w:r>
    </w:p>
  </w:footnote>
  <w:footnote w:id="5">
    <w:p w:rsidR="007455C0" w14:paraId="598F5479" w14:textId="0EC069D1">
      <w:pPr>
        <w:pStyle w:val="FootnoteText"/>
      </w:pPr>
      <w:r>
        <w:rPr>
          <w:rStyle w:val="FootnoteReference"/>
        </w:rPr>
        <w:footnoteRef/>
      </w:r>
      <w:r>
        <w:t xml:space="preserve"> </w:t>
      </w:r>
      <w:r w:rsidR="00AD6440">
        <w:t>The approximately</w:t>
      </w:r>
      <w:r>
        <w:t xml:space="preserve"> 275 tribal agencies in the CSLLEA frame</w:t>
      </w:r>
      <w:r w:rsidR="00AD6440">
        <w:t xml:space="preserve"> will receive a hardcopy instrument (including the same option to complete via the web) in their invitation mailing</w:t>
      </w:r>
      <w:r>
        <w:t xml:space="preserve">.  </w:t>
      </w:r>
      <w:r w:rsidR="00FB3B49">
        <w:t>In 2024, the</w:t>
      </w:r>
      <w:r w:rsidR="00AD6440">
        <w:t xml:space="preserve"> </w:t>
      </w:r>
      <w:r w:rsidR="004B0627">
        <w:t xml:space="preserve">U.S. </w:t>
      </w:r>
      <w:r w:rsidR="00AD6440">
        <w:t xml:space="preserve">Census </w:t>
      </w:r>
      <w:r w:rsidR="004B0627">
        <w:t xml:space="preserve">Bureau </w:t>
      </w:r>
      <w:r w:rsidR="00FB3B49">
        <w:t xml:space="preserve">published findings from the 2021 American Community Survey that showed </w:t>
      </w:r>
      <w:r w:rsidR="004B0627">
        <w:t xml:space="preserve">a </w:t>
      </w:r>
      <w:r w:rsidR="00FB3B49">
        <w:t>19</w:t>
      </w:r>
      <w:r w:rsidR="00CC62A5">
        <w:t xml:space="preserve"> percent</w:t>
      </w:r>
      <w:r w:rsidR="00FB3B49">
        <w:t xml:space="preserve"> gap in the availability of high-speed internet on tribal lands </w:t>
      </w:r>
      <w:sdt>
        <w:sdtPr>
          <w:id w:val="-637801504"/>
          <w:citation/>
        </w:sdtPr>
        <w:sdtContent>
          <w:r w:rsidR="00FB3B49">
            <w:fldChar w:fldCharType="begin"/>
          </w:r>
          <w:r w:rsidR="00FB3B49">
            <w:instrText xml:space="preserve"> CITATION Dan24 \l 1033 </w:instrText>
          </w:r>
          <w:r w:rsidR="00FB3B49">
            <w:fldChar w:fldCharType="separate"/>
          </w:r>
          <w:r w:rsidR="00FB3B49">
            <w:rPr>
              <w:noProof/>
            </w:rPr>
            <w:t>(Mejía, 2024)</w:t>
          </w:r>
          <w:r w:rsidR="00FB3B49">
            <w:fldChar w:fldCharType="end"/>
          </w:r>
        </w:sdtContent>
      </w:sdt>
      <w:r w:rsidR="00FB3B49">
        <w:t>.</w:t>
      </w:r>
      <w:r w:rsidR="00AD6440">
        <w:t xml:space="preserve"> </w:t>
      </w:r>
      <w:r>
        <w:t xml:space="preserve">Due to the </w:t>
      </w:r>
      <w:r w:rsidR="00FB3B49">
        <w:t>reduced availability in high-speed</w:t>
      </w:r>
      <w:r>
        <w:t xml:space="preserve"> internet service on tribal lands</w:t>
      </w:r>
      <w:r w:rsidR="00FB3B49">
        <w:t>, RTI expects hardcopy</w:t>
      </w:r>
      <w:r>
        <w:t xml:space="preserve"> survey submission </w:t>
      </w:r>
      <w:r w:rsidR="00FB3B49">
        <w:t>to be more common for</w:t>
      </w:r>
      <w:r>
        <w:t xml:space="preserve"> tribal agencies. </w:t>
      </w:r>
    </w:p>
  </w:footnote>
  <w:footnote w:id="6">
    <w:p w:rsidR="009B53C8" w14:paraId="0F8D1330" w14:textId="3D40975F">
      <w:pPr>
        <w:pStyle w:val="FootnoteText"/>
      </w:pPr>
      <w:r>
        <w:rPr>
          <w:rStyle w:val="FootnoteReference"/>
        </w:rPr>
        <w:footnoteRef/>
      </w:r>
      <w:r>
        <w:t xml:space="preserve"> </w:t>
      </w:r>
      <w:r w:rsidR="00E35781">
        <w:t xml:space="preserve">See </w:t>
      </w:r>
      <w:hyperlink r:id="rId1" w:history="1">
        <w:r w:rsidRPr="008C0C2E" w:rsidR="008C0C2E">
          <w:rPr>
            <w:rStyle w:val="Hyperlink"/>
          </w:rPr>
          <w:t>The Nation's Data at Risk Report</w:t>
        </w:r>
      </w:hyperlink>
      <w:r w:rsidR="00423E5E">
        <w:t>.</w:t>
      </w:r>
    </w:p>
  </w:footnote>
  <w:footnote w:id="7">
    <w:p w:rsidR="005265A1" w14:paraId="7DF59D9D" w14:textId="29728D48">
      <w:pPr>
        <w:pStyle w:val="FootnoteText"/>
      </w:pPr>
      <w:r>
        <w:rPr>
          <w:rStyle w:val="FootnoteReference"/>
        </w:rPr>
        <w:footnoteRef/>
      </w:r>
      <w:r>
        <w:t xml:space="preserve"> </w:t>
      </w:r>
      <w:r w:rsidR="004B0F7A">
        <w:t xml:space="preserve">See </w:t>
      </w:r>
      <w:hyperlink r:id="rId2" w:anchor="chart2a" w:history="1">
        <w:r w:rsidRPr="00731417" w:rsidR="004B0F7A">
          <w:rPr>
            <w:rStyle w:val="Hyperlink"/>
          </w:rPr>
          <w:t>Household and establishment survey response rates</w:t>
        </w:r>
      </w:hyperlink>
      <w:r w:rsidR="004B0F7A">
        <w:t xml:space="preserve"> from the U.S. Bureau of Labor Statistics</w:t>
      </w:r>
      <w:r w:rsidR="00474808">
        <w:t>.</w:t>
      </w:r>
      <w:r w:rsidR="004B0F7A">
        <w:t xml:space="preserve"> </w:t>
      </w:r>
    </w:p>
  </w:footnote>
  <w:footnote w:id="8">
    <w:p w:rsidR="00537510" w:rsidP="00537510" w14:paraId="3E7927CE" w14:textId="35BE215A">
      <w:pPr>
        <w:pStyle w:val="FootnoteText"/>
        <w:ind w:left="720" w:hanging="720"/>
      </w:pPr>
      <w:r>
        <w:rPr>
          <w:rStyle w:val="FootnoteReference"/>
        </w:rPr>
        <w:footnoteRef/>
      </w:r>
      <w:r>
        <w:t xml:space="preserve"> </w:t>
      </w:r>
      <w:r w:rsidRPr="00282D14">
        <w:t xml:space="preserve">Folsom, R.E., &amp; Singh, A.C. (2000). The generalized model for sampling weight calibration for extreme values, nonresponse, and poststratification. In </w:t>
      </w:r>
      <w:r w:rsidRPr="00282D14">
        <w:rPr>
          <w:i/>
        </w:rPr>
        <w:t>Proceedings of the American Statistical Association’s Survey Research Methods Section</w:t>
      </w:r>
      <w:r w:rsidRPr="00282D14">
        <w:t>, 598-603.</w:t>
      </w:r>
    </w:p>
  </w:footnote>
  <w:footnote w:id="9">
    <w:p w:rsidR="00A63F72" w:rsidP="00A63F72" w14:paraId="66ECB3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rPr>
          <w:rStyle w:val="FootnoteReference"/>
        </w:rPr>
        <w:footnoteRef/>
      </w:r>
      <w:r>
        <w:t xml:space="preserve"> </w:t>
      </w:r>
      <w:r w:rsidRPr="00CD2DCC">
        <w:rPr>
          <w:sz w:val="20"/>
          <w:szCs w:val="20"/>
        </w:rPr>
        <w:t>Cohen, J. (1988). Statistical Power Analysis for the Behavioral Sciences (2nd ed.). Routledge, 2013.</w:t>
      </w:r>
      <w:r w:rsidRPr="007705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A58" w:rsidRPr="00D97A58" w14:paraId="2F16F6C8" w14:textId="1A2096BB">
    <w:pPr>
      <w:pStyle w:val="Header"/>
      <w:rPr>
        <w:sz w:val="20"/>
        <w:szCs w:val="20"/>
      </w:rPr>
    </w:pPr>
    <w:r w:rsidRPr="00D97A58">
      <w:rPr>
        <w:sz w:val="20"/>
        <w:szCs w:val="20"/>
      </w:rPr>
      <w:t>Census of State and Local Law Enforcement Agencies</w:t>
    </w:r>
  </w:p>
  <w:p w:rsidR="00D97A58" w:rsidRPr="00D97A58" w14:paraId="359E76D2" w14:textId="55FE8D34">
    <w:pPr>
      <w:pStyle w:val="Header"/>
      <w:rPr>
        <w:sz w:val="20"/>
        <w:szCs w:val="20"/>
      </w:rPr>
    </w:pPr>
    <w:r w:rsidRPr="00D97A58">
      <w:rPr>
        <w:sz w:val="20"/>
        <w:szCs w:val="20"/>
      </w:rPr>
      <w:t>OMB Control Number 1121-0346</w:t>
    </w:r>
  </w:p>
  <w:p w:rsidR="00D97A58" w:rsidRPr="00D97A58" w14:paraId="2F98A3FB" w14:textId="08260794">
    <w:pPr>
      <w:pStyle w:val="Header"/>
      <w:rPr>
        <w:sz w:val="20"/>
        <w:szCs w:val="20"/>
      </w:rPr>
    </w:pPr>
    <w:r w:rsidRPr="00D97A58">
      <w:rPr>
        <w:sz w:val="20"/>
        <w:szCs w:val="20"/>
      </w:rPr>
      <w:t>OMB Expiration Date XX/XX/XXXX</w:t>
    </w:r>
  </w:p>
  <w:p w:rsidR="00D97A58" w14:paraId="6E52A3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50C9C"/>
    <w:multiLevelType w:val="hybridMultilevel"/>
    <w:tmpl w:val="F40275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C37D37"/>
    <w:multiLevelType w:val="hybridMultilevel"/>
    <w:tmpl w:val="7DD24CB2"/>
    <w:lvl w:ilvl="0">
      <w:start w:val="2"/>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34759B"/>
    <w:multiLevelType w:val="hybridMultilevel"/>
    <w:tmpl w:val="3E86E9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BD362C"/>
    <w:multiLevelType w:val="hybridMultilevel"/>
    <w:tmpl w:val="00EE099E"/>
    <w:lvl w:ilvl="0">
      <w:start w:val="8"/>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ACF5892"/>
    <w:multiLevelType w:val="hybridMultilevel"/>
    <w:tmpl w:val="E9E8E83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3C5581"/>
    <w:multiLevelType w:val="hybridMultilevel"/>
    <w:tmpl w:val="2C00869A"/>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E15BF1"/>
    <w:multiLevelType w:val="hybridMultilevel"/>
    <w:tmpl w:val="D068A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1C31A7"/>
    <w:multiLevelType w:val="hybridMultilevel"/>
    <w:tmpl w:val="0438503E"/>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186643B6"/>
    <w:multiLevelType w:val="hybridMultilevel"/>
    <w:tmpl w:val="61BCBDF2"/>
    <w:lvl w:ilvl="0">
      <w:start w:val="3"/>
      <w:numFmt w:val="bullet"/>
      <w:lvlText w:val="-"/>
      <w:lvlJc w:val="left"/>
      <w:pPr>
        <w:ind w:left="996" w:hanging="360"/>
      </w:pPr>
      <w:rPr>
        <w:rFonts w:ascii="Times New Roman" w:eastAsia="Times New Roman" w:hAnsi="Times New Roman" w:hint="default"/>
      </w:rPr>
    </w:lvl>
    <w:lvl w:ilvl="1" w:tentative="1">
      <w:start w:val="1"/>
      <w:numFmt w:val="bullet"/>
      <w:lvlText w:val="o"/>
      <w:lvlJc w:val="left"/>
      <w:pPr>
        <w:ind w:left="1716" w:hanging="360"/>
      </w:pPr>
      <w:rPr>
        <w:rFonts w:ascii="Courier New" w:hAnsi="Courier New" w:hint="default"/>
      </w:rPr>
    </w:lvl>
    <w:lvl w:ilvl="2" w:tentative="1">
      <w:start w:val="1"/>
      <w:numFmt w:val="bullet"/>
      <w:lvlText w:val=""/>
      <w:lvlJc w:val="left"/>
      <w:pPr>
        <w:ind w:left="2436" w:hanging="360"/>
      </w:pPr>
      <w:rPr>
        <w:rFonts w:ascii="Wingdings" w:hAnsi="Wingdings" w:hint="default"/>
      </w:rPr>
    </w:lvl>
    <w:lvl w:ilvl="3" w:tentative="1">
      <w:start w:val="1"/>
      <w:numFmt w:val="bullet"/>
      <w:lvlText w:val=""/>
      <w:lvlJc w:val="left"/>
      <w:pPr>
        <w:ind w:left="3156" w:hanging="360"/>
      </w:pPr>
      <w:rPr>
        <w:rFonts w:ascii="Symbol" w:hAnsi="Symbol" w:hint="default"/>
      </w:rPr>
    </w:lvl>
    <w:lvl w:ilvl="4" w:tentative="1">
      <w:start w:val="1"/>
      <w:numFmt w:val="bullet"/>
      <w:lvlText w:val="o"/>
      <w:lvlJc w:val="left"/>
      <w:pPr>
        <w:ind w:left="3876" w:hanging="360"/>
      </w:pPr>
      <w:rPr>
        <w:rFonts w:ascii="Courier New" w:hAnsi="Courier New" w:hint="default"/>
      </w:rPr>
    </w:lvl>
    <w:lvl w:ilvl="5" w:tentative="1">
      <w:start w:val="1"/>
      <w:numFmt w:val="bullet"/>
      <w:lvlText w:val=""/>
      <w:lvlJc w:val="left"/>
      <w:pPr>
        <w:ind w:left="4596" w:hanging="360"/>
      </w:pPr>
      <w:rPr>
        <w:rFonts w:ascii="Wingdings" w:hAnsi="Wingdings" w:hint="default"/>
      </w:rPr>
    </w:lvl>
    <w:lvl w:ilvl="6" w:tentative="1">
      <w:start w:val="1"/>
      <w:numFmt w:val="bullet"/>
      <w:lvlText w:val=""/>
      <w:lvlJc w:val="left"/>
      <w:pPr>
        <w:ind w:left="5316" w:hanging="360"/>
      </w:pPr>
      <w:rPr>
        <w:rFonts w:ascii="Symbol" w:hAnsi="Symbol" w:hint="default"/>
      </w:rPr>
    </w:lvl>
    <w:lvl w:ilvl="7" w:tentative="1">
      <w:start w:val="1"/>
      <w:numFmt w:val="bullet"/>
      <w:lvlText w:val="o"/>
      <w:lvlJc w:val="left"/>
      <w:pPr>
        <w:ind w:left="6036" w:hanging="360"/>
      </w:pPr>
      <w:rPr>
        <w:rFonts w:ascii="Courier New" w:hAnsi="Courier New" w:hint="default"/>
      </w:rPr>
    </w:lvl>
    <w:lvl w:ilvl="8" w:tentative="1">
      <w:start w:val="1"/>
      <w:numFmt w:val="bullet"/>
      <w:lvlText w:val=""/>
      <w:lvlJc w:val="left"/>
      <w:pPr>
        <w:ind w:left="6756" w:hanging="360"/>
      </w:pPr>
      <w:rPr>
        <w:rFonts w:ascii="Wingdings" w:hAnsi="Wingdings" w:hint="default"/>
      </w:rPr>
    </w:lvl>
  </w:abstractNum>
  <w:abstractNum w:abstractNumId="9">
    <w:nsid w:val="1B054162"/>
    <w:multiLevelType w:val="hybridMultilevel"/>
    <w:tmpl w:val="294CCC8E"/>
    <w:lvl w:ilvl="0">
      <w:start w:val="0"/>
      <w:numFmt w:val="bullet"/>
      <w:lvlText w:val="•"/>
      <w:lvlJc w:val="left"/>
      <w:pPr>
        <w:ind w:left="1080" w:hanging="72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3409FC"/>
    <w:multiLevelType w:val="hybridMultilevel"/>
    <w:tmpl w:val="74A4434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289C3548"/>
    <w:multiLevelType w:val="hybridMultilevel"/>
    <w:tmpl w:val="D2663094"/>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AC050BE"/>
    <w:multiLevelType w:val="hybridMultilevel"/>
    <w:tmpl w:val="A45E5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546D4B"/>
    <w:multiLevelType w:val="hybridMultilevel"/>
    <w:tmpl w:val="9CF053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361529"/>
    <w:multiLevelType w:val="hybridMultilevel"/>
    <w:tmpl w:val="F26A4D6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397F016C"/>
    <w:multiLevelType w:val="hybridMultilevel"/>
    <w:tmpl w:val="9C448182"/>
    <w:lvl w:ilvl="0">
      <w:start w:val="0"/>
      <w:numFmt w:val="bullet"/>
      <w:lvlText w:val=""/>
      <w:lvlJc w:val="left"/>
      <w:pPr>
        <w:ind w:left="360" w:hanging="360"/>
      </w:pPr>
      <w:rPr>
        <w:rFonts w:ascii="Symbol" w:eastAsia="Times New Roman"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A9E71E6"/>
    <w:multiLevelType w:val="hybridMultilevel"/>
    <w:tmpl w:val="BE208B08"/>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9E53B9"/>
    <w:multiLevelType w:val="hybridMultilevel"/>
    <w:tmpl w:val="5F7A3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BF58E1"/>
    <w:multiLevelType w:val="hybridMultilevel"/>
    <w:tmpl w:val="A3406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FB5D6A"/>
    <w:multiLevelType w:val="hybridMultilevel"/>
    <w:tmpl w:val="2620DC7C"/>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AC5260"/>
    <w:multiLevelType w:val="hybridMultilevel"/>
    <w:tmpl w:val="66181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BDE2799"/>
    <w:multiLevelType w:val="hybridMultilevel"/>
    <w:tmpl w:val="A6B03F9E"/>
    <w:lvl w:ilvl="0">
      <w:start w:val="8"/>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3DB255F"/>
    <w:multiLevelType w:val="hybridMultilevel"/>
    <w:tmpl w:val="E2EE686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D1B7937"/>
    <w:multiLevelType w:val="hybridMultilevel"/>
    <w:tmpl w:val="AA1685E8"/>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D65F84"/>
    <w:multiLevelType w:val="hybridMultilevel"/>
    <w:tmpl w:val="4712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13F4B34"/>
    <w:multiLevelType w:val="hybridMultilevel"/>
    <w:tmpl w:val="BAD047F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6">
    <w:nsid w:val="754C2426"/>
    <w:multiLevelType w:val="hybridMultilevel"/>
    <w:tmpl w:val="E4983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D02EFF"/>
    <w:multiLevelType w:val="hybridMultilevel"/>
    <w:tmpl w:val="2B98D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925437C"/>
    <w:multiLevelType w:val="hybridMultilevel"/>
    <w:tmpl w:val="709A3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BE254C8"/>
    <w:multiLevelType w:val="hybridMultilevel"/>
    <w:tmpl w:val="863C556E"/>
    <w:lvl w:ilvl="0">
      <w:start w:val="1"/>
      <w:numFmt w:val="decimal"/>
      <w:lvlText w:val="%1."/>
      <w:lvlJc w:val="left"/>
      <w:pPr>
        <w:ind w:left="360" w:hanging="360"/>
      </w:pPr>
      <w:rPr>
        <w:rFonts w:cs="Times New Roman" w:hint="default"/>
        <w:u w:val="none"/>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1906836250">
    <w:abstractNumId w:val="27"/>
  </w:num>
  <w:num w:numId="2" w16cid:durableId="385446297">
    <w:abstractNumId w:val="24"/>
  </w:num>
  <w:num w:numId="3" w16cid:durableId="291181113">
    <w:abstractNumId w:val="11"/>
  </w:num>
  <w:num w:numId="4" w16cid:durableId="903755053">
    <w:abstractNumId w:val="25"/>
  </w:num>
  <w:num w:numId="5" w16cid:durableId="4979684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805465">
    <w:abstractNumId w:val="15"/>
  </w:num>
  <w:num w:numId="7" w16cid:durableId="881791647">
    <w:abstractNumId w:val="29"/>
  </w:num>
  <w:num w:numId="8" w16cid:durableId="788815265">
    <w:abstractNumId w:val="7"/>
  </w:num>
  <w:num w:numId="9" w16cid:durableId="1359040684">
    <w:abstractNumId w:val="10"/>
  </w:num>
  <w:num w:numId="10" w16cid:durableId="898327319">
    <w:abstractNumId w:val="20"/>
  </w:num>
  <w:num w:numId="11" w16cid:durableId="1963683175">
    <w:abstractNumId w:val="8"/>
  </w:num>
  <w:num w:numId="12" w16cid:durableId="2112239771">
    <w:abstractNumId w:val="26"/>
  </w:num>
  <w:num w:numId="13" w16cid:durableId="32317442">
    <w:abstractNumId w:val="18"/>
  </w:num>
  <w:num w:numId="14" w16cid:durableId="541986745">
    <w:abstractNumId w:val="1"/>
  </w:num>
  <w:num w:numId="15" w16cid:durableId="308481783">
    <w:abstractNumId w:val="23"/>
  </w:num>
  <w:num w:numId="16" w16cid:durableId="1301493988">
    <w:abstractNumId w:val="19"/>
  </w:num>
  <w:num w:numId="17" w16cid:durableId="1431657899">
    <w:abstractNumId w:val="5"/>
  </w:num>
  <w:num w:numId="18" w16cid:durableId="884488193">
    <w:abstractNumId w:val="16"/>
  </w:num>
  <w:num w:numId="19" w16cid:durableId="738284508">
    <w:abstractNumId w:val="3"/>
  </w:num>
  <w:num w:numId="20" w16cid:durableId="1069302515">
    <w:abstractNumId w:val="21"/>
  </w:num>
  <w:num w:numId="21" w16cid:durableId="1673878464">
    <w:abstractNumId w:val="22"/>
  </w:num>
  <w:num w:numId="22" w16cid:durableId="1639608046">
    <w:abstractNumId w:val="17"/>
  </w:num>
  <w:num w:numId="23" w16cid:durableId="1885483458">
    <w:abstractNumId w:val="12"/>
  </w:num>
  <w:num w:numId="24" w16cid:durableId="707144421">
    <w:abstractNumId w:val="9"/>
  </w:num>
  <w:num w:numId="25" w16cid:durableId="775058934">
    <w:abstractNumId w:val="6"/>
  </w:num>
  <w:num w:numId="26" w16cid:durableId="1316836336">
    <w:abstractNumId w:val="2"/>
  </w:num>
  <w:num w:numId="27" w16cid:durableId="2062248222">
    <w:abstractNumId w:val="28"/>
  </w:num>
  <w:num w:numId="28" w16cid:durableId="1544637225">
    <w:abstractNumId w:val="13"/>
  </w:num>
  <w:num w:numId="29" w16cid:durableId="518156641">
    <w:abstractNumId w:val="4"/>
  </w:num>
  <w:num w:numId="30" w16cid:durableId="996880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95"/>
    <w:rsid w:val="000004FC"/>
    <w:rsid w:val="00005723"/>
    <w:rsid w:val="00006757"/>
    <w:rsid w:val="00006B87"/>
    <w:rsid w:val="0001585F"/>
    <w:rsid w:val="00017D8B"/>
    <w:rsid w:val="000260B4"/>
    <w:rsid w:val="00037595"/>
    <w:rsid w:val="00040337"/>
    <w:rsid w:val="00046CAF"/>
    <w:rsid w:val="0004775D"/>
    <w:rsid w:val="00047767"/>
    <w:rsid w:val="000479B5"/>
    <w:rsid w:val="000506C9"/>
    <w:rsid w:val="000527DF"/>
    <w:rsid w:val="000573C0"/>
    <w:rsid w:val="00060491"/>
    <w:rsid w:val="00060504"/>
    <w:rsid w:val="00060C86"/>
    <w:rsid w:val="00061373"/>
    <w:rsid w:val="000649E9"/>
    <w:rsid w:val="00064C5B"/>
    <w:rsid w:val="000652FE"/>
    <w:rsid w:val="000669C7"/>
    <w:rsid w:val="00072C4F"/>
    <w:rsid w:val="00072EC5"/>
    <w:rsid w:val="000754A5"/>
    <w:rsid w:val="000759B9"/>
    <w:rsid w:val="0008309B"/>
    <w:rsid w:val="00083C1D"/>
    <w:rsid w:val="0008556B"/>
    <w:rsid w:val="00094BA4"/>
    <w:rsid w:val="00095208"/>
    <w:rsid w:val="00095B15"/>
    <w:rsid w:val="000A0625"/>
    <w:rsid w:val="000A1127"/>
    <w:rsid w:val="000B1E97"/>
    <w:rsid w:val="000B4651"/>
    <w:rsid w:val="000C47D8"/>
    <w:rsid w:val="000C4C24"/>
    <w:rsid w:val="000C5E42"/>
    <w:rsid w:val="000C67AA"/>
    <w:rsid w:val="000C7F9A"/>
    <w:rsid w:val="000D1AC6"/>
    <w:rsid w:val="000D1C97"/>
    <w:rsid w:val="000E2054"/>
    <w:rsid w:val="000E733D"/>
    <w:rsid w:val="000F5FB6"/>
    <w:rsid w:val="000F6E39"/>
    <w:rsid w:val="0010327A"/>
    <w:rsid w:val="00104A74"/>
    <w:rsid w:val="00105E90"/>
    <w:rsid w:val="0011312E"/>
    <w:rsid w:val="0011407E"/>
    <w:rsid w:val="0011500B"/>
    <w:rsid w:val="00121409"/>
    <w:rsid w:val="00130D67"/>
    <w:rsid w:val="0013515C"/>
    <w:rsid w:val="00140980"/>
    <w:rsid w:val="00140B9D"/>
    <w:rsid w:val="00141D2F"/>
    <w:rsid w:val="001469A7"/>
    <w:rsid w:val="00153BE6"/>
    <w:rsid w:val="00156904"/>
    <w:rsid w:val="00163AF7"/>
    <w:rsid w:val="001749DD"/>
    <w:rsid w:val="00176383"/>
    <w:rsid w:val="001802FC"/>
    <w:rsid w:val="00181F4A"/>
    <w:rsid w:val="00182079"/>
    <w:rsid w:val="001849F5"/>
    <w:rsid w:val="00186E62"/>
    <w:rsid w:val="001A3538"/>
    <w:rsid w:val="001A3E1C"/>
    <w:rsid w:val="001A42C3"/>
    <w:rsid w:val="001A5534"/>
    <w:rsid w:val="001B0233"/>
    <w:rsid w:val="001B2488"/>
    <w:rsid w:val="001C4D8B"/>
    <w:rsid w:val="001D1682"/>
    <w:rsid w:val="001D1DA6"/>
    <w:rsid w:val="001D3326"/>
    <w:rsid w:val="001D4798"/>
    <w:rsid w:val="001D5D5D"/>
    <w:rsid w:val="001D7E85"/>
    <w:rsid w:val="001E40F6"/>
    <w:rsid w:val="001E73C9"/>
    <w:rsid w:val="001F09D9"/>
    <w:rsid w:val="001F0F93"/>
    <w:rsid w:val="0020485B"/>
    <w:rsid w:val="00204DA9"/>
    <w:rsid w:val="00207226"/>
    <w:rsid w:val="002117B5"/>
    <w:rsid w:val="00217D7B"/>
    <w:rsid w:val="00220FB1"/>
    <w:rsid w:val="0022260A"/>
    <w:rsid w:val="00223623"/>
    <w:rsid w:val="00226164"/>
    <w:rsid w:val="002359F0"/>
    <w:rsid w:val="002364B9"/>
    <w:rsid w:val="002369CA"/>
    <w:rsid w:val="0024297E"/>
    <w:rsid w:val="0024443E"/>
    <w:rsid w:val="0024577B"/>
    <w:rsid w:val="002477A6"/>
    <w:rsid w:val="00247D2B"/>
    <w:rsid w:val="00250546"/>
    <w:rsid w:val="00251465"/>
    <w:rsid w:val="002524E3"/>
    <w:rsid w:val="00256816"/>
    <w:rsid w:val="00256BAE"/>
    <w:rsid w:val="0026423D"/>
    <w:rsid w:val="00266994"/>
    <w:rsid w:val="00274054"/>
    <w:rsid w:val="002750E4"/>
    <w:rsid w:val="00276D81"/>
    <w:rsid w:val="0027777D"/>
    <w:rsid w:val="00281C89"/>
    <w:rsid w:val="00281D9C"/>
    <w:rsid w:val="002821C9"/>
    <w:rsid w:val="00282906"/>
    <w:rsid w:val="00282D14"/>
    <w:rsid w:val="00282FDE"/>
    <w:rsid w:val="00285742"/>
    <w:rsid w:val="00285B41"/>
    <w:rsid w:val="002925F3"/>
    <w:rsid w:val="00292D2D"/>
    <w:rsid w:val="00294626"/>
    <w:rsid w:val="00295013"/>
    <w:rsid w:val="00295BBD"/>
    <w:rsid w:val="002A55B1"/>
    <w:rsid w:val="002A55FF"/>
    <w:rsid w:val="002A7672"/>
    <w:rsid w:val="002A780B"/>
    <w:rsid w:val="002B556C"/>
    <w:rsid w:val="002C33CB"/>
    <w:rsid w:val="002D0A40"/>
    <w:rsid w:val="002D27CE"/>
    <w:rsid w:val="002D5C42"/>
    <w:rsid w:val="002D7FAA"/>
    <w:rsid w:val="002E2357"/>
    <w:rsid w:val="002E5C35"/>
    <w:rsid w:val="002E5DAF"/>
    <w:rsid w:val="002E7EFC"/>
    <w:rsid w:val="002F2D7C"/>
    <w:rsid w:val="002F32F5"/>
    <w:rsid w:val="002F53E6"/>
    <w:rsid w:val="003012A1"/>
    <w:rsid w:val="00301BA6"/>
    <w:rsid w:val="00303FAE"/>
    <w:rsid w:val="00311F82"/>
    <w:rsid w:val="0031232C"/>
    <w:rsid w:val="003147EB"/>
    <w:rsid w:val="00324EE2"/>
    <w:rsid w:val="00325588"/>
    <w:rsid w:val="003303FF"/>
    <w:rsid w:val="00330910"/>
    <w:rsid w:val="00330DA4"/>
    <w:rsid w:val="0033314C"/>
    <w:rsid w:val="003471F7"/>
    <w:rsid w:val="003502D2"/>
    <w:rsid w:val="00352B7C"/>
    <w:rsid w:val="00352E74"/>
    <w:rsid w:val="003533FD"/>
    <w:rsid w:val="003562C0"/>
    <w:rsid w:val="00360EF3"/>
    <w:rsid w:val="00362591"/>
    <w:rsid w:val="003654DD"/>
    <w:rsid w:val="00366193"/>
    <w:rsid w:val="00367A70"/>
    <w:rsid w:val="00370E2D"/>
    <w:rsid w:val="0037167C"/>
    <w:rsid w:val="0037297B"/>
    <w:rsid w:val="00372AE1"/>
    <w:rsid w:val="00373902"/>
    <w:rsid w:val="00373953"/>
    <w:rsid w:val="00374519"/>
    <w:rsid w:val="003745DF"/>
    <w:rsid w:val="00374FC0"/>
    <w:rsid w:val="00382CA8"/>
    <w:rsid w:val="003835F3"/>
    <w:rsid w:val="00384BE8"/>
    <w:rsid w:val="003929DD"/>
    <w:rsid w:val="003969E6"/>
    <w:rsid w:val="003A45B3"/>
    <w:rsid w:val="003A5314"/>
    <w:rsid w:val="003B0146"/>
    <w:rsid w:val="003B0FFC"/>
    <w:rsid w:val="003B1BA0"/>
    <w:rsid w:val="003B2F16"/>
    <w:rsid w:val="003C22A7"/>
    <w:rsid w:val="003C27D9"/>
    <w:rsid w:val="003C2907"/>
    <w:rsid w:val="003C5560"/>
    <w:rsid w:val="003C6818"/>
    <w:rsid w:val="003D17FD"/>
    <w:rsid w:val="003D38C8"/>
    <w:rsid w:val="003D484F"/>
    <w:rsid w:val="003E5647"/>
    <w:rsid w:val="003F2579"/>
    <w:rsid w:val="003F2F82"/>
    <w:rsid w:val="003F559F"/>
    <w:rsid w:val="003F5AE6"/>
    <w:rsid w:val="00405393"/>
    <w:rsid w:val="0040651E"/>
    <w:rsid w:val="004122C6"/>
    <w:rsid w:val="00413C62"/>
    <w:rsid w:val="00421095"/>
    <w:rsid w:val="00421B81"/>
    <w:rsid w:val="00423E5E"/>
    <w:rsid w:val="00425DD5"/>
    <w:rsid w:val="0042651D"/>
    <w:rsid w:val="00426EA9"/>
    <w:rsid w:val="00435C84"/>
    <w:rsid w:val="00435C9C"/>
    <w:rsid w:val="004375F5"/>
    <w:rsid w:val="0044191D"/>
    <w:rsid w:val="00441FBB"/>
    <w:rsid w:val="004477FE"/>
    <w:rsid w:val="00461BB8"/>
    <w:rsid w:val="00461CE6"/>
    <w:rsid w:val="004630DD"/>
    <w:rsid w:val="00466C91"/>
    <w:rsid w:val="004703D5"/>
    <w:rsid w:val="004715A9"/>
    <w:rsid w:val="00473176"/>
    <w:rsid w:val="00474808"/>
    <w:rsid w:val="00475BE7"/>
    <w:rsid w:val="00477FA1"/>
    <w:rsid w:val="0048160C"/>
    <w:rsid w:val="0048164F"/>
    <w:rsid w:val="00495F4C"/>
    <w:rsid w:val="00497943"/>
    <w:rsid w:val="004A417A"/>
    <w:rsid w:val="004A51EC"/>
    <w:rsid w:val="004A6B77"/>
    <w:rsid w:val="004B0627"/>
    <w:rsid w:val="004B0F7A"/>
    <w:rsid w:val="004B1EDD"/>
    <w:rsid w:val="004B30D2"/>
    <w:rsid w:val="004B3FB3"/>
    <w:rsid w:val="004B4B5F"/>
    <w:rsid w:val="004C0E13"/>
    <w:rsid w:val="004C3839"/>
    <w:rsid w:val="004C6DC6"/>
    <w:rsid w:val="004C7194"/>
    <w:rsid w:val="004C7B82"/>
    <w:rsid w:val="004D33AF"/>
    <w:rsid w:val="004D3CA4"/>
    <w:rsid w:val="004D74A1"/>
    <w:rsid w:val="004E7B9D"/>
    <w:rsid w:val="004F322F"/>
    <w:rsid w:val="00501F65"/>
    <w:rsid w:val="00505AFE"/>
    <w:rsid w:val="00513698"/>
    <w:rsid w:val="0051685F"/>
    <w:rsid w:val="005179E2"/>
    <w:rsid w:val="00517AB0"/>
    <w:rsid w:val="005265A1"/>
    <w:rsid w:val="00531EE7"/>
    <w:rsid w:val="005346F1"/>
    <w:rsid w:val="005357C8"/>
    <w:rsid w:val="00535F9E"/>
    <w:rsid w:val="00537510"/>
    <w:rsid w:val="005411DA"/>
    <w:rsid w:val="00544989"/>
    <w:rsid w:val="0055356F"/>
    <w:rsid w:val="0055470A"/>
    <w:rsid w:val="00556135"/>
    <w:rsid w:val="0056033F"/>
    <w:rsid w:val="00560FBB"/>
    <w:rsid w:val="00567C7D"/>
    <w:rsid w:val="0057026E"/>
    <w:rsid w:val="00570489"/>
    <w:rsid w:val="00577E44"/>
    <w:rsid w:val="005858EB"/>
    <w:rsid w:val="00594C83"/>
    <w:rsid w:val="00596C3F"/>
    <w:rsid w:val="005A044D"/>
    <w:rsid w:val="005A3E03"/>
    <w:rsid w:val="005B02C6"/>
    <w:rsid w:val="005B0BC3"/>
    <w:rsid w:val="005B2D6D"/>
    <w:rsid w:val="005C1237"/>
    <w:rsid w:val="005C5A1C"/>
    <w:rsid w:val="005C7842"/>
    <w:rsid w:val="005D13C5"/>
    <w:rsid w:val="005D5E6F"/>
    <w:rsid w:val="005E5206"/>
    <w:rsid w:val="005F4939"/>
    <w:rsid w:val="00607235"/>
    <w:rsid w:val="00611AB4"/>
    <w:rsid w:val="00611B5F"/>
    <w:rsid w:val="006200FB"/>
    <w:rsid w:val="00623405"/>
    <w:rsid w:val="006251DF"/>
    <w:rsid w:val="00627CF0"/>
    <w:rsid w:val="00634B4A"/>
    <w:rsid w:val="006376C2"/>
    <w:rsid w:val="0064074E"/>
    <w:rsid w:val="006446A3"/>
    <w:rsid w:val="00651ECE"/>
    <w:rsid w:val="00661BD3"/>
    <w:rsid w:val="00662CA2"/>
    <w:rsid w:val="0066316E"/>
    <w:rsid w:val="00665AE9"/>
    <w:rsid w:val="00670344"/>
    <w:rsid w:val="0067081A"/>
    <w:rsid w:val="00672455"/>
    <w:rsid w:val="00676DC3"/>
    <w:rsid w:val="0067742B"/>
    <w:rsid w:val="00677A7D"/>
    <w:rsid w:val="0068590E"/>
    <w:rsid w:val="0068628D"/>
    <w:rsid w:val="00690FF0"/>
    <w:rsid w:val="006917BB"/>
    <w:rsid w:val="00696348"/>
    <w:rsid w:val="00696402"/>
    <w:rsid w:val="006A30D8"/>
    <w:rsid w:val="006C2C00"/>
    <w:rsid w:val="006D1FAA"/>
    <w:rsid w:val="006E017A"/>
    <w:rsid w:val="006E55C8"/>
    <w:rsid w:val="006E5F98"/>
    <w:rsid w:val="006F31F1"/>
    <w:rsid w:val="006F4AA5"/>
    <w:rsid w:val="006F5F0F"/>
    <w:rsid w:val="007028C1"/>
    <w:rsid w:val="00705C30"/>
    <w:rsid w:val="0070651F"/>
    <w:rsid w:val="007076CA"/>
    <w:rsid w:val="00711520"/>
    <w:rsid w:val="007136D8"/>
    <w:rsid w:val="00713E27"/>
    <w:rsid w:val="0071415E"/>
    <w:rsid w:val="00714F0E"/>
    <w:rsid w:val="00715A44"/>
    <w:rsid w:val="007169CB"/>
    <w:rsid w:val="00720808"/>
    <w:rsid w:val="00730724"/>
    <w:rsid w:val="00731417"/>
    <w:rsid w:val="0073242B"/>
    <w:rsid w:val="0073242F"/>
    <w:rsid w:val="0074438B"/>
    <w:rsid w:val="007455C0"/>
    <w:rsid w:val="0074569B"/>
    <w:rsid w:val="00747EEF"/>
    <w:rsid w:val="0075264C"/>
    <w:rsid w:val="00754D27"/>
    <w:rsid w:val="00765B7D"/>
    <w:rsid w:val="0077058E"/>
    <w:rsid w:val="00782A96"/>
    <w:rsid w:val="00784522"/>
    <w:rsid w:val="0078584C"/>
    <w:rsid w:val="00787BF0"/>
    <w:rsid w:val="007907FA"/>
    <w:rsid w:val="00791A85"/>
    <w:rsid w:val="007925A3"/>
    <w:rsid w:val="0079398A"/>
    <w:rsid w:val="00794DC9"/>
    <w:rsid w:val="00795904"/>
    <w:rsid w:val="007A0F24"/>
    <w:rsid w:val="007A395A"/>
    <w:rsid w:val="007A3ACF"/>
    <w:rsid w:val="007A3AED"/>
    <w:rsid w:val="007A4C12"/>
    <w:rsid w:val="007A538F"/>
    <w:rsid w:val="007A631D"/>
    <w:rsid w:val="007B1C4D"/>
    <w:rsid w:val="007B4BE5"/>
    <w:rsid w:val="007B4F8B"/>
    <w:rsid w:val="007B673F"/>
    <w:rsid w:val="007C0EFD"/>
    <w:rsid w:val="007C47D6"/>
    <w:rsid w:val="007C4CB4"/>
    <w:rsid w:val="007C5AA8"/>
    <w:rsid w:val="007C5C95"/>
    <w:rsid w:val="007D45D3"/>
    <w:rsid w:val="007D4974"/>
    <w:rsid w:val="007D521C"/>
    <w:rsid w:val="007D5A2C"/>
    <w:rsid w:val="007D6088"/>
    <w:rsid w:val="007D71DA"/>
    <w:rsid w:val="007E05A7"/>
    <w:rsid w:val="007E3D32"/>
    <w:rsid w:val="007E4BD4"/>
    <w:rsid w:val="007F1ACE"/>
    <w:rsid w:val="007F4589"/>
    <w:rsid w:val="007F4BBC"/>
    <w:rsid w:val="007F6472"/>
    <w:rsid w:val="00801E9A"/>
    <w:rsid w:val="0080504C"/>
    <w:rsid w:val="008120E5"/>
    <w:rsid w:val="0081314E"/>
    <w:rsid w:val="008163AC"/>
    <w:rsid w:val="0081691A"/>
    <w:rsid w:val="00830786"/>
    <w:rsid w:val="0083224D"/>
    <w:rsid w:val="0083289A"/>
    <w:rsid w:val="00846825"/>
    <w:rsid w:val="008528EB"/>
    <w:rsid w:val="008534AF"/>
    <w:rsid w:val="00854ACC"/>
    <w:rsid w:val="0085543C"/>
    <w:rsid w:val="00855D09"/>
    <w:rsid w:val="00864246"/>
    <w:rsid w:val="00867690"/>
    <w:rsid w:val="00873402"/>
    <w:rsid w:val="00877538"/>
    <w:rsid w:val="00886110"/>
    <w:rsid w:val="0088712E"/>
    <w:rsid w:val="008879D0"/>
    <w:rsid w:val="008939CA"/>
    <w:rsid w:val="008961AB"/>
    <w:rsid w:val="0089709F"/>
    <w:rsid w:val="008A2DFC"/>
    <w:rsid w:val="008A6C4F"/>
    <w:rsid w:val="008B5838"/>
    <w:rsid w:val="008C0C2E"/>
    <w:rsid w:val="008C2A8B"/>
    <w:rsid w:val="008C5377"/>
    <w:rsid w:val="008C62B2"/>
    <w:rsid w:val="008C7848"/>
    <w:rsid w:val="008D0408"/>
    <w:rsid w:val="008D7CC0"/>
    <w:rsid w:val="008E7C08"/>
    <w:rsid w:val="008F1399"/>
    <w:rsid w:val="008F163E"/>
    <w:rsid w:val="008F3154"/>
    <w:rsid w:val="008F5E3F"/>
    <w:rsid w:val="009038D8"/>
    <w:rsid w:val="0090454E"/>
    <w:rsid w:val="009118B1"/>
    <w:rsid w:val="00912B36"/>
    <w:rsid w:val="00926C2C"/>
    <w:rsid w:val="00926F19"/>
    <w:rsid w:val="00931570"/>
    <w:rsid w:val="009445F6"/>
    <w:rsid w:val="0094698E"/>
    <w:rsid w:val="00946F55"/>
    <w:rsid w:val="00947264"/>
    <w:rsid w:val="0095719B"/>
    <w:rsid w:val="009661F3"/>
    <w:rsid w:val="009678F3"/>
    <w:rsid w:val="00971178"/>
    <w:rsid w:val="009740BB"/>
    <w:rsid w:val="00975C81"/>
    <w:rsid w:val="00981C6C"/>
    <w:rsid w:val="00986A0E"/>
    <w:rsid w:val="00990A93"/>
    <w:rsid w:val="00993666"/>
    <w:rsid w:val="00995628"/>
    <w:rsid w:val="009975FD"/>
    <w:rsid w:val="009A2533"/>
    <w:rsid w:val="009A28DE"/>
    <w:rsid w:val="009A2F21"/>
    <w:rsid w:val="009A5B88"/>
    <w:rsid w:val="009A78FA"/>
    <w:rsid w:val="009B53C8"/>
    <w:rsid w:val="009B68E4"/>
    <w:rsid w:val="009B7BC4"/>
    <w:rsid w:val="009C0B37"/>
    <w:rsid w:val="009C3F14"/>
    <w:rsid w:val="009D445A"/>
    <w:rsid w:val="009E218E"/>
    <w:rsid w:val="009E387E"/>
    <w:rsid w:val="009F36B6"/>
    <w:rsid w:val="009F5C3A"/>
    <w:rsid w:val="009F6AAB"/>
    <w:rsid w:val="00A038C0"/>
    <w:rsid w:val="00A04216"/>
    <w:rsid w:val="00A069A6"/>
    <w:rsid w:val="00A12BEA"/>
    <w:rsid w:val="00A1454E"/>
    <w:rsid w:val="00A14B3A"/>
    <w:rsid w:val="00A17702"/>
    <w:rsid w:val="00A2620B"/>
    <w:rsid w:val="00A30300"/>
    <w:rsid w:val="00A323C9"/>
    <w:rsid w:val="00A33BAA"/>
    <w:rsid w:val="00A355FD"/>
    <w:rsid w:val="00A37AB4"/>
    <w:rsid w:val="00A40850"/>
    <w:rsid w:val="00A45B67"/>
    <w:rsid w:val="00A471AD"/>
    <w:rsid w:val="00A50A7E"/>
    <w:rsid w:val="00A560AA"/>
    <w:rsid w:val="00A63F72"/>
    <w:rsid w:val="00A647AE"/>
    <w:rsid w:val="00A6699A"/>
    <w:rsid w:val="00A717F4"/>
    <w:rsid w:val="00A71869"/>
    <w:rsid w:val="00A71C78"/>
    <w:rsid w:val="00A75DA0"/>
    <w:rsid w:val="00A87662"/>
    <w:rsid w:val="00A95CFB"/>
    <w:rsid w:val="00AA530A"/>
    <w:rsid w:val="00AA688D"/>
    <w:rsid w:val="00AB24CA"/>
    <w:rsid w:val="00AB307C"/>
    <w:rsid w:val="00AB3DEE"/>
    <w:rsid w:val="00AB507D"/>
    <w:rsid w:val="00AB749E"/>
    <w:rsid w:val="00AC0BE6"/>
    <w:rsid w:val="00AC1396"/>
    <w:rsid w:val="00AC34F8"/>
    <w:rsid w:val="00AD0392"/>
    <w:rsid w:val="00AD37C2"/>
    <w:rsid w:val="00AD6440"/>
    <w:rsid w:val="00AD6A55"/>
    <w:rsid w:val="00AD7449"/>
    <w:rsid w:val="00AE2023"/>
    <w:rsid w:val="00AE2D4A"/>
    <w:rsid w:val="00AE5CBF"/>
    <w:rsid w:val="00AE707C"/>
    <w:rsid w:val="00AF1021"/>
    <w:rsid w:val="00AF12AC"/>
    <w:rsid w:val="00AF619C"/>
    <w:rsid w:val="00AF7302"/>
    <w:rsid w:val="00AF75A8"/>
    <w:rsid w:val="00B0098D"/>
    <w:rsid w:val="00B04041"/>
    <w:rsid w:val="00B0677D"/>
    <w:rsid w:val="00B10337"/>
    <w:rsid w:val="00B214BC"/>
    <w:rsid w:val="00B21B52"/>
    <w:rsid w:val="00B265B4"/>
    <w:rsid w:val="00B41FD1"/>
    <w:rsid w:val="00B478DB"/>
    <w:rsid w:val="00B502CB"/>
    <w:rsid w:val="00B510A8"/>
    <w:rsid w:val="00B51B03"/>
    <w:rsid w:val="00B51F0C"/>
    <w:rsid w:val="00B637F4"/>
    <w:rsid w:val="00B65499"/>
    <w:rsid w:val="00B65908"/>
    <w:rsid w:val="00B67F45"/>
    <w:rsid w:val="00B7233D"/>
    <w:rsid w:val="00B75E62"/>
    <w:rsid w:val="00B772EC"/>
    <w:rsid w:val="00B82E83"/>
    <w:rsid w:val="00B83BB5"/>
    <w:rsid w:val="00B848AA"/>
    <w:rsid w:val="00B8768B"/>
    <w:rsid w:val="00B96047"/>
    <w:rsid w:val="00BA02B0"/>
    <w:rsid w:val="00BA1631"/>
    <w:rsid w:val="00BB3221"/>
    <w:rsid w:val="00BB4A75"/>
    <w:rsid w:val="00BC0BE4"/>
    <w:rsid w:val="00BC2420"/>
    <w:rsid w:val="00BC595F"/>
    <w:rsid w:val="00BC7640"/>
    <w:rsid w:val="00BD19E9"/>
    <w:rsid w:val="00BD2B52"/>
    <w:rsid w:val="00BD4655"/>
    <w:rsid w:val="00BD62F3"/>
    <w:rsid w:val="00BD6806"/>
    <w:rsid w:val="00BD68D1"/>
    <w:rsid w:val="00BD7E8D"/>
    <w:rsid w:val="00BE1CB4"/>
    <w:rsid w:val="00BE7FE3"/>
    <w:rsid w:val="00BF24F3"/>
    <w:rsid w:val="00BF41F7"/>
    <w:rsid w:val="00BF4535"/>
    <w:rsid w:val="00BF487B"/>
    <w:rsid w:val="00BF496B"/>
    <w:rsid w:val="00BF5E05"/>
    <w:rsid w:val="00C022C5"/>
    <w:rsid w:val="00C12CDE"/>
    <w:rsid w:val="00C138F5"/>
    <w:rsid w:val="00C13F18"/>
    <w:rsid w:val="00C13F65"/>
    <w:rsid w:val="00C144B8"/>
    <w:rsid w:val="00C14A58"/>
    <w:rsid w:val="00C20214"/>
    <w:rsid w:val="00C25D1B"/>
    <w:rsid w:val="00C360EE"/>
    <w:rsid w:val="00C36312"/>
    <w:rsid w:val="00C46EDE"/>
    <w:rsid w:val="00C502B5"/>
    <w:rsid w:val="00C51B79"/>
    <w:rsid w:val="00C54A43"/>
    <w:rsid w:val="00C55C76"/>
    <w:rsid w:val="00C5649E"/>
    <w:rsid w:val="00C617FA"/>
    <w:rsid w:val="00C76EB3"/>
    <w:rsid w:val="00C80BC6"/>
    <w:rsid w:val="00C824D4"/>
    <w:rsid w:val="00C87BA8"/>
    <w:rsid w:val="00C90010"/>
    <w:rsid w:val="00C94614"/>
    <w:rsid w:val="00C95008"/>
    <w:rsid w:val="00CA08D2"/>
    <w:rsid w:val="00CA0982"/>
    <w:rsid w:val="00CA1E4A"/>
    <w:rsid w:val="00CA3573"/>
    <w:rsid w:val="00CB0D9B"/>
    <w:rsid w:val="00CB1A3F"/>
    <w:rsid w:val="00CB27E3"/>
    <w:rsid w:val="00CB4E2F"/>
    <w:rsid w:val="00CC2CF6"/>
    <w:rsid w:val="00CC3477"/>
    <w:rsid w:val="00CC4A2E"/>
    <w:rsid w:val="00CC62A5"/>
    <w:rsid w:val="00CD2DCC"/>
    <w:rsid w:val="00CD397B"/>
    <w:rsid w:val="00CE367C"/>
    <w:rsid w:val="00CE5DA4"/>
    <w:rsid w:val="00CE6E77"/>
    <w:rsid w:val="00CF12FE"/>
    <w:rsid w:val="00CF1C00"/>
    <w:rsid w:val="00CF45EA"/>
    <w:rsid w:val="00CF4AE5"/>
    <w:rsid w:val="00CF5047"/>
    <w:rsid w:val="00CF6DEB"/>
    <w:rsid w:val="00D02AB6"/>
    <w:rsid w:val="00D03469"/>
    <w:rsid w:val="00D103E3"/>
    <w:rsid w:val="00D111F9"/>
    <w:rsid w:val="00D13D97"/>
    <w:rsid w:val="00D152A7"/>
    <w:rsid w:val="00D16DCC"/>
    <w:rsid w:val="00D24C23"/>
    <w:rsid w:val="00D365E4"/>
    <w:rsid w:val="00D41267"/>
    <w:rsid w:val="00D474D8"/>
    <w:rsid w:val="00D51B2B"/>
    <w:rsid w:val="00D534B2"/>
    <w:rsid w:val="00D566D1"/>
    <w:rsid w:val="00D57E7A"/>
    <w:rsid w:val="00D62399"/>
    <w:rsid w:val="00D65731"/>
    <w:rsid w:val="00D66519"/>
    <w:rsid w:val="00D672FC"/>
    <w:rsid w:val="00D7712A"/>
    <w:rsid w:val="00D802B5"/>
    <w:rsid w:val="00D82D92"/>
    <w:rsid w:val="00D85E60"/>
    <w:rsid w:val="00D860C5"/>
    <w:rsid w:val="00D91BFB"/>
    <w:rsid w:val="00D955C8"/>
    <w:rsid w:val="00D95EEE"/>
    <w:rsid w:val="00D97A58"/>
    <w:rsid w:val="00DA515B"/>
    <w:rsid w:val="00DA5F64"/>
    <w:rsid w:val="00DB3467"/>
    <w:rsid w:val="00DB43F6"/>
    <w:rsid w:val="00DC14B5"/>
    <w:rsid w:val="00DC1DF6"/>
    <w:rsid w:val="00DC3B7A"/>
    <w:rsid w:val="00DC518D"/>
    <w:rsid w:val="00DC5B8E"/>
    <w:rsid w:val="00DC6AA6"/>
    <w:rsid w:val="00DD2692"/>
    <w:rsid w:val="00DD342E"/>
    <w:rsid w:val="00DD462A"/>
    <w:rsid w:val="00DD5DDC"/>
    <w:rsid w:val="00DD6689"/>
    <w:rsid w:val="00DF1CA0"/>
    <w:rsid w:val="00DF2615"/>
    <w:rsid w:val="00DF38D9"/>
    <w:rsid w:val="00DF621D"/>
    <w:rsid w:val="00DF6C07"/>
    <w:rsid w:val="00E00C63"/>
    <w:rsid w:val="00E05313"/>
    <w:rsid w:val="00E07E3D"/>
    <w:rsid w:val="00E10D69"/>
    <w:rsid w:val="00E11A50"/>
    <w:rsid w:val="00E157BE"/>
    <w:rsid w:val="00E16A84"/>
    <w:rsid w:val="00E24D98"/>
    <w:rsid w:val="00E317C6"/>
    <w:rsid w:val="00E34189"/>
    <w:rsid w:val="00E35781"/>
    <w:rsid w:val="00E41B52"/>
    <w:rsid w:val="00E42BA9"/>
    <w:rsid w:val="00E43EA9"/>
    <w:rsid w:val="00E45DB7"/>
    <w:rsid w:val="00E45EE9"/>
    <w:rsid w:val="00E51D06"/>
    <w:rsid w:val="00E52531"/>
    <w:rsid w:val="00E54165"/>
    <w:rsid w:val="00E634AD"/>
    <w:rsid w:val="00E645C4"/>
    <w:rsid w:val="00E6742D"/>
    <w:rsid w:val="00E75832"/>
    <w:rsid w:val="00E77256"/>
    <w:rsid w:val="00E800A6"/>
    <w:rsid w:val="00E81E00"/>
    <w:rsid w:val="00E8403D"/>
    <w:rsid w:val="00E9224C"/>
    <w:rsid w:val="00E9651F"/>
    <w:rsid w:val="00E9701A"/>
    <w:rsid w:val="00E972F1"/>
    <w:rsid w:val="00EA0627"/>
    <w:rsid w:val="00EA2A20"/>
    <w:rsid w:val="00EA581F"/>
    <w:rsid w:val="00EB3ADD"/>
    <w:rsid w:val="00EB51D9"/>
    <w:rsid w:val="00EC36F1"/>
    <w:rsid w:val="00EC6C2C"/>
    <w:rsid w:val="00EC7BBC"/>
    <w:rsid w:val="00ED1A73"/>
    <w:rsid w:val="00ED6A98"/>
    <w:rsid w:val="00EE3AD5"/>
    <w:rsid w:val="00EE6CE9"/>
    <w:rsid w:val="00EF3020"/>
    <w:rsid w:val="00EF6B93"/>
    <w:rsid w:val="00F00166"/>
    <w:rsid w:val="00F0381A"/>
    <w:rsid w:val="00F03B37"/>
    <w:rsid w:val="00F100AF"/>
    <w:rsid w:val="00F124DA"/>
    <w:rsid w:val="00F14A11"/>
    <w:rsid w:val="00F1791A"/>
    <w:rsid w:val="00F229F7"/>
    <w:rsid w:val="00F365CA"/>
    <w:rsid w:val="00F40DDF"/>
    <w:rsid w:val="00F4304A"/>
    <w:rsid w:val="00F502BF"/>
    <w:rsid w:val="00F567C1"/>
    <w:rsid w:val="00F60D79"/>
    <w:rsid w:val="00F61EBC"/>
    <w:rsid w:val="00F6202B"/>
    <w:rsid w:val="00F6452F"/>
    <w:rsid w:val="00F66958"/>
    <w:rsid w:val="00F706E6"/>
    <w:rsid w:val="00F75E16"/>
    <w:rsid w:val="00F80D9D"/>
    <w:rsid w:val="00F8259C"/>
    <w:rsid w:val="00F84901"/>
    <w:rsid w:val="00F84BA4"/>
    <w:rsid w:val="00F86795"/>
    <w:rsid w:val="00F87BB4"/>
    <w:rsid w:val="00F9018A"/>
    <w:rsid w:val="00F93B03"/>
    <w:rsid w:val="00FA0780"/>
    <w:rsid w:val="00FA4D66"/>
    <w:rsid w:val="00FA4DAA"/>
    <w:rsid w:val="00FA5482"/>
    <w:rsid w:val="00FA5B3F"/>
    <w:rsid w:val="00FA7E94"/>
    <w:rsid w:val="00FB3B49"/>
    <w:rsid w:val="00FB5E12"/>
    <w:rsid w:val="00FD6A27"/>
    <w:rsid w:val="00FD76C5"/>
    <w:rsid w:val="00FE1C5A"/>
    <w:rsid w:val="00FE43C2"/>
    <w:rsid w:val="00FE69CD"/>
    <w:rsid w:val="00FF2685"/>
    <w:rsid w:val="01059BB8"/>
    <w:rsid w:val="0125F080"/>
    <w:rsid w:val="01EBA31E"/>
    <w:rsid w:val="0220B6B6"/>
    <w:rsid w:val="028292A0"/>
    <w:rsid w:val="03051D53"/>
    <w:rsid w:val="039E7C5D"/>
    <w:rsid w:val="043424D9"/>
    <w:rsid w:val="048F6023"/>
    <w:rsid w:val="04974DA9"/>
    <w:rsid w:val="04DA79D0"/>
    <w:rsid w:val="0525DB7C"/>
    <w:rsid w:val="057E14BD"/>
    <w:rsid w:val="062010C1"/>
    <w:rsid w:val="062B3084"/>
    <w:rsid w:val="06331E0A"/>
    <w:rsid w:val="06AB236E"/>
    <w:rsid w:val="0748F741"/>
    <w:rsid w:val="0758D55C"/>
    <w:rsid w:val="07CEEE6B"/>
    <w:rsid w:val="08A4AA58"/>
    <w:rsid w:val="08BDA305"/>
    <w:rsid w:val="09981B8C"/>
    <w:rsid w:val="09F26289"/>
    <w:rsid w:val="0AEA29AB"/>
    <w:rsid w:val="0B068F2D"/>
    <w:rsid w:val="0BA71A0C"/>
    <w:rsid w:val="0BE2BC5E"/>
    <w:rsid w:val="0BF543C7"/>
    <w:rsid w:val="0D5A9AC1"/>
    <w:rsid w:val="0D911428"/>
    <w:rsid w:val="0DA215E4"/>
    <w:rsid w:val="0DBC595D"/>
    <w:rsid w:val="0DBFE004"/>
    <w:rsid w:val="0DC509AE"/>
    <w:rsid w:val="0DD5288B"/>
    <w:rsid w:val="0E3CB535"/>
    <w:rsid w:val="0E3E2FEF"/>
    <w:rsid w:val="0E454256"/>
    <w:rsid w:val="0E4FD924"/>
    <w:rsid w:val="0E7C3693"/>
    <w:rsid w:val="0EBF4CD5"/>
    <w:rsid w:val="0EE0C820"/>
    <w:rsid w:val="0F8DAD60"/>
    <w:rsid w:val="0FDA0050"/>
    <w:rsid w:val="1074AAF8"/>
    <w:rsid w:val="10CB3F22"/>
    <w:rsid w:val="10CEF1F5"/>
    <w:rsid w:val="1175D0B1"/>
    <w:rsid w:val="11D1F46A"/>
    <w:rsid w:val="12462D7D"/>
    <w:rsid w:val="1264854B"/>
    <w:rsid w:val="132F8901"/>
    <w:rsid w:val="13D46B0C"/>
    <w:rsid w:val="13FAAA32"/>
    <w:rsid w:val="16028E98"/>
    <w:rsid w:val="1618F632"/>
    <w:rsid w:val="16BF8F51"/>
    <w:rsid w:val="188F68EE"/>
    <w:rsid w:val="18D3C6CF"/>
    <w:rsid w:val="19061245"/>
    <w:rsid w:val="19063C1B"/>
    <w:rsid w:val="19E09B0F"/>
    <w:rsid w:val="1A5EC572"/>
    <w:rsid w:val="1B008B92"/>
    <w:rsid w:val="1BBD681D"/>
    <w:rsid w:val="1C0B6791"/>
    <w:rsid w:val="1CB88358"/>
    <w:rsid w:val="1D1FE462"/>
    <w:rsid w:val="1D390CBF"/>
    <w:rsid w:val="1DA737F2"/>
    <w:rsid w:val="1DAED141"/>
    <w:rsid w:val="1DC5BB03"/>
    <w:rsid w:val="1DC7077C"/>
    <w:rsid w:val="1EBBB4C3"/>
    <w:rsid w:val="1EED6E95"/>
    <w:rsid w:val="1F721A76"/>
    <w:rsid w:val="207715CD"/>
    <w:rsid w:val="20B19653"/>
    <w:rsid w:val="20DEFC0D"/>
    <w:rsid w:val="20FF2A19"/>
    <w:rsid w:val="21670617"/>
    <w:rsid w:val="218C187C"/>
    <w:rsid w:val="21A04AED"/>
    <w:rsid w:val="21F35585"/>
    <w:rsid w:val="246FC2F7"/>
    <w:rsid w:val="24D7EBAF"/>
    <w:rsid w:val="2528EBBC"/>
    <w:rsid w:val="2623BC57"/>
    <w:rsid w:val="2773F146"/>
    <w:rsid w:val="27E9BA53"/>
    <w:rsid w:val="2828B4CE"/>
    <w:rsid w:val="29183273"/>
    <w:rsid w:val="2934B344"/>
    <w:rsid w:val="295237BF"/>
    <w:rsid w:val="29C4852F"/>
    <w:rsid w:val="2A02FAF1"/>
    <w:rsid w:val="2A45A8F3"/>
    <w:rsid w:val="2A5D2162"/>
    <w:rsid w:val="2A817FA8"/>
    <w:rsid w:val="2ABBA1FB"/>
    <w:rsid w:val="2B9ECB52"/>
    <w:rsid w:val="2BD47510"/>
    <w:rsid w:val="2BD8861A"/>
    <w:rsid w:val="2CACA040"/>
    <w:rsid w:val="2EF82D97"/>
    <w:rsid w:val="3032FAC8"/>
    <w:rsid w:val="307EE3C5"/>
    <w:rsid w:val="308B6844"/>
    <w:rsid w:val="317A943E"/>
    <w:rsid w:val="317BC8E3"/>
    <w:rsid w:val="31D0EE73"/>
    <w:rsid w:val="31D14315"/>
    <w:rsid w:val="326FA1CA"/>
    <w:rsid w:val="32EE4F4C"/>
    <w:rsid w:val="32F0D159"/>
    <w:rsid w:val="331B3B36"/>
    <w:rsid w:val="338EEBAD"/>
    <w:rsid w:val="33DF27F2"/>
    <w:rsid w:val="341088E3"/>
    <w:rsid w:val="346B59C8"/>
    <w:rsid w:val="35107414"/>
    <w:rsid w:val="36955D8F"/>
    <w:rsid w:val="36B740C0"/>
    <w:rsid w:val="36F995E4"/>
    <w:rsid w:val="3736FBA1"/>
    <w:rsid w:val="376D1CB8"/>
    <w:rsid w:val="377BC10D"/>
    <w:rsid w:val="3824ACD1"/>
    <w:rsid w:val="391619C2"/>
    <w:rsid w:val="39B3C982"/>
    <w:rsid w:val="3A7D8754"/>
    <w:rsid w:val="3AA7EF93"/>
    <w:rsid w:val="3AA92385"/>
    <w:rsid w:val="3B653E83"/>
    <w:rsid w:val="3BA1EA81"/>
    <w:rsid w:val="3BAFEFAD"/>
    <w:rsid w:val="3BDCE1F0"/>
    <w:rsid w:val="3D74B7D9"/>
    <w:rsid w:val="3DC8FE16"/>
    <w:rsid w:val="3EB1074C"/>
    <w:rsid w:val="3EFAEEBA"/>
    <w:rsid w:val="3F1902C0"/>
    <w:rsid w:val="3FAED59D"/>
    <w:rsid w:val="403FE8E8"/>
    <w:rsid w:val="40511435"/>
    <w:rsid w:val="41D66A59"/>
    <w:rsid w:val="42819BCE"/>
    <w:rsid w:val="43DBEC64"/>
    <w:rsid w:val="446FB66A"/>
    <w:rsid w:val="449359EC"/>
    <w:rsid w:val="4508608C"/>
    <w:rsid w:val="451E0C3C"/>
    <w:rsid w:val="45B93C90"/>
    <w:rsid w:val="45E1121D"/>
    <w:rsid w:val="4611F38B"/>
    <w:rsid w:val="4633B676"/>
    <w:rsid w:val="4651B9E2"/>
    <w:rsid w:val="46A003A4"/>
    <w:rsid w:val="47178B95"/>
    <w:rsid w:val="473A5950"/>
    <w:rsid w:val="47498F89"/>
    <w:rsid w:val="483D00BD"/>
    <w:rsid w:val="48443207"/>
    <w:rsid w:val="488A7374"/>
    <w:rsid w:val="48C79681"/>
    <w:rsid w:val="48E59B11"/>
    <w:rsid w:val="4937C8E4"/>
    <w:rsid w:val="495DC7A9"/>
    <w:rsid w:val="49E99C0E"/>
    <w:rsid w:val="4A53B16C"/>
    <w:rsid w:val="4A5C9813"/>
    <w:rsid w:val="4A9EA8F0"/>
    <w:rsid w:val="4BE29D7F"/>
    <w:rsid w:val="4C46B4A8"/>
    <w:rsid w:val="4CB5FAC3"/>
    <w:rsid w:val="4D0318AA"/>
    <w:rsid w:val="4E1FBC02"/>
    <w:rsid w:val="4F601ED6"/>
    <w:rsid w:val="4FA814BA"/>
    <w:rsid w:val="50392E28"/>
    <w:rsid w:val="5143E51B"/>
    <w:rsid w:val="5183A56C"/>
    <w:rsid w:val="51D689CD"/>
    <w:rsid w:val="52D4C73C"/>
    <w:rsid w:val="53073921"/>
    <w:rsid w:val="530AA09C"/>
    <w:rsid w:val="531C9127"/>
    <w:rsid w:val="5322EB75"/>
    <w:rsid w:val="53725A2E"/>
    <w:rsid w:val="53D65BBC"/>
    <w:rsid w:val="53D949C4"/>
    <w:rsid w:val="548CB559"/>
    <w:rsid w:val="54994417"/>
    <w:rsid w:val="54A2CD88"/>
    <w:rsid w:val="54D5A74E"/>
    <w:rsid w:val="55182376"/>
    <w:rsid w:val="55868477"/>
    <w:rsid w:val="5697E0A0"/>
    <w:rsid w:val="573C3100"/>
    <w:rsid w:val="5798AF8A"/>
    <w:rsid w:val="5844400D"/>
    <w:rsid w:val="58620C3C"/>
    <w:rsid w:val="58826A0D"/>
    <w:rsid w:val="5904C4C8"/>
    <w:rsid w:val="59347FEB"/>
    <w:rsid w:val="596DDDE0"/>
    <w:rsid w:val="5973447E"/>
    <w:rsid w:val="5A056001"/>
    <w:rsid w:val="5A6D3DA7"/>
    <w:rsid w:val="5B47BC37"/>
    <w:rsid w:val="5B5159A7"/>
    <w:rsid w:val="5BE490AF"/>
    <w:rsid w:val="5BF00D08"/>
    <w:rsid w:val="5C288DF9"/>
    <w:rsid w:val="5C2D6707"/>
    <w:rsid w:val="5C6C20AD"/>
    <w:rsid w:val="5C88F142"/>
    <w:rsid w:val="5D6F4ED2"/>
    <w:rsid w:val="5E188E12"/>
    <w:rsid w:val="5E9A5934"/>
    <w:rsid w:val="5FCDC223"/>
    <w:rsid w:val="5FD47C19"/>
    <w:rsid w:val="611FB7DD"/>
    <w:rsid w:val="618CACBA"/>
    <w:rsid w:val="62D38D16"/>
    <w:rsid w:val="637E22EA"/>
    <w:rsid w:val="63855348"/>
    <w:rsid w:val="6424AFB8"/>
    <w:rsid w:val="646B83E2"/>
    <w:rsid w:val="6523B193"/>
    <w:rsid w:val="6535BB23"/>
    <w:rsid w:val="661C637E"/>
    <w:rsid w:val="66472F42"/>
    <w:rsid w:val="668E9F84"/>
    <w:rsid w:val="66ED9D89"/>
    <w:rsid w:val="6734F4FB"/>
    <w:rsid w:val="67AED354"/>
    <w:rsid w:val="67F062FA"/>
    <w:rsid w:val="68F1481A"/>
    <w:rsid w:val="69F7BF7C"/>
    <w:rsid w:val="6A15B416"/>
    <w:rsid w:val="6B247E69"/>
    <w:rsid w:val="6C2C4F9A"/>
    <w:rsid w:val="6D7B3781"/>
    <w:rsid w:val="6D9C7256"/>
    <w:rsid w:val="6E0B3217"/>
    <w:rsid w:val="6E11BF6D"/>
    <w:rsid w:val="6E3A599E"/>
    <w:rsid w:val="6ED08B21"/>
    <w:rsid w:val="6EF8AF6E"/>
    <w:rsid w:val="6F0C5739"/>
    <w:rsid w:val="6FA0A13E"/>
    <w:rsid w:val="6FCF2A28"/>
    <w:rsid w:val="70039C1A"/>
    <w:rsid w:val="7026DFD8"/>
    <w:rsid w:val="70290714"/>
    <w:rsid w:val="7091EF8E"/>
    <w:rsid w:val="70B02E27"/>
    <w:rsid w:val="70C6F23D"/>
    <w:rsid w:val="71F635E3"/>
    <w:rsid w:val="72783388"/>
    <w:rsid w:val="7289C36F"/>
    <w:rsid w:val="73C2263D"/>
    <w:rsid w:val="73CF0C47"/>
    <w:rsid w:val="73F3D785"/>
    <w:rsid w:val="741403E9"/>
    <w:rsid w:val="743EB697"/>
    <w:rsid w:val="74B8EBAC"/>
    <w:rsid w:val="74BD8FC2"/>
    <w:rsid w:val="7561888F"/>
    <w:rsid w:val="7565C1AE"/>
    <w:rsid w:val="75D19851"/>
    <w:rsid w:val="775EB971"/>
    <w:rsid w:val="7772E1C8"/>
    <w:rsid w:val="78DD1036"/>
    <w:rsid w:val="78EBDD41"/>
    <w:rsid w:val="7944221E"/>
    <w:rsid w:val="7A434F9B"/>
    <w:rsid w:val="7A9FF404"/>
    <w:rsid w:val="7AD241BE"/>
    <w:rsid w:val="7B0EE450"/>
    <w:rsid w:val="7B7CA3C1"/>
    <w:rsid w:val="7BB53040"/>
    <w:rsid w:val="7C05ED71"/>
    <w:rsid w:val="7C110E9B"/>
    <w:rsid w:val="7C322A94"/>
    <w:rsid w:val="7C9C657E"/>
    <w:rsid w:val="7CEBFDFF"/>
    <w:rsid w:val="7D199590"/>
    <w:rsid w:val="7D55DADB"/>
    <w:rsid w:val="7D59DF95"/>
    <w:rsid w:val="7DC519ED"/>
    <w:rsid w:val="7DFC6A4D"/>
    <w:rsid w:val="7E280C24"/>
    <w:rsid w:val="7F0ED338"/>
    <w:rsid w:val="7F342760"/>
    <w:rsid w:val="7F69CB56"/>
    <w:rsid w:val="7FBBEEF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336430BD"/>
  <w15:docId w15:val="{2C09A5AC-A016-41F4-B410-F353DA46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10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aliases w:val="F1"/>
    <w:basedOn w:val="Normal"/>
    <w:link w:val="FootnoteTextChar"/>
    <w:uiPriority w:val="99"/>
    <w:rsid w:val="00421095"/>
    <w:rPr>
      <w:sz w:val="20"/>
      <w:szCs w:val="20"/>
    </w:rPr>
  </w:style>
  <w:style w:type="character" w:customStyle="1" w:styleId="FootnoteTextChar">
    <w:name w:val="Footnote Text Char"/>
    <w:aliases w:val="F1 Char"/>
    <w:basedOn w:val="DefaultParagraphFont"/>
    <w:link w:val="FootnoteText"/>
    <w:uiPriority w:val="99"/>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39"/>
    <w:rsid w:val="0042109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 w:type="paragraph" w:styleId="Caption">
    <w:name w:val="caption"/>
    <w:basedOn w:val="Normal"/>
    <w:next w:val="Normal"/>
    <w:uiPriority w:val="35"/>
    <w:unhideWhenUsed/>
    <w:qFormat/>
    <w:rsid w:val="003969E6"/>
    <w:pPr>
      <w:spacing w:after="200"/>
    </w:pPr>
    <w:rPr>
      <w:rFonts w:asciiTheme="minorHAnsi" w:eastAsiaTheme="minorHAnsi" w:hAnsiTheme="minorHAnsi" w:cstheme="minorBidi"/>
      <w:i/>
      <w:iCs/>
      <w:color w:val="1F497D" w:themeColor="text2"/>
      <w:sz w:val="18"/>
      <w:szCs w:val="18"/>
    </w:rPr>
  </w:style>
  <w:style w:type="character" w:customStyle="1" w:styleId="apple-converted-space">
    <w:name w:val="apple-converted-space"/>
    <w:basedOn w:val="DefaultParagraphFont"/>
    <w:rsid w:val="00D85E60"/>
  </w:style>
  <w:style w:type="table" w:customStyle="1" w:styleId="TableGrid1">
    <w:name w:val="Table Grid1"/>
    <w:basedOn w:val="TableNormal"/>
    <w:next w:val="TableGrid"/>
    <w:uiPriority w:val="39"/>
    <w:rsid w:val="00F84901"/>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84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84901"/>
    <w:rPr>
      <w:rFonts w:ascii="Courier New" w:eastAsia="Times New Roman" w:hAnsi="Courier New" w:cs="Courier New"/>
      <w:sz w:val="20"/>
      <w:szCs w:val="20"/>
    </w:rPr>
  </w:style>
  <w:style w:type="character" w:styleId="HTMLCite">
    <w:name w:val="HTML Cite"/>
    <w:basedOn w:val="DefaultParagraphFont"/>
    <w:uiPriority w:val="99"/>
    <w:semiHidden/>
    <w:unhideWhenUsed/>
    <w:rsid w:val="00C55C76"/>
    <w:rPr>
      <w:i/>
      <w:iCs/>
    </w:rPr>
  </w:style>
  <w:style w:type="character" w:styleId="Emphasis">
    <w:name w:val="Emphasis"/>
    <w:basedOn w:val="DefaultParagraphFont"/>
    <w:uiPriority w:val="20"/>
    <w:qFormat/>
    <w:rsid w:val="00C55C76"/>
    <w:rPr>
      <w:i/>
      <w:iCs/>
    </w:rPr>
  </w:style>
  <w:style w:type="paragraph" w:styleId="NoSpacing">
    <w:name w:val="No Spacing"/>
    <w:uiPriority w:val="1"/>
    <w:qFormat/>
    <w:rsid w:val="007455C0"/>
    <w:pPr>
      <w:spacing w:after="0" w:line="240" w:lineRule="auto"/>
    </w:pPr>
  </w:style>
  <w:style w:type="character" w:styleId="FollowedHyperlink">
    <w:name w:val="FollowedHyperlink"/>
    <w:basedOn w:val="DefaultParagraphFont"/>
    <w:uiPriority w:val="99"/>
    <w:semiHidden/>
    <w:unhideWhenUsed/>
    <w:rsid w:val="007455C0"/>
    <w:rPr>
      <w:color w:val="800080" w:themeColor="followedHyperlink"/>
      <w:u w:val="single"/>
    </w:rPr>
  </w:style>
  <w:style w:type="character" w:styleId="UnresolvedMention">
    <w:name w:val="Unresolved Mention"/>
    <w:basedOn w:val="DefaultParagraphFont"/>
    <w:uiPriority w:val="99"/>
    <w:semiHidden/>
    <w:unhideWhenUsed/>
    <w:rsid w:val="00644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Alexia.Cooper@usdoj.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Elizabeth.Davis@usdoj.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mstat.org/docs/default-source/amstat-documents/the-nation's-data-at-risk---report.pdf?v=0321" TargetMode="External" /><Relationship Id="rId2" Type="http://schemas.openxmlformats.org/officeDocument/2006/relationships/hyperlink" Target="https://www.bls.gov/osmr/response-r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5febe0-14ac-4f16-963b-fc17ffa2fe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7A3C9123BDE44C8AD50F808F186529" ma:contentTypeVersion="18" ma:contentTypeDescription="Create a new document." ma:contentTypeScope="" ma:versionID="22d0f1888aaaaa2349689c1355b140d4">
  <xsd:schema xmlns:xsd="http://www.w3.org/2001/XMLSchema" xmlns:xs="http://www.w3.org/2001/XMLSchema" xmlns:p="http://schemas.microsoft.com/office/2006/metadata/properties" xmlns:ns3="dcda1828-1d71-4e9b-9798-841a3c408bcb" xmlns:ns4="4f5febe0-14ac-4f16-963b-fc17ffa2fe2a" targetNamespace="http://schemas.microsoft.com/office/2006/metadata/properties" ma:root="true" ma:fieldsID="7b343e9ea9dfb08044376811b6b9c047" ns3:_="" ns4:_="">
    <xsd:import namespace="dcda1828-1d71-4e9b-9798-841a3c408bcb"/>
    <xsd:import namespace="4f5febe0-14ac-4f16-963b-fc17ffa2fe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a1828-1d71-4e9b-9798-841a3c408bc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febe0-14ac-4f16-963b-fc17ffa2fe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Dan24</b:Tag>
    <b:SourceType>InternetSite</b:SourceType>
    <b:Guid>{5F2D404A-3CA1-430A-8646-849E246BA436}</b:Guid>
    <b:Title>American Indian and Alaska Natives in Tribal Areas Have Among Lowest Rates of High-Speed Internet Access</b:Title>
    <b:Year>2024</b:Year>
    <b:Author>
      <b:Author>
        <b:NameList>
          <b:Person>
            <b:Last>Mejía</b:Last>
            <b:First>Daniela</b:First>
          </b:Person>
        </b:NameList>
      </b:Author>
    </b:Author>
    <b:InternetSiteTitle>Census.gov</b:InternetSiteTitle>
    <b:Month>June </b:Month>
    <b:Day>18</b:Day>
    <b:URL>https://www.census.gov/library/stories/2024/06/broadband-access-tribal-areas.html</b:URL>
    <b:RefOrder>2</b:RefOrder>
  </b:Source>
  <b:Source>
    <b:Tag>USB25</b:Tag>
    <b:SourceType>InternetSite</b:SourceType>
    <b:Guid>{73E13ECF-4C5A-4431-B41F-8EC4C48D2EA1}</b:Guid>
    <b:Author>
      <b:Author>
        <b:Corporate>U.S. Bureau of Labor Statistics</b:Corporate>
      </b:Author>
    </b:Author>
    <b:Title>Household and establishment survey response rates</b:Title>
    <b:InternetSiteTitle>U.S. Bureau of Labor Statistics</b:InternetSiteTitle>
    <b:Year>2025</b:Year>
    <b:Month>September</b:Month>
    <b:Day>17</b:Day>
    <b:URL>https://www.bls.gov/osmr/response-rates/#chart2a</b:URL>
    <b:RefOrder>1</b:RefOrder>
  </b:Source>
</b:Sources>
</file>

<file path=customXml/itemProps1.xml><?xml version="1.0" encoding="utf-8"?>
<ds:datastoreItem xmlns:ds="http://schemas.openxmlformats.org/officeDocument/2006/customXml" ds:itemID="{4B585D43-6E85-4000-8CBA-67469B161581}">
  <ds:schemaRefs>
    <ds:schemaRef ds:uri="http://schemas.microsoft.com/office/2006/metadata/properties"/>
    <ds:schemaRef ds:uri="http://schemas.microsoft.com/office/infopath/2007/PartnerControls"/>
    <ds:schemaRef ds:uri="4f5febe0-14ac-4f16-963b-fc17ffa2fe2a"/>
  </ds:schemaRefs>
</ds:datastoreItem>
</file>

<file path=customXml/itemProps2.xml><?xml version="1.0" encoding="utf-8"?>
<ds:datastoreItem xmlns:ds="http://schemas.openxmlformats.org/officeDocument/2006/customXml" ds:itemID="{7EABA25A-0FCA-4439-959C-375C7AFD7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a1828-1d71-4e9b-9798-841a3c408bcb"/>
    <ds:schemaRef ds:uri="4f5febe0-14ac-4f16-963b-fc17ffa2f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55A9E-CE7B-43C8-8E29-F261E4D8C22C}">
  <ds:schemaRefs>
    <ds:schemaRef ds:uri="http://schemas.microsoft.com/sharepoint/v3/contenttype/forms"/>
  </ds:schemaRefs>
</ds:datastoreItem>
</file>

<file path=customXml/itemProps4.xml><?xml version="1.0" encoding="utf-8"?>
<ds:datastoreItem xmlns:ds="http://schemas.openxmlformats.org/officeDocument/2006/customXml" ds:itemID="{1ED39FED-67FB-4A8C-9001-B20CC9623B2F}">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3927</Words>
  <Characters>22389</Characters>
  <Application>Microsoft Office Word</Application>
  <DocSecurity>0</DocSecurity>
  <Lines>186</Lines>
  <Paragraphs>52</Paragraphs>
  <ScaleCrop>false</ScaleCrop>
  <Company>DOJ</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adamsd</dc:creator>
  <cp:lastModifiedBy>Adams, Devon</cp:lastModifiedBy>
  <cp:revision>3</cp:revision>
  <cp:lastPrinted>2020-01-28T18:00:00Z</cp:lastPrinted>
  <dcterms:created xsi:type="dcterms:W3CDTF">2026-06-16T19:21:00Z</dcterms:created>
  <dcterms:modified xsi:type="dcterms:W3CDTF">2026-06-22T15:08:00Z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0x010100037A3C9123BDE44C8AD50F808F186529</vt:lpwstr>
  </property>
</Properties>
</file>