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1F1C258B">
      <w:pPr>
        <w:widowControl/>
        <w:jc w:val="center"/>
        <w:rPr>
          <w:rFonts w:ascii="Times New Roman" w:hAnsi="Times New Roman"/>
          <w:b/>
          <w:bCs/>
        </w:rPr>
      </w:pPr>
      <w:r>
        <w:rPr>
          <w:rFonts w:ascii="Times New Roman" w:hAnsi="Times New Roman"/>
          <w:b/>
          <w:bCs/>
        </w:rPr>
        <w:t xml:space="preserve"> </w:t>
      </w:r>
      <w:r w:rsidRPr="00C646BE" w:rsidR="00C646BE">
        <w:rPr>
          <w:rFonts w:ascii="Times New Roman" w:hAnsi="Times New Roman"/>
          <w:b/>
          <w:bCs/>
        </w:rPr>
        <w:t>Pre-Implementation Planning Checklist Report for State Unemployment Insurance (UI) Information Technology (IT) Modernization Projects</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7175C320">
      <w:pPr>
        <w:widowControl/>
        <w:jc w:val="center"/>
        <w:rPr>
          <w:rFonts w:ascii="Times New Roman" w:hAnsi="Times New Roman"/>
          <w:b/>
          <w:bCs/>
        </w:rPr>
      </w:pPr>
      <w:r w:rsidRPr="00871CA6">
        <w:rPr>
          <w:rFonts w:ascii="Times New Roman" w:hAnsi="Times New Roman"/>
          <w:b/>
          <w:bCs/>
        </w:rPr>
        <w:t>OMB</w:t>
      </w:r>
      <w:r w:rsidR="00B73661">
        <w:rPr>
          <w:rFonts w:ascii="Times New Roman" w:hAnsi="Times New Roman"/>
          <w:b/>
          <w:bCs/>
        </w:rPr>
        <w:t xml:space="preserve"> </w:t>
      </w:r>
      <w:r w:rsidRPr="00871CA6">
        <w:rPr>
          <w:rFonts w:ascii="Times New Roman" w:hAnsi="Times New Roman"/>
          <w:b/>
          <w:bCs/>
        </w:rPr>
        <w:t xml:space="preserve">CONTROL NO. </w:t>
      </w:r>
      <w:r w:rsidR="00C646BE">
        <w:rPr>
          <w:rFonts w:ascii="Times New Roman" w:hAnsi="Times New Roman"/>
          <w:b/>
          <w:bCs/>
        </w:rPr>
        <w:t>1205-0527</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0B6FB6" w:rsidP="00690F56" w14:paraId="1CF8A88F" w14:textId="7DCB7B90">
      <w:pPr>
        <w:widowControl/>
        <w:rPr>
          <w:rFonts w:ascii="Times New Roman" w:hAnsi="Times New Roman"/>
          <w:bCs/>
        </w:rPr>
      </w:pPr>
      <w:r w:rsidRPr="00C646BE">
        <w:rPr>
          <w:rFonts w:ascii="Times New Roman" w:hAnsi="Times New Roman"/>
          <w:bCs/>
        </w:rPr>
        <w:t>This Information Collection Request (ICR) requests a revision for the Pre-Implementation Planning Checklist Report for State Unemployment Insurance (UI) Information Technology (IT) Modernization Projects.</w:t>
      </w:r>
    </w:p>
    <w:p w:rsidR="00C646BE" w:rsidRPr="00A47DA7" w:rsidP="00690F56" w14:paraId="08E31B54"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w:t>
      </w:r>
      <w:r w:rsidRPr="00D53DEB">
        <w:rPr>
          <w:rFonts w:ascii="Times New Roman" w:hAnsi="Times New Roman"/>
          <w:b/>
          <w:bCs/>
        </w:rPr>
        <w:t>.  Explain</w:t>
      </w:r>
      <w:r w:rsidRPr="00D53DEB">
        <w:rPr>
          <w:rFonts w:ascii="Times New Roman" w:hAnsi="Times New Roman"/>
          <w:b/>
          <w:bCs/>
        </w:rPr>
        <w:t xml:space="preserve">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C646BE" w:rsidRPr="00A900F9" w:rsidP="00C646BE" w14:paraId="3C8F79C0" w14:textId="7E6C2629">
      <w:pPr>
        <w:widowControl/>
        <w:rPr>
          <w:rFonts w:ascii="Times New Roman" w:hAnsi="Times New Roman"/>
        </w:rPr>
      </w:pPr>
      <w:r w:rsidRPr="00A900F9">
        <w:rPr>
          <w:rFonts w:ascii="Times New Roman" w:hAnsi="Times New Roman"/>
        </w:rPr>
        <w:t>Building on lessons learned from previous state implementations of modernized UI IT systems, the U.S. Department of Labor’s Employment and Training Administration (ETA) facilitated the development of the ETA 9177 - Pre-Implementation Planning Checklist for SWAs to use prior to “going live” with a modernized UI IT system</w:t>
      </w:r>
      <w:r w:rsidR="002B47F1">
        <w:rPr>
          <w:rFonts w:ascii="Times New Roman" w:hAnsi="Times New Roman"/>
        </w:rPr>
        <w:t xml:space="preserve">. </w:t>
      </w:r>
      <w:r w:rsidRPr="00A900F9">
        <w:rPr>
          <w:rFonts w:ascii="Times New Roman" w:hAnsi="Times New Roman"/>
        </w:rPr>
        <w:t>This comprehensive report denotes critical functional areas that SWAs should verify prior to launching a new UI IT system including, but not limited to, technical IT functions and UI business processes that interface with the new system</w:t>
      </w:r>
      <w:r w:rsidR="002B47F1">
        <w:rPr>
          <w:rFonts w:ascii="Times New Roman" w:hAnsi="Times New Roman"/>
        </w:rPr>
        <w:t xml:space="preserve">. </w:t>
      </w:r>
    </w:p>
    <w:p w:rsidR="00C646BE" w:rsidRPr="00A900F9" w:rsidP="00C646BE" w14:paraId="673E8B25" w14:textId="77777777">
      <w:pPr>
        <w:widowControl/>
        <w:rPr>
          <w:rFonts w:ascii="Times New Roman" w:hAnsi="Times New Roman"/>
        </w:rPr>
      </w:pPr>
    </w:p>
    <w:p w:rsidR="00C646BE" w:rsidRPr="00A900F9" w:rsidP="00C646BE" w14:paraId="656D06D2" w14:textId="77777777">
      <w:pPr>
        <w:widowControl/>
        <w:rPr>
          <w:rFonts w:ascii="Times New Roman" w:hAnsi="Times New Roman"/>
        </w:rPr>
      </w:pPr>
      <w:r w:rsidRPr="00A900F9">
        <w:rPr>
          <w:rFonts w:ascii="Times New Roman" w:hAnsi="Times New Roman"/>
        </w:rPr>
        <w:t>The list of critical areas identified in the checklist comprises eleven (11) distinct topics:</w:t>
      </w:r>
    </w:p>
    <w:p w:rsidR="00C646BE" w:rsidRPr="00A900F9" w:rsidP="00C646BE" w14:paraId="22AB9436" w14:textId="77777777">
      <w:pPr>
        <w:widowControl/>
        <w:rPr>
          <w:rFonts w:ascii="Times New Roman" w:hAnsi="Times New Roman"/>
        </w:rPr>
      </w:pPr>
      <w:r w:rsidRPr="00A900F9">
        <w:rPr>
          <w:rFonts w:ascii="Times New Roman" w:hAnsi="Times New Roman"/>
        </w:rPr>
        <w:tab/>
      </w:r>
    </w:p>
    <w:p w:rsidR="00C646BE" w:rsidRPr="00A900F9" w:rsidP="00C646BE" w14:paraId="2B61A101" w14:textId="77777777">
      <w:pPr>
        <w:widowControl/>
        <w:rPr>
          <w:rFonts w:ascii="Times New Roman" w:hAnsi="Times New Roman"/>
        </w:rPr>
      </w:pPr>
      <w:r w:rsidRPr="00A900F9">
        <w:rPr>
          <w:rFonts w:ascii="Times New Roman" w:hAnsi="Times New Roman"/>
        </w:rPr>
        <w:t>1.</w:t>
      </w:r>
      <w:r w:rsidRPr="00A900F9">
        <w:rPr>
          <w:rFonts w:ascii="Times New Roman" w:hAnsi="Times New Roman"/>
        </w:rPr>
        <w:tab/>
        <w:t>Functionality (Fully Available or Workaround in Place)</w:t>
      </w:r>
    </w:p>
    <w:p w:rsidR="00C646BE" w:rsidRPr="00A900F9" w:rsidP="00C646BE" w14:paraId="5B6A5E7B" w14:textId="77777777">
      <w:pPr>
        <w:widowControl/>
        <w:rPr>
          <w:rFonts w:ascii="Times New Roman" w:hAnsi="Times New Roman"/>
        </w:rPr>
      </w:pPr>
      <w:r w:rsidRPr="00A900F9">
        <w:rPr>
          <w:rFonts w:ascii="Times New Roman" w:hAnsi="Times New Roman"/>
        </w:rPr>
        <w:t>2.</w:t>
      </w:r>
      <w:r w:rsidRPr="00A900F9">
        <w:rPr>
          <w:rFonts w:ascii="Times New Roman" w:hAnsi="Times New Roman"/>
        </w:rPr>
        <w:tab/>
        <w:t>External Alternate Access Options and Usability Issues Addressed</w:t>
      </w:r>
    </w:p>
    <w:p w:rsidR="00C646BE" w:rsidRPr="00A900F9" w:rsidP="00C646BE" w14:paraId="1AB77A97" w14:textId="77777777">
      <w:pPr>
        <w:widowControl/>
        <w:rPr>
          <w:rFonts w:ascii="Times New Roman" w:hAnsi="Times New Roman"/>
        </w:rPr>
      </w:pPr>
      <w:r w:rsidRPr="00A900F9">
        <w:rPr>
          <w:rFonts w:ascii="Times New Roman" w:hAnsi="Times New Roman"/>
        </w:rPr>
        <w:t>3.</w:t>
      </w:r>
      <w:r w:rsidRPr="00A900F9">
        <w:rPr>
          <w:rFonts w:ascii="Times New Roman" w:hAnsi="Times New Roman"/>
        </w:rPr>
        <w:tab/>
        <w:t>Policies/Procedures Development and Dissemination</w:t>
      </w:r>
    </w:p>
    <w:p w:rsidR="00C646BE" w:rsidRPr="00A900F9" w:rsidP="00C646BE" w14:paraId="0BE6A789" w14:textId="77777777">
      <w:pPr>
        <w:widowControl/>
        <w:rPr>
          <w:rFonts w:ascii="Times New Roman" w:hAnsi="Times New Roman"/>
        </w:rPr>
      </w:pPr>
      <w:r w:rsidRPr="00A900F9">
        <w:rPr>
          <w:rFonts w:ascii="Times New Roman" w:hAnsi="Times New Roman"/>
        </w:rPr>
        <w:t>4.</w:t>
      </w:r>
      <w:r w:rsidRPr="00A900F9">
        <w:rPr>
          <w:rFonts w:ascii="Times New Roman" w:hAnsi="Times New Roman"/>
        </w:rPr>
        <w:tab/>
        <w:t>Technical Preparation</w:t>
      </w:r>
    </w:p>
    <w:p w:rsidR="00C646BE" w:rsidRPr="00A900F9" w:rsidP="00C646BE" w14:paraId="2AB5DA7C" w14:textId="77777777">
      <w:pPr>
        <w:widowControl/>
        <w:rPr>
          <w:rFonts w:ascii="Times New Roman" w:hAnsi="Times New Roman"/>
        </w:rPr>
      </w:pPr>
      <w:r w:rsidRPr="00A900F9">
        <w:rPr>
          <w:rFonts w:ascii="Times New Roman" w:hAnsi="Times New Roman"/>
        </w:rPr>
        <w:t>5.</w:t>
      </w:r>
      <w:r w:rsidRPr="00A900F9">
        <w:rPr>
          <w:rFonts w:ascii="Times New Roman" w:hAnsi="Times New Roman"/>
        </w:rPr>
        <w:tab/>
        <w:t>Call Center/Customer Service Operations</w:t>
      </w:r>
    </w:p>
    <w:p w:rsidR="00C646BE" w:rsidRPr="00A900F9" w:rsidP="00C646BE" w14:paraId="1D8B84DD" w14:textId="77777777">
      <w:pPr>
        <w:widowControl/>
        <w:rPr>
          <w:rFonts w:ascii="Times New Roman" w:hAnsi="Times New Roman"/>
        </w:rPr>
      </w:pPr>
      <w:r w:rsidRPr="00A900F9">
        <w:rPr>
          <w:rFonts w:ascii="Times New Roman" w:hAnsi="Times New Roman"/>
        </w:rPr>
        <w:t>6.</w:t>
      </w:r>
      <w:r w:rsidRPr="00A900F9">
        <w:rPr>
          <w:rFonts w:ascii="Times New Roman" w:hAnsi="Times New Roman"/>
        </w:rPr>
        <w:tab/>
        <w:t>Staffing/Staff Training on New System Operations</w:t>
      </w:r>
    </w:p>
    <w:p w:rsidR="00C646BE" w:rsidRPr="00A900F9" w:rsidP="00C646BE" w14:paraId="0C74E682" w14:textId="77777777">
      <w:pPr>
        <w:widowControl/>
        <w:rPr>
          <w:rFonts w:ascii="Times New Roman" w:hAnsi="Times New Roman"/>
        </w:rPr>
      </w:pPr>
      <w:r w:rsidRPr="00A900F9">
        <w:rPr>
          <w:rFonts w:ascii="Times New Roman" w:hAnsi="Times New Roman"/>
        </w:rPr>
        <w:t>7.</w:t>
      </w:r>
      <w:r w:rsidRPr="00A900F9">
        <w:rPr>
          <w:rFonts w:ascii="Times New Roman" w:hAnsi="Times New Roman"/>
        </w:rPr>
        <w:tab/>
        <w:t>Staff and Customer Help Desk Support</w:t>
      </w:r>
    </w:p>
    <w:p w:rsidR="00C646BE" w:rsidRPr="00A900F9" w:rsidP="00C646BE" w14:paraId="7BBBC2FE" w14:textId="77777777">
      <w:pPr>
        <w:widowControl/>
        <w:rPr>
          <w:rFonts w:ascii="Times New Roman" w:hAnsi="Times New Roman"/>
        </w:rPr>
      </w:pPr>
      <w:r w:rsidRPr="00A900F9">
        <w:rPr>
          <w:rFonts w:ascii="Times New Roman" w:hAnsi="Times New Roman"/>
        </w:rPr>
        <w:t>8.</w:t>
      </w:r>
      <w:r w:rsidRPr="00A900F9">
        <w:rPr>
          <w:rFonts w:ascii="Times New Roman" w:hAnsi="Times New Roman"/>
        </w:rPr>
        <w:tab/>
        <w:t>Management Oversight</w:t>
      </w:r>
    </w:p>
    <w:p w:rsidR="00C646BE" w:rsidRPr="00A900F9" w:rsidP="00C646BE" w14:paraId="6D348C32" w14:textId="77777777">
      <w:pPr>
        <w:widowControl/>
        <w:rPr>
          <w:rFonts w:ascii="Times New Roman" w:hAnsi="Times New Roman"/>
        </w:rPr>
      </w:pPr>
      <w:r w:rsidRPr="00A900F9">
        <w:rPr>
          <w:rFonts w:ascii="Times New Roman" w:hAnsi="Times New Roman"/>
        </w:rPr>
        <w:t>9.</w:t>
      </w:r>
      <w:r w:rsidRPr="00A900F9">
        <w:rPr>
          <w:rFonts w:ascii="Times New Roman" w:hAnsi="Times New Roman"/>
        </w:rPr>
        <w:tab/>
        <w:t>Vendor Support</w:t>
      </w:r>
    </w:p>
    <w:p w:rsidR="00C646BE" w:rsidRPr="00A900F9" w:rsidP="00C646BE" w14:paraId="13F3592C" w14:textId="77777777">
      <w:pPr>
        <w:widowControl/>
        <w:rPr>
          <w:rFonts w:ascii="Times New Roman" w:hAnsi="Times New Roman"/>
        </w:rPr>
      </w:pPr>
      <w:r w:rsidRPr="00A900F9">
        <w:rPr>
          <w:rFonts w:ascii="Times New Roman" w:hAnsi="Times New Roman"/>
        </w:rPr>
        <w:t>10.</w:t>
      </w:r>
      <w:r w:rsidRPr="00A900F9">
        <w:rPr>
          <w:rFonts w:ascii="Times New Roman" w:hAnsi="Times New Roman"/>
        </w:rPr>
        <w:tab/>
        <w:t>Communications</w:t>
      </w:r>
    </w:p>
    <w:p w:rsidR="00C646BE" w:rsidRPr="00A900F9" w:rsidP="00C646BE" w14:paraId="79B09BF6" w14:textId="77777777">
      <w:pPr>
        <w:widowControl/>
        <w:rPr>
          <w:rFonts w:ascii="Times New Roman" w:hAnsi="Times New Roman"/>
        </w:rPr>
      </w:pPr>
      <w:r w:rsidRPr="00A900F9">
        <w:rPr>
          <w:rFonts w:ascii="Times New Roman" w:hAnsi="Times New Roman"/>
        </w:rPr>
        <w:t>11.</w:t>
      </w:r>
      <w:r w:rsidRPr="00A900F9">
        <w:rPr>
          <w:rFonts w:ascii="Times New Roman" w:hAnsi="Times New Roman"/>
        </w:rPr>
        <w:tab/>
        <w:t>LMI Federal Reporting Functions</w:t>
      </w:r>
    </w:p>
    <w:p w:rsidR="00C646BE" w:rsidRPr="00A900F9" w:rsidP="00C646BE" w14:paraId="075C284D" w14:textId="77777777">
      <w:pPr>
        <w:widowControl/>
        <w:rPr>
          <w:rFonts w:ascii="Times New Roman" w:hAnsi="Times New Roman"/>
        </w:rPr>
      </w:pPr>
    </w:p>
    <w:p w:rsidR="00C646BE" w:rsidP="00C646BE" w14:paraId="7582D63B" w14:textId="77777777">
      <w:pPr>
        <w:widowControl/>
        <w:rPr>
          <w:rFonts w:ascii="Times New Roman" w:hAnsi="Times New Roman"/>
        </w:rPr>
      </w:pPr>
      <w:r w:rsidRPr="00A900F9">
        <w:rPr>
          <w:rFonts w:ascii="Times New Roman" w:hAnsi="Times New Roman"/>
        </w:rPr>
        <w:t>This collection is authorized under the Social Security Act, Title III, Section 303(a)(6).</w:t>
      </w:r>
    </w:p>
    <w:p w:rsidR="00C646BE" w:rsidRPr="00A47DA7" w:rsidP="00690F56" w14:paraId="2656F82C" w14:textId="77777777">
      <w:pPr>
        <w:widowControl/>
        <w:rPr>
          <w:rFonts w:ascii="Times New Roman" w:hAnsi="Times New Roman"/>
        </w:rPr>
      </w:pP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w:t>
      </w:r>
      <w:r w:rsidRPr="00D53DEB">
        <w:rPr>
          <w:rFonts w:ascii="Times New Roman" w:hAnsi="Times New Roman"/>
          <w:b/>
          <w:bCs/>
        </w:rPr>
        <w:t>.  Indicate</w:t>
      </w:r>
      <w:r w:rsidRPr="00D53DEB">
        <w:rPr>
          <w:rFonts w:ascii="Times New Roman" w:hAnsi="Times New Roman"/>
          <w:b/>
          <w:bCs/>
        </w:rPr>
        <w:t xml:space="preserve"> how, by whom, and for what purpose the information is to be used.  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u w:val="single"/>
        </w:rPr>
      </w:pPr>
    </w:p>
    <w:p w:rsidR="00FA372F" w:rsidP="00FA372F" w14:paraId="161A8FC5" w14:textId="3DE710B1">
      <w:pPr>
        <w:widowControl/>
        <w:rPr>
          <w:rFonts w:ascii="Times New Roman" w:hAnsi="Times New Roman"/>
        </w:rPr>
      </w:pPr>
      <w:r w:rsidRPr="00881261">
        <w:rPr>
          <w:rFonts w:ascii="Times New Roman" w:hAnsi="Times New Roman"/>
        </w:rPr>
        <w:t xml:space="preserve">SWAs use the report to verify that all necessary mission critical system functions are available and/or that alternative workarounds are developed prior to the production launch of the UI IT system to help avoid major disruption of services to UI customers and to prevent delays in making UI benefit payments. </w:t>
      </w:r>
      <w:r>
        <w:rPr>
          <w:rFonts w:ascii="Times New Roman" w:hAnsi="Times New Roman"/>
        </w:rPr>
        <w:t>ETA 9177 report is a narrative report</w:t>
      </w:r>
      <w:r w:rsidR="002B47F1">
        <w:rPr>
          <w:rFonts w:ascii="Times New Roman" w:hAnsi="Times New Roman"/>
        </w:rPr>
        <w:t xml:space="preserve">. </w:t>
      </w:r>
      <w:r>
        <w:rPr>
          <w:rFonts w:ascii="Times New Roman" w:hAnsi="Times New Roman"/>
        </w:rPr>
        <w:t>Nine states have submitted the ETA 9177 report in last 3 years. ETA reviews the report and provides feedback to the states</w:t>
      </w:r>
      <w:r w:rsidR="002B47F1">
        <w:rPr>
          <w:rFonts w:ascii="Times New Roman" w:hAnsi="Times New Roman"/>
        </w:rPr>
        <w:t xml:space="preserve">. </w:t>
      </w:r>
      <w:r w:rsidRPr="00881261">
        <w:rPr>
          <w:rFonts w:ascii="Times New Roman" w:hAnsi="Times New Roman"/>
        </w:rPr>
        <w:t>The collection enable</w:t>
      </w:r>
      <w:r>
        <w:rPr>
          <w:rFonts w:ascii="Times New Roman" w:hAnsi="Times New Roman"/>
        </w:rPr>
        <w:t>s</w:t>
      </w:r>
      <w:r w:rsidRPr="00881261">
        <w:rPr>
          <w:rFonts w:ascii="Times New Roman" w:hAnsi="Times New Roman"/>
        </w:rPr>
        <w:t xml:space="preserve"> </w:t>
      </w:r>
      <w:r w:rsidRPr="00F3562D">
        <w:rPr>
          <w:rFonts w:ascii="Times New Roman" w:hAnsi="Times New Roman"/>
        </w:rPr>
        <w:t xml:space="preserve">ETA </w:t>
      </w:r>
      <w:r w:rsidRPr="009E2222">
        <w:rPr>
          <w:rFonts w:ascii="Times New Roman" w:hAnsi="Times New Roman"/>
        </w:rPr>
        <w:t xml:space="preserve">to identify any </w:t>
      </w:r>
      <w:r w:rsidRPr="009E2222">
        <w:rPr>
          <w:rFonts w:ascii="Times New Roman" w:hAnsi="Times New Roman"/>
        </w:rPr>
        <w:t>needed technical assistance</w:t>
      </w:r>
      <w:r>
        <w:rPr>
          <w:rFonts w:ascii="Times New Roman" w:hAnsi="Times New Roman"/>
        </w:rPr>
        <w:t>,</w:t>
      </w:r>
      <w:r w:rsidRPr="009E2222">
        <w:rPr>
          <w:rFonts w:ascii="Times New Roman" w:hAnsi="Times New Roman"/>
        </w:rPr>
        <w:t xml:space="preserve"> as states prepare for the implementation of a modernized system</w:t>
      </w:r>
      <w:r>
        <w:rPr>
          <w:rFonts w:ascii="Times New Roman" w:hAnsi="Times New Roman"/>
        </w:rPr>
        <w:t>, and have an assurance that the state’s implementation will have a significant likelihood of being successful</w:t>
      </w:r>
      <w:r w:rsidR="002B47F1">
        <w:rPr>
          <w:rFonts w:ascii="Times New Roman" w:hAnsi="Times New Roman"/>
        </w:rPr>
        <w:t xml:space="preserve">. </w:t>
      </w:r>
      <w:r>
        <w:rPr>
          <w:rFonts w:ascii="Times New Roman" w:hAnsi="Times New Roman"/>
        </w:rPr>
        <w:t>The reporting requirement ends for the state once the modernized UI system is implemented</w:t>
      </w:r>
      <w:r w:rsidR="002B47F1">
        <w:rPr>
          <w:rFonts w:ascii="Times New Roman" w:hAnsi="Times New Roman"/>
        </w:rPr>
        <w:t xml:space="preserve">. </w:t>
      </w:r>
    </w:p>
    <w:p w:rsidR="00C646BE" w:rsidRPr="00881261" w:rsidP="00C646BE" w14:paraId="6337D7BB" w14:textId="77777777">
      <w:pPr>
        <w:widowControl/>
        <w:rPr>
          <w:rFonts w:ascii="Times New Roman" w:hAnsi="Times New Roman"/>
        </w:rPr>
      </w:pPr>
    </w:p>
    <w:p w:rsidR="00C646BE" w:rsidRPr="00881261" w:rsidP="00C646BE" w14:paraId="705C01D0" w14:textId="4DC170B6">
      <w:pPr>
        <w:widowControl/>
        <w:rPr>
          <w:rFonts w:ascii="Times New Roman" w:hAnsi="Times New Roman"/>
        </w:rPr>
      </w:pPr>
      <w:r w:rsidRPr="00881261">
        <w:rPr>
          <w:rFonts w:ascii="Times New Roman" w:hAnsi="Times New Roman"/>
        </w:rPr>
        <w:t xml:space="preserve">This report information includes the UI IT Modernization </w:t>
      </w:r>
      <w:r>
        <w:rPr>
          <w:rFonts w:ascii="Times New Roman" w:hAnsi="Times New Roman"/>
        </w:rPr>
        <w:t>State Name</w:t>
      </w:r>
      <w:r w:rsidRPr="00881261">
        <w:rPr>
          <w:rFonts w:ascii="Times New Roman" w:hAnsi="Times New Roman"/>
        </w:rPr>
        <w:t xml:space="preserve">, Date of Submission, Project name, </w:t>
      </w:r>
      <w:r>
        <w:rPr>
          <w:rFonts w:ascii="Times New Roman" w:hAnsi="Times New Roman"/>
        </w:rPr>
        <w:t xml:space="preserve">Scheduled Go-Live Date, </w:t>
      </w:r>
      <w:r w:rsidRPr="00881261">
        <w:rPr>
          <w:rFonts w:ascii="Times New Roman" w:hAnsi="Times New Roman"/>
        </w:rPr>
        <w:t>Contact Information, and a Summary of the Project</w:t>
      </w:r>
      <w:r>
        <w:rPr>
          <w:rFonts w:ascii="Times New Roman" w:hAnsi="Times New Roman"/>
        </w:rPr>
        <w:t>,</w:t>
      </w:r>
      <w:r w:rsidRPr="00881261">
        <w:rPr>
          <w:rFonts w:ascii="Times New Roman" w:hAnsi="Times New Roman"/>
        </w:rPr>
        <w:t xml:space="preserve"> and the report on each of the associated Pre-Implementation Planning Checklist topic areas</w:t>
      </w:r>
      <w:r w:rsidR="002B47F1">
        <w:rPr>
          <w:rFonts w:ascii="Times New Roman" w:hAnsi="Times New Roman"/>
        </w:rPr>
        <w:t xml:space="preserve">. </w:t>
      </w:r>
      <w:r w:rsidRPr="00881261">
        <w:rPr>
          <w:rFonts w:ascii="Times New Roman" w:hAnsi="Times New Roman"/>
        </w:rPr>
        <w:t xml:space="preserve">The report </w:t>
      </w:r>
      <w:r w:rsidRPr="00881261">
        <w:rPr>
          <w:rFonts w:ascii="Times New Roman" w:hAnsi="Times New Roman"/>
        </w:rPr>
        <w:t>is comprised of</w:t>
      </w:r>
      <w:r w:rsidRPr="00881261">
        <w:rPr>
          <w:rFonts w:ascii="Times New Roman" w:hAnsi="Times New Roman"/>
        </w:rPr>
        <w:t xml:space="preserve"> eleven (11) distinct topics (listed above) and their associated sub-elements</w:t>
      </w:r>
      <w:r w:rsidR="002B47F1">
        <w:rPr>
          <w:rFonts w:ascii="Times New Roman" w:hAnsi="Times New Roman"/>
        </w:rPr>
        <w:t xml:space="preserve">. </w:t>
      </w:r>
      <w:r w:rsidRPr="00881261">
        <w:rPr>
          <w:rFonts w:ascii="Times New Roman" w:hAnsi="Times New Roman"/>
        </w:rPr>
        <w:t>For every sub-element in the ETA 9177, the SWA will provide supporting content to demonstrate that the SWA has addressed the specific sub-element</w:t>
      </w:r>
      <w:r w:rsidR="002B47F1">
        <w:rPr>
          <w:rFonts w:ascii="Times New Roman" w:hAnsi="Times New Roman"/>
        </w:rPr>
        <w:t xml:space="preserve">. </w:t>
      </w:r>
      <w:r w:rsidRPr="00881261">
        <w:rPr>
          <w:rFonts w:ascii="Times New Roman" w:hAnsi="Times New Roman"/>
        </w:rPr>
        <w:t>For each sub-element, the SWA is expected to address the issue including but not limited to:</w:t>
      </w:r>
    </w:p>
    <w:p w:rsidR="00C646BE" w:rsidRPr="00881261" w:rsidP="00C646BE" w14:paraId="14BE8373" w14:textId="77777777">
      <w:pPr>
        <w:widowControl/>
        <w:rPr>
          <w:rFonts w:ascii="Times New Roman" w:hAnsi="Times New Roman"/>
        </w:rPr>
      </w:pPr>
    </w:p>
    <w:p w:rsidR="00C646BE" w:rsidRPr="00881261" w:rsidP="00C646BE" w14:paraId="6BC5820E"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An overall status report;</w:t>
      </w:r>
    </w:p>
    <w:p w:rsidR="00C646BE" w:rsidRPr="00881261" w:rsidP="00C646BE" w14:paraId="131B4488"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 xml:space="preserve">A brief report explaining the status of the project as it relates to the </w:t>
      </w:r>
      <w:r w:rsidRPr="00881261">
        <w:rPr>
          <w:rFonts w:ascii="Times New Roman" w:hAnsi="Times New Roman"/>
        </w:rPr>
        <w:t>particular sub-</w:t>
      </w:r>
      <w:r w:rsidRPr="00881261">
        <w:rPr>
          <w:rFonts w:ascii="Times New Roman" w:hAnsi="Times New Roman"/>
        </w:rPr>
        <w:t>element;</w:t>
      </w:r>
    </w:p>
    <w:p w:rsidR="00C646BE" w:rsidRPr="00881261" w:rsidP="00C646BE" w14:paraId="1820C92F"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Attach explanations of any workarounds of the processes in the sub-element;</w:t>
      </w:r>
    </w:p>
    <w:p w:rsidR="00C646BE" w:rsidRPr="00881261" w:rsidP="00C646BE" w14:paraId="3CD2D742"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Attach explanations if implementation of the new system concerning processes for the sub-element will be delayed, or deferred;</w:t>
      </w:r>
    </w:p>
    <w:p w:rsidR="00C646BE" w:rsidRPr="00881261" w:rsidP="00C646BE" w14:paraId="7F98C7E1"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Attach explanations for added clarity and/or to support a narrative;</w:t>
      </w:r>
    </w:p>
    <w:p w:rsidR="00C646BE" w:rsidRPr="00881261" w:rsidP="00C646BE" w14:paraId="2338F8D4"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 xml:space="preserve">Mitigation proposals for addressing any problems; </w:t>
      </w:r>
    </w:p>
    <w:p w:rsidR="00C646BE" w:rsidRPr="00881261" w:rsidP="00C646BE" w14:paraId="5BAE9AAE" w14:textId="77777777">
      <w:pPr>
        <w:widowControl/>
        <w:ind w:left="360" w:hanging="360"/>
        <w:rPr>
          <w:rFonts w:ascii="Times New Roman" w:hAnsi="Times New Roman"/>
        </w:rPr>
      </w:pPr>
      <w:r w:rsidRPr="00881261">
        <w:rPr>
          <w:rFonts w:ascii="Times New Roman" w:hAnsi="Times New Roman"/>
        </w:rPr>
        <w:t>•</w:t>
      </w:r>
      <w:r w:rsidRPr="00881261">
        <w:rPr>
          <w:rFonts w:ascii="Times New Roman" w:hAnsi="Times New Roman"/>
        </w:rPr>
        <w:tab/>
        <w:t>New project timelines if applicable, and/or</w:t>
      </w:r>
    </w:p>
    <w:p w:rsidR="00C646BE" w:rsidP="00C646BE" w14:paraId="6F950D0C" w14:textId="5470F1DB">
      <w:pPr>
        <w:widowControl/>
        <w:ind w:left="360" w:hanging="360"/>
        <w:rPr>
          <w:rFonts w:ascii="Times New Roman" w:hAnsi="Times New Roman"/>
          <w:u w:val="single"/>
        </w:rPr>
      </w:pPr>
      <w:r w:rsidRPr="00881261">
        <w:rPr>
          <w:rFonts w:ascii="Times New Roman" w:hAnsi="Times New Roman"/>
        </w:rPr>
        <w:t>•</w:t>
      </w:r>
      <w:r w:rsidRPr="00881261">
        <w:rPr>
          <w:rFonts w:ascii="Times New Roman" w:hAnsi="Times New Roman"/>
        </w:rPr>
        <w:tab/>
        <w:t>Any discussion of identified technical assistance needs for the successful completion of the project.</w:t>
      </w:r>
    </w:p>
    <w:p w:rsidR="00C646BE" w:rsidRPr="00A47DA7" w:rsidP="00690F56" w14:paraId="7C39ADBF"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w:t>
      </w:r>
      <w:r w:rsidRPr="00D53DEB">
        <w:rPr>
          <w:rFonts w:ascii="Times New Roman" w:hAnsi="Times New Roman"/>
          <w:b/>
          <w:bCs/>
        </w:rPr>
        <w:t>.  Describe</w:t>
      </w:r>
      <w:r w:rsidRPr="00D53DEB">
        <w:rPr>
          <w:rFonts w:ascii="Times New Roman" w:hAnsi="Times New Roman"/>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D53DEB">
        <w:rPr>
          <w:rFonts w:ascii="Times New Roman" w:hAnsi="Times New Roman"/>
          <w:b/>
          <w:bCs/>
        </w:rPr>
        <w:t>for adopting</w:t>
      </w:r>
      <w:r w:rsidRPr="00D53DEB">
        <w:rPr>
          <w:rFonts w:ascii="Times New Roman" w:hAnsi="Times New Roman"/>
          <w:b/>
          <w:bCs/>
        </w:rPr>
        <w:t xml:space="preserve">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RPr="00A47DA7" w:rsidP="00C646BE" w14:paraId="03F3DF26" w14:textId="57D353F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863EF">
        <w:rPr>
          <w:rFonts w:ascii="Times New Roman" w:hAnsi="Times New Roman"/>
        </w:rPr>
        <w:t>States will use a simple form template (a Microsoft Word “.docx”) provided by ETA to prepare the report, which will be emailed to the appropriate regional office</w:t>
      </w:r>
      <w:r w:rsidR="002B47F1">
        <w:rPr>
          <w:rFonts w:ascii="Times New Roman" w:hAnsi="Times New Roman"/>
        </w:rPr>
        <w:t xml:space="preserve">. </w:t>
      </w:r>
      <w:r w:rsidRPr="00B863EF">
        <w:rPr>
          <w:rFonts w:ascii="Times New Roman" w:hAnsi="Times New Roman"/>
        </w:rPr>
        <w:t>The use of a simple form which can be submitted electronically is compatible with the report which will be a narrative, not a statistical, submission.</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4</w:t>
      </w:r>
      <w:r w:rsidRPr="00D53DEB">
        <w:rPr>
          <w:rFonts w:ascii="Times New Roman" w:hAnsi="Times New Roman"/>
          <w:b/>
          <w:bCs/>
        </w:rPr>
        <w:t>.  Describe</w:t>
      </w:r>
      <w:r w:rsidRPr="00D53DEB">
        <w:rPr>
          <w:rFonts w:ascii="Times New Roman" w:hAnsi="Times New Roman"/>
          <w:b/>
          <w:bCs/>
        </w:rPr>
        <w:t xml:space="preserv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P="00C646BE" w14:paraId="260F970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2109">
        <w:rPr>
          <w:rFonts w:ascii="Times New Roman" w:hAnsi="Times New Roman"/>
        </w:rPr>
        <w:t>The information collected in this report is not available from other sources in the detail needed to determine any technical assistance needs of the state prior to implementing a new UI IT system.</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b/>
          <w:bCs/>
        </w:rPr>
        <w:t>.</w:t>
      </w:r>
      <w:r w:rsidRPr="00D53DEB">
        <w:rPr>
          <w:rFonts w:ascii="Times New Roman" w:hAnsi="Times New Roman"/>
        </w:rPr>
        <w:t xml:space="preserve">  </w:t>
      </w:r>
      <w:r w:rsidRPr="00D53DEB">
        <w:rPr>
          <w:rFonts w:ascii="Times New Roman" w:hAnsi="Times New Roman"/>
          <w:b/>
          <w:bCs/>
        </w:rPr>
        <w:t>If</w:t>
      </w:r>
      <w:r w:rsidRPr="00D53DEB">
        <w:rPr>
          <w:rFonts w:ascii="Times New Roman" w:hAnsi="Times New Roman"/>
          <w:b/>
          <w:bCs/>
        </w:rPr>
        <w:t xml:space="preserve">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RPr="00A47DA7" w:rsidP="00C646BE" w14:paraId="6049B18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5075">
        <w:rPr>
          <w:rFonts w:ascii="Times New Roman" w:hAnsi="Times New Roman"/>
        </w:rPr>
        <w:t>There is no impact on small businesses.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w:t>
      </w:r>
      <w:r w:rsidRPr="00D53DEB" w:rsidR="00237691">
        <w:rPr>
          <w:rFonts w:ascii="Times New Roman" w:hAnsi="Times New Roman"/>
          <w:b/>
          <w:bCs/>
        </w:rPr>
        <w:t xml:space="preserve"> the </w:t>
      </w:r>
      <w:r w:rsidRPr="00D53DEB" w:rsidR="00237691">
        <w:rPr>
          <w:rFonts w:ascii="Times New Roman" w:hAnsi="Times New Roman"/>
          <w:b/>
          <w:bCs/>
        </w:rPr>
        <w:t>consequence</w:t>
      </w:r>
      <w:r w:rsidRPr="00D53DEB" w:rsidR="00237691">
        <w:rPr>
          <w:rFonts w:ascii="Times New Roman" w:hAnsi="Times New Roman"/>
          <w:b/>
          <w:bCs/>
        </w:rPr>
        <w:t xml:space="preserve"> </w:t>
      </w:r>
      <w:r w:rsidRPr="00D53DEB" w:rsidR="00237691">
        <w:rPr>
          <w:rFonts w:ascii="Times New Roman" w:hAnsi="Times New Roman"/>
          <w:b/>
          <w:bCs/>
        </w:rPr>
        <w:t>to</w:t>
      </w:r>
      <w:r w:rsidRPr="00D53DEB" w:rsidR="00237691">
        <w:rPr>
          <w:rFonts w:ascii="Times New Roman" w:hAnsi="Times New Roman"/>
          <w:b/>
          <w:bCs/>
        </w:rPr>
        <w:t xml:space="preserve">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RPr="009D5075" w:rsidP="00C646BE" w14:paraId="44CF7B44" w14:textId="2E4A44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5075">
        <w:rPr>
          <w:rFonts w:ascii="Times New Roman" w:hAnsi="Times New Roman"/>
        </w:rPr>
        <w:t xml:space="preserve">The collection is a detailed narrative report, provided by the SWA, as part of the pre-implementation preparation of </w:t>
      </w:r>
      <w:r w:rsidRPr="009D5075">
        <w:rPr>
          <w:rFonts w:ascii="Times New Roman" w:hAnsi="Times New Roman"/>
        </w:rPr>
        <w:t>a state’s</w:t>
      </w:r>
      <w:r w:rsidRPr="009D5075">
        <w:rPr>
          <w:rFonts w:ascii="Times New Roman" w:hAnsi="Times New Roman"/>
        </w:rPr>
        <w:t xml:space="preserve"> new UI IT system</w:t>
      </w:r>
      <w:r w:rsidR="002B47F1">
        <w:rPr>
          <w:rFonts w:ascii="Times New Roman" w:hAnsi="Times New Roman"/>
        </w:rPr>
        <w:t xml:space="preserve">. </w:t>
      </w:r>
      <w:r w:rsidRPr="009D5075">
        <w:rPr>
          <w:rFonts w:ascii="Times New Roman" w:hAnsi="Times New Roman"/>
        </w:rPr>
        <w:t>Without this information, ETA is unable to effectively and consistently monitor states’ progress in implementing the UI IT Modernization projects for which the funds were provided</w:t>
      </w:r>
      <w:r w:rsidR="002B47F1">
        <w:rPr>
          <w:rFonts w:ascii="Times New Roman" w:hAnsi="Times New Roman"/>
        </w:rPr>
        <w:t xml:space="preserve">. </w:t>
      </w:r>
    </w:p>
    <w:p w:rsidR="00C646BE" w:rsidRPr="009D5075" w:rsidP="00C646BE" w14:paraId="66B8BBF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RPr="009D5075" w:rsidP="00C646BE" w14:paraId="580ED707" w14:textId="5AD6E52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5075">
        <w:rPr>
          <w:rFonts w:ascii="Times New Roman" w:hAnsi="Times New Roman"/>
        </w:rPr>
        <w:t>Many states are addressing antiquated UI IT systems and are developing much needed modernized systems</w:t>
      </w:r>
      <w:r w:rsidR="002B47F1">
        <w:rPr>
          <w:rFonts w:ascii="Times New Roman" w:hAnsi="Times New Roman"/>
        </w:rPr>
        <w:t xml:space="preserve">. </w:t>
      </w:r>
      <w:r w:rsidRPr="009D5075">
        <w:rPr>
          <w:rFonts w:ascii="Times New Roman" w:hAnsi="Times New Roman"/>
        </w:rPr>
        <w:t>However, recent efforts by states in launching new UI IT systems have resulted in unexpected disruptions of service to customers, delays in the payments of benefits, and the creation of processing backlogs</w:t>
      </w:r>
      <w:r w:rsidR="002B47F1">
        <w:rPr>
          <w:rFonts w:ascii="Times New Roman" w:hAnsi="Times New Roman"/>
        </w:rPr>
        <w:t xml:space="preserve">. </w:t>
      </w:r>
      <w:r w:rsidRPr="009D5075">
        <w:rPr>
          <w:rFonts w:ascii="Times New Roman" w:hAnsi="Times New Roman"/>
        </w:rPr>
        <w:t xml:space="preserve">ETA designed this report </w:t>
      </w:r>
      <w:r w:rsidRPr="009D5075">
        <w:rPr>
          <w:rFonts w:ascii="Times New Roman" w:hAnsi="Times New Roman"/>
        </w:rPr>
        <w:t>in an effort to</w:t>
      </w:r>
      <w:r w:rsidRPr="009D5075">
        <w:rPr>
          <w:rFonts w:ascii="Times New Roman" w:hAnsi="Times New Roman"/>
        </w:rPr>
        <w:t xml:space="preserve"> avoid future reoccurrences of similar experiences, as an increasing number of states will be implementing new systems.</w:t>
      </w:r>
    </w:p>
    <w:p w:rsidR="00C646BE" w:rsidP="00C646BE" w14:paraId="4C5C168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5075">
        <w:rPr>
          <w:rFonts w:ascii="Times New Roman" w:hAnsi="Times New Roman"/>
        </w:rPr>
        <w:t xml:space="preserve">  </w:t>
      </w:r>
    </w:p>
    <w:p w:rsidR="00FA372F" w:rsidP="00FA372F" w14:paraId="77B2A5A5" w14:textId="1CD83BD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States are in different stages of </w:t>
      </w:r>
      <w:r>
        <w:rPr>
          <w:rFonts w:ascii="Times New Roman" w:hAnsi="Times New Roman"/>
        </w:rPr>
        <w:t>the system</w:t>
      </w:r>
      <w:r>
        <w:rPr>
          <w:rFonts w:ascii="Times New Roman" w:hAnsi="Times New Roman"/>
        </w:rPr>
        <w:t xml:space="preserve"> modernization</w:t>
      </w:r>
      <w:r w:rsidR="002B47F1">
        <w:rPr>
          <w:rFonts w:ascii="Times New Roman" w:hAnsi="Times New Roman"/>
        </w:rPr>
        <w:t xml:space="preserve">. </w:t>
      </w:r>
      <w:r>
        <w:rPr>
          <w:rFonts w:ascii="Times New Roman" w:hAnsi="Times New Roman"/>
        </w:rPr>
        <w:t>For example, some states are in the initial stage of requirements gathering, while others are in the system development process</w:t>
      </w:r>
      <w:r w:rsidR="002B47F1">
        <w:rPr>
          <w:rFonts w:ascii="Times New Roman" w:hAnsi="Times New Roman"/>
        </w:rPr>
        <w:t xml:space="preserve">. </w:t>
      </w:r>
      <w:r>
        <w:rPr>
          <w:rFonts w:ascii="Times New Roman" w:hAnsi="Times New Roman"/>
        </w:rPr>
        <w:t>States are required to submit the ETA 9177 report 6 months prior to the modernized UI system implementation</w:t>
      </w:r>
      <w:r w:rsidR="002B47F1">
        <w:rPr>
          <w:rFonts w:ascii="Times New Roman" w:hAnsi="Times New Roman"/>
        </w:rPr>
        <w:t xml:space="preserve">. </w:t>
      </w:r>
      <w:r>
        <w:rPr>
          <w:rFonts w:ascii="Times New Roman" w:hAnsi="Times New Roman"/>
        </w:rPr>
        <w:t xml:space="preserve">In last 3 years, 9 states that were pursuing system modernization </w:t>
      </w:r>
      <w:r>
        <w:rPr>
          <w:rFonts w:ascii="Times New Roman" w:hAnsi="Times New Roman"/>
        </w:rPr>
        <w:t>efforts,</w:t>
      </w:r>
      <w:r>
        <w:rPr>
          <w:rFonts w:ascii="Times New Roman" w:hAnsi="Times New Roman"/>
        </w:rPr>
        <w:t xml:space="preserve"> submitted the ETA 9177 report</w:t>
      </w:r>
      <w:r w:rsidR="002B47F1">
        <w:rPr>
          <w:rFonts w:ascii="Times New Roman" w:hAnsi="Times New Roman"/>
        </w:rPr>
        <w:t xml:space="preserve">. </w:t>
      </w:r>
      <w:r>
        <w:rPr>
          <w:rFonts w:ascii="Times New Roman" w:hAnsi="Times New Roman"/>
        </w:rPr>
        <w:t>Based on that, we assume that we will receive about 3 reports annually over a period of 3 years.</w:t>
      </w:r>
    </w:p>
    <w:p w:rsidR="00FA372F" w:rsidRPr="009D5075" w:rsidP="00C646BE" w14:paraId="770436A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P="00C646BE" w14:paraId="6F5C5901" w14:textId="545240E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D5075">
        <w:rPr>
          <w:rFonts w:ascii="Times New Roman" w:hAnsi="Times New Roman"/>
        </w:rPr>
        <w:t>Not providing the implementation status information as proposed would not allow adequate time for ETA to offer technical assistance on projects if necessary to support the states’ implementation</w:t>
      </w:r>
      <w:r w:rsidR="002B47F1">
        <w:rPr>
          <w:rFonts w:ascii="Times New Roman" w:hAnsi="Times New Roman"/>
        </w:rPr>
        <w:t xml:space="preserve">. </w:t>
      </w:r>
      <w:r w:rsidRPr="009D5075">
        <w:rPr>
          <w:rFonts w:ascii="Times New Roman" w:hAnsi="Times New Roman"/>
        </w:rPr>
        <w:t>Furthermore, unlike burden on businesses or individuals, states are funded to collect and report data through their annual UI administrative grant.</w:t>
      </w:r>
    </w:p>
    <w:p w:rsidR="00C646BE" w:rsidRPr="00A47DA7" w:rsidP="00C646BE" w14:paraId="31A94E1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w:t>
      </w:r>
      <w:r w:rsidRPr="00D53DEB">
        <w:rPr>
          <w:rFonts w:ascii="Times New Roman" w:hAnsi="Times New Roman"/>
          <w:b/>
          <w:bCs/>
        </w:rPr>
        <w:t>.  Explain</w:t>
      </w:r>
      <w:r w:rsidRPr="00D53DEB">
        <w:rPr>
          <w:rFonts w:ascii="Times New Roman" w:hAnsi="Times New Roman"/>
          <w:b/>
          <w:bCs/>
        </w:rPr>
        <w:t xml:space="preserve">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w:t>
      </w:r>
      <w:r w:rsidRPr="00D53DEB">
        <w:rPr>
          <w:b/>
          <w:bCs/>
        </w:rPr>
        <w:t>secret</w:t>
      </w:r>
      <w:r w:rsidRPr="00D53DEB">
        <w:rPr>
          <w:b/>
          <w:bCs/>
        </w:rPr>
        <w:t xml:space="preserve">,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C646BE" w:rsidRPr="00D53DEB" w:rsidP="00C646BE" w14:paraId="7CA4784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CF7769">
        <w:t>No such circumstances exist.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Pr="00D53DEB">
        <w:rPr>
          <w:rFonts w:ascii="Times New Roman" w:hAnsi="Times New Roman"/>
          <w:b/>
          <w:bCs/>
        </w:rPr>
        <w:t>.  If</w:t>
      </w:r>
      <w:r w:rsidRPr="00D53DEB">
        <w:rPr>
          <w:rFonts w:ascii="Times New Roman" w:hAnsi="Times New Roman"/>
          <w:b/>
          <w:bCs/>
        </w:rPr>
        <w:t xml:space="preserve">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Describe efforts to consult with </w:t>
      </w:r>
      <w:r w:rsidRPr="00D53DEB">
        <w:rPr>
          <w:rFonts w:ascii="Times New Roman" w:hAnsi="Times New Roman"/>
          <w:b/>
          <w:bCs/>
        </w:rPr>
        <w:t>persons</w:t>
      </w:r>
      <w:r w:rsidRPr="00D53DEB">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7B60FC" w14:textId="1861726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BE4F81" w:rsidP="00690F56" w14:paraId="6D6DBDB7" w14:textId="049346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EF5468" w:rsidP="00C646BE" w14:paraId="01C098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E08A6">
        <w:rPr>
          <w:rFonts w:ascii="Times New Roman" w:hAnsi="Times New Roman"/>
        </w:rPr>
        <w:t xml:space="preserve">In accordance with the Paperwork Reduction Act of 1995, the public was allowed 60 days to comment through the Federal Register Notice posted on </w:t>
      </w:r>
      <w:r w:rsidR="003506BE">
        <w:rPr>
          <w:rFonts w:ascii="Times New Roman" w:hAnsi="Times New Roman"/>
        </w:rPr>
        <w:t>April 6</w:t>
      </w:r>
      <w:r w:rsidRPr="008E08A6">
        <w:rPr>
          <w:rFonts w:ascii="Times New Roman" w:hAnsi="Times New Roman"/>
        </w:rPr>
        <w:t>, 20</w:t>
      </w:r>
      <w:r>
        <w:rPr>
          <w:rFonts w:ascii="Times New Roman" w:hAnsi="Times New Roman"/>
        </w:rPr>
        <w:t>2</w:t>
      </w:r>
      <w:r w:rsidR="003506BE">
        <w:rPr>
          <w:rFonts w:ascii="Times New Roman" w:hAnsi="Times New Roman"/>
        </w:rPr>
        <w:t>6</w:t>
      </w:r>
      <w:r w:rsidRPr="008E08A6">
        <w:rPr>
          <w:rFonts w:ascii="Times New Roman" w:hAnsi="Times New Roman"/>
        </w:rPr>
        <w:t xml:space="preserve"> (</w:t>
      </w:r>
      <w:r w:rsidR="003506BE">
        <w:rPr>
          <w:rFonts w:ascii="Times New Roman" w:hAnsi="Times New Roman"/>
        </w:rPr>
        <w:t>91</w:t>
      </w:r>
      <w:r w:rsidRPr="008E08A6">
        <w:rPr>
          <w:rFonts w:ascii="Times New Roman" w:hAnsi="Times New Roman"/>
        </w:rPr>
        <w:t xml:space="preserve"> FR </w:t>
      </w:r>
      <w:r w:rsidR="003506BE">
        <w:rPr>
          <w:rFonts w:ascii="Times New Roman" w:hAnsi="Times New Roman"/>
        </w:rPr>
        <w:t>17308</w:t>
      </w:r>
      <w:r w:rsidRPr="008E08A6">
        <w:rPr>
          <w:rFonts w:ascii="Times New Roman" w:hAnsi="Times New Roman"/>
        </w:rPr>
        <w:t>)</w:t>
      </w:r>
      <w:r w:rsidR="001B7381">
        <w:rPr>
          <w:rFonts w:ascii="Times New Roman" w:hAnsi="Times New Roman"/>
        </w:rPr>
        <w:t xml:space="preserve">. </w:t>
      </w:r>
    </w:p>
    <w:p w:rsidR="00EF5468" w:rsidP="00C646BE" w14:paraId="2C5742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46BE" w:rsidP="00C646BE" w14:paraId="666E2BAA" w14:textId="54A07F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We received </w:t>
      </w:r>
      <w:r w:rsidR="00EA4981">
        <w:rPr>
          <w:rFonts w:ascii="Times New Roman" w:hAnsi="Times New Roman"/>
        </w:rPr>
        <w:t xml:space="preserve">four emails with </w:t>
      </w:r>
      <w:r>
        <w:rPr>
          <w:rFonts w:ascii="Times New Roman" w:hAnsi="Times New Roman"/>
        </w:rPr>
        <w:t>comments</w:t>
      </w:r>
      <w:r w:rsidR="00EA4981">
        <w:rPr>
          <w:rFonts w:ascii="Times New Roman" w:hAnsi="Times New Roman"/>
        </w:rPr>
        <w:t>.</w:t>
      </w:r>
      <w:r>
        <w:rPr>
          <w:rFonts w:ascii="Times New Roman" w:hAnsi="Times New Roman"/>
        </w:rPr>
        <w:t xml:space="preserve"> </w:t>
      </w:r>
      <w:r w:rsidR="00F639F8">
        <w:rPr>
          <w:rFonts w:ascii="Times New Roman" w:hAnsi="Times New Roman"/>
        </w:rPr>
        <w:t>Unemployment and Workers’ Compensation (UWC</w:t>
      </w:r>
      <w:r>
        <w:rPr>
          <w:rFonts w:ascii="Times New Roman" w:hAnsi="Times New Roman"/>
        </w:rPr>
        <w:t>,</w:t>
      </w:r>
      <w:r w:rsidR="00F639F8">
        <w:rPr>
          <w:rFonts w:ascii="Times New Roman" w:hAnsi="Times New Roman"/>
        </w:rPr>
        <w:t xml:space="preserve"> Association of Unemployment Tax Organizations (AUTO)</w:t>
      </w:r>
      <w:r>
        <w:rPr>
          <w:rFonts w:ascii="Times New Roman" w:hAnsi="Times New Roman"/>
        </w:rPr>
        <w:t>, Automated Data Processing, Inc. (ADP), and LexisNexis</w:t>
      </w:r>
      <w:r w:rsidR="00F639F8">
        <w:rPr>
          <w:rFonts w:ascii="Times New Roman" w:hAnsi="Times New Roman"/>
        </w:rPr>
        <w:t xml:space="preserve"> provided </w:t>
      </w:r>
      <w:r w:rsidRPr="00F639F8" w:rsidR="00F639F8">
        <w:rPr>
          <w:rFonts w:ascii="Times New Roman" w:hAnsi="Times New Roman"/>
        </w:rPr>
        <w:t xml:space="preserve">recommendations regarding additional operational considerations to the ETA-9177 checklist. </w:t>
      </w:r>
      <w:r>
        <w:rPr>
          <w:rFonts w:ascii="Times New Roman" w:hAnsi="Times New Roman"/>
        </w:rPr>
        <w:t>UWC, AUTO, and ADP</w:t>
      </w:r>
      <w:r w:rsidR="00D8017A">
        <w:rPr>
          <w:rFonts w:ascii="Times New Roman" w:hAnsi="Times New Roman"/>
        </w:rPr>
        <w:t xml:space="preserve"> provide</w:t>
      </w:r>
      <w:r>
        <w:rPr>
          <w:rFonts w:ascii="Times New Roman" w:hAnsi="Times New Roman"/>
        </w:rPr>
        <w:t>d</w:t>
      </w:r>
      <w:r w:rsidR="00D8017A">
        <w:rPr>
          <w:rFonts w:ascii="Times New Roman" w:hAnsi="Times New Roman"/>
        </w:rPr>
        <w:t xml:space="preserve"> suggestions to </w:t>
      </w:r>
      <w:r w:rsidR="00497A21">
        <w:rPr>
          <w:rFonts w:ascii="Times New Roman" w:hAnsi="Times New Roman"/>
        </w:rPr>
        <w:t>enhance</w:t>
      </w:r>
      <w:r w:rsidR="00D8017A">
        <w:rPr>
          <w:rFonts w:ascii="Times New Roman" w:hAnsi="Times New Roman"/>
        </w:rPr>
        <w:t xml:space="preserve"> the checklist </w:t>
      </w:r>
      <w:r w:rsidR="00F62120">
        <w:rPr>
          <w:rFonts w:ascii="Times New Roman" w:hAnsi="Times New Roman"/>
        </w:rPr>
        <w:t>to</w:t>
      </w:r>
      <w:r w:rsidRPr="00F639F8" w:rsidR="00F639F8">
        <w:rPr>
          <w:rFonts w:ascii="Times New Roman" w:hAnsi="Times New Roman"/>
        </w:rPr>
        <w:t xml:space="preserve"> </w:t>
      </w:r>
      <w:r w:rsidRPr="00F639F8" w:rsidR="00D8017A">
        <w:rPr>
          <w:rFonts w:ascii="Times New Roman" w:hAnsi="Times New Roman"/>
        </w:rPr>
        <w:t>increase benefit payment accuracy</w:t>
      </w:r>
      <w:r w:rsidR="00D8017A">
        <w:rPr>
          <w:rFonts w:ascii="Times New Roman" w:hAnsi="Times New Roman"/>
        </w:rPr>
        <w:t>,</w:t>
      </w:r>
      <w:r w:rsidRPr="00F639F8" w:rsidR="00D8017A">
        <w:rPr>
          <w:rFonts w:ascii="Times New Roman" w:hAnsi="Times New Roman"/>
        </w:rPr>
        <w:t xml:space="preserve"> </w:t>
      </w:r>
      <w:r w:rsidRPr="00F639F8" w:rsidR="00F639F8">
        <w:rPr>
          <w:rFonts w:ascii="Times New Roman" w:hAnsi="Times New Roman"/>
        </w:rPr>
        <w:t>decrease improper payments</w:t>
      </w:r>
      <w:r w:rsidR="00D8017A">
        <w:rPr>
          <w:rFonts w:ascii="Times New Roman" w:hAnsi="Times New Roman"/>
        </w:rPr>
        <w:t xml:space="preserve">, </w:t>
      </w:r>
      <w:r w:rsidRPr="00F639F8" w:rsidR="00F639F8">
        <w:rPr>
          <w:rFonts w:ascii="Times New Roman" w:hAnsi="Times New Roman"/>
        </w:rPr>
        <w:t>and</w:t>
      </w:r>
      <w:r w:rsidR="00D8017A">
        <w:rPr>
          <w:rFonts w:ascii="Times New Roman" w:hAnsi="Times New Roman"/>
        </w:rPr>
        <w:t xml:space="preserve"> reduce employer burden</w:t>
      </w:r>
      <w:r w:rsidRPr="00F639F8" w:rsidR="00F639F8">
        <w:rPr>
          <w:rFonts w:ascii="Times New Roman" w:hAnsi="Times New Roman"/>
        </w:rPr>
        <w:t xml:space="preserve">. </w:t>
      </w:r>
      <w:r>
        <w:rPr>
          <w:rFonts w:ascii="Times New Roman" w:hAnsi="Times New Roman"/>
        </w:rPr>
        <w:t xml:space="preserve">LexisNexis provided suggestions to </w:t>
      </w:r>
      <w:r w:rsidR="00497A21">
        <w:rPr>
          <w:rFonts w:ascii="Times New Roman" w:hAnsi="Times New Roman"/>
        </w:rPr>
        <w:t>enhance</w:t>
      </w:r>
      <w:r>
        <w:rPr>
          <w:rFonts w:ascii="Times New Roman" w:hAnsi="Times New Roman"/>
        </w:rPr>
        <w:t xml:space="preserve"> the checklist to</w:t>
      </w:r>
      <w:r w:rsidRPr="001B7381">
        <w:rPr>
          <w:rFonts w:ascii="Times New Roman" w:hAnsi="Times New Roman"/>
        </w:rPr>
        <w:t xml:space="preserve"> include/strengthen the program integrity elements, such as claimant identity verification, eligibility verification, fraud detection and prevention, investigative case management, cybersecurity, post-launch integrity controls, and risk management. </w:t>
      </w:r>
      <w:r w:rsidRPr="00F639F8" w:rsidR="00F639F8">
        <w:rPr>
          <w:rFonts w:ascii="Times New Roman" w:hAnsi="Times New Roman"/>
        </w:rPr>
        <w:t>We recognize the importance of these issues and</w:t>
      </w:r>
      <w:r w:rsidRPr="005A27B7" w:rsidR="005A27B7">
        <w:rPr>
          <w:rFonts w:ascii="Times New Roman" w:hAnsi="Times New Roman"/>
        </w:rPr>
        <w:t xml:space="preserve">, due to time constraints for the current Paperwork Reduction Act approval process, we </w:t>
      </w:r>
      <w:r w:rsidRPr="00F639F8" w:rsidR="00F639F8">
        <w:rPr>
          <w:rFonts w:ascii="Times New Roman" w:hAnsi="Times New Roman"/>
        </w:rPr>
        <w:t xml:space="preserve">will evaluate them for </w:t>
      </w:r>
      <w:r w:rsidR="005A27B7">
        <w:rPr>
          <w:rFonts w:ascii="Times New Roman" w:hAnsi="Times New Roman"/>
        </w:rPr>
        <w:t xml:space="preserve">the </w:t>
      </w:r>
      <w:r w:rsidRPr="00F639F8" w:rsidR="00F639F8">
        <w:rPr>
          <w:rFonts w:ascii="Times New Roman" w:hAnsi="Times New Roman"/>
        </w:rPr>
        <w:t>future improvements to the ETA-</w:t>
      </w:r>
      <w:r w:rsidRPr="00F639F8" w:rsidR="00F639F8">
        <w:rPr>
          <w:rFonts w:ascii="Times New Roman" w:hAnsi="Times New Roman"/>
        </w:rPr>
        <w:t>9177,</w:t>
      </w:r>
      <w:r w:rsidRPr="00F639F8" w:rsidR="00F639F8">
        <w:rPr>
          <w:rFonts w:ascii="Times New Roman" w:hAnsi="Times New Roman"/>
        </w:rPr>
        <w:t xml:space="preserve"> Pre-Implementation Checklist (OMB Control No: 1205</w:t>
      </w:r>
      <w:r w:rsidR="0033562E">
        <w:rPr>
          <w:rFonts w:ascii="Times New Roman" w:hAnsi="Times New Roman"/>
        </w:rPr>
        <w:t>-</w:t>
      </w:r>
      <w:r w:rsidRPr="00F639F8" w:rsidR="00F639F8">
        <w:rPr>
          <w:rFonts w:ascii="Times New Roman" w:hAnsi="Times New Roman"/>
        </w:rPr>
        <w:t>0527)</w:t>
      </w:r>
      <w:r w:rsidR="00F62120">
        <w:rPr>
          <w:rFonts w:ascii="Times New Roman" w:hAnsi="Times New Roman"/>
        </w:rPr>
        <w:t>.</w:t>
      </w:r>
    </w:p>
    <w:p w:rsidR="00C660FF" w:rsidP="00690F56" w14:paraId="49D36A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608739E9" w14:textId="6B8434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w:t>
      </w:r>
      <w:r w:rsidRPr="00D53DEB">
        <w:rPr>
          <w:rFonts w:ascii="Times New Roman" w:hAnsi="Times New Roman"/>
          <w:b/>
          <w:bCs/>
        </w:rPr>
        <w:t>.  Explain</w:t>
      </w:r>
      <w:r w:rsidRPr="00D53DEB">
        <w:rPr>
          <w:rFonts w:ascii="Times New Roman" w:hAnsi="Times New Roman"/>
          <w:b/>
          <w:bCs/>
        </w:rPr>
        <w:t xml:space="preserve">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6399" w:rsidRPr="009E6529" w:rsidP="00FC6399" w14:paraId="3D0F5E69" w14:textId="77777777">
      <w:pPr>
        <w:widowControl/>
        <w:tabs>
          <w:tab w:val="left" w:pos="-1440"/>
        </w:tabs>
        <w:ind w:left="720" w:hanging="720"/>
        <w:rPr>
          <w:rFonts w:ascii="Times New Roman" w:hAnsi="Times New Roman"/>
        </w:rPr>
      </w:pPr>
      <w:r w:rsidRPr="009E6529">
        <w:rPr>
          <w:rFonts w:ascii="Times New Roman" w:hAnsi="Times New Roman"/>
        </w:rPr>
        <w:t>There are no payments made to respondents.</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w:t>
      </w:r>
      <w:r w:rsidRPr="00D53DEB">
        <w:rPr>
          <w:rFonts w:ascii="Times New Roman" w:hAnsi="Times New Roman"/>
          <w:b/>
          <w:bCs/>
        </w:rPr>
        <w:t xml:space="preserve">.  </w:t>
      </w:r>
      <w:r w:rsidRPr="00D53DEB">
        <w:rPr>
          <w:rFonts w:ascii="Times New Roman" w:hAnsi="Times New Roman"/>
          <w:b/>
          <w:bCs/>
        </w:rPr>
        <w:t>Describe</w:t>
      </w:r>
      <w:r w:rsidRPr="00D53DEB">
        <w:rPr>
          <w:rFonts w:ascii="Times New Roman" w:hAnsi="Times New Roman"/>
          <w:b/>
          <w:bCs/>
        </w:rPr>
        <w:t xml:space="preserv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6399" w:rsidRPr="00BD68C5" w:rsidP="00FC6399" w14:paraId="77C57DEB" w14:textId="03FD8A2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BD68C5">
        <w:rPr>
          <w:rFonts w:ascii="Times New Roman" w:hAnsi="Times New Roman"/>
        </w:rPr>
        <w:t>No assurance of confidentiality is provided</w:t>
      </w:r>
      <w:r w:rsidR="002B47F1">
        <w:rPr>
          <w:rFonts w:ascii="Times New Roman" w:hAnsi="Times New Roman"/>
        </w:rPr>
        <w:t xml:space="preserve">. </w:t>
      </w:r>
      <w:r w:rsidRPr="00BD68C5">
        <w:rPr>
          <w:rFonts w:ascii="Times New Roman" w:hAnsi="Times New Roman"/>
        </w:rPr>
        <w:t>The ETA 9177 reports contain no personal or confidential data.</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 xml:space="preserve">gency considers the questions necessary, the specific uses to be made of the information, the explanation to be given to </w:t>
      </w:r>
      <w:r w:rsidRPr="00D53DEB">
        <w:rPr>
          <w:rFonts w:ascii="Times New Roman" w:hAnsi="Times New Roman"/>
          <w:b/>
          <w:bCs/>
        </w:rPr>
        <w:t>persons</w:t>
      </w:r>
      <w:r w:rsidRPr="00D53DEB">
        <w:rPr>
          <w:rFonts w:ascii="Times New Roman" w:hAnsi="Times New Roman"/>
          <w:b/>
          <w:bCs/>
        </w:rPr>
        <w:t xml:space="preserve">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C6399" w:rsidRPr="00814736" w:rsidP="00FC6399" w14:paraId="422A7CC0" w14:textId="77777777">
      <w:pPr>
        <w:widowControl/>
        <w:tabs>
          <w:tab w:val="left" w:pos="-1440"/>
        </w:tabs>
        <w:ind w:left="720" w:hanging="720"/>
        <w:rPr>
          <w:rFonts w:ascii="Times New Roman" w:hAnsi="Times New Roman"/>
        </w:rPr>
      </w:pPr>
      <w:r w:rsidRPr="00143236">
        <w:rPr>
          <w:rFonts w:ascii="Times New Roman" w:hAnsi="Times New Roman"/>
        </w:rPr>
        <w:t>There are no questions of a sensitive nature.</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w:t>
      </w:r>
      <w:r w:rsidRPr="00D53DEB">
        <w:rPr>
          <w:rFonts w:ascii="Times New Roman" w:hAnsi="Times New Roman"/>
          <w:b/>
          <w:bCs/>
        </w:rPr>
        <w:t>.  Provide</w:t>
      </w:r>
      <w:r w:rsidRPr="00D53DEB">
        <w:rPr>
          <w:rFonts w:ascii="Times New Roman" w:hAnsi="Times New Roman"/>
          <w:b/>
          <w:bCs/>
        </w:rPr>
        <w:t xml:space="preserv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r w:rsidRPr="00D53DEB">
        <w:rPr>
          <w:rFonts w:ascii="Times New Roman" w:hAnsi="Times New Roman"/>
          <w:b/>
          <w:bCs/>
        </w:rPr>
        <w:t>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FC6399" w:rsidP="00FC6399" w14:paraId="38E146E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6399" w:rsidRPr="004B06AD" w:rsidP="00FC6399" w14:paraId="19F50AE4" w14:textId="2C7B37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F60C7">
        <w:rPr>
          <w:rFonts w:ascii="Times New Roman" w:hAnsi="Times New Roman"/>
        </w:rPr>
        <w:t xml:space="preserve">States are in different stages of </w:t>
      </w:r>
      <w:r w:rsidRPr="00DF60C7">
        <w:rPr>
          <w:rFonts w:ascii="Times New Roman" w:hAnsi="Times New Roman"/>
        </w:rPr>
        <w:t>the system</w:t>
      </w:r>
      <w:r w:rsidRPr="00DF60C7">
        <w:rPr>
          <w:rFonts w:ascii="Times New Roman" w:hAnsi="Times New Roman"/>
        </w:rPr>
        <w:t xml:space="preserve"> modernization</w:t>
      </w:r>
      <w:r w:rsidR="002B47F1">
        <w:rPr>
          <w:rFonts w:ascii="Times New Roman" w:hAnsi="Times New Roman"/>
        </w:rPr>
        <w:t xml:space="preserve">. </w:t>
      </w:r>
      <w:r w:rsidRPr="00DF60C7">
        <w:rPr>
          <w:rFonts w:ascii="Times New Roman" w:hAnsi="Times New Roman"/>
        </w:rPr>
        <w:t>For example, some states are in the initial stage of requirements gathering, while others are in the system development process</w:t>
      </w:r>
      <w:r w:rsidR="002B47F1">
        <w:rPr>
          <w:rFonts w:ascii="Times New Roman" w:hAnsi="Times New Roman"/>
        </w:rPr>
        <w:t xml:space="preserve">. </w:t>
      </w:r>
      <w:r w:rsidRPr="00DF60C7">
        <w:rPr>
          <w:rFonts w:ascii="Times New Roman" w:hAnsi="Times New Roman"/>
        </w:rPr>
        <w:t>States are required to submit the ETA 9177 report 6 months prior to the modernized UI system implementation</w:t>
      </w:r>
      <w:r w:rsidR="002B47F1">
        <w:rPr>
          <w:rFonts w:ascii="Times New Roman" w:hAnsi="Times New Roman"/>
        </w:rPr>
        <w:t xml:space="preserve">. </w:t>
      </w:r>
      <w:r w:rsidRPr="00DF60C7">
        <w:rPr>
          <w:rFonts w:ascii="Times New Roman" w:hAnsi="Times New Roman"/>
        </w:rPr>
        <w:t xml:space="preserve">In last 3 years, 9 states that were pursuing system modernization </w:t>
      </w:r>
      <w:r w:rsidRPr="00DF60C7" w:rsidR="001C3A56">
        <w:rPr>
          <w:rFonts w:ascii="Times New Roman" w:hAnsi="Times New Roman"/>
        </w:rPr>
        <w:t>efforts</w:t>
      </w:r>
      <w:r w:rsidRPr="00DF60C7">
        <w:rPr>
          <w:rFonts w:ascii="Times New Roman" w:hAnsi="Times New Roman"/>
        </w:rPr>
        <w:t xml:space="preserve"> submitted the ETA 9177 report</w:t>
      </w:r>
      <w:r w:rsidR="002B47F1">
        <w:rPr>
          <w:rFonts w:ascii="Times New Roman" w:hAnsi="Times New Roman"/>
        </w:rPr>
        <w:t xml:space="preserve">. </w:t>
      </w:r>
      <w:r w:rsidRPr="00DF60C7">
        <w:rPr>
          <w:rFonts w:ascii="Times New Roman" w:hAnsi="Times New Roman"/>
        </w:rPr>
        <w:t>Based on that, we assume that we will receive about 3 reports annually over a period of 3 years.</w:t>
      </w:r>
      <w:r>
        <w:rPr>
          <w:rFonts w:ascii="Times New Roman" w:hAnsi="Times New Roman"/>
        </w:rPr>
        <w:t xml:space="preserve"> The </w:t>
      </w:r>
      <w:r w:rsidRPr="004B06AD">
        <w:rPr>
          <w:rFonts w:ascii="Times New Roman" w:hAnsi="Times New Roman"/>
        </w:rPr>
        <w:t xml:space="preserve">burden of the collection of information can be divided into </w:t>
      </w:r>
      <w:r>
        <w:rPr>
          <w:rFonts w:ascii="Times New Roman" w:hAnsi="Times New Roman"/>
        </w:rPr>
        <w:t>two</w:t>
      </w:r>
      <w:r w:rsidRPr="004B06AD">
        <w:rPr>
          <w:rFonts w:ascii="Times New Roman" w:hAnsi="Times New Roman"/>
        </w:rPr>
        <w:t xml:space="preserve"> intervals:</w:t>
      </w:r>
    </w:p>
    <w:p w:rsidR="00FC6399" w:rsidRPr="004B06AD" w:rsidP="00FC6399" w14:paraId="68AF7A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6399" w:rsidRPr="00C036B6" w:rsidP="00FC6399" w14:paraId="2EF6EC3A"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C036B6">
        <w:rPr>
          <w:rFonts w:ascii="Times New Roman" w:hAnsi="Times New Roman"/>
        </w:rPr>
        <w:t>Planning:</w:t>
      </w:r>
    </w:p>
    <w:p w:rsidR="00FC6399" w:rsidRPr="004B06AD" w:rsidP="00FC6399" w14:paraId="51D132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6399" w:rsidRPr="004B06AD" w:rsidP="00FC6399" w14:paraId="6194ED1A" w14:textId="7C9BBB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06AD">
        <w:rPr>
          <w:rFonts w:ascii="Times New Roman" w:hAnsi="Times New Roman"/>
        </w:rPr>
        <w:t xml:space="preserve">ETA anticipates that each year, three of the States (i.e. </w:t>
      </w:r>
      <w:r>
        <w:rPr>
          <w:rFonts w:ascii="Times New Roman" w:hAnsi="Times New Roman"/>
        </w:rPr>
        <w:t>nine</w:t>
      </w:r>
      <w:r w:rsidRPr="004B06AD">
        <w:rPr>
          <w:rFonts w:ascii="Times New Roman" w:hAnsi="Times New Roman"/>
        </w:rPr>
        <w:t xml:space="preserve"> over the term of this clearance) who are in some states of UI Modernization will begin a planning to report phase</w:t>
      </w:r>
      <w:r w:rsidR="002B47F1">
        <w:rPr>
          <w:rFonts w:ascii="Times New Roman" w:hAnsi="Times New Roman"/>
        </w:rPr>
        <w:t xml:space="preserve">. </w:t>
      </w:r>
      <w:r w:rsidRPr="004B06AD">
        <w:rPr>
          <w:rFonts w:ascii="Times New Roman" w:hAnsi="Times New Roman"/>
        </w:rPr>
        <w:t xml:space="preserve">The ETA 9177 report will require coordination and interactions among many of the State’s UI Modernization entities (e.g. configuration management, quality assurance, system architecture, system administration, software development, UI staff, UI management, etc.)  ETA estimates a </w:t>
      </w:r>
      <w:r w:rsidRPr="004B06AD" w:rsidR="001C3A56">
        <w:rPr>
          <w:rFonts w:ascii="Times New Roman" w:hAnsi="Times New Roman"/>
        </w:rPr>
        <w:t>20-hour</w:t>
      </w:r>
      <w:r w:rsidRPr="004B06AD">
        <w:rPr>
          <w:rFonts w:ascii="Times New Roman" w:hAnsi="Times New Roman"/>
        </w:rPr>
        <w:t xml:space="preserve"> burden per SWA to review the report and begin planning or collecting the necessary information to develop the ETA 9177 report. (</w:t>
      </w:r>
      <w:r>
        <w:rPr>
          <w:rFonts w:ascii="Times New Roman" w:hAnsi="Times New Roman"/>
        </w:rPr>
        <w:t>9</w:t>
      </w:r>
      <w:r w:rsidRPr="004B06AD">
        <w:rPr>
          <w:rFonts w:ascii="Times New Roman" w:hAnsi="Times New Roman"/>
        </w:rPr>
        <w:t xml:space="preserve"> total responses / 3 years = 3 responses)</w:t>
      </w:r>
      <w:r w:rsidR="002B47F1">
        <w:rPr>
          <w:rFonts w:ascii="Times New Roman" w:hAnsi="Times New Roman"/>
        </w:rPr>
        <w:t xml:space="preserve">. </w:t>
      </w:r>
    </w:p>
    <w:p w:rsidR="00FC6399" w:rsidRPr="004B06AD" w:rsidP="00FC6399" w14:paraId="2958FA3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6399" w:rsidRPr="00C036B6" w:rsidP="00FC6399" w14:paraId="5254A3A9" w14:textId="77777777">
      <w:pPr>
        <w:pStyle w:val="ListParagraph"/>
        <w:widowControl/>
        <w:numPr>
          <w:ilvl w:val="0"/>
          <w:numId w:val="1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C036B6">
        <w:rPr>
          <w:rFonts w:ascii="Times New Roman" w:hAnsi="Times New Roman"/>
        </w:rPr>
        <w:t>Reporting:</w:t>
      </w:r>
    </w:p>
    <w:p w:rsidR="00FC6399" w:rsidRPr="004B06AD" w:rsidP="00FC6399" w14:paraId="141768E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C6399" w:rsidRPr="004B06AD" w:rsidP="00FC6399" w14:paraId="611F5B73" w14:textId="7EEB5E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B06AD">
        <w:rPr>
          <w:rFonts w:ascii="Times New Roman" w:hAnsi="Times New Roman"/>
        </w:rPr>
        <w:t>All states conducting UI IT Modernization will provide this report 180 days (6 months) prior to implementing their associated UI IT Modernization project</w:t>
      </w:r>
      <w:r w:rsidR="002B47F1">
        <w:rPr>
          <w:rFonts w:ascii="Times New Roman" w:hAnsi="Times New Roman"/>
        </w:rPr>
        <w:t xml:space="preserve">. </w:t>
      </w:r>
      <w:r w:rsidRPr="004B06AD">
        <w:rPr>
          <w:rFonts w:ascii="Times New Roman" w:hAnsi="Times New Roman"/>
        </w:rPr>
        <w:t xml:space="preserve">ETA anticipates that each year, three of the States (i.e. </w:t>
      </w:r>
      <w:r>
        <w:rPr>
          <w:rFonts w:ascii="Times New Roman" w:hAnsi="Times New Roman"/>
        </w:rPr>
        <w:t>nine</w:t>
      </w:r>
      <w:r w:rsidRPr="004B06AD">
        <w:rPr>
          <w:rFonts w:ascii="Times New Roman" w:hAnsi="Times New Roman"/>
        </w:rPr>
        <w:t xml:space="preserve"> over the term of this clearance) will report. (</w:t>
      </w:r>
      <w:r>
        <w:rPr>
          <w:rFonts w:ascii="Times New Roman" w:hAnsi="Times New Roman"/>
        </w:rPr>
        <w:t>9</w:t>
      </w:r>
      <w:r w:rsidRPr="004B06AD">
        <w:rPr>
          <w:rFonts w:ascii="Times New Roman" w:hAnsi="Times New Roman"/>
        </w:rPr>
        <w:t xml:space="preserve"> total responses / 3 years = 3 responses)</w:t>
      </w:r>
      <w:r w:rsidR="002B47F1">
        <w:rPr>
          <w:rFonts w:ascii="Times New Roman" w:hAnsi="Times New Roman"/>
        </w:rPr>
        <w:t xml:space="preserve">. </w:t>
      </w:r>
      <w:r>
        <w:rPr>
          <w:rFonts w:ascii="Times New Roman" w:hAnsi="Times New Roman"/>
        </w:rPr>
        <w:t>T</w:t>
      </w:r>
      <w:r w:rsidRPr="004B06AD">
        <w:rPr>
          <w:rFonts w:ascii="Times New Roman" w:hAnsi="Times New Roman"/>
        </w:rPr>
        <w:t xml:space="preserve">he total burden for an ETA 9177 report submission is estimated to be 160 hours per SWA.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668ECD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67DED9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54BB8A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7AA3BCE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049B63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4F21B6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3506BE" w:rsidP="00690F56" w14:paraId="49BDA35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P="006626FF" w14:paraId="3CD4954E" w14:textId="77777777">
      <w:pPr>
        <w:ind w:left="720"/>
        <w:jc w:val="center"/>
        <w:rPr>
          <w:rFonts w:ascii="Times New Roman" w:hAnsi="Times New Roman"/>
          <w:b/>
        </w:rPr>
      </w:pPr>
      <w:r w:rsidRPr="00E60FB0">
        <w:rPr>
          <w:rFonts w:ascii="Times New Roman" w:hAnsi="Times New Roman"/>
          <w:b/>
        </w:rPr>
        <w:t>Estimated Annualized Respondent Cost and Hour Burden</w:t>
      </w:r>
    </w:p>
    <w:p w:rsidR="006778C5" w:rsidRPr="00E60FB0" w:rsidP="006626FF" w14:paraId="4BB9BCE5" w14:textId="77777777">
      <w:pPr>
        <w:ind w:left="720"/>
        <w:jc w:val="center"/>
        <w:rPr>
          <w:rFonts w:ascii="Times New Roman" w:hAnsi="Times New Roman"/>
          <w: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2"/>
        <w:gridCol w:w="1415"/>
        <w:gridCol w:w="1329"/>
        <w:gridCol w:w="1182"/>
        <w:gridCol w:w="998"/>
        <w:gridCol w:w="950"/>
        <w:gridCol w:w="889"/>
        <w:gridCol w:w="1280"/>
      </w:tblGrid>
      <w:tr w14:paraId="08F6E73E" w14:textId="77777777" w:rsidTr="00923D70">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0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24669A45"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0F391738"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tcPr>
          <w:p w:rsidR="006778C5" w:rsidRPr="00E60FB0" w:rsidP="00923D70" w14:paraId="1C3C8421" w14:textId="77777777">
            <w:pPr>
              <w:spacing w:line="276" w:lineRule="auto"/>
              <w:jc w:val="center"/>
              <w:rPr>
                <w:rFonts w:ascii="Times New Roman" w:hAnsi="Times New Roman"/>
                <w:b/>
                <w:sz w:val="22"/>
                <w:szCs w:val="22"/>
              </w:rPr>
            </w:pPr>
          </w:p>
          <w:p w:rsidR="006778C5" w:rsidRPr="00E60FB0" w:rsidP="00923D70" w14:paraId="58A5B616"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778C5" w:rsidRPr="00E60FB0" w:rsidP="00923D70" w14:paraId="68474A7F"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Pr>
                <w:rFonts w:ascii="Times New Roman" w:hAnsi="Times New Roman"/>
                <w:b/>
                <w:sz w:val="22"/>
                <w:szCs w:val="22"/>
              </w:rPr>
              <w:t xml:space="preserve"> Respondent</w:t>
            </w:r>
          </w:p>
        </w:tc>
        <w:tc>
          <w:tcPr>
            <w:tcW w:w="118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1201E88B"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6E42E061"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16A6D8CF"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19D84283"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778C5" w:rsidRPr="00E60FB0" w:rsidP="00923D70" w14:paraId="187C4FBE"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2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778C5" w:rsidRPr="00E60FB0" w:rsidP="00923D70" w14:paraId="740BEFAE"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557978A" w14:textId="77777777" w:rsidTr="00923D70">
        <w:tblPrEx>
          <w:tblW w:w="944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6778C5" w:rsidRPr="00FF3A4A" w:rsidP="00923D70" w14:paraId="0311E0E9" w14:textId="77777777">
            <w:pPr>
              <w:spacing w:line="276" w:lineRule="auto"/>
              <w:rPr>
                <w:rFonts w:ascii="Times New Roman" w:hAnsi="Times New Roman"/>
                <w:sz w:val="22"/>
                <w:szCs w:val="22"/>
              </w:rPr>
            </w:pPr>
            <w:r w:rsidRPr="00FF3A4A">
              <w:rPr>
                <w:rFonts w:ascii="Times New Roman" w:hAnsi="Times New Roman"/>
                <w:sz w:val="22"/>
                <w:szCs w:val="22"/>
              </w:rPr>
              <w:t>Planning</w:t>
            </w:r>
          </w:p>
        </w:tc>
        <w:tc>
          <w:tcPr>
            <w:tcW w:w="1415"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5FEE04A3" w14:textId="77777777">
            <w:pPr>
              <w:spacing w:line="276" w:lineRule="auto"/>
              <w:jc w:val="center"/>
              <w:rPr>
                <w:rFonts w:ascii="Times New Roman" w:hAnsi="Times New Roman"/>
                <w:sz w:val="22"/>
                <w:szCs w:val="22"/>
              </w:rPr>
            </w:pPr>
            <w:r w:rsidRPr="00FF3A4A">
              <w:rPr>
                <w:rFonts w:ascii="Times New Roman" w:hAnsi="Times New Roman"/>
                <w:sz w:val="22"/>
                <w:szCs w:val="22"/>
              </w:rPr>
              <w:t>3</w:t>
            </w:r>
          </w:p>
        </w:tc>
        <w:tc>
          <w:tcPr>
            <w:tcW w:w="132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4934D1AF" w14:textId="77777777">
            <w:pPr>
              <w:spacing w:line="276" w:lineRule="auto"/>
              <w:jc w:val="center"/>
              <w:rPr>
                <w:rFonts w:ascii="Times New Roman" w:hAnsi="Times New Roman"/>
                <w:sz w:val="22"/>
                <w:szCs w:val="22"/>
              </w:rPr>
            </w:pPr>
            <w:r w:rsidRPr="00FF3A4A">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0A5D09B5" w14:textId="77777777">
            <w:pPr>
              <w:spacing w:line="276" w:lineRule="auto"/>
              <w:jc w:val="center"/>
              <w:rPr>
                <w:rFonts w:ascii="Times New Roman" w:hAnsi="Times New Roman"/>
                <w:sz w:val="22"/>
                <w:szCs w:val="22"/>
              </w:rPr>
            </w:pPr>
            <w:r w:rsidRPr="00FF3A4A">
              <w:rPr>
                <w:rFonts w:ascii="Times New Roman" w:hAnsi="Times New Roman"/>
                <w:sz w:val="22"/>
                <w:szCs w:val="22"/>
              </w:rPr>
              <w:t>3</w:t>
            </w:r>
          </w:p>
        </w:tc>
        <w:tc>
          <w:tcPr>
            <w:tcW w:w="998"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2E4A2425" w14:textId="77777777">
            <w:pPr>
              <w:spacing w:line="276" w:lineRule="auto"/>
              <w:jc w:val="center"/>
              <w:rPr>
                <w:rFonts w:ascii="Times New Roman" w:hAnsi="Times New Roman"/>
                <w:sz w:val="22"/>
                <w:szCs w:val="22"/>
              </w:rPr>
            </w:pPr>
            <w:r w:rsidRPr="00FF3A4A">
              <w:rPr>
                <w:rFonts w:ascii="Times New Roman" w:hAnsi="Times New Roman"/>
                <w:sz w:val="22"/>
                <w:szCs w:val="22"/>
              </w:rPr>
              <w:t>20</w:t>
            </w:r>
          </w:p>
        </w:tc>
        <w:tc>
          <w:tcPr>
            <w:tcW w:w="95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D596C8A" w14:textId="77777777">
            <w:pPr>
              <w:spacing w:line="276" w:lineRule="auto"/>
              <w:jc w:val="center"/>
              <w:rPr>
                <w:rFonts w:ascii="Times New Roman" w:hAnsi="Times New Roman"/>
                <w:sz w:val="22"/>
                <w:szCs w:val="22"/>
              </w:rPr>
            </w:pPr>
            <w:r w:rsidRPr="00FF3A4A">
              <w:rPr>
                <w:rFonts w:ascii="Times New Roman" w:hAnsi="Times New Roman"/>
                <w:sz w:val="22"/>
                <w:szCs w:val="22"/>
              </w:rPr>
              <w:t>60</w:t>
            </w:r>
          </w:p>
        </w:tc>
        <w:tc>
          <w:tcPr>
            <w:tcW w:w="88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1AA5E6D1" w14:textId="7CAB5DDE">
            <w:pPr>
              <w:spacing w:line="276" w:lineRule="auto"/>
              <w:jc w:val="center"/>
              <w:rPr>
                <w:rFonts w:ascii="Times New Roman" w:hAnsi="Times New Roman"/>
                <w:sz w:val="22"/>
                <w:szCs w:val="22"/>
              </w:rPr>
            </w:pPr>
            <w:r w:rsidRPr="00FF3A4A">
              <w:rPr>
                <w:rFonts w:ascii="Times New Roman" w:hAnsi="Times New Roman"/>
                <w:sz w:val="22"/>
                <w:szCs w:val="22"/>
              </w:rPr>
              <w:t>$</w:t>
            </w:r>
            <w:r w:rsidR="005F23C8">
              <w:rPr>
                <w:rFonts w:ascii="Times New Roman" w:hAnsi="Times New Roman"/>
                <w:sz w:val="22"/>
                <w:szCs w:val="22"/>
              </w:rPr>
              <w:t>62</w:t>
            </w:r>
            <w:r>
              <w:rPr>
                <w:rFonts w:ascii="Times New Roman" w:hAnsi="Times New Roman"/>
                <w:sz w:val="22"/>
                <w:szCs w:val="22"/>
              </w:rPr>
              <w:t>.00</w:t>
            </w:r>
          </w:p>
        </w:tc>
        <w:tc>
          <w:tcPr>
            <w:tcW w:w="128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9949CFD" w14:textId="144DE36E">
            <w:pPr>
              <w:spacing w:line="276" w:lineRule="auto"/>
              <w:jc w:val="center"/>
              <w:rPr>
                <w:rFonts w:ascii="Times New Roman" w:hAnsi="Times New Roman"/>
                <w:sz w:val="22"/>
                <w:szCs w:val="22"/>
              </w:rPr>
            </w:pPr>
            <w:r w:rsidRPr="00FF3A4A">
              <w:rPr>
                <w:rFonts w:ascii="Times New Roman" w:hAnsi="Times New Roman"/>
                <w:sz w:val="22"/>
                <w:szCs w:val="22"/>
              </w:rPr>
              <w:t>$</w:t>
            </w:r>
            <w:r>
              <w:rPr>
                <w:rFonts w:ascii="Times New Roman" w:hAnsi="Times New Roman"/>
                <w:sz w:val="22"/>
                <w:szCs w:val="22"/>
              </w:rPr>
              <w:t>3,</w:t>
            </w:r>
            <w:r w:rsidR="005F23C8">
              <w:rPr>
                <w:rFonts w:ascii="Times New Roman" w:hAnsi="Times New Roman"/>
                <w:sz w:val="22"/>
                <w:szCs w:val="22"/>
              </w:rPr>
              <w:t>72</w:t>
            </w:r>
            <w:r>
              <w:rPr>
                <w:rFonts w:ascii="Times New Roman" w:hAnsi="Times New Roman"/>
                <w:sz w:val="22"/>
                <w:szCs w:val="22"/>
              </w:rPr>
              <w:t>0.00</w:t>
            </w:r>
          </w:p>
        </w:tc>
      </w:tr>
      <w:tr w14:paraId="3AB948C7" w14:textId="77777777" w:rsidTr="00923D70">
        <w:tblPrEx>
          <w:tblW w:w="944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6778C5" w:rsidRPr="00FF3A4A" w:rsidP="00923D70" w14:paraId="0C5D45C1" w14:textId="77777777">
            <w:pPr>
              <w:spacing w:line="276" w:lineRule="auto"/>
              <w:rPr>
                <w:rFonts w:ascii="Times New Roman" w:hAnsi="Times New Roman"/>
                <w:sz w:val="22"/>
                <w:szCs w:val="22"/>
              </w:rPr>
            </w:pPr>
            <w:r w:rsidRPr="00FF3A4A">
              <w:rPr>
                <w:rFonts w:ascii="Times New Roman" w:hAnsi="Times New Roman"/>
                <w:sz w:val="22"/>
                <w:szCs w:val="22"/>
              </w:rPr>
              <w:t>Reporting</w:t>
            </w:r>
          </w:p>
        </w:tc>
        <w:tc>
          <w:tcPr>
            <w:tcW w:w="1415"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7149AE90" w14:textId="77777777">
            <w:pPr>
              <w:spacing w:line="276" w:lineRule="auto"/>
              <w:jc w:val="center"/>
              <w:rPr>
                <w:rFonts w:ascii="Times New Roman" w:hAnsi="Times New Roman"/>
                <w:sz w:val="22"/>
                <w:szCs w:val="22"/>
              </w:rPr>
            </w:pPr>
            <w:r w:rsidRPr="00FF3A4A">
              <w:rPr>
                <w:rFonts w:ascii="Times New Roman" w:hAnsi="Times New Roman"/>
                <w:sz w:val="22"/>
                <w:szCs w:val="22"/>
              </w:rPr>
              <w:t>3</w:t>
            </w:r>
          </w:p>
        </w:tc>
        <w:tc>
          <w:tcPr>
            <w:tcW w:w="132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32BAC605" w14:textId="77777777">
            <w:pPr>
              <w:spacing w:line="276" w:lineRule="auto"/>
              <w:jc w:val="center"/>
              <w:rPr>
                <w:rFonts w:ascii="Times New Roman" w:hAnsi="Times New Roman"/>
                <w:sz w:val="22"/>
                <w:szCs w:val="22"/>
              </w:rPr>
            </w:pPr>
            <w:r w:rsidRPr="00FF3A4A">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424B8376" w14:textId="77777777">
            <w:pPr>
              <w:spacing w:line="276" w:lineRule="auto"/>
              <w:jc w:val="center"/>
              <w:rPr>
                <w:rFonts w:ascii="Times New Roman" w:hAnsi="Times New Roman"/>
                <w:sz w:val="22"/>
                <w:szCs w:val="22"/>
              </w:rPr>
            </w:pPr>
            <w:r w:rsidRPr="00FF3A4A">
              <w:rPr>
                <w:rFonts w:ascii="Times New Roman" w:hAnsi="Times New Roman"/>
                <w:sz w:val="22"/>
                <w:szCs w:val="22"/>
              </w:rPr>
              <w:t>3</w:t>
            </w:r>
          </w:p>
        </w:tc>
        <w:tc>
          <w:tcPr>
            <w:tcW w:w="998"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5FF10F1" w14:textId="77777777">
            <w:pPr>
              <w:spacing w:line="276" w:lineRule="auto"/>
              <w:jc w:val="center"/>
              <w:rPr>
                <w:rFonts w:ascii="Times New Roman" w:hAnsi="Times New Roman"/>
                <w:sz w:val="22"/>
                <w:szCs w:val="22"/>
              </w:rPr>
            </w:pPr>
            <w:r w:rsidRPr="00FF3A4A">
              <w:rPr>
                <w:rFonts w:ascii="Times New Roman" w:hAnsi="Times New Roman"/>
                <w:sz w:val="22"/>
                <w:szCs w:val="22"/>
              </w:rPr>
              <w:t xml:space="preserve">160 </w:t>
            </w:r>
          </w:p>
        </w:tc>
        <w:tc>
          <w:tcPr>
            <w:tcW w:w="95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0539EDE8" w14:textId="77777777">
            <w:pPr>
              <w:spacing w:line="276" w:lineRule="auto"/>
              <w:jc w:val="center"/>
              <w:rPr>
                <w:rFonts w:ascii="Times New Roman" w:hAnsi="Times New Roman"/>
                <w:sz w:val="22"/>
                <w:szCs w:val="22"/>
              </w:rPr>
            </w:pPr>
            <w:r w:rsidRPr="00FF3A4A">
              <w:rPr>
                <w:rFonts w:ascii="Times New Roman" w:hAnsi="Times New Roman"/>
                <w:sz w:val="22"/>
                <w:szCs w:val="22"/>
              </w:rPr>
              <w:t>480</w:t>
            </w:r>
          </w:p>
        </w:tc>
        <w:tc>
          <w:tcPr>
            <w:tcW w:w="88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1A689687" w14:textId="022EF6B3">
            <w:pPr>
              <w:spacing w:line="276" w:lineRule="auto"/>
              <w:jc w:val="center"/>
              <w:rPr>
                <w:rFonts w:ascii="Times New Roman" w:hAnsi="Times New Roman"/>
                <w:sz w:val="22"/>
                <w:szCs w:val="22"/>
              </w:rPr>
            </w:pPr>
            <w:r w:rsidRPr="00FF3A4A">
              <w:rPr>
                <w:rFonts w:ascii="Times New Roman" w:hAnsi="Times New Roman"/>
                <w:sz w:val="22"/>
                <w:szCs w:val="22"/>
              </w:rPr>
              <w:t>$</w:t>
            </w:r>
            <w:r w:rsidR="005F23C8">
              <w:rPr>
                <w:rFonts w:ascii="Times New Roman" w:hAnsi="Times New Roman"/>
                <w:sz w:val="22"/>
                <w:szCs w:val="22"/>
              </w:rPr>
              <w:t>62</w:t>
            </w:r>
            <w:r>
              <w:rPr>
                <w:rFonts w:ascii="Times New Roman" w:hAnsi="Times New Roman"/>
                <w:sz w:val="22"/>
                <w:szCs w:val="22"/>
              </w:rPr>
              <w:t>.00</w:t>
            </w:r>
          </w:p>
        </w:tc>
        <w:tc>
          <w:tcPr>
            <w:tcW w:w="128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39638A31" w14:textId="52BAA2A9">
            <w:pPr>
              <w:spacing w:line="276" w:lineRule="auto"/>
              <w:jc w:val="center"/>
              <w:rPr>
                <w:rFonts w:ascii="Times New Roman" w:hAnsi="Times New Roman"/>
                <w:sz w:val="22"/>
                <w:szCs w:val="22"/>
              </w:rPr>
            </w:pPr>
            <w:r w:rsidRPr="00FF3A4A">
              <w:rPr>
                <w:rFonts w:ascii="Times New Roman" w:hAnsi="Times New Roman"/>
                <w:sz w:val="22"/>
                <w:szCs w:val="22"/>
              </w:rPr>
              <w:t>$</w:t>
            </w:r>
            <w:r>
              <w:rPr>
                <w:rFonts w:ascii="Times New Roman" w:hAnsi="Times New Roman"/>
                <w:sz w:val="22"/>
                <w:szCs w:val="22"/>
              </w:rPr>
              <w:t>2</w:t>
            </w:r>
            <w:r w:rsidR="005F23C8">
              <w:rPr>
                <w:rFonts w:ascii="Times New Roman" w:hAnsi="Times New Roman"/>
                <w:sz w:val="22"/>
                <w:szCs w:val="22"/>
              </w:rPr>
              <w:t>9</w:t>
            </w:r>
            <w:r>
              <w:rPr>
                <w:rFonts w:ascii="Times New Roman" w:hAnsi="Times New Roman"/>
                <w:sz w:val="22"/>
                <w:szCs w:val="22"/>
              </w:rPr>
              <w:t>,</w:t>
            </w:r>
            <w:r w:rsidR="005F23C8">
              <w:rPr>
                <w:rFonts w:ascii="Times New Roman" w:hAnsi="Times New Roman"/>
                <w:sz w:val="22"/>
                <w:szCs w:val="22"/>
              </w:rPr>
              <w:t>76</w:t>
            </w:r>
            <w:r>
              <w:rPr>
                <w:rFonts w:ascii="Times New Roman" w:hAnsi="Times New Roman"/>
                <w:sz w:val="22"/>
                <w:szCs w:val="22"/>
              </w:rPr>
              <w:t>0.00</w:t>
            </w:r>
          </w:p>
        </w:tc>
      </w:tr>
      <w:tr w14:paraId="6BD2BAF8" w14:textId="77777777" w:rsidTr="00923D70">
        <w:tblPrEx>
          <w:tblW w:w="9445" w:type="dxa"/>
          <w:tblLook w:val="04A0"/>
        </w:tblPrEx>
        <w:tc>
          <w:tcPr>
            <w:tcW w:w="1402" w:type="dxa"/>
            <w:tcBorders>
              <w:top w:val="single" w:sz="4" w:space="0" w:color="auto"/>
              <w:left w:val="single" w:sz="4" w:space="0" w:color="auto"/>
              <w:bottom w:val="single" w:sz="4" w:space="0" w:color="auto"/>
              <w:right w:val="single" w:sz="4" w:space="0" w:color="auto"/>
            </w:tcBorders>
            <w:vAlign w:val="bottom"/>
            <w:hideMark/>
          </w:tcPr>
          <w:p w:rsidR="006778C5" w:rsidRPr="00FF3A4A" w:rsidP="00923D70" w14:paraId="7129BF00" w14:textId="77777777">
            <w:pPr>
              <w:spacing w:line="276" w:lineRule="auto"/>
              <w:rPr>
                <w:rFonts w:ascii="Times New Roman" w:hAnsi="Times New Roman"/>
                <w:sz w:val="22"/>
                <w:szCs w:val="22"/>
              </w:rPr>
            </w:pPr>
            <w:r w:rsidRPr="00FF3A4A">
              <w:rPr>
                <w:rFonts w:ascii="Times New Roman" w:hAnsi="Times New Roman"/>
                <w:sz w:val="22"/>
                <w:szCs w:val="22"/>
              </w:rPr>
              <w:t>Unduplicated Totals</w:t>
            </w:r>
            <w:r w:rsidRPr="00FF3A4A">
              <w:rPr>
                <w:rFonts w:ascii="Wingdings" w:hAnsi="Wingdings"/>
                <w:sz w:val="22"/>
                <w:szCs w:val="22"/>
              </w:rPr>
              <w:sym w:font="Wingdings" w:char="F0B2"/>
            </w:r>
          </w:p>
        </w:tc>
        <w:tc>
          <w:tcPr>
            <w:tcW w:w="1415"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991527E" w14:textId="77777777">
            <w:pPr>
              <w:spacing w:line="276" w:lineRule="auto"/>
              <w:jc w:val="center"/>
              <w:rPr>
                <w:rFonts w:ascii="Times New Roman" w:hAnsi="Times New Roman"/>
                <w:sz w:val="22"/>
                <w:szCs w:val="22"/>
              </w:rPr>
            </w:pPr>
            <w:r>
              <w:rPr>
                <w:rFonts w:ascii="Times New Roman" w:hAnsi="Times New Roman"/>
                <w:sz w:val="22"/>
                <w:szCs w:val="22"/>
              </w:rPr>
              <w:t>9</w:t>
            </w:r>
          </w:p>
        </w:tc>
        <w:tc>
          <w:tcPr>
            <w:tcW w:w="132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07169068" w14:textId="21984AE0">
            <w:pPr>
              <w:spacing w:line="276" w:lineRule="auto"/>
              <w:jc w:val="center"/>
              <w:rPr>
                <w:rFonts w:ascii="Times New Roman" w:hAnsi="Times New Roman"/>
                <w:sz w:val="22"/>
                <w:szCs w:val="22"/>
              </w:rPr>
            </w:pPr>
            <w:r>
              <w:rPr>
                <w:rFonts w:ascii="Times New Roman" w:hAnsi="Times New Roman"/>
                <w:sz w:val="22"/>
                <w:szCs w:val="22"/>
              </w:rPr>
              <w:t>1</w:t>
            </w:r>
          </w:p>
        </w:tc>
        <w:tc>
          <w:tcPr>
            <w:tcW w:w="1182"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07AE9716" w14:textId="6A7D371C">
            <w:pPr>
              <w:spacing w:line="276" w:lineRule="auto"/>
              <w:jc w:val="center"/>
              <w:rPr>
                <w:rFonts w:ascii="Times New Roman" w:hAnsi="Times New Roman"/>
                <w:sz w:val="22"/>
                <w:szCs w:val="22"/>
              </w:rPr>
            </w:pPr>
            <w:r>
              <w:rPr>
                <w:rFonts w:ascii="Times New Roman" w:hAnsi="Times New Roman"/>
                <w:sz w:val="22"/>
                <w:szCs w:val="22"/>
              </w:rPr>
              <w:t>6</w:t>
            </w:r>
          </w:p>
        </w:tc>
        <w:tc>
          <w:tcPr>
            <w:tcW w:w="998"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4FE6EE66" w14:textId="77777777">
            <w:pPr>
              <w:spacing w:line="276" w:lineRule="auto"/>
              <w:jc w:val="center"/>
              <w:rPr>
                <w:rFonts w:ascii="Times New Roman" w:hAnsi="Times New Roman"/>
                <w:sz w:val="22"/>
                <w:szCs w:val="22"/>
              </w:rPr>
            </w:pPr>
            <w:r w:rsidRPr="00FF3A4A">
              <w:rPr>
                <w:rFonts w:ascii="Times New Roman" w:hAnsi="Times New Roman"/>
                <w:sz w:val="22"/>
                <w:szCs w:val="22"/>
              </w:rPr>
              <w:t>18</w:t>
            </w:r>
            <w:r>
              <w:rPr>
                <w:rFonts w:ascii="Times New Roman" w:hAnsi="Times New Roman"/>
                <w:sz w:val="22"/>
                <w:szCs w:val="22"/>
              </w:rPr>
              <w:t>0</w:t>
            </w:r>
          </w:p>
        </w:tc>
        <w:tc>
          <w:tcPr>
            <w:tcW w:w="95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9549CDD" w14:textId="77777777">
            <w:pPr>
              <w:spacing w:line="276" w:lineRule="auto"/>
              <w:jc w:val="center"/>
              <w:rPr>
                <w:rFonts w:ascii="Times New Roman" w:hAnsi="Times New Roman"/>
                <w:sz w:val="22"/>
                <w:szCs w:val="22"/>
              </w:rPr>
            </w:pPr>
            <w:r>
              <w:rPr>
                <w:rFonts w:ascii="Times New Roman" w:hAnsi="Times New Roman"/>
                <w:sz w:val="22"/>
                <w:szCs w:val="22"/>
              </w:rPr>
              <w:t>540</w:t>
            </w:r>
          </w:p>
        </w:tc>
        <w:tc>
          <w:tcPr>
            <w:tcW w:w="889"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6E12B402" w14:textId="60B80ECD">
            <w:pPr>
              <w:spacing w:line="276" w:lineRule="auto"/>
              <w:jc w:val="center"/>
              <w:rPr>
                <w:rFonts w:ascii="Times New Roman" w:hAnsi="Times New Roman"/>
                <w:sz w:val="22"/>
                <w:szCs w:val="22"/>
              </w:rPr>
            </w:pPr>
            <w:r>
              <w:rPr>
                <w:rFonts w:ascii="Times New Roman" w:hAnsi="Times New Roman"/>
                <w:sz w:val="22"/>
                <w:szCs w:val="22"/>
              </w:rPr>
              <w:t>$62.00</w:t>
            </w:r>
          </w:p>
        </w:tc>
        <w:tc>
          <w:tcPr>
            <w:tcW w:w="1280" w:type="dxa"/>
            <w:tcBorders>
              <w:top w:val="single" w:sz="4" w:space="0" w:color="auto"/>
              <w:left w:val="single" w:sz="4" w:space="0" w:color="auto"/>
              <w:bottom w:val="single" w:sz="4" w:space="0" w:color="auto"/>
              <w:right w:val="single" w:sz="4" w:space="0" w:color="auto"/>
            </w:tcBorders>
            <w:vAlign w:val="center"/>
          </w:tcPr>
          <w:p w:rsidR="006778C5" w:rsidRPr="00FF3A4A" w:rsidP="00923D70" w14:paraId="5E9095E1" w14:textId="3DE1ADFA">
            <w:pPr>
              <w:spacing w:line="276" w:lineRule="auto"/>
              <w:jc w:val="center"/>
              <w:rPr>
                <w:rFonts w:ascii="Times New Roman" w:hAnsi="Times New Roman"/>
                <w:sz w:val="22"/>
                <w:szCs w:val="22"/>
              </w:rPr>
            </w:pPr>
            <w:r w:rsidRPr="00FF3A4A">
              <w:rPr>
                <w:rFonts w:ascii="Times New Roman" w:hAnsi="Times New Roman"/>
                <w:sz w:val="22"/>
                <w:szCs w:val="22"/>
              </w:rPr>
              <w:t>$</w:t>
            </w:r>
            <w:r w:rsidR="005F23C8">
              <w:rPr>
                <w:rFonts w:ascii="Times New Roman" w:hAnsi="Times New Roman"/>
                <w:sz w:val="22"/>
                <w:szCs w:val="22"/>
              </w:rPr>
              <w:t>33,480</w:t>
            </w:r>
            <w:r>
              <w:rPr>
                <w:rFonts w:ascii="Times New Roman" w:hAnsi="Times New Roman"/>
                <w:sz w:val="22"/>
                <w:szCs w:val="22"/>
              </w:rPr>
              <w:t>.00</w:t>
            </w:r>
          </w:p>
        </w:tc>
      </w:tr>
    </w:tbl>
    <w:p w:rsidR="006626FF"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F23C8" w:rsidRPr="005F23C8" w:rsidP="005F23C8" w14:paraId="20AB6C1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F23C8">
        <w:rPr>
          <w:rFonts w:ascii="Times New Roman" w:hAnsi="Times New Roman"/>
        </w:rPr>
        <w:t xml:space="preserve">*Source: The hourly rate is computed by dividing the FY 2026 national average PS/PB annual salary for state staff as provided for through the distribution of state UI administrative grants </w:t>
      </w:r>
    </w:p>
    <w:p w:rsidR="00E4165B" w:rsidP="006778C5" w14:paraId="021AA9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F23C8">
        <w:rPr>
          <w:rFonts w:ascii="Times New Roman" w:hAnsi="Times New Roman"/>
        </w:rPr>
        <w:t>(</w:t>
      </w:r>
      <w:hyperlink r:id="rId8" w:history="1">
        <w:r w:rsidRPr="005F23C8">
          <w:rPr>
            <w:rStyle w:val="Hyperlink"/>
            <w:rFonts w:ascii="Times New Roman" w:hAnsi="Times New Roman"/>
          </w:rPr>
          <w:t>https://www.dol.gov/agencies/eta/advisories/uipl-15-25</w:t>
        </w:r>
      </w:hyperlink>
      <w:r w:rsidRPr="005F23C8">
        <w:rPr>
          <w:rFonts w:ascii="Times New Roman" w:hAnsi="Times New Roman"/>
        </w:rPr>
        <w:t xml:space="preserve"> </w:t>
      </w:r>
      <w:hyperlink r:id="rId9" w:history="1">
        <w:r w:rsidRPr="005F23C8">
          <w:rPr>
            <w:rStyle w:val="Hyperlink"/>
            <w:rFonts w:ascii="Times New Roman" w:hAnsi="Times New Roman"/>
          </w:rPr>
          <w:t>)</w:t>
        </w:r>
      </w:hyperlink>
      <w:r w:rsidRPr="005F23C8">
        <w:rPr>
          <w:rFonts w:ascii="Times New Roman" w:hAnsi="Times New Roman"/>
        </w:rPr>
        <w:t xml:space="preserve">by the average number of hours </w:t>
      </w:r>
      <w:r>
        <w:rPr>
          <w:rFonts w:ascii="Times New Roman" w:hAnsi="Times New Roman"/>
        </w:rPr>
        <w:t>9*1</w:t>
      </w:r>
    </w:p>
    <w:p w:rsidR="005F23C8" w:rsidRPr="00BF7585" w:rsidP="006778C5" w14:paraId="5AD7F919" w14:textId="6EEC80E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F23C8">
        <w:rPr>
          <w:rFonts w:ascii="Times New Roman" w:hAnsi="Times New Roman"/>
        </w:rPr>
        <w:t>worked in a year (1,711).  For FY 2026, this calculation is: $104,553/ 1,711= $62.</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13</w:t>
      </w:r>
      <w:r w:rsidRPr="00D53DEB">
        <w:rPr>
          <w:rFonts w:ascii="Times New Roman" w:hAnsi="Times New Roman"/>
          <w:b/>
        </w:rPr>
        <w:t>.  Provide</w:t>
      </w:r>
      <w:r w:rsidRPr="00D53DEB">
        <w:rPr>
          <w:rFonts w:ascii="Times New Roman" w:hAnsi="Times New Roman"/>
          <w:b/>
        </w:rPr>
        <w:t xml:space="preserv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6DF510D1">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w:t>
      </w:r>
      <w:r w:rsidRPr="006F6E13" w:rsidR="00AB4DC3">
        <w:rPr>
          <w:rFonts w:ascii="Times New Roman" w:hAnsi="Times New Roman"/>
          <w:b/>
        </w:rPr>
        <w:t>a total</w:t>
      </w:r>
      <w:r w:rsidRPr="006F6E13" w:rsidR="00AB4DC3">
        <w:rPr>
          <w:rFonts w:ascii="Times New Roman" w:hAnsi="Times New Roman"/>
          <w:b/>
        </w:rPr>
        <w:t xml:space="preserve"> capital</w:t>
      </w:r>
    </w:p>
    <w:p w:rsidR="006F6E13" w:rsidP="00584F8D" w14:paraId="413AA81E" w14:textId="3F12CF03">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BE4F81">
        <w:rPr>
          <w:rFonts w:ascii="Times New Roman" w:hAnsi="Times New Roman"/>
          <w:b/>
        </w:rPr>
        <w:t>startup</w:t>
      </w:r>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w:t>
      </w:r>
      <w:r w:rsidRPr="006F6E13" w:rsidR="00CD215D">
        <w:rPr>
          <w:rFonts w:ascii="Times New Roman" w:hAnsi="Times New Roman"/>
          <w:b/>
        </w:rPr>
        <w:t>take into account</w:t>
      </w:r>
      <w:r w:rsidRPr="006F6E13" w:rsidR="00CD215D">
        <w:rPr>
          <w:rFonts w:ascii="Times New Roman" w:hAnsi="Times New Roman"/>
          <w:b/>
        </w:rPr>
        <w:t xml:space="preserve">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w:t>
      </w:r>
      <w:r w:rsidRPr="006F6E13" w:rsidR="00CD215D">
        <w:rPr>
          <w:rFonts w:ascii="Times New Roman" w:hAnsi="Times New Roman"/>
          <w:b/>
        </w:rPr>
        <w:t>the information</w:t>
      </w:r>
      <w:r w:rsidRPr="006F6E13" w:rsidR="00CD215D">
        <w:rPr>
          <w:rFonts w:ascii="Times New Roman" w:hAnsi="Times New Roman"/>
          <w:b/>
        </w:rPr>
        <w:t xml:space="preserve">.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methods used to estimate major cost factors including system and technology acquisition, expected useful life of capital equipment, the discount rate(s), and the </w:t>
      </w:r>
      <w:r w:rsidRPr="006F6E13">
        <w:rPr>
          <w:rFonts w:ascii="Times New Roman" w:hAnsi="Times New Roman"/>
          <w:b/>
        </w:rPr>
        <w:t>time period</w:t>
      </w:r>
      <w:r w:rsidRPr="006F6E13">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7A16CA" w:rsidRPr="00D53DEB" w:rsidP="007A16CA" w14:paraId="5CECC422"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97188">
        <w:rPr>
          <w:rFonts w:ascii="Times New Roman" w:hAnsi="Times New Roman"/>
        </w:rPr>
        <w:t>The agency associates no burden with this collection beyond the value of respondent time.</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w:t>
      </w:r>
      <w:r w:rsidRPr="00D53DEB">
        <w:rPr>
          <w:rFonts w:ascii="Times New Roman" w:hAnsi="Times New Roman"/>
          <w:b/>
          <w:bCs/>
        </w:rPr>
        <w:t>.  Provide</w:t>
      </w:r>
      <w:r w:rsidRPr="00D53DEB">
        <w:rPr>
          <w:rFonts w:ascii="Times New Roman" w:hAnsi="Times New Roman"/>
          <w:b/>
          <w:bCs/>
        </w:rPr>
        <w:t xml:space="preserve"> estimates of the annualized cost to the Federal Government.  Also, provide a description of the method used to estimate </w:t>
      </w:r>
      <w:r w:rsidRPr="00D53DEB">
        <w:rPr>
          <w:rFonts w:ascii="Times New Roman" w:hAnsi="Times New Roman"/>
          <w:b/>
          <w:bCs/>
        </w:rPr>
        <w:t>cost</w:t>
      </w:r>
      <w:r w:rsidRPr="00D53DEB">
        <w:rPr>
          <w:rFonts w:ascii="Times New Roman" w:hAnsi="Times New Roman"/>
          <w:b/>
          <w:bCs/>
        </w:rPr>
        <w: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16CA" w:rsidP="007A16CA" w14:paraId="04B17AB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B1494">
        <w:rPr>
          <w:rFonts w:ascii="Times New Roman" w:hAnsi="Times New Roman"/>
        </w:rPr>
        <w:t>No costs are associated with this effort.</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A372F" w:rsidRPr="00F4518C" w:rsidP="00690F56" w14:paraId="2406B426" w14:textId="56B113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Four</w:t>
      </w:r>
      <w:r>
        <w:rPr>
          <w:rFonts w:ascii="Times New Roman" w:hAnsi="Times New Roman" w:cs="Courier New"/>
          <w:color w:val="000000"/>
        </w:rPr>
        <w:t xml:space="preserve"> sub-elements are revised in the checklist to meet administration’s priorities.</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A372F" w:rsidP="00FA372F" w14:paraId="28B360B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results of the checklist will not be published.</w:t>
      </w:r>
    </w:p>
    <w:p w:rsidR="00FA372F" w:rsidRPr="00871CA6" w:rsidP="00690F56" w14:paraId="0FBB8A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w:t>
      </w:r>
      <w:r w:rsidRPr="00D53DEB">
        <w:rPr>
          <w:rFonts w:ascii="Times New Roman" w:hAnsi="Times New Roman"/>
          <w:b/>
          <w:bCs/>
        </w:rPr>
        <w:t>.  If</w:t>
      </w:r>
      <w:r w:rsidRPr="00D53DEB">
        <w:rPr>
          <w:rFonts w:ascii="Times New Roman" w:hAnsi="Times New Roman"/>
          <w:b/>
          <w:bCs/>
        </w:rPr>
        <w:t xml:space="preserve"> seeking approval to not display the expiration date for OMB approval of the information collection, explain the reasons that display would be inappropriate.</w:t>
      </w:r>
    </w:p>
    <w:p w:rsidR="00690F56" w:rsidP="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A372F" w:rsidP="00FA372F" w14:paraId="55C5A7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5529">
        <w:rPr>
          <w:rFonts w:ascii="Times New Roman" w:hAnsi="Times New Roman"/>
        </w:rPr>
        <w:t>The expiration date for OMB approval is displayed.</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w:t>
      </w:r>
      <w:r w:rsidRPr="00D53DEB">
        <w:rPr>
          <w:rFonts w:ascii="Times New Roman" w:hAnsi="Times New Roman"/>
          <w:b/>
        </w:rPr>
        <w:t>.  Explain</w:t>
      </w:r>
      <w:r w:rsidRPr="00D53DEB">
        <w:rPr>
          <w:rFonts w:ascii="Times New Roman" w:hAnsi="Times New Roman"/>
          <w:b/>
        </w:rPr>
        <w:t xml:space="preserve"> each exception to the certification statement.</w:t>
      </w:r>
    </w:p>
    <w:p w:rsidR="000C3A92" w:rsidRPr="00A47DA7" w:rsidP="000C3A92" w14:paraId="641E1E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A372F" w:rsidRPr="00A47DA7" w:rsidP="00FA372F" w14:paraId="59CC3F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A0AFA">
        <w:rPr>
          <w:rFonts w:ascii="Times New Roman" w:hAnsi="Times New Roman"/>
        </w:rPr>
        <w:t>There are no exceptions.</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FA372F" w:rsidRPr="00D53DEB" w:rsidP="00FA372F" w14:paraId="1D8104F6" w14:textId="77777777">
      <w:pPr>
        <w:rPr>
          <w:rFonts w:ascii="Times New Roman" w:hAnsi="Times New Roman"/>
        </w:rPr>
      </w:pPr>
      <w:r w:rsidRPr="00AC6847">
        <w:rPr>
          <w:rFonts w:ascii="Times New Roman" w:hAnsi="Times New Roman"/>
        </w:rPr>
        <w:t>This collection of information does not employ statistical methods.</w:t>
      </w:r>
    </w:p>
    <w:p w:rsidR="00332F98" w:rsidRPr="00D53DEB" w14:paraId="3E8CBCDA" w14:textId="77777777">
      <w:pPr>
        <w:rPr>
          <w:rFonts w:ascii="Times New Roman" w:hAnsi="Times New Roman"/>
        </w:rPr>
      </w:pPr>
    </w:p>
    <w:sectPr w:rsidSect="00C07F7F">
      <w:headerReference w:type="default" r:id="rId10"/>
      <w:footerReference w:type="even" r:id="rId11"/>
      <w:footerReference w:type="default" r:id="rId12"/>
      <w:headerReference w:type="first" r:id="rId13"/>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6F4077E6">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5EAB">
      <w:rPr>
        <w:rStyle w:val="PageNumber"/>
        <w:rFonts w:ascii="Times New Roman" w:hAnsi="Times New Roman"/>
        <w:noProof/>
      </w:rPr>
      <w:t>3</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250" w:rsidRPr="000A4250" w:rsidP="000A4250" w14:paraId="76C37DB5" w14:textId="77777777">
    <w:pPr>
      <w:pStyle w:val="Header"/>
      <w:rPr>
        <w:rFonts w:ascii="Times New Roman" w:hAnsi="Times New Roman"/>
        <w:bCs/>
        <w:sz w:val="20"/>
        <w:szCs w:val="20"/>
      </w:rPr>
    </w:pPr>
    <w:r w:rsidRPr="000A4250">
      <w:rPr>
        <w:rFonts w:ascii="Times New Roman" w:hAnsi="Times New Roman"/>
        <w:bCs/>
        <w:sz w:val="20"/>
        <w:szCs w:val="20"/>
      </w:rPr>
      <w:t>ETA 9177 – PRE-IMPLEMENTATION PLANNING CHECKLIST</w:t>
    </w:r>
  </w:p>
  <w:p w:rsidR="000A4250" w:rsidRPr="000A4250" w:rsidP="000A4250" w14:paraId="44BA8CDA" w14:textId="77777777">
    <w:pPr>
      <w:pStyle w:val="Header"/>
      <w:rPr>
        <w:rFonts w:ascii="Times New Roman" w:hAnsi="Times New Roman"/>
        <w:bCs/>
        <w:sz w:val="20"/>
        <w:szCs w:val="20"/>
      </w:rPr>
    </w:pPr>
    <w:r w:rsidRPr="000A4250">
      <w:rPr>
        <w:rFonts w:ascii="Times New Roman" w:hAnsi="Times New Roman"/>
        <w:bCs/>
        <w:sz w:val="20"/>
        <w:szCs w:val="20"/>
      </w:rPr>
      <w:t>REPORT FOR UI IT MODERNIZATION PROJECTS</w:t>
    </w:r>
  </w:p>
  <w:p w:rsidR="000A4250" w:rsidRPr="000A4250" w:rsidP="000A4250" w14:paraId="43BA6A07" w14:textId="77777777">
    <w:pPr>
      <w:pStyle w:val="Header"/>
      <w:rPr>
        <w:rFonts w:ascii="Times New Roman" w:hAnsi="Times New Roman"/>
        <w:bCs/>
        <w:sz w:val="20"/>
        <w:szCs w:val="20"/>
      </w:rPr>
    </w:pPr>
    <w:r w:rsidRPr="000A4250">
      <w:rPr>
        <w:rFonts w:ascii="Times New Roman" w:hAnsi="Times New Roman"/>
        <w:bCs/>
        <w:sz w:val="20"/>
        <w:szCs w:val="20"/>
      </w:rPr>
      <w:t>OMB Control No. 1205-0527</w:t>
    </w:r>
  </w:p>
  <w:p w:rsidR="00304132" w14:paraId="29EBD65C" w14:textId="2E3288DE">
    <w:pPr>
      <w:pStyle w:val="Header"/>
      <w:rPr>
        <w:rFonts w:ascii="Times New Roman" w:hAnsi="Times New Roman"/>
        <w:sz w:val="20"/>
        <w:szCs w:val="20"/>
      </w:rPr>
    </w:pPr>
    <w:r w:rsidRPr="000A4250">
      <w:rPr>
        <w:rFonts w:ascii="Times New Roman" w:hAnsi="Times New Roman"/>
        <w:bCs/>
        <w:sz w:val="20"/>
        <w:szCs w:val="20"/>
      </w:rPr>
      <w:t xml:space="preserve">OMB Expiration Date: </w:t>
    </w:r>
    <w:r>
      <w:rPr>
        <w:rFonts w:ascii="Times New Roman" w:hAnsi="Times New Roman"/>
        <w:bCs/>
        <w:sz w:val="20"/>
        <w:szCs w:val="20"/>
      </w:rPr>
      <w:t>July</w:t>
    </w:r>
    <w:r w:rsidRPr="000A4250">
      <w:rPr>
        <w:rFonts w:ascii="Times New Roman" w:hAnsi="Times New Roman"/>
        <w:bCs/>
        <w:sz w:val="20"/>
        <w:szCs w:val="20"/>
      </w:rPr>
      <w:t xml:space="preserve"> 3</w:t>
    </w:r>
    <w:r>
      <w:rPr>
        <w:rFonts w:ascii="Times New Roman" w:hAnsi="Times New Roman"/>
        <w:bCs/>
        <w:sz w:val="20"/>
        <w:szCs w:val="20"/>
      </w:rPr>
      <w:t>1</w:t>
    </w:r>
    <w:r w:rsidRPr="000A4250">
      <w:rPr>
        <w:rFonts w:ascii="Times New Roman" w:hAnsi="Times New Roman"/>
        <w:bCs/>
        <w:sz w:val="20"/>
        <w:szCs w:val="20"/>
      </w:rPr>
      <w:t>, 202</w:t>
    </w:r>
    <w:r>
      <w:rPr>
        <w:rFonts w:ascii="Times New Roman" w:hAnsi="Times New Roman"/>
        <w:bCs/>
        <w:sz w:val="20"/>
        <w:szCs w:val="20"/>
      </w:rPr>
      <w:t>6</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BF1E0D"/>
    <w:multiLevelType w:val="hybridMultilevel"/>
    <w:tmpl w:val="A042AAE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596263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75891595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312569029">
    <w:abstractNumId w:val="3"/>
  </w:num>
  <w:num w:numId="4" w16cid:durableId="296645468">
    <w:abstractNumId w:val="9"/>
  </w:num>
  <w:num w:numId="5" w16cid:durableId="1864593723">
    <w:abstractNumId w:val="2"/>
  </w:num>
  <w:num w:numId="6" w16cid:durableId="1582568530">
    <w:abstractNumId w:val="4"/>
  </w:num>
  <w:num w:numId="7" w16cid:durableId="137345922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04370800">
    <w:abstractNumId w:val="11"/>
  </w:num>
  <w:num w:numId="9" w16cid:durableId="106892989">
    <w:abstractNumId w:val="1"/>
  </w:num>
  <w:num w:numId="10" w16cid:durableId="2050523084">
    <w:abstractNumId w:val="10"/>
  </w:num>
  <w:num w:numId="11" w16cid:durableId="1981029510">
    <w:abstractNumId w:val="7"/>
  </w:num>
  <w:num w:numId="12" w16cid:durableId="651762342">
    <w:abstractNumId w:val="8"/>
  </w:num>
  <w:num w:numId="13" w16cid:durableId="136726508">
    <w:abstractNumId w:val="6"/>
  </w:num>
  <w:num w:numId="14" w16cid:durableId="707727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4250"/>
    <w:rsid w:val="000A7853"/>
    <w:rsid w:val="000B0391"/>
    <w:rsid w:val="000B4875"/>
    <w:rsid w:val="000B6FB6"/>
    <w:rsid w:val="000C257C"/>
    <w:rsid w:val="000C3A92"/>
    <w:rsid w:val="000C74FB"/>
    <w:rsid w:val="000D7F95"/>
    <w:rsid w:val="000E1C64"/>
    <w:rsid w:val="000E4539"/>
    <w:rsid w:val="000E4A52"/>
    <w:rsid w:val="000F6836"/>
    <w:rsid w:val="001040D4"/>
    <w:rsid w:val="001078BB"/>
    <w:rsid w:val="00114C0F"/>
    <w:rsid w:val="00116CD5"/>
    <w:rsid w:val="00133C47"/>
    <w:rsid w:val="00143236"/>
    <w:rsid w:val="0014556E"/>
    <w:rsid w:val="0015322B"/>
    <w:rsid w:val="0015365E"/>
    <w:rsid w:val="00157A90"/>
    <w:rsid w:val="00167F4C"/>
    <w:rsid w:val="00180E5A"/>
    <w:rsid w:val="001A47D9"/>
    <w:rsid w:val="001B6D88"/>
    <w:rsid w:val="001B7381"/>
    <w:rsid w:val="001C3A56"/>
    <w:rsid w:val="001D10ED"/>
    <w:rsid w:val="001D2D09"/>
    <w:rsid w:val="001D5DEA"/>
    <w:rsid w:val="001D67BB"/>
    <w:rsid w:val="001E0E7F"/>
    <w:rsid w:val="001E2932"/>
    <w:rsid w:val="001E3596"/>
    <w:rsid w:val="001E5213"/>
    <w:rsid w:val="001F2E8E"/>
    <w:rsid w:val="002036A1"/>
    <w:rsid w:val="002134B4"/>
    <w:rsid w:val="00215D76"/>
    <w:rsid w:val="002203C9"/>
    <w:rsid w:val="00237691"/>
    <w:rsid w:val="00242CA0"/>
    <w:rsid w:val="00243432"/>
    <w:rsid w:val="00247146"/>
    <w:rsid w:val="00273D58"/>
    <w:rsid w:val="00277C1F"/>
    <w:rsid w:val="002866AD"/>
    <w:rsid w:val="00286BE3"/>
    <w:rsid w:val="0029135D"/>
    <w:rsid w:val="00292951"/>
    <w:rsid w:val="00293CD1"/>
    <w:rsid w:val="002A3962"/>
    <w:rsid w:val="002A5972"/>
    <w:rsid w:val="002B47F1"/>
    <w:rsid w:val="002E238B"/>
    <w:rsid w:val="002E4200"/>
    <w:rsid w:val="00304132"/>
    <w:rsid w:val="00312124"/>
    <w:rsid w:val="00313820"/>
    <w:rsid w:val="0032649A"/>
    <w:rsid w:val="00332F98"/>
    <w:rsid w:val="0033562E"/>
    <w:rsid w:val="003423DF"/>
    <w:rsid w:val="003430A6"/>
    <w:rsid w:val="003448FC"/>
    <w:rsid w:val="003506BE"/>
    <w:rsid w:val="003548D8"/>
    <w:rsid w:val="00363CC2"/>
    <w:rsid w:val="00371D90"/>
    <w:rsid w:val="00371EEC"/>
    <w:rsid w:val="003876F3"/>
    <w:rsid w:val="00390426"/>
    <w:rsid w:val="00394AEB"/>
    <w:rsid w:val="003A6353"/>
    <w:rsid w:val="003C13C6"/>
    <w:rsid w:val="003D5958"/>
    <w:rsid w:val="003D6AC7"/>
    <w:rsid w:val="003E49A6"/>
    <w:rsid w:val="003E5E34"/>
    <w:rsid w:val="003F53FB"/>
    <w:rsid w:val="00400B4D"/>
    <w:rsid w:val="00401F18"/>
    <w:rsid w:val="004056B7"/>
    <w:rsid w:val="00410AC8"/>
    <w:rsid w:val="00414664"/>
    <w:rsid w:val="00443460"/>
    <w:rsid w:val="0044773C"/>
    <w:rsid w:val="00451254"/>
    <w:rsid w:val="004672B5"/>
    <w:rsid w:val="004844D1"/>
    <w:rsid w:val="0048559D"/>
    <w:rsid w:val="00494A93"/>
    <w:rsid w:val="00494D75"/>
    <w:rsid w:val="00497A21"/>
    <w:rsid w:val="004A1763"/>
    <w:rsid w:val="004B06AD"/>
    <w:rsid w:val="004B1E83"/>
    <w:rsid w:val="004D1C78"/>
    <w:rsid w:val="004D441E"/>
    <w:rsid w:val="004D46D1"/>
    <w:rsid w:val="004D5F83"/>
    <w:rsid w:val="004E1D9E"/>
    <w:rsid w:val="005164DC"/>
    <w:rsid w:val="0052093E"/>
    <w:rsid w:val="00530EBD"/>
    <w:rsid w:val="005338EB"/>
    <w:rsid w:val="0054192B"/>
    <w:rsid w:val="00542140"/>
    <w:rsid w:val="00567912"/>
    <w:rsid w:val="00570098"/>
    <w:rsid w:val="005805E7"/>
    <w:rsid w:val="00583F5D"/>
    <w:rsid w:val="0058424C"/>
    <w:rsid w:val="00584F8D"/>
    <w:rsid w:val="00597188"/>
    <w:rsid w:val="005A0350"/>
    <w:rsid w:val="005A27B7"/>
    <w:rsid w:val="005B4B7E"/>
    <w:rsid w:val="005B5990"/>
    <w:rsid w:val="005C6147"/>
    <w:rsid w:val="005D5F8C"/>
    <w:rsid w:val="005E5148"/>
    <w:rsid w:val="005F23C8"/>
    <w:rsid w:val="0060114B"/>
    <w:rsid w:val="00611DE2"/>
    <w:rsid w:val="00613DBB"/>
    <w:rsid w:val="006227B3"/>
    <w:rsid w:val="00636F18"/>
    <w:rsid w:val="00642220"/>
    <w:rsid w:val="00650599"/>
    <w:rsid w:val="00652ED1"/>
    <w:rsid w:val="006541B2"/>
    <w:rsid w:val="0066046C"/>
    <w:rsid w:val="006626FF"/>
    <w:rsid w:val="006650A8"/>
    <w:rsid w:val="0067772C"/>
    <w:rsid w:val="006778C5"/>
    <w:rsid w:val="00685435"/>
    <w:rsid w:val="00690F56"/>
    <w:rsid w:val="006945A7"/>
    <w:rsid w:val="006A4637"/>
    <w:rsid w:val="006C39F8"/>
    <w:rsid w:val="006E1A08"/>
    <w:rsid w:val="006F66F9"/>
    <w:rsid w:val="006F6E13"/>
    <w:rsid w:val="007010C5"/>
    <w:rsid w:val="007011F1"/>
    <w:rsid w:val="007127A1"/>
    <w:rsid w:val="00713ACE"/>
    <w:rsid w:val="00715F82"/>
    <w:rsid w:val="0071749C"/>
    <w:rsid w:val="007412B6"/>
    <w:rsid w:val="007636EC"/>
    <w:rsid w:val="00767D37"/>
    <w:rsid w:val="00774503"/>
    <w:rsid w:val="00777CD2"/>
    <w:rsid w:val="0078038F"/>
    <w:rsid w:val="00785FE9"/>
    <w:rsid w:val="00786E04"/>
    <w:rsid w:val="00797EB9"/>
    <w:rsid w:val="007A16CA"/>
    <w:rsid w:val="007A7F79"/>
    <w:rsid w:val="007D46C2"/>
    <w:rsid w:val="008043E5"/>
    <w:rsid w:val="00804A1A"/>
    <w:rsid w:val="0080679E"/>
    <w:rsid w:val="0081073D"/>
    <w:rsid w:val="00814736"/>
    <w:rsid w:val="008323ED"/>
    <w:rsid w:val="00835955"/>
    <w:rsid w:val="00846701"/>
    <w:rsid w:val="008624D5"/>
    <w:rsid w:val="00871CA6"/>
    <w:rsid w:val="00881261"/>
    <w:rsid w:val="00882AB5"/>
    <w:rsid w:val="00882B1D"/>
    <w:rsid w:val="0088672C"/>
    <w:rsid w:val="008A1F0C"/>
    <w:rsid w:val="008A40D1"/>
    <w:rsid w:val="008B541B"/>
    <w:rsid w:val="008E08A6"/>
    <w:rsid w:val="00901003"/>
    <w:rsid w:val="0090158E"/>
    <w:rsid w:val="00901EF6"/>
    <w:rsid w:val="0090413E"/>
    <w:rsid w:val="00923D70"/>
    <w:rsid w:val="009271B1"/>
    <w:rsid w:val="009441E2"/>
    <w:rsid w:val="00963680"/>
    <w:rsid w:val="00964D3F"/>
    <w:rsid w:val="009700D9"/>
    <w:rsid w:val="00985C15"/>
    <w:rsid w:val="009935C5"/>
    <w:rsid w:val="009A0AFA"/>
    <w:rsid w:val="009A6DCA"/>
    <w:rsid w:val="009B00FD"/>
    <w:rsid w:val="009B38D1"/>
    <w:rsid w:val="009B4116"/>
    <w:rsid w:val="009C2A10"/>
    <w:rsid w:val="009D1EA2"/>
    <w:rsid w:val="009D5075"/>
    <w:rsid w:val="009E0141"/>
    <w:rsid w:val="009E2222"/>
    <w:rsid w:val="009E234B"/>
    <w:rsid w:val="009E6529"/>
    <w:rsid w:val="009E68AB"/>
    <w:rsid w:val="009F52F3"/>
    <w:rsid w:val="00A10441"/>
    <w:rsid w:val="00A15094"/>
    <w:rsid w:val="00A16CF5"/>
    <w:rsid w:val="00A21F98"/>
    <w:rsid w:val="00A41C21"/>
    <w:rsid w:val="00A47DA7"/>
    <w:rsid w:val="00A52DE7"/>
    <w:rsid w:val="00A55023"/>
    <w:rsid w:val="00A56B86"/>
    <w:rsid w:val="00A57E90"/>
    <w:rsid w:val="00A632EF"/>
    <w:rsid w:val="00A677E9"/>
    <w:rsid w:val="00A740AB"/>
    <w:rsid w:val="00A834BF"/>
    <w:rsid w:val="00A900F9"/>
    <w:rsid w:val="00A90769"/>
    <w:rsid w:val="00A973AA"/>
    <w:rsid w:val="00AA177A"/>
    <w:rsid w:val="00AB4DC3"/>
    <w:rsid w:val="00AC6847"/>
    <w:rsid w:val="00AC775D"/>
    <w:rsid w:val="00AD022F"/>
    <w:rsid w:val="00AD75AC"/>
    <w:rsid w:val="00AF2C11"/>
    <w:rsid w:val="00AF3788"/>
    <w:rsid w:val="00AF5262"/>
    <w:rsid w:val="00AF7928"/>
    <w:rsid w:val="00B22A85"/>
    <w:rsid w:val="00B26E3E"/>
    <w:rsid w:val="00B35DAD"/>
    <w:rsid w:val="00B36929"/>
    <w:rsid w:val="00B47443"/>
    <w:rsid w:val="00B5377A"/>
    <w:rsid w:val="00B6181C"/>
    <w:rsid w:val="00B66231"/>
    <w:rsid w:val="00B672EB"/>
    <w:rsid w:val="00B73661"/>
    <w:rsid w:val="00B863EF"/>
    <w:rsid w:val="00BA6C9C"/>
    <w:rsid w:val="00BB3BEF"/>
    <w:rsid w:val="00BD34F2"/>
    <w:rsid w:val="00BD68C5"/>
    <w:rsid w:val="00BE4F81"/>
    <w:rsid w:val="00BF5E6E"/>
    <w:rsid w:val="00BF7585"/>
    <w:rsid w:val="00C02E4A"/>
    <w:rsid w:val="00C036B6"/>
    <w:rsid w:val="00C05B88"/>
    <w:rsid w:val="00C07F7F"/>
    <w:rsid w:val="00C12530"/>
    <w:rsid w:val="00C14429"/>
    <w:rsid w:val="00C247D8"/>
    <w:rsid w:val="00C34009"/>
    <w:rsid w:val="00C4763A"/>
    <w:rsid w:val="00C63D1E"/>
    <w:rsid w:val="00C646BE"/>
    <w:rsid w:val="00C660FF"/>
    <w:rsid w:val="00C667F3"/>
    <w:rsid w:val="00C67C17"/>
    <w:rsid w:val="00C712D2"/>
    <w:rsid w:val="00C72109"/>
    <w:rsid w:val="00C74092"/>
    <w:rsid w:val="00C77B5C"/>
    <w:rsid w:val="00C824C6"/>
    <w:rsid w:val="00C8275F"/>
    <w:rsid w:val="00C87068"/>
    <w:rsid w:val="00C9162F"/>
    <w:rsid w:val="00CA2F0A"/>
    <w:rsid w:val="00CA530A"/>
    <w:rsid w:val="00CB3579"/>
    <w:rsid w:val="00CC0731"/>
    <w:rsid w:val="00CC4AC3"/>
    <w:rsid w:val="00CC770C"/>
    <w:rsid w:val="00CD215D"/>
    <w:rsid w:val="00CD6628"/>
    <w:rsid w:val="00CE099C"/>
    <w:rsid w:val="00CF7769"/>
    <w:rsid w:val="00D05EAB"/>
    <w:rsid w:val="00D2331B"/>
    <w:rsid w:val="00D36BB6"/>
    <w:rsid w:val="00D375E9"/>
    <w:rsid w:val="00D53DEB"/>
    <w:rsid w:val="00D57DE8"/>
    <w:rsid w:val="00D73AAD"/>
    <w:rsid w:val="00D75842"/>
    <w:rsid w:val="00D8017A"/>
    <w:rsid w:val="00D86FF7"/>
    <w:rsid w:val="00DB1494"/>
    <w:rsid w:val="00DB7B7C"/>
    <w:rsid w:val="00DD6DF0"/>
    <w:rsid w:val="00DF60C7"/>
    <w:rsid w:val="00E0031C"/>
    <w:rsid w:val="00E0138A"/>
    <w:rsid w:val="00E06430"/>
    <w:rsid w:val="00E22463"/>
    <w:rsid w:val="00E23383"/>
    <w:rsid w:val="00E23871"/>
    <w:rsid w:val="00E23959"/>
    <w:rsid w:val="00E322E9"/>
    <w:rsid w:val="00E400EA"/>
    <w:rsid w:val="00E4165B"/>
    <w:rsid w:val="00E46EE5"/>
    <w:rsid w:val="00E57F5E"/>
    <w:rsid w:val="00E60FB0"/>
    <w:rsid w:val="00E614A1"/>
    <w:rsid w:val="00E700AD"/>
    <w:rsid w:val="00E74ABD"/>
    <w:rsid w:val="00E83023"/>
    <w:rsid w:val="00E833E4"/>
    <w:rsid w:val="00E92EED"/>
    <w:rsid w:val="00E93A0F"/>
    <w:rsid w:val="00EA017C"/>
    <w:rsid w:val="00EA3E66"/>
    <w:rsid w:val="00EA4981"/>
    <w:rsid w:val="00EC0B43"/>
    <w:rsid w:val="00EF5468"/>
    <w:rsid w:val="00F11AA8"/>
    <w:rsid w:val="00F24787"/>
    <w:rsid w:val="00F27223"/>
    <w:rsid w:val="00F35529"/>
    <w:rsid w:val="00F3562D"/>
    <w:rsid w:val="00F3623C"/>
    <w:rsid w:val="00F41116"/>
    <w:rsid w:val="00F44D20"/>
    <w:rsid w:val="00F4518C"/>
    <w:rsid w:val="00F4529D"/>
    <w:rsid w:val="00F53F09"/>
    <w:rsid w:val="00F56B20"/>
    <w:rsid w:val="00F62120"/>
    <w:rsid w:val="00F6219B"/>
    <w:rsid w:val="00F639F8"/>
    <w:rsid w:val="00F64E0B"/>
    <w:rsid w:val="00F72D66"/>
    <w:rsid w:val="00F8164B"/>
    <w:rsid w:val="00F935EE"/>
    <w:rsid w:val="00FA372F"/>
    <w:rsid w:val="00FA3D8C"/>
    <w:rsid w:val="00FB587F"/>
    <w:rsid w:val="00FC6399"/>
    <w:rsid w:val="00FF3A4A"/>
    <w:rsid w:val="00FF42E2"/>
    <w:rsid w:val="00FF448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BE4F81"/>
    <w:rPr>
      <w:color w:val="0563C1" w:themeColor="hyperlink"/>
      <w:u w:val="single"/>
    </w:rPr>
  </w:style>
  <w:style w:type="character" w:styleId="UnresolvedMention">
    <w:name w:val="Unresolved Mention"/>
    <w:basedOn w:val="DefaultParagraphFont"/>
    <w:uiPriority w:val="99"/>
    <w:semiHidden/>
    <w:unhideWhenUsed/>
    <w:rsid w:val="00BE4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l.gov/agencies/eta/advisories/uipl-15-25%20" TargetMode="External" /><Relationship Id="rId9" Type="http://schemas.openxmlformats.org/officeDocument/2006/relationships/hyperlink" Target="https://www.dol.gov/sites/dolgov/files/ETA/advisories/UIPL/2023/UIPL%2013-23/UIPL%2013-2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9743A-1673-487E-98B6-658748F5A9A3}">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customXml/itemProps2.xml><?xml version="1.0" encoding="utf-8"?>
<ds:datastoreItem xmlns:ds="http://schemas.openxmlformats.org/officeDocument/2006/customXml" ds:itemID="{61EF73FD-DA1A-47FA-BC01-F7F33C7A3913}">
  <ds:schemaRefs>
    <ds:schemaRef ds:uri="http://schemas.microsoft.com/sharepoint/v3/contenttype/forms"/>
  </ds:schemaRefs>
</ds:datastoreItem>
</file>

<file path=customXml/itemProps3.xml><?xml version="1.0" encoding="utf-8"?>
<ds:datastoreItem xmlns:ds="http://schemas.openxmlformats.org/officeDocument/2006/customXml" ds:itemID="{F1904933-953E-47F9-8914-BE6E5C898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E4C94-0A39-4E72-9B05-CA9C9F391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2894</Words>
  <Characters>16355</Characters>
  <Application>Microsoft Office Word</Application>
  <DocSecurity>0</DocSecurity>
  <Lines>398</Lines>
  <Paragraphs>159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Gibson, Patrice A - ETA</cp:lastModifiedBy>
  <cp:revision>13</cp:revision>
  <cp:lastPrinted>2020-02-19T15:46:00Z</cp:lastPrinted>
  <dcterms:created xsi:type="dcterms:W3CDTF">2026-06-18T19:55:00Z</dcterms:created>
  <dcterms:modified xsi:type="dcterms:W3CDTF">2026-06-22T13:33:00Z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