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07396" w:rsidRPr="00FE447C" w:rsidP="00807396" w14:paraId="21C78AD5" w14:textId="450A2813">
      <w:r>
        <w:t>June 16</w:t>
      </w:r>
      <w:r w:rsidR="00B53DC1">
        <w:t>, 2026</w:t>
      </w:r>
    </w:p>
    <w:p w:rsidR="00807396" w:rsidRPr="00FE447C" w:rsidP="00807396" w14:paraId="7F25CA71" w14:textId="77777777"/>
    <w:p w:rsidR="00807396" w:rsidRPr="00FE447C" w:rsidP="00807396" w14:paraId="67D452AD" w14:textId="67172633">
      <w:r w:rsidRPr="00FE447C">
        <w:t>Memo</w:t>
      </w:r>
      <w:r w:rsidR="005920FE">
        <w:t>r</w:t>
      </w:r>
      <w:r w:rsidR="001164F1">
        <w:t>andum for:</w:t>
      </w:r>
      <w:r w:rsidR="001164F1">
        <w:tab/>
        <w:t>Reviewer of 1220-0</w:t>
      </w:r>
      <w:r w:rsidR="00B53DC1">
        <w:t>202</w:t>
      </w:r>
    </w:p>
    <w:p w:rsidR="00807396" w:rsidRPr="00FE447C" w:rsidP="00807396" w14:paraId="5C976181" w14:textId="77777777">
      <w:r w:rsidRPr="00FE447C">
        <w:tab/>
      </w:r>
      <w:r w:rsidRPr="00FE447C">
        <w:tab/>
      </w:r>
      <w:r w:rsidRPr="00FE447C">
        <w:tab/>
      </w:r>
      <w:r w:rsidRPr="00FE447C">
        <w:tab/>
      </w:r>
      <w:r w:rsidRPr="00FE447C">
        <w:tab/>
      </w:r>
      <w:r w:rsidRPr="00FE447C">
        <w:tab/>
      </w:r>
    </w:p>
    <w:p w:rsidR="00807396" w:rsidP="00807396" w14:paraId="3684682E" w14:textId="69010283">
      <w:r w:rsidRPr="00FE447C">
        <w:t>From:</w:t>
      </w:r>
      <w:r w:rsidRPr="00FE447C">
        <w:tab/>
      </w:r>
      <w:r w:rsidRPr="00FE447C">
        <w:tab/>
      </w:r>
      <w:r w:rsidRPr="00FE447C">
        <w:tab/>
      </w:r>
      <w:r w:rsidR="00B53DC1">
        <w:t>Keenan Dworak-Fisher</w:t>
      </w:r>
      <w:r w:rsidR="004940A8">
        <w:t>, Chief</w:t>
      </w:r>
    </w:p>
    <w:p w:rsidR="004940A8" w:rsidP="00807396" w14:paraId="1A3F9287" w14:textId="49224EC5">
      <w:r>
        <w:tab/>
      </w:r>
      <w:r>
        <w:tab/>
      </w:r>
      <w:r>
        <w:tab/>
        <w:t>Division of National Longitudinal Surveys</w:t>
      </w:r>
    </w:p>
    <w:p w:rsidR="00807396" w:rsidRPr="00FE447C" w:rsidP="00807396" w14:paraId="07AF9058" w14:textId="0C72D142">
      <w:r>
        <w:tab/>
      </w:r>
      <w:r>
        <w:tab/>
      </w:r>
      <w:r>
        <w:tab/>
      </w:r>
    </w:p>
    <w:p w:rsidR="00807396" w:rsidRPr="00FE447C" w:rsidP="004829F2" w14:paraId="75413C95" w14:textId="73819A98">
      <w:pPr>
        <w:ind w:left="2160" w:hanging="2160"/>
      </w:pPr>
      <w:r w:rsidRPr="00FE447C">
        <w:t>Subject:</w:t>
      </w:r>
      <w:r w:rsidRPr="00FE447C">
        <w:tab/>
      </w:r>
      <w:r w:rsidR="004940A8">
        <w:t>Non</w:t>
      </w:r>
      <w:r w:rsidR="00EB0A18">
        <w:t>-</w:t>
      </w:r>
      <w:r w:rsidR="004940A8">
        <w:t xml:space="preserve">substantive Change Request </w:t>
      </w:r>
      <w:r w:rsidR="00BA5546">
        <w:t>–</w:t>
      </w:r>
      <w:r w:rsidR="004940A8">
        <w:t xml:space="preserve"> </w:t>
      </w:r>
      <w:r w:rsidR="00BA5546">
        <w:t xml:space="preserve">Pretest </w:t>
      </w:r>
      <w:r w:rsidR="00973298">
        <w:t>Reserve Sample</w:t>
      </w:r>
    </w:p>
    <w:p w:rsidR="00807396" w:rsidRPr="00FE447C" w:rsidP="00807396" w14:paraId="62BE1E4E" w14:textId="77777777"/>
    <w:p w:rsidR="00EE2DB8" w:rsidP="00EE2DB8" w14:paraId="329D920B" w14:textId="77777777"/>
    <w:p w:rsidR="00BC3826" w:rsidP="00D45D64" w14:paraId="5ADB6C8C" w14:textId="4B92F11B">
      <w:r>
        <w:t>The</w:t>
      </w:r>
      <w:r w:rsidR="00D45D64">
        <w:t xml:space="preserve"> </w:t>
      </w:r>
      <w:r w:rsidR="00B53DC1">
        <w:t xml:space="preserve">National Longitudinal Survey of Youth (NLSY) 2027 Pre-Test </w:t>
      </w:r>
      <w:r>
        <w:t xml:space="preserve">was approved for collection </w:t>
      </w:r>
      <w:r w:rsidR="00D45D64">
        <w:t xml:space="preserve">on </w:t>
      </w:r>
      <w:r w:rsidR="00B53DC1">
        <w:t>March 6, 2026</w:t>
      </w:r>
      <w:r>
        <w:t>.</w:t>
      </w:r>
      <w:r w:rsidR="00CA43FE">
        <w:t xml:space="preserve"> </w:t>
      </w:r>
      <w:r w:rsidR="00973298">
        <w:t xml:space="preserve"> </w:t>
      </w:r>
      <w:r>
        <w:t>T</w:t>
      </w:r>
      <w:r w:rsidRPr="00973298" w:rsidR="00973298">
        <w:t xml:space="preserve">he Pretest </w:t>
      </w:r>
      <w:r>
        <w:t xml:space="preserve">began April 6, 2026, and </w:t>
      </w:r>
      <w:r w:rsidRPr="00973298" w:rsidR="00973298">
        <w:t>is on</w:t>
      </w:r>
      <w:r>
        <w:t>-</w:t>
      </w:r>
      <w:r w:rsidRPr="00973298" w:rsidR="00973298">
        <w:t>going</w:t>
      </w:r>
      <w:r>
        <w:t>. T</w:t>
      </w:r>
      <w:r w:rsidRPr="00973298" w:rsidR="00973298">
        <w:t xml:space="preserve">he </w:t>
      </w:r>
      <w:r w:rsidR="00801854">
        <w:t xml:space="preserve">rate at which survey efforts have yielded completed youth questionnaires </w:t>
      </w:r>
      <w:r w:rsidR="00870167">
        <w:t>has been lower than projected</w:t>
      </w:r>
      <w:r w:rsidR="00801854">
        <w:t>, primarily because take-up of the short survey used to scree</w:t>
      </w:r>
      <w:r w:rsidR="00094F0E">
        <w:t>n</w:t>
      </w:r>
      <w:r w:rsidR="00801854">
        <w:t xml:space="preserve"> for eligible households has been</w:t>
      </w:r>
      <w:r w:rsidR="001F45AE">
        <w:t xml:space="preserve"> significantly</w:t>
      </w:r>
      <w:r w:rsidR="00801854">
        <w:t xml:space="preserve"> lower than expected</w:t>
      </w:r>
      <w:r w:rsidR="00870167">
        <w:t>.</w:t>
      </w:r>
      <w:r w:rsidR="00973298">
        <w:t xml:space="preserve"> </w:t>
      </w:r>
      <w:r w:rsidR="00094F0E">
        <w:t xml:space="preserve"> </w:t>
      </w:r>
    </w:p>
    <w:p w:rsidR="00BC3826" w:rsidP="00D45D64" w14:paraId="64078A82" w14:textId="77777777"/>
    <w:p w:rsidR="00870167" w:rsidP="00D45D64" w14:paraId="5429668B" w14:textId="2F2E2512">
      <w:r>
        <w:t xml:space="preserve">BLS </w:t>
      </w:r>
      <w:r w:rsidR="00B53DC1">
        <w:t>request</w:t>
      </w:r>
      <w:r>
        <w:t>s</w:t>
      </w:r>
      <w:r w:rsidR="00B53DC1">
        <w:t xml:space="preserve"> clearance to </w:t>
      </w:r>
      <w:r w:rsidRPr="007B03AC" w:rsidR="007B03AC">
        <w:t>releas</w:t>
      </w:r>
      <w:r w:rsidR="007B03AC">
        <w:t>e</w:t>
      </w:r>
      <w:r w:rsidRPr="007B03AC" w:rsidR="007B03AC">
        <w:t xml:space="preserve"> a reserve sample </w:t>
      </w:r>
      <w:r>
        <w:t xml:space="preserve">of addresses </w:t>
      </w:r>
      <w:r w:rsidRPr="007B03AC" w:rsidR="007B03AC">
        <w:t xml:space="preserve">to </w:t>
      </w:r>
      <w:r>
        <w:t>supplement the</w:t>
      </w:r>
      <w:r w:rsidRPr="007B03AC" w:rsidR="007B03AC">
        <w:t xml:space="preserve"> initial sample </w:t>
      </w:r>
      <w:r>
        <w:t xml:space="preserve">of </w:t>
      </w:r>
      <w:r w:rsidRPr="007B03AC" w:rsidR="007B03AC">
        <w:t>the addresses released at the start of the Pretest</w:t>
      </w:r>
      <w:r>
        <w:t xml:space="preserve"> </w:t>
      </w:r>
      <w:r w:rsidRPr="00870167">
        <w:rPr>
          <w:color w:val="000000"/>
        </w:rPr>
        <w:t>to ensure that the target of 800 completed youth interviews is met.</w:t>
      </w:r>
      <w:r>
        <w:t xml:space="preserve"> </w:t>
      </w:r>
      <w:r w:rsidRPr="007B03AC" w:rsidR="007B03AC">
        <w:t>The initial sample contained 13,381 addresses at planning</w:t>
      </w:r>
      <w:r>
        <w:t>. After</w:t>
      </w:r>
      <w:r w:rsidRPr="007B03AC" w:rsidR="007B03AC">
        <w:t xml:space="preserve"> incorporating drop points</w:t>
      </w:r>
      <w:r>
        <w:t xml:space="preserve"> </w:t>
      </w:r>
      <w:r w:rsidRPr="007B03AC" w:rsidR="007B03AC">
        <w:t xml:space="preserve">which yield multiple units per address, </w:t>
      </w:r>
      <w:r>
        <w:t>the initial sample</w:t>
      </w:r>
      <w:r w:rsidRPr="007B03AC" w:rsidR="007B03AC">
        <w:t xml:space="preserve"> comprised 13,439 address units. The reserve sample adds 2,819 new address units, drawn in equal size from 54 SSUs (approximately 52 per SSU, with small deviations)</w:t>
      </w:r>
      <w:r w:rsidR="00BE54AF">
        <w:t xml:space="preserve"> from the same</w:t>
      </w:r>
      <w:r w:rsidR="00094F0E">
        <w:t xml:space="preserve"> 9 areas from which the initial sample was drawn</w:t>
      </w:r>
      <w:r w:rsidRPr="007B03AC" w:rsidR="007B03AC">
        <w:t>. Together</w:t>
      </w:r>
      <w:r>
        <w:t xml:space="preserve"> with the initial sample, this would</w:t>
      </w:r>
      <w:r w:rsidRPr="007B03AC" w:rsidR="007B03AC">
        <w:t xml:space="preserve"> bring the total released for the </w:t>
      </w:r>
      <w:r w:rsidR="004E7F31">
        <w:t xml:space="preserve">NLSY27 </w:t>
      </w:r>
      <w:r w:rsidRPr="007B03AC" w:rsidR="007B03AC">
        <w:t>Pretest to 16,258 address units.</w:t>
      </w:r>
    </w:p>
    <w:p w:rsidR="00094F0E" w:rsidP="00D45D64" w14:paraId="0C810C3F" w14:textId="77777777"/>
    <w:p w:rsidR="004645C6" w:rsidP="00D45D64" w14:paraId="093CEAEB" w14:textId="1DC72538">
      <w:r>
        <w:t>The revised version of Exhibit 1 from the Part B Justification document shown below</w:t>
      </w:r>
      <w:r w:rsidR="004525E8">
        <w:t xml:space="preserve"> provides a revised projection of how the expanded sample will result in 800 completed youth interviews and 518 completed parent/caregiver interviews.  The most significant change is an adjustment of the assumed completion rate for the eligibility screener from 50% to 42%.</w:t>
      </w:r>
      <w:r w:rsidR="002A25D1">
        <w:t xml:space="preserve">  Based on the experiences of the Pretest to date, we have also revised the estimated number of households with age-eligible youth from 20% to 18% and adjusted the rate at which eligible youth will be selected for interview from 73.5% to 80%.</w:t>
      </w:r>
    </w:p>
    <w:p w:rsidR="00801854" w:rsidP="00B36CC8" w14:paraId="55DFFB84" w14:textId="77777777">
      <w:pPr>
        <w:spacing w:line="259" w:lineRule="auto"/>
      </w:pPr>
    </w:p>
    <w:p w:rsidR="004645C6" w:rsidRPr="00107E37" w:rsidP="004645C6" w14:paraId="108ACC44" w14:textId="77777777">
      <w:pPr>
        <w:pStyle w:val="table-title"/>
        <w:spacing w:before="0" w:after="0"/>
        <w:rPr>
          <w:rFonts w:ascii="Aptos" w:hAnsi="Aptos"/>
        </w:rPr>
      </w:pPr>
      <w:r w:rsidRPr="00107E37">
        <w:rPr>
          <w:rStyle w:val="blueboldemphasis"/>
          <w:rFonts w:ascii="Aptos" w:hAnsi="Aptos"/>
        </w:rPr>
        <w:t>Exhibit 1.</w:t>
      </w:r>
      <w:r w:rsidRPr="00107E37">
        <w:rPr>
          <w:rFonts w:ascii="Aptos" w:hAnsi="Aptos"/>
        </w:rPr>
        <w:tab/>
        <w:t xml:space="preserve">NLSY27 Pretest Sample Sizes and Assumed Rates </w:t>
      </w:r>
    </w:p>
    <w:tbl>
      <w:tblPr>
        <w:tblW w:w="7420" w:type="dxa"/>
        <w:tblLook w:val="04A0"/>
      </w:tblPr>
      <w:tblGrid>
        <w:gridCol w:w="3220"/>
        <w:gridCol w:w="891"/>
        <w:gridCol w:w="1029"/>
        <w:gridCol w:w="280"/>
        <w:gridCol w:w="1211"/>
        <w:gridCol w:w="789"/>
      </w:tblGrid>
      <w:tr w14:paraId="5D76DFFB" w14:textId="77777777" w:rsidTr="004525E8">
        <w:tblPrEx>
          <w:tblW w:w="74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5131AE4F" w14:textId="7777777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25E8" w14:paraId="79F8DC1F" w14:textId="77777777">
            <w:pPr>
              <w:jc w:val="center"/>
              <w:rPr>
                <w:rFonts w:ascii="Arial Narrow" w:hAnsi="Arial Narrow"/>
                <w:b/>
                <w:bCs/>
                <w:color w:val="153D64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53D64"/>
                <w:sz w:val="20"/>
                <w:szCs w:val="20"/>
              </w:rPr>
              <w:t>Original Projections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5B217FC8" w14:textId="77777777">
            <w:pPr>
              <w:jc w:val="center"/>
              <w:rPr>
                <w:rFonts w:ascii="Arial Narrow" w:hAnsi="Arial Narrow"/>
                <w:b/>
                <w:bCs/>
                <w:color w:val="153D64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25E8" w14:paraId="2F2FF280" w14:textId="77777777">
            <w:pPr>
              <w:jc w:val="center"/>
              <w:rPr>
                <w:rFonts w:ascii="Arial Narrow" w:hAnsi="Arial Narrow"/>
                <w:b/>
                <w:bCs/>
                <w:color w:val="153D64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53D64"/>
                <w:sz w:val="20"/>
                <w:szCs w:val="20"/>
              </w:rPr>
              <w:t>Revised Projections</w:t>
            </w:r>
          </w:p>
        </w:tc>
      </w:tr>
      <w:tr w14:paraId="660FB2A7" w14:textId="77777777" w:rsidTr="004525E8">
        <w:tblPrEx>
          <w:tblW w:w="7420" w:type="dxa"/>
          <w:tblLook w:val="04A0"/>
        </w:tblPrEx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347B84F7" w14:textId="77777777">
            <w:pPr>
              <w:jc w:val="center"/>
              <w:rPr>
                <w:rFonts w:ascii="Arial Narrow" w:hAnsi="Arial Narrow"/>
                <w:b/>
                <w:bCs/>
                <w:color w:val="153D64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ECF1F8"/>
            <w:noWrap/>
            <w:vAlign w:val="center"/>
            <w:hideMark/>
          </w:tcPr>
          <w:p w:rsidR="004525E8" w14:paraId="01A8B6F9" w14:textId="77777777">
            <w:pPr>
              <w:jc w:val="right"/>
              <w:rPr>
                <w:rFonts w:ascii="Arial Narrow" w:hAnsi="Arial Narrow"/>
                <w:color w:val="943634"/>
                <w:sz w:val="20"/>
                <w:szCs w:val="20"/>
              </w:rPr>
            </w:pPr>
            <w:r>
              <w:rPr>
                <w:rFonts w:ascii="Arial Narrow" w:hAnsi="Arial Narrow"/>
                <w:color w:val="943634"/>
                <w:sz w:val="20"/>
                <w:szCs w:val="20"/>
              </w:rPr>
              <w:t>Count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C0504D"/>
              <w:right w:val="nil"/>
            </w:tcBorders>
            <w:noWrap/>
            <w:vAlign w:val="center"/>
            <w:hideMark/>
          </w:tcPr>
          <w:p w:rsidR="004525E8" w14:paraId="40802D9F" w14:textId="77777777">
            <w:pPr>
              <w:jc w:val="right"/>
              <w:rPr>
                <w:rFonts w:ascii="Arial Narrow" w:hAnsi="Arial Narrow"/>
                <w:color w:val="943634"/>
                <w:sz w:val="20"/>
                <w:szCs w:val="20"/>
              </w:rPr>
            </w:pPr>
            <w:r>
              <w:rPr>
                <w:rFonts w:ascii="Arial Narrow" w:hAnsi="Arial Narrow"/>
                <w:color w:val="943634"/>
                <w:sz w:val="20"/>
                <w:szCs w:val="20"/>
              </w:rPr>
              <w:t>Rate, 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525E8" w14:paraId="10630B53" w14:textId="77777777">
            <w:pPr>
              <w:jc w:val="right"/>
              <w:rPr>
                <w:rFonts w:ascii="Arial Narrow" w:hAnsi="Arial Narrow"/>
                <w:color w:val="943634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ECF1F8"/>
            <w:noWrap/>
            <w:vAlign w:val="center"/>
            <w:hideMark/>
          </w:tcPr>
          <w:p w:rsidR="004525E8" w14:paraId="42B636EF" w14:textId="77777777">
            <w:pPr>
              <w:jc w:val="right"/>
              <w:rPr>
                <w:rFonts w:ascii="Arial Narrow" w:hAnsi="Arial Narrow"/>
                <w:color w:val="943634"/>
                <w:sz w:val="20"/>
                <w:szCs w:val="20"/>
              </w:rPr>
            </w:pPr>
            <w:r>
              <w:rPr>
                <w:rFonts w:ascii="Arial Narrow" w:hAnsi="Arial Narrow"/>
                <w:color w:val="943634"/>
                <w:sz w:val="20"/>
                <w:szCs w:val="20"/>
              </w:rPr>
              <w:t>Count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C0504D"/>
              <w:right w:val="nil"/>
            </w:tcBorders>
            <w:noWrap/>
            <w:vAlign w:val="center"/>
            <w:hideMark/>
          </w:tcPr>
          <w:p w:rsidR="004525E8" w14:paraId="6366491C" w14:textId="77777777">
            <w:pPr>
              <w:jc w:val="right"/>
              <w:rPr>
                <w:rFonts w:ascii="Arial Narrow" w:hAnsi="Arial Narrow"/>
                <w:color w:val="943634"/>
                <w:sz w:val="20"/>
                <w:szCs w:val="20"/>
              </w:rPr>
            </w:pPr>
            <w:r>
              <w:rPr>
                <w:rFonts w:ascii="Arial Narrow" w:hAnsi="Arial Narrow"/>
                <w:color w:val="943634"/>
                <w:sz w:val="20"/>
                <w:szCs w:val="20"/>
              </w:rPr>
              <w:t>Rate, %</w:t>
            </w:r>
          </w:p>
        </w:tc>
      </w:tr>
      <w:tr w14:paraId="0CBFE245" w14:textId="77777777" w:rsidTr="004525E8">
        <w:tblPrEx>
          <w:tblW w:w="7420" w:type="dxa"/>
          <w:tblLook w:val="04A0"/>
        </w:tblPrEx>
        <w:trPr>
          <w:trHeight w:val="330"/>
        </w:trPr>
        <w:tc>
          <w:tcPr>
            <w:tcW w:w="3220" w:type="dxa"/>
            <w:tcBorders>
              <w:top w:val="single" w:sz="8" w:space="0" w:color="00A3E0"/>
              <w:left w:val="nil"/>
              <w:bottom w:val="single" w:sz="12" w:space="0" w:color="C0504D"/>
              <w:right w:val="nil"/>
            </w:tcBorders>
            <w:shd w:val="clear" w:color="000000" w:fill="ECF1F8"/>
            <w:noWrap/>
            <w:vAlign w:val="center"/>
            <w:hideMark/>
          </w:tcPr>
          <w:p w:rsidR="004525E8" w14:paraId="034597B3" w14:textId="77777777">
            <w:pP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  <w:t>Housing Unit (HU) sample </w:t>
            </w:r>
          </w:p>
        </w:tc>
        <w:tc>
          <w:tcPr>
            <w:tcW w:w="891" w:type="dxa"/>
            <w:tcBorders>
              <w:top w:val="single" w:sz="8" w:space="0" w:color="00A3E0"/>
              <w:left w:val="nil"/>
              <w:bottom w:val="single" w:sz="12" w:space="0" w:color="C0504D"/>
              <w:right w:val="nil"/>
            </w:tcBorders>
            <w:noWrap/>
            <w:vAlign w:val="center"/>
            <w:hideMark/>
          </w:tcPr>
          <w:p w:rsidR="004525E8" w14:paraId="1FD95824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13,381</w:t>
            </w:r>
          </w:p>
        </w:tc>
        <w:tc>
          <w:tcPr>
            <w:tcW w:w="1029" w:type="dxa"/>
            <w:tcBorders>
              <w:top w:val="single" w:sz="8" w:space="0" w:color="00A3E0"/>
              <w:left w:val="nil"/>
              <w:bottom w:val="single" w:sz="12" w:space="0" w:color="C0504D"/>
              <w:right w:val="nil"/>
            </w:tcBorders>
            <w:noWrap/>
            <w:vAlign w:val="center"/>
            <w:hideMark/>
          </w:tcPr>
          <w:p w:rsidR="004525E8" w14:paraId="701713B3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525E8" w14:paraId="405BBAD4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1A1B3A26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16,258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21928332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14:paraId="7187428F" w14:textId="77777777" w:rsidTr="004525E8">
        <w:tblPrEx>
          <w:tblW w:w="7420" w:type="dxa"/>
          <w:tblLook w:val="04A0"/>
        </w:tblPrEx>
        <w:trPr>
          <w:trHeight w:val="330"/>
        </w:trPr>
        <w:tc>
          <w:tcPr>
            <w:tcW w:w="3220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CF1F8"/>
            <w:noWrap/>
            <w:vAlign w:val="center"/>
            <w:hideMark/>
          </w:tcPr>
          <w:p w:rsidR="004525E8" w14:paraId="38582105" w14:textId="77777777">
            <w:pP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  <w:t>Occupied HUs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27F7A03F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12,177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61CB6C26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525E8" w14:paraId="5400D0C9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3E5686D6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14,795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187F9517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91.0%</w:t>
            </w:r>
          </w:p>
        </w:tc>
      </w:tr>
      <w:tr w14:paraId="08F13169" w14:textId="77777777" w:rsidTr="004525E8">
        <w:tblPrEx>
          <w:tblW w:w="7420" w:type="dxa"/>
          <w:tblLook w:val="04A0"/>
        </w:tblPrEx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CF1F8"/>
            <w:noWrap/>
            <w:vAlign w:val="center"/>
            <w:hideMark/>
          </w:tcPr>
          <w:p w:rsidR="004525E8" w14:paraId="6D11526B" w14:textId="77777777">
            <w:pP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  <w:t>Screened HUs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4C93D76B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6,088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5EBC0A26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525E8" w14:paraId="6EDE2B52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5C30C89F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6,214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568D61E3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42.0%</w:t>
            </w:r>
          </w:p>
        </w:tc>
      </w:tr>
      <w:tr w14:paraId="2137A111" w14:textId="77777777" w:rsidTr="004525E8">
        <w:tblPrEx>
          <w:tblW w:w="7420" w:type="dxa"/>
          <w:tblLook w:val="04A0"/>
        </w:tblPrEx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CF1F8"/>
            <w:noWrap/>
            <w:vAlign w:val="center"/>
            <w:hideMark/>
          </w:tcPr>
          <w:p w:rsidR="004525E8" w14:paraId="28014ADC" w14:textId="77777777">
            <w:pP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  <w:t>Households with age-eligible youth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54A198DC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1,218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56721FF0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525E8" w14:paraId="7340293A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7F7A9D9D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1,118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1DFD8081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18.0%</w:t>
            </w:r>
          </w:p>
        </w:tc>
      </w:tr>
      <w:tr w14:paraId="1D335421" w14:textId="77777777" w:rsidTr="004525E8">
        <w:tblPrEx>
          <w:tblW w:w="7420" w:type="dxa"/>
          <w:tblLook w:val="04A0"/>
        </w:tblPrEx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CF1F8"/>
            <w:noWrap/>
            <w:vAlign w:val="center"/>
            <w:hideMark/>
          </w:tcPr>
          <w:p w:rsidR="004525E8" w14:paraId="6E2AD899" w14:textId="77777777">
            <w:pP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  <w:t>Households selected for interview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7CC45419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12DB404A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525E8" w14:paraId="003E1E72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6A229A6F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895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4C8B75CF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80.0%</w:t>
            </w:r>
          </w:p>
        </w:tc>
      </w:tr>
      <w:tr w14:paraId="1A109D67" w14:textId="77777777" w:rsidTr="004525E8">
        <w:tblPrEx>
          <w:tblW w:w="7420" w:type="dxa"/>
          <w:tblLook w:val="04A0"/>
        </w:tblPrEx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CF1F8"/>
            <w:noWrap/>
            <w:vAlign w:val="center"/>
            <w:hideMark/>
          </w:tcPr>
          <w:p w:rsidR="004525E8" w14:paraId="552F25DE" w14:textId="77777777">
            <w:pP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  <w:t>Average eligible youth per household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0CCC921D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1F0E1B8F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525E8" w14:paraId="7B43F930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:rsidRPr="00586A33" w14:paraId="79BBA823" w14:textId="6C7998A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86A33">
              <w:rPr>
                <w:rFonts w:ascii="Arial Narrow" w:hAnsi="Arial Narrow"/>
                <w:sz w:val="20"/>
                <w:szCs w:val="20"/>
              </w:rPr>
              <w:t>1.39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2F2E30BD" w14:textId="77777777">
            <w:pPr>
              <w:rPr>
                <w:sz w:val="20"/>
                <w:szCs w:val="20"/>
              </w:rPr>
            </w:pPr>
          </w:p>
        </w:tc>
      </w:tr>
      <w:tr w14:paraId="509B0906" w14:textId="77777777" w:rsidTr="004525E8">
        <w:tblPrEx>
          <w:tblW w:w="7420" w:type="dxa"/>
          <w:tblLook w:val="04A0"/>
        </w:tblPrEx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CF1F8"/>
            <w:noWrap/>
            <w:vAlign w:val="center"/>
            <w:hideMark/>
          </w:tcPr>
          <w:p w:rsidR="004525E8" w14:paraId="0A732AA0" w14:textId="77777777">
            <w:pP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  <w:t>Eligible youth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7F36E40F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1,244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77D80C88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525E8" w14:paraId="3665ABA0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7575FA74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1,244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4A163278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139.0%</w:t>
            </w:r>
          </w:p>
        </w:tc>
      </w:tr>
      <w:tr w14:paraId="51D0D8AB" w14:textId="77777777" w:rsidTr="004525E8">
        <w:tblPrEx>
          <w:tblW w:w="7420" w:type="dxa"/>
          <w:tblLook w:val="04A0"/>
        </w:tblPrEx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CF1F8"/>
            <w:noWrap/>
            <w:vAlign w:val="center"/>
            <w:hideMark/>
          </w:tcPr>
          <w:p w:rsidR="004525E8" w14:paraId="66B60671" w14:textId="77777777">
            <w:pP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  <w:t>Household screening and consent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70220007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63680AB8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74.9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525E8" w14:paraId="2970308D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500366CA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932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2D8B3DDB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74.9%</w:t>
            </w:r>
          </w:p>
        </w:tc>
      </w:tr>
      <w:tr w14:paraId="411A9464" w14:textId="77777777" w:rsidTr="004525E8">
        <w:tblPrEx>
          <w:tblW w:w="7420" w:type="dxa"/>
          <w:tblLook w:val="04A0"/>
        </w:tblPrEx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CF1F8"/>
            <w:noWrap/>
            <w:vAlign w:val="center"/>
            <w:hideMark/>
          </w:tcPr>
          <w:p w:rsidR="004525E8" w14:paraId="5414F75B" w14:textId="77777777">
            <w:pP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  <w:t>Youth interviews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436232BA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2940ED27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85.9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525E8" w14:paraId="3AD6B401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59C4651A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800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5E676F02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85.9%</w:t>
            </w:r>
          </w:p>
        </w:tc>
      </w:tr>
      <w:tr w14:paraId="560BB7C5" w14:textId="77777777" w:rsidTr="004525E8">
        <w:tblPrEx>
          <w:tblW w:w="7420" w:type="dxa"/>
          <w:tblLook w:val="04A0"/>
        </w:tblPrEx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CF1F8"/>
            <w:noWrap/>
            <w:vAlign w:val="center"/>
            <w:hideMark/>
          </w:tcPr>
          <w:p w:rsidR="004525E8" w14:paraId="33BB930D" w14:textId="77777777">
            <w:pP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  <w:t>Eligible parents or caregivers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3E052194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C0504D"/>
              <w:right w:val="nil"/>
            </w:tcBorders>
            <w:noWrap/>
            <w:vAlign w:val="center"/>
            <w:hideMark/>
          </w:tcPr>
          <w:p w:rsidR="004525E8" w14:paraId="65E60C05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525E8" w14:paraId="4568132D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44B48CC0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576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5D886EB3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71.9%</w:t>
            </w:r>
          </w:p>
        </w:tc>
      </w:tr>
      <w:tr w14:paraId="4B3C812A" w14:textId="77777777" w:rsidTr="004525E8">
        <w:tblPrEx>
          <w:tblW w:w="7420" w:type="dxa"/>
          <w:tblLook w:val="04A0"/>
        </w:tblPrEx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ECF1F8"/>
            <w:noWrap/>
            <w:vAlign w:val="center"/>
            <w:hideMark/>
          </w:tcPr>
          <w:p w:rsidR="004525E8" w14:paraId="1A95EC3E" w14:textId="77777777">
            <w:pP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F497D"/>
                <w:sz w:val="20"/>
                <w:szCs w:val="20"/>
              </w:rPr>
              <w:t>Parent/caregiver interviews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2" w:space="0" w:color="C0504D"/>
              <w:right w:val="nil"/>
            </w:tcBorders>
            <w:noWrap/>
            <w:vAlign w:val="center"/>
            <w:hideMark/>
          </w:tcPr>
          <w:p w:rsidR="004525E8" w14:paraId="0494BAAD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C0504D"/>
              <w:right w:val="nil"/>
            </w:tcBorders>
            <w:noWrap/>
            <w:vAlign w:val="center"/>
            <w:hideMark/>
          </w:tcPr>
          <w:p w:rsidR="004525E8" w14:paraId="58CA4282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525E8" w14:paraId="62664FE3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0A13AF6E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518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5E8" w14:paraId="303DBB05" w14:textId="7777777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90.0%</w:t>
            </w:r>
          </w:p>
        </w:tc>
      </w:tr>
    </w:tbl>
    <w:p w:rsidR="004525E8" w:rsidP="00B36CC8" w14:paraId="715A81F9" w14:textId="77777777">
      <w:pPr>
        <w:spacing w:line="259" w:lineRule="auto"/>
      </w:pPr>
    </w:p>
    <w:p w:rsidR="004525E8" w:rsidP="00B36CC8" w14:paraId="74BAB411" w14:textId="2641A0C8">
      <w:pPr>
        <w:spacing w:line="259" w:lineRule="auto"/>
      </w:pPr>
      <w:r>
        <w:t>On net, these changes result in a</w:t>
      </w:r>
      <w:r w:rsidR="00C50D03">
        <w:t xml:space="preserve"> modest</w:t>
      </w:r>
      <w:r>
        <w:t xml:space="preserve"> reduction in the estimated respondent burden, </w:t>
      </w:r>
      <w:r w:rsidR="004645C6">
        <w:t>from $37,778 to $37,</w:t>
      </w:r>
      <w:r>
        <w:t>678</w:t>
      </w:r>
      <w:r w:rsidR="004645C6">
        <w:t xml:space="preserve">.  </w:t>
      </w:r>
      <w:r w:rsidR="00C50D03">
        <w:t>The revised Table 4 from the Part A justification provides the details below.</w:t>
      </w:r>
    </w:p>
    <w:p w:rsidR="00C50D03" w:rsidP="00B36CC8" w14:paraId="1A28774D" w14:textId="77777777">
      <w:pPr>
        <w:spacing w:line="259" w:lineRule="auto"/>
      </w:pPr>
    </w:p>
    <w:p w:rsidR="00C50D03" w:rsidP="00B36CC8" w14:paraId="56A18607" w14:textId="77777777">
      <w:pPr>
        <w:spacing w:line="259" w:lineRule="auto"/>
      </w:pPr>
    </w:p>
    <w:p w:rsidR="00C50D03" w:rsidRPr="00602015" w:rsidP="00C50D03" w14:paraId="7825E4E6" w14:textId="77777777">
      <w:pPr>
        <w:rPr>
          <w:rFonts w:ascii="Aptos" w:hAnsi="Aptos" w:cs="Arial"/>
          <w:b/>
          <w:bCs/>
          <w:sz w:val="22"/>
          <w:szCs w:val="22"/>
        </w:rPr>
      </w:pPr>
      <w:r w:rsidRPr="00602015">
        <w:rPr>
          <w:rFonts w:ascii="Aptos" w:hAnsi="Aptos" w:cs="Arial"/>
          <w:b/>
          <w:bCs/>
          <w:sz w:val="22"/>
          <w:szCs w:val="22"/>
        </w:rPr>
        <w:t>Table 4. Estimated Annualized Respondent Cost and Hour Burden</w:t>
      </w:r>
    </w:p>
    <w:tbl>
      <w:tblPr>
        <w:tblStyle w:val="RTITable"/>
        <w:tblW w:w="9810" w:type="dxa"/>
        <w:jc w:val="center"/>
        <w:tblLook w:val="04A0"/>
      </w:tblPr>
      <w:tblGrid>
        <w:gridCol w:w="1980"/>
        <w:gridCol w:w="1260"/>
        <w:gridCol w:w="1350"/>
        <w:gridCol w:w="1170"/>
        <w:gridCol w:w="1080"/>
        <w:gridCol w:w="1080"/>
        <w:gridCol w:w="900"/>
        <w:gridCol w:w="990"/>
      </w:tblGrid>
      <w:tr w14:paraId="7CCE8E8E" w14:textId="77777777" w:rsidTr="00B476AE">
        <w:tblPrEx>
          <w:tblW w:w="9810" w:type="dxa"/>
          <w:jc w:val="center"/>
          <w:tblLook w:val="04A0"/>
        </w:tblPrEx>
        <w:trPr>
          <w:trHeight w:val="890"/>
          <w:jc w:val="center"/>
        </w:trPr>
        <w:tc>
          <w:tcPr>
            <w:tcW w:w="1980" w:type="dxa"/>
            <w:hideMark/>
          </w:tcPr>
          <w:p w:rsidR="00C50D03" w:rsidRPr="00CE6517" w:rsidP="0026017C" w14:paraId="60CB3FC4" w14:textId="7777777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b/>
                <w:sz w:val="18"/>
                <w:szCs w:val="18"/>
              </w:rPr>
              <w:t>Activity</w:t>
            </w:r>
          </w:p>
        </w:tc>
        <w:tc>
          <w:tcPr>
            <w:tcW w:w="1260" w:type="dxa"/>
            <w:hideMark/>
          </w:tcPr>
          <w:p w:rsidR="00C50D03" w:rsidRPr="00CE6517" w:rsidP="0026017C" w14:paraId="705A37EA" w14:textId="77777777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Number</w:t>
            </w:r>
            <w:r w:rsidRPr="00CE6517">
              <w:rPr>
                <w:rFonts w:ascii="Arial Narrow" w:hAnsi="Arial Narrow" w:cs="Arial"/>
                <w:b/>
                <w:sz w:val="18"/>
                <w:szCs w:val="18"/>
              </w:rPr>
              <w:t xml:space="preserve"> of Respondents</w:t>
            </w:r>
          </w:p>
        </w:tc>
        <w:tc>
          <w:tcPr>
            <w:tcW w:w="1350" w:type="dxa"/>
          </w:tcPr>
          <w:p w:rsidR="00C50D03" w:rsidRPr="00CE6517" w:rsidP="0026017C" w14:paraId="501FF38F" w14:textId="77777777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umber </w:t>
            </w:r>
            <w:r w:rsidRPr="00CE6517">
              <w:rPr>
                <w:rFonts w:ascii="Arial Narrow" w:hAnsi="Arial Narrow" w:cs="Arial"/>
                <w:b/>
                <w:sz w:val="18"/>
                <w:szCs w:val="18"/>
              </w:rPr>
              <w:t xml:space="preserve">of Responses </w:t>
            </w:r>
          </w:p>
          <w:p w:rsidR="00C50D03" w:rsidRPr="00CE6517" w:rsidP="0026017C" w14:paraId="74CF8FFC" w14:textId="77777777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b/>
                <w:sz w:val="18"/>
                <w:szCs w:val="18"/>
              </w:rPr>
              <w:t>per Respondent</w:t>
            </w:r>
          </w:p>
        </w:tc>
        <w:tc>
          <w:tcPr>
            <w:tcW w:w="1170" w:type="dxa"/>
            <w:hideMark/>
          </w:tcPr>
          <w:p w:rsidR="00C50D03" w:rsidRPr="00CE6517" w:rsidP="0026017C" w14:paraId="59D3AAFC" w14:textId="77777777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b/>
                <w:sz w:val="18"/>
                <w:szCs w:val="18"/>
              </w:rPr>
              <w:t>Total Responses</w:t>
            </w:r>
          </w:p>
        </w:tc>
        <w:tc>
          <w:tcPr>
            <w:tcW w:w="1080" w:type="dxa"/>
            <w:hideMark/>
          </w:tcPr>
          <w:p w:rsidR="00C50D03" w:rsidRPr="00CE6517" w:rsidP="0026017C" w14:paraId="285369E1" w14:textId="77777777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b/>
                <w:sz w:val="18"/>
                <w:szCs w:val="18"/>
              </w:rPr>
              <w:t>Average Burden (Hours)</w:t>
            </w:r>
          </w:p>
        </w:tc>
        <w:tc>
          <w:tcPr>
            <w:tcW w:w="1080" w:type="dxa"/>
            <w:hideMark/>
          </w:tcPr>
          <w:p w:rsidR="00C50D03" w:rsidRPr="00CE6517" w:rsidP="0026017C" w14:paraId="23119888" w14:textId="77777777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b/>
                <w:sz w:val="18"/>
                <w:szCs w:val="18"/>
              </w:rPr>
              <w:t>Total Burden (Hours)</w:t>
            </w:r>
          </w:p>
        </w:tc>
        <w:tc>
          <w:tcPr>
            <w:tcW w:w="900" w:type="dxa"/>
            <w:hideMark/>
          </w:tcPr>
          <w:p w:rsidR="00C50D03" w:rsidRPr="00CE6517" w:rsidP="0026017C" w14:paraId="7515714B" w14:textId="77777777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CE56BBA">
              <w:rPr>
                <w:rFonts w:ascii="Arial Narrow" w:hAnsi="Arial Narrow" w:cs="Arial"/>
                <w:b/>
                <w:bCs/>
                <w:sz w:val="18"/>
                <w:szCs w:val="18"/>
              </w:rPr>
              <w:t>Hourly</w:t>
            </w:r>
          </w:p>
          <w:p w:rsidR="00C50D03" w:rsidRPr="00CE6517" w:rsidP="0026017C" w14:paraId="52A84CEC" w14:textId="77777777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b/>
                <w:bCs/>
                <w:sz w:val="18"/>
                <w:szCs w:val="18"/>
              </w:rPr>
              <w:t>Wage Rate</w:t>
            </w:r>
          </w:p>
        </w:tc>
        <w:tc>
          <w:tcPr>
            <w:tcW w:w="990" w:type="dxa"/>
            <w:hideMark/>
          </w:tcPr>
          <w:p w:rsidR="00C50D03" w:rsidRPr="00CE6517" w:rsidP="0026017C" w14:paraId="1D9BCB2F" w14:textId="77777777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b/>
                <w:sz w:val="18"/>
                <w:szCs w:val="18"/>
              </w:rPr>
              <w:t>Total Burden Cost</w:t>
            </w:r>
          </w:p>
        </w:tc>
      </w:tr>
      <w:tr w14:paraId="4442575E" w14:textId="77777777" w:rsidTr="00B476AE">
        <w:tblPrEx>
          <w:tblW w:w="9810" w:type="dxa"/>
          <w:jc w:val="center"/>
          <w:tblLook w:val="04A0"/>
        </w:tblPrEx>
        <w:trPr>
          <w:trHeight w:val="300"/>
          <w:jc w:val="center"/>
        </w:trPr>
        <w:tc>
          <w:tcPr>
            <w:tcW w:w="1980" w:type="dxa"/>
          </w:tcPr>
          <w:p w:rsidR="00C50D03" w:rsidRPr="00CE6517" w:rsidP="0026017C" w14:paraId="1B3FDE8A" w14:textId="77777777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Eligibility Screener</w:t>
            </w:r>
          </w:p>
        </w:tc>
        <w:tc>
          <w:tcPr>
            <w:tcW w:w="1260" w:type="dxa"/>
          </w:tcPr>
          <w:p w:rsidR="00C50D03" w:rsidRPr="004645C6" w:rsidP="0026017C" w14:paraId="7C491ED5" w14:textId="6D8E867B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645C6">
              <w:rPr>
                <w:rFonts w:ascii="Arial Narrow" w:hAnsi="Arial Narrow" w:cs="Arial"/>
                <w:b/>
                <w:bCs/>
                <w:sz w:val="18"/>
                <w:szCs w:val="18"/>
              </w:rPr>
              <w:t>6,214</w:t>
            </w:r>
          </w:p>
        </w:tc>
        <w:tc>
          <w:tcPr>
            <w:tcW w:w="1350" w:type="dxa"/>
          </w:tcPr>
          <w:p w:rsidR="00C50D03" w:rsidRPr="00CE6517" w:rsidP="0026017C" w14:paraId="1C30D541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:rsidR="00C50D03" w:rsidRPr="004645C6" w:rsidP="0026017C" w14:paraId="1871EC77" w14:textId="6D9D1CDD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645C6">
              <w:rPr>
                <w:rFonts w:ascii="Arial Narrow" w:hAnsi="Arial Narrow" w:cs="Arial"/>
                <w:b/>
                <w:bCs/>
                <w:sz w:val="18"/>
                <w:szCs w:val="18"/>
              </w:rPr>
              <w:t>6,214</w:t>
            </w:r>
          </w:p>
        </w:tc>
        <w:tc>
          <w:tcPr>
            <w:tcW w:w="1080" w:type="dxa"/>
          </w:tcPr>
          <w:p w:rsidR="00C50D03" w:rsidRPr="00CE6517" w:rsidP="0026017C" w14:paraId="65896081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0.083</w:t>
            </w:r>
          </w:p>
        </w:tc>
        <w:tc>
          <w:tcPr>
            <w:tcW w:w="1080" w:type="dxa"/>
          </w:tcPr>
          <w:p w:rsidR="00C50D03" w:rsidRPr="004645C6" w:rsidP="0026017C" w14:paraId="62481572" w14:textId="36DDC2AA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645C6">
              <w:rPr>
                <w:rFonts w:ascii="Arial Narrow" w:hAnsi="Arial Narrow" w:cs="Arial"/>
                <w:b/>
                <w:bCs/>
                <w:sz w:val="18"/>
                <w:szCs w:val="18"/>
              </w:rPr>
              <w:t>516</w:t>
            </w:r>
          </w:p>
        </w:tc>
        <w:tc>
          <w:tcPr>
            <w:tcW w:w="900" w:type="dxa"/>
          </w:tcPr>
          <w:p w:rsidR="00C50D03" w:rsidRPr="00CE6517" w:rsidP="0026017C" w14:paraId="026B956D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$</w:t>
            </w:r>
            <w:r>
              <w:rPr>
                <w:rFonts w:ascii="Arial Narrow" w:hAnsi="Arial Narrow" w:cs="Arial"/>
                <w:sz w:val="18"/>
                <w:szCs w:val="18"/>
              </w:rPr>
              <w:t>20.04</w:t>
            </w:r>
          </w:p>
        </w:tc>
        <w:tc>
          <w:tcPr>
            <w:tcW w:w="990" w:type="dxa"/>
          </w:tcPr>
          <w:p w:rsidR="00C50D03" w:rsidRPr="004645C6" w:rsidP="0026017C" w14:paraId="7450365C" w14:textId="07555F6B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645C6">
              <w:rPr>
                <w:rFonts w:ascii="Arial Narrow" w:hAnsi="Arial Narrow" w:cs="Arial"/>
                <w:b/>
                <w:bCs/>
                <w:sz w:val="18"/>
                <w:szCs w:val="18"/>
              </w:rPr>
              <w:t>$10,341</w:t>
            </w:r>
          </w:p>
        </w:tc>
      </w:tr>
      <w:tr w14:paraId="5D12C12A" w14:textId="77777777" w:rsidTr="00B476AE">
        <w:tblPrEx>
          <w:tblW w:w="9810" w:type="dxa"/>
          <w:jc w:val="center"/>
          <w:tblLook w:val="04A0"/>
        </w:tblPrEx>
        <w:trPr>
          <w:trHeight w:val="300"/>
          <w:jc w:val="center"/>
        </w:trPr>
        <w:tc>
          <w:tcPr>
            <w:tcW w:w="1980" w:type="dxa"/>
          </w:tcPr>
          <w:p w:rsidR="00C50D03" w:rsidRPr="00CE6517" w:rsidP="0026017C" w14:paraId="401E89F0" w14:textId="77777777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Household Screener</w:t>
            </w:r>
          </w:p>
        </w:tc>
        <w:tc>
          <w:tcPr>
            <w:tcW w:w="1260" w:type="dxa"/>
          </w:tcPr>
          <w:p w:rsidR="00C50D03" w:rsidRPr="00CE6517" w:rsidP="0026017C" w14:paraId="6E9E9F64" w14:textId="3EC1E4A2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1,</w:t>
            </w:r>
            <w:r w:rsidR="009C58A2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CE6517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1350" w:type="dxa"/>
          </w:tcPr>
          <w:p w:rsidR="00C50D03" w:rsidRPr="00CE6517" w:rsidP="0026017C" w14:paraId="5655AC0C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:rsidR="00C50D03" w:rsidRPr="00CE6517" w:rsidP="0026017C" w14:paraId="2FB637C7" w14:textId="2F6CFBBC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1,</w:t>
            </w:r>
            <w:r w:rsidR="009C58A2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CE6517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1080" w:type="dxa"/>
          </w:tcPr>
          <w:p w:rsidR="00C50D03" w:rsidRPr="00CE6517" w:rsidP="0026017C" w14:paraId="7C86AAF3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0.166</w:t>
            </w:r>
          </w:p>
        </w:tc>
        <w:tc>
          <w:tcPr>
            <w:tcW w:w="1080" w:type="dxa"/>
          </w:tcPr>
          <w:p w:rsidR="00C50D03" w:rsidRPr="00CE6517" w:rsidP="0026017C" w14:paraId="55592E6D" w14:textId="03022FD2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186</w:t>
            </w:r>
          </w:p>
        </w:tc>
        <w:tc>
          <w:tcPr>
            <w:tcW w:w="900" w:type="dxa"/>
          </w:tcPr>
          <w:p w:rsidR="00C50D03" w:rsidRPr="00CE6517" w:rsidP="0026017C" w14:paraId="5956F911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$</w:t>
            </w:r>
            <w:r>
              <w:rPr>
                <w:rFonts w:ascii="Arial Narrow" w:hAnsi="Arial Narrow" w:cs="Arial"/>
                <w:sz w:val="18"/>
                <w:szCs w:val="18"/>
              </w:rPr>
              <w:t>20.04</w:t>
            </w:r>
          </w:p>
        </w:tc>
        <w:tc>
          <w:tcPr>
            <w:tcW w:w="990" w:type="dxa"/>
          </w:tcPr>
          <w:p w:rsidR="00C50D03" w:rsidRPr="00CE6517" w:rsidP="0026017C" w14:paraId="789DE979" w14:textId="1260BE1F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$</w:t>
            </w:r>
            <w:r w:rsidR="003D471D">
              <w:rPr>
                <w:rFonts w:ascii="Arial Narrow" w:hAnsi="Arial Narrow" w:cs="Arial"/>
                <w:sz w:val="18"/>
                <w:szCs w:val="18"/>
              </w:rPr>
              <w:t>3,727</w:t>
            </w:r>
          </w:p>
        </w:tc>
      </w:tr>
      <w:tr w14:paraId="5E98DB45" w14:textId="77777777" w:rsidTr="00B476AE">
        <w:tblPrEx>
          <w:tblW w:w="9810" w:type="dxa"/>
          <w:jc w:val="center"/>
          <w:tblLook w:val="04A0"/>
        </w:tblPrEx>
        <w:trPr>
          <w:trHeight w:val="300"/>
          <w:jc w:val="center"/>
        </w:trPr>
        <w:tc>
          <w:tcPr>
            <w:tcW w:w="1980" w:type="dxa"/>
            <w:hideMark/>
          </w:tcPr>
          <w:p w:rsidR="00C50D03" w:rsidRPr="00CE6517" w:rsidP="0026017C" w14:paraId="33894BFD" w14:textId="77777777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Youth Interview</w:t>
            </w:r>
          </w:p>
          <w:p w:rsidR="00C50D03" w:rsidRPr="00CE6517" w:rsidP="0026017C" w14:paraId="3534F9AF" w14:textId="77777777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C50D03" w:rsidRPr="00CE6517" w:rsidP="0026017C" w14:paraId="4C5B8112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800</w:t>
            </w:r>
          </w:p>
        </w:tc>
        <w:tc>
          <w:tcPr>
            <w:tcW w:w="1350" w:type="dxa"/>
          </w:tcPr>
          <w:p w:rsidR="00C50D03" w:rsidRPr="00CE6517" w:rsidP="0026017C" w14:paraId="6D7368DA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:rsidR="00C50D03" w:rsidRPr="00CE6517" w:rsidP="0026017C" w14:paraId="7F8A60D0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800</w:t>
            </w:r>
          </w:p>
        </w:tc>
        <w:tc>
          <w:tcPr>
            <w:tcW w:w="1080" w:type="dxa"/>
          </w:tcPr>
          <w:p w:rsidR="00C50D03" w:rsidRPr="00CE6517" w:rsidP="0026017C" w14:paraId="7AB101DF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1.5</w:t>
            </w:r>
          </w:p>
        </w:tc>
        <w:tc>
          <w:tcPr>
            <w:tcW w:w="1080" w:type="dxa"/>
          </w:tcPr>
          <w:p w:rsidR="00C50D03" w:rsidRPr="00CE6517" w:rsidP="0026017C" w14:paraId="73A1C105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 xml:space="preserve"> 1,200</w:t>
            </w:r>
          </w:p>
          <w:p w:rsidR="00C50D03" w:rsidRPr="00CE6517" w:rsidP="0026017C" w14:paraId="1F76C425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C50D03" w:rsidRPr="00CE6517" w:rsidP="0026017C" w14:paraId="2A4F8580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$</w:t>
            </w:r>
            <w:r>
              <w:rPr>
                <w:rFonts w:ascii="Arial Narrow" w:hAnsi="Arial Narrow" w:cs="Arial"/>
                <w:sz w:val="18"/>
                <w:szCs w:val="18"/>
              </w:rPr>
              <w:t>7.25</w:t>
            </w:r>
          </w:p>
        </w:tc>
        <w:tc>
          <w:tcPr>
            <w:tcW w:w="990" w:type="dxa"/>
          </w:tcPr>
          <w:p w:rsidR="00C50D03" w:rsidRPr="00CE6517" w:rsidP="0026017C" w14:paraId="47C152F8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$8,700</w:t>
            </w:r>
          </w:p>
        </w:tc>
      </w:tr>
      <w:tr w14:paraId="0B59F700" w14:textId="77777777" w:rsidTr="00B476AE">
        <w:tblPrEx>
          <w:tblW w:w="9810" w:type="dxa"/>
          <w:jc w:val="center"/>
          <w:tblLook w:val="04A0"/>
        </w:tblPrEx>
        <w:trPr>
          <w:trHeight w:val="300"/>
          <w:jc w:val="center"/>
        </w:trPr>
        <w:tc>
          <w:tcPr>
            <w:tcW w:w="1980" w:type="dxa"/>
          </w:tcPr>
          <w:p w:rsidR="00C50D03" w:rsidRPr="00CE6517" w:rsidP="0026017C" w14:paraId="2920C47A" w14:textId="77777777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 xml:space="preserve">Parent/Caregiver </w:t>
            </w:r>
            <w:r>
              <w:rPr>
                <w:rFonts w:ascii="Arial Narrow" w:hAnsi="Arial Narrow" w:cs="Arial"/>
                <w:sz w:val="18"/>
                <w:szCs w:val="18"/>
              </w:rPr>
              <w:t>Survey</w:t>
            </w:r>
          </w:p>
        </w:tc>
        <w:tc>
          <w:tcPr>
            <w:tcW w:w="1260" w:type="dxa"/>
          </w:tcPr>
          <w:p w:rsidR="00C50D03" w:rsidRPr="00CE6517" w:rsidP="0026017C" w14:paraId="691E5110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518</w:t>
            </w:r>
          </w:p>
        </w:tc>
        <w:tc>
          <w:tcPr>
            <w:tcW w:w="1350" w:type="dxa"/>
          </w:tcPr>
          <w:p w:rsidR="00C50D03" w:rsidRPr="00CE6517" w:rsidP="0026017C" w14:paraId="4B18BD5C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1.39</w:t>
            </w:r>
          </w:p>
        </w:tc>
        <w:tc>
          <w:tcPr>
            <w:tcW w:w="1170" w:type="dxa"/>
          </w:tcPr>
          <w:p w:rsidR="00C50D03" w:rsidRPr="00CE6517" w:rsidP="0026017C" w14:paraId="0F255781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720</w:t>
            </w:r>
          </w:p>
        </w:tc>
        <w:tc>
          <w:tcPr>
            <w:tcW w:w="1080" w:type="dxa"/>
          </w:tcPr>
          <w:p w:rsidR="00C50D03" w:rsidRPr="00CE6517" w:rsidP="0026017C" w14:paraId="269AA49D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1.0</w:t>
            </w:r>
          </w:p>
        </w:tc>
        <w:tc>
          <w:tcPr>
            <w:tcW w:w="1080" w:type="dxa"/>
          </w:tcPr>
          <w:p w:rsidR="00C50D03" w:rsidRPr="00CE6517" w:rsidP="0026017C" w14:paraId="15A9F015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</w:tcPr>
          <w:p w:rsidR="00C50D03" w:rsidRPr="00CE6517" w:rsidP="0026017C" w14:paraId="336C0F53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$</w:t>
            </w:r>
            <w:r>
              <w:rPr>
                <w:rFonts w:ascii="Arial Narrow" w:hAnsi="Arial Narrow" w:cs="Arial"/>
                <w:sz w:val="18"/>
                <w:szCs w:val="18"/>
              </w:rPr>
              <w:t>20.04</w:t>
            </w:r>
          </w:p>
        </w:tc>
        <w:tc>
          <w:tcPr>
            <w:tcW w:w="990" w:type="dxa"/>
          </w:tcPr>
          <w:p w:rsidR="00C50D03" w:rsidRPr="00CE6517" w:rsidP="0026017C" w14:paraId="5394B7BF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$14,</w:t>
            </w:r>
            <w:r w:rsidRPr="03F1FA66">
              <w:rPr>
                <w:rFonts w:ascii="Arial Narrow" w:hAnsi="Arial Narrow" w:cs="Arial"/>
                <w:sz w:val="18"/>
                <w:szCs w:val="18"/>
              </w:rPr>
              <w:t>429</w:t>
            </w:r>
          </w:p>
        </w:tc>
      </w:tr>
      <w:tr w14:paraId="2D35D57F" w14:textId="77777777" w:rsidTr="00B476AE">
        <w:tblPrEx>
          <w:tblW w:w="9810" w:type="dxa"/>
          <w:jc w:val="center"/>
          <w:tblLook w:val="04A0"/>
        </w:tblPrEx>
        <w:trPr>
          <w:trHeight w:val="300"/>
          <w:jc w:val="center"/>
        </w:trPr>
        <w:tc>
          <w:tcPr>
            <w:tcW w:w="1980" w:type="dxa"/>
          </w:tcPr>
          <w:p w:rsidR="00C50D03" w:rsidRPr="00CE6517" w:rsidP="0026017C" w14:paraId="156581F6" w14:textId="77777777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Verification Calls</w:t>
            </w:r>
          </w:p>
        </w:tc>
        <w:tc>
          <w:tcPr>
            <w:tcW w:w="1260" w:type="dxa"/>
          </w:tcPr>
          <w:p w:rsidR="00C50D03" w:rsidRPr="00CE6517" w:rsidP="0026017C" w14:paraId="72376E5D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292</w:t>
            </w:r>
          </w:p>
        </w:tc>
        <w:tc>
          <w:tcPr>
            <w:tcW w:w="1350" w:type="dxa"/>
          </w:tcPr>
          <w:p w:rsidR="00C50D03" w:rsidRPr="00CE6517" w:rsidP="0026017C" w14:paraId="5391E83C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:rsidR="00C50D03" w:rsidRPr="00CE6517" w:rsidP="0026017C" w14:paraId="1F8728C8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292</w:t>
            </w:r>
          </w:p>
        </w:tc>
        <w:tc>
          <w:tcPr>
            <w:tcW w:w="1080" w:type="dxa"/>
          </w:tcPr>
          <w:p w:rsidR="00C50D03" w:rsidRPr="00CE6517" w:rsidP="0026017C" w14:paraId="1F34321C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0.083</w:t>
            </w:r>
          </w:p>
        </w:tc>
        <w:tc>
          <w:tcPr>
            <w:tcW w:w="1080" w:type="dxa"/>
          </w:tcPr>
          <w:p w:rsidR="00C50D03" w:rsidRPr="00CE6517" w:rsidP="0026017C" w14:paraId="30733184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</w:tcPr>
          <w:p w:rsidR="00C50D03" w:rsidRPr="00CE6517" w:rsidP="0026017C" w14:paraId="4E3F6A85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$</w:t>
            </w:r>
            <w:r>
              <w:rPr>
                <w:rFonts w:ascii="Arial Narrow" w:hAnsi="Arial Narrow" w:cs="Arial"/>
                <w:sz w:val="18"/>
                <w:szCs w:val="18"/>
              </w:rPr>
              <w:t>20.04</w:t>
            </w:r>
          </w:p>
        </w:tc>
        <w:tc>
          <w:tcPr>
            <w:tcW w:w="990" w:type="dxa"/>
          </w:tcPr>
          <w:p w:rsidR="00C50D03" w:rsidRPr="00CE6517" w:rsidP="0026017C" w14:paraId="71E65AC9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$481</w:t>
            </w:r>
          </w:p>
        </w:tc>
      </w:tr>
      <w:tr w14:paraId="4AC2DC9B" w14:textId="77777777" w:rsidTr="00B476AE">
        <w:tblPrEx>
          <w:tblW w:w="9810" w:type="dxa"/>
          <w:jc w:val="center"/>
          <w:tblLook w:val="04A0"/>
        </w:tblPrEx>
        <w:trPr>
          <w:trHeight w:val="300"/>
          <w:jc w:val="center"/>
        </w:trPr>
        <w:tc>
          <w:tcPr>
            <w:tcW w:w="1980" w:type="dxa"/>
          </w:tcPr>
          <w:p w:rsidR="00C50D03" w:rsidRPr="00CE6517" w:rsidP="0026017C" w14:paraId="054C2203" w14:textId="77777777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E6517">
              <w:rPr>
                <w:rFonts w:ascii="Arial Narrow" w:hAnsi="Arial Narrow" w:cs="Arial"/>
                <w:sz w:val="18"/>
                <w:szCs w:val="18"/>
              </w:rPr>
              <w:t>Total</w:t>
            </w:r>
          </w:p>
        </w:tc>
        <w:tc>
          <w:tcPr>
            <w:tcW w:w="1260" w:type="dxa"/>
          </w:tcPr>
          <w:p w:rsidR="00C50D03" w:rsidRPr="004645C6" w:rsidP="0026017C" w14:paraId="54C17B65" w14:textId="62F153B2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645C6">
              <w:rPr>
                <w:rFonts w:ascii="Arial Narrow" w:hAnsi="Arial Narrow" w:cs="Arial"/>
                <w:b/>
                <w:bCs/>
                <w:sz w:val="18"/>
                <w:szCs w:val="18"/>
              </w:rPr>
              <w:t>6,214*</w:t>
            </w:r>
          </w:p>
        </w:tc>
        <w:tc>
          <w:tcPr>
            <w:tcW w:w="1350" w:type="dxa"/>
          </w:tcPr>
          <w:p w:rsidR="00C50D03" w:rsidRPr="00CE6517" w:rsidP="0026017C" w14:paraId="1DA7B546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C50D03" w:rsidRPr="004645C6" w:rsidP="0026017C" w14:paraId="45E20144" w14:textId="246A75E2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645C6">
              <w:rPr>
                <w:rFonts w:ascii="Arial Narrow" w:hAnsi="Arial Narrow" w:cs="Arial"/>
                <w:b/>
                <w:bCs/>
                <w:sz w:val="18"/>
                <w:szCs w:val="18"/>
              </w:rPr>
              <w:t>9,</w:t>
            </w:r>
            <w:r w:rsidR="003D471D">
              <w:rPr>
                <w:rFonts w:ascii="Arial Narrow" w:hAnsi="Arial Narrow" w:cs="Arial"/>
                <w:b/>
                <w:bCs/>
                <w:sz w:val="18"/>
                <w:szCs w:val="18"/>
              </w:rPr>
              <w:t>1</w:t>
            </w:r>
            <w:r w:rsidRPr="004645C6" w:rsidR="004645C6">
              <w:rPr>
                <w:rFonts w:ascii="Arial Narrow" w:hAnsi="Arial Narrow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080" w:type="dxa"/>
          </w:tcPr>
          <w:p w:rsidR="00C50D03" w:rsidRPr="00CE6517" w:rsidP="0026017C" w14:paraId="0A576872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D03" w:rsidRPr="004645C6" w:rsidP="0026017C" w14:paraId="564E8F9D" w14:textId="23392666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645C6">
              <w:rPr>
                <w:rFonts w:ascii="Arial Narrow" w:hAnsi="Arial Narrow" w:cs="Arial"/>
                <w:b/>
                <w:bCs/>
                <w:sz w:val="18"/>
                <w:szCs w:val="18"/>
              </w:rPr>
              <w:t>2,</w:t>
            </w:r>
            <w:r w:rsidRPr="004645C6" w:rsidR="003D471D">
              <w:rPr>
                <w:rFonts w:ascii="Arial Narrow" w:hAnsi="Arial Narrow" w:cs="Arial"/>
                <w:b/>
                <w:bCs/>
                <w:sz w:val="18"/>
                <w:szCs w:val="18"/>
              </w:rPr>
              <w:t>6</w:t>
            </w:r>
            <w:r w:rsidR="003D471D">
              <w:rPr>
                <w:rFonts w:ascii="Arial Narrow" w:hAnsi="Arial Narrow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900" w:type="dxa"/>
          </w:tcPr>
          <w:p w:rsidR="00C50D03" w:rsidRPr="00CE6517" w:rsidP="0026017C" w14:paraId="1EE86EB3" w14:textId="7777777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C50D03" w:rsidRPr="004645C6" w:rsidP="0026017C" w14:paraId="1891C654" w14:textId="6282D73B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645C6">
              <w:rPr>
                <w:rFonts w:ascii="Arial Narrow" w:hAnsi="Arial Narrow" w:cs="Arial"/>
                <w:b/>
                <w:bCs/>
                <w:sz w:val="18"/>
                <w:szCs w:val="18"/>
              </w:rPr>
              <w:t>$37,</w:t>
            </w:r>
            <w:r w:rsidR="003D471D">
              <w:rPr>
                <w:rFonts w:ascii="Arial Narrow" w:hAnsi="Arial Narrow" w:cs="Arial"/>
                <w:b/>
                <w:bCs/>
                <w:sz w:val="18"/>
                <w:szCs w:val="18"/>
              </w:rPr>
              <w:t>678</w:t>
            </w:r>
          </w:p>
          <w:p w:rsidR="00C50D03" w:rsidRPr="00CE6517" w:rsidP="0026017C" w14:paraId="55EB9BBF" w14:textId="0EB21847">
            <w:pPr>
              <w:spacing w:line="276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C50D03" w:rsidP="00C50D03" w14:paraId="30960791" w14:textId="77777777">
      <w:pPr>
        <w:rPr>
          <w:rFonts w:ascii="Arial" w:hAnsi="Arial" w:cs="Arial"/>
          <w:sz w:val="22"/>
          <w:szCs w:val="22"/>
          <w:highlight w:val="yellow"/>
        </w:rPr>
      </w:pPr>
      <w:r w:rsidRPr="00A4386C">
        <w:rPr>
          <w:rFonts w:ascii="Arial" w:hAnsi="Arial" w:cs="Arial"/>
          <w:sz w:val="22"/>
          <w:szCs w:val="22"/>
        </w:rPr>
        <w:t>*</w:t>
      </w:r>
      <w:r w:rsidRPr="003F2654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Household Screener, Y</w:t>
      </w:r>
      <w:r w:rsidRPr="004C2CE5">
        <w:rPr>
          <w:rFonts w:ascii="Arial Narrow" w:hAnsi="Arial Narrow" w:cs="Arial"/>
          <w:sz w:val="18"/>
          <w:szCs w:val="18"/>
        </w:rPr>
        <w:t xml:space="preserve">outh </w:t>
      </w:r>
      <w:r>
        <w:rPr>
          <w:rFonts w:ascii="Arial Narrow" w:hAnsi="Arial Narrow" w:cs="Arial"/>
          <w:sz w:val="18"/>
          <w:szCs w:val="18"/>
        </w:rPr>
        <w:t>I</w:t>
      </w:r>
      <w:r w:rsidRPr="004C2CE5">
        <w:rPr>
          <w:rFonts w:ascii="Arial Narrow" w:hAnsi="Arial Narrow" w:cs="Arial"/>
          <w:sz w:val="18"/>
          <w:szCs w:val="18"/>
        </w:rPr>
        <w:t xml:space="preserve">nterview, </w:t>
      </w:r>
      <w:r>
        <w:rPr>
          <w:rFonts w:ascii="Arial Narrow" w:hAnsi="Arial Narrow" w:cs="Arial"/>
          <w:sz w:val="18"/>
          <w:szCs w:val="18"/>
        </w:rPr>
        <w:t>P</w:t>
      </w:r>
      <w:r w:rsidRPr="004C2CE5">
        <w:rPr>
          <w:rFonts w:ascii="Arial Narrow" w:hAnsi="Arial Narrow" w:cs="Arial"/>
          <w:sz w:val="18"/>
          <w:szCs w:val="18"/>
        </w:rPr>
        <w:t>arent/</w:t>
      </w:r>
      <w:r>
        <w:rPr>
          <w:rFonts w:ascii="Arial Narrow" w:hAnsi="Arial Narrow" w:cs="Arial"/>
          <w:sz w:val="18"/>
          <w:szCs w:val="18"/>
        </w:rPr>
        <w:t>Ca</w:t>
      </w:r>
      <w:r w:rsidRPr="004C2CE5">
        <w:rPr>
          <w:rFonts w:ascii="Arial Narrow" w:hAnsi="Arial Narrow" w:cs="Arial"/>
          <w:sz w:val="18"/>
          <w:szCs w:val="18"/>
        </w:rPr>
        <w:t xml:space="preserve">regiver </w:t>
      </w:r>
      <w:r>
        <w:rPr>
          <w:rFonts w:ascii="Arial Narrow" w:hAnsi="Arial Narrow" w:cs="Arial"/>
          <w:sz w:val="18"/>
          <w:szCs w:val="18"/>
        </w:rPr>
        <w:t>S</w:t>
      </w:r>
      <w:r w:rsidRPr="004C2CE5">
        <w:rPr>
          <w:rFonts w:ascii="Arial Narrow" w:hAnsi="Arial Narrow" w:cs="Arial"/>
          <w:sz w:val="18"/>
          <w:szCs w:val="18"/>
        </w:rPr>
        <w:t xml:space="preserve">urvey, </w:t>
      </w:r>
      <w:r>
        <w:rPr>
          <w:rFonts w:ascii="Arial Narrow" w:hAnsi="Arial Narrow" w:cs="Arial"/>
          <w:sz w:val="18"/>
          <w:szCs w:val="18"/>
        </w:rPr>
        <w:t>V</w:t>
      </w:r>
      <w:r w:rsidRPr="004C2CE5">
        <w:rPr>
          <w:rFonts w:ascii="Arial Narrow" w:hAnsi="Arial Narrow" w:cs="Arial"/>
          <w:sz w:val="18"/>
          <w:szCs w:val="18"/>
        </w:rPr>
        <w:t xml:space="preserve">erification </w:t>
      </w:r>
      <w:r>
        <w:rPr>
          <w:rFonts w:ascii="Arial Narrow" w:hAnsi="Arial Narrow" w:cs="Arial"/>
          <w:sz w:val="18"/>
          <w:szCs w:val="18"/>
        </w:rPr>
        <w:t>C</w:t>
      </w:r>
      <w:r w:rsidRPr="004C2CE5">
        <w:rPr>
          <w:rFonts w:ascii="Arial Narrow" w:hAnsi="Arial Narrow" w:cs="Arial"/>
          <w:sz w:val="18"/>
          <w:szCs w:val="18"/>
        </w:rPr>
        <w:t>alls are a subset of those screened for eligibility</w:t>
      </w:r>
      <w:r>
        <w:rPr>
          <w:rFonts w:ascii="Arial Narrow" w:hAnsi="Arial Narrow" w:cs="Arial"/>
          <w:sz w:val="18"/>
          <w:szCs w:val="18"/>
        </w:rPr>
        <w:t>.</w:t>
      </w:r>
    </w:p>
    <w:p w:rsidR="00C50D03" w:rsidP="00B36CC8" w14:paraId="5F1C8A99" w14:textId="77777777">
      <w:pPr>
        <w:spacing w:line="259" w:lineRule="auto"/>
      </w:pPr>
    </w:p>
    <w:p w:rsidR="004525E8" w:rsidP="00B36CC8" w14:paraId="1BB4E266" w14:textId="77777777">
      <w:pPr>
        <w:spacing w:line="259" w:lineRule="auto"/>
      </w:pPr>
    </w:p>
    <w:p w:rsidR="004940A8" w:rsidRPr="004940A8" w:rsidP="004940A8" w14:paraId="34F6CC63" w14:textId="00BB5E06">
      <w:pPr>
        <w:rPr>
          <w:szCs w:val="20"/>
        </w:rPr>
      </w:pPr>
      <w:r w:rsidRPr="004940A8">
        <w:rPr>
          <w:szCs w:val="20"/>
        </w:rPr>
        <w:t xml:space="preserve">Current OMB approval is scheduled to expire on </w:t>
      </w:r>
      <w:r>
        <w:rPr>
          <w:szCs w:val="20"/>
        </w:rPr>
        <w:t>March 31, 2029</w:t>
      </w:r>
      <w:r w:rsidRPr="004940A8">
        <w:rPr>
          <w:szCs w:val="20"/>
        </w:rPr>
        <w:t xml:space="preserve">.  </w:t>
      </w:r>
      <w:r>
        <w:rPr>
          <w:szCs w:val="20"/>
        </w:rPr>
        <w:t>T</w:t>
      </w:r>
      <w:r w:rsidRPr="004940A8">
        <w:rPr>
          <w:szCs w:val="20"/>
        </w:rPr>
        <w:t xml:space="preserve">here is </w:t>
      </w:r>
      <w:r w:rsidR="00461710">
        <w:rPr>
          <w:szCs w:val="20"/>
        </w:rPr>
        <w:t>estimated to be a slight decrease</w:t>
      </w:r>
      <w:r w:rsidRPr="004940A8">
        <w:rPr>
          <w:szCs w:val="20"/>
        </w:rPr>
        <w:t xml:space="preserve"> in burden </w:t>
      </w:r>
      <w:r w:rsidR="00BC3826">
        <w:rPr>
          <w:szCs w:val="20"/>
        </w:rPr>
        <w:t xml:space="preserve">from </w:t>
      </w:r>
      <w:r w:rsidRPr="004940A8">
        <w:rPr>
          <w:szCs w:val="20"/>
        </w:rPr>
        <w:t>this request</w:t>
      </w:r>
      <w:r w:rsidR="002818EB">
        <w:rPr>
          <w:szCs w:val="20"/>
        </w:rPr>
        <w:t xml:space="preserve"> from 2,651 burden hours to 2</w:t>
      </w:r>
      <w:r w:rsidR="00841E04">
        <w:rPr>
          <w:szCs w:val="20"/>
        </w:rPr>
        <w:t>,</w:t>
      </w:r>
      <w:r w:rsidR="002818EB">
        <w:rPr>
          <w:szCs w:val="20"/>
        </w:rPr>
        <w:t>646 burden hours</w:t>
      </w:r>
      <w:r w:rsidR="00841E04">
        <w:rPr>
          <w:szCs w:val="20"/>
        </w:rPr>
        <w:t xml:space="preserve"> due to the</w:t>
      </w:r>
      <w:r w:rsidRPr="00841E04" w:rsidR="00841E04">
        <w:t xml:space="preserve"> </w:t>
      </w:r>
      <w:r w:rsidRPr="00841E04" w:rsidR="00841E04">
        <w:rPr>
          <w:szCs w:val="20"/>
        </w:rPr>
        <w:t>revised estimated number of households with age-eligible youth from 20% to 18% and adjusted the rate at which eligible youth will be selected for interview from 73.5% to 80%</w:t>
      </w:r>
      <w:r w:rsidRPr="004940A8">
        <w:rPr>
          <w:szCs w:val="20"/>
        </w:rPr>
        <w:t>.</w:t>
      </w:r>
    </w:p>
    <w:p w:rsidR="004940A8" w:rsidRPr="004940A8" w:rsidP="004940A8" w14:paraId="7B0BAF1A" w14:textId="77777777">
      <w:pPr>
        <w:rPr>
          <w:szCs w:val="20"/>
        </w:rPr>
      </w:pPr>
    </w:p>
    <w:p w:rsidR="004940A8" w:rsidRPr="004940A8" w:rsidP="004940A8" w14:paraId="0A49810B" w14:textId="356E357D">
      <w:pPr>
        <w:rPr>
          <w:szCs w:val="20"/>
        </w:rPr>
      </w:pPr>
      <w:r w:rsidRPr="004940A8">
        <w:rPr>
          <w:szCs w:val="20"/>
        </w:rPr>
        <w:t xml:space="preserve">If you have any questions about this request, please contact </w:t>
      </w:r>
      <w:r>
        <w:rPr>
          <w:szCs w:val="20"/>
        </w:rPr>
        <w:t xml:space="preserve">Keenan Dworak-Fisher </w:t>
      </w:r>
      <w:r w:rsidRPr="004940A8">
        <w:rPr>
          <w:szCs w:val="20"/>
        </w:rPr>
        <w:t xml:space="preserve">by e-mail at </w:t>
      </w:r>
      <w:r>
        <w:rPr>
          <w:szCs w:val="20"/>
        </w:rPr>
        <w:t>Dworak-Fisher.Keenan</w:t>
      </w:r>
      <w:r w:rsidRPr="004940A8">
        <w:rPr>
          <w:szCs w:val="20"/>
        </w:rPr>
        <w:t>@bls.gov.</w:t>
      </w:r>
    </w:p>
    <w:p w:rsidR="004940A8" w:rsidRPr="00C753B5" w:rsidP="00B36CC8" w14:paraId="312E6C90" w14:textId="77777777">
      <w:pPr>
        <w:spacing w:line="259" w:lineRule="auto"/>
      </w:pPr>
    </w:p>
    <w:sectPr w:rsidSect="007B5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D14260"/>
    <w:multiLevelType w:val="hybridMultilevel"/>
    <w:tmpl w:val="554A7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C63B2"/>
    <w:multiLevelType w:val="hybridMultilevel"/>
    <w:tmpl w:val="E582682A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ourier New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B0B07"/>
    <w:multiLevelType w:val="hybridMultilevel"/>
    <w:tmpl w:val="DA7433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0878C4"/>
    <w:multiLevelType w:val="hybridMultilevel"/>
    <w:tmpl w:val="86E0BF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2603F1"/>
    <w:multiLevelType w:val="hybridMultilevel"/>
    <w:tmpl w:val="F2DC77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444AE9"/>
    <w:multiLevelType w:val="hybridMultilevel"/>
    <w:tmpl w:val="166C9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40413">
    <w:abstractNumId w:val="1"/>
  </w:num>
  <w:num w:numId="2" w16cid:durableId="1897550110">
    <w:abstractNumId w:val="0"/>
  </w:num>
  <w:num w:numId="3" w16cid:durableId="120079638">
    <w:abstractNumId w:val="3"/>
  </w:num>
  <w:num w:numId="4" w16cid:durableId="1809546742">
    <w:abstractNumId w:val="2"/>
  </w:num>
  <w:num w:numId="5" w16cid:durableId="1276059722">
    <w:abstractNumId w:val="4"/>
  </w:num>
  <w:num w:numId="6" w16cid:durableId="610094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96"/>
    <w:rsid w:val="00004A3A"/>
    <w:rsid w:val="00005C16"/>
    <w:rsid w:val="00016A1B"/>
    <w:rsid w:val="0002016D"/>
    <w:rsid w:val="000212D6"/>
    <w:rsid w:val="00031715"/>
    <w:rsid w:val="0003288C"/>
    <w:rsid w:val="00032ADA"/>
    <w:rsid w:val="00040CCE"/>
    <w:rsid w:val="00043438"/>
    <w:rsid w:val="00043440"/>
    <w:rsid w:val="00044B60"/>
    <w:rsid w:val="000604C8"/>
    <w:rsid w:val="0006325E"/>
    <w:rsid w:val="00065BF0"/>
    <w:rsid w:val="00071296"/>
    <w:rsid w:val="00075025"/>
    <w:rsid w:val="00075A8E"/>
    <w:rsid w:val="00076E16"/>
    <w:rsid w:val="0009399E"/>
    <w:rsid w:val="00094F0E"/>
    <w:rsid w:val="00097897"/>
    <w:rsid w:val="00097D7B"/>
    <w:rsid w:val="000A736C"/>
    <w:rsid w:val="000C6321"/>
    <w:rsid w:val="000C67B6"/>
    <w:rsid w:val="000D1DF7"/>
    <w:rsid w:val="000D2742"/>
    <w:rsid w:val="000D5523"/>
    <w:rsid w:val="000E0B1C"/>
    <w:rsid w:val="000F0D80"/>
    <w:rsid w:val="000F22A1"/>
    <w:rsid w:val="00107E37"/>
    <w:rsid w:val="0011051E"/>
    <w:rsid w:val="00110E40"/>
    <w:rsid w:val="001164F1"/>
    <w:rsid w:val="001167E2"/>
    <w:rsid w:val="00132489"/>
    <w:rsid w:val="00156117"/>
    <w:rsid w:val="00160647"/>
    <w:rsid w:val="00162143"/>
    <w:rsid w:val="001641D1"/>
    <w:rsid w:val="001651AE"/>
    <w:rsid w:val="00194649"/>
    <w:rsid w:val="001A51D4"/>
    <w:rsid w:val="001A7158"/>
    <w:rsid w:val="001B019A"/>
    <w:rsid w:val="001B0946"/>
    <w:rsid w:val="001B5D74"/>
    <w:rsid w:val="001C67C3"/>
    <w:rsid w:val="001D03B2"/>
    <w:rsid w:val="001D127E"/>
    <w:rsid w:val="001D45CE"/>
    <w:rsid w:val="001F1E9D"/>
    <w:rsid w:val="001F45AE"/>
    <w:rsid w:val="002056F4"/>
    <w:rsid w:val="00205750"/>
    <w:rsid w:val="0022647C"/>
    <w:rsid w:val="002274C3"/>
    <w:rsid w:val="00234B01"/>
    <w:rsid w:val="002368E3"/>
    <w:rsid w:val="00256EBE"/>
    <w:rsid w:val="002575A8"/>
    <w:rsid w:val="002600AD"/>
    <w:rsid w:val="0026017C"/>
    <w:rsid w:val="00270E83"/>
    <w:rsid w:val="00275193"/>
    <w:rsid w:val="00275489"/>
    <w:rsid w:val="002815AA"/>
    <w:rsid w:val="002818EB"/>
    <w:rsid w:val="00291CC6"/>
    <w:rsid w:val="002A25D1"/>
    <w:rsid w:val="002A37FC"/>
    <w:rsid w:val="002A76A0"/>
    <w:rsid w:val="002C5B62"/>
    <w:rsid w:val="002D3DA2"/>
    <w:rsid w:val="002D477E"/>
    <w:rsid w:val="002E2BCF"/>
    <w:rsid w:val="002E2F9D"/>
    <w:rsid w:val="002E68C4"/>
    <w:rsid w:val="002F650D"/>
    <w:rsid w:val="00304686"/>
    <w:rsid w:val="00313C08"/>
    <w:rsid w:val="0032489B"/>
    <w:rsid w:val="0032738E"/>
    <w:rsid w:val="00336705"/>
    <w:rsid w:val="003411BA"/>
    <w:rsid w:val="00343B04"/>
    <w:rsid w:val="00366B75"/>
    <w:rsid w:val="00380D7A"/>
    <w:rsid w:val="00382793"/>
    <w:rsid w:val="0038596C"/>
    <w:rsid w:val="003916B8"/>
    <w:rsid w:val="0039379D"/>
    <w:rsid w:val="003962A4"/>
    <w:rsid w:val="003973F9"/>
    <w:rsid w:val="003A3AC1"/>
    <w:rsid w:val="003C15D5"/>
    <w:rsid w:val="003D471D"/>
    <w:rsid w:val="003E1816"/>
    <w:rsid w:val="003F2654"/>
    <w:rsid w:val="003F640C"/>
    <w:rsid w:val="004071A0"/>
    <w:rsid w:val="00413C30"/>
    <w:rsid w:val="004347F1"/>
    <w:rsid w:val="004457B9"/>
    <w:rsid w:val="00447EAA"/>
    <w:rsid w:val="00450C63"/>
    <w:rsid w:val="004525E8"/>
    <w:rsid w:val="00461710"/>
    <w:rsid w:val="004645C6"/>
    <w:rsid w:val="0048043A"/>
    <w:rsid w:val="004829F2"/>
    <w:rsid w:val="004940A8"/>
    <w:rsid w:val="004A079B"/>
    <w:rsid w:val="004B0832"/>
    <w:rsid w:val="004B6492"/>
    <w:rsid w:val="004C25D0"/>
    <w:rsid w:val="004C2CE5"/>
    <w:rsid w:val="004C494F"/>
    <w:rsid w:val="004D1472"/>
    <w:rsid w:val="004E2F70"/>
    <w:rsid w:val="004E49F6"/>
    <w:rsid w:val="004E7F31"/>
    <w:rsid w:val="004F031C"/>
    <w:rsid w:val="004F605A"/>
    <w:rsid w:val="005008BC"/>
    <w:rsid w:val="00501ED5"/>
    <w:rsid w:val="0050402E"/>
    <w:rsid w:val="005044F0"/>
    <w:rsid w:val="00510A07"/>
    <w:rsid w:val="00510DB0"/>
    <w:rsid w:val="005168B2"/>
    <w:rsid w:val="00553614"/>
    <w:rsid w:val="005661FD"/>
    <w:rsid w:val="00576174"/>
    <w:rsid w:val="005836A7"/>
    <w:rsid w:val="00585E7B"/>
    <w:rsid w:val="00586A33"/>
    <w:rsid w:val="005920FE"/>
    <w:rsid w:val="00597F17"/>
    <w:rsid w:val="005A0284"/>
    <w:rsid w:val="005B43C6"/>
    <w:rsid w:val="005D2B2E"/>
    <w:rsid w:val="005D61BC"/>
    <w:rsid w:val="005E02C0"/>
    <w:rsid w:val="005E7689"/>
    <w:rsid w:val="005F3EFF"/>
    <w:rsid w:val="005F4B7E"/>
    <w:rsid w:val="005F4F9E"/>
    <w:rsid w:val="00602015"/>
    <w:rsid w:val="00602354"/>
    <w:rsid w:val="00611844"/>
    <w:rsid w:val="006131EE"/>
    <w:rsid w:val="006200B9"/>
    <w:rsid w:val="006207DC"/>
    <w:rsid w:val="00646787"/>
    <w:rsid w:val="00656188"/>
    <w:rsid w:val="006612B8"/>
    <w:rsid w:val="00666470"/>
    <w:rsid w:val="0066749D"/>
    <w:rsid w:val="006841B6"/>
    <w:rsid w:val="00690BB3"/>
    <w:rsid w:val="006915EB"/>
    <w:rsid w:val="006925BE"/>
    <w:rsid w:val="006A4842"/>
    <w:rsid w:val="006A5B4A"/>
    <w:rsid w:val="006B5062"/>
    <w:rsid w:val="006B5C0A"/>
    <w:rsid w:val="006D4A40"/>
    <w:rsid w:val="006D59BD"/>
    <w:rsid w:val="006D6291"/>
    <w:rsid w:val="006E3EC1"/>
    <w:rsid w:val="006E77EB"/>
    <w:rsid w:val="006F7ADB"/>
    <w:rsid w:val="00700B9A"/>
    <w:rsid w:val="007053F7"/>
    <w:rsid w:val="00707C83"/>
    <w:rsid w:val="00710E98"/>
    <w:rsid w:val="00711195"/>
    <w:rsid w:val="00714BB9"/>
    <w:rsid w:val="007159BE"/>
    <w:rsid w:val="00723D39"/>
    <w:rsid w:val="0073136C"/>
    <w:rsid w:val="00743079"/>
    <w:rsid w:val="0074606E"/>
    <w:rsid w:val="007477F6"/>
    <w:rsid w:val="007506B1"/>
    <w:rsid w:val="00755120"/>
    <w:rsid w:val="00766B19"/>
    <w:rsid w:val="007878CD"/>
    <w:rsid w:val="0079207D"/>
    <w:rsid w:val="007A47D6"/>
    <w:rsid w:val="007B03AC"/>
    <w:rsid w:val="007B2D94"/>
    <w:rsid w:val="007B5074"/>
    <w:rsid w:val="007B76ED"/>
    <w:rsid w:val="007C1410"/>
    <w:rsid w:val="007C2954"/>
    <w:rsid w:val="007F5A44"/>
    <w:rsid w:val="007F6B21"/>
    <w:rsid w:val="00801854"/>
    <w:rsid w:val="008036A5"/>
    <w:rsid w:val="00807396"/>
    <w:rsid w:val="00816827"/>
    <w:rsid w:val="00820B37"/>
    <w:rsid w:val="008304E3"/>
    <w:rsid w:val="00841E04"/>
    <w:rsid w:val="00843F5F"/>
    <w:rsid w:val="008469D1"/>
    <w:rsid w:val="0085132E"/>
    <w:rsid w:val="00852952"/>
    <w:rsid w:val="0085445B"/>
    <w:rsid w:val="008570E4"/>
    <w:rsid w:val="00870167"/>
    <w:rsid w:val="008702C6"/>
    <w:rsid w:val="00883611"/>
    <w:rsid w:val="008868E3"/>
    <w:rsid w:val="008A087E"/>
    <w:rsid w:val="008A0D8F"/>
    <w:rsid w:val="008A5F91"/>
    <w:rsid w:val="008B644C"/>
    <w:rsid w:val="008C1D1B"/>
    <w:rsid w:val="008C3E0F"/>
    <w:rsid w:val="008D2127"/>
    <w:rsid w:val="008D4A0B"/>
    <w:rsid w:val="008D5624"/>
    <w:rsid w:val="008D62D4"/>
    <w:rsid w:val="008E22D8"/>
    <w:rsid w:val="008E3AE8"/>
    <w:rsid w:val="008E5010"/>
    <w:rsid w:val="008F0045"/>
    <w:rsid w:val="00902861"/>
    <w:rsid w:val="00906449"/>
    <w:rsid w:val="009069F4"/>
    <w:rsid w:val="009218E6"/>
    <w:rsid w:val="009342F1"/>
    <w:rsid w:val="009443B3"/>
    <w:rsid w:val="00973298"/>
    <w:rsid w:val="00993A41"/>
    <w:rsid w:val="00993B8B"/>
    <w:rsid w:val="009966B7"/>
    <w:rsid w:val="009A3E75"/>
    <w:rsid w:val="009A69BE"/>
    <w:rsid w:val="009B29E7"/>
    <w:rsid w:val="009C58A2"/>
    <w:rsid w:val="009D1D90"/>
    <w:rsid w:val="009D4862"/>
    <w:rsid w:val="009D6209"/>
    <w:rsid w:val="009E0847"/>
    <w:rsid w:val="009E1E9D"/>
    <w:rsid w:val="009E28A8"/>
    <w:rsid w:val="009E432E"/>
    <w:rsid w:val="009E6159"/>
    <w:rsid w:val="009F24E6"/>
    <w:rsid w:val="00A14990"/>
    <w:rsid w:val="00A3099B"/>
    <w:rsid w:val="00A4386C"/>
    <w:rsid w:val="00A516DB"/>
    <w:rsid w:val="00A560E5"/>
    <w:rsid w:val="00A605A8"/>
    <w:rsid w:val="00A62CD8"/>
    <w:rsid w:val="00A63CF3"/>
    <w:rsid w:val="00A66A79"/>
    <w:rsid w:val="00A76773"/>
    <w:rsid w:val="00A82D23"/>
    <w:rsid w:val="00A87D10"/>
    <w:rsid w:val="00A951E4"/>
    <w:rsid w:val="00AA0209"/>
    <w:rsid w:val="00AB565D"/>
    <w:rsid w:val="00AC7603"/>
    <w:rsid w:val="00AD6E8E"/>
    <w:rsid w:val="00AE0AE7"/>
    <w:rsid w:val="00AE0BDB"/>
    <w:rsid w:val="00AE3796"/>
    <w:rsid w:val="00AF63DB"/>
    <w:rsid w:val="00B055E4"/>
    <w:rsid w:val="00B21FE4"/>
    <w:rsid w:val="00B257E1"/>
    <w:rsid w:val="00B34213"/>
    <w:rsid w:val="00B36CC8"/>
    <w:rsid w:val="00B41888"/>
    <w:rsid w:val="00B41FFB"/>
    <w:rsid w:val="00B44819"/>
    <w:rsid w:val="00B476AE"/>
    <w:rsid w:val="00B53DC1"/>
    <w:rsid w:val="00B61150"/>
    <w:rsid w:val="00B66501"/>
    <w:rsid w:val="00B709F6"/>
    <w:rsid w:val="00B717C8"/>
    <w:rsid w:val="00B73A75"/>
    <w:rsid w:val="00B9061F"/>
    <w:rsid w:val="00B939F6"/>
    <w:rsid w:val="00BA2780"/>
    <w:rsid w:val="00BA2C18"/>
    <w:rsid w:val="00BA5546"/>
    <w:rsid w:val="00BA7AB6"/>
    <w:rsid w:val="00BB06B6"/>
    <w:rsid w:val="00BB3845"/>
    <w:rsid w:val="00BB399B"/>
    <w:rsid w:val="00BC0944"/>
    <w:rsid w:val="00BC3826"/>
    <w:rsid w:val="00BC7A0B"/>
    <w:rsid w:val="00BD36CB"/>
    <w:rsid w:val="00BD59A4"/>
    <w:rsid w:val="00BD72B5"/>
    <w:rsid w:val="00BE54AF"/>
    <w:rsid w:val="00BF7264"/>
    <w:rsid w:val="00C02CEE"/>
    <w:rsid w:val="00C04A21"/>
    <w:rsid w:val="00C076CC"/>
    <w:rsid w:val="00C138EC"/>
    <w:rsid w:val="00C50D03"/>
    <w:rsid w:val="00C753B5"/>
    <w:rsid w:val="00C76F33"/>
    <w:rsid w:val="00C77570"/>
    <w:rsid w:val="00C93C44"/>
    <w:rsid w:val="00CA43FE"/>
    <w:rsid w:val="00CA55FF"/>
    <w:rsid w:val="00CA70BF"/>
    <w:rsid w:val="00CB6419"/>
    <w:rsid w:val="00CB65B6"/>
    <w:rsid w:val="00CB6BE8"/>
    <w:rsid w:val="00CC4ECA"/>
    <w:rsid w:val="00CD22D1"/>
    <w:rsid w:val="00CE11B2"/>
    <w:rsid w:val="00CE6517"/>
    <w:rsid w:val="00D0005E"/>
    <w:rsid w:val="00D043B6"/>
    <w:rsid w:val="00D261B4"/>
    <w:rsid w:val="00D26505"/>
    <w:rsid w:val="00D33A14"/>
    <w:rsid w:val="00D357BF"/>
    <w:rsid w:val="00D3739B"/>
    <w:rsid w:val="00D44213"/>
    <w:rsid w:val="00D4446A"/>
    <w:rsid w:val="00D45D64"/>
    <w:rsid w:val="00D479B1"/>
    <w:rsid w:val="00D807B1"/>
    <w:rsid w:val="00D91EE6"/>
    <w:rsid w:val="00D957F3"/>
    <w:rsid w:val="00D965FE"/>
    <w:rsid w:val="00DA235D"/>
    <w:rsid w:val="00DB3BEA"/>
    <w:rsid w:val="00DC7823"/>
    <w:rsid w:val="00DD6115"/>
    <w:rsid w:val="00DF08B9"/>
    <w:rsid w:val="00DF22C4"/>
    <w:rsid w:val="00DF3671"/>
    <w:rsid w:val="00DF7316"/>
    <w:rsid w:val="00E00C93"/>
    <w:rsid w:val="00E164D3"/>
    <w:rsid w:val="00E23EA4"/>
    <w:rsid w:val="00E42ABF"/>
    <w:rsid w:val="00E4475E"/>
    <w:rsid w:val="00E478D1"/>
    <w:rsid w:val="00E500E4"/>
    <w:rsid w:val="00E60D8D"/>
    <w:rsid w:val="00E645B9"/>
    <w:rsid w:val="00E76214"/>
    <w:rsid w:val="00E772F0"/>
    <w:rsid w:val="00E778A6"/>
    <w:rsid w:val="00E8129F"/>
    <w:rsid w:val="00E826C2"/>
    <w:rsid w:val="00E9623D"/>
    <w:rsid w:val="00E96A46"/>
    <w:rsid w:val="00EB08B2"/>
    <w:rsid w:val="00EB0A18"/>
    <w:rsid w:val="00EB4743"/>
    <w:rsid w:val="00EC2403"/>
    <w:rsid w:val="00EC4756"/>
    <w:rsid w:val="00ED135A"/>
    <w:rsid w:val="00EE2DB8"/>
    <w:rsid w:val="00EF10F7"/>
    <w:rsid w:val="00EF305E"/>
    <w:rsid w:val="00EF3D7A"/>
    <w:rsid w:val="00F0469D"/>
    <w:rsid w:val="00F0616D"/>
    <w:rsid w:val="00F06F0C"/>
    <w:rsid w:val="00F232D6"/>
    <w:rsid w:val="00F23A61"/>
    <w:rsid w:val="00F3477F"/>
    <w:rsid w:val="00F36CFC"/>
    <w:rsid w:val="00F377EB"/>
    <w:rsid w:val="00F37E22"/>
    <w:rsid w:val="00F43157"/>
    <w:rsid w:val="00F46F2C"/>
    <w:rsid w:val="00F532F3"/>
    <w:rsid w:val="00F55933"/>
    <w:rsid w:val="00F6566B"/>
    <w:rsid w:val="00F65EEE"/>
    <w:rsid w:val="00F679A9"/>
    <w:rsid w:val="00F7728A"/>
    <w:rsid w:val="00F86AFF"/>
    <w:rsid w:val="00F86DB9"/>
    <w:rsid w:val="00FA1CBE"/>
    <w:rsid w:val="00FA4CFE"/>
    <w:rsid w:val="00FA7AC7"/>
    <w:rsid w:val="00FC0F09"/>
    <w:rsid w:val="00FC32A8"/>
    <w:rsid w:val="00FD67DA"/>
    <w:rsid w:val="00FE447C"/>
    <w:rsid w:val="00FF32A9"/>
    <w:rsid w:val="03F1FA66"/>
    <w:rsid w:val="0CE56BBA"/>
  </w:rsids>
  <w:docVars>
    <w:docVar w:name="__Grammarly_42___1" w:val="H4sIAAAAAAAEAKtWcslP9kxRslIyNDY2NDcyNrI0NLawMDY3NDdU0lEKTi0uzszPAykwrgUAdi7Id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8C17B0"/>
  <w15:docId w15:val="{64974D05-0FBA-4B82-AA9B-5D44339A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39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4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6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E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E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E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EBE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E00C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0C9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E00C93"/>
    <w:rPr>
      <w:vertAlign w:val="superscript"/>
    </w:rPr>
  </w:style>
  <w:style w:type="character" w:styleId="Hyperlink">
    <w:name w:val="Hyperlink"/>
    <w:basedOn w:val="DefaultParagraphFont"/>
    <w:rsid w:val="00CB65B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B3845"/>
    <w:rPr>
      <w:i/>
      <w:iCs/>
    </w:rPr>
  </w:style>
  <w:style w:type="paragraph" w:styleId="Revision">
    <w:name w:val="Revision"/>
    <w:hidden/>
    <w:uiPriority w:val="99"/>
    <w:semiHidden/>
    <w:rsid w:val="008570E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D965FE"/>
    <w:pPr>
      <w:ind w:left="1260" w:hanging="54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965F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C475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B43C6"/>
    <w:rPr>
      <w:color w:val="605E5C"/>
      <w:shd w:val="clear" w:color="auto" w:fill="E1DFDD"/>
    </w:rPr>
  </w:style>
  <w:style w:type="table" w:customStyle="1" w:styleId="RTITable">
    <w:name w:val="RTI_Table"/>
    <w:basedOn w:val="TableNormal"/>
    <w:uiPriority w:val="99"/>
    <w:rsid w:val="00801854"/>
    <w:rPr>
      <w:rFonts w:ascii="Verdana" w:eastAsia="SimSun" w:hAnsi="Verdana" w:cs="Times New Roman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table-headers">
    <w:name w:val="table-headers"/>
    <w:basedOn w:val="Normal"/>
    <w:rsid w:val="00094F0E"/>
    <w:pPr>
      <w:spacing w:before="240" w:after="120"/>
      <w:jc w:val="center"/>
    </w:pPr>
    <w:rPr>
      <w:rFonts w:ascii="Arial" w:eastAsia="SimSun" w:hAnsi="Arial"/>
      <w:bCs/>
      <w:color w:val="943634" w:themeColor="accent2" w:themeShade="BF"/>
      <w:sz w:val="18"/>
      <w:szCs w:val="18"/>
      <w:lang w:eastAsia="zh-CN"/>
    </w:rPr>
  </w:style>
  <w:style w:type="paragraph" w:customStyle="1" w:styleId="table-text">
    <w:name w:val="table-text"/>
    <w:basedOn w:val="Normal"/>
    <w:rsid w:val="00094F0E"/>
    <w:pPr>
      <w:spacing w:before="60" w:after="60"/>
    </w:pPr>
    <w:rPr>
      <w:rFonts w:ascii="Arial" w:eastAsia="SimSun" w:hAnsi="Arial"/>
      <w:sz w:val="18"/>
      <w:szCs w:val="22"/>
      <w:lang w:eastAsia="zh-CN"/>
    </w:rPr>
  </w:style>
  <w:style w:type="table" w:customStyle="1" w:styleId="ReportTableStyle">
    <w:name w:val="Report Table Style"/>
    <w:basedOn w:val="TableNormal"/>
    <w:uiPriority w:val="99"/>
    <w:rsid w:val="00094F0E"/>
    <w:rPr>
      <w:rFonts w:eastAsia="SimSun" w:cs="Times New Roman"/>
    </w:rPr>
    <w:tblPr>
      <w:tblStyleRowBandSize w:val="1"/>
      <w:tblBorders>
        <w:top w:val="single" w:sz="4" w:space="0" w:color="00A3E0"/>
        <w:bottom w:val="single" w:sz="4" w:space="0" w:color="C0504D" w:themeColor="accent2"/>
        <w:insideH w:val="single" w:sz="4" w:space="0" w:color="C0504D" w:themeColor="accent2"/>
      </w:tblBorders>
    </w:tblPr>
    <w:tblStylePr w:type="firstRow">
      <w:tblPr/>
      <w:tcPr>
        <w:tcBorders>
          <w:bottom w:val="single" w:sz="18" w:space="0" w:color="C0504D" w:themeColor="accent2"/>
        </w:tcBorders>
      </w:tcPr>
    </w:tblStylePr>
    <w:tblStylePr w:type="lastRow">
      <w:tblPr/>
      <w:tcPr>
        <w:tcBorders>
          <w:bottom w:val="single" w:sz="18" w:space="0" w:color="C0504D" w:themeColor="accent2"/>
        </w:tcBorders>
      </w:tcPr>
    </w:tblStylePr>
    <w:tblStylePr w:type="firstCol">
      <w:tblPr/>
      <w:tcPr>
        <w:shd w:val="clear" w:color="auto" w:fill="ECF1F8" w:themeFill="accent1" w:themeFillTint="1A"/>
      </w:tcPr>
    </w:tblStylePr>
    <w:tblStylePr w:type="band2Horz">
      <w:tblPr/>
      <w:tcPr>
        <w:shd w:val="clear" w:color="auto" w:fill="ECF1F8" w:themeFill="accent1" w:themeFillTint="1A"/>
      </w:tcPr>
    </w:tblStylePr>
  </w:style>
  <w:style w:type="paragraph" w:customStyle="1" w:styleId="table-first-column">
    <w:name w:val="table-first-column"/>
    <w:basedOn w:val="table-text"/>
    <w:rsid w:val="00094F0E"/>
    <w:rPr>
      <w:b/>
      <w:bCs/>
      <w:color w:val="1F497D" w:themeColor="text2"/>
    </w:rPr>
  </w:style>
  <w:style w:type="paragraph" w:customStyle="1" w:styleId="table-title">
    <w:name w:val="table-title"/>
    <w:basedOn w:val="Normal"/>
    <w:rsid w:val="00094F0E"/>
    <w:pPr>
      <w:keepNext/>
      <w:keepLines/>
      <w:spacing w:before="320" w:after="120"/>
      <w:ind w:left="1440" w:hanging="1440"/>
    </w:pPr>
    <w:rPr>
      <w:rFonts w:ascii="Arial" w:eastAsia="SimSun" w:hAnsi="Arial"/>
      <w:bCs/>
      <w:sz w:val="22"/>
      <w:szCs w:val="22"/>
      <w:lang w:eastAsia="zh-CN"/>
    </w:rPr>
  </w:style>
  <w:style w:type="character" w:customStyle="1" w:styleId="blueboldemphasis">
    <w:name w:val="blue_bold_emphasis"/>
    <w:basedOn w:val="DefaultParagraphFont"/>
    <w:uiPriority w:val="1"/>
    <w:rsid w:val="00094F0E"/>
    <w:rPr>
      <w:b/>
      <w:color w:val="1F497D" w:themeColor="text2"/>
    </w:rPr>
  </w:style>
  <w:style w:type="paragraph" w:customStyle="1" w:styleId="table-source-note">
    <w:name w:val="table-source-note"/>
    <w:basedOn w:val="Normal"/>
    <w:rsid w:val="00094F0E"/>
    <w:pPr>
      <w:keepLines/>
      <w:spacing w:before="60" w:after="360"/>
      <w:ind w:left="187" w:hanging="187"/>
      <w:contextualSpacing/>
    </w:pPr>
    <w:rPr>
      <w:rFonts w:ascii="Arial" w:eastAsia="SimSun" w:hAnsi="Arial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5674-8D45-431D-8D97-F60BE920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3445</Characters>
  <Application>Microsoft Office Word</Application>
  <DocSecurity>0</DocSecurity>
  <Lines>215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denton_s</dc:creator>
  <cp:lastModifiedBy>Scheinin, Morgan - BLS</cp:lastModifiedBy>
  <cp:revision>3</cp:revision>
  <dcterms:created xsi:type="dcterms:W3CDTF">2026-06-17T14:51:00Z</dcterms:created>
  <dcterms:modified xsi:type="dcterms:W3CDTF">2026-06-17T14:52:00Z</dcterms:modified>
</cp:coreProperties>
</file>