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3C25" w:rsidRPr="00201A0E" w:rsidP="00293C25" w14:paraId="4856D5DB" w14:textId="7777777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1A0E">
        <w:rPr>
          <w:rFonts w:ascii="Times New Roman" w:hAnsi="Times New Roman" w:cs="Times New Roman"/>
          <w:b/>
          <w:color w:val="auto"/>
          <w:sz w:val="24"/>
        </w:rPr>
        <w:t>Justification for Nonmaterial/Nonsubstantive Change</w:t>
      </w:r>
    </w:p>
    <w:p w:rsidR="00293C25" w:rsidRPr="00437695" w:rsidP="00293C25" w14:paraId="4656FB50" w14:textId="77777777">
      <w:pPr>
        <w:pStyle w:val="Title"/>
        <w:rPr>
          <w:rFonts w:ascii="Times New Roman" w:hAnsi="Times New Roman" w:cs="Times New Roman"/>
        </w:rPr>
      </w:pPr>
    </w:p>
    <w:p w:rsidR="00293C25" w:rsidRPr="00437695" w:rsidP="00293C25" w14:paraId="11F41437" w14:textId="77777777">
      <w:pPr>
        <w:contextualSpacing/>
        <w:jc w:val="center"/>
        <w:rPr>
          <w:b/>
        </w:rPr>
      </w:pPr>
      <w:r w:rsidRPr="00437695">
        <w:rPr>
          <w:b/>
        </w:rPr>
        <w:t>Department of Labor</w:t>
      </w:r>
    </w:p>
    <w:p w:rsidR="00293C25" w:rsidRPr="00437695" w:rsidP="00293C25" w14:paraId="5BB847E3" w14:textId="5920A463">
      <w:pPr>
        <w:contextualSpacing/>
        <w:jc w:val="center"/>
        <w:rPr>
          <w:b/>
        </w:rPr>
      </w:pPr>
      <w:r w:rsidRPr="00293C25">
        <w:rPr>
          <w:b/>
        </w:rPr>
        <w:t>Office of the Assistant Secretary for Administration and Management (OASAM)</w:t>
      </w:r>
    </w:p>
    <w:p w:rsidR="00293C25" w:rsidRPr="00437695" w:rsidP="00293C25" w14:paraId="47AABB5D" w14:textId="77777777">
      <w:pPr>
        <w:contextualSpacing/>
        <w:jc w:val="center"/>
        <w:rPr>
          <w:b/>
        </w:rPr>
      </w:pPr>
    </w:p>
    <w:p w:rsidR="00293C25" w:rsidRPr="00437695" w:rsidP="00293C25" w14:paraId="7BE2A7D6" w14:textId="7A154737">
      <w:pPr>
        <w:contextualSpacing/>
        <w:jc w:val="center"/>
        <w:rPr>
          <w:b/>
        </w:rPr>
      </w:pPr>
      <w:r w:rsidRPr="00293C25">
        <w:rPr>
          <w:rFonts w:eastAsia="Calibri"/>
          <w:b/>
        </w:rPr>
        <w:t>Department of Labor Generic Clearance for Outreach Activities</w:t>
      </w:r>
    </w:p>
    <w:p w:rsidR="00293C25" w:rsidRPr="00437695" w:rsidP="00293C25" w14:paraId="414DC0C4" w14:textId="4030167E">
      <w:pPr>
        <w:contextualSpacing/>
        <w:jc w:val="center"/>
        <w:rPr>
          <w:b/>
          <w:caps/>
        </w:rPr>
      </w:pPr>
      <w:r w:rsidRPr="00437695">
        <w:rPr>
          <w:b/>
        </w:rPr>
        <w:t>OMB Control Number 12</w:t>
      </w:r>
      <w:r>
        <w:rPr>
          <w:b/>
        </w:rPr>
        <w:t>25</w:t>
      </w:r>
      <w:r w:rsidRPr="00437695">
        <w:rPr>
          <w:b/>
        </w:rPr>
        <w:t>-00</w:t>
      </w:r>
      <w:r>
        <w:rPr>
          <w:b/>
        </w:rPr>
        <w:t>59</w:t>
      </w:r>
    </w:p>
    <w:p w:rsidR="00293C25" w:rsidP="00293C25" w14:paraId="5EE8FB23" w14:textId="77777777"/>
    <w:p w:rsidR="00293C25" w:rsidP="00293C25" w14:paraId="2AF7690C" w14:textId="77777777"/>
    <w:p w:rsidR="00293C25" w:rsidP="00293C25" w14:paraId="57B4767E" w14:textId="77777777">
      <w:pPr>
        <w:spacing w:line="480" w:lineRule="auto"/>
        <w:contextualSpacing/>
        <w:jc w:val="both"/>
        <w:rPr>
          <w:u w:val="single"/>
        </w:rPr>
      </w:pPr>
      <w:r>
        <w:rPr>
          <w:u w:val="single"/>
        </w:rPr>
        <w:t xml:space="preserve">Change Requested Date: </w:t>
      </w:r>
    </w:p>
    <w:p w:rsidR="00293C25" w:rsidP="00293C25" w14:paraId="41329C03" w14:textId="6BFE8E50">
      <w:pPr>
        <w:spacing w:line="480" w:lineRule="auto"/>
        <w:contextualSpacing/>
        <w:jc w:val="both"/>
        <w:rPr>
          <w:u w:val="single"/>
        </w:rPr>
      </w:pPr>
      <w:r>
        <w:t>DOL</w:t>
      </w:r>
      <w:r w:rsidRPr="00EC135D">
        <w:t xml:space="preserve"> requests approval for this </w:t>
      </w:r>
      <w:r>
        <w:t xml:space="preserve">nonsubstantive </w:t>
      </w:r>
      <w:r w:rsidRPr="00EC135D">
        <w:t xml:space="preserve">change by </w:t>
      </w:r>
      <w:r w:rsidR="00C80A66">
        <w:t>September</w:t>
      </w:r>
      <w:r w:rsidR="00DA0BC3">
        <w:t xml:space="preserve"> 30</w:t>
      </w:r>
      <w:r w:rsidRPr="00EC135D">
        <w:t>, 2024.</w:t>
      </w:r>
    </w:p>
    <w:p w:rsidR="00293C25" w:rsidRPr="00437695" w:rsidP="00293C25" w14:paraId="57E84EA5" w14:textId="77777777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Background</w:t>
      </w:r>
      <w:r>
        <w:rPr>
          <w:u w:val="single"/>
        </w:rPr>
        <w:t>:</w:t>
      </w:r>
    </w:p>
    <w:p w:rsidR="00293C25" w:rsidP="00293C25" w14:paraId="061DEA29" w14:textId="658FEF74">
      <w:r>
        <w:t>The supporting statement</w:t>
      </w:r>
      <w:r>
        <w:rPr>
          <w:rStyle w:val="FootnoteReference"/>
        </w:rPr>
        <w:footnoteReference w:id="2"/>
      </w:r>
      <w:r>
        <w:t xml:space="preserve"> for 1225-0059 states that “</w:t>
      </w:r>
      <w:r w:rsidRPr="00293C25">
        <w:t>DOL will disseminate the results obtained from these various surveys to key policy and management officials, DOL employees, stakeholders, and the public, if applicable</w:t>
      </w:r>
      <w:r>
        <w:t>”. However, the generic clearance submission template</w:t>
      </w:r>
      <w:r>
        <w:rPr>
          <w:rStyle w:val="FootnoteReference"/>
        </w:rPr>
        <w:footnoteReference w:id="3"/>
      </w:r>
      <w:r>
        <w:t xml:space="preserve"> </w:t>
      </w:r>
      <w:r w:rsidR="00B0228D">
        <w:t xml:space="preserve">that is part of this collection </w:t>
      </w:r>
      <w:r>
        <w:t>is contra</w:t>
      </w:r>
      <w:r w:rsidR="00B0228D">
        <w:t>dicting</w:t>
      </w:r>
      <w:r>
        <w:t xml:space="preserve"> this statement. </w:t>
      </w:r>
      <w:r w:rsidR="00324A58">
        <w:t>It states that “t</w:t>
      </w:r>
      <w:r w:rsidRPr="00324A58" w:rsidR="00324A58">
        <w:t>he results are not intended to be disseminated to the public.</w:t>
      </w:r>
      <w:r w:rsidR="00324A58">
        <w:t>”</w:t>
      </w:r>
      <w:r w:rsidRPr="00324A58" w:rsidR="00324A58">
        <w:tab/>
      </w:r>
    </w:p>
    <w:p w:rsidR="00293C25" w:rsidP="00293C25" w14:paraId="44ACCEAE" w14:textId="77777777"/>
    <w:p w:rsidR="00324A58" w:rsidP="00A92D77" w14:paraId="0B06494A" w14:textId="7CD41127">
      <w:pPr>
        <w:pStyle w:val="ListParagraph"/>
        <w:numPr>
          <w:ilvl w:val="0"/>
          <w:numId w:val="3"/>
        </w:numPr>
      </w:pPr>
      <w:r>
        <w:t>Hence, DOL is seeking to remove question #4 from the supplemental supporting statement template.</w:t>
      </w:r>
    </w:p>
    <w:p w:rsidR="00324A58" w:rsidP="00293C25" w14:paraId="5270373A" w14:textId="77777777"/>
    <w:p w:rsidR="00DA0BC3" w:rsidP="00A92D77" w14:paraId="72616852" w14:textId="65DB6D4C">
      <w:pPr>
        <w:pStyle w:val="ListParagraph"/>
        <w:numPr>
          <w:ilvl w:val="0"/>
          <w:numId w:val="3"/>
        </w:numPr>
      </w:pPr>
      <w:r>
        <w:t xml:space="preserve">In addition, DOL is seeking to remove the following 10 Gen </w:t>
      </w:r>
      <w:r w:rsidR="00032300">
        <w:t>ICs</w:t>
      </w:r>
      <w:r>
        <w:t xml:space="preserve"> under this umbrella that is no longer in use, is a duplicate or the Gen IC is already being captured by another collection:</w:t>
      </w:r>
    </w:p>
    <w:p w:rsidR="00DA0BC3" w:rsidP="00293C25" w14:paraId="07C688A8" w14:textId="77777777"/>
    <w:p w:rsidR="00032300" w:rsidP="00032300" w14:paraId="5EE20FAB" w14:textId="3DBAE61D">
      <w:pPr>
        <w:pStyle w:val="ListParagraph"/>
        <w:numPr>
          <w:ilvl w:val="0"/>
          <w:numId w:val="2"/>
        </w:numPr>
      </w:pPr>
      <w:bookmarkStart w:id="0" w:name="_Hlk173425231"/>
      <w:r>
        <w:t>API Registration Questions</w:t>
      </w:r>
      <w:r w:rsidR="009703C9">
        <w:t xml:space="preserve"> </w:t>
      </w:r>
      <w:r w:rsidRPr="009703C9" w:rsidR="009703C9">
        <w:rPr>
          <w:i/>
          <w:iCs/>
        </w:rPr>
        <w:t>(Is currently being captured through 1290-0044)</w:t>
      </w:r>
    </w:p>
    <w:p w:rsidR="00032300" w:rsidP="00032300" w14:paraId="21800743" w14:textId="17DC28DF">
      <w:pPr>
        <w:pStyle w:val="ListParagraph"/>
        <w:numPr>
          <w:ilvl w:val="0"/>
          <w:numId w:val="2"/>
        </w:numPr>
      </w:pPr>
      <w:r>
        <w:t>National Apprenticeship Week Event Registration Forms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47A35DA5" w14:textId="6DF429FE">
      <w:pPr>
        <w:pStyle w:val="ListParagraph"/>
        <w:numPr>
          <w:ilvl w:val="0"/>
          <w:numId w:val="2"/>
        </w:numPr>
      </w:pPr>
      <w:r>
        <w:t>ETA Integrated Case Management Initiative Journey Mapping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614C67A5" w14:textId="6E76CF07">
      <w:pPr>
        <w:pStyle w:val="ListParagraph"/>
        <w:numPr>
          <w:ilvl w:val="0"/>
          <w:numId w:val="2"/>
        </w:numPr>
      </w:pPr>
      <w:r>
        <w:t>ETA Apprenticeship Ambassadors Initiative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4B310393" w14:textId="4BAD5D4E">
      <w:pPr>
        <w:pStyle w:val="ListParagraph"/>
        <w:numPr>
          <w:ilvl w:val="0"/>
          <w:numId w:val="2"/>
        </w:numPr>
      </w:pPr>
      <w:r>
        <w:t>Apprenticeship Ambassadors Initiative (2022)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3263080D" w14:textId="0535AD97">
      <w:pPr>
        <w:pStyle w:val="ListParagraph"/>
        <w:numPr>
          <w:ilvl w:val="0"/>
          <w:numId w:val="2"/>
        </w:numPr>
      </w:pPr>
      <w:r>
        <w:t>ETA Apprentice Trailblazer Application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1C38B8E9" w14:textId="76521F97">
      <w:pPr>
        <w:pStyle w:val="ListParagraph"/>
        <w:numPr>
          <w:ilvl w:val="0"/>
          <w:numId w:val="2"/>
        </w:numPr>
      </w:pPr>
      <w:r>
        <w:t>Advisory Committee on Apprenticeship (ACA) Membership Solicitation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471A827C" w14:textId="6915F64A">
      <w:pPr>
        <w:pStyle w:val="ListParagraph"/>
        <w:numPr>
          <w:ilvl w:val="0"/>
          <w:numId w:val="2"/>
        </w:numPr>
      </w:pPr>
      <w:r>
        <w:t>ABA Grant Webinar Satisfaction Polls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p w:rsidR="00032300" w:rsidP="00032300" w14:paraId="5F0C9F98" w14:textId="3CCF6882">
      <w:pPr>
        <w:pStyle w:val="ListParagraph"/>
        <w:numPr>
          <w:ilvl w:val="0"/>
          <w:numId w:val="2"/>
        </w:numPr>
      </w:pPr>
      <w:r>
        <w:t>Apprenticeship Ambassador Commitment Reporting</w:t>
      </w:r>
      <w:r w:rsidR="009703C9">
        <w:t xml:space="preserve"> </w:t>
      </w:r>
      <w:r w:rsidRPr="009703C9" w:rsidR="009703C9">
        <w:rPr>
          <w:i/>
          <w:iCs/>
        </w:rPr>
        <w:t>(Duplicate)</w:t>
      </w:r>
    </w:p>
    <w:p w:rsidR="00DA0BC3" w:rsidP="00032300" w14:paraId="3F037706" w14:textId="34ACAB2E">
      <w:pPr>
        <w:pStyle w:val="ListParagraph"/>
        <w:numPr>
          <w:ilvl w:val="0"/>
          <w:numId w:val="2"/>
        </w:numPr>
      </w:pPr>
      <w:r>
        <w:t>Family Medical Leave Act's (FMLA) 30th Anniversary Webinar Series</w:t>
      </w:r>
      <w:r w:rsidR="009703C9">
        <w:t xml:space="preserve"> </w:t>
      </w:r>
      <w:r w:rsidRPr="009703C9" w:rsidR="009703C9">
        <w:rPr>
          <w:i/>
          <w:iCs/>
        </w:rPr>
        <w:t>(No longer in use)</w:t>
      </w:r>
    </w:p>
    <w:bookmarkEnd w:id="0"/>
    <w:p w:rsidR="00293C25" w:rsidRPr="00437695" w:rsidP="00293C25" w14:paraId="4E91C2F9" w14:textId="77777777">
      <w:pPr>
        <w:keepNext/>
        <w:spacing w:line="480" w:lineRule="auto"/>
        <w:contextualSpacing/>
        <w:rPr>
          <w:u w:val="single"/>
        </w:rPr>
      </w:pPr>
      <w:r w:rsidRPr="00437695">
        <w:rPr>
          <w:u w:val="single"/>
        </w:rPr>
        <w:t>Summary of Changes</w:t>
      </w:r>
      <w:r>
        <w:rPr>
          <w:u w:val="single"/>
        </w:rPr>
        <w:t>:</w:t>
      </w:r>
    </w:p>
    <w:p w:rsidR="00293C25" w:rsidP="00293C25" w14:paraId="48F1ABB7" w14:textId="110D5605">
      <w:r>
        <w:t>DOL</w:t>
      </w:r>
      <w:r>
        <w:t xml:space="preserve"> requests to make the following </w:t>
      </w:r>
      <w:r>
        <w:t>changes</w:t>
      </w:r>
      <w:r>
        <w:t xml:space="preserve"> to </w:t>
      </w:r>
      <w:r>
        <w:t xml:space="preserve">the </w:t>
      </w:r>
      <w:r w:rsidRPr="004A2C17">
        <w:t>Generic Clearance Submission Template</w:t>
      </w:r>
      <w:r>
        <w:t>:</w:t>
      </w:r>
    </w:p>
    <w:p w:rsidR="00293C25" w:rsidP="00293C25" w14:paraId="7A555C7A" w14:textId="77777777"/>
    <w:p w:rsidR="004A2C17" w:rsidRPr="00B3305E" w:rsidP="004A2C17" w14:paraId="4C67D528" w14:textId="3A4EE50C">
      <w:pPr>
        <w:pStyle w:val="ListParagraph"/>
        <w:numPr>
          <w:ilvl w:val="0"/>
          <w:numId w:val="1"/>
        </w:numPr>
      </w:pPr>
      <w:r>
        <w:rPr>
          <w:b/>
          <w:bCs/>
        </w:rPr>
        <w:t>R</w:t>
      </w:r>
      <w:r w:rsidRPr="004A2C17">
        <w:rPr>
          <w:b/>
          <w:bCs/>
        </w:rPr>
        <w:t xml:space="preserve">emove question #4 </w:t>
      </w:r>
      <w:r>
        <w:rPr>
          <w:b/>
          <w:bCs/>
        </w:rPr>
        <w:t>(“</w:t>
      </w:r>
      <w:r w:rsidRPr="004A2C17">
        <w:rPr>
          <w:b/>
          <w:bCs/>
        </w:rPr>
        <w:t xml:space="preserve">The results are </w:t>
      </w:r>
      <w:r w:rsidRPr="00537A8C">
        <w:rPr>
          <w:b/>
          <w:bCs/>
          <w:u w:val="single"/>
        </w:rPr>
        <w:t>not</w:t>
      </w:r>
      <w:r w:rsidRPr="004A2C17">
        <w:rPr>
          <w:b/>
          <w:bCs/>
        </w:rPr>
        <w:t xml:space="preserve"> intended to be disseminated to the public</w:t>
      </w:r>
      <w:r>
        <w:rPr>
          <w:b/>
          <w:bCs/>
        </w:rPr>
        <w:t>”)</w:t>
      </w:r>
      <w:r w:rsidRPr="004A2C17">
        <w:rPr>
          <w:b/>
          <w:bCs/>
        </w:rPr>
        <w:t>.</w:t>
      </w:r>
    </w:p>
    <w:p w:rsidR="00B3305E" w:rsidRPr="00B3305E" w:rsidP="00B3305E" w14:paraId="71A4AB4E" w14:textId="77777777">
      <w:pPr>
        <w:pStyle w:val="ListParagraph"/>
      </w:pPr>
    </w:p>
    <w:p w:rsidR="00B3305E" w:rsidRPr="00B3305E" w:rsidP="004A2C17" w14:paraId="084E793C" w14:textId="38E50647">
      <w:pPr>
        <w:pStyle w:val="ListParagraph"/>
        <w:numPr>
          <w:ilvl w:val="0"/>
          <w:numId w:val="1"/>
        </w:numPr>
        <w:rPr>
          <w:b/>
          <w:bCs/>
        </w:rPr>
      </w:pPr>
      <w:r w:rsidRPr="00B3305E">
        <w:rPr>
          <w:b/>
          <w:bCs/>
        </w:rPr>
        <w:t>Remove the following Gen ICs.</w:t>
      </w:r>
    </w:p>
    <w:p w:rsidR="00B3305E" w:rsidP="00B3305E" w14:paraId="188A76DD" w14:textId="77777777">
      <w:pPr>
        <w:pStyle w:val="ListParagraph"/>
        <w:numPr>
          <w:ilvl w:val="0"/>
          <w:numId w:val="4"/>
        </w:numPr>
      </w:pPr>
      <w:r>
        <w:t xml:space="preserve">API Registration Questions </w:t>
      </w:r>
      <w:r w:rsidRPr="009703C9">
        <w:rPr>
          <w:i/>
          <w:iCs/>
        </w:rPr>
        <w:t>(Is currently being captured through 1290-0044)</w:t>
      </w:r>
    </w:p>
    <w:p w:rsidR="00B3305E" w:rsidP="00B3305E" w14:paraId="12FEB41C" w14:textId="77777777">
      <w:pPr>
        <w:pStyle w:val="ListParagraph"/>
        <w:numPr>
          <w:ilvl w:val="0"/>
          <w:numId w:val="4"/>
        </w:numPr>
      </w:pPr>
      <w:r>
        <w:t xml:space="preserve">National Apprenticeship Week Event Registration Forms </w:t>
      </w:r>
      <w:r w:rsidRPr="009703C9">
        <w:rPr>
          <w:i/>
          <w:iCs/>
        </w:rPr>
        <w:t>(No longer in use)</w:t>
      </w:r>
    </w:p>
    <w:p w:rsidR="00B3305E" w:rsidP="00B3305E" w14:paraId="50505603" w14:textId="77777777">
      <w:pPr>
        <w:pStyle w:val="ListParagraph"/>
        <w:numPr>
          <w:ilvl w:val="0"/>
          <w:numId w:val="4"/>
        </w:numPr>
      </w:pPr>
      <w:r>
        <w:t xml:space="preserve">ETA Integrated Case Management Initiative Journey Mapping </w:t>
      </w:r>
      <w:r w:rsidRPr="009703C9">
        <w:rPr>
          <w:i/>
          <w:iCs/>
        </w:rPr>
        <w:t>(No longer in use)</w:t>
      </w:r>
    </w:p>
    <w:p w:rsidR="00B3305E" w:rsidP="00B3305E" w14:paraId="350081A4" w14:textId="77777777">
      <w:pPr>
        <w:pStyle w:val="ListParagraph"/>
        <w:numPr>
          <w:ilvl w:val="0"/>
          <w:numId w:val="4"/>
        </w:numPr>
      </w:pPr>
      <w:r>
        <w:t xml:space="preserve">ETA Apprenticeship Ambassadors Initiative </w:t>
      </w:r>
      <w:r w:rsidRPr="009703C9">
        <w:rPr>
          <w:i/>
          <w:iCs/>
        </w:rPr>
        <w:t>(No longer in use)</w:t>
      </w:r>
    </w:p>
    <w:p w:rsidR="00B3305E" w:rsidP="00B3305E" w14:paraId="6F7A2E2B" w14:textId="77777777">
      <w:pPr>
        <w:pStyle w:val="ListParagraph"/>
        <w:numPr>
          <w:ilvl w:val="0"/>
          <w:numId w:val="4"/>
        </w:numPr>
      </w:pPr>
      <w:r>
        <w:t xml:space="preserve">Apprenticeship Ambassadors Initiative (2022) </w:t>
      </w:r>
      <w:r w:rsidRPr="009703C9">
        <w:rPr>
          <w:i/>
          <w:iCs/>
        </w:rPr>
        <w:t>(No longer in use)</w:t>
      </w:r>
    </w:p>
    <w:p w:rsidR="00B3305E" w:rsidP="00B3305E" w14:paraId="3D4A0D4D" w14:textId="77777777">
      <w:pPr>
        <w:pStyle w:val="ListParagraph"/>
        <w:numPr>
          <w:ilvl w:val="0"/>
          <w:numId w:val="4"/>
        </w:numPr>
      </w:pPr>
      <w:r>
        <w:t xml:space="preserve">ETA Apprentice Trailblazer Application </w:t>
      </w:r>
      <w:r w:rsidRPr="009703C9">
        <w:rPr>
          <w:i/>
          <w:iCs/>
        </w:rPr>
        <w:t>(No longer in use)</w:t>
      </w:r>
    </w:p>
    <w:p w:rsidR="00B3305E" w:rsidP="00B3305E" w14:paraId="5CED092E" w14:textId="77777777">
      <w:pPr>
        <w:pStyle w:val="ListParagraph"/>
        <w:numPr>
          <w:ilvl w:val="0"/>
          <w:numId w:val="4"/>
        </w:numPr>
      </w:pPr>
      <w:r>
        <w:t xml:space="preserve">Advisory Committee on Apprenticeship (ACA) Membership Solicitation </w:t>
      </w:r>
      <w:r w:rsidRPr="009703C9">
        <w:rPr>
          <w:i/>
          <w:iCs/>
        </w:rPr>
        <w:t>(No longer in use)</w:t>
      </w:r>
    </w:p>
    <w:p w:rsidR="00B3305E" w:rsidP="00B3305E" w14:paraId="0C860B1F" w14:textId="77777777">
      <w:pPr>
        <w:pStyle w:val="ListParagraph"/>
        <w:numPr>
          <w:ilvl w:val="0"/>
          <w:numId w:val="4"/>
        </w:numPr>
      </w:pPr>
      <w:r>
        <w:t xml:space="preserve">ABA Grant Webinar Satisfaction Polls </w:t>
      </w:r>
      <w:r w:rsidRPr="009703C9">
        <w:rPr>
          <w:i/>
          <w:iCs/>
        </w:rPr>
        <w:t>(No longer in use)</w:t>
      </w:r>
    </w:p>
    <w:p w:rsidR="00B3305E" w:rsidP="00B3305E" w14:paraId="0D655CD6" w14:textId="77777777">
      <w:pPr>
        <w:pStyle w:val="ListParagraph"/>
        <w:numPr>
          <w:ilvl w:val="0"/>
          <w:numId w:val="4"/>
        </w:numPr>
      </w:pPr>
      <w:r>
        <w:t xml:space="preserve">Apprenticeship Ambassador Commitment Reporting </w:t>
      </w:r>
      <w:r w:rsidRPr="009703C9">
        <w:rPr>
          <w:i/>
          <w:iCs/>
        </w:rPr>
        <w:t>(Duplicate)</w:t>
      </w:r>
    </w:p>
    <w:p w:rsidR="00B3305E" w:rsidP="00B3305E" w14:paraId="04A7368B" w14:textId="77777777">
      <w:pPr>
        <w:pStyle w:val="ListParagraph"/>
        <w:numPr>
          <w:ilvl w:val="0"/>
          <w:numId w:val="4"/>
        </w:numPr>
      </w:pPr>
      <w:r>
        <w:t xml:space="preserve">Family Medical Leave Act's (FMLA) 30th Anniversary Webinar Series </w:t>
      </w:r>
      <w:r w:rsidRPr="009703C9">
        <w:rPr>
          <w:i/>
          <w:iCs/>
        </w:rPr>
        <w:t>(No longer in use)</w:t>
      </w:r>
    </w:p>
    <w:p w:rsidR="00B3305E" w:rsidP="00B3305E" w14:paraId="2B474E58" w14:textId="77777777">
      <w:pPr>
        <w:pStyle w:val="ListParagraph"/>
      </w:pPr>
    </w:p>
    <w:p w:rsidR="00293C25" w:rsidRPr="00437695" w:rsidP="00293C25" w14:paraId="2EB70C16" w14:textId="77777777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Changes in Burden</w:t>
      </w:r>
      <w:r>
        <w:rPr>
          <w:u w:val="single"/>
        </w:rPr>
        <w:t>:</w:t>
      </w:r>
    </w:p>
    <w:p w:rsidR="00293C25" w:rsidP="00293C25" w14:paraId="3F577DA3" w14:textId="163D759E">
      <w:r>
        <w:t>With these changes,</w:t>
      </w:r>
      <w:r>
        <w:t xml:space="preserve"> the burden</w:t>
      </w:r>
      <w:r>
        <w:t xml:space="preserve"> will be decreased.</w:t>
      </w:r>
    </w:p>
    <w:p w:rsidR="00D15A05" w14:paraId="6196B721" w14:textId="77777777"/>
    <w:sectPr w:rsidSect="0029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1423C" w:rsidP="00293C25" w14:paraId="2E7B9360" w14:textId="77777777">
      <w:r>
        <w:separator/>
      </w:r>
    </w:p>
  </w:footnote>
  <w:footnote w:type="continuationSeparator" w:id="1">
    <w:p w:rsidR="00E1423C" w:rsidP="00293C25" w14:paraId="63355B2C" w14:textId="77777777">
      <w:r>
        <w:continuationSeparator/>
      </w:r>
    </w:p>
  </w:footnote>
  <w:footnote w:id="2">
    <w:p w:rsidR="00293C25" w14:paraId="1A744526" w14:textId="3B2F0A18">
      <w:pPr>
        <w:pStyle w:val="FootnoteText"/>
      </w:pPr>
      <w:r>
        <w:rPr>
          <w:rStyle w:val="FootnoteReference"/>
        </w:rPr>
        <w:footnoteRef/>
      </w:r>
      <w:r>
        <w:t xml:space="preserve"> See question #16 on the Supporting Statement for 1225-0059. </w:t>
      </w:r>
    </w:p>
  </w:footnote>
  <w:footnote w:id="3">
    <w:p w:rsidR="00324A58" w14:paraId="75C8B9B0" w14:textId="45EB1652">
      <w:pPr>
        <w:pStyle w:val="FootnoteText"/>
      </w:pPr>
      <w:r>
        <w:rPr>
          <w:rStyle w:val="FootnoteReference"/>
        </w:rPr>
        <w:footnoteRef/>
      </w:r>
      <w:r>
        <w:t xml:space="preserve"> See question #4 on the supplemental supporting statement template.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175C6"/>
    <w:multiLevelType w:val="hybridMultilevel"/>
    <w:tmpl w:val="E0DCE3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2C1A"/>
    <w:multiLevelType w:val="hybridMultilevel"/>
    <w:tmpl w:val="8D1C0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1155F"/>
    <w:multiLevelType w:val="hybridMultilevel"/>
    <w:tmpl w:val="85E409B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1473E6"/>
    <w:multiLevelType w:val="hybridMultilevel"/>
    <w:tmpl w:val="FF96C3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151908">
    <w:abstractNumId w:val="1"/>
  </w:num>
  <w:num w:numId="2" w16cid:durableId="2128891103">
    <w:abstractNumId w:val="3"/>
  </w:num>
  <w:num w:numId="3" w16cid:durableId="1887837421">
    <w:abstractNumId w:val="0"/>
  </w:num>
  <w:num w:numId="4" w16cid:durableId="13823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5"/>
    <w:rsid w:val="00014323"/>
    <w:rsid w:val="00032300"/>
    <w:rsid w:val="00146878"/>
    <w:rsid w:val="00201A0E"/>
    <w:rsid w:val="00293C25"/>
    <w:rsid w:val="002B34AF"/>
    <w:rsid w:val="00324A58"/>
    <w:rsid w:val="00437695"/>
    <w:rsid w:val="00483F77"/>
    <w:rsid w:val="004A2C17"/>
    <w:rsid w:val="00537A8C"/>
    <w:rsid w:val="006610D8"/>
    <w:rsid w:val="009703C9"/>
    <w:rsid w:val="009F7725"/>
    <w:rsid w:val="00A92D77"/>
    <w:rsid w:val="00B0228D"/>
    <w:rsid w:val="00B3305E"/>
    <w:rsid w:val="00C80A66"/>
    <w:rsid w:val="00D0152F"/>
    <w:rsid w:val="00D058F2"/>
    <w:rsid w:val="00D15A05"/>
    <w:rsid w:val="00DA0BC3"/>
    <w:rsid w:val="00E1423C"/>
    <w:rsid w:val="00E776AB"/>
    <w:rsid w:val="00EC13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BE31E0"/>
  <w15:chartTrackingRefBased/>
  <w15:docId w15:val="{BCC0629A-8727-4872-80F6-582DB26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9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3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C2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C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C2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3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17B5-58EB-4BC5-BAF4-6FACB574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Vadukumcherry, Wilson - OASAM OCIO</dc:creator>
  <cp:lastModifiedBy>OCIO</cp:lastModifiedBy>
  <cp:revision>10</cp:revision>
  <dcterms:created xsi:type="dcterms:W3CDTF">2024-06-25T18:48:00Z</dcterms:created>
  <dcterms:modified xsi:type="dcterms:W3CDTF">2024-09-04T17:03:00Z</dcterms:modified>
</cp:coreProperties>
</file>