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5178" w14:paraId="416CD83A" w14:textId="77777777">
      <w:pPr>
        <w:spacing w:before="60"/>
        <w:ind w:right="1"/>
        <w:jc w:val="center"/>
        <w:rPr>
          <w:b/>
          <w:sz w:val="24"/>
        </w:rPr>
      </w:pPr>
      <w:r>
        <w:rPr>
          <w:b/>
          <w:sz w:val="24"/>
        </w:rPr>
        <w:t>Department</w:t>
      </w:r>
      <w:r>
        <w:rPr>
          <w:b/>
          <w:spacing w:val="-2"/>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Treasury</w:t>
      </w:r>
    </w:p>
    <w:p w:rsidR="00D05178" w14:paraId="07B0023E" w14:textId="77777777">
      <w:pPr>
        <w:ind w:left="1" w:right="1"/>
        <w:jc w:val="center"/>
        <w:rPr>
          <w:b/>
          <w:sz w:val="24"/>
        </w:rPr>
      </w:pPr>
      <w:r>
        <w:rPr>
          <w:b/>
          <w:sz w:val="24"/>
        </w:rPr>
        <w:t>Information</w:t>
      </w:r>
      <w:r>
        <w:rPr>
          <w:b/>
          <w:spacing w:val="-5"/>
          <w:sz w:val="24"/>
        </w:rPr>
        <w:t xml:space="preserve"> </w:t>
      </w:r>
      <w:r>
        <w:rPr>
          <w:b/>
          <w:sz w:val="24"/>
        </w:rPr>
        <w:t>Collection</w:t>
      </w:r>
      <w:r>
        <w:rPr>
          <w:b/>
          <w:spacing w:val="-4"/>
          <w:sz w:val="24"/>
        </w:rPr>
        <w:t xml:space="preserve"> </w:t>
      </w:r>
      <w:r>
        <w:rPr>
          <w:b/>
          <w:sz w:val="24"/>
        </w:rPr>
        <w:t>Request</w:t>
      </w:r>
      <w:r>
        <w:rPr>
          <w:b/>
          <w:spacing w:val="-3"/>
          <w:sz w:val="24"/>
        </w:rPr>
        <w:t xml:space="preserve"> </w:t>
      </w:r>
      <w:r>
        <w:rPr>
          <w:b/>
          <w:sz w:val="24"/>
        </w:rPr>
        <w:t>–</w:t>
      </w:r>
      <w:r>
        <w:rPr>
          <w:b/>
          <w:spacing w:val="-3"/>
          <w:sz w:val="24"/>
        </w:rPr>
        <w:t xml:space="preserve"> </w:t>
      </w:r>
      <w:r>
        <w:rPr>
          <w:b/>
          <w:sz w:val="24"/>
        </w:rPr>
        <w:t>Supporting</w:t>
      </w:r>
      <w:r>
        <w:rPr>
          <w:b/>
          <w:spacing w:val="-3"/>
          <w:sz w:val="24"/>
        </w:rPr>
        <w:t xml:space="preserve"> </w:t>
      </w:r>
      <w:r>
        <w:rPr>
          <w:b/>
          <w:spacing w:val="-2"/>
          <w:sz w:val="24"/>
        </w:rPr>
        <w:t>Statement</w:t>
      </w:r>
    </w:p>
    <w:p w:rsidR="00D05178" w14:paraId="0652AE7D" w14:textId="77777777">
      <w:pPr>
        <w:pStyle w:val="BodyText"/>
        <w:rPr>
          <w:b/>
        </w:rPr>
      </w:pPr>
    </w:p>
    <w:p w:rsidR="00D05178" w14:paraId="2CFC9A19" w14:textId="77777777">
      <w:pPr>
        <w:ind w:left="2995" w:right="2992"/>
        <w:jc w:val="center"/>
        <w:rPr>
          <w:b/>
          <w:sz w:val="24"/>
        </w:rPr>
      </w:pPr>
      <w:r>
        <w:rPr>
          <w:b/>
          <w:sz w:val="24"/>
        </w:rPr>
        <w:t>Emergency</w:t>
      </w:r>
      <w:r>
        <w:rPr>
          <w:b/>
          <w:spacing w:val="-11"/>
          <w:sz w:val="24"/>
        </w:rPr>
        <w:t xml:space="preserve"> </w:t>
      </w:r>
      <w:r>
        <w:rPr>
          <w:b/>
          <w:sz w:val="24"/>
        </w:rPr>
        <w:t>Capital</w:t>
      </w:r>
      <w:r>
        <w:rPr>
          <w:b/>
          <w:spacing w:val="-10"/>
          <w:sz w:val="24"/>
        </w:rPr>
        <w:t xml:space="preserve"> </w:t>
      </w:r>
      <w:r>
        <w:rPr>
          <w:b/>
          <w:sz w:val="24"/>
        </w:rPr>
        <w:t>Investment</w:t>
      </w:r>
      <w:r>
        <w:rPr>
          <w:b/>
          <w:spacing w:val="-10"/>
          <w:sz w:val="24"/>
        </w:rPr>
        <w:t xml:space="preserve"> </w:t>
      </w:r>
      <w:r>
        <w:rPr>
          <w:b/>
          <w:sz w:val="24"/>
        </w:rPr>
        <w:t>Program</w:t>
      </w:r>
      <w:r>
        <w:rPr>
          <w:b/>
          <w:spacing w:val="-10"/>
          <w:sz w:val="24"/>
        </w:rPr>
        <w:t xml:space="preserve"> </w:t>
      </w:r>
      <w:r>
        <w:rPr>
          <w:b/>
          <w:sz w:val="24"/>
        </w:rPr>
        <w:t>Reports OMB No. 1505-0275</w:t>
      </w:r>
    </w:p>
    <w:p w:rsidR="00D05178" w14:paraId="71B07CC2" w14:textId="77777777">
      <w:pPr>
        <w:pStyle w:val="BodyText"/>
        <w:rPr>
          <w:b/>
        </w:rPr>
      </w:pPr>
    </w:p>
    <w:p w:rsidR="00D05178" w14:paraId="1AAF09DA" w14:textId="77777777">
      <w:pPr>
        <w:pStyle w:val="BodyText"/>
        <w:rPr>
          <w:b/>
        </w:rPr>
      </w:pPr>
    </w:p>
    <w:p w:rsidR="00D05178" w14:paraId="4819AEE9" w14:textId="77777777">
      <w:pPr>
        <w:ind w:left="1080"/>
        <w:rPr>
          <w:b/>
          <w:sz w:val="24"/>
        </w:rPr>
      </w:pPr>
      <w:r>
        <w:rPr>
          <w:b/>
          <w:sz w:val="24"/>
        </w:rPr>
        <w:t>A.</w:t>
      </w:r>
      <w:r>
        <w:rPr>
          <w:b/>
          <w:spacing w:val="59"/>
          <w:sz w:val="24"/>
        </w:rPr>
        <w:t xml:space="preserve"> </w:t>
      </w:r>
      <w:r>
        <w:rPr>
          <w:b/>
          <w:spacing w:val="-2"/>
          <w:sz w:val="24"/>
        </w:rPr>
        <w:t>Justification</w:t>
      </w:r>
    </w:p>
    <w:p w:rsidR="00D05178" w14:paraId="1C57FBC3" w14:textId="77777777">
      <w:pPr>
        <w:pStyle w:val="BodyText"/>
        <w:rPr>
          <w:b/>
        </w:rPr>
      </w:pPr>
    </w:p>
    <w:p w:rsidR="00D05178" w14:paraId="76621684" w14:textId="77777777">
      <w:pPr>
        <w:pStyle w:val="ListParagraph"/>
        <w:numPr>
          <w:ilvl w:val="0"/>
          <w:numId w:val="1"/>
        </w:numPr>
        <w:tabs>
          <w:tab w:val="left" w:pos="1440"/>
        </w:tabs>
        <w:rPr>
          <w:sz w:val="24"/>
          <w:u w:val="none"/>
        </w:rPr>
      </w:pPr>
      <w:r>
        <w:rPr>
          <w:sz w:val="24"/>
        </w:rPr>
        <w:t>Circumstances</w:t>
      </w:r>
      <w:r>
        <w:rPr>
          <w:spacing w:val="-3"/>
          <w:sz w:val="24"/>
        </w:rPr>
        <w:t xml:space="preserve"> </w:t>
      </w:r>
      <w:r>
        <w:rPr>
          <w:sz w:val="24"/>
        </w:rPr>
        <w:t>necessitating</w:t>
      </w:r>
      <w:r>
        <w:rPr>
          <w:spacing w:val="-2"/>
          <w:sz w:val="24"/>
        </w:rPr>
        <w:t xml:space="preserve"> </w:t>
      </w:r>
      <w:r>
        <w:rPr>
          <w:sz w:val="24"/>
        </w:rPr>
        <w:t>the</w:t>
      </w:r>
      <w:r>
        <w:rPr>
          <w:spacing w:val="-2"/>
          <w:sz w:val="24"/>
        </w:rPr>
        <w:t xml:space="preserve"> </w:t>
      </w:r>
      <w:r>
        <w:rPr>
          <w:sz w:val="24"/>
        </w:rPr>
        <w:t>collection</w:t>
      </w:r>
      <w:r>
        <w:rPr>
          <w:spacing w:val="-2"/>
          <w:sz w:val="24"/>
        </w:rPr>
        <w:t xml:space="preserve"> </w:t>
      </w:r>
      <w:r>
        <w:rPr>
          <w:sz w:val="24"/>
        </w:rPr>
        <w:t>of</w:t>
      </w:r>
      <w:r>
        <w:rPr>
          <w:spacing w:val="-2"/>
          <w:sz w:val="24"/>
        </w:rPr>
        <w:t xml:space="preserve"> information</w:t>
      </w:r>
    </w:p>
    <w:p w:rsidR="00D05178" w14:paraId="2C06CC60" w14:textId="77777777">
      <w:pPr>
        <w:pStyle w:val="BodyText"/>
      </w:pPr>
    </w:p>
    <w:p w:rsidR="00D05178" w14:paraId="1BDB539F" w14:textId="77777777">
      <w:pPr>
        <w:pStyle w:val="BodyText"/>
        <w:ind w:left="1080" w:right="1135"/>
      </w:pPr>
      <w:r>
        <w:t>The Consolidated Appropriations Act, 2021, signed into law on December 27, 2020, added Section 104A of the Community Development Banking and Financial Institutions Act of 1994 (the “Act”).</w:t>
      </w:r>
      <w:r>
        <w:rPr>
          <w:spacing w:val="40"/>
        </w:rPr>
        <w:t xml:space="preserve"> </w:t>
      </w:r>
      <w:r>
        <w:t>Section 104A authorizes the Secretary of the Treasury to establish the Emergency Capital</w:t>
      </w:r>
      <w:r>
        <w:rPr>
          <w:spacing w:val="-4"/>
        </w:rPr>
        <w:t xml:space="preserve"> </w:t>
      </w:r>
      <w:r>
        <w:t>Investment</w:t>
      </w:r>
      <w:r>
        <w:rPr>
          <w:spacing w:val="-3"/>
        </w:rPr>
        <w:t xml:space="preserve"> </w:t>
      </w:r>
      <w:r>
        <w:t>Program</w:t>
      </w:r>
      <w:r>
        <w:rPr>
          <w:spacing w:val="-3"/>
        </w:rPr>
        <w:t xml:space="preserve"> </w:t>
      </w:r>
      <w:r>
        <w:t>(“ECIP”</w:t>
      </w:r>
      <w:r>
        <w:rPr>
          <w:spacing w:val="-3"/>
        </w:rPr>
        <w:t xml:space="preserve"> </w:t>
      </w:r>
      <w:r>
        <w:t>or</w:t>
      </w:r>
      <w:r>
        <w:rPr>
          <w:spacing w:val="-3"/>
        </w:rPr>
        <w:t xml:space="preserve"> </w:t>
      </w:r>
      <w:r>
        <w:t>“Program”)</w:t>
      </w:r>
      <w:r>
        <w:rPr>
          <w:spacing w:val="-4"/>
        </w:rPr>
        <w:t xml:space="preserve"> </w:t>
      </w:r>
      <w:r>
        <w:t>to</w:t>
      </w:r>
      <w:r>
        <w:rPr>
          <w:spacing w:val="-3"/>
        </w:rPr>
        <w:t xml:space="preserve"> </w:t>
      </w:r>
      <w:r>
        <w:t>support</w:t>
      </w:r>
      <w:r>
        <w:rPr>
          <w:spacing w:val="-3"/>
        </w:rPr>
        <w:t xml:space="preserve"> </w:t>
      </w:r>
      <w:r>
        <w:t>the</w:t>
      </w:r>
      <w:r>
        <w:rPr>
          <w:spacing w:val="-3"/>
        </w:rPr>
        <w:t xml:space="preserve"> </w:t>
      </w:r>
      <w:r>
        <w:t>efforts</w:t>
      </w:r>
      <w:r>
        <w:rPr>
          <w:spacing w:val="-3"/>
        </w:rPr>
        <w:t xml:space="preserve"> </w:t>
      </w:r>
      <w:r>
        <w:t>of</w:t>
      </w:r>
      <w:r>
        <w:rPr>
          <w:spacing w:val="-3"/>
        </w:rPr>
        <w:t xml:space="preserve"> </w:t>
      </w:r>
      <w:r>
        <w:t>low-</w:t>
      </w:r>
      <w:r>
        <w:rPr>
          <w:spacing w:val="-3"/>
        </w:rPr>
        <w:t xml:space="preserve"> </w:t>
      </w:r>
      <w:r>
        <w:t>and</w:t>
      </w:r>
      <w:r>
        <w:rPr>
          <w:spacing w:val="-3"/>
        </w:rPr>
        <w:t xml:space="preserve"> </w:t>
      </w:r>
      <w:r>
        <w:t>moderate-income community financial institutions to, among other things, provide loans, grants, and forbearance</w:t>
      </w:r>
      <w:r>
        <w:rPr>
          <w:spacing w:val="-1"/>
        </w:rPr>
        <w:t xml:space="preserve"> </w:t>
      </w:r>
      <w:r>
        <w:t>for small businesses, minority-owned businesses, and consumers, especially</w:t>
      </w:r>
      <w:r>
        <w:rPr>
          <w:spacing w:val="-2"/>
        </w:rPr>
        <w:t xml:space="preserve"> </w:t>
      </w:r>
      <w:r>
        <w:t>in low-income</w:t>
      </w:r>
      <w:r>
        <w:rPr>
          <w:spacing w:val="-4"/>
        </w:rPr>
        <w:t xml:space="preserve"> </w:t>
      </w:r>
      <w:r>
        <w:t>and</w:t>
      </w:r>
      <w:r>
        <w:rPr>
          <w:spacing w:val="-5"/>
        </w:rPr>
        <w:t xml:space="preserve"> </w:t>
      </w:r>
      <w:r>
        <w:t>underserved</w:t>
      </w:r>
      <w:r>
        <w:rPr>
          <w:spacing w:val="-5"/>
        </w:rPr>
        <w:t xml:space="preserve"> </w:t>
      </w:r>
      <w:r>
        <w:t>communities,</w:t>
      </w:r>
      <w:r>
        <w:rPr>
          <w:spacing w:val="-3"/>
        </w:rPr>
        <w:t xml:space="preserve"> </w:t>
      </w:r>
      <w:r>
        <w:t>including</w:t>
      </w:r>
      <w:r>
        <w:rPr>
          <w:spacing w:val="-5"/>
        </w:rPr>
        <w:t xml:space="preserve"> </w:t>
      </w:r>
      <w:r>
        <w:t>persistent</w:t>
      </w:r>
      <w:r>
        <w:rPr>
          <w:spacing w:val="-3"/>
        </w:rPr>
        <w:t xml:space="preserve"> </w:t>
      </w:r>
      <w:r>
        <w:t>poverty</w:t>
      </w:r>
      <w:r>
        <w:rPr>
          <w:spacing w:val="-3"/>
        </w:rPr>
        <w:t xml:space="preserve"> </w:t>
      </w:r>
      <w:r>
        <w:t>counties,</w:t>
      </w:r>
      <w:r>
        <w:rPr>
          <w:spacing w:val="-3"/>
        </w:rPr>
        <w:t xml:space="preserve"> </w:t>
      </w:r>
      <w:r>
        <w:t>that</w:t>
      </w:r>
      <w:r>
        <w:rPr>
          <w:spacing w:val="-3"/>
        </w:rPr>
        <w:t xml:space="preserve"> </w:t>
      </w:r>
      <w:r>
        <w:t>may</w:t>
      </w:r>
      <w:r>
        <w:rPr>
          <w:spacing w:val="-5"/>
        </w:rPr>
        <w:t xml:space="preserve"> </w:t>
      </w:r>
      <w:r>
        <w:t>have</w:t>
      </w:r>
      <w:r>
        <w:rPr>
          <w:spacing w:val="-3"/>
        </w:rPr>
        <w:t xml:space="preserve"> </w:t>
      </w:r>
      <w:r>
        <w:t xml:space="preserve">been disproportionately impacted by the economic effects of the COVID-19 pandemic by providing direct and indirect capital investments in low-and moderate-income community financial </w:t>
      </w:r>
      <w:r>
        <w:rPr>
          <w:spacing w:val="-2"/>
        </w:rPr>
        <w:t>institutions.</w:t>
      </w:r>
    </w:p>
    <w:p w:rsidR="00D05178" w14:paraId="4823BEF2" w14:textId="77777777">
      <w:pPr>
        <w:pStyle w:val="BodyText"/>
      </w:pPr>
    </w:p>
    <w:p w:rsidR="00D05178" w14:paraId="1E612EFF" w14:textId="77777777">
      <w:pPr>
        <w:pStyle w:val="BodyText"/>
        <w:spacing w:before="1"/>
        <w:ind w:left="1080" w:right="1135"/>
      </w:pPr>
      <w:r>
        <w:t>As required by the Act, the interest and dividend rates payable on ECIP instruments are determined based on the increase in the amount of lending by an institution within minority, rural, and urban low-income and underserved communities and to low- and moderate-income borrowers</w:t>
      </w:r>
      <w:r>
        <w:rPr>
          <w:spacing w:val="-3"/>
        </w:rPr>
        <w:t xml:space="preserve"> </w:t>
      </w:r>
      <w:r>
        <w:t>during</w:t>
      </w:r>
      <w:r>
        <w:rPr>
          <w:spacing w:val="-3"/>
        </w:rPr>
        <w:t xml:space="preserve"> </w:t>
      </w:r>
      <w:r>
        <w:t>the</w:t>
      </w:r>
      <w:r>
        <w:rPr>
          <w:spacing w:val="-3"/>
        </w:rPr>
        <w:t xml:space="preserve"> </w:t>
      </w:r>
      <w:r>
        <w:t>preceding</w:t>
      </w:r>
      <w:r>
        <w:rPr>
          <w:spacing w:val="-3"/>
        </w:rPr>
        <w:t xml:space="preserve"> </w:t>
      </w:r>
      <w:r>
        <w:t>annual</w:t>
      </w:r>
      <w:r>
        <w:rPr>
          <w:spacing w:val="-3"/>
        </w:rPr>
        <w:t xml:space="preserve"> </w:t>
      </w:r>
      <w:r>
        <w:t>period</w:t>
      </w:r>
      <w:r>
        <w:rPr>
          <w:spacing w:val="-3"/>
        </w:rPr>
        <w:t xml:space="preserve"> </w:t>
      </w:r>
      <w:r>
        <w:t>compared</w:t>
      </w:r>
      <w:r>
        <w:rPr>
          <w:spacing w:val="-5"/>
        </w:rPr>
        <w:t xml:space="preserve"> </w:t>
      </w:r>
      <w:r>
        <w:t>to</w:t>
      </w:r>
      <w:r>
        <w:rPr>
          <w:spacing w:val="-3"/>
        </w:rPr>
        <w:t xml:space="preserve"> </w:t>
      </w:r>
      <w:r>
        <w:t>a</w:t>
      </w:r>
      <w:r>
        <w:rPr>
          <w:spacing w:val="-4"/>
        </w:rPr>
        <w:t xml:space="preserve"> </w:t>
      </w:r>
      <w:r>
        <w:t>baseline</w:t>
      </w:r>
      <w:r>
        <w:rPr>
          <w:spacing w:val="-3"/>
        </w:rPr>
        <w:t xml:space="preserve"> </w:t>
      </w:r>
      <w:r>
        <w:t>set</w:t>
      </w:r>
      <w:r>
        <w:rPr>
          <w:spacing w:val="-4"/>
        </w:rPr>
        <w:t xml:space="preserve"> </w:t>
      </w:r>
      <w:r>
        <w:t>from</w:t>
      </w:r>
      <w:r>
        <w:rPr>
          <w:spacing w:val="-4"/>
        </w:rPr>
        <w:t xml:space="preserve"> </w:t>
      </w:r>
      <w:r>
        <w:t>the</w:t>
      </w:r>
      <w:r>
        <w:rPr>
          <w:spacing w:val="-3"/>
        </w:rPr>
        <w:t xml:space="preserve"> </w:t>
      </w:r>
      <w:r>
        <w:t>annual</w:t>
      </w:r>
      <w:r>
        <w:rPr>
          <w:spacing w:val="-3"/>
        </w:rPr>
        <w:t xml:space="preserve"> </w:t>
      </w:r>
      <w:r>
        <w:t>period ending on September 30, 2020. To establish this baseline level of qualified lending, Treasury collected</w:t>
      </w:r>
      <w:r>
        <w:rPr>
          <w:spacing w:val="-3"/>
        </w:rPr>
        <w:t xml:space="preserve"> </w:t>
      </w:r>
      <w:r>
        <w:t>an</w:t>
      </w:r>
      <w:r>
        <w:rPr>
          <w:spacing w:val="-4"/>
        </w:rPr>
        <w:t xml:space="preserve"> </w:t>
      </w:r>
      <w:r>
        <w:t>Initial</w:t>
      </w:r>
      <w:r>
        <w:rPr>
          <w:spacing w:val="-3"/>
        </w:rPr>
        <w:t xml:space="preserve"> </w:t>
      </w:r>
      <w:r>
        <w:t>Supplemental</w:t>
      </w:r>
      <w:r>
        <w:rPr>
          <w:spacing w:val="-3"/>
        </w:rPr>
        <w:t xml:space="preserve"> </w:t>
      </w:r>
      <w:r>
        <w:t>Report</w:t>
      </w:r>
      <w:r>
        <w:rPr>
          <w:spacing w:val="-3"/>
        </w:rPr>
        <w:t xml:space="preserve"> </w:t>
      </w:r>
      <w:r>
        <w:t>(ISR)</w:t>
      </w:r>
      <w:r>
        <w:rPr>
          <w:spacing w:val="-3"/>
        </w:rPr>
        <w:t xml:space="preserve"> </w:t>
      </w:r>
      <w:r>
        <w:t>from</w:t>
      </w:r>
      <w:r>
        <w:rPr>
          <w:spacing w:val="-3"/>
        </w:rPr>
        <w:t xml:space="preserve"> </w:t>
      </w:r>
      <w:r>
        <w:t>participating</w:t>
      </w:r>
      <w:r>
        <w:rPr>
          <w:spacing w:val="-3"/>
        </w:rPr>
        <w:t xml:space="preserve"> </w:t>
      </w:r>
      <w:r>
        <w:t>applicants.</w:t>
      </w:r>
      <w:r>
        <w:rPr>
          <w:spacing w:val="-3"/>
        </w:rPr>
        <w:t xml:space="preserve"> </w:t>
      </w:r>
      <w:r>
        <w:t>This</w:t>
      </w:r>
      <w:r>
        <w:rPr>
          <w:spacing w:val="-3"/>
        </w:rPr>
        <w:t xml:space="preserve"> </w:t>
      </w:r>
      <w:r>
        <w:t>baseline</w:t>
      </w:r>
      <w:r>
        <w:rPr>
          <w:spacing w:val="-3"/>
        </w:rPr>
        <w:t xml:space="preserve"> </w:t>
      </w:r>
      <w:r>
        <w:t>must be adjusted to reflect mergers and acquisitions, should those events occur.</w:t>
      </w:r>
      <w:r>
        <w:rPr>
          <w:spacing w:val="40"/>
        </w:rPr>
        <w:t xml:space="preserve"> </w:t>
      </w:r>
      <w:r>
        <w:t>The Quarterly Supplemental Report (QSR) allows for the collection of data on the increase in qualified and deep</w:t>
      </w:r>
      <w:r>
        <w:rPr>
          <w:spacing w:val="-1"/>
        </w:rPr>
        <w:t xml:space="preserve"> </w:t>
      </w:r>
      <w:r>
        <w:t>impact</w:t>
      </w:r>
      <w:r>
        <w:rPr>
          <w:spacing w:val="-2"/>
        </w:rPr>
        <w:t xml:space="preserve"> </w:t>
      </w:r>
      <w:r>
        <w:t>lending</w:t>
      </w:r>
      <w:r>
        <w:rPr>
          <w:spacing w:val="-3"/>
        </w:rPr>
        <w:t xml:space="preserve"> </w:t>
      </w:r>
      <w:r>
        <w:t>from</w:t>
      </w:r>
      <w:r>
        <w:rPr>
          <w:spacing w:val="-1"/>
        </w:rPr>
        <w:t xml:space="preserve"> </w:t>
      </w:r>
      <w:r>
        <w:t>the</w:t>
      </w:r>
      <w:r>
        <w:rPr>
          <w:spacing w:val="-1"/>
        </w:rPr>
        <w:t xml:space="preserve"> </w:t>
      </w:r>
      <w:r>
        <w:t>baseline</w:t>
      </w:r>
      <w:r>
        <w:rPr>
          <w:spacing w:val="-1"/>
        </w:rPr>
        <w:t xml:space="preserve"> </w:t>
      </w:r>
      <w:r>
        <w:t>amount</w:t>
      </w:r>
      <w:r>
        <w:rPr>
          <w:spacing w:val="-2"/>
        </w:rPr>
        <w:t xml:space="preserve"> </w:t>
      </w:r>
      <w:r>
        <w:t>established</w:t>
      </w:r>
      <w:r>
        <w:rPr>
          <w:spacing w:val="-3"/>
        </w:rPr>
        <w:t xml:space="preserve"> </w:t>
      </w:r>
      <w:r>
        <w:t>through</w:t>
      </w:r>
      <w:r>
        <w:rPr>
          <w:spacing w:val="-1"/>
        </w:rPr>
        <w:t xml:space="preserve"> </w:t>
      </w:r>
      <w:r>
        <w:t>the</w:t>
      </w:r>
      <w:r>
        <w:rPr>
          <w:spacing w:val="-1"/>
        </w:rPr>
        <w:t xml:space="preserve"> </w:t>
      </w:r>
      <w:r>
        <w:t>ISR.</w:t>
      </w:r>
      <w:r>
        <w:rPr>
          <w:spacing w:val="40"/>
        </w:rPr>
        <w:t xml:space="preserve"> </w:t>
      </w:r>
      <w:r>
        <w:t>Legal</w:t>
      </w:r>
      <w:r>
        <w:rPr>
          <w:spacing w:val="-1"/>
        </w:rPr>
        <w:t xml:space="preserve"> </w:t>
      </w:r>
      <w:r>
        <w:t>certifications support validation of the accuracy of information reported to Treasury</w:t>
      </w:r>
    </w:p>
    <w:p w:rsidR="00D05178" w14:paraId="1154A164" w14:textId="77777777">
      <w:pPr>
        <w:pStyle w:val="BodyText"/>
        <w:spacing w:before="275"/>
        <w:ind w:left="1080" w:right="1135"/>
      </w:pPr>
      <w:r>
        <w:t>Treasury requests approval of the following forms associated with collection of compliance, legal</w:t>
      </w:r>
      <w:r>
        <w:rPr>
          <w:spacing w:val="-5"/>
        </w:rPr>
        <w:t xml:space="preserve"> </w:t>
      </w:r>
      <w:r>
        <w:t>certifications,</w:t>
      </w:r>
      <w:r>
        <w:rPr>
          <w:spacing w:val="-6"/>
        </w:rPr>
        <w:t xml:space="preserve"> </w:t>
      </w:r>
      <w:r>
        <w:t>and</w:t>
      </w:r>
      <w:r>
        <w:rPr>
          <w:spacing w:val="-4"/>
        </w:rPr>
        <w:t xml:space="preserve"> </w:t>
      </w:r>
      <w:r>
        <w:t>performance</w:t>
      </w:r>
      <w:r>
        <w:rPr>
          <w:spacing w:val="-4"/>
        </w:rPr>
        <w:t xml:space="preserve"> </w:t>
      </w:r>
      <w:r>
        <w:t>information</w:t>
      </w:r>
      <w:r>
        <w:rPr>
          <w:spacing w:val="-6"/>
        </w:rPr>
        <w:t xml:space="preserve"> </w:t>
      </w:r>
      <w:r>
        <w:t>from</w:t>
      </w:r>
      <w:r>
        <w:rPr>
          <w:spacing w:val="-4"/>
        </w:rPr>
        <w:t xml:space="preserve"> </w:t>
      </w:r>
      <w:r>
        <w:t>financial</w:t>
      </w:r>
      <w:r>
        <w:rPr>
          <w:spacing w:val="-4"/>
        </w:rPr>
        <w:t xml:space="preserve"> </w:t>
      </w:r>
      <w:r>
        <w:t>institutions</w:t>
      </w:r>
      <w:r>
        <w:rPr>
          <w:spacing w:val="-5"/>
        </w:rPr>
        <w:t xml:space="preserve"> </w:t>
      </w:r>
      <w:r>
        <w:t>that</w:t>
      </w:r>
      <w:r>
        <w:rPr>
          <w:spacing w:val="-4"/>
        </w:rPr>
        <w:t xml:space="preserve"> </w:t>
      </w:r>
      <w:r>
        <w:t>are</w:t>
      </w:r>
      <w:r>
        <w:rPr>
          <w:spacing w:val="-4"/>
        </w:rPr>
        <w:t xml:space="preserve"> </w:t>
      </w:r>
      <w:r>
        <w:t>participating in the program and to consolidate such forms under a single collection number.</w:t>
      </w:r>
    </w:p>
    <w:p w:rsidR="00D05178" w14:paraId="76C02801" w14:textId="77777777">
      <w:pPr>
        <w:pStyle w:val="ListParagraph"/>
        <w:numPr>
          <w:ilvl w:val="1"/>
          <w:numId w:val="1"/>
        </w:numPr>
        <w:tabs>
          <w:tab w:val="left" w:pos="1798"/>
          <w:tab w:val="left" w:pos="1800"/>
        </w:tabs>
        <w:spacing w:before="276"/>
        <w:ind w:right="1200"/>
        <w:rPr>
          <w:sz w:val="24"/>
          <w:u w:val="none"/>
        </w:rPr>
      </w:pPr>
      <w:r>
        <w:rPr>
          <w:sz w:val="24"/>
          <w:u w:val="none"/>
        </w:rPr>
        <w:t>Routine collection of the Initial Supplemental Report for use in the event of certain mergers</w:t>
      </w:r>
      <w:r>
        <w:rPr>
          <w:spacing w:val="-3"/>
          <w:sz w:val="24"/>
          <w:u w:val="none"/>
        </w:rPr>
        <w:t xml:space="preserve"> </w:t>
      </w:r>
      <w:r>
        <w:rPr>
          <w:sz w:val="24"/>
          <w:u w:val="none"/>
        </w:rPr>
        <w:t>and</w:t>
      </w:r>
      <w:r>
        <w:rPr>
          <w:spacing w:val="-5"/>
          <w:sz w:val="24"/>
          <w:u w:val="none"/>
        </w:rPr>
        <w:t xml:space="preserve"> </w:t>
      </w:r>
      <w:r>
        <w:rPr>
          <w:sz w:val="24"/>
          <w:u w:val="none"/>
        </w:rPr>
        <w:t>acquisitions</w:t>
      </w:r>
      <w:r>
        <w:rPr>
          <w:spacing w:val="-4"/>
          <w:sz w:val="24"/>
          <w:u w:val="none"/>
        </w:rPr>
        <w:t xml:space="preserve"> </w:t>
      </w:r>
      <w:r>
        <w:rPr>
          <w:sz w:val="24"/>
          <w:u w:val="none"/>
        </w:rPr>
        <w:t>or</w:t>
      </w:r>
      <w:r>
        <w:rPr>
          <w:spacing w:val="-3"/>
          <w:sz w:val="24"/>
          <w:u w:val="none"/>
        </w:rPr>
        <w:t xml:space="preserve"> </w:t>
      </w:r>
      <w:r>
        <w:rPr>
          <w:sz w:val="24"/>
          <w:u w:val="none"/>
        </w:rPr>
        <w:t>other</w:t>
      </w:r>
      <w:r>
        <w:rPr>
          <w:spacing w:val="-4"/>
          <w:sz w:val="24"/>
          <w:u w:val="none"/>
        </w:rPr>
        <w:t xml:space="preserve"> </w:t>
      </w:r>
      <w:r>
        <w:rPr>
          <w:sz w:val="24"/>
          <w:u w:val="none"/>
        </w:rPr>
        <w:t>circumstances,</w:t>
      </w:r>
      <w:r>
        <w:rPr>
          <w:spacing w:val="-5"/>
          <w:sz w:val="24"/>
          <w:u w:val="none"/>
        </w:rPr>
        <w:t xml:space="preserve"> </w:t>
      </w:r>
      <w:r>
        <w:rPr>
          <w:sz w:val="24"/>
          <w:u w:val="none"/>
        </w:rPr>
        <w:t>inclusive</w:t>
      </w:r>
      <w:r>
        <w:rPr>
          <w:spacing w:val="-3"/>
          <w:sz w:val="24"/>
          <w:u w:val="none"/>
        </w:rPr>
        <w:t xml:space="preserve"> </w:t>
      </w:r>
      <w:r>
        <w:rPr>
          <w:sz w:val="24"/>
          <w:u w:val="none"/>
        </w:rPr>
        <w:t>of</w:t>
      </w:r>
      <w:r>
        <w:rPr>
          <w:spacing w:val="-4"/>
          <w:sz w:val="24"/>
          <w:u w:val="none"/>
        </w:rPr>
        <w:t xml:space="preserve"> </w:t>
      </w:r>
      <w:r>
        <w:rPr>
          <w:sz w:val="24"/>
          <w:u w:val="none"/>
        </w:rPr>
        <w:t>separate</w:t>
      </w:r>
      <w:r>
        <w:rPr>
          <w:spacing w:val="-3"/>
          <w:sz w:val="24"/>
          <w:u w:val="none"/>
        </w:rPr>
        <w:t xml:space="preserve"> </w:t>
      </w:r>
      <w:r>
        <w:rPr>
          <w:sz w:val="24"/>
          <w:u w:val="none"/>
        </w:rPr>
        <w:t>versions</w:t>
      </w:r>
      <w:r>
        <w:rPr>
          <w:spacing w:val="-3"/>
          <w:sz w:val="24"/>
          <w:u w:val="none"/>
        </w:rPr>
        <w:t xml:space="preserve"> </w:t>
      </w:r>
      <w:r>
        <w:rPr>
          <w:sz w:val="24"/>
          <w:u w:val="none"/>
        </w:rPr>
        <w:t>for</w:t>
      </w:r>
      <w:r>
        <w:rPr>
          <w:spacing w:val="-3"/>
          <w:sz w:val="24"/>
          <w:u w:val="none"/>
        </w:rPr>
        <w:t xml:space="preserve"> </w:t>
      </w:r>
      <w:r>
        <w:rPr>
          <w:sz w:val="24"/>
          <w:u w:val="none"/>
        </w:rPr>
        <w:t>credit unions and bank and holding companies.</w:t>
      </w:r>
    </w:p>
    <w:p w:rsidR="00D05178" w14:paraId="44CBB4C9" w14:textId="77777777">
      <w:pPr>
        <w:pStyle w:val="ListParagraph"/>
        <w:numPr>
          <w:ilvl w:val="1"/>
          <w:numId w:val="1"/>
        </w:numPr>
        <w:tabs>
          <w:tab w:val="left" w:pos="1798"/>
          <w:tab w:val="left" w:pos="1800"/>
        </w:tabs>
        <w:ind w:right="1080"/>
        <w:rPr>
          <w:sz w:val="24"/>
          <w:u w:val="none"/>
        </w:rPr>
      </w:pPr>
      <w:r>
        <w:rPr>
          <w:sz w:val="24"/>
          <w:u w:val="none"/>
        </w:rPr>
        <w:t>Quarterly</w:t>
      </w:r>
      <w:r>
        <w:rPr>
          <w:spacing w:val="-4"/>
          <w:sz w:val="24"/>
          <w:u w:val="none"/>
        </w:rPr>
        <w:t xml:space="preserve"> </w:t>
      </w:r>
      <w:r>
        <w:rPr>
          <w:sz w:val="24"/>
          <w:u w:val="none"/>
        </w:rPr>
        <w:t>Supplemental</w:t>
      </w:r>
      <w:r>
        <w:rPr>
          <w:spacing w:val="-5"/>
          <w:sz w:val="24"/>
          <w:u w:val="none"/>
        </w:rPr>
        <w:t xml:space="preserve"> </w:t>
      </w:r>
      <w:r>
        <w:rPr>
          <w:sz w:val="24"/>
          <w:u w:val="none"/>
        </w:rPr>
        <w:t>Report,</w:t>
      </w:r>
      <w:r>
        <w:rPr>
          <w:spacing w:val="-4"/>
          <w:sz w:val="24"/>
          <w:u w:val="none"/>
        </w:rPr>
        <w:t xml:space="preserve"> </w:t>
      </w:r>
      <w:r>
        <w:rPr>
          <w:sz w:val="24"/>
          <w:u w:val="none"/>
        </w:rPr>
        <w:t>inclusive</w:t>
      </w:r>
      <w:r>
        <w:rPr>
          <w:spacing w:val="-4"/>
          <w:sz w:val="24"/>
          <w:u w:val="none"/>
        </w:rPr>
        <w:t xml:space="preserve"> </w:t>
      </w:r>
      <w:r>
        <w:rPr>
          <w:sz w:val="24"/>
          <w:u w:val="none"/>
        </w:rPr>
        <w:t>of</w:t>
      </w:r>
      <w:r>
        <w:rPr>
          <w:spacing w:val="-4"/>
          <w:sz w:val="24"/>
          <w:u w:val="none"/>
        </w:rPr>
        <w:t xml:space="preserve"> </w:t>
      </w:r>
      <w:r>
        <w:rPr>
          <w:sz w:val="24"/>
          <w:u w:val="none"/>
        </w:rPr>
        <w:t>separate</w:t>
      </w:r>
      <w:r>
        <w:rPr>
          <w:spacing w:val="-4"/>
          <w:sz w:val="24"/>
          <w:u w:val="none"/>
        </w:rPr>
        <w:t xml:space="preserve"> </w:t>
      </w:r>
      <w:r>
        <w:rPr>
          <w:sz w:val="24"/>
          <w:u w:val="none"/>
        </w:rPr>
        <w:t>versions</w:t>
      </w:r>
      <w:r>
        <w:rPr>
          <w:spacing w:val="-4"/>
          <w:sz w:val="24"/>
          <w:u w:val="none"/>
        </w:rPr>
        <w:t xml:space="preserve"> </w:t>
      </w:r>
      <w:r>
        <w:rPr>
          <w:sz w:val="24"/>
          <w:u w:val="none"/>
        </w:rPr>
        <w:t>for</w:t>
      </w:r>
      <w:r>
        <w:rPr>
          <w:spacing w:val="-4"/>
          <w:sz w:val="24"/>
          <w:u w:val="none"/>
        </w:rPr>
        <w:t xml:space="preserve"> </w:t>
      </w:r>
      <w:r>
        <w:rPr>
          <w:sz w:val="24"/>
          <w:u w:val="none"/>
        </w:rPr>
        <w:t>credit</w:t>
      </w:r>
      <w:r>
        <w:rPr>
          <w:spacing w:val="-5"/>
          <w:sz w:val="24"/>
          <w:u w:val="none"/>
        </w:rPr>
        <w:t xml:space="preserve"> </w:t>
      </w:r>
      <w:r>
        <w:rPr>
          <w:sz w:val="24"/>
          <w:u w:val="none"/>
        </w:rPr>
        <w:t>unions</w:t>
      </w:r>
      <w:r>
        <w:rPr>
          <w:spacing w:val="-4"/>
          <w:sz w:val="24"/>
          <w:u w:val="none"/>
        </w:rPr>
        <w:t xml:space="preserve"> </w:t>
      </w:r>
      <w:r>
        <w:rPr>
          <w:sz w:val="24"/>
          <w:u w:val="none"/>
        </w:rPr>
        <w:t>and</w:t>
      </w:r>
      <w:r>
        <w:rPr>
          <w:spacing w:val="-4"/>
          <w:sz w:val="24"/>
          <w:u w:val="none"/>
        </w:rPr>
        <w:t xml:space="preserve"> </w:t>
      </w:r>
      <w:r>
        <w:rPr>
          <w:sz w:val="24"/>
          <w:u w:val="none"/>
        </w:rPr>
        <w:t>banks and holding companies.</w:t>
      </w:r>
    </w:p>
    <w:p w:rsidR="00D05178" w14:paraId="55E357C3" w14:textId="77777777">
      <w:pPr>
        <w:pStyle w:val="ListParagraph"/>
        <w:numPr>
          <w:ilvl w:val="1"/>
          <w:numId w:val="1"/>
        </w:numPr>
        <w:tabs>
          <w:tab w:val="left" w:pos="1798"/>
        </w:tabs>
        <w:ind w:left="1798" w:hanging="358"/>
        <w:rPr>
          <w:sz w:val="24"/>
          <w:u w:val="none"/>
        </w:rPr>
      </w:pPr>
      <w:r>
        <w:rPr>
          <w:sz w:val="24"/>
          <w:u w:val="none"/>
        </w:rPr>
        <w:t>Legal</w:t>
      </w:r>
      <w:r>
        <w:rPr>
          <w:spacing w:val="-2"/>
          <w:sz w:val="24"/>
          <w:u w:val="none"/>
        </w:rPr>
        <w:t xml:space="preserve"> </w:t>
      </w:r>
      <w:r>
        <w:rPr>
          <w:sz w:val="24"/>
          <w:u w:val="none"/>
        </w:rPr>
        <w:t>certifications</w:t>
      </w:r>
      <w:r>
        <w:rPr>
          <w:spacing w:val="-2"/>
          <w:sz w:val="24"/>
          <w:u w:val="none"/>
        </w:rPr>
        <w:t xml:space="preserve"> </w:t>
      </w:r>
      <w:r>
        <w:rPr>
          <w:sz w:val="24"/>
          <w:u w:val="none"/>
        </w:rPr>
        <w:t>required</w:t>
      </w:r>
      <w:r>
        <w:rPr>
          <w:spacing w:val="-1"/>
          <w:sz w:val="24"/>
          <w:u w:val="none"/>
        </w:rPr>
        <w:t xml:space="preserve"> </w:t>
      </w:r>
      <w:r>
        <w:rPr>
          <w:sz w:val="24"/>
          <w:u w:val="none"/>
        </w:rPr>
        <w:t>by</w:t>
      </w:r>
      <w:r>
        <w:rPr>
          <w:spacing w:val="-4"/>
          <w:sz w:val="24"/>
          <w:u w:val="none"/>
        </w:rPr>
        <w:t xml:space="preserve"> </w:t>
      </w:r>
      <w:r>
        <w:rPr>
          <w:sz w:val="24"/>
          <w:u w:val="none"/>
        </w:rPr>
        <w:t>legal</w:t>
      </w:r>
      <w:r>
        <w:rPr>
          <w:spacing w:val="-2"/>
          <w:sz w:val="24"/>
          <w:u w:val="none"/>
        </w:rPr>
        <w:t xml:space="preserve"> agreements.</w:t>
      </w:r>
    </w:p>
    <w:p w:rsidR="00D05178" w14:paraId="0DAABE64" w14:textId="77777777">
      <w:pPr>
        <w:pStyle w:val="ListParagraph"/>
        <w:rPr>
          <w:sz w:val="24"/>
        </w:rPr>
        <w:sectPr>
          <w:type w:val="continuous"/>
          <w:pgSz w:w="12240" w:h="15840"/>
          <w:pgMar w:top="1380" w:right="360" w:bottom="280" w:left="360" w:header="720" w:footer="720" w:gutter="0"/>
          <w:cols w:space="720"/>
        </w:sectPr>
      </w:pPr>
    </w:p>
    <w:p w:rsidR="00D05178" w14:paraId="6A56C10A" w14:textId="77777777">
      <w:pPr>
        <w:pStyle w:val="ListParagraph"/>
        <w:numPr>
          <w:ilvl w:val="0"/>
          <w:numId w:val="1"/>
        </w:numPr>
        <w:tabs>
          <w:tab w:val="left" w:pos="1440"/>
        </w:tabs>
        <w:spacing w:before="60"/>
        <w:rPr>
          <w:sz w:val="24"/>
          <w:u w:val="none"/>
        </w:rPr>
      </w:pPr>
      <w:r>
        <w:rPr>
          <w:sz w:val="24"/>
        </w:rPr>
        <w:t>Use</w:t>
      </w:r>
      <w:r>
        <w:rPr>
          <w:spacing w:val="-3"/>
          <w:sz w:val="24"/>
        </w:rPr>
        <w:t xml:space="preserve"> </w:t>
      </w:r>
      <w:r>
        <w:rPr>
          <w:sz w:val="24"/>
        </w:rPr>
        <w:t xml:space="preserve">of the </w:t>
      </w:r>
      <w:r>
        <w:rPr>
          <w:spacing w:val="-4"/>
          <w:sz w:val="24"/>
        </w:rPr>
        <w:t>data</w:t>
      </w:r>
    </w:p>
    <w:p w:rsidR="00D05178" w14:paraId="1D389E1D" w14:textId="77777777">
      <w:pPr>
        <w:pStyle w:val="BodyText"/>
      </w:pPr>
    </w:p>
    <w:p w:rsidR="00D05178" w14:paraId="20166D38" w14:textId="77777777">
      <w:pPr>
        <w:pStyle w:val="BodyText"/>
        <w:ind w:left="1080" w:right="1002"/>
      </w:pPr>
      <w:r>
        <w:t>The information reported will allow Treasury to (1) adjust the baseline amount of qualified lending</w:t>
      </w:r>
      <w:r>
        <w:rPr>
          <w:spacing w:val="-3"/>
        </w:rPr>
        <w:t xml:space="preserve"> </w:t>
      </w:r>
      <w:r>
        <w:t>as</w:t>
      </w:r>
      <w:r>
        <w:rPr>
          <w:spacing w:val="-3"/>
        </w:rPr>
        <w:t xml:space="preserve"> </w:t>
      </w:r>
      <w:r>
        <w:t>a</w:t>
      </w:r>
      <w:r>
        <w:rPr>
          <w:spacing w:val="-4"/>
        </w:rPr>
        <w:t xml:space="preserve"> </w:t>
      </w:r>
      <w:r>
        <w:t>result</w:t>
      </w:r>
      <w:r>
        <w:rPr>
          <w:spacing w:val="-3"/>
        </w:rPr>
        <w:t xml:space="preserve"> </w:t>
      </w:r>
      <w:r>
        <w:t>of</w:t>
      </w:r>
      <w:r>
        <w:rPr>
          <w:spacing w:val="-4"/>
        </w:rPr>
        <w:t xml:space="preserve"> </w:t>
      </w:r>
      <w:r>
        <w:t>mergers</w:t>
      </w:r>
      <w:r>
        <w:rPr>
          <w:spacing w:val="-3"/>
        </w:rPr>
        <w:t xml:space="preserve"> </w:t>
      </w:r>
      <w:r>
        <w:t>and</w:t>
      </w:r>
      <w:r>
        <w:rPr>
          <w:spacing w:val="-3"/>
        </w:rPr>
        <w:t xml:space="preserve"> </w:t>
      </w:r>
      <w:r>
        <w:t>acquisitions;</w:t>
      </w:r>
      <w:r>
        <w:rPr>
          <w:spacing w:val="-3"/>
        </w:rPr>
        <w:t xml:space="preserve"> </w:t>
      </w:r>
      <w:r>
        <w:t>(2)</w:t>
      </w:r>
      <w:r>
        <w:rPr>
          <w:spacing w:val="-4"/>
        </w:rPr>
        <w:t xml:space="preserve"> </w:t>
      </w:r>
      <w:r>
        <w:t>review</w:t>
      </w:r>
      <w:r>
        <w:rPr>
          <w:spacing w:val="-4"/>
        </w:rPr>
        <w:t xml:space="preserve"> </w:t>
      </w:r>
      <w:r>
        <w:t>details</w:t>
      </w:r>
      <w:r>
        <w:rPr>
          <w:spacing w:val="-3"/>
        </w:rPr>
        <w:t xml:space="preserve"> </w:t>
      </w:r>
      <w:r>
        <w:t>on</w:t>
      </w:r>
      <w:r>
        <w:rPr>
          <w:spacing w:val="-3"/>
        </w:rPr>
        <w:t xml:space="preserve"> </w:t>
      </w:r>
      <w:r>
        <w:t>the</w:t>
      </w:r>
      <w:r>
        <w:rPr>
          <w:spacing w:val="-3"/>
        </w:rPr>
        <w:t xml:space="preserve"> </w:t>
      </w:r>
      <w:r>
        <w:t>composition</w:t>
      </w:r>
      <w:r>
        <w:rPr>
          <w:spacing w:val="-3"/>
        </w:rPr>
        <w:t xml:space="preserve"> </w:t>
      </w:r>
      <w:r>
        <w:t>of</w:t>
      </w:r>
      <w:r>
        <w:rPr>
          <w:spacing w:val="-4"/>
        </w:rPr>
        <w:t xml:space="preserve"> </w:t>
      </w:r>
      <w:r>
        <w:t>qualified lending for each applicant for purposes of determining qualification for rate reductions for payments due to Treasury and program evaluation; and (3) facilitate compliance with legal agreements, as well as for complying with any reporting, recordkeeping, and transparency requirements under the Act.</w:t>
      </w:r>
    </w:p>
    <w:p w:rsidR="00D05178" w14:paraId="1768B70B" w14:textId="77777777">
      <w:pPr>
        <w:pStyle w:val="BodyText"/>
      </w:pPr>
    </w:p>
    <w:p w:rsidR="00D05178" w14:paraId="2742CF3B" w14:textId="77777777">
      <w:pPr>
        <w:pStyle w:val="ListParagraph"/>
        <w:numPr>
          <w:ilvl w:val="0"/>
          <w:numId w:val="1"/>
        </w:numPr>
        <w:tabs>
          <w:tab w:val="left" w:pos="1440"/>
        </w:tabs>
        <w:rPr>
          <w:sz w:val="24"/>
          <w:u w:val="none"/>
        </w:rPr>
      </w:pPr>
      <w:r>
        <w:rPr>
          <w:sz w:val="24"/>
        </w:rPr>
        <w:t>Use</w:t>
      </w:r>
      <w:r>
        <w:rPr>
          <w:spacing w:val="-2"/>
          <w:sz w:val="24"/>
        </w:rPr>
        <w:t xml:space="preserve"> </w:t>
      </w:r>
      <w:r>
        <w:rPr>
          <w:sz w:val="24"/>
        </w:rPr>
        <w:t>of</w:t>
      </w:r>
      <w:r>
        <w:rPr>
          <w:spacing w:val="-2"/>
          <w:sz w:val="24"/>
        </w:rPr>
        <w:t xml:space="preserve"> </w:t>
      </w:r>
      <w:r>
        <w:rPr>
          <w:sz w:val="24"/>
        </w:rPr>
        <w:t>information</w:t>
      </w:r>
      <w:r>
        <w:rPr>
          <w:spacing w:val="-1"/>
          <w:sz w:val="24"/>
        </w:rPr>
        <w:t xml:space="preserve"> </w:t>
      </w:r>
      <w:r>
        <w:rPr>
          <w:spacing w:val="-2"/>
          <w:sz w:val="24"/>
        </w:rPr>
        <w:t>technology</w:t>
      </w:r>
    </w:p>
    <w:p w:rsidR="00D05178" w14:paraId="4914C0AE" w14:textId="77777777">
      <w:pPr>
        <w:pStyle w:val="BodyText"/>
      </w:pPr>
    </w:p>
    <w:p w:rsidR="00D05178" w14:paraId="3C30C088" w14:textId="77777777">
      <w:pPr>
        <w:pStyle w:val="BodyText"/>
        <w:ind w:left="1080"/>
      </w:pPr>
      <w:r>
        <w:t>Treasury</w:t>
      </w:r>
      <w:r>
        <w:rPr>
          <w:spacing w:val="-3"/>
        </w:rPr>
        <w:t xml:space="preserve"> </w:t>
      </w:r>
      <w:r>
        <w:t>will</w:t>
      </w:r>
      <w:r>
        <w:rPr>
          <w:spacing w:val="-2"/>
        </w:rPr>
        <w:t xml:space="preserve"> </w:t>
      </w:r>
      <w:r>
        <w:t>collect</w:t>
      </w:r>
      <w:r>
        <w:rPr>
          <w:spacing w:val="-2"/>
        </w:rPr>
        <w:t xml:space="preserve"> </w:t>
      </w:r>
      <w:r>
        <w:t>data</w:t>
      </w:r>
      <w:r>
        <w:rPr>
          <w:spacing w:val="-2"/>
        </w:rPr>
        <w:t xml:space="preserve"> </w:t>
      </w:r>
      <w:r>
        <w:t>through</w:t>
      </w:r>
      <w:r>
        <w:rPr>
          <w:spacing w:val="-2"/>
        </w:rPr>
        <w:t xml:space="preserve"> </w:t>
      </w:r>
      <w:r>
        <w:t>a</w:t>
      </w:r>
      <w:r>
        <w:rPr>
          <w:spacing w:val="-2"/>
        </w:rPr>
        <w:t xml:space="preserve"> </w:t>
      </w:r>
      <w:r>
        <w:t>Salesforce-based</w:t>
      </w:r>
      <w:r>
        <w:rPr>
          <w:spacing w:val="-1"/>
        </w:rPr>
        <w:t xml:space="preserve"> </w:t>
      </w:r>
      <w:r>
        <w:t>system</w:t>
      </w:r>
      <w:r>
        <w:rPr>
          <w:spacing w:val="-2"/>
        </w:rPr>
        <w:t xml:space="preserve"> </w:t>
      </w:r>
      <w:r>
        <w:t>that</w:t>
      </w:r>
      <w:r>
        <w:rPr>
          <w:spacing w:val="-2"/>
        </w:rPr>
        <w:t xml:space="preserve"> </w:t>
      </w:r>
      <w:r>
        <w:t>requires</w:t>
      </w:r>
      <w:r>
        <w:rPr>
          <w:spacing w:val="-2"/>
        </w:rPr>
        <w:t xml:space="preserve"> </w:t>
      </w:r>
      <w:r>
        <w:t>upload</w:t>
      </w:r>
      <w:r>
        <w:rPr>
          <w:spacing w:val="-2"/>
        </w:rPr>
        <w:t xml:space="preserve"> </w:t>
      </w:r>
      <w:r>
        <w:t>of</w:t>
      </w:r>
      <w:r>
        <w:rPr>
          <w:spacing w:val="-2"/>
        </w:rPr>
        <w:t xml:space="preserve"> </w:t>
      </w:r>
      <w:r>
        <w:t>.xlsx</w:t>
      </w:r>
      <w:r>
        <w:rPr>
          <w:spacing w:val="-1"/>
        </w:rPr>
        <w:t xml:space="preserve"> </w:t>
      </w:r>
      <w:r>
        <w:rPr>
          <w:spacing w:val="-2"/>
        </w:rPr>
        <w:t>files,</w:t>
      </w:r>
    </w:p>
    <w:p w:rsidR="00D05178" w14:paraId="3556FBC5" w14:textId="77777777">
      <w:pPr>
        <w:pStyle w:val="BodyText"/>
        <w:ind w:left="1080"/>
      </w:pPr>
      <w:r>
        <w:t>.csv</w:t>
      </w:r>
      <w:r>
        <w:rPr>
          <w:spacing w:val="-4"/>
        </w:rPr>
        <w:t xml:space="preserve"> </w:t>
      </w:r>
      <w:r>
        <w:t>files,</w:t>
      </w:r>
      <w:r>
        <w:rPr>
          <w:spacing w:val="-2"/>
        </w:rPr>
        <w:t xml:space="preserve"> </w:t>
      </w:r>
      <w:r>
        <w:t>upload</w:t>
      </w:r>
      <w:r>
        <w:rPr>
          <w:spacing w:val="-1"/>
        </w:rPr>
        <w:t xml:space="preserve"> </w:t>
      </w:r>
      <w:r>
        <w:t>of</w:t>
      </w:r>
      <w:r>
        <w:rPr>
          <w:spacing w:val="-2"/>
        </w:rPr>
        <w:t xml:space="preserve"> </w:t>
      </w:r>
      <w:r>
        <w:t>attachments,</w:t>
      </w:r>
      <w:r>
        <w:rPr>
          <w:spacing w:val="-1"/>
        </w:rPr>
        <w:t xml:space="preserve"> </w:t>
      </w:r>
      <w:r>
        <w:t>or</w:t>
      </w:r>
      <w:r>
        <w:rPr>
          <w:spacing w:val="-2"/>
        </w:rPr>
        <w:t xml:space="preserve"> </w:t>
      </w:r>
      <w:r>
        <w:t>direct</w:t>
      </w:r>
      <w:r>
        <w:rPr>
          <w:spacing w:val="-1"/>
        </w:rPr>
        <w:t xml:space="preserve"> </w:t>
      </w:r>
      <w:r>
        <w:t>data</w:t>
      </w:r>
      <w:r>
        <w:rPr>
          <w:spacing w:val="-2"/>
        </w:rPr>
        <w:t xml:space="preserve"> </w:t>
      </w:r>
      <w:r>
        <w:t>entry</w:t>
      </w:r>
      <w:r>
        <w:rPr>
          <w:spacing w:val="-1"/>
        </w:rPr>
        <w:t xml:space="preserve"> </w:t>
      </w:r>
      <w:r>
        <w:t>into</w:t>
      </w:r>
      <w:r>
        <w:rPr>
          <w:spacing w:val="-2"/>
        </w:rPr>
        <w:t xml:space="preserve"> </w:t>
      </w:r>
      <w:r>
        <w:t>the</w:t>
      </w:r>
      <w:r>
        <w:rPr>
          <w:spacing w:val="-2"/>
        </w:rPr>
        <w:t xml:space="preserve"> platform.</w:t>
      </w:r>
    </w:p>
    <w:p w:rsidR="00D05178" w14:paraId="650590A7" w14:textId="77777777">
      <w:pPr>
        <w:pStyle w:val="BodyText"/>
      </w:pPr>
    </w:p>
    <w:p w:rsidR="00D05178" w14:paraId="218B3993" w14:textId="77777777">
      <w:pPr>
        <w:pStyle w:val="ListParagraph"/>
        <w:numPr>
          <w:ilvl w:val="0"/>
          <w:numId w:val="1"/>
        </w:numPr>
        <w:tabs>
          <w:tab w:val="left" w:pos="1440"/>
        </w:tabs>
        <w:rPr>
          <w:sz w:val="24"/>
          <w:u w:val="none"/>
        </w:rPr>
      </w:pPr>
      <w:r>
        <w:rPr>
          <w:sz w:val="24"/>
        </w:rPr>
        <w:t>Efforts</w:t>
      </w:r>
      <w:r>
        <w:rPr>
          <w:spacing w:val="-4"/>
          <w:sz w:val="24"/>
        </w:rPr>
        <w:t xml:space="preserve"> </w:t>
      </w:r>
      <w:r>
        <w:rPr>
          <w:sz w:val="24"/>
        </w:rPr>
        <w:t>to</w:t>
      </w:r>
      <w:r>
        <w:rPr>
          <w:spacing w:val="-4"/>
          <w:sz w:val="24"/>
        </w:rPr>
        <w:t xml:space="preserve"> </w:t>
      </w:r>
      <w:r>
        <w:rPr>
          <w:sz w:val="24"/>
        </w:rPr>
        <w:t>identify</w:t>
      </w:r>
      <w:r>
        <w:rPr>
          <w:spacing w:val="-1"/>
          <w:sz w:val="24"/>
        </w:rPr>
        <w:t xml:space="preserve"> </w:t>
      </w:r>
      <w:r>
        <w:rPr>
          <w:spacing w:val="-2"/>
          <w:sz w:val="24"/>
        </w:rPr>
        <w:t>duplication</w:t>
      </w:r>
    </w:p>
    <w:p w:rsidR="00D05178" w14:paraId="752C8D3F" w14:textId="77777777">
      <w:pPr>
        <w:pStyle w:val="BodyText"/>
      </w:pPr>
    </w:p>
    <w:p w:rsidR="00D05178" w14:paraId="4933A9B7" w14:textId="5B949181">
      <w:pPr>
        <w:pStyle w:val="BodyText"/>
        <w:ind w:left="1079" w:right="1135"/>
      </w:pPr>
      <w:r>
        <w:t>The</w:t>
      </w:r>
      <w:r>
        <w:rPr>
          <w:spacing w:val="-3"/>
        </w:rPr>
        <w:t xml:space="preserve"> </w:t>
      </w:r>
      <w:r>
        <w:t>information</w:t>
      </w:r>
      <w:r>
        <w:rPr>
          <w:spacing w:val="-3"/>
        </w:rPr>
        <w:t xml:space="preserve"> </w:t>
      </w:r>
      <w:r w:rsidR="00B63137">
        <w:rPr>
          <w:spacing w:val="-3"/>
        </w:rPr>
        <w:t>i</w:t>
      </w:r>
      <w:r w:rsidR="00CF5FC4">
        <w:rPr>
          <w:spacing w:val="-3"/>
        </w:rPr>
        <w:t xml:space="preserve">s </w:t>
      </w:r>
      <w:r>
        <w:t>collected</w:t>
      </w:r>
      <w:r>
        <w:rPr>
          <w:spacing w:val="-3"/>
        </w:rPr>
        <w:t xml:space="preserve"> </w:t>
      </w:r>
      <w:r>
        <w:t>under</w:t>
      </w:r>
      <w:r>
        <w:rPr>
          <w:spacing w:val="-4"/>
        </w:rPr>
        <w:t xml:space="preserve"> </w:t>
      </w:r>
      <w:r>
        <w:t>statutory</w:t>
      </w:r>
      <w:r>
        <w:rPr>
          <w:spacing w:val="-3"/>
        </w:rPr>
        <w:t xml:space="preserve"> </w:t>
      </w:r>
      <w:r>
        <w:t>mandates</w:t>
      </w:r>
      <w:r>
        <w:rPr>
          <w:spacing w:val="-4"/>
        </w:rPr>
        <w:t xml:space="preserve"> </w:t>
      </w:r>
      <w:r>
        <w:t>or</w:t>
      </w:r>
      <w:r>
        <w:rPr>
          <w:spacing w:val="-3"/>
        </w:rPr>
        <w:t xml:space="preserve"> </w:t>
      </w:r>
      <w:r>
        <w:t>result</w:t>
      </w:r>
      <w:r>
        <w:rPr>
          <w:spacing w:val="-3"/>
        </w:rPr>
        <w:t xml:space="preserve"> </w:t>
      </w:r>
      <w:r>
        <w:t>from</w:t>
      </w:r>
      <w:r>
        <w:rPr>
          <w:spacing w:val="-3"/>
        </w:rPr>
        <w:t xml:space="preserve"> </w:t>
      </w:r>
      <w:r>
        <w:t>legal</w:t>
      </w:r>
      <w:r>
        <w:rPr>
          <w:spacing w:val="-3"/>
        </w:rPr>
        <w:t xml:space="preserve"> </w:t>
      </w:r>
      <w:r>
        <w:t>agreements implementing the statute.</w:t>
      </w:r>
      <w:r>
        <w:rPr>
          <w:spacing w:val="40"/>
        </w:rPr>
        <w:t xml:space="preserve"> </w:t>
      </w:r>
      <w:r>
        <w:t>None of the information is known to overlap with any other data collected under any other information collections at Treasury.</w:t>
      </w:r>
    </w:p>
    <w:p w:rsidR="00D05178" w14:paraId="5E02A6D3" w14:textId="77777777">
      <w:pPr>
        <w:pStyle w:val="BodyText"/>
      </w:pPr>
    </w:p>
    <w:p w:rsidR="00D05178" w14:paraId="26C6C239" w14:textId="77777777">
      <w:pPr>
        <w:pStyle w:val="BodyText"/>
        <w:spacing w:before="1"/>
        <w:ind w:left="1079" w:right="1135"/>
      </w:pPr>
      <w:r>
        <w:t>The</w:t>
      </w:r>
      <w:r>
        <w:rPr>
          <w:spacing w:val="-3"/>
        </w:rPr>
        <w:t xml:space="preserve"> </w:t>
      </w:r>
      <w:r>
        <w:t>information</w:t>
      </w:r>
      <w:r>
        <w:rPr>
          <w:spacing w:val="-3"/>
        </w:rPr>
        <w:t xml:space="preserve"> </w:t>
      </w:r>
      <w:r>
        <w:t>being</w:t>
      </w:r>
      <w:r>
        <w:rPr>
          <w:spacing w:val="-3"/>
        </w:rPr>
        <w:t xml:space="preserve"> </w:t>
      </w:r>
      <w:r>
        <w:t>collected</w:t>
      </w:r>
      <w:r>
        <w:rPr>
          <w:spacing w:val="-3"/>
        </w:rPr>
        <w:t xml:space="preserve"> </w:t>
      </w:r>
      <w:r>
        <w:t>is</w:t>
      </w:r>
      <w:r>
        <w:rPr>
          <w:spacing w:val="-3"/>
        </w:rPr>
        <w:t xml:space="preserve"> </w:t>
      </w:r>
      <w:r>
        <w:t>not</w:t>
      </w:r>
      <w:r>
        <w:rPr>
          <w:spacing w:val="-3"/>
        </w:rPr>
        <w:t xml:space="preserve"> </w:t>
      </w:r>
      <w:r>
        <w:t>publicly</w:t>
      </w:r>
      <w:r>
        <w:rPr>
          <w:spacing w:val="-3"/>
        </w:rPr>
        <w:t xml:space="preserve"> </w:t>
      </w:r>
      <w:r>
        <w:t>available</w:t>
      </w:r>
      <w:r>
        <w:rPr>
          <w:spacing w:val="-3"/>
        </w:rPr>
        <w:t xml:space="preserve"> </w:t>
      </w:r>
      <w:r>
        <w:t>and</w:t>
      </w:r>
      <w:r>
        <w:rPr>
          <w:spacing w:val="-5"/>
        </w:rPr>
        <w:t xml:space="preserve"> </w:t>
      </w:r>
      <w:r>
        <w:t>can</w:t>
      </w:r>
      <w:r>
        <w:rPr>
          <w:spacing w:val="-3"/>
        </w:rPr>
        <w:t xml:space="preserve"> </w:t>
      </w:r>
      <w:r>
        <w:t>only</w:t>
      </w:r>
      <w:r>
        <w:rPr>
          <w:spacing w:val="-3"/>
        </w:rPr>
        <w:t xml:space="preserve"> </w:t>
      </w:r>
      <w:r>
        <w:t>be</w:t>
      </w:r>
      <w:r>
        <w:rPr>
          <w:spacing w:val="-4"/>
        </w:rPr>
        <w:t xml:space="preserve"> </w:t>
      </w:r>
      <w:r>
        <w:t>collected</w:t>
      </w:r>
      <w:r>
        <w:rPr>
          <w:spacing w:val="-5"/>
        </w:rPr>
        <w:t xml:space="preserve"> </w:t>
      </w:r>
      <w:r>
        <w:t>from</w:t>
      </w:r>
      <w:r>
        <w:rPr>
          <w:spacing w:val="-3"/>
        </w:rPr>
        <w:t xml:space="preserve"> </w:t>
      </w:r>
      <w:r>
        <w:t xml:space="preserve">the </w:t>
      </w:r>
      <w:r>
        <w:rPr>
          <w:spacing w:val="-2"/>
        </w:rPr>
        <w:t>participants.</w:t>
      </w:r>
    </w:p>
    <w:p w:rsidR="00D05178" w14:paraId="3215C8D1" w14:textId="77777777">
      <w:pPr>
        <w:pStyle w:val="ListParagraph"/>
        <w:numPr>
          <w:ilvl w:val="0"/>
          <w:numId w:val="1"/>
        </w:numPr>
        <w:tabs>
          <w:tab w:val="left" w:pos="1439"/>
        </w:tabs>
        <w:spacing w:before="276"/>
        <w:ind w:left="1439"/>
        <w:rPr>
          <w:sz w:val="24"/>
          <w:u w:val="none"/>
        </w:rPr>
      </w:pPr>
      <w:r>
        <w:rPr>
          <w:sz w:val="24"/>
        </w:rPr>
        <w:t>Impact</w:t>
      </w:r>
      <w:r>
        <w:rPr>
          <w:spacing w:val="-1"/>
          <w:sz w:val="24"/>
        </w:rPr>
        <w:t xml:space="preserve"> </w:t>
      </w:r>
      <w:r>
        <w:rPr>
          <w:sz w:val="24"/>
        </w:rPr>
        <w:t>on</w:t>
      </w:r>
      <w:r>
        <w:rPr>
          <w:spacing w:val="-1"/>
          <w:sz w:val="24"/>
        </w:rPr>
        <w:t xml:space="preserve"> </w:t>
      </w:r>
      <w:r>
        <w:rPr>
          <w:sz w:val="24"/>
        </w:rPr>
        <w:t>small</w:t>
      </w:r>
      <w:r>
        <w:rPr>
          <w:spacing w:val="-1"/>
          <w:sz w:val="24"/>
        </w:rPr>
        <w:t xml:space="preserve"> </w:t>
      </w:r>
      <w:r>
        <w:rPr>
          <w:spacing w:val="-2"/>
          <w:sz w:val="24"/>
        </w:rPr>
        <w:t>entities</w:t>
      </w:r>
    </w:p>
    <w:p w:rsidR="00D05178" w14:paraId="08C5D80A" w14:textId="77777777">
      <w:pPr>
        <w:pStyle w:val="BodyText"/>
        <w:spacing w:before="274"/>
        <w:ind w:left="1080" w:right="1135"/>
      </w:pPr>
      <w:r>
        <w:t>This collection of information will impact small financial institutions participating in the program</w:t>
      </w:r>
      <w:r>
        <w:rPr>
          <w:spacing w:val="-4"/>
        </w:rPr>
        <w:t xml:space="preserve"> </w:t>
      </w:r>
      <w:r>
        <w:t>similar</w:t>
      </w:r>
      <w:r>
        <w:rPr>
          <w:spacing w:val="-3"/>
        </w:rPr>
        <w:t xml:space="preserve"> </w:t>
      </w:r>
      <w:r>
        <w:t>to</w:t>
      </w:r>
      <w:r>
        <w:rPr>
          <w:spacing w:val="-3"/>
        </w:rPr>
        <w:t xml:space="preserve"> </w:t>
      </w:r>
      <w:r>
        <w:t>other</w:t>
      </w:r>
      <w:r>
        <w:rPr>
          <w:spacing w:val="-4"/>
        </w:rPr>
        <w:t xml:space="preserve"> </w:t>
      </w:r>
      <w:r>
        <w:t>institutions.</w:t>
      </w:r>
      <w:r>
        <w:rPr>
          <w:spacing w:val="40"/>
        </w:rPr>
        <w:t xml:space="preserve"> </w:t>
      </w:r>
      <w:r>
        <w:t>Due</w:t>
      </w:r>
      <w:r>
        <w:rPr>
          <w:spacing w:val="-3"/>
        </w:rPr>
        <w:t xml:space="preserve"> </w:t>
      </w:r>
      <w:r>
        <w:t>to</w:t>
      </w:r>
      <w:r>
        <w:rPr>
          <w:spacing w:val="-3"/>
        </w:rPr>
        <w:t xml:space="preserve"> </w:t>
      </w:r>
      <w:r>
        <w:t>statutory</w:t>
      </w:r>
      <w:r>
        <w:rPr>
          <w:spacing w:val="-3"/>
        </w:rPr>
        <w:t xml:space="preserve"> </w:t>
      </w:r>
      <w:r>
        <w:t>and</w:t>
      </w:r>
      <w:r>
        <w:rPr>
          <w:spacing w:val="-5"/>
        </w:rPr>
        <w:t xml:space="preserve"> </w:t>
      </w:r>
      <w:r>
        <w:t>legal</w:t>
      </w:r>
      <w:r>
        <w:rPr>
          <w:spacing w:val="-3"/>
        </w:rPr>
        <w:t xml:space="preserve"> </w:t>
      </w:r>
      <w:r>
        <w:t>requirements,</w:t>
      </w:r>
      <w:r>
        <w:rPr>
          <w:spacing w:val="-3"/>
        </w:rPr>
        <w:t xml:space="preserve"> </w:t>
      </w:r>
      <w:r>
        <w:t>all</w:t>
      </w:r>
      <w:r>
        <w:rPr>
          <w:spacing w:val="-3"/>
        </w:rPr>
        <w:t xml:space="preserve"> </w:t>
      </w:r>
      <w:r>
        <w:t>institutions</w:t>
      </w:r>
      <w:r>
        <w:rPr>
          <w:spacing w:val="-3"/>
        </w:rPr>
        <w:t xml:space="preserve"> </w:t>
      </w:r>
      <w:r>
        <w:t>are subject to the same reporting requirements.</w:t>
      </w:r>
    </w:p>
    <w:p w:rsidR="00D05178" w14:paraId="28FDB081" w14:textId="77777777">
      <w:pPr>
        <w:pStyle w:val="BodyText"/>
      </w:pPr>
    </w:p>
    <w:p w:rsidR="00D05178" w14:paraId="27691989" w14:textId="77777777">
      <w:pPr>
        <w:pStyle w:val="ListParagraph"/>
        <w:numPr>
          <w:ilvl w:val="0"/>
          <w:numId w:val="1"/>
        </w:numPr>
        <w:tabs>
          <w:tab w:val="left" w:pos="1439"/>
        </w:tabs>
        <w:ind w:left="1439"/>
        <w:rPr>
          <w:sz w:val="24"/>
          <w:u w:val="none"/>
        </w:rPr>
      </w:pPr>
      <w:r>
        <w:rPr>
          <w:sz w:val="24"/>
        </w:rPr>
        <w:t>Consequences</w:t>
      </w:r>
      <w:r>
        <w:rPr>
          <w:spacing w:val="-2"/>
          <w:sz w:val="24"/>
        </w:rPr>
        <w:t xml:space="preserve"> </w:t>
      </w:r>
      <w:r>
        <w:rPr>
          <w:sz w:val="24"/>
        </w:rPr>
        <w:t>of</w:t>
      </w:r>
      <w:r>
        <w:rPr>
          <w:spacing w:val="-2"/>
          <w:sz w:val="24"/>
        </w:rPr>
        <w:t xml:space="preserve"> </w:t>
      </w:r>
      <w:r>
        <w:rPr>
          <w:sz w:val="24"/>
        </w:rPr>
        <w:t>less</w:t>
      </w:r>
      <w:r>
        <w:rPr>
          <w:spacing w:val="-1"/>
          <w:sz w:val="24"/>
        </w:rPr>
        <w:t xml:space="preserve"> </w:t>
      </w:r>
      <w:r>
        <w:rPr>
          <w:sz w:val="24"/>
        </w:rPr>
        <w:t>frequent</w:t>
      </w:r>
      <w:r>
        <w:rPr>
          <w:spacing w:val="-2"/>
          <w:sz w:val="24"/>
        </w:rPr>
        <w:t xml:space="preserve"> </w:t>
      </w:r>
      <w:r>
        <w:rPr>
          <w:sz w:val="24"/>
        </w:rPr>
        <w:t>collection</w:t>
      </w:r>
      <w:r>
        <w:rPr>
          <w:spacing w:val="-2"/>
          <w:sz w:val="24"/>
        </w:rPr>
        <w:t xml:space="preserve"> </w:t>
      </w:r>
      <w:r>
        <w:rPr>
          <w:sz w:val="24"/>
        </w:rPr>
        <w:t>and</w:t>
      </w:r>
      <w:r>
        <w:rPr>
          <w:spacing w:val="-1"/>
          <w:sz w:val="24"/>
        </w:rPr>
        <w:t xml:space="preserve"> </w:t>
      </w:r>
      <w:r>
        <w:rPr>
          <w:sz w:val="24"/>
        </w:rPr>
        <w:t>obstacles</w:t>
      </w:r>
      <w:r>
        <w:rPr>
          <w:spacing w:val="-2"/>
          <w:sz w:val="24"/>
        </w:rPr>
        <w:t xml:space="preserve"> </w:t>
      </w:r>
      <w:r>
        <w:rPr>
          <w:sz w:val="24"/>
        </w:rPr>
        <w:t>to</w:t>
      </w:r>
      <w:r>
        <w:rPr>
          <w:spacing w:val="-2"/>
          <w:sz w:val="24"/>
        </w:rPr>
        <w:t xml:space="preserve"> </w:t>
      </w:r>
      <w:r>
        <w:rPr>
          <w:sz w:val="24"/>
        </w:rPr>
        <w:t>burden</w:t>
      </w:r>
      <w:r>
        <w:rPr>
          <w:spacing w:val="-1"/>
          <w:sz w:val="24"/>
        </w:rPr>
        <w:t xml:space="preserve"> </w:t>
      </w:r>
      <w:r>
        <w:rPr>
          <w:spacing w:val="-2"/>
          <w:sz w:val="24"/>
        </w:rPr>
        <w:t>reduction</w:t>
      </w:r>
    </w:p>
    <w:p w:rsidR="00D05178" w14:paraId="060559FD" w14:textId="77777777">
      <w:pPr>
        <w:pStyle w:val="BodyText"/>
      </w:pPr>
    </w:p>
    <w:p w:rsidR="00D05178" w14:paraId="165A01C0" w14:textId="77777777">
      <w:pPr>
        <w:pStyle w:val="BodyText"/>
        <w:spacing w:before="1"/>
        <w:ind w:left="1080" w:right="1135"/>
      </w:pPr>
      <w:r>
        <w:t>Treasury</w:t>
      </w:r>
      <w:r>
        <w:rPr>
          <w:spacing w:val="-3"/>
        </w:rPr>
        <w:t xml:space="preserve"> </w:t>
      </w:r>
      <w:r>
        <w:t>will</w:t>
      </w:r>
      <w:r>
        <w:rPr>
          <w:spacing w:val="-3"/>
        </w:rPr>
        <w:t xml:space="preserve"> </w:t>
      </w:r>
      <w:r>
        <w:t>collect</w:t>
      </w:r>
      <w:r>
        <w:rPr>
          <w:spacing w:val="-4"/>
        </w:rPr>
        <w:t xml:space="preserve"> </w:t>
      </w:r>
      <w:r>
        <w:t>the</w:t>
      </w:r>
      <w:r>
        <w:rPr>
          <w:spacing w:val="-4"/>
        </w:rPr>
        <w:t xml:space="preserve"> </w:t>
      </w:r>
      <w:r>
        <w:t>information</w:t>
      </w:r>
      <w:r>
        <w:rPr>
          <w:spacing w:val="-5"/>
        </w:rPr>
        <w:t xml:space="preserve"> </w:t>
      </w:r>
      <w:r>
        <w:t>only</w:t>
      </w:r>
      <w:r>
        <w:rPr>
          <w:spacing w:val="-3"/>
        </w:rPr>
        <w:t xml:space="preserve"> </w:t>
      </w:r>
      <w:r>
        <w:t>to</w:t>
      </w:r>
      <w:r>
        <w:rPr>
          <w:spacing w:val="-3"/>
        </w:rPr>
        <w:t xml:space="preserve"> </w:t>
      </w:r>
      <w:r>
        <w:t>the</w:t>
      </w:r>
      <w:r>
        <w:rPr>
          <w:spacing w:val="-3"/>
        </w:rPr>
        <w:t xml:space="preserve"> </w:t>
      </w:r>
      <w:r>
        <w:t>extent</w:t>
      </w:r>
      <w:r>
        <w:rPr>
          <w:spacing w:val="-3"/>
        </w:rPr>
        <w:t xml:space="preserve"> </w:t>
      </w:r>
      <w:r>
        <w:t>necessary</w:t>
      </w:r>
      <w:r>
        <w:rPr>
          <w:spacing w:val="-3"/>
        </w:rPr>
        <w:t xml:space="preserve"> </w:t>
      </w:r>
      <w:r>
        <w:t>to</w:t>
      </w:r>
      <w:r>
        <w:rPr>
          <w:spacing w:val="-3"/>
        </w:rPr>
        <w:t xml:space="preserve"> </w:t>
      </w:r>
      <w:r>
        <w:t>administer</w:t>
      </w:r>
      <w:r>
        <w:rPr>
          <w:spacing w:val="-3"/>
        </w:rPr>
        <w:t xml:space="preserve"> </w:t>
      </w:r>
      <w:r>
        <w:t>the</w:t>
      </w:r>
      <w:r>
        <w:rPr>
          <w:spacing w:val="-4"/>
        </w:rPr>
        <w:t xml:space="preserve"> </w:t>
      </w:r>
      <w:r>
        <w:t>statutory, regulatory, and legal requirements of the program.</w:t>
      </w:r>
      <w:r>
        <w:rPr>
          <w:spacing w:val="40"/>
        </w:rPr>
        <w:t xml:space="preserve"> </w:t>
      </w:r>
      <w:r>
        <w:t>Treasury cannot meet its statutory requirement to implement the program without this information.</w:t>
      </w:r>
    </w:p>
    <w:p w:rsidR="00D05178" w14:paraId="1601D721" w14:textId="77777777">
      <w:pPr>
        <w:pStyle w:val="ListParagraph"/>
        <w:numPr>
          <w:ilvl w:val="0"/>
          <w:numId w:val="1"/>
        </w:numPr>
        <w:tabs>
          <w:tab w:val="left" w:pos="1440"/>
        </w:tabs>
        <w:spacing w:before="276"/>
        <w:rPr>
          <w:sz w:val="24"/>
          <w:u w:val="none"/>
        </w:rPr>
      </w:pPr>
      <w:r>
        <w:rPr>
          <w:sz w:val="24"/>
        </w:rPr>
        <w:t>Circumstances</w:t>
      </w:r>
      <w:r>
        <w:rPr>
          <w:spacing w:val="-3"/>
          <w:sz w:val="24"/>
        </w:rPr>
        <w:t xml:space="preserve"> </w:t>
      </w:r>
      <w:r>
        <w:rPr>
          <w:sz w:val="24"/>
        </w:rPr>
        <w:t>requiring</w:t>
      </w:r>
      <w:r>
        <w:rPr>
          <w:spacing w:val="-4"/>
          <w:sz w:val="24"/>
        </w:rPr>
        <w:t xml:space="preserve"> </w:t>
      </w:r>
      <w:r>
        <w:rPr>
          <w:sz w:val="24"/>
        </w:rPr>
        <w:t>special</w:t>
      </w:r>
      <w:r>
        <w:rPr>
          <w:spacing w:val="-2"/>
          <w:sz w:val="24"/>
        </w:rPr>
        <w:t xml:space="preserve"> </w:t>
      </w:r>
      <w:r>
        <w:rPr>
          <w:sz w:val="24"/>
        </w:rPr>
        <w:t>information</w:t>
      </w:r>
      <w:r>
        <w:rPr>
          <w:spacing w:val="-2"/>
          <w:sz w:val="24"/>
        </w:rPr>
        <w:t xml:space="preserve"> collection</w:t>
      </w:r>
    </w:p>
    <w:p w:rsidR="00D05178" w14:paraId="5FA6BF30" w14:textId="77777777">
      <w:pPr>
        <w:pStyle w:val="BodyText"/>
        <w:spacing w:before="276"/>
        <w:ind w:left="1080" w:right="1135"/>
      </w:pPr>
      <w:r>
        <w:t>There</w:t>
      </w:r>
      <w:r>
        <w:rPr>
          <w:spacing w:val="-3"/>
        </w:rPr>
        <w:t xml:space="preserve"> </w:t>
      </w:r>
      <w:r>
        <w:t>are</w:t>
      </w:r>
      <w:r>
        <w:rPr>
          <w:spacing w:val="-3"/>
        </w:rPr>
        <w:t xml:space="preserve"> </w:t>
      </w:r>
      <w:r>
        <w:t>no</w:t>
      </w:r>
      <w:r>
        <w:rPr>
          <w:spacing w:val="-5"/>
        </w:rPr>
        <w:t xml:space="preserve"> </w:t>
      </w:r>
      <w:r>
        <w:t>special</w:t>
      </w:r>
      <w:r>
        <w:rPr>
          <w:spacing w:val="-3"/>
        </w:rPr>
        <w:t xml:space="preserve"> </w:t>
      </w:r>
      <w:r>
        <w:t>circumstances</w:t>
      </w:r>
      <w:r>
        <w:rPr>
          <w:spacing w:val="-3"/>
        </w:rPr>
        <w:t xml:space="preserve"> </w:t>
      </w:r>
      <w:r>
        <w:t>that</w:t>
      </w:r>
      <w:r>
        <w:rPr>
          <w:spacing w:val="-3"/>
        </w:rPr>
        <w:t xml:space="preserve"> </w:t>
      </w:r>
      <w:r>
        <w:t>require</w:t>
      </w:r>
      <w:r>
        <w:rPr>
          <w:spacing w:val="-4"/>
        </w:rPr>
        <w:t xml:space="preserve"> </w:t>
      </w:r>
      <w:r>
        <w:t>the</w:t>
      </w:r>
      <w:r>
        <w:rPr>
          <w:spacing w:val="-3"/>
        </w:rPr>
        <w:t xml:space="preserve"> </w:t>
      </w:r>
      <w:r>
        <w:t>collection</w:t>
      </w:r>
      <w:r>
        <w:rPr>
          <w:spacing w:val="-3"/>
        </w:rPr>
        <w:t xml:space="preserve"> </w:t>
      </w:r>
      <w:r>
        <w:t>to</w:t>
      </w:r>
      <w:r>
        <w:rPr>
          <w:spacing w:val="-3"/>
        </w:rPr>
        <w:t xml:space="preserve"> </w:t>
      </w:r>
      <w:r>
        <w:t>be</w:t>
      </w:r>
      <w:r>
        <w:rPr>
          <w:spacing w:val="-3"/>
        </w:rPr>
        <w:t xml:space="preserve"> </w:t>
      </w:r>
      <w:r>
        <w:t>conducted</w:t>
      </w:r>
      <w:r>
        <w:rPr>
          <w:spacing w:val="-3"/>
        </w:rPr>
        <w:t xml:space="preserve"> </w:t>
      </w:r>
      <w:r>
        <w:t>in</w:t>
      </w:r>
      <w:r>
        <w:rPr>
          <w:spacing w:val="-5"/>
        </w:rPr>
        <w:t xml:space="preserve"> </w:t>
      </w:r>
      <w:r>
        <w:t>a</w:t>
      </w:r>
      <w:r>
        <w:rPr>
          <w:spacing w:val="-3"/>
        </w:rPr>
        <w:t xml:space="preserve"> </w:t>
      </w:r>
      <w:r>
        <w:t>manner inconsistent with OMB guidelines.</w:t>
      </w:r>
    </w:p>
    <w:p w:rsidR="00D05178" w14:paraId="1B01891A" w14:textId="77777777">
      <w:pPr>
        <w:pStyle w:val="ListParagraph"/>
        <w:numPr>
          <w:ilvl w:val="0"/>
          <w:numId w:val="1"/>
        </w:numPr>
        <w:tabs>
          <w:tab w:val="left" w:pos="1799"/>
        </w:tabs>
        <w:spacing w:before="276"/>
        <w:ind w:left="1080" w:right="1857" w:firstLine="0"/>
        <w:rPr>
          <w:sz w:val="24"/>
          <w:u w:val="none"/>
        </w:rPr>
      </w:pPr>
      <w:r>
        <w:rPr>
          <w:sz w:val="24"/>
        </w:rPr>
        <w:t>Solicitation</w:t>
      </w:r>
      <w:r>
        <w:rPr>
          <w:spacing w:val="-6"/>
          <w:sz w:val="24"/>
        </w:rPr>
        <w:t xml:space="preserve"> </w:t>
      </w:r>
      <w:r>
        <w:rPr>
          <w:sz w:val="24"/>
        </w:rPr>
        <w:t>of</w:t>
      </w:r>
      <w:r>
        <w:rPr>
          <w:spacing w:val="-4"/>
          <w:sz w:val="24"/>
        </w:rPr>
        <w:t xml:space="preserve"> </w:t>
      </w:r>
      <w:r>
        <w:rPr>
          <w:sz w:val="24"/>
        </w:rPr>
        <w:t>comments</w:t>
      </w:r>
      <w:r>
        <w:rPr>
          <w:spacing w:val="-4"/>
          <w:sz w:val="24"/>
        </w:rPr>
        <w:t xml:space="preserve"> </w:t>
      </w:r>
      <w:r>
        <w:rPr>
          <w:sz w:val="24"/>
        </w:rPr>
        <w:t>on</w:t>
      </w:r>
      <w:r>
        <w:rPr>
          <w:spacing w:val="-4"/>
          <w:sz w:val="24"/>
        </w:rPr>
        <w:t xml:space="preserve"> </w:t>
      </w:r>
      <w:r>
        <w:rPr>
          <w:sz w:val="24"/>
        </w:rPr>
        <w:t>information</w:t>
      </w:r>
      <w:r>
        <w:rPr>
          <w:spacing w:val="-4"/>
          <w:sz w:val="24"/>
        </w:rPr>
        <w:t xml:space="preserve"> </w:t>
      </w:r>
      <w:r>
        <w:rPr>
          <w:sz w:val="24"/>
        </w:rPr>
        <w:t>collection</w:t>
      </w:r>
      <w:r>
        <w:rPr>
          <w:spacing w:val="-4"/>
          <w:sz w:val="24"/>
        </w:rPr>
        <w:t xml:space="preserve"> </w:t>
      </w:r>
      <w:r>
        <w:rPr>
          <w:sz w:val="24"/>
        </w:rPr>
        <w:t>and</w:t>
      </w:r>
      <w:r>
        <w:rPr>
          <w:spacing w:val="-4"/>
          <w:sz w:val="24"/>
        </w:rPr>
        <w:t xml:space="preserve"> </w:t>
      </w:r>
      <w:r>
        <w:rPr>
          <w:sz w:val="24"/>
        </w:rPr>
        <w:t>justification</w:t>
      </w:r>
      <w:r>
        <w:rPr>
          <w:spacing w:val="-4"/>
          <w:sz w:val="24"/>
        </w:rPr>
        <w:t xml:space="preserve"> </w:t>
      </w:r>
      <w:r>
        <w:rPr>
          <w:sz w:val="24"/>
        </w:rPr>
        <w:t>for</w:t>
      </w:r>
      <w:r>
        <w:rPr>
          <w:spacing w:val="-4"/>
          <w:sz w:val="24"/>
        </w:rPr>
        <w:t xml:space="preserve"> </w:t>
      </w:r>
      <w:r>
        <w:rPr>
          <w:sz w:val="24"/>
        </w:rPr>
        <w:t>expedited</w:t>
      </w:r>
      <w:r>
        <w:rPr>
          <w:sz w:val="24"/>
          <w:u w:val="none"/>
        </w:rPr>
        <w:t xml:space="preserve"> </w:t>
      </w:r>
      <w:r>
        <w:rPr>
          <w:sz w:val="24"/>
        </w:rPr>
        <w:t>processing pursuant to 5 C.F.R. § 1320.13</w:t>
      </w:r>
    </w:p>
    <w:p w:rsidR="00D05178" w14:paraId="24F57D2B" w14:textId="77777777">
      <w:pPr>
        <w:pStyle w:val="ListParagraph"/>
        <w:rPr>
          <w:sz w:val="24"/>
        </w:rPr>
        <w:sectPr>
          <w:footerReference w:type="default" r:id="rId4"/>
          <w:pgSz w:w="12240" w:h="15840"/>
          <w:pgMar w:top="1380" w:right="360" w:bottom="980" w:left="360" w:header="0" w:footer="784" w:gutter="0"/>
          <w:pgNumType w:start="2"/>
          <w:cols w:space="720"/>
        </w:sectPr>
      </w:pPr>
    </w:p>
    <w:p w:rsidR="00D05178" w14:paraId="2EC4CD5B" w14:textId="77777777">
      <w:pPr>
        <w:pStyle w:val="BodyText"/>
      </w:pPr>
    </w:p>
    <w:p w:rsidR="00D05178" w14:paraId="4F06FA78" w14:textId="1EEBE5F5">
      <w:pPr>
        <w:pStyle w:val="BodyText"/>
        <w:spacing w:before="1"/>
        <w:ind w:left="1079" w:right="1172"/>
      </w:pPr>
      <w:r>
        <w:t xml:space="preserve">Treasury announced in the Federal Register on March 20, 2026 </w:t>
      </w:r>
      <w:r w:rsidR="000B609B">
        <w:t xml:space="preserve">(91 FR </w:t>
      </w:r>
      <w:r w:rsidRPr="000B609B" w:rsidR="000B609B">
        <w:t>13700</w:t>
      </w:r>
      <w:r w:rsidR="000B609B">
        <w:t xml:space="preserve">) </w:t>
      </w:r>
      <w:r w:rsidR="000F7C68">
        <w:t xml:space="preserve">that </w:t>
      </w:r>
      <w:r>
        <w:t>it was soliciting</w:t>
      </w:r>
      <w:r>
        <w:rPr>
          <w:spacing w:val="40"/>
        </w:rPr>
        <w:t xml:space="preserve"> </w:t>
      </w:r>
      <w:r>
        <w:t>comments for 60 days on the forms and instructions for (1) the Initial Supplemental Report,</w:t>
      </w:r>
      <w:r>
        <w:rPr>
          <w:spacing w:val="40"/>
        </w:rPr>
        <w:t xml:space="preserve"> </w:t>
      </w:r>
      <w:r>
        <w:t>(2) the Quarterly Supplemental</w:t>
      </w:r>
      <w:r>
        <w:rPr>
          <w:spacing w:val="-3"/>
        </w:rPr>
        <w:t xml:space="preserve"> </w:t>
      </w:r>
      <w:r>
        <w:t>Report,</w:t>
      </w:r>
      <w:r>
        <w:rPr>
          <w:spacing w:val="-5"/>
        </w:rPr>
        <w:t xml:space="preserve"> </w:t>
      </w:r>
      <w:r>
        <w:t>and</w:t>
      </w:r>
      <w:r>
        <w:rPr>
          <w:spacing w:val="-3"/>
        </w:rPr>
        <w:t xml:space="preserve"> </w:t>
      </w:r>
      <w:r>
        <w:t>(3)</w:t>
      </w:r>
      <w:r>
        <w:rPr>
          <w:spacing w:val="-3"/>
        </w:rPr>
        <w:t xml:space="preserve"> </w:t>
      </w:r>
      <w:r>
        <w:t>legal</w:t>
      </w:r>
      <w:r>
        <w:rPr>
          <w:spacing w:val="-4"/>
        </w:rPr>
        <w:t xml:space="preserve"> </w:t>
      </w:r>
      <w:r>
        <w:t>certifications,</w:t>
      </w:r>
      <w:r>
        <w:rPr>
          <w:spacing w:val="-3"/>
        </w:rPr>
        <w:t xml:space="preserve"> </w:t>
      </w:r>
      <w:r>
        <w:t>under</w:t>
      </w:r>
      <w:r>
        <w:rPr>
          <w:spacing w:val="-3"/>
        </w:rPr>
        <w:t xml:space="preserve"> </w:t>
      </w:r>
      <w:r w:rsidR="000F7C68">
        <w:t xml:space="preserve">OMB Control Number </w:t>
      </w:r>
      <w:r>
        <w:t>1505-0275.</w:t>
      </w:r>
      <w:r>
        <w:rPr>
          <w:spacing w:val="40"/>
        </w:rPr>
        <w:t xml:space="preserve"> </w:t>
      </w:r>
      <w:r>
        <w:t>No</w:t>
      </w:r>
      <w:r>
        <w:rPr>
          <w:spacing w:val="-3"/>
        </w:rPr>
        <w:t xml:space="preserve"> </w:t>
      </w:r>
      <w:r>
        <w:t>comments</w:t>
      </w:r>
      <w:r>
        <w:rPr>
          <w:spacing w:val="-3"/>
        </w:rPr>
        <w:t xml:space="preserve"> </w:t>
      </w:r>
      <w:r>
        <w:t>were received in response to the Federal Register notice.</w:t>
      </w:r>
      <w:r>
        <w:rPr>
          <w:spacing w:val="40"/>
        </w:rPr>
        <w:t xml:space="preserve"> </w:t>
      </w:r>
      <w:r>
        <w:t xml:space="preserve">Treasury made no edits to the forms and </w:t>
      </w:r>
      <w:r>
        <w:rPr>
          <w:spacing w:val="-2"/>
        </w:rPr>
        <w:t>instructions.</w:t>
      </w:r>
    </w:p>
    <w:p w:rsidR="00D05178" w14:paraId="4C575EB0" w14:textId="77777777">
      <w:pPr>
        <w:pStyle w:val="BodyText"/>
      </w:pPr>
    </w:p>
    <w:p w:rsidR="00D05178" w14:paraId="4ED856A2" w14:textId="77777777">
      <w:pPr>
        <w:pStyle w:val="ListParagraph"/>
        <w:numPr>
          <w:ilvl w:val="0"/>
          <w:numId w:val="1"/>
        </w:numPr>
        <w:tabs>
          <w:tab w:val="left" w:pos="1440"/>
        </w:tabs>
        <w:rPr>
          <w:sz w:val="24"/>
          <w:u w:val="none"/>
        </w:rPr>
      </w:pPr>
      <w:r>
        <w:rPr>
          <w:sz w:val="24"/>
        </w:rPr>
        <w:t>Provision</w:t>
      </w:r>
      <w:r>
        <w:rPr>
          <w:spacing w:val="-2"/>
          <w:sz w:val="24"/>
        </w:rPr>
        <w:t xml:space="preserve"> </w:t>
      </w:r>
      <w:r>
        <w:rPr>
          <w:sz w:val="24"/>
        </w:rPr>
        <w:t>of</w:t>
      </w:r>
      <w:r>
        <w:rPr>
          <w:spacing w:val="-1"/>
          <w:sz w:val="24"/>
        </w:rPr>
        <w:t xml:space="preserve"> </w:t>
      </w:r>
      <w:r>
        <w:rPr>
          <w:sz w:val="24"/>
        </w:rPr>
        <w:t>payments</w:t>
      </w:r>
      <w:r>
        <w:rPr>
          <w:spacing w:val="-2"/>
          <w:sz w:val="24"/>
        </w:rPr>
        <w:t xml:space="preserve"> </w:t>
      </w:r>
      <w:r>
        <w:rPr>
          <w:sz w:val="24"/>
        </w:rPr>
        <w:t>to</w:t>
      </w:r>
      <w:r>
        <w:rPr>
          <w:spacing w:val="-2"/>
          <w:sz w:val="24"/>
        </w:rPr>
        <w:t xml:space="preserve"> respondents</w:t>
      </w:r>
    </w:p>
    <w:p w:rsidR="00D05178" w14:paraId="5C8076BE" w14:textId="77777777">
      <w:pPr>
        <w:pStyle w:val="BodyText"/>
      </w:pPr>
    </w:p>
    <w:p w:rsidR="00D05178" w14:paraId="47583475" w14:textId="77777777">
      <w:pPr>
        <w:pStyle w:val="BodyText"/>
        <w:ind w:left="1080"/>
      </w:pPr>
      <w:r>
        <w:t>No</w:t>
      </w:r>
      <w:r>
        <w:rPr>
          <w:spacing w:val="-1"/>
        </w:rPr>
        <w:t xml:space="preserve"> </w:t>
      </w:r>
      <w:r>
        <w:t>payments</w:t>
      </w:r>
      <w:r>
        <w:rPr>
          <w:spacing w:val="-1"/>
        </w:rPr>
        <w:t xml:space="preserve"> </w:t>
      </w:r>
      <w:r>
        <w:t>or gifts</w:t>
      </w:r>
      <w:r>
        <w:rPr>
          <w:spacing w:val="-1"/>
        </w:rPr>
        <w:t xml:space="preserve"> </w:t>
      </w:r>
      <w:r>
        <w:t>are</w:t>
      </w:r>
      <w:r>
        <w:rPr>
          <w:spacing w:val="-1"/>
        </w:rPr>
        <w:t xml:space="preserve"> </w:t>
      </w:r>
      <w:r>
        <w:t>provided</w:t>
      </w:r>
      <w:r>
        <w:rPr>
          <w:spacing w:val="-3"/>
        </w:rPr>
        <w:t xml:space="preserve"> </w:t>
      </w:r>
      <w:r>
        <w:t>to</w:t>
      </w:r>
      <w:r>
        <w:rPr>
          <w:spacing w:val="-2"/>
        </w:rPr>
        <w:t xml:space="preserve"> respondents.</w:t>
      </w:r>
    </w:p>
    <w:p w:rsidR="00D05178" w14:paraId="1DE159C0" w14:textId="77777777">
      <w:pPr>
        <w:pStyle w:val="BodyText"/>
      </w:pPr>
    </w:p>
    <w:p w:rsidR="00D05178" w14:paraId="693CEE25" w14:textId="77777777">
      <w:pPr>
        <w:pStyle w:val="ListParagraph"/>
        <w:numPr>
          <w:ilvl w:val="0"/>
          <w:numId w:val="1"/>
        </w:numPr>
        <w:tabs>
          <w:tab w:val="left" w:pos="1440"/>
        </w:tabs>
        <w:rPr>
          <w:sz w:val="24"/>
          <w:u w:val="none"/>
        </w:rPr>
      </w:pPr>
      <w:r>
        <w:rPr>
          <w:sz w:val="24"/>
        </w:rPr>
        <w:t>Assurance</w:t>
      </w:r>
      <w:r>
        <w:rPr>
          <w:spacing w:val="-2"/>
          <w:sz w:val="24"/>
        </w:rPr>
        <w:t xml:space="preserve"> </w:t>
      </w:r>
      <w:r>
        <w:rPr>
          <w:sz w:val="24"/>
        </w:rPr>
        <w:t>of</w:t>
      </w:r>
      <w:r>
        <w:rPr>
          <w:spacing w:val="-1"/>
          <w:sz w:val="24"/>
        </w:rPr>
        <w:t xml:space="preserve"> </w:t>
      </w:r>
      <w:r>
        <w:rPr>
          <w:spacing w:val="-2"/>
          <w:sz w:val="24"/>
        </w:rPr>
        <w:t>confidentiality</w:t>
      </w:r>
    </w:p>
    <w:p w:rsidR="00D05178" w14:paraId="6188E1A6" w14:textId="77777777">
      <w:pPr>
        <w:pStyle w:val="BodyText"/>
      </w:pPr>
    </w:p>
    <w:p w:rsidR="00D05178" w14:paraId="5B457FD6" w14:textId="77777777">
      <w:pPr>
        <w:pStyle w:val="BodyText"/>
        <w:ind w:left="1080" w:right="1135"/>
      </w:pPr>
      <w:r>
        <w:t>Information</w:t>
      </w:r>
      <w:r>
        <w:rPr>
          <w:spacing w:val="-5"/>
        </w:rPr>
        <w:t xml:space="preserve"> </w:t>
      </w:r>
      <w:r>
        <w:t>collected</w:t>
      </w:r>
      <w:r>
        <w:rPr>
          <w:spacing w:val="-3"/>
        </w:rPr>
        <w:t xml:space="preserve"> </w:t>
      </w:r>
      <w:r>
        <w:t>will</w:t>
      </w:r>
      <w:r>
        <w:rPr>
          <w:spacing w:val="-3"/>
        </w:rPr>
        <w:t xml:space="preserve"> </w:t>
      </w:r>
      <w:r>
        <w:t>be</w:t>
      </w:r>
      <w:r>
        <w:rPr>
          <w:spacing w:val="-3"/>
        </w:rPr>
        <w:t xml:space="preserve"> </w:t>
      </w:r>
      <w:r>
        <w:t>kept</w:t>
      </w:r>
      <w:r>
        <w:rPr>
          <w:spacing w:val="-3"/>
        </w:rPr>
        <w:t xml:space="preserve"> </w:t>
      </w:r>
      <w:r>
        <w:t>confidential</w:t>
      </w:r>
      <w:r>
        <w:rPr>
          <w:spacing w:val="-3"/>
        </w:rPr>
        <w:t xml:space="preserve"> </w:t>
      </w:r>
      <w:r>
        <w:t>to</w:t>
      </w:r>
      <w:r>
        <w:rPr>
          <w:spacing w:val="-5"/>
        </w:rPr>
        <w:t xml:space="preserve"> </w:t>
      </w:r>
      <w:r>
        <w:t>the</w:t>
      </w:r>
      <w:r>
        <w:rPr>
          <w:spacing w:val="-3"/>
        </w:rPr>
        <w:t xml:space="preserve"> </w:t>
      </w:r>
      <w:r>
        <w:t>extent</w:t>
      </w:r>
      <w:r>
        <w:rPr>
          <w:spacing w:val="-3"/>
        </w:rPr>
        <w:t xml:space="preserve"> </w:t>
      </w:r>
      <w:r>
        <w:t>appropriate</w:t>
      </w:r>
      <w:r>
        <w:rPr>
          <w:spacing w:val="-3"/>
        </w:rPr>
        <w:t xml:space="preserve"> </w:t>
      </w:r>
      <w:r>
        <w:t>and</w:t>
      </w:r>
      <w:r>
        <w:rPr>
          <w:spacing w:val="-3"/>
        </w:rPr>
        <w:t xml:space="preserve"> </w:t>
      </w:r>
      <w:r>
        <w:t>consistent</w:t>
      </w:r>
      <w:r>
        <w:rPr>
          <w:spacing w:val="-4"/>
        </w:rPr>
        <w:t xml:space="preserve"> </w:t>
      </w:r>
      <w:r>
        <w:t>with</w:t>
      </w:r>
      <w:r>
        <w:rPr>
          <w:spacing w:val="-3"/>
        </w:rPr>
        <w:t xml:space="preserve"> </w:t>
      </w:r>
      <w:r>
        <w:t>the Freedom of Information Act and other applicable laws.</w:t>
      </w:r>
    </w:p>
    <w:p w:rsidR="00D05178" w14:paraId="1446091D" w14:textId="77777777">
      <w:pPr>
        <w:pStyle w:val="BodyText"/>
      </w:pPr>
    </w:p>
    <w:p w:rsidR="00D05178" w14:paraId="5DD8653D" w14:textId="77777777">
      <w:pPr>
        <w:pStyle w:val="ListParagraph"/>
        <w:numPr>
          <w:ilvl w:val="0"/>
          <w:numId w:val="1"/>
        </w:numPr>
        <w:tabs>
          <w:tab w:val="left" w:pos="1440"/>
        </w:tabs>
        <w:rPr>
          <w:sz w:val="24"/>
          <w:u w:val="none"/>
        </w:rPr>
      </w:pPr>
      <w:r>
        <w:rPr>
          <w:sz w:val="24"/>
        </w:rPr>
        <w:t>Justification</w:t>
      </w:r>
      <w:r>
        <w:rPr>
          <w:spacing w:val="-4"/>
          <w:sz w:val="24"/>
        </w:rPr>
        <w:t xml:space="preserve"> </w:t>
      </w:r>
      <w:r>
        <w:rPr>
          <w:sz w:val="24"/>
        </w:rPr>
        <w:t>of</w:t>
      </w:r>
      <w:r>
        <w:rPr>
          <w:spacing w:val="-2"/>
          <w:sz w:val="24"/>
        </w:rPr>
        <w:t xml:space="preserve"> </w:t>
      </w:r>
      <w:r>
        <w:rPr>
          <w:sz w:val="24"/>
        </w:rPr>
        <w:t>sensitive</w:t>
      </w:r>
      <w:r>
        <w:rPr>
          <w:spacing w:val="-2"/>
          <w:sz w:val="24"/>
        </w:rPr>
        <w:t xml:space="preserve"> questions</w:t>
      </w:r>
    </w:p>
    <w:p w:rsidR="00D05178" w14:paraId="51B0CED8" w14:textId="77777777">
      <w:pPr>
        <w:pStyle w:val="BodyText"/>
      </w:pPr>
    </w:p>
    <w:p w:rsidR="00D05178" w14:paraId="06FC0DB6" w14:textId="77777777">
      <w:pPr>
        <w:pStyle w:val="BodyText"/>
        <w:ind w:left="1080"/>
      </w:pPr>
      <w:r>
        <w:t>No</w:t>
      </w:r>
      <w:r>
        <w:rPr>
          <w:spacing w:val="-2"/>
        </w:rPr>
        <w:t xml:space="preserve"> </w:t>
      </w:r>
      <w:r>
        <w:t>sensitive</w:t>
      </w:r>
      <w:r>
        <w:rPr>
          <w:spacing w:val="-2"/>
        </w:rPr>
        <w:t xml:space="preserve"> </w:t>
      </w:r>
      <w:r>
        <w:t>questions</w:t>
      </w:r>
      <w:r>
        <w:rPr>
          <w:spacing w:val="-2"/>
        </w:rPr>
        <w:t xml:space="preserve"> </w:t>
      </w:r>
      <w:r>
        <w:t>will</w:t>
      </w:r>
      <w:r>
        <w:rPr>
          <w:spacing w:val="-1"/>
        </w:rPr>
        <w:t xml:space="preserve"> </w:t>
      </w:r>
      <w:r>
        <w:t>be</w:t>
      </w:r>
      <w:r>
        <w:rPr>
          <w:spacing w:val="-1"/>
        </w:rPr>
        <w:t xml:space="preserve"> </w:t>
      </w:r>
      <w:r>
        <w:rPr>
          <w:spacing w:val="-2"/>
        </w:rPr>
        <w:t>asked.</w:t>
      </w:r>
    </w:p>
    <w:p w:rsidR="00D05178" w14:paraId="0EA6BF69" w14:textId="77777777">
      <w:pPr>
        <w:pStyle w:val="BodyText"/>
      </w:pPr>
    </w:p>
    <w:p w:rsidR="00D05178" w14:paraId="2E09CCC7" w14:textId="77777777">
      <w:pPr>
        <w:pStyle w:val="ListParagraph"/>
        <w:numPr>
          <w:ilvl w:val="0"/>
          <w:numId w:val="1"/>
        </w:numPr>
        <w:tabs>
          <w:tab w:val="left" w:pos="1440"/>
        </w:tabs>
        <w:rPr>
          <w:sz w:val="24"/>
          <w:u w:val="none"/>
        </w:rPr>
      </w:pPr>
      <w:r>
        <w:rPr>
          <w:sz w:val="24"/>
        </w:rPr>
        <w:t>Estimate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annual</w:t>
      </w:r>
      <w:r>
        <w:rPr>
          <w:spacing w:val="-1"/>
          <w:sz w:val="24"/>
        </w:rPr>
        <w:t xml:space="preserve"> </w:t>
      </w:r>
      <w:r>
        <w:rPr>
          <w:sz w:val="24"/>
        </w:rPr>
        <w:t>hour</w:t>
      </w:r>
      <w:r>
        <w:rPr>
          <w:spacing w:val="-1"/>
          <w:sz w:val="24"/>
        </w:rPr>
        <w:t xml:space="preserve"> </w:t>
      </w:r>
      <w:r>
        <w:rPr>
          <w:sz w:val="24"/>
        </w:rPr>
        <w:t>burden</w:t>
      </w:r>
      <w:r>
        <w:rPr>
          <w:spacing w:val="-1"/>
          <w:sz w:val="24"/>
        </w:rPr>
        <w:t xml:space="preserve"> </w:t>
      </w:r>
      <w:r>
        <w:rPr>
          <w:sz w:val="24"/>
        </w:rPr>
        <w:t>of</w:t>
      </w:r>
      <w:r>
        <w:rPr>
          <w:spacing w:val="-2"/>
          <w:sz w:val="24"/>
        </w:rPr>
        <w:t xml:space="preserve"> </w:t>
      </w:r>
      <w:r>
        <w:rPr>
          <w:sz w:val="24"/>
        </w:rPr>
        <w:t>information</w:t>
      </w:r>
      <w:r>
        <w:rPr>
          <w:spacing w:val="-3"/>
          <w:sz w:val="24"/>
        </w:rPr>
        <w:t xml:space="preserve"> </w:t>
      </w:r>
      <w:r>
        <w:rPr>
          <w:spacing w:val="-2"/>
          <w:sz w:val="24"/>
        </w:rPr>
        <w:t>collection.</w:t>
      </w:r>
    </w:p>
    <w:p w:rsidR="00D05178" w14:paraId="4901B985" w14:textId="77777777">
      <w:pPr>
        <w:pStyle w:val="BodyText"/>
      </w:pPr>
    </w:p>
    <w:p w:rsidR="00D05178" w14:paraId="62370B3D" w14:textId="77777777">
      <w:pPr>
        <w:pStyle w:val="BodyText"/>
        <w:spacing w:before="1"/>
        <w:ind w:left="1080" w:right="1135"/>
      </w:pPr>
      <w:r>
        <w:t>For</w:t>
      </w:r>
      <w:r>
        <w:rPr>
          <w:spacing w:val="-4"/>
        </w:rPr>
        <w:t xml:space="preserve"> </w:t>
      </w:r>
      <w:r>
        <w:t>the</w:t>
      </w:r>
      <w:r>
        <w:rPr>
          <w:spacing w:val="-4"/>
        </w:rPr>
        <w:t xml:space="preserve"> </w:t>
      </w:r>
      <w:r>
        <w:t>Emergency</w:t>
      </w:r>
      <w:r>
        <w:rPr>
          <w:spacing w:val="-4"/>
        </w:rPr>
        <w:t xml:space="preserve"> </w:t>
      </w:r>
      <w:r>
        <w:t>Capital</w:t>
      </w:r>
      <w:r>
        <w:rPr>
          <w:spacing w:val="-5"/>
        </w:rPr>
        <w:t xml:space="preserve"> </w:t>
      </w:r>
      <w:r>
        <w:t>Investment</w:t>
      </w:r>
      <w:r>
        <w:rPr>
          <w:spacing w:val="-4"/>
        </w:rPr>
        <w:t xml:space="preserve"> </w:t>
      </w:r>
      <w:r>
        <w:t>Program</w:t>
      </w:r>
      <w:r>
        <w:rPr>
          <w:spacing w:val="-4"/>
        </w:rPr>
        <w:t xml:space="preserve"> </w:t>
      </w:r>
      <w:r>
        <w:t>reporting</w:t>
      </w:r>
      <w:r>
        <w:rPr>
          <w:spacing w:val="-4"/>
        </w:rPr>
        <w:t xml:space="preserve"> </w:t>
      </w:r>
      <w:r>
        <w:t>components,</w:t>
      </w:r>
      <w:r>
        <w:rPr>
          <w:spacing w:val="-6"/>
        </w:rPr>
        <w:t xml:space="preserve"> </w:t>
      </w:r>
      <w:r>
        <w:t>the</w:t>
      </w:r>
      <w:r>
        <w:rPr>
          <w:spacing w:val="-4"/>
        </w:rPr>
        <w:t xml:space="preserve"> </w:t>
      </w:r>
      <w:r>
        <w:t>associated recordkeeping and compliance reporting burden estimates are as follows:</w:t>
      </w:r>
    </w:p>
    <w:p w:rsidR="00D05178" w14:paraId="74B720E3" w14:textId="77777777">
      <w:pPr>
        <w:pStyle w:val="BodyText"/>
        <w:spacing w:before="8"/>
        <w:rPr>
          <w:sz w:val="16"/>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1260"/>
        <w:gridCol w:w="1170"/>
        <w:gridCol w:w="1265"/>
        <w:gridCol w:w="1885"/>
        <w:gridCol w:w="1350"/>
        <w:gridCol w:w="1895"/>
      </w:tblGrid>
      <w:tr w14:paraId="3AEDB264"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0"/>
        </w:trPr>
        <w:tc>
          <w:tcPr>
            <w:tcW w:w="1975" w:type="dxa"/>
          </w:tcPr>
          <w:p w:rsidR="00D05178" w14:paraId="30759CBA" w14:textId="77777777">
            <w:pPr>
              <w:pStyle w:val="TableParagraph"/>
              <w:jc w:val="left"/>
              <w:rPr>
                <w:sz w:val="20"/>
              </w:rPr>
            </w:pPr>
          </w:p>
          <w:p w:rsidR="00D05178" w14:paraId="2B0A5394" w14:textId="77777777">
            <w:pPr>
              <w:pStyle w:val="TableParagraph"/>
              <w:ind w:left="570" w:right="499" w:hanging="63"/>
              <w:jc w:val="left"/>
              <w:rPr>
                <w:sz w:val="20"/>
              </w:rPr>
            </w:pPr>
            <w:r>
              <w:rPr>
                <w:spacing w:val="-2"/>
                <w:sz w:val="20"/>
              </w:rPr>
              <w:t>Information Collection</w:t>
            </w:r>
          </w:p>
        </w:tc>
        <w:tc>
          <w:tcPr>
            <w:tcW w:w="1260" w:type="dxa"/>
          </w:tcPr>
          <w:p w:rsidR="00D05178" w14:paraId="46351D99" w14:textId="77777777">
            <w:pPr>
              <w:pStyle w:val="TableParagraph"/>
              <w:jc w:val="left"/>
              <w:rPr>
                <w:sz w:val="20"/>
              </w:rPr>
            </w:pPr>
          </w:p>
          <w:p w:rsidR="00D05178" w14:paraId="7EBD3F55" w14:textId="77777777">
            <w:pPr>
              <w:pStyle w:val="TableParagraph"/>
              <w:ind w:left="118" w:firstLine="74"/>
              <w:jc w:val="left"/>
              <w:rPr>
                <w:sz w:val="20"/>
              </w:rPr>
            </w:pPr>
            <w:r>
              <w:rPr>
                <w:sz w:val="20"/>
              </w:rPr>
              <w:t xml:space="preserve">Number of </w:t>
            </w:r>
            <w:r>
              <w:rPr>
                <w:spacing w:val="-2"/>
                <w:sz w:val="20"/>
              </w:rPr>
              <w:t>Respondents</w:t>
            </w:r>
          </w:p>
        </w:tc>
        <w:tc>
          <w:tcPr>
            <w:tcW w:w="1170" w:type="dxa"/>
          </w:tcPr>
          <w:p w:rsidR="00D05178" w14:paraId="3D33AE65" w14:textId="77777777">
            <w:pPr>
              <w:pStyle w:val="TableParagraph"/>
              <w:ind w:left="10" w:right="2"/>
              <w:rPr>
                <w:sz w:val="20"/>
              </w:rPr>
            </w:pPr>
            <w:r>
              <w:rPr>
                <w:spacing w:val="-10"/>
                <w:sz w:val="20"/>
              </w:rPr>
              <w:t>#</w:t>
            </w:r>
          </w:p>
          <w:p w:rsidR="00D05178" w14:paraId="02B61EC1" w14:textId="77777777">
            <w:pPr>
              <w:pStyle w:val="TableParagraph"/>
              <w:ind w:left="10" w:right="1"/>
              <w:rPr>
                <w:sz w:val="20"/>
              </w:rPr>
            </w:pPr>
            <w:r>
              <w:rPr>
                <w:spacing w:val="-2"/>
                <w:sz w:val="20"/>
              </w:rPr>
              <w:t>Responses</w:t>
            </w:r>
          </w:p>
          <w:p w:rsidR="00D05178" w14:paraId="1FC67F39" w14:textId="77777777">
            <w:pPr>
              <w:pStyle w:val="TableParagraph"/>
              <w:spacing w:line="230" w:lineRule="exact"/>
              <w:ind w:left="112" w:firstLine="338"/>
              <w:jc w:val="left"/>
              <w:rPr>
                <w:sz w:val="20"/>
              </w:rPr>
            </w:pPr>
            <w:r>
              <w:rPr>
                <w:spacing w:val="-4"/>
                <w:sz w:val="20"/>
              </w:rPr>
              <w:t xml:space="preserve">Per </w:t>
            </w:r>
            <w:r>
              <w:rPr>
                <w:spacing w:val="-2"/>
                <w:sz w:val="20"/>
              </w:rPr>
              <w:t>Respondent</w:t>
            </w:r>
          </w:p>
        </w:tc>
        <w:tc>
          <w:tcPr>
            <w:tcW w:w="1265" w:type="dxa"/>
          </w:tcPr>
          <w:p w:rsidR="00D05178" w14:paraId="1D0B6E86" w14:textId="77777777">
            <w:pPr>
              <w:pStyle w:val="TableParagraph"/>
              <w:jc w:val="left"/>
              <w:rPr>
                <w:sz w:val="20"/>
              </w:rPr>
            </w:pPr>
          </w:p>
          <w:p w:rsidR="00D05178" w14:paraId="5A9BD9BA" w14:textId="77777777">
            <w:pPr>
              <w:pStyle w:val="TableParagraph"/>
              <w:ind w:left="210" w:firstLine="211"/>
              <w:jc w:val="left"/>
              <w:rPr>
                <w:sz w:val="20"/>
              </w:rPr>
            </w:pPr>
            <w:r>
              <w:rPr>
                <w:spacing w:val="-2"/>
                <w:sz w:val="20"/>
              </w:rPr>
              <w:t>Total Responses</w:t>
            </w:r>
          </w:p>
        </w:tc>
        <w:tc>
          <w:tcPr>
            <w:tcW w:w="1885" w:type="dxa"/>
          </w:tcPr>
          <w:p w:rsidR="00D05178" w14:paraId="27FCA69D" w14:textId="77777777">
            <w:pPr>
              <w:pStyle w:val="TableParagraph"/>
              <w:spacing w:before="115"/>
              <w:jc w:val="left"/>
              <w:rPr>
                <w:sz w:val="20"/>
              </w:rPr>
            </w:pPr>
          </w:p>
          <w:p w:rsidR="00D05178" w14:paraId="22909A0C" w14:textId="77777777">
            <w:pPr>
              <w:pStyle w:val="TableParagraph"/>
              <w:spacing w:before="1"/>
              <w:ind w:left="11" w:right="2"/>
              <w:rPr>
                <w:sz w:val="20"/>
              </w:rPr>
            </w:pPr>
            <w:r>
              <w:rPr>
                <w:sz w:val="20"/>
              </w:rPr>
              <w:t>Hours</w:t>
            </w:r>
            <w:r>
              <w:rPr>
                <w:spacing w:val="-3"/>
                <w:sz w:val="20"/>
              </w:rPr>
              <w:t xml:space="preserve"> </w:t>
            </w:r>
            <w:r>
              <w:rPr>
                <w:sz w:val="20"/>
              </w:rPr>
              <w:t>per</w:t>
            </w:r>
            <w:r>
              <w:rPr>
                <w:spacing w:val="-2"/>
                <w:sz w:val="20"/>
              </w:rPr>
              <w:t xml:space="preserve"> response</w:t>
            </w:r>
          </w:p>
        </w:tc>
        <w:tc>
          <w:tcPr>
            <w:tcW w:w="1350" w:type="dxa"/>
          </w:tcPr>
          <w:p w:rsidR="00D05178" w14:paraId="20727D00" w14:textId="77777777">
            <w:pPr>
              <w:pStyle w:val="TableParagraph"/>
              <w:jc w:val="left"/>
              <w:rPr>
                <w:sz w:val="20"/>
              </w:rPr>
            </w:pPr>
          </w:p>
          <w:p w:rsidR="00D05178" w14:paraId="63323D25" w14:textId="77777777">
            <w:pPr>
              <w:pStyle w:val="TableParagraph"/>
              <w:ind w:left="327" w:right="132" w:hanging="184"/>
              <w:jc w:val="left"/>
              <w:rPr>
                <w:sz w:val="20"/>
              </w:rPr>
            </w:pPr>
            <w:r>
              <w:rPr>
                <w:sz w:val="20"/>
              </w:rPr>
              <w:t>Total</w:t>
            </w:r>
            <w:r>
              <w:rPr>
                <w:spacing w:val="-13"/>
                <w:sz w:val="20"/>
              </w:rPr>
              <w:t xml:space="preserve"> </w:t>
            </w:r>
            <w:r>
              <w:rPr>
                <w:sz w:val="20"/>
              </w:rPr>
              <w:t>Burden in Hours</w:t>
            </w:r>
          </w:p>
        </w:tc>
        <w:tc>
          <w:tcPr>
            <w:tcW w:w="1895" w:type="dxa"/>
          </w:tcPr>
          <w:p w:rsidR="00D05178" w14:paraId="19608D9C" w14:textId="77777777">
            <w:pPr>
              <w:pStyle w:val="TableParagraph"/>
              <w:spacing w:before="115"/>
              <w:jc w:val="left"/>
              <w:rPr>
                <w:sz w:val="20"/>
              </w:rPr>
            </w:pPr>
          </w:p>
          <w:p w:rsidR="00D05178" w14:paraId="282552FE" w14:textId="77777777">
            <w:pPr>
              <w:pStyle w:val="TableParagraph"/>
              <w:spacing w:before="1"/>
              <w:ind w:left="60" w:right="50"/>
              <w:rPr>
                <w:sz w:val="20"/>
              </w:rPr>
            </w:pPr>
            <w:r>
              <w:rPr>
                <w:sz w:val="20"/>
              </w:rPr>
              <w:t>Cost</w:t>
            </w:r>
            <w:r>
              <w:rPr>
                <w:spacing w:val="-2"/>
                <w:sz w:val="20"/>
              </w:rPr>
              <w:t xml:space="preserve"> </w:t>
            </w:r>
            <w:r>
              <w:rPr>
                <w:sz w:val="20"/>
              </w:rPr>
              <w:t>to</w:t>
            </w:r>
            <w:r>
              <w:rPr>
                <w:spacing w:val="-1"/>
                <w:sz w:val="20"/>
              </w:rPr>
              <w:t xml:space="preserve"> </w:t>
            </w:r>
            <w:r>
              <w:rPr>
                <w:spacing w:val="-2"/>
                <w:sz w:val="20"/>
              </w:rPr>
              <w:t>Respondent*</w:t>
            </w:r>
          </w:p>
        </w:tc>
      </w:tr>
      <w:tr w14:paraId="748B18B5" w14:textId="77777777">
        <w:tblPrEx>
          <w:tblW w:w="0" w:type="auto"/>
          <w:tblInd w:w="365" w:type="dxa"/>
          <w:tblLayout w:type="fixed"/>
          <w:tblCellMar>
            <w:left w:w="0" w:type="dxa"/>
            <w:right w:w="0" w:type="dxa"/>
          </w:tblCellMar>
          <w:tblLook w:val="01E0"/>
        </w:tblPrEx>
        <w:trPr>
          <w:trHeight w:val="689"/>
        </w:trPr>
        <w:tc>
          <w:tcPr>
            <w:tcW w:w="1975" w:type="dxa"/>
          </w:tcPr>
          <w:p w:rsidR="00D05178" w14:paraId="4BE1712E" w14:textId="77777777">
            <w:pPr>
              <w:pStyle w:val="TableParagraph"/>
              <w:ind w:left="123" w:right="114"/>
              <w:rPr>
                <w:sz w:val="20"/>
              </w:rPr>
            </w:pPr>
            <w:r>
              <w:rPr>
                <w:sz w:val="20"/>
              </w:rPr>
              <w:t>Initial</w:t>
            </w:r>
            <w:r>
              <w:rPr>
                <w:spacing w:val="-5"/>
                <w:sz w:val="20"/>
              </w:rPr>
              <w:t xml:space="preserve"> </w:t>
            </w:r>
            <w:r>
              <w:rPr>
                <w:spacing w:val="-2"/>
                <w:sz w:val="20"/>
              </w:rPr>
              <w:t>Supplemental</w:t>
            </w:r>
          </w:p>
          <w:p w:rsidR="00D05178" w14:paraId="22BFDD29" w14:textId="77777777">
            <w:pPr>
              <w:pStyle w:val="TableParagraph"/>
              <w:spacing w:line="230" w:lineRule="exact"/>
              <w:ind w:left="123" w:right="110"/>
              <w:rPr>
                <w:sz w:val="20"/>
              </w:rPr>
            </w:pPr>
            <w:r>
              <w:rPr>
                <w:sz w:val="20"/>
              </w:rPr>
              <w:t>Report</w:t>
            </w:r>
            <w:r>
              <w:rPr>
                <w:spacing w:val="-13"/>
                <w:sz w:val="20"/>
              </w:rPr>
              <w:t xml:space="preserve"> </w:t>
            </w:r>
            <w:r>
              <w:rPr>
                <w:sz w:val="20"/>
              </w:rPr>
              <w:t>–</w:t>
            </w:r>
            <w:r>
              <w:rPr>
                <w:spacing w:val="-12"/>
                <w:sz w:val="20"/>
              </w:rPr>
              <w:t xml:space="preserve"> </w:t>
            </w:r>
            <w:r>
              <w:rPr>
                <w:sz w:val="20"/>
              </w:rPr>
              <w:t xml:space="preserve">M&amp;A </w:t>
            </w:r>
            <w:r>
              <w:rPr>
                <w:spacing w:val="-2"/>
                <w:sz w:val="20"/>
              </w:rPr>
              <w:t>version</w:t>
            </w:r>
          </w:p>
        </w:tc>
        <w:tc>
          <w:tcPr>
            <w:tcW w:w="1260" w:type="dxa"/>
          </w:tcPr>
          <w:p w:rsidR="00D05178" w14:paraId="35943381" w14:textId="77777777">
            <w:pPr>
              <w:pStyle w:val="TableParagraph"/>
              <w:jc w:val="left"/>
              <w:rPr>
                <w:sz w:val="20"/>
              </w:rPr>
            </w:pPr>
          </w:p>
          <w:p w:rsidR="00D05178" w14:paraId="1188ABE4" w14:textId="77777777">
            <w:pPr>
              <w:pStyle w:val="TableParagraph"/>
              <w:ind w:left="10"/>
              <w:rPr>
                <w:sz w:val="20"/>
              </w:rPr>
            </w:pPr>
            <w:r>
              <w:rPr>
                <w:spacing w:val="-5"/>
                <w:sz w:val="20"/>
              </w:rPr>
              <w:t>10</w:t>
            </w:r>
          </w:p>
        </w:tc>
        <w:tc>
          <w:tcPr>
            <w:tcW w:w="1170" w:type="dxa"/>
          </w:tcPr>
          <w:p w:rsidR="00D05178" w14:paraId="4336FD01" w14:textId="77777777">
            <w:pPr>
              <w:pStyle w:val="TableParagraph"/>
              <w:jc w:val="left"/>
              <w:rPr>
                <w:sz w:val="20"/>
              </w:rPr>
            </w:pPr>
          </w:p>
          <w:p w:rsidR="00D05178" w14:paraId="2F94EB87" w14:textId="77777777">
            <w:pPr>
              <w:pStyle w:val="TableParagraph"/>
              <w:ind w:left="10"/>
              <w:rPr>
                <w:sz w:val="20"/>
              </w:rPr>
            </w:pPr>
            <w:r>
              <w:rPr>
                <w:spacing w:val="-10"/>
                <w:sz w:val="20"/>
              </w:rPr>
              <w:t>1</w:t>
            </w:r>
          </w:p>
        </w:tc>
        <w:tc>
          <w:tcPr>
            <w:tcW w:w="1265" w:type="dxa"/>
          </w:tcPr>
          <w:p w:rsidR="00D05178" w14:paraId="7F1C5D8D" w14:textId="77777777">
            <w:pPr>
              <w:pStyle w:val="TableParagraph"/>
              <w:jc w:val="left"/>
              <w:rPr>
                <w:sz w:val="20"/>
              </w:rPr>
            </w:pPr>
          </w:p>
          <w:p w:rsidR="00D05178" w14:paraId="7E3DDD4F" w14:textId="77777777">
            <w:pPr>
              <w:pStyle w:val="TableParagraph"/>
              <w:ind w:left="9"/>
              <w:rPr>
                <w:sz w:val="20"/>
              </w:rPr>
            </w:pPr>
            <w:r>
              <w:rPr>
                <w:spacing w:val="-5"/>
                <w:sz w:val="20"/>
              </w:rPr>
              <w:t>10</w:t>
            </w:r>
          </w:p>
        </w:tc>
        <w:tc>
          <w:tcPr>
            <w:tcW w:w="1885" w:type="dxa"/>
          </w:tcPr>
          <w:p w:rsidR="00D05178" w14:paraId="26601FE7" w14:textId="77777777">
            <w:pPr>
              <w:pStyle w:val="TableParagraph"/>
              <w:jc w:val="left"/>
              <w:rPr>
                <w:sz w:val="20"/>
              </w:rPr>
            </w:pPr>
          </w:p>
          <w:p w:rsidR="00D05178" w14:paraId="50B4B2AA" w14:textId="77777777">
            <w:pPr>
              <w:pStyle w:val="TableParagraph"/>
              <w:ind w:left="11" w:right="3"/>
              <w:rPr>
                <w:sz w:val="20"/>
              </w:rPr>
            </w:pPr>
            <w:r>
              <w:rPr>
                <w:spacing w:val="-5"/>
                <w:sz w:val="20"/>
              </w:rPr>
              <w:t>160</w:t>
            </w:r>
          </w:p>
        </w:tc>
        <w:tc>
          <w:tcPr>
            <w:tcW w:w="1350" w:type="dxa"/>
          </w:tcPr>
          <w:p w:rsidR="00D05178" w14:paraId="3F37041E" w14:textId="77777777">
            <w:pPr>
              <w:pStyle w:val="TableParagraph"/>
              <w:jc w:val="left"/>
              <w:rPr>
                <w:sz w:val="20"/>
              </w:rPr>
            </w:pPr>
          </w:p>
          <w:p w:rsidR="00D05178" w14:paraId="3CA5BD01" w14:textId="77777777">
            <w:pPr>
              <w:pStyle w:val="TableParagraph"/>
              <w:ind w:left="11" w:right="1"/>
              <w:rPr>
                <w:sz w:val="20"/>
              </w:rPr>
            </w:pPr>
            <w:r>
              <w:rPr>
                <w:spacing w:val="-2"/>
                <w:sz w:val="20"/>
              </w:rPr>
              <w:t>1,600</w:t>
            </w:r>
          </w:p>
        </w:tc>
        <w:tc>
          <w:tcPr>
            <w:tcW w:w="1895" w:type="dxa"/>
          </w:tcPr>
          <w:p w:rsidR="00D05178" w14:paraId="3D509B7E" w14:textId="77777777">
            <w:pPr>
              <w:pStyle w:val="TableParagraph"/>
              <w:jc w:val="left"/>
              <w:rPr>
                <w:sz w:val="20"/>
              </w:rPr>
            </w:pPr>
          </w:p>
          <w:p w:rsidR="00D05178" w14:paraId="5869F93A" w14:textId="77777777">
            <w:pPr>
              <w:pStyle w:val="TableParagraph"/>
              <w:ind w:left="60" w:right="51"/>
              <w:rPr>
                <w:sz w:val="20"/>
              </w:rPr>
            </w:pPr>
            <w:r>
              <w:rPr>
                <w:spacing w:val="-2"/>
                <w:sz w:val="20"/>
              </w:rPr>
              <w:t>$87,024</w:t>
            </w:r>
          </w:p>
        </w:tc>
      </w:tr>
      <w:tr w14:paraId="071DBCE7" w14:textId="77777777">
        <w:tblPrEx>
          <w:tblW w:w="0" w:type="auto"/>
          <w:tblInd w:w="365" w:type="dxa"/>
          <w:tblLayout w:type="fixed"/>
          <w:tblCellMar>
            <w:left w:w="0" w:type="dxa"/>
            <w:right w:w="0" w:type="dxa"/>
          </w:tblCellMar>
          <w:tblLook w:val="01E0"/>
        </w:tblPrEx>
        <w:trPr>
          <w:trHeight w:val="690"/>
        </w:trPr>
        <w:tc>
          <w:tcPr>
            <w:tcW w:w="1975" w:type="dxa"/>
          </w:tcPr>
          <w:p w:rsidR="00D05178" w14:paraId="173FD483" w14:textId="77777777">
            <w:pPr>
              <w:pStyle w:val="TableParagraph"/>
              <w:spacing w:line="230" w:lineRule="exact"/>
              <w:ind w:left="140" w:right="127" w:hanging="2"/>
              <w:rPr>
                <w:sz w:val="20"/>
              </w:rPr>
            </w:pPr>
            <w:r>
              <w:rPr>
                <w:spacing w:val="-2"/>
                <w:sz w:val="20"/>
              </w:rPr>
              <w:t xml:space="preserve">Quarterly </w:t>
            </w:r>
            <w:r>
              <w:rPr>
                <w:sz w:val="20"/>
              </w:rPr>
              <w:t>Supplemental</w:t>
            </w:r>
            <w:r>
              <w:rPr>
                <w:spacing w:val="-13"/>
                <w:sz w:val="20"/>
              </w:rPr>
              <w:t xml:space="preserve"> </w:t>
            </w:r>
            <w:r>
              <w:rPr>
                <w:sz w:val="20"/>
              </w:rPr>
              <w:t>Report Schedules A &amp; B**</w:t>
            </w:r>
          </w:p>
        </w:tc>
        <w:tc>
          <w:tcPr>
            <w:tcW w:w="1260" w:type="dxa"/>
          </w:tcPr>
          <w:p w:rsidR="00D05178" w14:paraId="06C869B4" w14:textId="77777777">
            <w:pPr>
              <w:pStyle w:val="TableParagraph"/>
              <w:jc w:val="left"/>
              <w:rPr>
                <w:sz w:val="20"/>
              </w:rPr>
            </w:pPr>
          </w:p>
          <w:p w:rsidR="00D05178" w14:paraId="518BD623" w14:textId="77777777">
            <w:pPr>
              <w:pStyle w:val="TableParagraph"/>
              <w:ind w:left="10" w:right="1"/>
              <w:rPr>
                <w:sz w:val="20"/>
              </w:rPr>
            </w:pPr>
            <w:r>
              <w:rPr>
                <w:spacing w:val="-5"/>
                <w:sz w:val="20"/>
              </w:rPr>
              <w:t>165</w:t>
            </w:r>
          </w:p>
        </w:tc>
        <w:tc>
          <w:tcPr>
            <w:tcW w:w="1170" w:type="dxa"/>
          </w:tcPr>
          <w:p w:rsidR="00D05178" w14:paraId="7CA2DBF2" w14:textId="77777777">
            <w:pPr>
              <w:pStyle w:val="TableParagraph"/>
              <w:jc w:val="left"/>
              <w:rPr>
                <w:sz w:val="20"/>
              </w:rPr>
            </w:pPr>
          </w:p>
          <w:p w:rsidR="00D05178" w14:paraId="0EDCCDF3" w14:textId="77777777">
            <w:pPr>
              <w:pStyle w:val="TableParagraph"/>
              <w:ind w:left="10"/>
              <w:rPr>
                <w:sz w:val="20"/>
              </w:rPr>
            </w:pPr>
            <w:r>
              <w:rPr>
                <w:spacing w:val="-10"/>
                <w:sz w:val="20"/>
              </w:rPr>
              <w:t>4</w:t>
            </w:r>
          </w:p>
        </w:tc>
        <w:tc>
          <w:tcPr>
            <w:tcW w:w="1265" w:type="dxa"/>
          </w:tcPr>
          <w:p w:rsidR="00D05178" w14:paraId="47D5A0A5" w14:textId="77777777">
            <w:pPr>
              <w:pStyle w:val="TableParagraph"/>
              <w:jc w:val="left"/>
              <w:rPr>
                <w:sz w:val="20"/>
              </w:rPr>
            </w:pPr>
          </w:p>
          <w:p w:rsidR="00D05178" w14:paraId="6980AAB6" w14:textId="77777777">
            <w:pPr>
              <w:pStyle w:val="TableParagraph"/>
              <w:ind w:left="9"/>
              <w:rPr>
                <w:sz w:val="20"/>
              </w:rPr>
            </w:pPr>
            <w:r>
              <w:rPr>
                <w:spacing w:val="-5"/>
                <w:sz w:val="20"/>
              </w:rPr>
              <w:t>660</w:t>
            </w:r>
          </w:p>
        </w:tc>
        <w:tc>
          <w:tcPr>
            <w:tcW w:w="1885" w:type="dxa"/>
          </w:tcPr>
          <w:p w:rsidR="00D05178" w14:paraId="082200FB" w14:textId="77777777">
            <w:pPr>
              <w:pStyle w:val="TableParagraph"/>
              <w:jc w:val="left"/>
              <w:rPr>
                <w:sz w:val="20"/>
              </w:rPr>
            </w:pPr>
          </w:p>
          <w:p w:rsidR="00D05178" w14:paraId="1B8C5023" w14:textId="77777777">
            <w:pPr>
              <w:pStyle w:val="TableParagraph"/>
              <w:ind w:left="11"/>
              <w:rPr>
                <w:sz w:val="20"/>
              </w:rPr>
            </w:pPr>
            <w:r>
              <w:rPr>
                <w:spacing w:val="-5"/>
                <w:sz w:val="20"/>
              </w:rPr>
              <w:t>10</w:t>
            </w:r>
          </w:p>
        </w:tc>
        <w:tc>
          <w:tcPr>
            <w:tcW w:w="1350" w:type="dxa"/>
          </w:tcPr>
          <w:p w:rsidR="00D05178" w14:paraId="70EB15F8" w14:textId="77777777">
            <w:pPr>
              <w:pStyle w:val="TableParagraph"/>
              <w:jc w:val="left"/>
              <w:rPr>
                <w:sz w:val="20"/>
              </w:rPr>
            </w:pPr>
          </w:p>
          <w:p w:rsidR="00D05178" w14:paraId="05B6C156" w14:textId="77777777">
            <w:pPr>
              <w:pStyle w:val="TableParagraph"/>
              <w:ind w:left="11" w:right="1"/>
              <w:rPr>
                <w:sz w:val="20"/>
              </w:rPr>
            </w:pPr>
            <w:r>
              <w:rPr>
                <w:spacing w:val="-2"/>
                <w:sz w:val="20"/>
              </w:rPr>
              <w:t>6,660</w:t>
            </w:r>
          </w:p>
        </w:tc>
        <w:tc>
          <w:tcPr>
            <w:tcW w:w="1895" w:type="dxa"/>
          </w:tcPr>
          <w:p w:rsidR="00D05178" w14:paraId="4F23A5A1" w14:textId="77777777">
            <w:pPr>
              <w:pStyle w:val="TableParagraph"/>
              <w:jc w:val="left"/>
              <w:rPr>
                <w:sz w:val="20"/>
              </w:rPr>
            </w:pPr>
          </w:p>
          <w:p w:rsidR="00D05178" w14:paraId="259603D5" w14:textId="77777777">
            <w:pPr>
              <w:pStyle w:val="TableParagraph"/>
              <w:ind w:left="60" w:right="51"/>
              <w:rPr>
                <w:sz w:val="20"/>
              </w:rPr>
            </w:pPr>
            <w:r>
              <w:rPr>
                <w:spacing w:val="-2"/>
                <w:sz w:val="20"/>
              </w:rPr>
              <w:t>$362,237</w:t>
            </w:r>
          </w:p>
        </w:tc>
      </w:tr>
      <w:tr w14:paraId="6DF83D4C" w14:textId="77777777">
        <w:tblPrEx>
          <w:tblW w:w="0" w:type="auto"/>
          <w:tblInd w:w="365" w:type="dxa"/>
          <w:tblLayout w:type="fixed"/>
          <w:tblCellMar>
            <w:left w:w="0" w:type="dxa"/>
            <w:right w:w="0" w:type="dxa"/>
          </w:tblCellMar>
          <w:tblLook w:val="01E0"/>
        </w:tblPrEx>
        <w:trPr>
          <w:trHeight w:val="689"/>
        </w:trPr>
        <w:tc>
          <w:tcPr>
            <w:tcW w:w="1975" w:type="dxa"/>
          </w:tcPr>
          <w:p w:rsidR="00D05178" w14:paraId="1AE49814" w14:textId="77777777">
            <w:pPr>
              <w:pStyle w:val="TableParagraph"/>
              <w:ind w:left="140" w:right="123" w:firstLine="463"/>
              <w:jc w:val="left"/>
              <w:rPr>
                <w:sz w:val="20"/>
              </w:rPr>
            </w:pPr>
            <w:r>
              <w:rPr>
                <w:spacing w:val="-2"/>
                <w:sz w:val="20"/>
              </w:rPr>
              <w:t xml:space="preserve">Quarterly </w:t>
            </w:r>
            <w:r>
              <w:rPr>
                <w:sz w:val="20"/>
              </w:rPr>
              <w:t>Supplemental</w:t>
            </w:r>
            <w:r>
              <w:rPr>
                <w:spacing w:val="-13"/>
                <w:sz w:val="20"/>
              </w:rPr>
              <w:t xml:space="preserve"> </w:t>
            </w:r>
            <w:r>
              <w:rPr>
                <w:sz w:val="20"/>
              </w:rPr>
              <w:t>Report</w:t>
            </w:r>
          </w:p>
          <w:p w:rsidR="00D05178" w14:paraId="4EAAE68B" w14:textId="77777777">
            <w:pPr>
              <w:pStyle w:val="TableParagraph"/>
              <w:spacing w:line="209" w:lineRule="exact"/>
              <w:ind w:left="189"/>
              <w:jc w:val="left"/>
              <w:rPr>
                <w:sz w:val="20"/>
              </w:rPr>
            </w:pPr>
            <w:r>
              <w:rPr>
                <w:sz w:val="20"/>
              </w:rPr>
              <w:t>Schedules</w:t>
            </w:r>
            <w:r>
              <w:rPr>
                <w:spacing w:val="-3"/>
                <w:sz w:val="20"/>
              </w:rPr>
              <w:t xml:space="preserve"> </w:t>
            </w:r>
            <w:r>
              <w:rPr>
                <w:sz w:val="20"/>
              </w:rPr>
              <w:t>C</w:t>
            </w:r>
            <w:r>
              <w:rPr>
                <w:spacing w:val="-3"/>
                <w:sz w:val="20"/>
              </w:rPr>
              <w:t xml:space="preserve"> </w:t>
            </w:r>
            <w:r>
              <w:rPr>
                <w:sz w:val="20"/>
              </w:rPr>
              <w:t>&amp;</w:t>
            </w:r>
            <w:r>
              <w:rPr>
                <w:spacing w:val="-2"/>
                <w:sz w:val="20"/>
              </w:rPr>
              <w:t xml:space="preserve"> </w:t>
            </w:r>
            <w:r>
              <w:rPr>
                <w:spacing w:val="-5"/>
                <w:sz w:val="20"/>
              </w:rPr>
              <w:t>D**</w:t>
            </w:r>
          </w:p>
        </w:tc>
        <w:tc>
          <w:tcPr>
            <w:tcW w:w="1260" w:type="dxa"/>
          </w:tcPr>
          <w:p w:rsidR="00D05178" w14:paraId="0D5B53F1" w14:textId="77777777">
            <w:pPr>
              <w:pStyle w:val="TableParagraph"/>
              <w:spacing w:before="229"/>
              <w:ind w:left="10" w:right="1"/>
              <w:rPr>
                <w:sz w:val="20"/>
              </w:rPr>
            </w:pPr>
            <w:r>
              <w:rPr>
                <w:spacing w:val="-5"/>
                <w:sz w:val="20"/>
              </w:rPr>
              <w:t>165</w:t>
            </w:r>
          </w:p>
        </w:tc>
        <w:tc>
          <w:tcPr>
            <w:tcW w:w="1170" w:type="dxa"/>
          </w:tcPr>
          <w:p w:rsidR="00D05178" w14:paraId="03AFF82E" w14:textId="77777777">
            <w:pPr>
              <w:pStyle w:val="TableParagraph"/>
              <w:spacing w:before="229"/>
              <w:ind w:left="10"/>
              <w:rPr>
                <w:sz w:val="20"/>
              </w:rPr>
            </w:pPr>
            <w:r>
              <w:rPr>
                <w:spacing w:val="-10"/>
                <w:sz w:val="20"/>
              </w:rPr>
              <w:t>1</w:t>
            </w:r>
          </w:p>
        </w:tc>
        <w:tc>
          <w:tcPr>
            <w:tcW w:w="1265" w:type="dxa"/>
          </w:tcPr>
          <w:p w:rsidR="00D05178" w14:paraId="10D0B5F6" w14:textId="77777777">
            <w:pPr>
              <w:pStyle w:val="TableParagraph"/>
              <w:spacing w:before="229"/>
              <w:ind w:left="9"/>
              <w:rPr>
                <w:sz w:val="20"/>
              </w:rPr>
            </w:pPr>
            <w:r>
              <w:rPr>
                <w:spacing w:val="-5"/>
                <w:sz w:val="20"/>
              </w:rPr>
              <w:t>165</w:t>
            </w:r>
          </w:p>
        </w:tc>
        <w:tc>
          <w:tcPr>
            <w:tcW w:w="1885" w:type="dxa"/>
          </w:tcPr>
          <w:p w:rsidR="00D05178" w14:paraId="31E14927" w14:textId="77777777">
            <w:pPr>
              <w:pStyle w:val="TableParagraph"/>
              <w:spacing w:before="229"/>
              <w:ind w:left="11" w:right="2"/>
              <w:rPr>
                <w:sz w:val="20"/>
              </w:rPr>
            </w:pPr>
            <w:r>
              <w:rPr>
                <w:spacing w:val="-5"/>
                <w:sz w:val="20"/>
              </w:rPr>
              <w:t>120</w:t>
            </w:r>
          </w:p>
        </w:tc>
        <w:tc>
          <w:tcPr>
            <w:tcW w:w="1350" w:type="dxa"/>
          </w:tcPr>
          <w:p w:rsidR="00D05178" w14:paraId="2AC02C25" w14:textId="77777777">
            <w:pPr>
              <w:pStyle w:val="TableParagraph"/>
              <w:spacing w:before="229"/>
              <w:ind w:left="11" w:right="3"/>
              <w:rPr>
                <w:sz w:val="20"/>
              </w:rPr>
            </w:pPr>
            <w:r>
              <w:rPr>
                <w:spacing w:val="-2"/>
                <w:sz w:val="20"/>
              </w:rPr>
              <w:t>19,800</w:t>
            </w:r>
          </w:p>
        </w:tc>
        <w:tc>
          <w:tcPr>
            <w:tcW w:w="1895" w:type="dxa"/>
          </w:tcPr>
          <w:p w:rsidR="00D05178" w14:paraId="296A4C27" w14:textId="77777777">
            <w:pPr>
              <w:pStyle w:val="TableParagraph"/>
              <w:spacing w:before="229"/>
              <w:ind w:left="60" w:right="52"/>
              <w:rPr>
                <w:sz w:val="20"/>
              </w:rPr>
            </w:pPr>
            <w:r>
              <w:rPr>
                <w:spacing w:val="-2"/>
                <w:sz w:val="20"/>
              </w:rPr>
              <w:t>$1,076,922</w:t>
            </w:r>
          </w:p>
        </w:tc>
      </w:tr>
      <w:tr w14:paraId="3B2C6720" w14:textId="77777777">
        <w:tblPrEx>
          <w:tblW w:w="0" w:type="auto"/>
          <w:tblInd w:w="365" w:type="dxa"/>
          <w:tblLayout w:type="fixed"/>
          <w:tblCellMar>
            <w:left w:w="0" w:type="dxa"/>
            <w:right w:w="0" w:type="dxa"/>
          </w:tblCellMar>
          <w:tblLook w:val="01E0"/>
        </w:tblPrEx>
        <w:trPr>
          <w:trHeight w:val="315"/>
        </w:trPr>
        <w:tc>
          <w:tcPr>
            <w:tcW w:w="1975" w:type="dxa"/>
          </w:tcPr>
          <w:p w:rsidR="00D05178" w14:paraId="6754713C" w14:textId="77777777">
            <w:pPr>
              <w:pStyle w:val="TableParagraph"/>
              <w:ind w:left="123" w:right="112"/>
              <w:rPr>
                <w:sz w:val="20"/>
              </w:rPr>
            </w:pPr>
            <w:r>
              <w:rPr>
                <w:sz w:val="20"/>
              </w:rPr>
              <w:t>Legal</w:t>
            </w:r>
            <w:r>
              <w:rPr>
                <w:spacing w:val="-5"/>
                <w:sz w:val="20"/>
              </w:rPr>
              <w:t xml:space="preserve"> </w:t>
            </w:r>
            <w:r>
              <w:rPr>
                <w:spacing w:val="-2"/>
                <w:sz w:val="20"/>
              </w:rPr>
              <w:t>Certifications</w:t>
            </w:r>
          </w:p>
        </w:tc>
        <w:tc>
          <w:tcPr>
            <w:tcW w:w="1260" w:type="dxa"/>
          </w:tcPr>
          <w:p w:rsidR="00D05178" w14:paraId="2D8908E7" w14:textId="77777777">
            <w:pPr>
              <w:pStyle w:val="TableParagraph"/>
              <w:spacing w:before="42"/>
              <w:ind w:left="10" w:right="1"/>
              <w:rPr>
                <w:sz w:val="20"/>
              </w:rPr>
            </w:pPr>
            <w:r>
              <w:rPr>
                <w:spacing w:val="-5"/>
                <w:sz w:val="20"/>
              </w:rPr>
              <w:t>165</w:t>
            </w:r>
          </w:p>
        </w:tc>
        <w:tc>
          <w:tcPr>
            <w:tcW w:w="1170" w:type="dxa"/>
          </w:tcPr>
          <w:p w:rsidR="00D05178" w14:paraId="7D27544A" w14:textId="77777777">
            <w:pPr>
              <w:pStyle w:val="TableParagraph"/>
              <w:spacing w:before="42"/>
              <w:ind w:left="10"/>
              <w:rPr>
                <w:sz w:val="20"/>
              </w:rPr>
            </w:pPr>
            <w:r>
              <w:rPr>
                <w:spacing w:val="-10"/>
                <w:sz w:val="20"/>
              </w:rPr>
              <w:t>3</w:t>
            </w:r>
          </w:p>
        </w:tc>
        <w:tc>
          <w:tcPr>
            <w:tcW w:w="1265" w:type="dxa"/>
          </w:tcPr>
          <w:p w:rsidR="00D05178" w14:paraId="68D99AEF" w14:textId="77777777">
            <w:pPr>
              <w:pStyle w:val="TableParagraph"/>
              <w:spacing w:before="42"/>
              <w:ind w:left="9"/>
              <w:rPr>
                <w:sz w:val="20"/>
              </w:rPr>
            </w:pPr>
            <w:r>
              <w:rPr>
                <w:spacing w:val="-5"/>
                <w:sz w:val="20"/>
              </w:rPr>
              <w:t>495</w:t>
            </w:r>
          </w:p>
        </w:tc>
        <w:tc>
          <w:tcPr>
            <w:tcW w:w="1885" w:type="dxa"/>
          </w:tcPr>
          <w:p w:rsidR="00D05178" w14:paraId="7F19ACFE" w14:textId="77777777">
            <w:pPr>
              <w:pStyle w:val="TableParagraph"/>
              <w:spacing w:before="42"/>
              <w:ind w:left="11" w:right="1"/>
              <w:rPr>
                <w:sz w:val="20"/>
              </w:rPr>
            </w:pPr>
            <w:r>
              <w:rPr>
                <w:sz w:val="20"/>
              </w:rPr>
              <w:t>10</w:t>
            </w:r>
            <w:r>
              <w:rPr>
                <w:spacing w:val="-5"/>
                <w:sz w:val="20"/>
              </w:rPr>
              <w:t xml:space="preserve"> </w:t>
            </w:r>
            <w:r>
              <w:rPr>
                <w:sz w:val="20"/>
              </w:rPr>
              <w:t>minutes</w:t>
            </w:r>
            <w:r>
              <w:rPr>
                <w:spacing w:val="-2"/>
                <w:sz w:val="20"/>
              </w:rPr>
              <w:t xml:space="preserve"> </w:t>
            </w:r>
            <w:r>
              <w:rPr>
                <w:spacing w:val="-4"/>
                <w:sz w:val="20"/>
              </w:rPr>
              <w:t>each</w:t>
            </w:r>
          </w:p>
        </w:tc>
        <w:tc>
          <w:tcPr>
            <w:tcW w:w="1350" w:type="dxa"/>
          </w:tcPr>
          <w:p w:rsidR="00D05178" w14:paraId="170E9B3D" w14:textId="77777777">
            <w:pPr>
              <w:pStyle w:val="TableParagraph"/>
              <w:spacing w:before="42"/>
              <w:ind w:left="11"/>
              <w:rPr>
                <w:sz w:val="20"/>
              </w:rPr>
            </w:pPr>
            <w:r>
              <w:rPr>
                <w:spacing w:val="-5"/>
                <w:sz w:val="20"/>
              </w:rPr>
              <w:t>83</w:t>
            </w:r>
          </w:p>
        </w:tc>
        <w:tc>
          <w:tcPr>
            <w:tcW w:w="1895" w:type="dxa"/>
          </w:tcPr>
          <w:p w:rsidR="00D05178" w14:paraId="26663C84" w14:textId="77777777">
            <w:pPr>
              <w:pStyle w:val="TableParagraph"/>
              <w:spacing w:before="42"/>
              <w:ind w:left="60" w:right="52"/>
              <w:rPr>
                <w:sz w:val="20"/>
              </w:rPr>
            </w:pPr>
            <w:r>
              <w:rPr>
                <w:spacing w:val="-2"/>
                <w:sz w:val="20"/>
              </w:rPr>
              <w:t>$4,514</w:t>
            </w:r>
          </w:p>
        </w:tc>
      </w:tr>
      <w:tr w14:paraId="69E63515" w14:textId="77777777" w:rsidTr="002D4CA1">
        <w:tblPrEx>
          <w:tblW w:w="0" w:type="auto"/>
          <w:tblInd w:w="365" w:type="dxa"/>
          <w:tblLayout w:type="fixed"/>
          <w:tblCellMar>
            <w:left w:w="0" w:type="dxa"/>
            <w:right w:w="0" w:type="dxa"/>
          </w:tblCellMar>
          <w:tblLook w:val="01E0"/>
        </w:tblPrEx>
        <w:trPr>
          <w:trHeight w:val="315"/>
        </w:trPr>
        <w:tc>
          <w:tcPr>
            <w:tcW w:w="1975" w:type="dxa"/>
          </w:tcPr>
          <w:p w:rsidR="00D05178" w14:paraId="317D01EE" w14:textId="77777777">
            <w:pPr>
              <w:pStyle w:val="TableParagraph"/>
              <w:ind w:left="123" w:right="113"/>
              <w:rPr>
                <w:b/>
                <w:sz w:val="20"/>
              </w:rPr>
            </w:pPr>
            <w:r>
              <w:rPr>
                <w:b/>
                <w:spacing w:val="-2"/>
                <w:sz w:val="20"/>
              </w:rPr>
              <w:t>TOTAL</w:t>
            </w:r>
          </w:p>
        </w:tc>
        <w:tc>
          <w:tcPr>
            <w:tcW w:w="1260" w:type="dxa"/>
            <w:shd w:val="clear" w:color="auto" w:fill="A6A6A6"/>
          </w:tcPr>
          <w:p w:rsidR="00D05178" w14:paraId="23BFCFFE" w14:textId="77777777">
            <w:pPr>
              <w:pStyle w:val="TableParagraph"/>
              <w:jc w:val="left"/>
              <w:rPr>
                <w:sz w:val="20"/>
              </w:rPr>
            </w:pPr>
          </w:p>
        </w:tc>
        <w:tc>
          <w:tcPr>
            <w:tcW w:w="1170" w:type="dxa"/>
            <w:shd w:val="clear" w:color="auto" w:fill="A6A6A6"/>
          </w:tcPr>
          <w:p w:rsidR="00D05178" w14:paraId="109B1686" w14:textId="77777777">
            <w:pPr>
              <w:pStyle w:val="TableParagraph"/>
              <w:jc w:val="left"/>
              <w:rPr>
                <w:sz w:val="20"/>
              </w:rPr>
            </w:pPr>
          </w:p>
        </w:tc>
        <w:tc>
          <w:tcPr>
            <w:tcW w:w="1265" w:type="dxa"/>
            <w:vAlign w:val="center"/>
          </w:tcPr>
          <w:p w:rsidR="00D05178" w:rsidRPr="00631C37" w:rsidP="002D4CA1" w14:paraId="28BBBE97" w14:textId="52EE74CD">
            <w:pPr>
              <w:pStyle w:val="TableParagraph"/>
              <w:rPr>
                <w:b/>
                <w:bCs/>
                <w:sz w:val="20"/>
              </w:rPr>
            </w:pPr>
            <w:r w:rsidRPr="00631C37">
              <w:rPr>
                <w:b/>
                <w:bCs/>
                <w:sz w:val="20"/>
              </w:rPr>
              <w:t>1</w:t>
            </w:r>
            <w:r>
              <w:rPr>
                <w:b/>
                <w:bCs/>
                <w:sz w:val="20"/>
              </w:rPr>
              <w:t>,</w:t>
            </w:r>
            <w:r w:rsidRPr="00631C37">
              <w:rPr>
                <w:b/>
                <w:bCs/>
                <w:sz w:val="20"/>
              </w:rPr>
              <w:t>330</w:t>
            </w:r>
          </w:p>
        </w:tc>
        <w:tc>
          <w:tcPr>
            <w:tcW w:w="1885" w:type="dxa"/>
            <w:shd w:val="clear" w:color="auto" w:fill="A6A6A6"/>
          </w:tcPr>
          <w:p w:rsidR="00D05178" w14:paraId="458B6B44" w14:textId="77777777">
            <w:pPr>
              <w:pStyle w:val="TableParagraph"/>
              <w:jc w:val="left"/>
              <w:rPr>
                <w:sz w:val="20"/>
              </w:rPr>
            </w:pPr>
          </w:p>
        </w:tc>
        <w:tc>
          <w:tcPr>
            <w:tcW w:w="1350" w:type="dxa"/>
          </w:tcPr>
          <w:p w:rsidR="00D05178" w14:paraId="109EE354" w14:textId="77777777">
            <w:pPr>
              <w:pStyle w:val="TableParagraph"/>
              <w:spacing w:before="42"/>
              <w:ind w:left="11" w:right="3"/>
              <w:rPr>
                <w:b/>
                <w:sz w:val="20"/>
              </w:rPr>
            </w:pPr>
            <w:r>
              <w:rPr>
                <w:b/>
                <w:spacing w:val="-2"/>
                <w:sz w:val="20"/>
              </w:rPr>
              <w:t>28,143</w:t>
            </w:r>
          </w:p>
        </w:tc>
        <w:tc>
          <w:tcPr>
            <w:tcW w:w="1895" w:type="dxa"/>
          </w:tcPr>
          <w:p w:rsidR="00D05178" w14:paraId="3A83B5E7" w14:textId="77777777">
            <w:pPr>
              <w:pStyle w:val="TableParagraph"/>
              <w:spacing w:before="42"/>
              <w:ind w:left="60"/>
              <w:rPr>
                <w:b/>
                <w:sz w:val="20"/>
              </w:rPr>
            </w:pPr>
            <w:r>
              <w:rPr>
                <w:b/>
                <w:spacing w:val="-2"/>
                <w:sz w:val="20"/>
              </w:rPr>
              <w:t>$1,530,697</w:t>
            </w:r>
          </w:p>
        </w:tc>
      </w:tr>
    </w:tbl>
    <w:p w:rsidR="00D05178" w14:paraId="3F8F627C" w14:textId="77777777">
      <w:pPr>
        <w:pStyle w:val="BodyText"/>
        <w:spacing w:before="2"/>
      </w:pPr>
    </w:p>
    <w:p w:rsidR="00D05178" w14:paraId="7AC2128C" w14:textId="77777777">
      <w:pPr>
        <w:ind w:left="1079" w:right="1135"/>
        <w:rPr>
          <w:sz w:val="20"/>
        </w:rPr>
      </w:pPr>
      <w:r>
        <w:rPr>
          <w:sz w:val="20"/>
        </w:rPr>
        <w:t>*</w:t>
      </w:r>
      <w:r>
        <w:rPr>
          <w:spacing w:val="40"/>
          <w:sz w:val="20"/>
        </w:rPr>
        <w:t xml:space="preserve"> </w:t>
      </w:r>
      <w:r>
        <w:rPr>
          <w:sz w:val="20"/>
        </w:rPr>
        <w:t>Bureau</w:t>
      </w:r>
      <w:r>
        <w:rPr>
          <w:spacing w:val="-3"/>
          <w:sz w:val="20"/>
        </w:rPr>
        <w:t xml:space="preserve"> </w:t>
      </w:r>
      <w:r>
        <w:rPr>
          <w:sz w:val="20"/>
        </w:rPr>
        <w:t>of</w:t>
      </w:r>
      <w:r>
        <w:rPr>
          <w:spacing w:val="-2"/>
          <w:sz w:val="20"/>
        </w:rPr>
        <w:t xml:space="preserve"> </w:t>
      </w:r>
      <w:r>
        <w:rPr>
          <w:sz w:val="20"/>
        </w:rPr>
        <w:t>Labor</w:t>
      </w:r>
      <w:r>
        <w:rPr>
          <w:spacing w:val="-3"/>
          <w:sz w:val="20"/>
        </w:rPr>
        <w:t xml:space="preserve"> </w:t>
      </w:r>
      <w:r>
        <w:rPr>
          <w:sz w:val="20"/>
        </w:rPr>
        <w:t>Statistics</w:t>
      </w:r>
      <w:r>
        <w:rPr>
          <w:spacing w:val="-2"/>
          <w:sz w:val="20"/>
        </w:rPr>
        <w:t xml:space="preserve"> </w:t>
      </w:r>
      <w:r>
        <w:rPr>
          <w:sz w:val="20"/>
        </w:rPr>
        <w:t>(BLS),</w:t>
      </w:r>
      <w:r>
        <w:rPr>
          <w:spacing w:val="-3"/>
          <w:sz w:val="20"/>
        </w:rPr>
        <w:t xml:space="preserve"> </w:t>
      </w:r>
      <w:r>
        <w:rPr>
          <w:sz w:val="20"/>
        </w:rPr>
        <w:t>U.S.</w:t>
      </w:r>
      <w:r>
        <w:rPr>
          <w:spacing w:val="-3"/>
          <w:sz w:val="20"/>
        </w:rPr>
        <w:t xml:space="preserve"> </w:t>
      </w:r>
      <w:r>
        <w:rPr>
          <w:sz w:val="20"/>
        </w:rPr>
        <w:t>Department</w:t>
      </w:r>
      <w:r>
        <w:rPr>
          <w:spacing w:val="-4"/>
          <w:sz w:val="20"/>
        </w:rPr>
        <w:t xml:space="preserve"> </w:t>
      </w:r>
      <w:r>
        <w:rPr>
          <w:sz w:val="20"/>
        </w:rPr>
        <w:t>of</w:t>
      </w:r>
      <w:r>
        <w:rPr>
          <w:spacing w:val="-3"/>
          <w:sz w:val="20"/>
        </w:rPr>
        <w:t xml:space="preserve"> </w:t>
      </w:r>
      <w:r>
        <w:rPr>
          <w:sz w:val="20"/>
        </w:rPr>
        <w:t>Labor,</w:t>
      </w:r>
      <w:r>
        <w:rPr>
          <w:spacing w:val="-3"/>
          <w:sz w:val="20"/>
        </w:rPr>
        <w:t xml:space="preserve"> </w:t>
      </w:r>
      <w:r>
        <w:rPr>
          <w:sz w:val="20"/>
        </w:rPr>
        <w:t>Occupational</w:t>
      </w:r>
      <w:r>
        <w:rPr>
          <w:spacing w:val="-4"/>
          <w:sz w:val="20"/>
        </w:rPr>
        <w:t xml:space="preserve"> </w:t>
      </w:r>
      <w:r>
        <w:rPr>
          <w:sz w:val="20"/>
        </w:rPr>
        <w:t>Outlook</w:t>
      </w:r>
      <w:r>
        <w:rPr>
          <w:spacing w:val="-3"/>
          <w:sz w:val="20"/>
        </w:rPr>
        <w:t xml:space="preserve"> </w:t>
      </w:r>
      <w:r>
        <w:rPr>
          <w:sz w:val="20"/>
        </w:rPr>
        <w:t>Handbook,</w:t>
      </w:r>
      <w:r>
        <w:rPr>
          <w:spacing w:val="-3"/>
          <w:sz w:val="20"/>
        </w:rPr>
        <w:t xml:space="preserve"> </w:t>
      </w:r>
      <w:r>
        <w:rPr>
          <w:sz w:val="20"/>
        </w:rPr>
        <w:t>Accountants</w:t>
      </w:r>
      <w:r>
        <w:rPr>
          <w:spacing w:val="-3"/>
          <w:sz w:val="20"/>
        </w:rPr>
        <w:t xml:space="preserve"> </w:t>
      </w:r>
      <w:r>
        <w:rPr>
          <w:sz w:val="20"/>
        </w:rPr>
        <w:t xml:space="preserve">and Auditors, on the Internet at </w:t>
      </w:r>
      <w:hyperlink r:id="rId5">
        <w:r>
          <w:rPr>
            <w:sz w:val="20"/>
          </w:rPr>
          <w:t>https://www.bls.gov/ooh/business-and-financial/accountants-and-auditors.htm</w:t>
        </w:r>
      </w:hyperlink>
      <w:r>
        <w:rPr>
          <w:sz w:val="20"/>
        </w:rPr>
        <w:t xml:space="preserve"> (visited February 19, 2026). In 2024, the median pay for accounts and auditors was $39.27/hour. To account for the </w:t>
      </w:r>
      <w:r>
        <w:rPr>
          <w:sz w:val="20"/>
        </w:rPr>
        <w:t>fully-loaded</w:t>
      </w:r>
      <w:r>
        <w:rPr>
          <w:sz w:val="20"/>
        </w:rPr>
        <w:t xml:space="preserve"> employer</w:t>
      </w:r>
      <w:r>
        <w:rPr>
          <w:spacing w:val="-1"/>
          <w:sz w:val="20"/>
        </w:rPr>
        <w:t xml:space="preserve"> </w:t>
      </w:r>
      <w:r>
        <w:rPr>
          <w:sz w:val="20"/>
        </w:rPr>
        <w:t>cost</w:t>
      </w:r>
      <w:r>
        <w:rPr>
          <w:spacing w:val="-2"/>
          <w:sz w:val="20"/>
        </w:rPr>
        <w:t xml:space="preserve"> </w:t>
      </w:r>
      <w:r>
        <w:rPr>
          <w:sz w:val="20"/>
        </w:rPr>
        <w:t>of</w:t>
      </w:r>
      <w:r>
        <w:rPr>
          <w:spacing w:val="-1"/>
          <w:sz w:val="20"/>
        </w:rPr>
        <w:t xml:space="preserve"> </w:t>
      </w:r>
      <w:r>
        <w:rPr>
          <w:sz w:val="20"/>
        </w:rPr>
        <w:t>employee</w:t>
      </w:r>
      <w:r>
        <w:rPr>
          <w:spacing w:val="-2"/>
          <w:sz w:val="20"/>
        </w:rPr>
        <w:t xml:space="preserve"> </w:t>
      </w:r>
      <w:r>
        <w:rPr>
          <w:sz w:val="20"/>
        </w:rPr>
        <w:t>compensation,</w:t>
      </w:r>
      <w:r>
        <w:rPr>
          <w:spacing w:val="-1"/>
          <w:sz w:val="20"/>
        </w:rPr>
        <w:t xml:space="preserve"> </w:t>
      </w:r>
      <w:r>
        <w:rPr>
          <w:sz w:val="20"/>
        </w:rPr>
        <w:t>the</w:t>
      </w:r>
      <w:r>
        <w:rPr>
          <w:spacing w:val="-1"/>
          <w:sz w:val="20"/>
        </w:rPr>
        <w:t xml:space="preserve"> </w:t>
      </w:r>
      <w:r>
        <w:rPr>
          <w:sz w:val="20"/>
        </w:rPr>
        <w:t>median</w:t>
      </w:r>
      <w:r>
        <w:rPr>
          <w:spacing w:val="-2"/>
          <w:sz w:val="20"/>
        </w:rPr>
        <w:t xml:space="preserve"> </w:t>
      </w:r>
      <w:r>
        <w:rPr>
          <w:sz w:val="20"/>
        </w:rPr>
        <w:t>pay</w:t>
      </w:r>
      <w:r>
        <w:rPr>
          <w:spacing w:val="-2"/>
          <w:sz w:val="20"/>
        </w:rPr>
        <w:t xml:space="preserve"> </w:t>
      </w:r>
      <w:r>
        <w:rPr>
          <w:sz w:val="20"/>
        </w:rPr>
        <w:t>is</w:t>
      </w:r>
      <w:r>
        <w:rPr>
          <w:spacing w:val="-1"/>
          <w:sz w:val="20"/>
        </w:rPr>
        <w:t xml:space="preserve"> </w:t>
      </w:r>
      <w:r>
        <w:rPr>
          <w:sz w:val="20"/>
        </w:rPr>
        <w:t>increased</w:t>
      </w:r>
      <w:r>
        <w:rPr>
          <w:spacing w:val="-2"/>
          <w:sz w:val="20"/>
        </w:rPr>
        <w:t xml:space="preserve"> </w:t>
      </w:r>
      <w:r>
        <w:rPr>
          <w:sz w:val="20"/>
        </w:rPr>
        <w:t>by</w:t>
      </w:r>
      <w:r>
        <w:rPr>
          <w:spacing w:val="-2"/>
          <w:sz w:val="20"/>
        </w:rPr>
        <w:t xml:space="preserve"> </w:t>
      </w:r>
      <w:r>
        <w:rPr>
          <w:sz w:val="20"/>
        </w:rPr>
        <w:t>38.5%,</w:t>
      </w:r>
      <w:r>
        <w:rPr>
          <w:spacing w:val="-2"/>
          <w:sz w:val="20"/>
        </w:rPr>
        <w:t xml:space="preserve"> </w:t>
      </w:r>
      <w:r>
        <w:rPr>
          <w:sz w:val="20"/>
        </w:rPr>
        <w:t>resulting in</w:t>
      </w:r>
      <w:r>
        <w:rPr>
          <w:spacing w:val="-2"/>
          <w:sz w:val="20"/>
        </w:rPr>
        <w:t xml:space="preserve"> </w:t>
      </w:r>
      <w:r>
        <w:rPr>
          <w:sz w:val="20"/>
        </w:rPr>
        <w:t>a</w:t>
      </w:r>
      <w:r>
        <w:rPr>
          <w:spacing w:val="-2"/>
          <w:sz w:val="20"/>
        </w:rPr>
        <w:t xml:space="preserve"> </w:t>
      </w:r>
      <w:r>
        <w:rPr>
          <w:sz w:val="20"/>
        </w:rPr>
        <w:t>fully-loaded</w:t>
      </w:r>
      <w:r>
        <w:rPr>
          <w:sz w:val="20"/>
        </w:rPr>
        <w:t xml:space="preserve"> wage rate of $54.39. According to BLS’s Employer Cost for Employee Compensation from September 2025 (released on September 12, 2025: </w:t>
      </w:r>
      <w:hyperlink r:id="rId6">
        <w:r>
          <w:rPr>
            <w:sz w:val="20"/>
          </w:rPr>
          <w:t>https://www.bls.gov/news.release/pdf/ecec.pdf),</w:t>
        </w:r>
      </w:hyperlink>
      <w:r>
        <w:rPr>
          <w:sz w:val="20"/>
        </w:rPr>
        <w:t xml:space="preserve"> employers provided 38.5% of total employee compensation in the form of non-wage compensation (i.e., benefits such as paid leave, health insurance, etc.) for state and local government workers.</w:t>
      </w:r>
    </w:p>
    <w:p w:rsidR="00D05178" w14:paraId="024E8D75" w14:textId="77777777">
      <w:pPr>
        <w:ind w:left="1080" w:right="1135"/>
        <w:rPr>
          <w:sz w:val="20"/>
        </w:rPr>
      </w:pPr>
      <w:r>
        <w:rPr>
          <w:sz w:val="20"/>
        </w:rPr>
        <w:t>**</w:t>
      </w:r>
      <w:r>
        <w:rPr>
          <w:spacing w:val="-3"/>
          <w:sz w:val="20"/>
        </w:rPr>
        <w:t xml:space="preserve"> </w:t>
      </w:r>
      <w:r>
        <w:rPr>
          <w:sz w:val="20"/>
        </w:rPr>
        <w:t>Quarterly</w:t>
      </w:r>
      <w:r>
        <w:rPr>
          <w:spacing w:val="-3"/>
          <w:sz w:val="20"/>
        </w:rPr>
        <w:t xml:space="preserve"> </w:t>
      </w:r>
      <w:r>
        <w:rPr>
          <w:sz w:val="20"/>
        </w:rPr>
        <w:t>Supplemental</w:t>
      </w:r>
      <w:r>
        <w:rPr>
          <w:spacing w:val="-3"/>
          <w:sz w:val="20"/>
        </w:rPr>
        <w:t xml:space="preserve"> </w:t>
      </w:r>
      <w:r>
        <w:rPr>
          <w:sz w:val="20"/>
        </w:rPr>
        <w:t>Report</w:t>
      </w:r>
      <w:r>
        <w:rPr>
          <w:spacing w:val="-3"/>
          <w:sz w:val="20"/>
        </w:rPr>
        <w:t xml:space="preserve"> </w:t>
      </w:r>
      <w:r>
        <w:rPr>
          <w:sz w:val="20"/>
        </w:rPr>
        <w:t>Schedules</w:t>
      </w:r>
      <w:r>
        <w:rPr>
          <w:spacing w:val="-2"/>
          <w:sz w:val="20"/>
        </w:rPr>
        <w:t xml:space="preserve"> </w:t>
      </w:r>
      <w:r>
        <w:rPr>
          <w:sz w:val="20"/>
        </w:rPr>
        <w:t>A</w:t>
      </w:r>
      <w:r>
        <w:rPr>
          <w:spacing w:val="-3"/>
          <w:sz w:val="20"/>
        </w:rPr>
        <w:t xml:space="preserve"> </w:t>
      </w:r>
      <w:r>
        <w:rPr>
          <w:sz w:val="20"/>
        </w:rPr>
        <w:t>&amp;</w:t>
      </w:r>
      <w:r>
        <w:rPr>
          <w:spacing w:val="-2"/>
          <w:sz w:val="20"/>
        </w:rPr>
        <w:t xml:space="preserve"> </w:t>
      </w:r>
      <w:r>
        <w:rPr>
          <w:sz w:val="20"/>
        </w:rPr>
        <w:t>B</w:t>
      </w:r>
      <w:r>
        <w:rPr>
          <w:spacing w:val="-3"/>
          <w:sz w:val="20"/>
        </w:rPr>
        <w:t xml:space="preserve"> </w:t>
      </w:r>
      <w:r>
        <w:rPr>
          <w:sz w:val="20"/>
        </w:rPr>
        <w:t>are</w:t>
      </w:r>
      <w:r>
        <w:rPr>
          <w:spacing w:val="-2"/>
          <w:sz w:val="20"/>
        </w:rPr>
        <w:t xml:space="preserve"> </w:t>
      </w:r>
      <w:r>
        <w:rPr>
          <w:sz w:val="20"/>
        </w:rPr>
        <w:t>completed</w:t>
      </w:r>
      <w:r>
        <w:rPr>
          <w:spacing w:val="-3"/>
          <w:sz w:val="20"/>
        </w:rPr>
        <w:t xml:space="preserve"> </w:t>
      </w:r>
      <w:r>
        <w:rPr>
          <w:sz w:val="20"/>
        </w:rPr>
        <w:t>four</w:t>
      </w:r>
      <w:r>
        <w:rPr>
          <w:spacing w:val="-2"/>
          <w:sz w:val="20"/>
        </w:rPr>
        <w:t xml:space="preserve"> </w:t>
      </w:r>
      <w:r>
        <w:rPr>
          <w:sz w:val="20"/>
        </w:rPr>
        <w:t>times</w:t>
      </w:r>
      <w:r>
        <w:rPr>
          <w:spacing w:val="-2"/>
          <w:sz w:val="20"/>
        </w:rPr>
        <w:t xml:space="preserve"> </w:t>
      </w:r>
      <w:r>
        <w:rPr>
          <w:sz w:val="20"/>
        </w:rPr>
        <w:t>a</w:t>
      </w:r>
      <w:r>
        <w:rPr>
          <w:spacing w:val="-3"/>
          <w:sz w:val="20"/>
        </w:rPr>
        <w:t xml:space="preserve"> </w:t>
      </w:r>
      <w:r>
        <w:rPr>
          <w:sz w:val="20"/>
        </w:rPr>
        <w:t>year.</w:t>
      </w:r>
      <w:r>
        <w:rPr>
          <w:spacing w:val="40"/>
          <w:sz w:val="20"/>
        </w:rPr>
        <w:t xml:space="preserve"> </w:t>
      </w:r>
      <w:r>
        <w:rPr>
          <w:sz w:val="20"/>
        </w:rPr>
        <w:t>Schedules</w:t>
      </w:r>
      <w:r>
        <w:rPr>
          <w:spacing w:val="-2"/>
          <w:sz w:val="20"/>
        </w:rPr>
        <w:t xml:space="preserve"> </w:t>
      </w:r>
      <w:r>
        <w:rPr>
          <w:sz w:val="20"/>
        </w:rPr>
        <w:t>C</w:t>
      </w:r>
      <w:r>
        <w:rPr>
          <w:spacing w:val="-4"/>
          <w:sz w:val="20"/>
        </w:rPr>
        <w:t xml:space="preserve"> </w:t>
      </w:r>
      <w:r>
        <w:rPr>
          <w:sz w:val="20"/>
        </w:rPr>
        <w:t>&amp;</w:t>
      </w:r>
      <w:r>
        <w:rPr>
          <w:spacing w:val="-3"/>
          <w:sz w:val="20"/>
        </w:rPr>
        <w:t xml:space="preserve"> </w:t>
      </w:r>
      <w:r>
        <w:rPr>
          <w:sz w:val="20"/>
        </w:rPr>
        <w:t>D</w:t>
      </w:r>
      <w:r>
        <w:rPr>
          <w:spacing w:val="-3"/>
          <w:sz w:val="20"/>
        </w:rPr>
        <w:t xml:space="preserve"> </w:t>
      </w:r>
      <w:r>
        <w:rPr>
          <w:sz w:val="20"/>
        </w:rPr>
        <w:t>and completed only once a year.</w:t>
      </w:r>
      <w:r>
        <w:rPr>
          <w:spacing w:val="40"/>
          <w:sz w:val="20"/>
        </w:rPr>
        <w:t xml:space="preserve"> </w:t>
      </w:r>
      <w:r>
        <w:rPr>
          <w:sz w:val="20"/>
        </w:rPr>
        <w:t>For clarity these are shown separately in the table.</w:t>
      </w:r>
    </w:p>
    <w:p w:rsidR="00D05178" w14:paraId="1A957A14" w14:textId="77777777">
      <w:pPr>
        <w:rPr>
          <w:sz w:val="20"/>
        </w:rPr>
        <w:sectPr>
          <w:pgSz w:w="12240" w:h="15840"/>
          <w:pgMar w:top="1380" w:right="360" w:bottom="980" w:left="360" w:header="0" w:footer="784" w:gutter="0"/>
          <w:cols w:space="720"/>
        </w:sectPr>
      </w:pPr>
    </w:p>
    <w:p w:rsidR="00D05178" w14:paraId="73790A10" w14:textId="77777777">
      <w:pPr>
        <w:pStyle w:val="BodyText"/>
        <w:spacing w:before="70"/>
        <w:ind w:left="1080" w:right="1172"/>
      </w:pPr>
      <w:r>
        <w:t>Treasury</w:t>
      </w:r>
      <w:r>
        <w:rPr>
          <w:spacing w:val="-4"/>
        </w:rPr>
        <w:t xml:space="preserve"> </w:t>
      </w:r>
      <w:r>
        <w:t>estimates</w:t>
      </w:r>
      <w:r>
        <w:rPr>
          <w:spacing w:val="-3"/>
        </w:rPr>
        <w:t xml:space="preserve"> </w:t>
      </w:r>
      <w:r>
        <w:t>each</w:t>
      </w:r>
      <w:r>
        <w:rPr>
          <w:spacing w:val="-4"/>
        </w:rPr>
        <w:t xml:space="preserve"> </w:t>
      </w:r>
      <w:r>
        <w:t>response</w:t>
      </w:r>
      <w:r>
        <w:rPr>
          <w:spacing w:val="-4"/>
        </w:rPr>
        <w:t xml:space="preserve"> </w:t>
      </w:r>
      <w:r>
        <w:t>requires</w:t>
      </w:r>
      <w:r>
        <w:rPr>
          <w:spacing w:val="-4"/>
        </w:rPr>
        <w:t xml:space="preserve"> </w:t>
      </w:r>
      <w:r>
        <w:t>two</w:t>
      </w:r>
      <w:r>
        <w:rPr>
          <w:spacing w:val="-3"/>
        </w:rPr>
        <w:t xml:space="preserve"> </w:t>
      </w:r>
      <w:r>
        <w:t>FTEs</w:t>
      </w:r>
      <w:r>
        <w:rPr>
          <w:spacing w:val="-3"/>
        </w:rPr>
        <w:t xml:space="preserve"> </w:t>
      </w:r>
      <w:r>
        <w:t>for</w:t>
      </w:r>
      <w:r>
        <w:rPr>
          <w:spacing w:val="-3"/>
        </w:rPr>
        <w:t xml:space="preserve"> </w:t>
      </w:r>
      <w:r>
        <w:t>two</w:t>
      </w:r>
      <w:r>
        <w:rPr>
          <w:spacing w:val="-4"/>
        </w:rPr>
        <w:t xml:space="preserve"> </w:t>
      </w:r>
      <w:r>
        <w:t>weeks</w:t>
      </w:r>
      <w:r>
        <w:rPr>
          <w:spacing w:val="-3"/>
        </w:rPr>
        <w:t xml:space="preserve"> </w:t>
      </w:r>
      <w:r>
        <w:t>on</w:t>
      </w:r>
      <w:r>
        <w:rPr>
          <w:spacing w:val="-3"/>
        </w:rPr>
        <w:t xml:space="preserve"> </w:t>
      </w:r>
      <w:r>
        <w:t>average</w:t>
      </w:r>
      <w:r>
        <w:rPr>
          <w:spacing w:val="-4"/>
        </w:rPr>
        <w:t xml:space="preserve"> </w:t>
      </w:r>
      <w:r>
        <w:t>to</w:t>
      </w:r>
      <w:r>
        <w:rPr>
          <w:spacing w:val="-3"/>
        </w:rPr>
        <w:t xml:space="preserve"> </w:t>
      </w:r>
      <w:r>
        <w:t>prepare</w:t>
      </w:r>
      <w:r>
        <w:rPr>
          <w:spacing w:val="-3"/>
        </w:rPr>
        <w:t xml:space="preserve"> </w:t>
      </w:r>
      <w:r>
        <w:t>the data and submit it.</w:t>
      </w:r>
    </w:p>
    <w:p w:rsidR="00D05178" w14:paraId="0583EC85" w14:textId="77777777">
      <w:pPr>
        <w:pStyle w:val="BodyText"/>
      </w:pPr>
    </w:p>
    <w:p w:rsidR="00D05178" w14:paraId="31156297" w14:textId="77777777">
      <w:pPr>
        <w:pStyle w:val="ListParagraph"/>
        <w:numPr>
          <w:ilvl w:val="0"/>
          <w:numId w:val="1"/>
        </w:numPr>
        <w:tabs>
          <w:tab w:val="left" w:pos="1440"/>
        </w:tabs>
        <w:spacing w:before="1"/>
        <w:rPr>
          <w:sz w:val="24"/>
          <w:u w:val="none"/>
        </w:rPr>
      </w:pPr>
      <w:r>
        <w:rPr>
          <w:sz w:val="24"/>
        </w:rPr>
        <w:t>Estimated</w:t>
      </w:r>
      <w:r>
        <w:rPr>
          <w:spacing w:val="-4"/>
          <w:sz w:val="24"/>
        </w:rPr>
        <w:t xml:space="preserve"> </w:t>
      </w:r>
      <w:r>
        <w:rPr>
          <w:sz w:val="24"/>
        </w:rPr>
        <w:t>total</w:t>
      </w:r>
      <w:r>
        <w:rPr>
          <w:spacing w:val="-1"/>
          <w:sz w:val="24"/>
        </w:rPr>
        <w:t xml:space="preserve"> </w:t>
      </w:r>
      <w:r>
        <w:rPr>
          <w:sz w:val="24"/>
        </w:rPr>
        <w:t>annual</w:t>
      </w:r>
      <w:r>
        <w:rPr>
          <w:spacing w:val="-2"/>
          <w:sz w:val="24"/>
        </w:rPr>
        <w:t xml:space="preserve"> </w:t>
      </w:r>
      <w:r>
        <w:rPr>
          <w:sz w:val="24"/>
        </w:rPr>
        <w:t>cost</w:t>
      </w:r>
      <w:r>
        <w:rPr>
          <w:spacing w:val="-1"/>
          <w:sz w:val="24"/>
        </w:rPr>
        <w:t xml:space="preserve"> </w:t>
      </w:r>
      <w:r>
        <w:rPr>
          <w:sz w:val="24"/>
        </w:rPr>
        <w:t>burden</w:t>
      </w:r>
      <w:r>
        <w:rPr>
          <w:spacing w:val="-3"/>
          <w:sz w:val="24"/>
        </w:rPr>
        <w:t xml:space="preserve"> </w:t>
      </w:r>
      <w:r>
        <w:rPr>
          <w:sz w:val="24"/>
        </w:rPr>
        <w:t>to</w:t>
      </w:r>
      <w:r>
        <w:rPr>
          <w:spacing w:val="-3"/>
          <w:sz w:val="24"/>
        </w:rPr>
        <w:t xml:space="preserve"> </w:t>
      </w:r>
      <w:r>
        <w:rPr>
          <w:spacing w:val="-2"/>
          <w:sz w:val="24"/>
        </w:rPr>
        <w:t>respondents</w:t>
      </w:r>
    </w:p>
    <w:p w:rsidR="00D05178" w14:paraId="1C73FE25" w14:textId="77777777">
      <w:pPr>
        <w:pStyle w:val="BodyText"/>
        <w:spacing w:before="276"/>
        <w:ind w:left="1080" w:right="1002"/>
      </w:pPr>
      <w:r>
        <w:t>The</w:t>
      </w:r>
      <w:r>
        <w:rPr>
          <w:spacing w:val="-3"/>
        </w:rPr>
        <w:t xml:space="preserve"> </w:t>
      </w:r>
      <w:r>
        <w:t>total</w:t>
      </w:r>
      <w:r>
        <w:rPr>
          <w:spacing w:val="-3"/>
        </w:rPr>
        <w:t xml:space="preserve"> </w:t>
      </w:r>
      <w:r>
        <w:t>estimated</w:t>
      </w:r>
      <w:r>
        <w:rPr>
          <w:spacing w:val="-3"/>
        </w:rPr>
        <w:t xml:space="preserve"> </w:t>
      </w:r>
      <w:r>
        <w:t>burden</w:t>
      </w:r>
      <w:r>
        <w:rPr>
          <w:spacing w:val="-3"/>
        </w:rPr>
        <w:t xml:space="preserve"> </w:t>
      </w:r>
      <w:r>
        <w:t>cost</w:t>
      </w:r>
      <w:r>
        <w:rPr>
          <w:spacing w:val="-4"/>
        </w:rPr>
        <w:t xml:space="preserve"> </w:t>
      </w:r>
      <w:r>
        <w:t>is</w:t>
      </w:r>
      <w:r>
        <w:rPr>
          <w:spacing w:val="-3"/>
        </w:rPr>
        <w:t xml:space="preserve"> </w:t>
      </w:r>
      <w:r>
        <w:t>$1,530,697</w:t>
      </w:r>
      <w:r>
        <w:rPr>
          <w:spacing w:val="-3"/>
        </w:rPr>
        <w:t xml:space="preserve"> </w:t>
      </w:r>
      <w:r>
        <w:t>including</w:t>
      </w:r>
      <w:r>
        <w:rPr>
          <w:spacing w:val="-3"/>
        </w:rPr>
        <w:t xml:space="preserve"> </w:t>
      </w:r>
      <w:r>
        <w:t>time</w:t>
      </w:r>
      <w:r>
        <w:rPr>
          <w:spacing w:val="-4"/>
        </w:rPr>
        <w:t xml:space="preserve"> </w:t>
      </w:r>
      <w:r>
        <w:t>necessary</w:t>
      </w:r>
      <w:r>
        <w:rPr>
          <w:spacing w:val="-4"/>
        </w:rPr>
        <w:t xml:space="preserve"> </w:t>
      </w:r>
      <w:r>
        <w:t>to</w:t>
      </w:r>
      <w:r>
        <w:rPr>
          <w:spacing w:val="-5"/>
        </w:rPr>
        <w:t xml:space="preserve"> </w:t>
      </w:r>
      <w:r>
        <w:t>compile</w:t>
      </w:r>
      <w:r>
        <w:rPr>
          <w:spacing w:val="-3"/>
        </w:rPr>
        <w:t xml:space="preserve"> </w:t>
      </w:r>
      <w:r>
        <w:t>data,</w:t>
      </w:r>
      <w:r>
        <w:rPr>
          <w:spacing w:val="-3"/>
        </w:rPr>
        <w:t xml:space="preserve"> </w:t>
      </w:r>
      <w:r>
        <w:t>complete and submit the forms.</w:t>
      </w:r>
    </w:p>
    <w:p w:rsidR="00D05178" w14:paraId="28E98944" w14:textId="77777777">
      <w:pPr>
        <w:pStyle w:val="ListParagraph"/>
        <w:numPr>
          <w:ilvl w:val="0"/>
          <w:numId w:val="1"/>
        </w:numPr>
        <w:tabs>
          <w:tab w:val="left" w:pos="1440"/>
        </w:tabs>
        <w:spacing w:before="274"/>
        <w:rPr>
          <w:sz w:val="24"/>
          <w:u w:val="none"/>
        </w:rPr>
      </w:pPr>
      <w:r>
        <w:rPr>
          <w:sz w:val="24"/>
        </w:rPr>
        <w:t>Estimated</w:t>
      </w:r>
      <w:r>
        <w:rPr>
          <w:spacing w:val="-2"/>
          <w:sz w:val="24"/>
        </w:rPr>
        <w:t xml:space="preserve"> </w:t>
      </w:r>
      <w:r>
        <w:rPr>
          <w:sz w:val="24"/>
        </w:rPr>
        <w:t>cost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federal</w:t>
      </w:r>
      <w:r>
        <w:rPr>
          <w:spacing w:val="-1"/>
          <w:sz w:val="24"/>
        </w:rPr>
        <w:t xml:space="preserve"> </w:t>
      </w:r>
      <w:r>
        <w:rPr>
          <w:spacing w:val="-2"/>
          <w:sz w:val="24"/>
        </w:rPr>
        <w:t>government.</w:t>
      </w:r>
    </w:p>
    <w:p w:rsidR="00D05178" w14:paraId="2243B58B" w14:textId="77777777">
      <w:pPr>
        <w:pStyle w:val="BodyText"/>
      </w:pPr>
    </w:p>
    <w:p w:rsidR="00D05178" w14:paraId="1A98660C" w14:textId="77777777">
      <w:pPr>
        <w:pStyle w:val="BodyText"/>
        <w:ind w:left="1080" w:right="1161"/>
        <w:jc w:val="both"/>
      </w:pPr>
      <w:r>
        <w:t>Federal costs are estimated to be $280,000 annually. These costs are associated with confirming receipt</w:t>
      </w:r>
      <w:r>
        <w:rPr>
          <w:spacing w:val="-2"/>
        </w:rPr>
        <w:t xml:space="preserve"> </w:t>
      </w:r>
      <w:r>
        <w:t>of</w:t>
      </w:r>
      <w:r>
        <w:rPr>
          <w:spacing w:val="-3"/>
        </w:rPr>
        <w:t xml:space="preserve"> </w:t>
      </w:r>
      <w:r>
        <w:t>the</w:t>
      </w:r>
      <w:r>
        <w:rPr>
          <w:spacing w:val="-2"/>
        </w:rPr>
        <w:t xml:space="preserve"> </w:t>
      </w:r>
      <w:r>
        <w:t>reports.</w:t>
      </w:r>
      <w:r>
        <w:rPr>
          <w:spacing w:val="40"/>
        </w:rPr>
        <w:t xml:space="preserve"> </w:t>
      </w:r>
      <w:r>
        <w:t>Limited</w:t>
      </w:r>
      <w:r>
        <w:rPr>
          <w:spacing w:val="-2"/>
        </w:rPr>
        <w:t xml:space="preserve"> </w:t>
      </w:r>
      <w:r>
        <w:t>follow-up</w:t>
      </w:r>
      <w:r>
        <w:rPr>
          <w:spacing w:val="-2"/>
        </w:rPr>
        <w:t xml:space="preserve"> </w:t>
      </w:r>
      <w:r>
        <w:t>may</w:t>
      </w:r>
      <w:r>
        <w:rPr>
          <w:spacing w:val="-2"/>
        </w:rPr>
        <w:t xml:space="preserve"> </w:t>
      </w:r>
      <w:r>
        <w:t>be</w:t>
      </w:r>
      <w:r>
        <w:rPr>
          <w:spacing w:val="-2"/>
        </w:rPr>
        <w:t xml:space="preserve"> </w:t>
      </w:r>
      <w:r>
        <w:t>required</w:t>
      </w:r>
      <w:r>
        <w:rPr>
          <w:spacing w:val="-2"/>
        </w:rPr>
        <w:t xml:space="preserve"> </w:t>
      </w:r>
      <w:r>
        <w:t>in</w:t>
      </w:r>
      <w:r>
        <w:rPr>
          <w:spacing w:val="-4"/>
        </w:rPr>
        <w:t xml:space="preserve"> </w:t>
      </w:r>
      <w:r>
        <w:t>the</w:t>
      </w:r>
      <w:r>
        <w:rPr>
          <w:spacing w:val="-2"/>
        </w:rPr>
        <w:t xml:space="preserve"> </w:t>
      </w:r>
      <w:r>
        <w:t>event</w:t>
      </w:r>
      <w:r>
        <w:rPr>
          <w:spacing w:val="-2"/>
        </w:rPr>
        <w:t xml:space="preserve"> </w:t>
      </w:r>
      <w:r>
        <w:t>of</w:t>
      </w:r>
      <w:r>
        <w:rPr>
          <w:spacing w:val="-3"/>
        </w:rPr>
        <w:t xml:space="preserve"> </w:t>
      </w:r>
      <w:r>
        <w:t>missing</w:t>
      </w:r>
      <w:r>
        <w:rPr>
          <w:spacing w:val="-2"/>
        </w:rPr>
        <w:t xml:space="preserve"> </w:t>
      </w:r>
      <w:r>
        <w:t>data</w:t>
      </w:r>
      <w:r>
        <w:rPr>
          <w:spacing w:val="-2"/>
        </w:rPr>
        <w:t xml:space="preserve"> </w:t>
      </w:r>
      <w:r>
        <w:t>points</w:t>
      </w:r>
      <w:r>
        <w:rPr>
          <w:spacing w:val="-3"/>
        </w:rPr>
        <w:t xml:space="preserve"> </w:t>
      </w:r>
      <w:r>
        <w:t>but do not require analysis beyond confirmation of completeness.</w:t>
      </w:r>
    </w:p>
    <w:p w:rsidR="00D05178" w14:paraId="638F97F3" w14:textId="77777777">
      <w:pPr>
        <w:pStyle w:val="BodyText"/>
      </w:pPr>
    </w:p>
    <w:p w:rsidR="00D05178" w14:paraId="16C52AF5" w14:textId="77777777">
      <w:pPr>
        <w:pStyle w:val="ListParagraph"/>
        <w:numPr>
          <w:ilvl w:val="0"/>
          <w:numId w:val="1"/>
        </w:numPr>
        <w:tabs>
          <w:tab w:val="left" w:pos="1440"/>
        </w:tabs>
        <w:spacing w:before="1"/>
        <w:rPr>
          <w:sz w:val="24"/>
          <w:u w:val="none"/>
        </w:rPr>
      </w:pPr>
      <w:r>
        <w:rPr>
          <w:sz w:val="24"/>
        </w:rPr>
        <w:t>Reasons</w:t>
      </w:r>
      <w:r>
        <w:rPr>
          <w:spacing w:val="-1"/>
          <w:sz w:val="24"/>
        </w:rPr>
        <w:t xml:space="preserve"> </w:t>
      </w:r>
      <w:r>
        <w:rPr>
          <w:sz w:val="24"/>
        </w:rPr>
        <w:t>for</w:t>
      </w:r>
      <w:r>
        <w:rPr>
          <w:spacing w:val="-2"/>
          <w:sz w:val="24"/>
        </w:rPr>
        <w:t xml:space="preserve"> </w:t>
      </w:r>
      <w:r>
        <w:rPr>
          <w:sz w:val="24"/>
        </w:rPr>
        <w:t>change</w:t>
      </w:r>
      <w:r>
        <w:rPr>
          <w:spacing w:val="-1"/>
          <w:sz w:val="24"/>
        </w:rPr>
        <w:t xml:space="preserve"> </w:t>
      </w:r>
      <w:r>
        <w:rPr>
          <w:sz w:val="24"/>
        </w:rPr>
        <w:t xml:space="preserve">in </w:t>
      </w:r>
      <w:r>
        <w:rPr>
          <w:spacing w:val="-2"/>
          <w:sz w:val="24"/>
        </w:rPr>
        <w:t>burden</w:t>
      </w:r>
    </w:p>
    <w:p w:rsidR="00D05178" w14:paraId="250DBF24" w14:textId="77777777">
      <w:pPr>
        <w:pStyle w:val="BodyText"/>
        <w:spacing w:before="276"/>
        <w:ind w:left="1080" w:right="1135"/>
      </w:pPr>
      <w:r>
        <w:t>This collection of information reflects changes to remove some forms that are no longer being used,</w:t>
      </w:r>
      <w:r>
        <w:rPr>
          <w:spacing w:val="-3"/>
        </w:rPr>
        <w:t xml:space="preserve"> </w:t>
      </w:r>
      <w:r>
        <w:t>update</w:t>
      </w:r>
      <w:r>
        <w:rPr>
          <w:spacing w:val="-4"/>
        </w:rPr>
        <w:t xml:space="preserve"> </w:t>
      </w:r>
      <w:r>
        <w:t>the</w:t>
      </w:r>
      <w:r>
        <w:rPr>
          <w:spacing w:val="-3"/>
        </w:rPr>
        <w:t xml:space="preserve"> </w:t>
      </w:r>
      <w:r>
        <w:t>number</w:t>
      </w:r>
      <w:r>
        <w:rPr>
          <w:spacing w:val="-4"/>
        </w:rPr>
        <w:t xml:space="preserve"> </w:t>
      </w:r>
      <w:r>
        <w:t>of</w:t>
      </w:r>
      <w:r>
        <w:rPr>
          <w:spacing w:val="-3"/>
        </w:rPr>
        <w:t xml:space="preserve"> </w:t>
      </w:r>
      <w:r>
        <w:t>respondents</w:t>
      </w:r>
      <w:r>
        <w:rPr>
          <w:spacing w:val="-3"/>
        </w:rPr>
        <w:t xml:space="preserve"> </w:t>
      </w:r>
      <w:r>
        <w:t>in</w:t>
      </w:r>
      <w:r>
        <w:rPr>
          <w:spacing w:val="-3"/>
        </w:rPr>
        <w:t xml:space="preserve"> </w:t>
      </w:r>
      <w:r>
        <w:t>line</w:t>
      </w:r>
      <w:r>
        <w:rPr>
          <w:spacing w:val="-3"/>
        </w:rPr>
        <w:t xml:space="preserve"> </w:t>
      </w:r>
      <w:r>
        <w:t>with</w:t>
      </w:r>
      <w:r>
        <w:rPr>
          <w:spacing w:val="-3"/>
        </w:rPr>
        <w:t xml:space="preserve"> </w:t>
      </w:r>
      <w:r>
        <w:t>changes</w:t>
      </w:r>
      <w:r>
        <w:rPr>
          <w:spacing w:val="-3"/>
        </w:rPr>
        <w:t xml:space="preserve"> </w:t>
      </w:r>
      <w:r>
        <w:t>in</w:t>
      </w:r>
      <w:r>
        <w:rPr>
          <w:spacing w:val="-3"/>
        </w:rPr>
        <w:t xml:space="preserve"> </w:t>
      </w:r>
      <w:r>
        <w:t>program</w:t>
      </w:r>
      <w:r>
        <w:rPr>
          <w:spacing w:val="-3"/>
        </w:rPr>
        <w:t xml:space="preserve"> </w:t>
      </w:r>
      <w:r>
        <w:t>participation,</w:t>
      </w:r>
      <w:r>
        <w:rPr>
          <w:spacing w:val="-5"/>
        </w:rPr>
        <w:t xml:space="preserve"> </w:t>
      </w:r>
      <w:r>
        <w:t>and</w:t>
      </w:r>
      <w:r>
        <w:rPr>
          <w:spacing w:val="-3"/>
        </w:rPr>
        <w:t xml:space="preserve"> </w:t>
      </w:r>
      <w:r>
        <w:t>better reflect</w:t>
      </w:r>
      <w:r>
        <w:rPr>
          <w:spacing w:val="-3"/>
        </w:rPr>
        <w:t xml:space="preserve"> </w:t>
      </w:r>
      <w:r>
        <w:t>the</w:t>
      </w:r>
      <w:r>
        <w:rPr>
          <w:spacing w:val="-2"/>
        </w:rPr>
        <w:t xml:space="preserve"> </w:t>
      </w:r>
      <w:r>
        <w:t>reporting</w:t>
      </w:r>
      <w:r>
        <w:rPr>
          <w:spacing w:val="-4"/>
        </w:rPr>
        <w:t xml:space="preserve"> </w:t>
      </w:r>
      <w:r>
        <w:t>frequency</w:t>
      </w:r>
      <w:r>
        <w:rPr>
          <w:spacing w:val="-2"/>
        </w:rPr>
        <w:t xml:space="preserve"> </w:t>
      </w:r>
      <w:r>
        <w:t>and</w:t>
      </w:r>
      <w:r>
        <w:rPr>
          <w:spacing w:val="-2"/>
        </w:rPr>
        <w:t xml:space="preserve"> </w:t>
      </w:r>
      <w:r>
        <w:t>burden</w:t>
      </w:r>
      <w:r>
        <w:rPr>
          <w:spacing w:val="-2"/>
        </w:rPr>
        <w:t xml:space="preserve"> </w:t>
      </w:r>
      <w:r>
        <w:t>hours</w:t>
      </w:r>
      <w:r>
        <w:rPr>
          <w:spacing w:val="-3"/>
        </w:rPr>
        <w:t xml:space="preserve"> </w:t>
      </w:r>
      <w:r>
        <w:t>associated</w:t>
      </w:r>
      <w:r>
        <w:rPr>
          <w:spacing w:val="-2"/>
        </w:rPr>
        <w:t xml:space="preserve"> </w:t>
      </w:r>
      <w:r>
        <w:t>with</w:t>
      </w:r>
      <w:r>
        <w:rPr>
          <w:spacing w:val="-2"/>
        </w:rPr>
        <w:t xml:space="preserve"> </w:t>
      </w:r>
      <w:r>
        <w:t>completing</w:t>
      </w:r>
      <w:r>
        <w:rPr>
          <w:spacing w:val="-2"/>
        </w:rPr>
        <w:t xml:space="preserve"> </w:t>
      </w:r>
      <w:r>
        <w:t>each</w:t>
      </w:r>
      <w:r>
        <w:rPr>
          <w:spacing w:val="-2"/>
        </w:rPr>
        <w:t xml:space="preserve"> </w:t>
      </w:r>
      <w:r>
        <w:t>form</w:t>
      </w:r>
      <w:r>
        <w:rPr>
          <w:spacing w:val="-2"/>
        </w:rPr>
        <w:t xml:space="preserve"> </w:t>
      </w:r>
      <w:r>
        <w:t>based</w:t>
      </w:r>
      <w:r>
        <w:rPr>
          <w:spacing w:val="-2"/>
        </w:rPr>
        <w:t xml:space="preserve"> </w:t>
      </w:r>
      <w:r>
        <w:t>on Treasury’s experience with the Program.</w:t>
      </w:r>
    </w:p>
    <w:p w:rsidR="00D05178" w14:paraId="1B6A7C28" w14:textId="77777777">
      <w:pPr>
        <w:pStyle w:val="ListParagraph"/>
        <w:numPr>
          <w:ilvl w:val="0"/>
          <w:numId w:val="1"/>
        </w:numPr>
        <w:tabs>
          <w:tab w:val="left" w:pos="1440"/>
        </w:tabs>
        <w:spacing w:before="276"/>
        <w:rPr>
          <w:sz w:val="24"/>
          <w:u w:val="none"/>
        </w:rPr>
      </w:pPr>
      <w:r>
        <w:rPr>
          <w:sz w:val="24"/>
        </w:rPr>
        <w:t>Plans</w:t>
      </w:r>
      <w:r>
        <w:rPr>
          <w:spacing w:val="-2"/>
          <w:sz w:val="24"/>
        </w:rPr>
        <w:t xml:space="preserve"> </w:t>
      </w:r>
      <w:r>
        <w:rPr>
          <w:sz w:val="24"/>
        </w:rPr>
        <w:t>for</w:t>
      </w:r>
      <w:r>
        <w:rPr>
          <w:spacing w:val="-2"/>
          <w:sz w:val="24"/>
        </w:rPr>
        <w:t xml:space="preserve"> </w:t>
      </w:r>
      <w:r>
        <w:rPr>
          <w:sz w:val="24"/>
        </w:rPr>
        <w:t>tabulation,</w:t>
      </w:r>
      <w:r>
        <w:rPr>
          <w:spacing w:val="-2"/>
          <w:sz w:val="24"/>
        </w:rPr>
        <w:t xml:space="preserve"> </w:t>
      </w:r>
      <w:r>
        <w:rPr>
          <w:sz w:val="24"/>
        </w:rPr>
        <w:t>statistical</w:t>
      </w:r>
      <w:r>
        <w:rPr>
          <w:spacing w:val="-1"/>
          <w:sz w:val="24"/>
        </w:rPr>
        <w:t xml:space="preserve"> </w:t>
      </w:r>
      <w:r>
        <w:rPr>
          <w:sz w:val="24"/>
        </w:rPr>
        <w:t>analysis,</w:t>
      </w:r>
      <w:r>
        <w:rPr>
          <w:spacing w:val="-3"/>
          <w:sz w:val="24"/>
        </w:rPr>
        <w:t xml:space="preserve"> </w:t>
      </w:r>
      <w:r>
        <w:rPr>
          <w:sz w:val="24"/>
        </w:rPr>
        <w:t>and</w:t>
      </w:r>
      <w:r>
        <w:rPr>
          <w:spacing w:val="-1"/>
          <w:sz w:val="24"/>
        </w:rPr>
        <w:t xml:space="preserve"> </w:t>
      </w:r>
      <w:r>
        <w:rPr>
          <w:spacing w:val="-2"/>
          <w:sz w:val="24"/>
        </w:rPr>
        <w:t>publication</w:t>
      </w:r>
    </w:p>
    <w:p w:rsidR="00D05178" w14:paraId="5F29C739" w14:textId="77777777">
      <w:pPr>
        <w:pStyle w:val="BodyText"/>
        <w:spacing w:before="276" w:line="276" w:lineRule="auto"/>
        <w:ind w:left="1080" w:right="1135"/>
      </w:pPr>
      <w:r>
        <w:t>While</w:t>
      </w:r>
      <w:r>
        <w:rPr>
          <w:spacing w:val="-3"/>
        </w:rPr>
        <w:t xml:space="preserve"> </w:t>
      </w:r>
      <w:r>
        <w:t>not</w:t>
      </w:r>
      <w:r>
        <w:rPr>
          <w:spacing w:val="-3"/>
        </w:rPr>
        <w:t xml:space="preserve"> </w:t>
      </w:r>
      <w:r>
        <w:t>planned</w:t>
      </w:r>
      <w:r>
        <w:rPr>
          <w:spacing w:val="-3"/>
        </w:rPr>
        <w:t xml:space="preserve"> </w:t>
      </w:r>
      <w:r>
        <w:t>at</w:t>
      </w:r>
      <w:r>
        <w:rPr>
          <w:spacing w:val="-4"/>
        </w:rPr>
        <w:t xml:space="preserve"> </w:t>
      </w:r>
      <w:r>
        <w:t>this</w:t>
      </w:r>
      <w:r>
        <w:rPr>
          <w:spacing w:val="-4"/>
        </w:rPr>
        <w:t xml:space="preserve"> </w:t>
      </w:r>
      <w:r>
        <w:t>time,</w:t>
      </w:r>
      <w:r>
        <w:rPr>
          <w:spacing w:val="-3"/>
        </w:rPr>
        <w:t xml:space="preserve"> </w:t>
      </w:r>
      <w:r>
        <w:t>Treasury</w:t>
      </w:r>
      <w:r>
        <w:rPr>
          <w:spacing w:val="-3"/>
        </w:rPr>
        <w:t xml:space="preserve"> </w:t>
      </w:r>
      <w:r>
        <w:t>may</w:t>
      </w:r>
      <w:r>
        <w:rPr>
          <w:spacing w:val="-3"/>
        </w:rPr>
        <w:t xml:space="preserve"> </w:t>
      </w:r>
      <w:r>
        <w:t>publish</w:t>
      </w:r>
      <w:r>
        <w:rPr>
          <w:spacing w:val="-3"/>
        </w:rPr>
        <w:t xml:space="preserve"> </w:t>
      </w:r>
      <w:r>
        <w:t>qualified</w:t>
      </w:r>
      <w:r>
        <w:rPr>
          <w:spacing w:val="-3"/>
        </w:rPr>
        <w:t xml:space="preserve"> </w:t>
      </w:r>
      <w:r>
        <w:t>lending</w:t>
      </w:r>
      <w:r>
        <w:rPr>
          <w:spacing w:val="-3"/>
        </w:rPr>
        <w:t xml:space="preserve"> </w:t>
      </w:r>
      <w:r>
        <w:t>data</w:t>
      </w:r>
      <w:r>
        <w:rPr>
          <w:spacing w:val="-3"/>
        </w:rPr>
        <w:t xml:space="preserve"> </w:t>
      </w:r>
      <w:r>
        <w:t>on</w:t>
      </w:r>
      <w:r>
        <w:rPr>
          <w:spacing w:val="-3"/>
        </w:rPr>
        <w:t xml:space="preserve"> </w:t>
      </w:r>
      <w:r>
        <w:t>a</w:t>
      </w:r>
      <w:r>
        <w:rPr>
          <w:spacing w:val="-3"/>
        </w:rPr>
        <w:t xml:space="preserve"> </w:t>
      </w:r>
      <w:r>
        <w:t>summary</w:t>
      </w:r>
      <w:r>
        <w:rPr>
          <w:spacing w:val="-3"/>
        </w:rPr>
        <w:t xml:space="preserve"> </w:t>
      </w:r>
      <w:r>
        <w:t>basis to support transparency and reporting on program impact.</w:t>
      </w:r>
      <w:r>
        <w:rPr>
          <w:spacing w:val="40"/>
        </w:rPr>
        <w:t xml:space="preserve"> </w:t>
      </w:r>
      <w:r>
        <w:t>Tabulations could include sub-tabulations by geography or institution type.</w:t>
      </w:r>
    </w:p>
    <w:p w:rsidR="00D05178" w14:paraId="60CCB47D" w14:textId="77777777">
      <w:pPr>
        <w:pStyle w:val="BodyText"/>
      </w:pPr>
    </w:p>
    <w:p w:rsidR="00D05178" w14:paraId="283516FF" w14:textId="77777777">
      <w:pPr>
        <w:pStyle w:val="ListParagraph"/>
        <w:numPr>
          <w:ilvl w:val="0"/>
          <w:numId w:val="1"/>
        </w:numPr>
        <w:tabs>
          <w:tab w:val="left" w:pos="1440"/>
        </w:tabs>
        <w:rPr>
          <w:sz w:val="24"/>
          <w:u w:val="none"/>
        </w:rPr>
      </w:pPr>
      <w:r>
        <w:rPr>
          <w:sz w:val="24"/>
        </w:rPr>
        <w:t>Display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expiration</w:t>
      </w:r>
      <w:r>
        <w:rPr>
          <w:spacing w:val="-1"/>
          <w:sz w:val="24"/>
        </w:rPr>
        <w:t xml:space="preserve"> </w:t>
      </w:r>
      <w:r>
        <w:rPr>
          <w:sz w:val="24"/>
        </w:rPr>
        <w:t>date</w:t>
      </w:r>
      <w:r>
        <w:rPr>
          <w:spacing w:val="-1"/>
          <w:sz w:val="24"/>
        </w:rPr>
        <w:t xml:space="preserve"> </w:t>
      </w:r>
      <w:r>
        <w:rPr>
          <w:sz w:val="24"/>
        </w:rPr>
        <w:t>for</w:t>
      </w:r>
      <w:r>
        <w:rPr>
          <w:spacing w:val="-1"/>
          <w:sz w:val="24"/>
        </w:rPr>
        <w:t xml:space="preserve"> </w:t>
      </w:r>
      <w:r>
        <w:rPr>
          <w:sz w:val="24"/>
        </w:rPr>
        <w:t>OMB</w:t>
      </w:r>
      <w:r>
        <w:rPr>
          <w:spacing w:val="-2"/>
          <w:sz w:val="24"/>
        </w:rPr>
        <w:t xml:space="preserve"> approval</w:t>
      </w:r>
    </w:p>
    <w:p w:rsidR="00D05178" w14:paraId="17C00A95" w14:textId="77777777">
      <w:pPr>
        <w:pStyle w:val="BodyText"/>
      </w:pPr>
    </w:p>
    <w:p w:rsidR="00D05178" w14:paraId="3D62B6B8" w14:textId="77777777">
      <w:pPr>
        <w:pStyle w:val="BodyText"/>
        <w:ind w:left="1080" w:right="1135"/>
      </w:pPr>
      <w:r>
        <w:t>Treasury</w:t>
      </w:r>
      <w:r>
        <w:rPr>
          <w:spacing w:val="-3"/>
        </w:rPr>
        <w:t xml:space="preserve"> </w:t>
      </w:r>
      <w:r>
        <w:t>plans</w:t>
      </w:r>
      <w:r>
        <w:rPr>
          <w:spacing w:val="-3"/>
        </w:rPr>
        <w:t xml:space="preserve"> </w:t>
      </w:r>
      <w:r>
        <w:t>to</w:t>
      </w:r>
      <w:r>
        <w:rPr>
          <w:spacing w:val="-3"/>
        </w:rPr>
        <w:t xml:space="preserve"> </w:t>
      </w:r>
      <w:r>
        <w:t>display</w:t>
      </w:r>
      <w:r>
        <w:rPr>
          <w:spacing w:val="-5"/>
        </w:rPr>
        <w:t xml:space="preserve"> </w:t>
      </w:r>
      <w:r>
        <w:t>the</w:t>
      </w:r>
      <w:r>
        <w:rPr>
          <w:spacing w:val="-3"/>
        </w:rPr>
        <w:t xml:space="preserve"> </w:t>
      </w:r>
      <w:r>
        <w:t>expiration</w:t>
      </w:r>
      <w:r>
        <w:rPr>
          <w:spacing w:val="-3"/>
        </w:rPr>
        <w:t xml:space="preserve"> </w:t>
      </w:r>
      <w:r>
        <w:t>date</w:t>
      </w:r>
      <w:r>
        <w:rPr>
          <w:spacing w:val="-3"/>
        </w:rPr>
        <w:t xml:space="preserve"> </w:t>
      </w:r>
      <w:r>
        <w:t>for</w:t>
      </w:r>
      <w:r>
        <w:rPr>
          <w:spacing w:val="-4"/>
        </w:rPr>
        <w:t xml:space="preserve"> </w:t>
      </w:r>
      <w:r>
        <w:t>OMB</w:t>
      </w:r>
      <w:r>
        <w:rPr>
          <w:spacing w:val="-4"/>
        </w:rPr>
        <w:t xml:space="preserve"> </w:t>
      </w:r>
      <w:r>
        <w:t>approval</w:t>
      </w:r>
      <w:r>
        <w:rPr>
          <w:spacing w:val="-3"/>
        </w:rPr>
        <w:t xml:space="preserve"> </w:t>
      </w:r>
      <w:r>
        <w:t>of</w:t>
      </w:r>
      <w:r>
        <w:rPr>
          <w:spacing w:val="-4"/>
        </w:rPr>
        <w:t xml:space="preserve"> </w:t>
      </w:r>
      <w:r>
        <w:t>the</w:t>
      </w:r>
      <w:r>
        <w:rPr>
          <w:spacing w:val="-3"/>
        </w:rPr>
        <w:t xml:space="preserve"> </w:t>
      </w:r>
      <w:r>
        <w:t>information</w:t>
      </w:r>
      <w:r>
        <w:rPr>
          <w:spacing w:val="-5"/>
        </w:rPr>
        <w:t xml:space="preserve"> </w:t>
      </w:r>
      <w:r>
        <w:t>collection</w:t>
      </w:r>
      <w:r>
        <w:rPr>
          <w:spacing w:val="-3"/>
        </w:rPr>
        <w:t xml:space="preserve"> </w:t>
      </w:r>
      <w:r>
        <w:t>on all instruments.</w:t>
      </w:r>
    </w:p>
    <w:p w:rsidR="00D05178" w14:paraId="0F087A5A" w14:textId="77777777">
      <w:pPr>
        <w:pStyle w:val="ListParagraph"/>
        <w:numPr>
          <w:ilvl w:val="0"/>
          <w:numId w:val="1"/>
        </w:numPr>
        <w:tabs>
          <w:tab w:val="left" w:pos="1440"/>
        </w:tabs>
        <w:spacing w:before="275"/>
        <w:rPr>
          <w:sz w:val="24"/>
          <w:u w:val="none"/>
        </w:rPr>
      </w:pPr>
      <w:r>
        <w:rPr>
          <w:sz w:val="24"/>
        </w:rPr>
        <w:t>Exceptions</w:t>
      </w:r>
      <w:r>
        <w:rPr>
          <w:spacing w:val="-4"/>
          <w:sz w:val="24"/>
        </w:rPr>
        <w:t xml:space="preserve"> </w:t>
      </w:r>
      <w:r>
        <w:rPr>
          <w:sz w:val="24"/>
        </w:rPr>
        <w:t>to</w:t>
      </w:r>
      <w:r>
        <w:rPr>
          <w:spacing w:val="-2"/>
          <w:sz w:val="24"/>
        </w:rPr>
        <w:t xml:space="preserve"> </w:t>
      </w:r>
      <w:r>
        <w:rPr>
          <w:sz w:val="24"/>
        </w:rPr>
        <w:t>submission</w:t>
      </w:r>
      <w:r>
        <w:rPr>
          <w:spacing w:val="-2"/>
          <w:sz w:val="24"/>
        </w:rPr>
        <w:t xml:space="preserve"> requirements</w:t>
      </w:r>
    </w:p>
    <w:p w:rsidR="00D05178" w14:paraId="534A8970" w14:textId="77777777">
      <w:pPr>
        <w:pStyle w:val="BodyText"/>
      </w:pPr>
    </w:p>
    <w:p w:rsidR="00D05178" w14:paraId="6D87771C" w14:textId="77777777">
      <w:pPr>
        <w:pStyle w:val="BodyText"/>
        <w:ind w:left="1080" w:right="1135"/>
      </w:pPr>
      <w:r>
        <w:t>There</w:t>
      </w:r>
      <w:r>
        <w:rPr>
          <w:spacing w:val="-3"/>
        </w:rPr>
        <w:t xml:space="preserve"> </w:t>
      </w:r>
      <w:r>
        <w:t>are</w:t>
      </w:r>
      <w:r>
        <w:rPr>
          <w:spacing w:val="-3"/>
        </w:rPr>
        <w:t xml:space="preserve"> </w:t>
      </w:r>
      <w:r>
        <w:t>no</w:t>
      </w:r>
      <w:r>
        <w:rPr>
          <w:spacing w:val="-5"/>
        </w:rPr>
        <w:t xml:space="preserve"> </w:t>
      </w:r>
      <w:r>
        <w:t>exceptions</w:t>
      </w:r>
      <w:r>
        <w:rPr>
          <w:spacing w:val="-3"/>
        </w:rPr>
        <w:t xml:space="preserve"> </w:t>
      </w:r>
      <w:r>
        <w:t>to</w:t>
      </w:r>
      <w:r>
        <w:rPr>
          <w:spacing w:val="-4"/>
        </w:rPr>
        <w:t xml:space="preserve"> </w:t>
      </w:r>
      <w:r>
        <w:t>the</w:t>
      </w:r>
      <w:r>
        <w:rPr>
          <w:spacing w:val="-3"/>
        </w:rPr>
        <w:t xml:space="preserve"> </w:t>
      </w:r>
      <w:r>
        <w:t>submission</w:t>
      </w:r>
      <w:r>
        <w:rPr>
          <w:spacing w:val="-3"/>
        </w:rPr>
        <w:t xml:space="preserve"> </w:t>
      </w:r>
      <w:r>
        <w:t>requirements</w:t>
      </w:r>
      <w:r>
        <w:rPr>
          <w:spacing w:val="-4"/>
        </w:rPr>
        <w:t xml:space="preserve"> </w:t>
      </w:r>
      <w:r>
        <w:t>for</w:t>
      </w:r>
      <w:r>
        <w:rPr>
          <w:spacing w:val="-4"/>
        </w:rPr>
        <w:t xml:space="preserve"> </w:t>
      </w:r>
      <w:r>
        <w:t>the</w:t>
      </w:r>
      <w:r>
        <w:rPr>
          <w:spacing w:val="-3"/>
        </w:rPr>
        <w:t xml:space="preserve"> </w:t>
      </w:r>
      <w:r>
        <w:t>Initial</w:t>
      </w:r>
      <w:r>
        <w:rPr>
          <w:spacing w:val="-3"/>
        </w:rPr>
        <w:t xml:space="preserve"> </w:t>
      </w:r>
      <w:r>
        <w:t>Supplemental</w:t>
      </w:r>
      <w:r>
        <w:rPr>
          <w:spacing w:val="-3"/>
        </w:rPr>
        <w:t xml:space="preserve"> </w:t>
      </w:r>
      <w:r>
        <w:t>Report, Quarterly Supplemental Report, or legal certifications.</w:t>
      </w:r>
    </w:p>
    <w:p w:rsidR="00D05178" w14:paraId="00F15CD2" w14:textId="77777777">
      <w:pPr>
        <w:pStyle w:val="BodyText"/>
      </w:pPr>
    </w:p>
    <w:p w:rsidR="00D05178" w14:paraId="46828A47" w14:textId="77777777">
      <w:pPr>
        <w:ind w:left="1080"/>
        <w:rPr>
          <w:b/>
          <w:sz w:val="24"/>
        </w:rPr>
      </w:pPr>
      <w:r>
        <w:rPr>
          <w:b/>
          <w:sz w:val="24"/>
        </w:rPr>
        <w:t>Part</w:t>
      </w:r>
      <w:r>
        <w:rPr>
          <w:b/>
          <w:spacing w:val="-4"/>
          <w:sz w:val="24"/>
        </w:rPr>
        <w:t xml:space="preserve"> </w:t>
      </w:r>
      <w:r>
        <w:rPr>
          <w:b/>
          <w:sz w:val="24"/>
        </w:rPr>
        <w:t>B.</w:t>
      </w:r>
      <w:r>
        <w:rPr>
          <w:b/>
          <w:spacing w:val="57"/>
          <w:sz w:val="24"/>
        </w:rPr>
        <w:t xml:space="preserve"> </w:t>
      </w:r>
      <w:r>
        <w:rPr>
          <w:b/>
          <w:sz w:val="24"/>
        </w:rPr>
        <w:t>Describe</w:t>
      </w:r>
      <w:r>
        <w:rPr>
          <w:b/>
          <w:spacing w:val="-1"/>
          <w:sz w:val="24"/>
        </w:rPr>
        <w:t xml:space="preserve"> </w:t>
      </w:r>
      <w:r>
        <w:rPr>
          <w:b/>
          <w:sz w:val="24"/>
        </w:rPr>
        <w:t>the</w:t>
      </w:r>
      <w:r>
        <w:rPr>
          <w:b/>
          <w:spacing w:val="-1"/>
          <w:sz w:val="24"/>
        </w:rPr>
        <w:t xml:space="preserve"> </w:t>
      </w:r>
      <w:r>
        <w:rPr>
          <w:b/>
          <w:sz w:val="24"/>
        </w:rPr>
        <w:t>use</w:t>
      </w:r>
      <w:r>
        <w:rPr>
          <w:b/>
          <w:spacing w:val="-2"/>
          <w:sz w:val="24"/>
        </w:rPr>
        <w:t xml:space="preserve"> </w:t>
      </w:r>
      <w:r>
        <w:rPr>
          <w:b/>
          <w:sz w:val="24"/>
        </w:rPr>
        <w:t>of</w:t>
      </w:r>
      <w:r>
        <w:rPr>
          <w:b/>
          <w:spacing w:val="-1"/>
          <w:sz w:val="24"/>
        </w:rPr>
        <w:t xml:space="preserve"> </w:t>
      </w:r>
      <w:r>
        <w:rPr>
          <w:b/>
          <w:sz w:val="24"/>
        </w:rPr>
        <w:t>statistical</w:t>
      </w:r>
      <w:r>
        <w:rPr>
          <w:b/>
          <w:spacing w:val="-2"/>
          <w:sz w:val="24"/>
        </w:rPr>
        <w:t xml:space="preserve"> </w:t>
      </w:r>
      <w:r>
        <w:rPr>
          <w:b/>
          <w:sz w:val="24"/>
        </w:rPr>
        <w:t>methods</w:t>
      </w:r>
      <w:r>
        <w:rPr>
          <w:b/>
          <w:spacing w:val="-2"/>
          <w:sz w:val="24"/>
        </w:rPr>
        <w:t xml:space="preserve"> </w:t>
      </w:r>
      <w:r>
        <w:rPr>
          <w:b/>
          <w:sz w:val="24"/>
        </w:rPr>
        <w:t>such</w:t>
      </w:r>
      <w:r>
        <w:rPr>
          <w:b/>
          <w:spacing w:val="-2"/>
          <w:sz w:val="24"/>
        </w:rPr>
        <w:t xml:space="preserve"> </w:t>
      </w:r>
      <w:r>
        <w:rPr>
          <w:b/>
          <w:sz w:val="24"/>
        </w:rPr>
        <w:t>as</w:t>
      </w:r>
      <w:r>
        <w:rPr>
          <w:b/>
          <w:spacing w:val="-2"/>
          <w:sz w:val="24"/>
        </w:rPr>
        <w:t xml:space="preserve"> </w:t>
      </w:r>
      <w:r>
        <w:rPr>
          <w:b/>
          <w:sz w:val="24"/>
        </w:rPr>
        <w:t>sampling</w:t>
      </w:r>
      <w:r>
        <w:rPr>
          <w:b/>
          <w:spacing w:val="-1"/>
          <w:sz w:val="24"/>
        </w:rPr>
        <w:t xml:space="preserve"> </w:t>
      </w:r>
      <w:r>
        <w:rPr>
          <w:b/>
          <w:sz w:val="24"/>
        </w:rPr>
        <w:t>or</w:t>
      </w:r>
      <w:r>
        <w:rPr>
          <w:b/>
          <w:spacing w:val="-1"/>
          <w:sz w:val="24"/>
        </w:rPr>
        <w:t xml:space="preserve"> </w:t>
      </w:r>
      <w:r>
        <w:rPr>
          <w:b/>
          <w:spacing w:val="-2"/>
          <w:sz w:val="24"/>
        </w:rPr>
        <w:t>imputation</w:t>
      </w:r>
    </w:p>
    <w:p w:rsidR="00D05178" w14:paraId="18FFA328" w14:textId="77777777">
      <w:pPr>
        <w:pStyle w:val="BodyText"/>
        <w:rPr>
          <w:b/>
        </w:rPr>
      </w:pPr>
    </w:p>
    <w:p w:rsidR="00D05178" w14:paraId="222300E9" w14:textId="77777777">
      <w:pPr>
        <w:pStyle w:val="BodyText"/>
        <w:ind w:left="1080"/>
      </w:pPr>
      <w:r>
        <w:t>This</w:t>
      </w:r>
      <w:r>
        <w:rPr>
          <w:spacing w:val="-2"/>
        </w:rPr>
        <w:t xml:space="preserve"> </w:t>
      </w:r>
      <w:r>
        <w:t>collection</w:t>
      </w:r>
      <w:r>
        <w:rPr>
          <w:spacing w:val="-1"/>
        </w:rPr>
        <w:t xml:space="preserve"> </w:t>
      </w:r>
      <w:r>
        <w:t>does</w:t>
      </w:r>
      <w:r>
        <w:rPr>
          <w:spacing w:val="-2"/>
        </w:rPr>
        <w:t xml:space="preserve"> </w:t>
      </w:r>
      <w:r>
        <w:t>not</w:t>
      </w:r>
      <w:r>
        <w:rPr>
          <w:spacing w:val="-2"/>
        </w:rPr>
        <w:t xml:space="preserve"> </w:t>
      </w:r>
      <w:r>
        <w:t>employ</w:t>
      </w:r>
      <w:r>
        <w:rPr>
          <w:spacing w:val="-1"/>
        </w:rPr>
        <w:t xml:space="preserve"> </w:t>
      </w:r>
      <w:r>
        <w:t>statistical</w:t>
      </w:r>
      <w:r>
        <w:rPr>
          <w:spacing w:val="-1"/>
        </w:rPr>
        <w:t xml:space="preserve"> </w:t>
      </w:r>
      <w:r>
        <w:rPr>
          <w:spacing w:val="-2"/>
        </w:rPr>
        <w:t>methods.</w:t>
      </w:r>
    </w:p>
    <w:sectPr>
      <w:pgSz w:w="12240" w:h="15840"/>
      <w:pgMar w:top="1600" w:right="360" w:bottom="980" w:left="360" w:header="0" w:footer="7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5178" w14:paraId="204DABB1"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9420690</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D05178"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41.8pt;margin-left:300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05178" w14:paraId="44B2CBD6"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3C1918"/>
    <w:multiLevelType w:val="hybridMultilevel"/>
    <w:tmpl w:val="BE2C4AB8"/>
    <w:lvl w:ilvl="0">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1" w16cid:durableId="145601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78"/>
    <w:rsid w:val="000B609B"/>
    <w:rsid w:val="000F7C68"/>
    <w:rsid w:val="002B1A8E"/>
    <w:rsid w:val="002D4CA1"/>
    <w:rsid w:val="00363516"/>
    <w:rsid w:val="00604869"/>
    <w:rsid w:val="00631C37"/>
    <w:rsid w:val="00690C79"/>
    <w:rsid w:val="008162DC"/>
    <w:rsid w:val="0085099E"/>
    <w:rsid w:val="00A63796"/>
    <w:rsid w:val="00B63137"/>
    <w:rsid w:val="00B848BD"/>
    <w:rsid w:val="00CF5FC4"/>
    <w:rsid w:val="00D00441"/>
    <w:rsid w:val="00D05178"/>
    <w:rsid w:val="00D805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1AB888"/>
  <w15:docId w15:val="{7A9D6929-7522-4582-99D5-CD6A02F3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rPr>
      <w:u w:val="single" w:color="000000"/>
    </w:r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ooh/business-and-financial/accountants-and-auditors.htm" TargetMode="External" /><Relationship Id="rId6" Type="http://schemas.openxmlformats.org/officeDocument/2006/relationships/hyperlink" Target="https://www.bls.gov/news.release/pdf/ecec.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1335</Words>
  <Characters>7614</Characters>
  <Application>Microsoft Office Word</Application>
  <DocSecurity>0</DocSecurity>
  <Lines>63</Lines>
  <Paragraphs>17</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 Teena</dc:creator>
  <cp:lastModifiedBy>Clark, Spencer</cp:lastModifiedBy>
  <cp:revision>10</cp:revision>
  <dcterms:created xsi:type="dcterms:W3CDTF">2026-06-26T17:07:00Z</dcterms:created>
  <dcterms:modified xsi:type="dcterms:W3CDTF">2026-06-30T15:13:00Z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Created">
    <vt:filetime>2026-05-26T00:00:00Z</vt:filetime>
  </property>
  <property fmtid="{D5CDD505-2E9C-101B-9397-08002B2CF9AE}" pid="4" name="Creator">
    <vt:lpwstr>Acrobat PDFMaker 25 for Word</vt:lpwstr>
  </property>
  <property fmtid="{D5CDD505-2E9C-101B-9397-08002B2CF9AE}" pid="5" name="LastSaved">
    <vt:filetime>2026-06-02T00:00:00Z</vt:filetime>
  </property>
  <property fmtid="{D5CDD505-2E9C-101B-9397-08002B2CF9AE}" pid="6" name="Producer">
    <vt:lpwstr>Adobe PDF Library 25.1.40</vt:lpwstr>
  </property>
  <property fmtid="{D5CDD505-2E9C-101B-9397-08002B2CF9AE}" pid="7" name="SourceModified">
    <vt:lpwstr/>
  </property>
  <property fmtid="{D5CDD505-2E9C-101B-9397-08002B2CF9AE}" pid="8" name="_dlc_DocIdItemGuid">
    <vt:lpwstr>40a18df5-544d-429e-9c09-7ecdb7c3ee69</vt:lpwstr>
  </property>
</Properties>
</file>