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585C" w:rsidRPr="00157471" w:rsidP="0057585C" w14:paraId="0186017A"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7" o:title=""/>
          </v:shape>
          <o:OLEObject Type="Embed" ProgID="Word.Picture.8" ShapeID="_x0000_s1025" DrawAspect="Content" ObjectID="_1843636537" r:id="rId8"/>
        </w:pict>
      </w:r>
      <w:r>
        <w:rPr>
          <w:rFonts w:ascii="Arial" w:eastAsia="Calibri" w:hAnsi="Arial"/>
          <w:b/>
          <w:color w:val="008000"/>
          <w:sz w:val="22"/>
          <w:szCs w:val="22"/>
        </w:rPr>
        <w:t xml:space="preserve">                                          </w:t>
      </w:r>
      <w:r w:rsidRPr="00A304C2">
        <w:rPr>
          <w:rFonts w:ascii="Arial" w:eastAsia="Calibri" w:hAnsi="Arial"/>
          <w:b/>
          <w:color w:val="008000"/>
        </w:rPr>
        <w:t>DE</w:t>
      </w:r>
      <w:r w:rsidRPr="00157471">
        <w:rPr>
          <w:rFonts w:ascii="Arial" w:eastAsia="Calibri" w:hAnsi="Arial"/>
          <w:b/>
          <w:color w:val="008000"/>
        </w:rPr>
        <w:t>PARTMENT OF THE TREASURY</w:t>
      </w:r>
    </w:p>
    <w:p w:rsidR="0057585C" w:rsidRPr="00157471" w:rsidP="0057585C" w14:paraId="0CF3464B"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6BDC5BB9"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7FB7C18D" w14:textId="77777777">
      <w:pPr>
        <w:outlineLvl w:val="0"/>
        <w:rPr>
          <w:b/>
        </w:rPr>
      </w:pPr>
    </w:p>
    <w:p w:rsidR="006E7AAE" w:rsidP="007C18E4" w14:paraId="478931B0" w14:textId="7C1A958F">
      <w:pPr>
        <w:tabs>
          <w:tab w:val="left" w:pos="7725"/>
        </w:tabs>
        <w:outlineLvl w:val="0"/>
        <w:rPr>
          <w:b/>
        </w:rPr>
      </w:pPr>
      <w:r>
        <w:rPr>
          <w:b/>
        </w:rPr>
        <w:tab/>
      </w:r>
    </w:p>
    <w:p w:rsidR="00DC1A25" w:rsidRPr="00774B80" w:rsidP="002159DD" w14:paraId="75440354"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BD64A3" w14:paraId="4D4097EA" w14:textId="18DB2C78">
      <w:pPr>
        <w:ind w:left="1440" w:hanging="1440"/>
        <w:outlineLvl w:val="0"/>
        <w:rPr>
          <w:b/>
        </w:rPr>
      </w:pPr>
      <w:r>
        <w:rPr>
          <w:b/>
        </w:rPr>
        <w:t>TO:</w:t>
      </w:r>
      <w:r>
        <w:rPr>
          <w:b/>
        </w:rPr>
        <w:tab/>
      </w:r>
      <w:r w:rsidR="00E54A95">
        <w:rPr>
          <w:bCs/>
        </w:rPr>
        <w:t>Russell Vought</w:t>
      </w:r>
      <w:r w:rsidR="004D6764">
        <w:t xml:space="preserve">, </w:t>
      </w:r>
      <w:r w:rsidR="00E54A95">
        <w:t>Director</w:t>
      </w:r>
      <w:r w:rsidR="004D6764">
        <w:t xml:space="preserve">, Office of </w:t>
      </w:r>
      <w:r w:rsidR="00E54A95">
        <w:t>Management and Budget</w:t>
      </w:r>
    </w:p>
    <w:p w:rsidR="00AD5B57" w:rsidP="00E07888" w14:paraId="4210C326" w14:textId="77777777">
      <w:pPr>
        <w:outlineLvl w:val="0"/>
        <w:rPr>
          <w:b/>
        </w:rPr>
      </w:pPr>
    </w:p>
    <w:p w:rsidR="00E07888" w:rsidRPr="00774B80" w:rsidP="00AD5B57" w14:paraId="181B6C2A" w14:textId="77777777">
      <w:pPr>
        <w:outlineLvl w:val="0"/>
      </w:pPr>
      <w:r w:rsidRPr="00774B80">
        <w:rPr>
          <w:b/>
        </w:rPr>
        <w:t>FROM:</w:t>
      </w:r>
      <w:r w:rsidRPr="00774B80">
        <w:rPr>
          <w:b/>
        </w:rPr>
        <w:tab/>
      </w:r>
      <w:r w:rsidR="004C17E9">
        <w:t>Ryan Law</w:t>
      </w:r>
      <w:r w:rsidR="00AD5B57">
        <w:t xml:space="preserve">, </w:t>
      </w:r>
      <w:r w:rsidR="00DC1ABE">
        <w:t>D</w:t>
      </w:r>
      <w:r w:rsidRPr="00774B80" w:rsidR="00111EDF">
        <w:t xml:space="preserve">eputy Assistant Secretary </w:t>
      </w:r>
      <w:r w:rsidR="00A75D8F">
        <w:t>f</w:t>
      </w:r>
      <w:r w:rsidR="00441767">
        <w:t>or Privacy</w:t>
      </w:r>
      <w:r w:rsidR="00062D7A">
        <w:t>, Transparency</w:t>
      </w:r>
      <w:r w:rsidR="004C17E9">
        <w:t>,</w:t>
      </w:r>
      <w:r w:rsidR="00B45DB1">
        <w:t xml:space="preserve"> </w:t>
      </w:r>
      <w:r w:rsidRPr="00774B80" w:rsidR="00111EDF">
        <w:t>and Records</w:t>
      </w:r>
    </w:p>
    <w:p w:rsidR="008535BE" w:rsidRPr="00774B80" w:rsidP="00111EDF" w14:paraId="6F11353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D21EBC" w:rsidRPr="003430B9" w:rsidP="00B23199" w14:paraId="0232598B" w14:textId="18E1A40E">
      <w:pPr>
        <w:ind w:left="1440" w:hanging="1440"/>
      </w:pPr>
      <w:r w:rsidRPr="00774B80">
        <w:rPr>
          <w:b/>
        </w:rPr>
        <w:t>SUBJECT:</w:t>
      </w:r>
      <w:r w:rsidR="003718B0">
        <w:rPr>
          <w:b/>
        </w:rPr>
        <w:t xml:space="preserve">    </w:t>
      </w:r>
      <w:r w:rsidRPr="003718B0" w:rsidR="003718B0">
        <w:t xml:space="preserve">Justification for Emergency Processing: </w:t>
      </w:r>
      <w:r w:rsidRPr="003430B9" w:rsidR="00B23199">
        <w:t>Fraud.gov Federal Program Waste, Fraud, and Abuse Tip Intake and Referral Form</w:t>
      </w:r>
    </w:p>
    <w:p w:rsidR="003012A6" w:rsidRPr="003430B9" w:rsidP="00DC1ABE" w14:paraId="60A1DA93" w14:textId="77777777">
      <w:pPr>
        <w:ind w:left="2880" w:hanging="2880"/>
      </w:pPr>
    </w:p>
    <w:p w:rsidR="003430B9" w:rsidRPr="003430B9" w:rsidP="003430B9" w14:paraId="21CF1450" w14:textId="77777777">
      <w:pPr>
        <w:rPr>
          <w:b/>
          <w:bCs/>
        </w:rPr>
      </w:pPr>
      <w:r w:rsidRPr="003430B9">
        <w:rPr>
          <w:b/>
          <w:bCs/>
        </w:rPr>
        <w:t>Background</w:t>
      </w:r>
    </w:p>
    <w:p w:rsidR="003430B9" w:rsidP="003430B9" w14:paraId="204B0ED7" w14:textId="7C49E139">
      <w:r>
        <w:t>The Department of the Treasury requests emergency processing and expedited approval under 5 CFR 1320.13 for a new information collection associated with Fraud.gov, a centralized public-facing intake and referral portal for reporting suspected waste, fraud, abuse, improper payments, misuse of Federal funds, and related misconduct affecting Federal programs, Federal funds, or Federal benefits.</w:t>
      </w:r>
    </w:p>
    <w:p w:rsidR="002F647F" w:rsidRPr="003430B9" w:rsidP="003430B9" w14:paraId="50719FAB" w14:textId="77777777"/>
    <w:p w:rsidR="009C1C91" w14:paraId="0FBC9EEA" w14:textId="77777777">
      <w:r>
        <w:t>On behalf of the Task Force to Eliminate Fraud, the proposed collection will enable Treasury to receive allegations and supporting information from members of the public; conduct intake, triage, categorization, de-duplication, and referral activities; identify appropriate Federal entities with jurisdiction or responsibility for review; and refer submissions to Federal agencies, Inspectors General, law enforcement organizations, or other authorized entities for investigative, audit, enforcement, recovery, oversight, payment integrity, program integrity, or administrative action.</w:t>
      </w:r>
    </w:p>
    <w:p w:rsidR="002F647F" w14:paraId="0DE2D9AD" w14:textId="77777777"/>
    <w:p w:rsidR="009C1C91" w14:paraId="52293F50" w14:textId="77777777">
      <w:r>
        <w:t>Fraud.gov will provide a single government-wide reporting channel for allegations that may involve multiple programs, agencies, funding streams, recipients, grantees, contractors, or benefit programs. The collection is voluntary, electronic, and designed to reduce public burden by allowing submitters to provide known information and supporting documentation through a single intake process rather than attempting to identify and submit duplicative reports to multiple agency-specific channels.</w:t>
      </w:r>
    </w:p>
    <w:p w:rsidR="003430B9" w:rsidRPr="003430B9" w:rsidP="003430B9" w14:paraId="40124197" w14:textId="77777777"/>
    <w:p w:rsidR="003430B9" w:rsidRPr="003430B9" w:rsidP="003430B9" w14:paraId="7A851668" w14:textId="77777777">
      <w:pPr>
        <w:rPr>
          <w:b/>
          <w:bCs/>
        </w:rPr>
      </w:pPr>
      <w:r w:rsidRPr="003430B9">
        <w:rPr>
          <w:b/>
          <w:bCs/>
        </w:rPr>
        <w:t>Justification for Emergency Processing</w:t>
      </w:r>
    </w:p>
    <w:p w:rsidR="003430B9" w:rsidP="003430B9" w14:paraId="5EB99ED9" w14:textId="2CDFAD1C">
      <w:r>
        <w:t>Treasury seeks emergency processing because the Fraud.gov collection is needed before the expiration of the normal PRA clearance periods and is essential to Treasury's mission and to the Task Force's immediate operational ability to coordinate government-wide fraud prevention, detection, referral, and recovery activities.</w:t>
      </w:r>
    </w:p>
    <w:p w:rsidR="002F647F" w:rsidP="003430B9" w14:paraId="4666E289" w14:textId="77777777"/>
    <w:p w:rsidR="009C1C91" w14:paraId="2431C284" w14:textId="77777777">
      <w:r>
        <w:t>Emergency processing is consistent with the PRA's own procedures. Treasury is not seeking to avoid PRA compliance; rather, Treasury is invoking the emergency processing mechanism provided by 44 U.S.C. 3507(j) and 5 CFR 1320.13 because the collection is needed before normal clearance can conclude, and Treasury will pursue standard PRA clearance for continued use of the collection beyond the emergency approval period.</w:t>
      </w:r>
    </w:p>
    <w:p w:rsidR="009C1C91" w14:paraId="240001CC" w14:textId="77777777">
      <w:r>
        <w:t xml:space="preserve">The need for timely launch is closely tied to implementation of Executive Order 14249, "Protecting America's Bank Account Against Fraud, Waste, and Abuse," and Executive Order 14395, "Establishing the Task Force </w:t>
      </w:r>
      <w:r>
        <w:t>To</w:t>
      </w:r>
      <w:r>
        <w:t xml:space="preserve"> Eliminate Fraud." EO 14249 establishes a Federal policy to defend against financial fraud and improper payments, increase transparency and accountability, reduce costs, and enhance the security of Federal payments. EO 14395 directs the Task Force to coordinate and accelerate a comprehensive national strategy to stop fraud, waste, and abuse, including by promoting information and data sharing and disrupting fraud networks through interagency coordination.</w:t>
      </w:r>
    </w:p>
    <w:p w:rsidR="002F647F" w14:paraId="01905D42" w14:textId="77777777"/>
    <w:p w:rsidR="009C1C91" w14:paraId="2F51B04C" w14:textId="5E95CF1B">
      <w:r>
        <w:t>The urgency is not limited to the existence of the Executive Orders. Recent government-wide fraud and payment integrity data show a substantial and ongoing risk to Federal funds. GAO estimated that the Federal Government loses approximately $233 billion to $521 billion annually to fraud based on fiscal years 2018 through 2022 data.</w:t>
      </w:r>
      <w:r>
        <w:rPr>
          <w:rStyle w:val="FootnoteReference"/>
        </w:rPr>
        <w:footnoteReference w:id="3"/>
      </w:r>
      <w:r>
        <w:t xml:space="preserve"> DOJ reported more than $6.8 billion in False Claims Act settlements and judgments in FY 2025, along with 1,297 qui tam suits, which DOJ described as exceeding the prior record.</w:t>
      </w:r>
      <w:r>
        <w:rPr>
          <w:rStyle w:val="FootnoteReference"/>
        </w:rPr>
        <w:footnoteReference w:id="4"/>
      </w:r>
      <w:r>
        <w:t xml:space="preserve"> These data show both the scale of the risk and the importance of timely public reporting, referral, investigation, and recovery mechanisms.</w:t>
      </w:r>
    </w:p>
    <w:p w:rsidR="00AD67CC" w14:paraId="5B6DED5E" w14:textId="77777777"/>
    <w:p w:rsidR="00AD67CC" w14:paraId="3955D138" w14:textId="512F18A9">
      <w:r w:rsidRPr="00AD67CC">
        <w:t>Treasury has also considered emergent fraud threats associated with the misuse of artificial intelligence. AI-enabled tools can amplify existing fraud risks and create new vectors for fraud affecting Federal programs and Federal funds, including through deepfake media, voice cloning, synthetic identities, AI-generated or altered documents, automated phishing, impersonation of government officials or beneficiaries, and rapid generation of false narratives or supporting materials. These tools may allow bad actors to scale schemes quickly, target multiple programs simultaneously, and evade traditional identity verification, document review, and intake processes.</w:t>
      </w:r>
    </w:p>
    <w:p w:rsidR="00AD67CC" w14:paraId="20FE5A5D" w14:textId="77777777"/>
    <w:p w:rsidR="00AD67CC" w:rsidP="00AD67CC" w14:paraId="1226F0C1" w14:textId="2DB64EBA">
      <w:r w:rsidRPr="00AD67CC">
        <w:t>These risks are not hypothetical. Treasury’s Financial Crimes Enforcement Network has warned financial institutions about fraud schemes involving deepfake media created with generative AI, including schemes that use altered or synthetic identity documents to circumvent identity verification, authentication, and due diligence controls.</w:t>
      </w:r>
      <w:r>
        <w:rPr>
          <w:rStyle w:val="FootnoteReference"/>
        </w:rPr>
        <w:footnoteReference w:id="5"/>
      </w:r>
      <w:r w:rsidRPr="00AD67CC">
        <w:t xml:space="preserve"> </w:t>
      </w:r>
      <w:r w:rsidR="00F86A82">
        <w:t xml:space="preserve">Beginning in 2023, </w:t>
      </w:r>
      <w:r w:rsidRPr="00AD67CC">
        <w:t xml:space="preserve">FinCEN </w:t>
      </w:r>
      <w:r w:rsidR="00F86A82">
        <w:t xml:space="preserve">has </w:t>
      </w:r>
      <w:r w:rsidRPr="00AD67CC">
        <w:t>observed</w:t>
      </w:r>
      <w:r w:rsidRPr="00AD67CC">
        <w:t xml:space="preserve"> increased suspicious activity reporting involving suspected use of deepfake media.</w:t>
      </w:r>
    </w:p>
    <w:p w:rsidR="00AD67CC" w14:paraId="171FB656" w14:textId="77777777"/>
    <w:p w:rsidR="009C1C91" w14:paraId="6BE52E7F" w14:textId="5E5944D0">
      <w:r>
        <w:t>Fraud.gov is necessary now because Treasury and the Task Force need a centralized public intake and referral capability during the initial implementation period of the government-wide anti-fraud initiative</w:t>
      </w:r>
      <w:r w:rsidR="00F86A82">
        <w:t>, particularly in an environment where AI-enabled fraud may increase the speed, scale, and sophistication of schemes affecting Federal programs and Federal funds</w:t>
      </w:r>
      <w:r>
        <w:t xml:space="preserve">. Existing agency and Inspector General hotlines remain important, but they are generally program- or agency-specific. Without Fraud.gov, members of the public may not know which agency has jurisdiction, may submit reports to only one of several relevant agencies, may submit duplicative reports to multiple offices, or may not submit a report at all. </w:t>
      </w:r>
      <w:r w:rsidR="00F86A82">
        <w:t xml:space="preserve">Fragmented reporting </w:t>
      </w:r>
      <w:r w:rsidR="00F86A82">
        <w:t xml:space="preserve">also makes it more difficult for the government to identify cross-program indicators, de-duplicate related submissions, and route allegations quickly to all agencies with relevant jurisdiction or responsibility. This is especially important for AI-enabled schemes, which may involve common actors, </w:t>
      </w:r>
      <w:r w:rsidRPr="00F86A82" w:rsidR="00F86A82">
        <w:t xml:space="preserve">synthetic identifiers, repeated narratives, manipulated documents, or similar patterns across multiple programs and agencies. </w:t>
      </w:r>
      <w:r>
        <w:t xml:space="preserve">A centralized intake channel </w:t>
      </w:r>
      <w:r w:rsidR="00F86A82">
        <w:t xml:space="preserve">will </w:t>
      </w:r>
      <w:r>
        <w:t xml:space="preserve">allow Treasury to receive standardized submissions, de-duplicate related tips, identify cross-program fraud indicators, and route </w:t>
      </w:r>
      <w:r w:rsidR="001E2A51">
        <w:t xml:space="preserve">reports involving both traditional and AI-enabled fraud threats </w:t>
      </w:r>
      <w:r>
        <w:t>to the appropriate agencies, Inspectors General, law enforcement organizations, or other authorized entities for timely review and potential action.</w:t>
      </w:r>
    </w:p>
    <w:p w:rsidR="002F647F" w14:paraId="5A937286" w14:textId="77777777"/>
    <w:p w:rsidR="009C1C91" w14:paraId="5235A4A3" w14:textId="77777777">
      <w:r>
        <w:t>Delaying the collection until completion of normal PRA clearance would materially impair this function during the period when the Task Force is standing up its coordinated operations. The harm is not merely that launch would occur later. The harm is that time-sensitive public leads concerning active or emerging schemes may be delayed, fragmented, misrouted, or lost; agencies may be slower to identify patterns that cross program or agency boundaries; and potential audit, investigative, enforcement, recovery, suspension, exclusion, debarment, or repayment actions may be delayed.</w:t>
      </w:r>
    </w:p>
    <w:p w:rsidR="00C44609" w:rsidRPr="003430B9" w:rsidP="003430B9" w14:paraId="2EEC7CA3" w14:textId="77777777"/>
    <w:p w:rsidR="003430B9" w:rsidRPr="003430B9" w:rsidP="003430B9" w14:paraId="120FC978" w14:textId="77777777">
      <w:pPr>
        <w:rPr>
          <w:b/>
          <w:bCs/>
        </w:rPr>
      </w:pPr>
      <w:r w:rsidRPr="003430B9">
        <w:rPr>
          <w:b/>
          <w:bCs/>
        </w:rPr>
        <w:t>Applicable Emergency Criteria Under 5 CFR 1320.13</w:t>
      </w:r>
    </w:p>
    <w:p w:rsidR="00600F06" w:rsidP="00600F06" w14:paraId="75A5756B" w14:textId="1C00D102">
      <w:r>
        <w:t>Treasury believes emergency processing is appropriate under 5 CFR 1320.13(a)(2)(i) and 5 CFR 1320.13(a)(2)(iii).</w:t>
      </w:r>
    </w:p>
    <w:p w:rsidR="00600F06" w:rsidP="00600F06" w14:paraId="39A14800" w14:textId="3D4D119F">
      <w:pPr>
        <w:pStyle w:val="ListParagraph"/>
        <w:numPr>
          <w:ilvl w:val="0"/>
          <w:numId w:val="19"/>
        </w:numPr>
      </w:pPr>
      <w:r>
        <w:t xml:space="preserve">First, public harm is reasonably likely to result if normal clearance procedures are followed. Fraud involving Federal programs and Federal funds causes direct financial harm to the public, diverts funds from intended beneficiaries and program purposes, undermines payment and program integrity, and erodes public trust in government. </w:t>
      </w:r>
    </w:p>
    <w:p w:rsidR="00856613" w:rsidP="00600F06" w14:paraId="21B7B3B4" w14:textId="355F54EF">
      <w:pPr>
        <w:pStyle w:val="ListParagraph"/>
        <w:numPr>
          <w:ilvl w:val="0"/>
          <w:numId w:val="19"/>
        </w:numPr>
      </w:pPr>
      <w:r w:rsidRPr="00856613">
        <w:t>Public harm is also reasonably likely because AI-enabled fraud can increase the speed and scale at which Federal programs may be targeted. For example, generative AI can be used to create or alter identity documents, fabricate supporting evidence, mimic voices or images, and automate persuasive phishing or impersonation campaigns. These capabilities may allow fraud schemes to spread quickly across benefit, grant, procurement, payment, and other Federal program contexts before traditional program-specific reporting channels identify common indicators. Emergency approval would allow Treasury to begin collecting standardized public reports through Fraud.gov during the initial implementation period, improving the government’s ability to identify and refer such schemes before they proliferate further.</w:t>
      </w:r>
    </w:p>
    <w:p w:rsidR="00155A6A" w:rsidP="00600F06" w14:paraId="3230A9E3" w14:textId="1CE101F9">
      <w:pPr>
        <w:pStyle w:val="ListParagraph"/>
        <w:numPr>
          <w:ilvl w:val="0"/>
          <w:numId w:val="19"/>
        </w:numPr>
      </w:pPr>
      <w:r>
        <w:t>Recent examples underscore the time-sensitive nature of the risk. In May 2026, the Department of Labor and its Office of Inspector General jointly issued formal letters demanding that financial institutions immediately preserve funds held in prepaid debit card accounts linked to fraudulent unemployment insurance claims issued across many states during the COVID-19 pandemic.</w:t>
      </w:r>
      <w:r>
        <w:rPr>
          <w:rStyle w:val="FootnoteReference"/>
        </w:rPr>
        <w:footnoteReference w:id="6"/>
      </w:r>
      <w:r>
        <w:t xml:space="preserve"> These examples show that fraud threats are active, multi-jurisdictional, and often require rapid identification, referral, and coordinated response.</w:t>
      </w:r>
    </w:p>
    <w:p w:rsidR="00155A6A" w:rsidRPr="00155A6A" w:rsidP="007767E0" w14:paraId="57095AD9" w14:textId="5952DBA0">
      <w:pPr>
        <w:pStyle w:val="ListParagraph"/>
        <w:numPr>
          <w:ilvl w:val="0"/>
          <w:numId w:val="19"/>
        </w:numPr>
        <w:rPr>
          <w:b/>
          <w:bCs/>
        </w:rPr>
      </w:pPr>
      <w:r>
        <w:t xml:space="preserve">Second, use of normal clearance procedures is reasonably likely to prevent or materially disrupt the collection of information during the critical implementation period. Fraud.gov </w:t>
      </w:r>
      <w:r>
        <w:t>is designed to collect, structure, de-duplicate, and route public submissions through a centralized process. If emergency approval is not granted, Treasury cannot collect the standardized information through Fraud.gov during the period in which the Task Force is establishing its operational intake and referral capability. That would materially disrupt the intended collection because the government-wide intake function would not exist during the launch period, and reports would instead remain dispersed across separate channels that do not provide the same centralized triage, cross-agency referral, tracking, and trend-identification capability.</w:t>
      </w:r>
    </w:p>
    <w:p w:rsidR="002F647F" w14:paraId="098F395C" w14:textId="77777777"/>
    <w:p w:rsidR="009C1C91" w14:paraId="42903E92" w14:textId="0F8201E4">
      <w:r>
        <w:t>Treasury does not rely primarily on the existence of an Executive Order as an "unanticipated event." Rather, Treasury relies on the combination of active and substantial fraud risks, the immediate operational need for a centralized public intake mechanism, and the material disruption to coordinated intake and referral activities that would occur if normal clearance procedures were followed.</w:t>
      </w:r>
    </w:p>
    <w:p w:rsidR="002F647F" w14:paraId="043002B7" w14:textId="77777777"/>
    <w:p w:rsidR="003430B9" w:rsidRPr="00155A6A" w:rsidP="00155A6A" w14:paraId="52576CEC" w14:textId="0447F186">
      <w:pPr>
        <w:rPr>
          <w:b/>
          <w:bCs/>
        </w:rPr>
      </w:pPr>
      <w:r w:rsidRPr="00155A6A">
        <w:rPr>
          <w:b/>
          <w:bCs/>
        </w:rPr>
        <w:t>Consequences of Not Receiving Emergency Approval</w:t>
      </w:r>
    </w:p>
    <w:p w:rsidR="00C22BAB" w:rsidP="00C22BAB" w14:paraId="58C4A365" w14:textId="5AC064C3">
      <w:r>
        <w:t>If emergency approval is not granted, Treasury will be unable to launch the Fraud.gov public intake form as an operational collection during the initial implementation period of the Task Force's government-wide anti-fraud initiative. Members of the public would not have a single centralized channel to report suspected waste, fraud, abuse, improper payments, misuse of Federal funds, or related misconduct affecting Federal programs. The delay would have concrete operational consequences. It would:</w:t>
      </w:r>
    </w:p>
    <w:p w:rsidR="00C22BAB" w:rsidP="00C22BAB" w14:paraId="20109493" w14:textId="21E66C4D">
      <w:pPr>
        <w:pStyle w:val="ListParagraph"/>
        <w:numPr>
          <w:ilvl w:val="0"/>
          <w:numId w:val="21"/>
        </w:numPr>
      </w:pPr>
      <w:r>
        <w:t xml:space="preserve">delay Treasury's ability to receive standardized public submissions through </w:t>
      </w:r>
      <w:r>
        <w:t>Fraud.gov;</w:t>
      </w:r>
    </w:p>
    <w:p w:rsidR="00856613" w:rsidP="00C22BAB" w14:paraId="4CEEA06A" w14:textId="7A183CAE">
      <w:pPr>
        <w:pStyle w:val="ListParagraph"/>
        <w:numPr>
          <w:ilvl w:val="0"/>
          <w:numId w:val="21"/>
        </w:numPr>
      </w:pPr>
      <w:r w:rsidRPr="00856613">
        <w:t xml:space="preserve">reduce the government’s ability to identify and connect allegations involving AI-enabled fraud indicators, including synthetic identities, deepfake or voice-cloning impersonation, AI-generated documents, repeated narratives, automated phishing, or other patterns that may span multiple Federal programs or </w:t>
      </w:r>
      <w:r w:rsidRPr="00856613">
        <w:t>agencies;</w:t>
      </w:r>
    </w:p>
    <w:p w:rsidR="00C22BAB" w:rsidP="00C22BAB" w14:paraId="18CC5B1B" w14:textId="1FD58930">
      <w:pPr>
        <w:pStyle w:val="ListParagraph"/>
        <w:numPr>
          <w:ilvl w:val="0"/>
          <w:numId w:val="21"/>
        </w:numPr>
      </w:pPr>
      <w:r>
        <w:t xml:space="preserve">reduce Treasury's ability to de-duplicate related tips and identify cross-program or cross-agency fraud </w:t>
      </w:r>
      <w:r>
        <w:t>patterns;</w:t>
      </w:r>
    </w:p>
    <w:p w:rsidR="00C22BAB" w:rsidP="00C22BAB" w14:paraId="7E1E4ADB" w14:textId="5DFCA74A">
      <w:pPr>
        <w:pStyle w:val="ListParagraph"/>
        <w:numPr>
          <w:ilvl w:val="0"/>
          <w:numId w:val="21"/>
        </w:numPr>
      </w:pPr>
      <w:r>
        <w:t>increase the risk that members of the public will submit allegations to an agency without full jurisdiction, submit duplicative reports to multiple entities, or not submit reports because they do not know where to report;</w:t>
      </w:r>
    </w:p>
    <w:p w:rsidR="00C22BAB" w:rsidP="00C22BAB" w14:paraId="4F4D5B06" w14:textId="40AAAC35">
      <w:pPr>
        <w:pStyle w:val="ListParagraph"/>
        <w:numPr>
          <w:ilvl w:val="0"/>
          <w:numId w:val="21"/>
        </w:numPr>
      </w:pPr>
      <w:r>
        <w:t>delay referral of potentially actionable allegations to agencies, Inspectors General, law enforcement organizations, or other authorized entities;</w:t>
      </w:r>
    </w:p>
    <w:p w:rsidR="00305AF8" w:rsidP="00C22BAB" w14:paraId="23609B41" w14:textId="6E9D3D6D">
      <w:pPr>
        <w:pStyle w:val="ListParagraph"/>
        <w:numPr>
          <w:ilvl w:val="0"/>
          <w:numId w:val="21"/>
        </w:numPr>
      </w:pPr>
      <w:r>
        <w:t>delay potential investigative, audit, enforcement, recovery, suspension, exclusion, debarment, repayment, or other administrative action;</w:t>
      </w:r>
    </w:p>
    <w:p w:rsidR="009C1C91" w14:paraId="20637571" w14:textId="77777777">
      <w:pPr>
        <w:pStyle w:val="ListParagraph"/>
        <w:numPr>
          <w:ilvl w:val="0"/>
          <w:numId w:val="21"/>
        </w:numPr>
      </w:pPr>
      <w:r>
        <w:t>impair Treasury's ability to generate aggregate operational information concerning fraud trends, referral activity, and program integrity risks; and</w:t>
      </w:r>
    </w:p>
    <w:p w:rsidR="009C1C91" w14:paraId="229D22B4" w14:textId="77777777">
      <w:pPr>
        <w:pStyle w:val="ListParagraph"/>
        <w:numPr>
          <w:ilvl w:val="0"/>
          <w:numId w:val="21"/>
        </w:numPr>
      </w:pPr>
      <w:r>
        <w:t>hinder the Task Force's ability to coordinate and accelerate government-wide fraud prevention and referral activities during the initial launch period.</w:t>
      </w:r>
    </w:p>
    <w:p w:rsidR="00305AF8" w:rsidP="00305AF8" w14:paraId="161A8080" w14:textId="77777777"/>
    <w:p w:rsidR="00856613" w:rsidP="00305AF8" w14:paraId="39D52DB4" w14:textId="4D86D7EE">
      <w:r w:rsidRPr="00856613">
        <w:t>Delay</w:t>
      </w:r>
      <w:r w:rsidRPr="00856613">
        <w:t xml:space="preserve"> would be particularly harmful for AI-enabled fraud threats because such schemes may scale quickly and cross agency or program boundaries before any single agency-specific channel receives enough information to identify the broader pattern. A centralized intake and referral process allows Treasury to collect consistent information from the public, identify related </w:t>
      </w:r>
      <w:r w:rsidRPr="00856613">
        <w:t>submissions, and route allegations to appropriate Federal entities more quickly than would be possible if reports remain dispersed across separate intake mechanisms.</w:t>
      </w:r>
    </w:p>
    <w:p w:rsidR="00856613" w:rsidP="00305AF8" w14:paraId="28966312" w14:textId="77777777"/>
    <w:p w:rsidR="003430B9" w:rsidP="00305AF8" w14:paraId="7EFA7FEF" w14:textId="21B424C9">
      <w:r>
        <w:t xml:space="preserve">Treasury recognizes that existing </w:t>
      </w:r>
      <w:r>
        <w:t>agency</w:t>
      </w:r>
      <w:r>
        <w:t xml:space="preserve"> and Inspector General reporting channels will continue to operate</w:t>
      </w:r>
      <w:r w:rsidR="00AB4CB5">
        <w:t xml:space="preserve"> and serve important program-specific functions; h</w:t>
      </w:r>
      <w:r>
        <w:t>owever, those channels do not provide the same centralized government-wide intake, de-duplication, referral, tracking, and trend-analysis capability</w:t>
      </w:r>
      <w:r w:rsidR="00AB4CB5">
        <w:t xml:space="preserve"> that Fraud.gov is designed to provide</w:t>
      </w:r>
      <w:r>
        <w:t xml:space="preserve">. </w:t>
      </w:r>
      <w:r w:rsidR="00AB4CB5">
        <w:t xml:space="preserve">That </w:t>
      </w:r>
      <w:r w:rsidRPr="00AB4CB5" w:rsidR="00AB4CB5">
        <w:t>centralized capability is particularly important for AI-enabled fraud threats because such schemes may scale quickly and cross agency or program boundaries before any single agency-specific channel receives enough information to identify the broader pattern.</w:t>
      </w:r>
      <w:r w:rsidR="00AB4CB5">
        <w:t xml:space="preserve"> </w:t>
      </w:r>
      <w:r>
        <w:t xml:space="preserve">Fraud.gov </w:t>
      </w:r>
      <w:r>
        <w:t>is intended</w:t>
      </w:r>
      <w:r>
        <w:t xml:space="preserve"> to complement</w:t>
      </w:r>
      <w:r w:rsidR="00AB4CB5">
        <w:t xml:space="preserve"> and </w:t>
      </w:r>
      <w:r>
        <w:t>not replace</w:t>
      </w:r>
      <w:r w:rsidR="00AB4CB5">
        <w:t xml:space="preserve"> </w:t>
      </w:r>
      <w:r>
        <w:t>those channels by giving the public a clear reporting pathway</w:t>
      </w:r>
      <w:r w:rsidR="00AB4CB5">
        <w:t xml:space="preserve">, allowing </w:t>
      </w:r>
      <w:r w:rsidR="00735263">
        <w:t>Treasury</w:t>
      </w:r>
      <w:r w:rsidR="00AB4CB5">
        <w:t xml:space="preserve"> to collect consistent information, identify related submissions, and route allegations to appropriate Federal entities more quickly than would be possible if reports remained dispersed across separate intake mechanisms. This will </w:t>
      </w:r>
      <w:r>
        <w:t>improv</w:t>
      </w:r>
      <w:r w:rsidR="00AB4CB5">
        <w:t xml:space="preserve">e </w:t>
      </w:r>
      <w:r>
        <w:t>the government's ability to coordinate responses to allegations that may involve multiple agencies, programs, funding streams, recipients</w:t>
      </w:r>
      <w:r w:rsidR="00AB4CB5">
        <w:t>, or common AI-enabled fraud indicators</w:t>
      </w:r>
      <w:r>
        <w:t>.</w:t>
      </w:r>
    </w:p>
    <w:p w:rsidR="00305AF8" w:rsidRPr="003430B9" w:rsidP="00305AF8" w14:paraId="20733C1C" w14:textId="77777777"/>
    <w:p w:rsidR="003430B9" w:rsidRPr="003430B9" w:rsidP="003430B9" w14:paraId="6B0B01BC" w14:textId="0A733ACF">
      <w:pPr>
        <w:rPr>
          <w:b/>
          <w:bCs/>
        </w:rPr>
      </w:pPr>
      <w:r w:rsidRPr="003430B9">
        <w:rPr>
          <w:b/>
          <w:bCs/>
        </w:rPr>
        <w:t xml:space="preserve">Efforts to Consult </w:t>
      </w:r>
      <w:r w:rsidR="002747D6">
        <w:rPr>
          <w:b/>
          <w:bCs/>
        </w:rPr>
        <w:t>w</w:t>
      </w:r>
      <w:r w:rsidRPr="003430B9">
        <w:rPr>
          <w:b/>
          <w:bCs/>
        </w:rPr>
        <w:t xml:space="preserve">ith </w:t>
      </w:r>
      <w:r w:rsidR="007E689A">
        <w:rPr>
          <w:b/>
          <w:bCs/>
        </w:rPr>
        <w:t xml:space="preserve">Interested Agencies and </w:t>
      </w:r>
      <w:r w:rsidRPr="003430B9">
        <w:rPr>
          <w:b/>
          <w:bCs/>
        </w:rPr>
        <w:t>the Public</w:t>
      </w:r>
    </w:p>
    <w:p w:rsidR="003430B9" w:rsidRPr="003430B9" w:rsidP="003430B9" w14:paraId="204E8AB3" w14:textId="6C74C69A">
      <w:r>
        <w:t xml:space="preserve">Because Treasury is requesting emergency processing under 5 CFR 1320.13, Treasury is not conducting the full pre-approval public comment process before requesting OMB approval. </w:t>
      </w:r>
      <w:r w:rsidR="00D96AA5">
        <w:t>Treasury anticipates pursuing standard PRA clearance procedures for continued operation of the collection beyond the emergency approval period</w:t>
      </w:r>
      <w:r>
        <w:t>, including publication of Federal Register notices and consideration of public comments.</w:t>
      </w:r>
    </w:p>
    <w:p w:rsidR="002F647F" w14:paraId="711C14B5" w14:textId="77777777"/>
    <w:p w:rsidR="009C1C91" w14:paraId="01492524" w14:textId="7C8FE494">
      <w:r>
        <w:t xml:space="preserve">Treasury has taken practicable steps to consult with interested agencies and offices during development of the collection, including coordination with members of the Task Force to Eliminate Fraud, </w:t>
      </w:r>
      <w:r w:rsidR="006E300D">
        <w:t>such as</w:t>
      </w:r>
      <w:r>
        <w:t xml:space="preserve"> DOJ, OMB, and other participating agencies, as well as subject matter experts responsible for privacy, records management, cybersecurity, fraud prevention, program integrity, information technology, artificial intelligence governance, and legal compliance.</w:t>
      </w:r>
    </w:p>
    <w:p w:rsidR="002F647F" w:rsidP="003430B9" w14:paraId="6C2491E5" w14:textId="77777777">
      <w:pPr>
        <w:rPr>
          <w:b/>
          <w:bCs/>
        </w:rPr>
      </w:pPr>
    </w:p>
    <w:p w:rsidR="003430B9" w:rsidRPr="003430B9" w:rsidP="003430B9" w14:paraId="221E8AB5" w14:textId="24585794">
      <w:pPr>
        <w:rPr>
          <w:b/>
          <w:bCs/>
        </w:rPr>
      </w:pPr>
      <w:r w:rsidRPr="003430B9">
        <w:rPr>
          <w:b/>
          <w:bCs/>
        </w:rPr>
        <w:t>Requested Approval Period</w:t>
      </w:r>
    </w:p>
    <w:p w:rsidR="003430B9" w:rsidRPr="003430B9" w:rsidP="003430B9" w14:paraId="08BC183A" w14:textId="66C49544">
      <w:r>
        <w:t xml:space="preserve">Treasury requests emergency approval </w:t>
      </w:r>
      <w:r w:rsidR="00C92CC4">
        <w:t xml:space="preserve">by June </w:t>
      </w:r>
      <w:r w:rsidR="006D57B9">
        <w:t>22</w:t>
      </w:r>
      <w:r w:rsidR="00D32232">
        <w:t xml:space="preserve"> </w:t>
      </w:r>
      <w:r>
        <w:t xml:space="preserve">to support the timely operational launch of Fraud.gov. </w:t>
      </w:r>
      <w:r w:rsidRPr="002E143A" w:rsidR="00E54F51">
        <w:t xml:space="preserve">Given the inability to seek public comment during such a short timeframe, </w:t>
      </w:r>
      <w:r w:rsidR="00D06155">
        <w:t>Treasury</w:t>
      </w:r>
      <w:r w:rsidRPr="002E143A" w:rsidR="00E54F51">
        <w:t xml:space="preserve"> </w:t>
      </w:r>
      <w:r w:rsidR="00E54F51">
        <w:t xml:space="preserve">also </w:t>
      </w:r>
      <w:r w:rsidRPr="002E143A" w:rsidR="00E54F51">
        <w:t>respectfully requests a waiver from the requirement to publish</w:t>
      </w:r>
      <w:r w:rsidR="00E54F51">
        <w:t xml:space="preserve"> a</w:t>
      </w:r>
      <w:r w:rsidRPr="002E143A" w:rsidR="00E54F51">
        <w:t xml:space="preserve"> notice in the Federal Register seeking public comment during the period of Office of Management and Budget review.</w:t>
      </w:r>
    </w:p>
    <w:p w:rsidR="003718B0" w:rsidRPr="003430B9" w:rsidP="003430B9" w14:paraId="0A20B565" w14:textId="77777777"/>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152F" w:rsidP="005039E6" w14:paraId="5C99171F" w14:textId="77777777">
      <w:r>
        <w:separator/>
      </w:r>
    </w:p>
  </w:footnote>
  <w:footnote w:type="continuationSeparator" w:id="1">
    <w:p w:rsidR="002D152F" w:rsidP="005039E6" w14:paraId="6EB5AF1F" w14:textId="77777777">
      <w:r>
        <w:continuationSeparator/>
      </w:r>
    </w:p>
  </w:footnote>
  <w:footnote w:type="continuationNotice" w:id="2">
    <w:p w:rsidR="002D152F" w14:paraId="2B69A6D0" w14:textId="77777777"/>
  </w:footnote>
  <w:footnote w:id="3">
    <w:p w:rsidR="008A2F57" w14:paraId="43F9392A" w14:textId="52530C30">
      <w:pPr>
        <w:pStyle w:val="FootnoteText"/>
      </w:pPr>
      <w:r>
        <w:rPr>
          <w:rStyle w:val="FootnoteReference"/>
        </w:rPr>
        <w:footnoteRef/>
      </w:r>
      <w:r>
        <w:t xml:space="preserve"> </w:t>
      </w:r>
      <w:r w:rsidRPr="00625BDC">
        <w:rPr>
          <w:i/>
          <w:iCs/>
        </w:rPr>
        <w:t>See</w:t>
      </w:r>
      <w:r>
        <w:t xml:space="preserve"> </w:t>
      </w:r>
      <w:hyperlink r:id="rId1" w:history="1">
        <w:r w:rsidRPr="008A2F57">
          <w:rPr>
            <w:rStyle w:val="Hyperlink"/>
          </w:rPr>
          <w:t>Fraud Risk Management: 2018-2022 Data Show Federal Government Loses an Estimated $233 Billion to $521 Billion Annually to Fraud, Based on Various Risk Environments | U.S. GAO</w:t>
        </w:r>
      </w:hyperlink>
      <w:r>
        <w:t>.</w:t>
      </w:r>
    </w:p>
  </w:footnote>
  <w:footnote w:id="4">
    <w:p w:rsidR="008A2F57" w14:paraId="11B900AC" w14:textId="62A4D285">
      <w:pPr>
        <w:pStyle w:val="FootnoteText"/>
      </w:pPr>
      <w:r>
        <w:rPr>
          <w:rStyle w:val="FootnoteReference"/>
        </w:rPr>
        <w:footnoteRef/>
      </w:r>
      <w:r>
        <w:t xml:space="preserve"> See </w:t>
      </w:r>
      <w:hyperlink r:id="rId2" w:history="1">
        <w:r w:rsidRPr="008A2F57">
          <w:rPr>
            <w:rStyle w:val="Hyperlink"/>
          </w:rPr>
          <w:t>Office of Public Affairs | False Claims Act Settlements and Judgments Exceed $6.8B in Fiscal Year 2025 | United States Department of Justice</w:t>
        </w:r>
      </w:hyperlink>
      <w:r>
        <w:t>.</w:t>
      </w:r>
    </w:p>
  </w:footnote>
  <w:footnote w:id="5">
    <w:p w:rsidR="00AD67CC" w:rsidP="00AD67CC" w14:paraId="7AEEDA3A" w14:textId="77777777">
      <w:pPr>
        <w:pStyle w:val="FootnoteText"/>
      </w:pPr>
      <w:r>
        <w:rPr>
          <w:rStyle w:val="FootnoteReference"/>
        </w:rPr>
        <w:footnoteRef/>
      </w:r>
      <w:r>
        <w:t xml:space="preserve"> </w:t>
      </w:r>
      <w:r w:rsidRPr="00AD67CC">
        <w:rPr>
          <w:i/>
          <w:iCs/>
        </w:rPr>
        <w:t>See</w:t>
      </w:r>
      <w:r>
        <w:t xml:space="preserve"> </w:t>
      </w:r>
      <w:hyperlink r:id="rId3" w:history="1">
        <w:r w:rsidRPr="00AD67CC">
          <w:rPr>
            <w:rStyle w:val="Hyperlink"/>
          </w:rPr>
          <w:t>FinCEN Issues Alert on Fraud Schemes Involving Deepfake Media Targeting Financial Institutions | FinCEN.gov</w:t>
        </w:r>
      </w:hyperlink>
      <w:r>
        <w:t>.</w:t>
      </w:r>
    </w:p>
  </w:footnote>
  <w:footnote w:id="6">
    <w:p w:rsidR="00FC22A9" w14:paraId="7F157B01" w14:textId="5ECC40D0">
      <w:pPr>
        <w:pStyle w:val="FootnoteText"/>
      </w:pPr>
      <w:r>
        <w:rPr>
          <w:rStyle w:val="FootnoteReference"/>
        </w:rPr>
        <w:footnoteRef/>
      </w:r>
      <w:r>
        <w:t xml:space="preserve"> See </w:t>
      </w:r>
      <w:hyperlink r:id="rId4" w:history="1">
        <w:r w:rsidRPr="00FC22A9">
          <w:rPr>
            <w:rStyle w:val="Hyperlink"/>
          </w:rPr>
          <w:t>US Department of Labor, Office of Inspector General jointly demand financial institutions freeze funds tied to pandemic unemployment fraud | U.S. Department of Labor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4">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6822F5"/>
    <w:multiLevelType w:val="hybridMultilevel"/>
    <w:tmpl w:val="84CE3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F4023F"/>
    <w:multiLevelType w:val="hybridMultilevel"/>
    <w:tmpl w:val="9A22A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BD3323"/>
    <w:multiLevelType w:val="hybridMultilevel"/>
    <w:tmpl w:val="EEF23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345211"/>
    <w:multiLevelType w:val="hybridMultilevel"/>
    <w:tmpl w:val="187A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11">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4">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62037225">
    <w:abstractNumId w:val="11"/>
  </w:num>
  <w:num w:numId="2" w16cid:durableId="1489245824">
    <w:abstractNumId w:val="0"/>
  </w:num>
  <w:num w:numId="3" w16cid:durableId="1098479175">
    <w:abstractNumId w:val="16"/>
  </w:num>
  <w:num w:numId="4" w16cid:durableId="2140220667">
    <w:abstractNumId w:val="12"/>
  </w:num>
  <w:num w:numId="5" w16cid:durableId="1240289085">
    <w:abstractNumId w:val="13"/>
  </w:num>
  <w:num w:numId="6" w16cid:durableId="543179377">
    <w:abstractNumId w:val="13"/>
  </w:num>
  <w:num w:numId="7" w16cid:durableId="767315025">
    <w:abstractNumId w:val="6"/>
  </w:num>
  <w:num w:numId="8" w16cid:durableId="24916712">
    <w:abstractNumId w:val="2"/>
  </w:num>
  <w:num w:numId="9" w16cid:durableId="422993910">
    <w:abstractNumId w:val="1"/>
  </w:num>
  <w:num w:numId="10" w16cid:durableId="1392196658">
    <w:abstractNumId w:val="15"/>
  </w:num>
  <w:num w:numId="11" w16cid:durableId="984044077">
    <w:abstractNumId w:val="4"/>
  </w:num>
  <w:num w:numId="12" w16cid:durableId="215747770">
    <w:abstractNumId w:val="14"/>
  </w:num>
  <w:num w:numId="13" w16cid:durableId="1918708484">
    <w:abstractNumId w:val="3"/>
  </w:num>
  <w:num w:numId="14" w16cid:durableId="708458378">
    <w:abstractNumId w:val="10"/>
  </w:num>
  <w:num w:numId="15" w16cid:durableId="1399670834">
    <w:abstractNumId w:val="18"/>
  </w:num>
  <w:num w:numId="16" w16cid:durableId="1618560491">
    <w:abstractNumId w:val="17"/>
  </w:num>
  <w:num w:numId="17" w16cid:durableId="1373187428">
    <w:abstractNumId w:val="19"/>
  </w:num>
  <w:num w:numId="18" w16cid:durableId="702557969">
    <w:abstractNumId w:val="8"/>
  </w:num>
  <w:num w:numId="19" w16cid:durableId="170726263">
    <w:abstractNumId w:val="5"/>
  </w:num>
  <w:num w:numId="20" w16cid:durableId="630788787">
    <w:abstractNumId w:val="7"/>
  </w:num>
  <w:num w:numId="21" w16cid:durableId="1574508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038F1"/>
    <w:rsid w:val="000124F3"/>
    <w:rsid w:val="0001321A"/>
    <w:rsid w:val="00014953"/>
    <w:rsid w:val="000200DA"/>
    <w:rsid w:val="00021FE1"/>
    <w:rsid w:val="0002306B"/>
    <w:rsid w:val="0003114B"/>
    <w:rsid w:val="000333E0"/>
    <w:rsid w:val="00055C1B"/>
    <w:rsid w:val="00061350"/>
    <w:rsid w:val="00062633"/>
    <w:rsid w:val="00062D7A"/>
    <w:rsid w:val="0007441B"/>
    <w:rsid w:val="0007778E"/>
    <w:rsid w:val="00084140"/>
    <w:rsid w:val="00097EA6"/>
    <w:rsid w:val="000A1561"/>
    <w:rsid w:val="000A4C31"/>
    <w:rsid w:val="000B5B9D"/>
    <w:rsid w:val="000B5D7A"/>
    <w:rsid w:val="000C18A0"/>
    <w:rsid w:val="000C6088"/>
    <w:rsid w:val="000D626C"/>
    <w:rsid w:val="000E1946"/>
    <w:rsid w:val="000E3CC7"/>
    <w:rsid w:val="000F237F"/>
    <w:rsid w:val="001035CD"/>
    <w:rsid w:val="001053CB"/>
    <w:rsid w:val="001115C9"/>
    <w:rsid w:val="00111EDF"/>
    <w:rsid w:val="001232E9"/>
    <w:rsid w:val="00126A44"/>
    <w:rsid w:val="00131543"/>
    <w:rsid w:val="00132BA3"/>
    <w:rsid w:val="00136732"/>
    <w:rsid w:val="001405ED"/>
    <w:rsid w:val="0014081C"/>
    <w:rsid w:val="001411C8"/>
    <w:rsid w:val="001510FC"/>
    <w:rsid w:val="00154357"/>
    <w:rsid w:val="00154FAD"/>
    <w:rsid w:val="00155A6A"/>
    <w:rsid w:val="00157471"/>
    <w:rsid w:val="001666C8"/>
    <w:rsid w:val="00166A15"/>
    <w:rsid w:val="00171EA6"/>
    <w:rsid w:val="001748AE"/>
    <w:rsid w:val="00184C48"/>
    <w:rsid w:val="00190342"/>
    <w:rsid w:val="001A6C3D"/>
    <w:rsid w:val="001A7B23"/>
    <w:rsid w:val="001B2DED"/>
    <w:rsid w:val="001D3E3E"/>
    <w:rsid w:val="001E0189"/>
    <w:rsid w:val="001E2A51"/>
    <w:rsid w:val="001E6536"/>
    <w:rsid w:val="001F57CF"/>
    <w:rsid w:val="001F652B"/>
    <w:rsid w:val="001F7244"/>
    <w:rsid w:val="00203011"/>
    <w:rsid w:val="002159DD"/>
    <w:rsid w:val="00247B3B"/>
    <w:rsid w:val="00250C68"/>
    <w:rsid w:val="00252850"/>
    <w:rsid w:val="002610C5"/>
    <w:rsid w:val="002716E7"/>
    <w:rsid w:val="0027192D"/>
    <w:rsid w:val="00272A01"/>
    <w:rsid w:val="002747D6"/>
    <w:rsid w:val="00275028"/>
    <w:rsid w:val="002761B4"/>
    <w:rsid w:val="00283095"/>
    <w:rsid w:val="00297B40"/>
    <w:rsid w:val="002A2438"/>
    <w:rsid w:val="002A3580"/>
    <w:rsid w:val="002A587B"/>
    <w:rsid w:val="002B237E"/>
    <w:rsid w:val="002C0270"/>
    <w:rsid w:val="002D0B0E"/>
    <w:rsid w:val="002D152F"/>
    <w:rsid w:val="002E143A"/>
    <w:rsid w:val="002E2DC4"/>
    <w:rsid w:val="002F647F"/>
    <w:rsid w:val="00300B8C"/>
    <w:rsid w:val="003012A6"/>
    <w:rsid w:val="00304F84"/>
    <w:rsid w:val="00305736"/>
    <w:rsid w:val="00305AF8"/>
    <w:rsid w:val="003353A5"/>
    <w:rsid w:val="003430B9"/>
    <w:rsid w:val="003447CB"/>
    <w:rsid w:val="00351A64"/>
    <w:rsid w:val="00355DB7"/>
    <w:rsid w:val="003614A3"/>
    <w:rsid w:val="003642EE"/>
    <w:rsid w:val="003645BA"/>
    <w:rsid w:val="00370972"/>
    <w:rsid w:val="003718B0"/>
    <w:rsid w:val="00371B2C"/>
    <w:rsid w:val="00371E6B"/>
    <w:rsid w:val="00375D63"/>
    <w:rsid w:val="00384752"/>
    <w:rsid w:val="003862D8"/>
    <w:rsid w:val="00387203"/>
    <w:rsid w:val="00394C2F"/>
    <w:rsid w:val="00397496"/>
    <w:rsid w:val="00397DA3"/>
    <w:rsid w:val="003A52E0"/>
    <w:rsid w:val="003B052E"/>
    <w:rsid w:val="003D5BE6"/>
    <w:rsid w:val="003F4E3B"/>
    <w:rsid w:val="00400CD7"/>
    <w:rsid w:val="00401A75"/>
    <w:rsid w:val="0040451F"/>
    <w:rsid w:val="004152DC"/>
    <w:rsid w:val="00415717"/>
    <w:rsid w:val="00417B55"/>
    <w:rsid w:val="004220E0"/>
    <w:rsid w:val="00441767"/>
    <w:rsid w:val="0044255E"/>
    <w:rsid w:val="00446B7B"/>
    <w:rsid w:val="00463E2F"/>
    <w:rsid w:val="00467B57"/>
    <w:rsid w:val="00474445"/>
    <w:rsid w:val="004762C3"/>
    <w:rsid w:val="00486B38"/>
    <w:rsid w:val="00492B89"/>
    <w:rsid w:val="004B196F"/>
    <w:rsid w:val="004B68A2"/>
    <w:rsid w:val="004C17E9"/>
    <w:rsid w:val="004C349A"/>
    <w:rsid w:val="004D6764"/>
    <w:rsid w:val="004D71F9"/>
    <w:rsid w:val="004E31FE"/>
    <w:rsid w:val="004E5A18"/>
    <w:rsid w:val="004E5B12"/>
    <w:rsid w:val="005039E6"/>
    <w:rsid w:val="00506C8D"/>
    <w:rsid w:val="005124FB"/>
    <w:rsid w:val="0052679D"/>
    <w:rsid w:val="00526964"/>
    <w:rsid w:val="00526AD3"/>
    <w:rsid w:val="00531493"/>
    <w:rsid w:val="00531A07"/>
    <w:rsid w:val="00533479"/>
    <w:rsid w:val="005368D8"/>
    <w:rsid w:val="00541E4B"/>
    <w:rsid w:val="005427EB"/>
    <w:rsid w:val="005435BC"/>
    <w:rsid w:val="00551686"/>
    <w:rsid w:val="00554126"/>
    <w:rsid w:val="00560DC4"/>
    <w:rsid w:val="00575010"/>
    <w:rsid w:val="005753EA"/>
    <w:rsid w:val="0057585C"/>
    <w:rsid w:val="00576D02"/>
    <w:rsid w:val="0058395E"/>
    <w:rsid w:val="00590E98"/>
    <w:rsid w:val="005B4FE4"/>
    <w:rsid w:val="005D4285"/>
    <w:rsid w:val="005E215C"/>
    <w:rsid w:val="005E61D9"/>
    <w:rsid w:val="005F109D"/>
    <w:rsid w:val="005F1EAF"/>
    <w:rsid w:val="005F47E3"/>
    <w:rsid w:val="00600F06"/>
    <w:rsid w:val="00607B0A"/>
    <w:rsid w:val="00616FD7"/>
    <w:rsid w:val="00625BDC"/>
    <w:rsid w:val="00630859"/>
    <w:rsid w:val="006333C3"/>
    <w:rsid w:val="00673C3C"/>
    <w:rsid w:val="00684F47"/>
    <w:rsid w:val="006A5DD7"/>
    <w:rsid w:val="006B721A"/>
    <w:rsid w:val="006C032E"/>
    <w:rsid w:val="006C3B30"/>
    <w:rsid w:val="006D4701"/>
    <w:rsid w:val="006D57B9"/>
    <w:rsid w:val="006E00E5"/>
    <w:rsid w:val="006E300D"/>
    <w:rsid w:val="006E7591"/>
    <w:rsid w:val="006E7AAE"/>
    <w:rsid w:val="006F6CB5"/>
    <w:rsid w:val="007071AF"/>
    <w:rsid w:val="00712DF3"/>
    <w:rsid w:val="00735263"/>
    <w:rsid w:val="00741C23"/>
    <w:rsid w:val="00744417"/>
    <w:rsid w:val="00774B80"/>
    <w:rsid w:val="007767E0"/>
    <w:rsid w:val="00780F32"/>
    <w:rsid w:val="00783B10"/>
    <w:rsid w:val="00785735"/>
    <w:rsid w:val="00796553"/>
    <w:rsid w:val="007A13A7"/>
    <w:rsid w:val="007B7BDC"/>
    <w:rsid w:val="007C18E4"/>
    <w:rsid w:val="007C4D08"/>
    <w:rsid w:val="007E689A"/>
    <w:rsid w:val="007E7024"/>
    <w:rsid w:val="0081425A"/>
    <w:rsid w:val="008145E3"/>
    <w:rsid w:val="00830144"/>
    <w:rsid w:val="00832DE3"/>
    <w:rsid w:val="00834425"/>
    <w:rsid w:val="00836A64"/>
    <w:rsid w:val="00845293"/>
    <w:rsid w:val="00845C04"/>
    <w:rsid w:val="008461B7"/>
    <w:rsid w:val="0084650C"/>
    <w:rsid w:val="008467BE"/>
    <w:rsid w:val="008535BE"/>
    <w:rsid w:val="00856613"/>
    <w:rsid w:val="00856C95"/>
    <w:rsid w:val="00860074"/>
    <w:rsid w:val="00872571"/>
    <w:rsid w:val="00877CED"/>
    <w:rsid w:val="008A2F57"/>
    <w:rsid w:val="008A301A"/>
    <w:rsid w:val="008A4E6B"/>
    <w:rsid w:val="008B4F92"/>
    <w:rsid w:val="008B7864"/>
    <w:rsid w:val="008D0007"/>
    <w:rsid w:val="008D281A"/>
    <w:rsid w:val="008E2EF1"/>
    <w:rsid w:val="008E3802"/>
    <w:rsid w:val="008E7AE8"/>
    <w:rsid w:val="008E7DB1"/>
    <w:rsid w:val="008F59FD"/>
    <w:rsid w:val="0092411B"/>
    <w:rsid w:val="00933289"/>
    <w:rsid w:val="00941141"/>
    <w:rsid w:val="00941637"/>
    <w:rsid w:val="00946BCE"/>
    <w:rsid w:val="00950380"/>
    <w:rsid w:val="0095546B"/>
    <w:rsid w:val="0097363E"/>
    <w:rsid w:val="00991B05"/>
    <w:rsid w:val="00996F49"/>
    <w:rsid w:val="009979E0"/>
    <w:rsid w:val="009B344E"/>
    <w:rsid w:val="009C1C91"/>
    <w:rsid w:val="009C35FB"/>
    <w:rsid w:val="009D2471"/>
    <w:rsid w:val="009F2336"/>
    <w:rsid w:val="00A145E4"/>
    <w:rsid w:val="00A27D60"/>
    <w:rsid w:val="00A304C2"/>
    <w:rsid w:val="00A36FD9"/>
    <w:rsid w:val="00A42153"/>
    <w:rsid w:val="00A42944"/>
    <w:rsid w:val="00A50386"/>
    <w:rsid w:val="00A63358"/>
    <w:rsid w:val="00A75D8F"/>
    <w:rsid w:val="00A774F2"/>
    <w:rsid w:val="00A83E79"/>
    <w:rsid w:val="00A96D99"/>
    <w:rsid w:val="00A97082"/>
    <w:rsid w:val="00AA1047"/>
    <w:rsid w:val="00AA7AA7"/>
    <w:rsid w:val="00AB4CB5"/>
    <w:rsid w:val="00AB5012"/>
    <w:rsid w:val="00AB5229"/>
    <w:rsid w:val="00AC6A65"/>
    <w:rsid w:val="00AD532B"/>
    <w:rsid w:val="00AD5B57"/>
    <w:rsid w:val="00AD67CC"/>
    <w:rsid w:val="00AD753E"/>
    <w:rsid w:val="00AE239C"/>
    <w:rsid w:val="00AE2B72"/>
    <w:rsid w:val="00AE487F"/>
    <w:rsid w:val="00AE6745"/>
    <w:rsid w:val="00AF066D"/>
    <w:rsid w:val="00AF0CA0"/>
    <w:rsid w:val="00B01153"/>
    <w:rsid w:val="00B1054B"/>
    <w:rsid w:val="00B10E3E"/>
    <w:rsid w:val="00B124F7"/>
    <w:rsid w:val="00B23199"/>
    <w:rsid w:val="00B31CA3"/>
    <w:rsid w:val="00B338E3"/>
    <w:rsid w:val="00B4248D"/>
    <w:rsid w:val="00B43FE8"/>
    <w:rsid w:val="00B45DB1"/>
    <w:rsid w:val="00B50CB6"/>
    <w:rsid w:val="00B53FAD"/>
    <w:rsid w:val="00B61308"/>
    <w:rsid w:val="00B63AD4"/>
    <w:rsid w:val="00B90DA0"/>
    <w:rsid w:val="00BA2979"/>
    <w:rsid w:val="00BB175D"/>
    <w:rsid w:val="00BC53EE"/>
    <w:rsid w:val="00BC6FB1"/>
    <w:rsid w:val="00BD2F13"/>
    <w:rsid w:val="00BD64A3"/>
    <w:rsid w:val="00BE2C9F"/>
    <w:rsid w:val="00BE4D1E"/>
    <w:rsid w:val="00C02362"/>
    <w:rsid w:val="00C06426"/>
    <w:rsid w:val="00C1422C"/>
    <w:rsid w:val="00C22BAB"/>
    <w:rsid w:val="00C44609"/>
    <w:rsid w:val="00C50C55"/>
    <w:rsid w:val="00C51874"/>
    <w:rsid w:val="00C6001F"/>
    <w:rsid w:val="00C640B3"/>
    <w:rsid w:val="00C746F7"/>
    <w:rsid w:val="00C80A12"/>
    <w:rsid w:val="00C86672"/>
    <w:rsid w:val="00C878B8"/>
    <w:rsid w:val="00C913A8"/>
    <w:rsid w:val="00C92CC4"/>
    <w:rsid w:val="00CB01AA"/>
    <w:rsid w:val="00CB5025"/>
    <w:rsid w:val="00CB74B5"/>
    <w:rsid w:val="00CC0F30"/>
    <w:rsid w:val="00CC5CCF"/>
    <w:rsid w:val="00CC6A93"/>
    <w:rsid w:val="00CD6CE9"/>
    <w:rsid w:val="00CF0B99"/>
    <w:rsid w:val="00D01347"/>
    <w:rsid w:val="00D04E0C"/>
    <w:rsid w:val="00D058B2"/>
    <w:rsid w:val="00D06155"/>
    <w:rsid w:val="00D21EBC"/>
    <w:rsid w:val="00D258AB"/>
    <w:rsid w:val="00D31D47"/>
    <w:rsid w:val="00D32232"/>
    <w:rsid w:val="00D33EE6"/>
    <w:rsid w:val="00D41711"/>
    <w:rsid w:val="00D4321A"/>
    <w:rsid w:val="00D546CF"/>
    <w:rsid w:val="00D56B4E"/>
    <w:rsid w:val="00D6268D"/>
    <w:rsid w:val="00D70456"/>
    <w:rsid w:val="00D71B0A"/>
    <w:rsid w:val="00D82D4E"/>
    <w:rsid w:val="00D84C8E"/>
    <w:rsid w:val="00D91548"/>
    <w:rsid w:val="00D93869"/>
    <w:rsid w:val="00D960D4"/>
    <w:rsid w:val="00D96AA5"/>
    <w:rsid w:val="00DB20AB"/>
    <w:rsid w:val="00DC1A25"/>
    <w:rsid w:val="00DC1ABE"/>
    <w:rsid w:val="00DC515E"/>
    <w:rsid w:val="00DC59AE"/>
    <w:rsid w:val="00DD0581"/>
    <w:rsid w:val="00DD0BC9"/>
    <w:rsid w:val="00DD5695"/>
    <w:rsid w:val="00DF126C"/>
    <w:rsid w:val="00DF2E30"/>
    <w:rsid w:val="00DF6755"/>
    <w:rsid w:val="00E07888"/>
    <w:rsid w:val="00E12164"/>
    <w:rsid w:val="00E13503"/>
    <w:rsid w:val="00E225F8"/>
    <w:rsid w:val="00E278C5"/>
    <w:rsid w:val="00E30040"/>
    <w:rsid w:val="00E318FE"/>
    <w:rsid w:val="00E417D7"/>
    <w:rsid w:val="00E54A95"/>
    <w:rsid w:val="00E54F51"/>
    <w:rsid w:val="00E64550"/>
    <w:rsid w:val="00E6658B"/>
    <w:rsid w:val="00E76735"/>
    <w:rsid w:val="00E8009C"/>
    <w:rsid w:val="00E92449"/>
    <w:rsid w:val="00E96F21"/>
    <w:rsid w:val="00EA6A9F"/>
    <w:rsid w:val="00EA7975"/>
    <w:rsid w:val="00EB120F"/>
    <w:rsid w:val="00ED2937"/>
    <w:rsid w:val="00ED53ED"/>
    <w:rsid w:val="00ED5F8B"/>
    <w:rsid w:val="00EF5485"/>
    <w:rsid w:val="00F0444A"/>
    <w:rsid w:val="00F13BFC"/>
    <w:rsid w:val="00F25A5D"/>
    <w:rsid w:val="00F31204"/>
    <w:rsid w:val="00F34C6B"/>
    <w:rsid w:val="00F574D7"/>
    <w:rsid w:val="00F655F7"/>
    <w:rsid w:val="00F72F19"/>
    <w:rsid w:val="00F74BC8"/>
    <w:rsid w:val="00F86A82"/>
    <w:rsid w:val="00F93E95"/>
    <w:rsid w:val="00FB2A57"/>
    <w:rsid w:val="00FB5408"/>
    <w:rsid w:val="00FB5AD8"/>
    <w:rsid w:val="00FC11EF"/>
    <w:rsid w:val="00FC22A9"/>
    <w:rsid w:val="00FC2B84"/>
    <w:rsid w:val="00FC44BF"/>
    <w:rsid w:val="00FD155D"/>
    <w:rsid w:val="00FD4A5B"/>
    <w:rsid w:val="00FE1A3B"/>
    <w:rsid w:val="00FE6599"/>
    <w:rsid w:val="00FF4B02"/>
    <w:rsid w:val="00FF66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styleId="Header">
    <w:name w:val="header"/>
    <w:basedOn w:val="Normal"/>
    <w:link w:val="HeaderChar"/>
    <w:unhideWhenUsed/>
    <w:rsid w:val="005039E6"/>
    <w:pPr>
      <w:tabs>
        <w:tab w:val="center" w:pos="4680"/>
        <w:tab w:val="right" w:pos="9360"/>
      </w:tabs>
    </w:pPr>
  </w:style>
  <w:style w:type="character" w:customStyle="1" w:styleId="HeaderChar">
    <w:name w:val="Header Char"/>
    <w:basedOn w:val="DefaultParagraphFont"/>
    <w:link w:val="Header"/>
    <w:rsid w:val="005039E6"/>
    <w:rPr>
      <w:sz w:val="24"/>
      <w:szCs w:val="24"/>
    </w:rPr>
  </w:style>
  <w:style w:type="paragraph" w:styleId="Footer">
    <w:name w:val="footer"/>
    <w:basedOn w:val="Normal"/>
    <w:link w:val="FooterChar"/>
    <w:unhideWhenUsed/>
    <w:rsid w:val="005039E6"/>
    <w:pPr>
      <w:tabs>
        <w:tab w:val="center" w:pos="4680"/>
        <w:tab w:val="right" w:pos="9360"/>
      </w:tabs>
    </w:pPr>
  </w:style>
  <w:style w:type="character" w:customStyle="1" w:styleId="FooterChar">
    <w:name w:val="Footer Char"/>
    <w:basedOn w:val="DefaultParagraphFont"/>
    <w:link w:val="Footer"/>
    <w:rsid w:val="005039E6"/>
    <w:rPr>
      <w:sz w:val="24"/>
      <w:szCs w:val="24"/>
    </w:rPr>
  </w:style>
  <w:style w:type="paragraph" w:styleId="FootnoteText">
    <w:name w:val="footnote text"/>
    <w:basedOn w:val="Normal"/>
    <w:link w:val="FootnoteTextChar"/>
    <w:semiHidden/>
    <w:unhideWhenUsed/>
    <w:rsid w:val="00AD67CC"/>
    <w:rPr>
      <w:sz w:val="20"/>
      <w:szCs w:val="20"/>
    </w:rPr>
  </w:style>
  <w:style w:type="character" w:customStyle="1" w:styleId="FootnoteTextChar">
    <w:name w:val="Footnote Text Char"/>
    <w:basedOn w:val="DefaultParagraphFont"/>
    <w:link w:val="FootnoteText"/>
    <w:semiHidden/>
    <w:rsid w:val="00AD67CC"/>
  </w:style>
  <w:style w:type="character" w:styleId="FootnoteReference">
    <w:name w:val="footnote reference"/>
    <w:basedOn w:val="DefaultParagraphFont"/>
    <w:semiHidden/>
    <w:unhideWhenUsed/>
    <w:rsid w:val="00AD67CC"/>
    <w:rPr>
      <w:vertAlign w:val="superscript"/>
    </w:rPr>
  </w:style>
  <w:style w:type="character" w:styleId="Hyperlink">
    <w:name w:val="Hyperlink"/>
    <w:basedOn w:val="DefaultParagraphFont"/>
    <w:unhideWhenUsed/>
    <w:rsid w:val="00AD67CC"/>
    <w:rPr>
      <w:color w:val="0000FF" w:themeColor="hyperlink"/>
      <w:u w:val="single"/>
    </w:rPr>
  </w:style>
  <w:style w:type="character" w:styleId="UnresolvedMention">
    <w:name w:val="Unresolved Mention"/>
    <w:basedOn w:val="DefaultParagraphFont"/>
    <w:uiPriority w:val="99"/>
    <w:semiHidden/>
    <w:unhideWhenUsed/>
    <w:rsid w:val="00AD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png" /><Relationship Id="rId8" Type="http://schemas.openxmlformats.org/officeDocument/2006/relationships/oleObject" Target="embeddings/oleObject1.bin"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products/gao-24-105833" TargetMode="External" /><Relationship Id="rId2" Type="http://schemas.openxmlformats.org/officeDocument/2006/relationships/hyperlink" Target="https://www.justice.gov/opa/pr/false-claims-act-settlements-and-judgments-exceed-68b-fiscal-year-2025" TargetMode="External" /><Relationship Id="rId3" Type="http://schemas.openxmlformats.org/officeDocument/2006/relationships/hyperlink" Target="https://www.fincen.gov/news/news-releases/fincen-issues-alert-fraud-schemes-involving-deepfake-media-targeting-financial?utm_source=chatgpt.com" TargetMode="External" /><Relationship Id="rId4" Type="http://schemas.openxmlformats.org/officeDocument/2006/relationships/hyperlink" Target="https://www.dol.gov/newsroom/releases/osec/osec20260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F84C04B8-6576-43F9-A392-0C34125AD777}">
  <ds:schemaRefs>
    <ds:schemaRef ds:uri="http://schemas.openxmlformats.org/officeDocument/2006/bibliography"/>
  </ds:schemaRefs>
</ds:datastoreItem>
</file>

<file path=customXml/itemProps2.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2026-06-22T15:43:00Z</dcterms:created>
  <dcterms:modified xsi:type="dcterms:W3CDTF">2026-06-22T16:29:00Z</dcterms:modified>
</cp:coreProperties>
</file>