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956" w:rsidRPr="007C1956" w:rsidP="007C1956" w14:paraId="12207929" w14:textId="77777777">
      <w:pPr>
        <w:pStyle w:val="Heading1"/>
        <w:spacing w:before="0" w:after="0" w:line="240" w:lineRule="auto"/>
        <w:jc w:val="center"/>
        <w:rPr>
          <w:rFonts w:ascii="Times New Roman" w:hAnsi="Times New Roman" w:cs="Times New Roman"/>
          <w:color w:val="auto"/>
          <w:sz w:val="24"/>
          <w:szCs w:val="24"/>
          <w:u w:val="single"/>
        </w:rPr>
      </w:pPr>
      <w:r w:rsidRPr="007C1956">
        <w:rPr>
          <w:rFonts w:ascii="Times New Roman" w:hAnsi="Times New Roman" w:cs="Times New Roman"/>
          <w:color w:val="auto"/>
          <w:sz w:val="24"/>
          <w:szCs w:val="24"/>
          <w:u w:val="single"/>
        </w:rPr>
        <w:t>Supporting Statement</w:t>
      </w:r>
      <w:r w:rsidRPr="007C1956">
        <w:rPr>
          <w:rFonts w:ascii="Times New Roman" w:hAnsi="Times New Roman" w:cs="Times New Roman"/>
          <w:color w:val="auto"/>
          <w:sz w:val="24"/>
          <w:szCs w:val="24"/>
          <w:u w:val="single"/>
        </w:rPr>
        <w:br/>
        <w:t>OMB Control Number 1506-XXXX</w:t>
      </w:r>
    </w:p>
    <w:p w:rsidR="007C1956" w:rsidRPr="007C1956" w:rsidP="007C1956" w14:paraId="18C7987B" w14:textId="0EB6F795">
      <w:pPr>
        <w:pStyle w:val="Heading1"/>
        <w:spacing w:before="0" w:after="0" w:line="240" w:lineRule="auto"/>
        <w:jc w:val="center"/>
        <w:rPr>
          <w:rFonts w:ascii="Times New Roman" w:eastAsia="Aptos" w:hAnsi="Times New Roman" w:cs="Times New Roman"/>
          <w:color w:val="auto"/>
          <w:kern w:val="2"/>
          <w:sz w:val="24"/>
          <w:szCs w:val="24"/>
          <w:u w:val="single"/>
        </w:rPr>
      </w:pPr>
      <w:r w:rsidRPr="007C1956">
        <w:rPr>
          <w:rFonts w:ascii="Times New Roman" w:eastAsia="Aptos" w:hAnsi="Times New Roman" w:cs="Times New Roman"/>
          <w:color w:val="auto"/>
          <w:kern w:val="2"/>
          <w:sz w:val="24"/>
          <w:szCs w:val="24"/>
          <w:u w:val="single"/>
        </w:rPr>
        <w:t>Permitted Payment Stablecoin Issuer</w:t>
      </w:r>
      <w:r w:rsidRPr="007C1956" w:rsidR="00380100">
        <w:rPr>
          <w:rFonts w:ascii="Times New Roman" w:eastAsia="Aptos" w:hAnsi="Times New Roman" w:cs="Times New Roman"/>
          <w:color w:val="auto"/>
          <w:kern w:val="2"/>
          <w:sz w:val="24"/>
          <w:szCs w:val="24"/>
          <w:u w:val="single"/>
        </w:rPr>
        <w:t xml:space="preserve"> (PPSI)</w:t>
      </w:r>
      <w:r w:rsidRPr="007C1956">
        <w:rPr>
          <w:rFonts w:ascii="Times New Roman" w:eastAsia="Aptos" w:hAnsi="Times New Roman" w:cs="Times New Roman"/>
          <w:color w:val="auto"/>
          <w:kern w:val="2"/>
          <w:sz w:val="24"/>
          <w:szCs w:val="24"/>
          <w:u w:val="single"/>
        </w:rPr>
        <w:t xml:space="preserve"> Customer I</w:t>
      </w:r>
      <w:r w:rsidRPr="007C1956" w:rsidR="00380100">
        <w:rPr>
          <w:rFonts w:ascii="Times New Roman" w:eastAsia="Aptos" w:hAnsi="Times New Roman" w:cs="Times New Roman"/>
          <w:color w:val="auto"/>
          <w:kern w:val="2"/>
          <w:sz w:val="24"/>
          <w:szCs w:val="24"/>
          <w:u w:val="single"/>
        </w:rPr>
        <w:t>dentification</w:t>
      </w:r>
      <w:r w:rsidRPr="007C1956">
        <w:rPr>
          <w:rFonts w:ascii="Times New Roman" w:eastAsia="Aptos" w:hAnsi="Times New Roman" w:cs="Times New Roman"/>
          <w:color w:val="auto"/>
          <w:kern w:val="2"/>
          <w:sz w:val="24"/>
          <w:szCs w:val="24"/>
          <w:u w:val="single"/>
        </w:rPr>
        <w:t xml:space="preserve"> Program</w:t>
      </w:r>
      <w:r w:rsidRPr="007C1956" w:rsidR="007E7FDD">
        <w:rPr>
          <w:rFonts w:ascii="Times New Roman" w:eastAsia="Aptos" w:hAnsi="Times New Roman" w:cs="Times New Roman"/>
          <w:color w:val="auto"/>
          <w:kern w:val="2"/>
          <w:sz w:val="24"/>
          <w:szCs w:val="24"/>
          <w:u w:val="single"/>
        </w:rPr>
        <w:t xml:space="preserve"> (CIP)</w:t>
      </w:r>
      <w:r w:rsidRPr="007C1956">
        <w:rPr>
          <w:rFonts w:ascii="Times New Roman" w:eastAsia="Aptos" w:hAnsi="Times New Roman" w:cs="Times New Roman"/>
          <w:color w:val="auto"/>
          <w:kern w:val="2"/>
          <w:sz w:val="24"/>
          <w:szCs w:val="24"/>
          <w:u w:val="single"/>
        </w:rPr>
        <w:t xml:space="preserve"> Requirements</w:t>
      </w:r>
    </w:p>
    <w:p w:rsidR="007C1956" w:rsidRPr="007C1956" w:rsidP="007C1956" w14:paraId="450ADC64" w14:textId="77777777">
      <w:pPr>
        <w:spacing w:after="0" w:line="240" w:lineRule="auto"/>
        <w:jc w:val="center"/>
      </w:pPr>
    </w:p>
    <w:p w:rsidR="00240CCA" w:rsidRPr="007C1956" w:rsidP="007C1956" w14:paraId="5207E952" w14:textId="1011C7C4">
      <w:pPr>
        <w:pStyle w:val="ListParagraph"/>
        <w:numPr>
          <w:ilvl w:val="0"/>
          <w:numId w:val="15"/>
        </w:numPr>
        <w:spacing w:after="0" w:line="240" w:lineRule="auto"/>
        <w:rPr>
          <w:rFonts w:ascii="Times New Roman" w:hAnsi="Times New Roman" w:cs="Times New Roman"/>
          <w:sz w:val="24"/>
          <w:szCs w:val="24"/>
        </w:rPr>
      </w:pPr>
      <w:r w:rsidRPr="007C1956">
        <w:rPr>
          <w:rFonts w:ascii="Times New Roman" w:hAnsi="Times New Roman" w:cs="Times New Roman"/>
          <w:sz w:val="24"/>
          <w:szCs w:val="24"/>
          <w:u w:val="single"/>
        </w:rPr>
        <w:t>Circumstances necessitating collection of information.</w:t>
      </w:r>
      <w:r w:rsidRPr="007C1956">
        <w:rPr>
          <w:rFonts w:ascii="Times New Roman" w:hAnsi="Times New Roman" w:cs="Times New Roman"/>
          <w:sz w:val="24"/>
          <w:szCs w:val="24"/>
        </w:rPr>
        <w:t xml:space="preserve"> </w:t>
      </w:r>
    </w:p>
    <w:p w:rsidR="007C1956" w:rsidRPr="007C1956" w:rsidP="007C1956" w14:paraId="55509931" w14:textId="77777777">
      <w:pPr>
        <w:pStyle w:val="ListParagraph"/>
        <w:spacing w:after="0" w:line="240" w:lineRule="auto"/>
        <w:rPr>
          <w:rFonts w:ascii="Times New Roman" w:hAnsi="Times New Roman" w:cs="Times New Roman"/>
          <w:sz w:val="24"/>
          <w:szCs w:val="24"/>
        </w:rPr>
      </w:pPr>
    </w:p>
    <w:p w:rsidR="00380100" w:rsidRPr="00524F8E" w:rsidP="007C1956" w14:paraId="54C317D9" w14:textId="7B37FBBD">
      <w:pPr>
        <w:spacing w:after="0" w:line="240" w:lineRule="auto"/>
        <w:ind w:firstLine="720"/>
        <w:rPr>
          <w:bCs/>
        </w:rPr>
      </w:pPr>
      <w:r w:rsidRPr="00916ED0">
        <w:rPr>
          <w:rFonts w:ascii="Times New Roman" w:hAnsi="Times New Roman" w:cs="Times New Roman"/>
          <w:bCs/>
          <w:sz w:val="24"/>
          <w:szCs w:val="24"/>
        </w:rPr>
        <w:t xml:space="preserve">The Financial Crimes Enforcement Network (FinCEN) is issuing this statement to support its request that the Office of Management and Budget (OMB) approve a proposed collection of information </w:t>
      </w:r>
      <w:r w:rsidRPr="00916ED0">
        <w:rPr>
          <w:rFonts w:ascii="Times New Roman" w:hAnsi="Times New Roman" w:cs="Times New Roman"/>
          <w:bCs/>
          <w:sz w:val="24"/>
          <w:szCs w:val="24"/>
        </w:rPr>
        <w:t>associated with</w:t>
      </w:r>
      <w:r w:rsidRPr="00916ED0">
        <w:rPr>
          <w:rFonts w:ascii="Times New Roman" w:hAnsi="Times New Roman" w:cs="Times New Roman"/>
          <w:bCs/>
          <w:sz w:val="24"/>
          <w:szCs w:val="24"/>
        </w:rPr>
        <w:t xml:space="preserve"> a notice of proposed rulemaking (NPRM) </w:t>
      </w:r>
      <w:r w:rsidRPr="00916ED0">
        <w:rPr>
          <w:rFonts w:ascii="Times New Roman" w:hAnsi="Times New Roman" w:cs="Times New Roman"/>
          <w:sz w:val="24"/>
          <w:szCs w:val="24"/>
        </w:rPr>
        <w:t>under the Bank Secrecy Act (BSA) and the Guiding and Establishing National Innovation for U.S. Stablecoins Act (GENIUS Act).</w:t>
      </w:r>
      <w:r>
        <w:rPr>
          <w:rStyle w:val="FootnoteReference"/>
          <w:rFonts w:ascii="Times New Roman" w:hAnsi="Times New Roman" w:cs="Times New Roman"/>
          <w:sz w:val="24"/>
          <w:szCs w:val="24"/>
        </w:rPr>
        <w:footnoteReference w:id="2"/>
      </w:r>
      <w:r w:rsidRPr="00916ED0">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3"/>
      </w:r>
      <w:r w:rsidRPr="00916ED0" w:rsidR="00995AD9">
        <w:rPr>
          <w:rFonts w:ascii="Times New Roman" w:hAnsi="Times New Roman" w:cs="Times New Roman"/>
          <w:bCs/>
          <w:sz w:val="24"/>
          <w:szCs w:val="24"/>
        </w:rPr>
        <w:t xml:space="preserve">  </w:t>
      </w:r>
      <w:r w:rsidRPr="00916ED0">
        <w:rPr>
          <w:rFonts w:ascii="Times New Roman" w:hAnsi="Times New Roman" w:cs="Times New Roman"/>
          <w:bCs/>
          <w:sz w:val="24"/>
          <w:szCs w:val="24"/>
        </w:rPr>
        <w:t xml:space="preserve">On </w:t>
      </w:r>
      <w:r w:rsidRPr="00A63C14" w:rsidR="00897939">
        <w:rPr>
          <w:rFonts w:ascii="Times New Roman" w:hAnsi="Times New Roman" w:cs="Times New Roman"/>
          <w:bCs/>
          <w:sz w:val="24"/>
          <w:szCs w:val="24"/>
        </w:rPr>
        <w:t xml:space="preserve">June </w:t>
      </w:r>
      <w:r w:rsidRPr="00A63C14" w:rsidR="00A63C14">
        <w:rPr>
          <w:rFonts w:ascii="Times New Roman" w:hAnsi="Times New Roman" w:cs="Times New Roman"/>
          <w:bCs/>
          <w:sz w:val="24"/>
          <w:szCs w:val="24"/>
        </w:rPr>
        <w:t>22</w:t>
      </w:r>
      <w:r w:rsidRPr="00916ED0">
        <w:rPr>
          <w:rFonts w:ascii="Times New Roman" w:hAnsi="Times New Roman" w:cs="Times New Roman"/>
          <w:bCs/>
          <w:sz w:val="24"/>
          <w:szCs w:val="24"/>
        </w:rPr>
        <w:t xml:space="preserve">, 2026, FinCEN, together with </w:t>
      </w:r>
      <w:r w:rsidRPr="00916ED0">
        <w:rPr>
          <w:rFonts w:ascii="Times New Roman" w:hAnsi="Times New Roman" w:cs="Times New Roman"/>
          <w:sz w:val="24"/>
          <w:szCs w:val="24"/>
        </w:rPr>
        <w:t>the Office of the Comptroller of the Currency (OCC), the Board of Governors of the Federal Reserve System (Board), the Federal Deposit Insurance Corporation (FDIC), and the National Credit Union Administration (NCUA)</w:t>
      </w:r>
      <w:r w:rsidRPr="00916ED0">
        <w:rPr>
          <w:rFonts w:ascii="Times New Roman" w:hAnsi="Times New Roman" w:cs="Times New Roman"/>
          <w:bCs/>
          <w:sz w:val="24"/>
          <w:szCs w:val="24"/>
        </w:rPr>
        <w:t xml:space="preserve"> </w:t>
      </w:r>
      <w:r w:rsidR="00897939">
        <w:rPr>
          <w:rFonts w:ascii="Times New Roman" w:hAnsi="Times New Roman" w:cs="Times New Roman"/>
          <w:bCs/>
          <w:sz w:val="24"/>
          <w:szCs w:val="24"/>
        </w:rPr>
        <w:t xml:space="preserve">(collectively “the Agencies”) </w:t>
      </w:r>
      <w:r w:rsidRPr="00916ED0">
        <w:rPr>
          <w:rFonts w:ascii="Times New Roman" w:hAnsi="Times New Roman" w:cs="Times New Roman"/>
          <w:bCs/>
          <w:sz w:val="24"/>
          <w:szCs w:val="24"/>
        </w:rPr>
        <w:t xml:space="preserve">published in the </w:t>
      </w:r>
      <w:r w:rsidRPr="00916ED0">
        <w:rPr>
          <w:rFonts w:ascii="Times New Roman" w:hAnsi="Times New Roman" w:cs="Times New Roman"/>
          <w:bCs/>
          <w:i/>
          <w:iCs/>
          <w:sz w:val="24"/>
          <w:szCs w:val="24"/>
        </w:rPr>
        <w:t>Federal Register</w:t>
      </w:r>
      <w:r w:rsidRPr="00916ED0">
        <w:rPr>
          <w:rFonts w:ascii="Times New Roman" w:hAnsi="Times New Roman" w:cs="Times New Roman"/>
          <w:bCs/>
          <w:sz w:val="24"/>
          <w:szCs w:val="24"/>
        </w:rPr>
        <w:t xml:space="preserve"> a joint notice and request for comments on a proposed rule (PPSI CIP NPRM)</w:t>
      </w:r>
      <w:r w:rsidR="005F5E11">
        <w:rPr>
          <w:rFonts w:ascii="Times New Roman" w:hAnsi="Times New Roman" w:cs="Times New Roman"/>
          <w:bCs/>
          <w:sz w:val="24"/>
          <w:szCs w:val="24"/>
        </w:rPr>
        <w:t xml:space="preserve"> to implement certain provisions of the GENIUS Act</w:t>
      </w:r>
      <w:r w:rsidRPr="00916ED0" w:rsidR="00916ED0">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4"/>
      </w:r>
      <w:r w:rsidRPr="00916ED0" w:rsidR="00916ED0">
        <w:rPr>
          <w:rFonts w:ascii="Times New Roman" w:hAnsi="Times New Roman" w:cs="Times New Roman"/>
          <w:bCs/>
          <w:sz w:val="24"/>
          <w:szCs w:val="24"/>
        </w:rPr>
        <w:t xml:space="preserve">  </w:t>
      </w:r>
      <w:r w:rsidR="00E53AEA">
        <w:rPr>
          <w:rFonts w:ascii="Times New Roman" w:hAnsi="Times New Roman" w:cs="Times New Roman"/>
          <w:bCs/>
          <w:sz w:val="24"/>
          <w:szCs w:val="24"/>
        </w:rPr>
        <w:t xml:space="preserve">Specifically, the proposed rule would </w:t>
      </w:r>
      <w:r w:rsidRPr="00244D53" w:rsidR="002210FE">
        <w:rPr>
          <w:rFonts w:ascii="Times New Roman" w:hAnsi="Times New Roman" w:cs="Times New Roman"/>
          <w:sz w:val="24"/>
          <w:szCs w:val="24"/>
        </w:rPr>
        <w:t>implement the GENIUS Act’s directives to treat permitted payment stablecoin issuers (PPSIs) as financial institutions for purposes of the BSA and to require such issuers to maintain an “effective customer identification program</w:t>
      </w:r>
      <w:r w:rsidR="002210FE">
        <w:rPr>
          <w:rFonts w:ascii="Times New Roman" w:hAnsi="Times New Roman" w:cs="Times New Roman"/>
          <w:sz w:val="24"/>
          <w:szCs w:val="24"/>
        </w:rPr>
        <w:t xml:space="preserve"> (CIP)</w:t>
      </w:r>
      <w:r w:rsidRPr="00244D53" w:rsidR="002210FE">
        <w:rPr>
          <w:rFonts w:ascii="Times New Roman" w:hAnsi="Times New Roman" w:cs="Times New Roman"/>
          <w:sz w:val="24"/>
          <w:szCs w:val="24"/>
        </w:rPr>
        <w:t>, including identification and verification of account holders.”</w:t>
      </w:r>
      <w:r>
        <w:rPr>
          <w:rStyle w:val="FootnoteReference"/>
          <w:rFonts w:ascii="Times New Roman" w:hAnsi="Times New Roman" w:cs="Times New Roman"/>
          <w:sz w:val="24"/>
          <w:szCs w:val="24"/>
        </w:rPr>
        <w:footnoteReference w:id="5"/>
      </w:r>
      <w:r w:rsidRPr="00244D53" w:rsidR="002210FE">
        <w:rPr>
          <w:rFonts w:ascii="Times New Roman" w:hAnsi="Times New Roman" w:cs="Times New Roman"/>
          <w:sz w:val="24"/>
          <w:szCs w:val="24"/>
        </w:rPr>
        <w:t xml:space="preserve">  </w:t>
      </w:r>
    </w:p>
    <w:p w:rsidR="00BC62A8" w:rsidRPr="000D025D" w:rsidP="00BC62A8" w14:paraId="7CFC3566" w14:textId="77777777">
      <w:pPr>
        <w:spacing w:after="0" w:line="240" w:lineRule="auto"/>
        <w:ind w:firstLine="720"/>
        <w:rPr>
          <w:rFonts w:ascii="Times New Roman" w:hAnsi="Times New Roman" w:cs="Times New Roman"/>
          <w:bCs/>
          <w:sz w:val="24"/>
          <w:szCs w:val="24"/>
        </w:rPr>
      </w:pPr>
    </w:p>
    <w:p w:rsidR="00240CCA" w:rsidRPr="000D025D" w:rsidP="00240CCA" w14:paraId="23C5AF28" w14:textId="77777777">
      <w:pPr>
        <w:spacing w:after="240"/>
        <w:rPr>
          <w:rFonts w:ascii="Times New Roman" w:hAnsi="Times New Roman" w:cs="Times New Roman"/>
          <w:sz w:val="24"/>
          <w:szCs w:val="24"/>
          <w:u w:val="single"/>
        </w:rPr>
      </w:pPr>
      <w:r w:rsidRPr="000D025D">
        <w:rPr>
          <w:rFonts w:ascii="Times New Roman" w:hAnsi="Times New Roman" w:cs="Times New Roman"/>
          <w:sz w:val="24"/>
          <w:szCs w:val="24"/>
        </w:rPr>
        <w:t xml:space="preserve">2. </w:t>
      </w:r>
      <w:r w:rsidRPr="000D025D">
        <w:rPr>
          <w:rFonts w:ascii="Times New Roman" w:hAnsi="Times New Roman" w:cs="Times New Roman"/>
          <w:sz w:val="24"/>
          <w:szCs w:val="24"/>
          <w:u w:val="single"/>
        </w:rPr>
        <w:t>Method of collection and use of data.</w:t>
      </w:r>
    </w:p>
    <w:p w:rsidR="00E851EE" w:rsidP="002C62D4" w14:paraId="46990B94" w14:textId="40C6EB30">
      <w:pPr>
        <w:pStyle w:val="NPRMBody"/>
        <w:spacing w:line="240" w:lineRule="auto"/>
      </w:pPr>
      <w:r>
        <w:rPr>
          <w:bCs/>
        </w:rPr>
        <w:t xml:space="preserve">The proposed rule would require PPSIs to maintain an effective CIP, including identification and verification of account holders.  </w:t>
      </w:r>
      <w:r w:rsidRPr="000D025D">
        <w:rPr>
          <w:bCs/>
        </w:rPr>
        <w:t>The collection of information is not reported to the Federal government.  Inst</w:t>
      </w:r>
      <w:r w:rsidRPr="000D025D">
        <w:t xml:space="preserve">ead, PPSIs are required to document and maintain records reflecting their compliance with CIP requirements.  </w:t>
      </w:r>
      <w:r w:rsidRPr="000D025D">
        <w:rPr>
          <w:rFonts w:eastAsia="MS Mincho"/>
        </w:rPr>
        <w:t xml:space="preserve">These requirements will assist law enforcement in financial investigations, protect against terrorism and strengthen national security, </w:t>
      </w:r>
      <w:r w:rsidR="00FE07F9">
        <w:rPr>
          <w:rFonts w:eastAsia="MS Mincho"/>
        </w:rPr>
        <w:t xml:space="preserve">and </w:t>
      </w:r>
      <w:r w:rsidRPr="000D025D">
        <w:rPr>
          <w:rFonts w:eastAsia="MS Mincho"/>
        </w:rPr>
        <w:t>improve financial institutions’ ability to assess and mitigate risk</w:t>
      </w:r>
      <w:r w:rsidR="002C62D4">
        <w:rPr>
          <w:rFonts w:eastAsia="MS Mincho"/>
        </w:rPr>
        <w:t>.</w:t>
      </w:r>
      <w:r w:rsidRPr="000D025D">
        <w:rPr>
          <w:rFonts w:eastAsia="MS Mincho"/>
        </w:rPr>
        <w:t xml:space="preserve"> </w:t>
      </w:r>
      <w:r w:rsidR="0092137D">
        <w:rPr>
          <w:rFonts w:eastAsia="MS Mincho"/>
        </w:rPr>
        <w:t xml:space="preserve"> </w:t>
      </w:r>
      <w:r w:rsidRPr="000D025D">
        <w:t xml:space="preserve">Compliance with these </w:t>
      </w:r>
      <w:r w:rsidR="001C2A5A">
        <w:t xml:space="preserve">requirements </w:t>
      </w:r>
      <w:r w:rsidRPr="00404A6F" w:rsidR="002C62D4">
        <w:t xml:space="preserve">will be reviewed by </w:t>
      </w:r>
      <w:r w:rsidR="00897939">
        <w:t>the Agencies</w:t>
      </w:r>
      <w:r w:rsidRPr="00404A6F" w:rsidR="002C62D4">
        <w:t xml:space="preserve"> and the Internal Revenue Service to which FinCEN has proposed delegating examination authority</w:t>
      </w:r>
      <w:r w:rsidRPr="000D025D">
        <w:t>.</w:t>
      </w:r>
    </w:p>
    <w:p w:rsidR="00BC62A8" w:rsidP="002C62D4" w14:paraId="5C3A7F26" w14:textId="77777777">
      <w:pPr>
        <w:autoSpaceDE w:val="0"/>
        <w:autoSpaceDN w:val="0"/>
        <w:adjustRightInd w:val="0"/>
        <w:spacing w:after="0" w:line="240" w:lineRule="auto"/>
        <w:ind w:firstLine="720"/>
        <w:rPr>
          <w:rFonts w:ascii="Times New Roman" w:hAnsi="Times New Roman" w:cs="Times New Roman"/>
          <w:sz w:val="24"/>
          <w:szCs w:val="24"/>
        </w:rPr>
      </w:pPr>
    </w:p>
    <w:p w:rsidR="00240CCA" w:rsidP="002C62D4" w14:paraId="71DD532A" w14:textId="29DD64B1">
      <w:pPr>
        <w:spacing w:after="0" w:line="240" w:lineRule="auto"/>
        <w:rPr>
          <w:rFonts w:ascii="Times New Roman" w:hAnsi="Times New Roman" w:cs="Times New Roman"/>
          <w:sz w:val="24"/>
          <w:szCs w:val="24"/>
        </w:rPr>
      </w:pPr>
      <w:r w:rsidRPr="000D025D">
        <w:rPr>
          <w:rFonts w:ascii="Times New Roman" w:hAnsi="Times New Roman" w:cs="Times New Roman"/>
          <w:sz w:val="24"/>
          <w:szCs w:val="24"/>
        </w:rPr>
        <w:t xml:space="preserve">3. </w:t>
      </w:r>
      <w:r w:rsidRPr="000D025D">
        <w:rPr>
          <w:rFonts w:ascii="Times New Roman" w:hAnsi="Times New Roman" w:cs="Times New Roman"/>
          <w:sz w:val="24"/>
          <w:szCs w:val="24"/>
          <w:u w:val="single"/>
        </w:rPr>
        <w:t>Use of improved information technology to reduce burden.</w:t>
      </w:r>
      <w:r w:rsidRPr="000D025D">
        <w:rPr>
          <w:rFonts w:ascii="Times New Roman" w:hAnsi="Times New Roman" w:cs="Times New Roman"/>
          <w:sz w:val="24"/>
          <w:szCs w:val="24"/>
        </w:rPr>
        <w:t xml:space="preserve"> </w:t>
      </w:r>
      <w:r w:rsidR="002C62D4">
        <w:rPr>
          <w:rFonts w:ascii="Times New Roman" w:hAnsi="Times New Roman" w:cs="Times New Roman"/>
          <w:sz w:val="24"/>
          <w:szCs w:val="24"/>
        </w:rPr>
        <w:t xml:space="preserve"> </w:t>
      </w:r>
    </w:p>
    <w:p w:rsidR="002C62D4" w:rsidRPr="000D025D" w:rsidP="002C62D4" w14:paraId="3BE3564C" w14:textId="77777777">
      <w:pPr>
        <w:spacing w:after="0" w:line="240" w:lineRule="auto"/>
        <w:rPr>
          <w:rFonts w:ascii="Times New Roman" w:hAnsi="Times New Roman" w:cs="Times New Roman"/>
          <w:sz w:val="24"/>
          <w:szCs w:val="24"/>
        </w:rPr>
      </w:pPr>
    </w:p>
    <w:p w:rsidR="00C2595D" w:rsidP="00BC62A8" w14:paraId="2C1D229B" w14:textId="0681D273">
      <w:pPr>
        <w:spacing w:after="0" w:line="240" w:lineRule="auto"/>
        <w:ind w:firstLine="720"/>
        <w:rPr>
          <w:rFonts w:ascii="Times New Roman" w:hAnsi="Times New Roman" w:cs="Times New Roman"/>
          <w:sz w:val="24"/>
          <w:szCs w:val="24"/>
        </w:rPr>
      </w:pPr>
      <w:r>
        <w:rPr>
          <w:rFonts w:ascii="Times New Roman" w:eastAsia="MS Mincho" w:hAnsi="Times New Roman" w:cs="Times New Roman"/>
          <w:sz w:val="24"/>
          <w:szCs w:val="24"/>
        </w:rPr>
        <w:t xml:space="preserve">Under the proposed rule, </w:t>
      </w:r>
      <w:r w:rsidRPr="000D025D">
        <w:rPr>
          <w:rFonts w:ascii="Times New Roman" w:eastAsia="MS Mincho" w:hAnsi="Times New Roman" w:cs="Times New Roman"/>
          <w:sz w:val="24"/>
          <w:szCs w:val="24"/>
        </w:rPr>
        <w:t>PPSIs</w:t>
      </w:r>
      <w:r w:rsidRPr="000D025D" w:rsidR="00302737">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could</w:t>
      </w:r>
      <w:r w:rsidRPr="000D025D" w:rsidR="00650B82">
        <w:rPr>
          <w:rFonts w:ascii="Times New Roman" w:hAnsi="Times New Roman" w:cs="Times New Roman"/>
          <w:sz w:val="24"/>
          <w:szCs w:val="24"/>
        </w:rPr>
        <w:t xml:space="preserve">—but </w:t>
      </w:r>
      <w:r>
        <w:rPr>
          <w:rFonts w:ascii="Times New Roman" w:hAnsi="Times New Roman" w:cs="Times New Roman"/>
          <w:sz w:val="24"/>
          <w:szCs w:val="24"/>
        </w:rPr>
        <w:t xml:space="preserve">would </w:t>
      </w:r>
      <w:r w:rsidRPr="000D025D" w:rsidR="00650B82">
        <w:rPr>
          <w:rFonts w:ascii="Times New Roman" w:hAnsi="Times New Roman" w:cs="Times New Roman"/>
          <w:sz w:val="24"/>
          <w:szCs w:val="24"/>
        </w:rPr>
        <w:t xml:space="preserve">not </w:t>
      </w:r>
      <w:r>
        <w:rPr>
          <w:rFonts w:ascii="Times New Roman" w:hAnsi="Times New Roman" w:cs="Times New Roman"/>
          <w:sz w:val="24"/>
          <w:szCs w:val="24"/>
        </w:rPr>
        <w:t xml:space="preserve">be </w:t>
      </w:r>
      <w:r w:rsidRPr="000D025D" w:rsidR="00650B82">
        <w:rPr>
          <w:rFonts w:ascii="Times New Roman" w:hAnsi="Times New Roman" w:cs="Times New Roman"/>
          <w:sz w:val="24"/>
          <w:szCs w:val="24"/>
        </w:rPr>
        <w:t>required</w:t>
      </w:r>
      <w:r w:rsidR="00DB07D3">
        <w:rPr>
          <w:rFonts w:ascii="Times New Roman" w:hAnsi="Times New Roman" w:cs="Times New Roman"/>
          <w:sz w:val="24"/>
          <w:szCs w:val="24"/>
        </w:rPr>
        <w:t xml:space="preserve"> to</w:t>
      </w:r>
      <w:r w:rsidRPr="000D025D" w:rsidR="00650B82">
        <w:rPr>
          <w:rFonts w:ascii="Times New Roman" w:hAnsi="Times New Roman" w:cs="Times New Roman"/>
          <w:sz w:val="24"/>
          <w:szCs w:val="24"/>
        </w:rPr>
        <w:t>— automate their</w:t>
      </w:r>
      <w:r w:rsidRPr="000D025D">
        <w:rPr>
          <w:rFonts w:ascii="Times New Roman" w:hAnsi="Times New Roman" w:cs="Times New Roman"/>
          <w:sz w:val="24"/>
          <w:szCs w:val="24"/>
        </w:rPr>
        <w:t xml:space="preserve"> systems to meet their requirements.   </w:t>
      </w:r>
    </w:p>
    <w:p w:rsidR="00BC62A8" w:rsidRPr="000D025D" w:rsidP="00BC62A8" w14:paraId="10119521" w14:textId="77777777">
      <w:pPr>
        <w:spacing w:after="0" w:line="240" w:lineRule="auto"/>
        <w:ind w:firstLine="720"/>
        <w:rPr>
          <w:rFonts w:ascii="Times New Roman" w:hAnsi="Times New Roman" w:cs="Times New Roman"/>
          <w:sz w:val="24"/>
          <w:szCs w:val="24"/>
        </w:rPr>
      </w:pPr>
    </w:p>
    <w:p w:rsidR="00240CCA" w:rsidRPr="000D025D" w:rsidP="00240CCA" w14:paraId="52CC76F4" w14:textId="77777777">
      <w:pPr>
        <w:spacing w:after="240"/>
        <w:rPr>
          <w:rFonts w:ascii="Times New Roman" w:hAnsi="Times New Roman" w:cs="Times New Roman"/>
          <w:sz w:val="24"/>
          <w:szCs w:val="24"/>
          <w:u w:val="single"/>
        </w:rPr>
      </w:pPr>
      <w:r w:rsidRPr="000D025D">
        <w:rPr>
          <w:rFonts w:ascii="Times New Roman" w:hAnsi="Times New Roman" w:cs="Times New Roman"/>
          <w:sz w:val="24"/>
          <w:szCs w:val="24"/>
        </w:rPr>
        <w:t xml:space="preserve">4. </w:t>
      </w:r>
      <w:r w:rsidRPr="000D025D">
        <w:rPr>
          <w:rFonts w:ascii="Times New Roman" w:hAnsi="Times New Roman" w:cs="Times New Roman"/>
          <w:sz w:val="24"/>
          <w:szCs w:val="24"/>
          <w:u w:val="single"/>
        </w:rPr>
        <w:t xml:space="preserve">Efforts to identify duplication. </w:t>
      </w:r>
    </w:p>
    <w:p w:rsidR="00DF04A0" w:rsidP="00BC62A8" w14:paraId="10A59886" w14:textId="5F1B3D6B">
      <w:pPr>
        <w:spacing w:after="0" w:line="240" w:lineRule="auto"/>
        <w:ind w:firstLine="720"/>
        <w:rPr>
          <w:rFonts w:ascii="Times New Roman" w:hAnsi="Times New Roman" w:cs="Times New Roman"/>
          <w:sz w:val="24"/>
          <w:szCs w:val="24"/>
        </w:rPr>
      </w:pPr>
      <w:r w:rsidRPr="000D025D">
        <w:rPr>
          <w:rFonts w:ascii="Times New Roman" w:hAnsi="Times New Roman" w:cs="Times New Roman"/>
          <w:sz w:val="24"/>
          <w:szCs w:val="24"/>
        </w:rPr>
        <w:t xml:space="preserve">There is no </w:t>
      </w:r>
      <w:r w:rsidRPr="000D025D" w:rsidR="00264DC7">
        <w:rPr>
          <w:rFonts w:ascii="Times New Roman" w:hAnsi="Times New Roman" w:cs="Times New Roman"/>
          <w:sz w:val="24"/>
          <w:szCs w:val="24"/>
        </w:rPr>
        <w:t xml:space="preserve">identical or </w:t>
      </w:r>
      <w:r w:rsidRPr="000D025D">
        <w:rPr>
          <w:rFonts w:ascii="Times New Roman" w:hAnsi="Times New Roman" w:cs="Times New Roman"/>
          <w:sz w:val="24"/>
          <w:szCs w:val="24"/>
        </w:rPr>
        <w:t>similar information available</w:t>
      </w:r>
      <w:r w:rsidRPr="000D025D" w:rsidR="00283448">
        <w:rPr>
          <w:rFonts w:ascii="Times New Roman" w:hAnsi="Times New Roman" w:cs="Times New Roman"/>
          <w:sz w:val="24"/>
          <w:szCs w:val="24"/>
        </w:rPr>
        <w:t xml:space="preserve">, and therefore </w:t>
      </w:r>
      <w:r w:rsidRPr="000D025D">
        <w:rPr>
          <w:rFonts w:ascii="Times New Roman" w:hAnsi="Times New Roman" w:cs="Times New Roman"/>
          <w:sz w:val="24"/>
          <w:szCs w:val="24"/>
        </w:rPr>
        <w:t>no duplication.</w:t>
      </w:r>
    </w:p>
    <w:p w:rsidR="00BC62A8" w:rsidRPr="000D025D" w:rsidP="00BC62A8" w14:paraId="53085293" w14:textId="77777777">
      <w:pPr>
        <w:spacing w:after="0" w:line="240" w:lineRule="auto"/>
        <w:ind w:firstLine="720"/>
        <w:rPr>
          <w:rFonts w:ascii="Times New Roman" w:hAnsi="Times New Roman" w:cs="Times New Roman"/>
          <w:sz w:val="24"/>
          <w:szCs w:val="24"/>
        </w:rPr>
      </w:pPr>
    </w:p>
    <w:p w:rsidR="00240CCA" w:rsidRPr="000D025D" w:rsidP="00240CCA" w14:paraId="55693AD5" w14:textId="0676A506">
      <w:pPr>
        <w:spacing w:after="240"/>
        <w:rPr>
          <w:rFonts w:ascii="Times New Roman" w:hAnsi="Times New Roman" w:cs="Times New Roman"/>
          <w:sz w:val="24"/>
          <w:szCs w:val="24"/>
        </w:rPr>
      </w:pPr>
      <w:r w:rsidRPr="000D025D">
        <w:rPr>
          <w:rFonts w:ascii="Times New Roman" w:hAnsi="Times New Roman" w:cs="Times New Roman"/>
          <w:sz w:val="24"/>
          <w:szCs w:val="24"/>
        </w:rPr>
        <w:t xml:space="preserve">5. </w:t>
      </w:r>
      <w:r w:rsidRPr="000D025D">
        <w:rPr>
          <w:rFonts w:ascii="Times New Roman" w:hAnsi="Times New Roman" w:cs="Times New Roman"/>
          <w:sz w:val="24"/>
          <w:szCs w:val="24"/>
          <w:u w:val="single"/>
        </w:rPr>
        <w:t>Methods to minimize burden on small businesses or other small entities.</w:t>
      </w:r>
      <w:r w:rsidRPr="000D025D">
        <w:rPr>
          <w:rFonts w:ascii="Times New Roman" w:hAnsi="Times New Roman" w:cs="Times New Roman"/>
          <w:sz w:val="24"/>
          <w:szCs w:val="24"/>
        </w:rPr>
        <w:t xml:space="preserve"> </w:t>
      </w:r>
    </w:p>
    <w:p w:rsidR="006279AC" w:rsidP="00BC62A8" w14:paraId="5D16EBD1" w14:textId="6915D8E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Under the proposed rule, a</w:t>
      </w:r>
      <w:r w:rsidRPr="000D025D" w:rsidR="0046419A">
        <w:rPr>
          <w:rFonts w:ascii="Times New Roman" w:hAnsi="Times New Roman" w:cs="Times New Roman"/>
          <w:sz w:val="24"/>
          <w:szCs w:val="24"/>
        </w:rPr>
        <w:t>ll PPSIs</w:t>
      </w:r>
      <w:r w:rsidRPr="000D025D" w:rsidR="00987D6F">
        <w:rPr>
          <w:rFonts w:ascii="Times New Roman" w:hAnsi="Times New Roman" w:cs="Times New Roman"/>
          <w:sz w:val="24"/>
          <w:szCs w:val="24"/>
        </w:rPr>
        <w:t xml:space="preserve"> </w:t>
      </w:r>
      <w:r>
        <w:rPr>
          <w:rFonts w:ascii="Times New Roman" w:hAnsi="Times New Roman" w:cs="Times New Roman"/>
          <w:sz w:val="24"/>
          <w:szCs w:val="24"/>
        </w:rPr>
        <w:t>would be</w:t>
      </w:r>
      <w:r w:rsidRPr="000D025D" w:rsidR="00987D6F">
        <w:rPr>
          <w:rFonts w:ascii="Times New Roman" w:hAnsi="Times New Roman" w:cs="Times New Roman"/>
          <w:sz w:val="24"/>
          <w:szCs w:val="24"/>
        </w:rPr>
        <w:t xml:space="preserve"> required to document the identity of their customers and </w:t>
      </w:r>
      <w:r>
        <w:rPr>
          <w:rFonts w:ascii="Times New Roman" w:hAnsi="Times New Roman" w:cs="Times New Roman"/>
          <w:sz w:val="24"/>
          <w:szCs w:val="24"/>
        </w:rPr>
        <w:t>would be</w:t>
      </w:r>
      <w:r w:rsidRPr="000D025D" w:rsidR="00987D6F">
        <w:rPr>
          <w:rFonts w:ascii="Times New Roman" w:hAnsi="Times New Roman" w:cs="Times New Roman"/>
          <w:sz w:val="24"/>
          <w:szCs w:val="24"/>
        </w:rPr>
        <w:t xml:space="preserve"> permitted to use the </w:t>
      </w:r>
      <w:r w:rsidRPr="000D025D" w:rsidR="005D3FE5">
        <w:rPr>
          <w:rFonts w:ascii="Times New Roman" w:hAnsi="Times New Roman" w:cs="Times New Roman"/>
          <w:sz w:val="24"/>
          <w:szCs w:val="24"/>
        </w:rPr>
        <w:t>most suitable method</w:t>
      </w:r>
      <w:r w:rsidRPr="000D025D" w:rsidR="00987D6F">
        <w:rPr>
          <w:rFonts w:ascii="Times New Roman" w:hAnsi="Times New Roman" w:cs="Times New Roman"/>
          <w:sz w:val="24"/>
          <w:szCs w:val="24"/>
        </w:rPr>
        <w:t xml:space="preserve"> based upon their assessment of risk as it relates to their size and type of business.</w:t>
      </w:r>
      <w:r w:rsidR="004579D6">
        <w:rPr>
          <w:rFonts w:ascii="Times New Roman" w:hAnsi="Times New Roman" w:cs="Times New Roman"/>
          <w:sz w:val="24"/>
          <w:szCs w:val="24"/>
        </w:rPr>
        <w:t xml:space="preserve">  </w:t>
      </w:r>
      <w:r w:rsidRPr="00404A6F" w:rsidR="004579D6">
        <w:rPr>
          <w:rFonts w:ascii="Times New Roman" w:hAnsi="Times New Roman" w:cs="Times New Roman"/>
          <w:sz w:val="24"/>
          <w:szCs w:val="24"/>
        </w:rPr>
        <w:t>FinCEN’s proposed requirements under the GENIUS Act and the BSA are intended to be risk-based and reasonably designed</w:t>
      </w:r>
      <w:r w:rsidR="00920571">
        <w:rPr>
          <w:rFonts w:ascii="Times New Roman" w:hAnsi="Times New Roman" w:cs="Times New Roman"/>
          <w:sz w:val="24"/>
          <w:szCs w:val="24"/>
        </w:rPr>
        <w:t>,</w:t>
      </w:r>
      <w:r w:rsidRPr="00404A6F" w:rsidR="004579D6">
        <w:rPr>
          <w:rFonts w:ascii="Times New Roman" w:hAnsi="Times New Roman" w:cs="Times New Roman"/>
          <w:sz w:val="24"/>
          <w:szCs w:val="24"/>
        </w:rPr>
        <w:t xml:space="preserve"> and their cost is largely based on factors directly correlated with the size of a PPSI, along with the risk level of its activities and customers.  The proposed requirements therefore have some inherent flexibility whereby small entities serving a smaller number of customers are likely to have lower costs.</w:t>
      </w:r>
    </w:p>
    <w:p w:rsidR="00BC62A8" w:rsidRPr="000D025D" w:rsidP="00BC62A8" w14:paraId="288AB793" w14:textId="77777777">
      <w:pPr>
        <w:spacing w:after="0" w:line="240" w:lineRule="auto"/>
        <w:ind w:firstLine="720"/>
        <w:rPr>
          <w:rFonts w:ascii="Times New Roman" w:hAnsi="Times New Roman" w:cs="Times New Roman"/>
          <w:sz w:val="24"/>
          <w:szCs w:val="24"/>
        </w:rPr>
      </w:pPr>
    </w:p>
    <w:p w:rsidR="00240CCA" w:rsidRPr="000D025D" w:rsidP="00240CCA" w14:paraId="4102DDF6" w14:textId="671CF604">
      <w:pPr>
        <w:spacing w:after="240"/>
        <w:rPr>
          <w:rFonts w:ascii="Times New Roman" w:hAnsi="Times New Roman" w:cs="Times New Roman"/>
          <w:sz w:val="24"/>
          <w:szCs w:val="24"/>
        </w:rPr>
      </w:pPr>
      <w:r w:rsidRPr="000D025D">
        <w:rPr>
          <w:rFonts w:ascii="Times New Roman" w:hAnsi="Times New Roman" w:cs="Times New Roman"/>
          <w:sz w:val="24"/>
          <w:szCs w:val="24"/>
        </w:rPr>
        <w:t xml:space="preserve">6. </w:t>
      </w:r>
      <w:r w:rsidRPr="000D025D">
        <w:rPr>
          <w:rFonts w:ascii="Times New Roman" w:hAnsi="Times New Roman" w:cs="Times New Roman"/>
          <w:sz w:val="24"/>
          <w:szCs w:val="24"/>
          <w:u w:val="single"/>
        </w:rPr>
        <w:t>Consequences to the Federal government of not collecting the information or less frequent collections.</w:t>
      </w:r>
      <w:r w:rsidRPr="000D025D">
        <w:rPr>
          <w:rFonts w:ascii="Times New Roman" w:hAnsi="Times New Roman" w:cs="Times New Roman"/>
          <w:sz w:val="24"/>
          <w:szCs w:val="24"/>
        </w:rPr>
        <w:t xml:space="preserve"> </w:t>
      </w:r>
    </w:p>
    <w:p w:rsidR="004D1483" w:rsidRPr="00404A6F" w:rsidP="004D1483" w14:paraId="435F4204" w14:textId="6F7BB124">
      <w:pPr>
        <w:pStyle w:val="NPRMBody"/>
        <w:spacing w:line="240" w:lineRule="auto"/>
      </w:pPr>
      <w:r>
        <w:t xml:space="preserve">Under the proposed rule, a PPSI would be required to </w:t>
      </w:r>
      <w:r w:rsidRPr="00497987">
        <w:t xml:space="preserve">maintain an effective </w:t>
      </w:r>
      <w:r>
        <w:t>CIP</w:t>
      </w:r>
      <w:r w:rsidRPr="00497987">
        <w:t>, including identification and verification of account holders</w:t>
      </w:r>
      <w:r>
        <w:t xml:space="preserve">. </w:t>
      </w:r>
      <w:r w:rsidR="004579D6">
        <w:t xml:space="preserve"> </w:t>
      </w:r>
      <w:r>
        <w:t>A PPSI</w:t>
      </w:r>
      <w:r w:rsidR="00921C30">
        <w:t xml:space="preserve"> would be required to make its </w:t>
      </w:r>
      <w:r>
        <w:t>CIP</w:t>
      </w:r>
      <w:r w:rsidR="00921C30">
        <w:t xml:space="preserve"> available for inspection </w:t>
      </w:r>
      <w:r>
        <w:t xml:space="preserve">upon request by FinCEN or its delegated examiners.  </w:t>
      </w:r>
      <w:r w:rsidRPr="00404A6F">
        <w:t>If the information were not collected, or were collected less frequently, FinCEN and its delegated examiner</w:t>
      </w:r>
      <w:r w:rsidR="00897939">
        <w:t>s</w:t>
      </w:r>
      <w:r w:rsidRPr="00404A6F">
        <w:t xml:space="preserve"> would be unable to effectively assess </w:t>
      </w:r>
      <w:r w:rsidR="00921C30">
        <w:t>PPSIs</w:t>
      </w:r>
      <w:r w:rsidRPr="00404A6F">
        <w:t>’ compliance with the BSA</w:t>
      </w:r>
      <w:r w:rsidR="00897939">
        <w:t xml:space="preserve"> and the GENIUS Act</w:t>
      </w:r>
      <w:r w:rsidRPr="00404A6F">
        <w:t>.</w:t>
      </w:r>
    </w:p>
    <w:p w:rsidR="00BC62A8" w:rsidRPr="000D025D" w:rsidP="004579D6" w14:paraId="6B0FD4FD" w14:textId="77777777">
      <w:pPr>
        <w:spacing w:after="0" w:line="240" w:lineRule="auto"/>
        <w:rPr>
          <w:rFonts w:ascii="Times New Roman" w:hAnsi="Times New Roman" w:cs="Times New Roman"/>
          <w:sz w:val="24"/>
          <w:szCs w:val="24"/>
        </w:rPr>
      </w:pPr>
    </w:p>
    <w:p w:rsidR="00240CCA" w:rsidRPr="000D025D" w:rsidP="00240CCA" w14:paraId="260A0561" w14:textId="77777777">
      <w:pPr>
        <w:spacing w:after="240"/>
        <w:rPr>
          <w:rFonts w:ascii="Times New Roman" w:hAnsi="Times New Roman" w:cs="Times New Roman"/>
          <w:sz w:val="24"/>
          <w:szCs w:val="24"/>
          <w:u w:val="single"/>
        </w:rPr>
      </w:pPr>
      <w:r w:rsidRPr="000D025D">
        <w:rPr>
          <w:rFonts w:ascii="Times New Roman" w:hAnsi="Times New Roman" w:cs="Times New Roman"/>
          <w:sz w:val="24"/>
          <w:szCs w:val="24"/>
        </w:rPr>
        <w:t xml:space="preserve">7. </w:t>
      </w:r>
      <w:r w:rsidRPr="000D025D">
        <w:rPr>
          <w:rFonts w:ascii="Times New Roman" w:hAnsi="Times New Roman" w:cs="Times New Roman"/>
          <w:sz w:val="24"/>
          <w:szCs w:val="24"/>
          <w:u w:val="single"/>
        </w:rPr>
        <w:t xml:space="preserve">Special circumstances requiring data collection </w:t>
      </w:r>
      <w:r w:rsidRPr="000D025D">
        <w:rPr>
          <w:rFonts w:ascii="Times New Roman" w:hAnsi="Times New Roman" w:cs="Times New Roman"/>
          <w:sz w:val="24"/>
          <w:szCs w:val="24"/>
          <w:u w:val="single"/>
        </w:rPr>
        <w:t>inconsistent</w:t>
      </w:r>
      <w:r w:rsidRPr="000D025D">
        <w:rPr>
          <w:rFonts w:ascii="Times New Roman" w:hAnsi="Times New Roman" w:cs="Times New Roman"/>
          <w:sz w:val="24"/>
          <w:szCs w:val="24"/>
          <w:u w:val="single"/>
        </w:rPr>
        <w:t xml:space="preserve"> with guidelines in 5 CFR 1320.5(d)(2).</w:t>
      </w:r>
    </w:p>
    <w:p w:rsidR="00251826" w:rsidRPr="000D025D" w:rsidP="00251826" w14:paraId="5F616318" w14:textId="373CD096">
      <w:pPr>
        <w:pStyle w:val="BodyText"/>
        <w:spacing w:before="0"/>
        <w:ind w:firstLine="720"/>
        <w:rPr>
          <w:sz w:val="24"/>
          <w:szCs w:val="24"/>
        </w:rPr>
      </w:pPr>
      <w:r w:rsidRPr="000D025D">
        <w:rPr>
          <w:sz w:val="24"/>
          <w:szCs w:val="24"/>
        </w:rPr>
        <w:t xml:space="preserve">Under 31 CFR 1010.430(d), all records that are required to be retained </w:t>
      </w:r>
      <w:r w:rsidRPr="000D025D" w:rsidR="00AE2092">
        <w:rPr>
          <w:sz w:val="24"/>
          <w:szCs w:val="24"/>
        </w:rPr>
        <w:t xml:space="preserve">by 31 CFR chapter X, including records associated with </w:t>
      </w:r>
      <w:r w:rsidR="002F23F5">
        <w:rPr>
          <w:sz w:val="24"/>
          <w:szCs w:val="24"/>
        </w:rPr>
        <w:t xml:space="preserve">the proposed </w:t>
      </w:r>
      <w:r w:rsidRPr="000D025D" w:rsidR="00AE2092">
        <w:rPr>
          <w:sz w:val="24"/>
          <w:szCs w:val="24"/>
        </w:rPr>
        <w:t>CIP</w:t>
      </w:r>
      <w:r w:rsidRPr="000D025D" w:rsidR="00961983">
        <w:rPr>
          <w:sz w:val="24"/>
          <w:szCs w:val="24"/>
        </w:rPr>
        <w:t xml:space="preserve"> requirements</w:t>
      </w:r>
      <w:r w:rsidR="002F23F5">
        <w:rPr>
          <w:sz w:val="24"/>
          <w:szCs w:val="24"/>
        </w:rPr>
        <w:t xml:space="preserve"> for PPSIs</w:t>
      </w:r>
      <w:r w:rsidRPr="000D025D" w:rsidR="00961983">
        <w:rPr>
          <w:sz w:val="24"/>
          <w:szCs w:val="24"/>
        </w:rPr>
        <w:t xml:space="preserve">, </w:t>
      </w:r>
      <w:r w:rsidRPr="000D025D">
        <w:rPr>
          <w:sz w:val="24"/>
          <w:szCs w:val="24"/>
        </w:rPr>
        <w:t xml:space="preserve">must be retained for a period of five years. </w:t>
      </w:r>
      <w:r w:rsidR="00F67403">
        <w:rPr>
          <w:sz w:val="24"/>
          <w:szCs w:val="24"/>
        </w:rPr>
        <w:t xml:space="preserve"> </w:t>
      </w:r>
      <w:r w:rsidRPr="000D025D">
        <w:rPr>
          <w:sz w:val="24"/>
          <w:szCs w:val="24"/>
          <w:lang w:val="en"/>
        </w:rPr>
        <w:t xml:space="preserve">Records </w:t>
      </w:r>
      <w:r w:rsidRPr="000D025D">
        <w:rPr>
          <w:sz w:val="24"/>
          <w:szCs w:val="24"/>
        </w:rPr>
        <w:t xml:space="preserve">must also be kept for five years to verify compliance with the requirement to maintain a CIP, as such record may relate to civil penalty actions that are subject to statutes of limitation longer than three years. </w:t>
      </w:r>
    </w:p>
    <w:p w:rsidR="007E79CE" w:rsidRPr="000D025D" w:rsidP="00B0116D" w14:paraId="4D75589A" w14:textId="77777777">
      <w:pPr>
        <w:pStyle w:val="BodyText"/>
        <w:spacing w:before="0"/>
        <w:rPr>
          <w:sz w:val="24"/>
          <w:szCs w:val="24"/>
        </w:rPr>
      </w:pPr>
    </w:p>
    <w:p w:rsidR="00BA79C0" w:rsidRPr="00A8595E" w:rsidP="00A8595E" w14:paraId="5A879FD5" w14:textId="7A31299A">
      <w:pPr>
        <w:spacing w:after="240"/>
        <w:rPr>
          <w:rFonts w:ascii="Times New Roman" w:hAnsi="Times New Roman" w:cs="Times New Roman"/>
          <w:sz w:val="24"/>
          <w:szCs w:val="24"/>
        </w:rPr>
      </w:pPr>
      <w:r w:rsidRPr="000D025D">
        <w:rPr>
          <w:rFonts w:ascii="Times New Roman" w:hAnsi="Times New Roman" w:cs="Times New Roman"/>
          <w:sz w:val="24"/>
          <w:szCs w:val="24"/>
        </w:rPr>
        <w:t xml:space="preserve">8. </w:t>
      </w:r>
      <w:r w:rsidRPr="000D025D">
        <w:rPr>
          <w:rFonts w:ascii="Times New Roman" w:hAnsi="Times New Roman" w:cs="Times New Roman"/>
          <w:sz w:val="24"/>
          <w:szCs w:val="24"/>
          <w:u w:val="single"/>
        </w:rPr>
        <w:t>Consultation with individuals outside of the agency on availability of data, frequency of collection, clarity of instructions and forms, and data elements.</w:t>
      </w:r>
      <w:r w:rsidRPr="000D025D">
        <w:rPr>
          <w:rFonts w:ascii="Times New Roman" w:hAnsi="Times New Roman" w:cs="Times New Roman"/>
          <w:sz w:val="24"/>
          <w:szCs w:val="24"/>
        </w:rPr>
        <w:t xml:space="preserve"> </w:t>
      </w:r>
    </w:p>
    <w:p w:rsidR="00E504D1" w:rsidRPr="000D025D" w:rsidP="00144AA1" w14:paraId="04562D18" w14:textId="2704F007">
      <w:pPr>
        <w:pStyle w:val="1BodyTextNormal"/>
        <w:spacing w:line="240" w:lineRule="auto"/>
        <w:ind w:firstLine="720"/>
      </w:pPr>
      <w:r w:rsidRPr="000D025D">
        <w:t>Treasury issued an advance notice of proposed rulemaking (ANPRM) in September 2025 seeking public comment on potential Treasury regulations implementing the GENIUS Act.</w:t>
      </w:r>
      <w:r>
        <w:rPr>
          <w:rStyle w:val="FootnoteReference"/>
        </w:rPr>
        <w:footnoteReference w:id="6"/>
      </w:r>
      <w:r w:rsidRPr="000D025D">
        <w:t xml:space="preserve">  </w:t>
      </w:r>
      <w:r w:rsidR="0092137D">
        <w:t>T</w:t>
      </w:r>
      <w:r w:rsidRPr="00404A6F" w:rsidR="00C869B7">
        <w:t xml:space="preserve">he ANPRM asked questions related to </w:t>
      </w:r>
      <w:r w:rsidR="0092137D">
        <w:t xml:space="preserve">the following: </w:t>
      </w:r>
      <w:r w:rsidRPr="00404A6F" w:rsidR="00C869B7">
        <w:t xml:space="preserve">definitions used in the GENIUS Act; the GENIUS Act’s </w:t>
      </w:r>
      <w:r w:rsidR="00141D69">
        <w:t xml:space="preserve">imposition of </w:t>
      </w:r>
      <w:r w:rsidRPr="00404A6F" w:rsidR="00C869B7">
        <w:t xml:space="preserve">BSA </w:t>
      </w:r>
      <w:r w:rsidR="00271096">
        <w:t>anti-money laundering (</w:t>
      </w:r>
      <w:r w:rsidRPr="00404A6F" w:rsidR="00C869B7">
        <w:t>AML</w:t>
      </w:r>
      <w:r w:rsidR="00271096">
        <w:t>)</w:t>
      </w:r>
      <w:r w:rsidR="00C869B7">
        <w:t xml:space="preserve"> </w:t>
      </w:r>
      <w:r w:rsidRPr="00404A6F" w:rsidR="00C869B7">
        <w:t xml:space="preserve">program </w:t>
      </w:r>
      <w:r w:rsidR="00CD71F5">
        <w:t>obligations</w:t>
      </w:r>
      <w:r w:rsidRPr="00404A6F" w:rsidR="00C869B7">
        <w:t xml:space="preserve">; and the </w:t>
      </w:r>
      <w:r w:rsidRPr="00404A6F" w:rsidR="00C869B7">
        <w:t>potential costs and benefits associated with BSA</w:t>
      </w:r>
      <w:r w:rsidR="00C869B7">
        <w:t xml:space="preserve"> </w:t>
      </w:r>
      <w:r w:rsidRPr="00404A6F" w:rsidR="00C869B7">
        <w:t>obligations.</w:t>
      </w:r>
      <w:r>
        <w:rPr>
          <w:rStyle w:val="FootnoteReference"/>
        </w:rPr>
        <w:footnoteReference w:id="7"/>
      </w:r>
      <w:r w:rsidRPr="00404A6F" w:rsidR="00C869B7">
        <w:t xml:space="preserve">  </w:t>
      </w:r>
      <w:r w:rsidRPr="000D025D">
        <w:t xml:space="preserve">Treasury received approximately 450 timely comments </w:t>
      </w:r>
      <w:r w:rsidR="00C869B7">
        <w:t xml:space="preserve">to the ANPRM </w:t>
      </w:r>
      <w:r w:rsidRPr="000D025D">
        <w:t xml:space="preserve">from a variety of stakeholders, including banks and credit unions, stablecoin issuers, digital asset exchanges, analytics companies, law firms, trade associations, non-governmental organizations, technology firms, academics, and members of the public.  </w:t>
      </w:r>
      <w:r w:rsidRPr="00404A6F" w:rsidR="00E07200">
        <w:t>Treasury reviewed and considered germane comments in crafting the PPSI</w:t>
      </w:r>
      <w:r w:rsidR="00E07200">
        <w:t xml:space="preserve"> CIP</w:t>
      </w:r>
      <w:r w:rsidRPr="00404A6F" w:rsidR="00E07200">
        <w:t xml:space="preserve"> NPRM.  In general, commenters supported applying BSA obligations to PPSIs.</w:t>
      </w:r>
    </w:p>
    <w:p w:rsidR="00E504D1" w:rsidRPr="000D025D" w:rsidP="00E504D1" w14:paraId="57681E02" w14:textId="77777777">
      <w:pPr>
        <w:pStyle w:val="1BodyTextNormal"/>
        <w:spacing w:line="240" w:lineRule="auto"/>
      </w:pPr>
    </w:p>
    <w:p w:rsidR="00E504D1" w:rsidRPr="000D025D" w:rsidP="00144AA1" w14:paraId="790C936F" w14:textId="159BFC1F">
      <w:pPr>
        <w:pStyle w:val="1BodyTextNormal"/>
        <w:spacing w:line="240" w:lineRule="auto"/>
        <w:ind w:firstLine="720"/>
      </w:pPr>
      <w:r w:rsidRPr="000D025D">
        <w:t>Th</w:t>
      </w:r>
      <w:r w:rsidR="0008016B">
        <w:t>e PPSI CIP</w:t>
      </w:r>
      <w:r w:rsidR="007D41DD">
        <w:t xml:space="preserve"> </w:t>
      </w:r>
      <w:r w:rsidRPr="000D025D">
        <w:t>NPRM represents one piece of the comprehensive regulatory framework for PPSIs set out in the GENIUS Act.</w:t>
      </w:r>
      <w:r>
        <w:rPr>
          <w:rStyle w:val="FootnoteReference"/>
        </w:rPr>
        <w:footnoteReference w:id="8"/>
      </w:r>
      <w:r w:rsidRPr="000D025D">
        <w:t xml:space="preserve">  In a separate rulemaking, </w:t>
      </w:r>
      <w:r w:rsidR="0008016B">
        <w:t xml:space="preserve">on April 10, </w:t>
      </w:r>
      <w:r w:rsidR="00271096">
        <w:t xml:space="preserve">2026, </w:t>
      </w:r>
      <w:r w:rsidRPr="000D025D">
        <w:t xml:space="preserve">FinCEN </w:t>
      </w:r>
      <w:r w:rsidR="0008016B">
        <w:t xml:space="preserve">published a </w:t>
      </w:r>
      <w:r w:rsidRPr="000D025D">
        <w:t xml:space="preserve"> proposed rule to implement the GENIUS Act’s directive to apply anti-money laundering</w:t>
      </w:r>
      <w:r w:rsidR="00994954">
        <w:t xml:space="preserve"> and countering the financing of terrorism</w:t>
      </w:r>
      <w:r w:rsidR="00E07200">
        <w:t xml:space="preserve"> (AML</w:t>
      </w:r>
      <w:r w:rsidR="00994954">
        <w:t>/CFT</w:t>
      </w:r>
      <w:r w:rsidR="00E07200">
        <w:t>)</w:t>
      </w:r>
      <w:r w:rsidRPr="000D025D">
        <w:t xml:space="preserve"> obligations to PPSIs, including program, reporting, and recordkeeping obligations, among others.</w:t>
      </w:r>
      <w:bookmarkStart w:id="0" w:name="_Ref224533069"/>
      <w:r>
        <w:rPr>
          <w:rStyle w:val="FootnoteReference"/>
        </w:rPr>
        <w:footnoteReference w:id="9"/>
      </w:r>
      <w:bookmarkEnd w:id="0"/>
      <w:r w:rsidRPr="000D025D">
        <w:t xml:space="preserve"> </w:t>
      </w:r>
    </w:p>
    <w:p w:rsidR="00E504D1" w:rsidRPr="000D025D" w:rsidP="000A49BA" w14:paraId="185F0C21" w14:textId="77777777">
      <w:pPr>
        <w:spacing w:after="0" w:line="240" w:lineRule="auto"/>
        <w:rPr>
          <w:rFonts w:ascii="Times New Roman" w:hAnsi="Times New Roman" w:cs="Times New Roman"/>
          <w:sz w:val="24"/>
          <w:szCs w:val="24"/>
        </w:rPr>
      </w:pPr>
    </w:p>
    <w:p w:rsidR="008B2F9B" w:rsidRPr="000D025D" w:rsidP="00CD1FBB" w14:paraId="746E188F" w14:textId="695539F3">
      <w:pPr>
        <w:pStyle w:val="1BodyTextNormal"/>
        <w:spacing w:line="240" w:lineRule="auto"/>
        <w:ind w:firstLine="720"/>
      </w:pPr>
      <w:r w:rsidRPr="000D025D">
        <w:t xml:space="preserve">On </w:t>
      </w:r>
      <w:r w:rsidRPr="006F5B7E" w:rsidR="00897939">
        <w:t xml:space="preserve">June </w:t>
      </w:r>
      <w:r w:rsidRPr="006F5B7E" w:rsidR="00A63C14">
        <w:t>22</w:t>
      </w:r>
      <w:r w:rsidRPr="006F5B7E">
        <w:t>, 20</w:t>
      </w:r>
      <w:r w:rsidRPr="000D025D">
        <w:t>26, FinCEN</w:t>
      </w:r>
      <w:r w:rsidRPr="000D025D" w:rsidR="0016560A">
        <w:t>, together with the OCC, the</w:t>
      </w:r>
      <w:r w:rsidRPr="000D025D" w:rsidR="00DD2BF1">
        <w:t xml:space="preserve"> </w:t>
      </w:r>
      <w:r w:rsidRPr="000D025D" w:rsidR="0016560A">
        <w:t>Board, the FDIC, and the NCUA</w:t>
      </w:r>
      <w:r w:rsidRPr="000D025D" w:rsidR="003419A8">
        <w:t>,</w:t>
      </w:r>
      <w:r w:rsidRPr="000D025D" w:rsidR="0016560A">
        <w:t xml:space="preserve"> jointly </w:t>
      </w:r>
      <w:r w:rsidRPr="000D025D" w:rsidR="003419A8">
        <w:t>published</w:t>
      </w:r>
      <w:r w:rsidRPr="000D025D" w:rsidR="00DB22A1">
        <w:t xml:space="preserve"> the </w:t>
      </w:r>
      <w:r w:rsidR="00E07200">
        <w:t>PPSI CIP NPRM</w:t>
      </w:r>
      <w:r w:rsidRPr="000D025D" w:rsidR="00DB22A1">
        <w:t>.</w:t>
      </w:r>
      <w:r>
        <w:rPr>
          <w:rStyle w:val="FootnoteReference"/>
        </w:rPr>
        <w:footnoteReference w:id="10"/>
      </w:r>
      <w:r w:rsidRPr="000D025D" w:rsidR="00DB22A1">
        <w:t xml:space="preserve">  The public comment period on the proposed rule closes on </w:t>
      </w:r>
      <w:r w:rsidRPr="006F5B7E" w:rsidR="00897939">
        <w:t xml:space="preserve">August </w:t>
      </w:r>
      <w:r w:rsidRPr="006F5B7E" w:rsidR="006F5B7E">
        <w:t>21</w:t>
      </w:r>
      <w:r w:rsidRPr="006F5B7E" w:rsidR="00DB22A1">
        <w:t>, 2026.</w:t>
      </w:r>
    </w:p>
    <w:p w:rsidR="00BC707C" w:rsidRPr="000D025D" w:rsidP="00CD1FBB" w14:paraId="57F10499" w14:textId="77777777">
      <w:pPr>
        <w:pStyle w:val="1BodyTextNormal"/>
        <w:spacing w:line="240" w:lineRule="auto"/>
        <w:ind w:firstLine="720"/>
      </w:pPr>
    </w:p>
    <w:p w:rsidR="00240CCA" w:rsidRPr="000D025D" w:rsidP="00240CCA" w14:paraId="170DD981" w14:textId="77777777">
      <w:pPr>
        <w:spacing w:after="240"/>
        <w:rPr>
          <w:rFonts w:ascii="Times New Roman" w:hAnsi="Times New Roman" w:cs="Times New Roman"/>
          <w:sz w:val="24"/>
          <w:szCs w:val="24"/>
        </w:rPr>
      </w:pPr>
      <w:r w:rsidRPr="000D025D">
        <w:rPr>
          <w:rFonts w:ascii="Times New Roman" w:hAnsi="Times New Roman" w:cs="Times New Roman"/>
          <w:sz w:val="24"/>
          <w:szCs w:val="24"/>
        </w:rPr>
        <w:t xml:space="preserve">9. </w:t>
      </w:r>
      <w:r w:rsidRPr="000D025D">
        <w:rPr>
          <w:rFonts w:ascii="Times New Roman" w:hAnsi="Times New Roman" w:cs="Times New Roman"/>
          <w:sz w:val="24"/>
          <w:szCs w:val="24"/>
          <w:u w:val="single"/>
        </w:rPr>
        <w:t>Explanation of decision to provide any payment or gift to respondents.</w:t>
      </w:r>
      <w:r w:rsidRPr="000D025D">
        <w:rPr>
          <w:rFonts w:ascii="Times New Roman" w:hAnsi="Times New Roman" w:cs="Times New Roman"/>
          <w:sz w:val="24"/>
          <w:szCs w:val="24"/>
        </w:rPr>
        <w:t xml:space="preserve"> </w:t>
      </w:r>
    </w:p>
    <w:p w:rsidR="005421FC" w:rsidRPr="000D025D" w:rsidP="00BC62A8" w14:paraId="7682980C" w14:textId="09B71E8C">
      <w:pPr>
        <w:spacing w:after="0" w:line="240" w:lineRule="auto"/>
        <w:ind w:firstLine="720"/>
        <w:rPr>
          <w:rFonts w:ascii="Times New Roman" w:hAnsi="Times New Roman" w:cs="Times New Roman"/>
          <w:color w:val="0F4761" w:themeColor="accent1" w:themeShade="BF"/>
          <w:sz w:val="24"/>
          <w:szCs w:val="24"/>
        </w:rPr>
      </w:pPr>
      <w:r w:rsidRPr="000D025D">
        <w:rPr>
          <w:rFonts w:ascii="Times New Roman" w:hAnsi="Times New Roman" w:cs="Times New Roman"/>
          <w:sz w:val="24"/>
          <w:szCs w:val="24"/>
        </w:rPr>
        <w:t>No payments or gifts were made to respondents.</w:t>
      </w:r>
      <w:r w:rsidRPr="003C48C3" w:rsidR="003C48C3">
        <w:t xml:space="preserve"> </w:t>
      </w:r>
      <w:r w:rsidR="003C48C3">
        <w:br/>
      </w:r>
    </w:p>
    <w:p w:rsidR="00240CCA" w:rsidRPr="000D025D" w:rsidP="006B5411" w14:paraId="756231D6" w14:textId="059D1F8F">
      <w:pPr>
        <w:pStyle w:val="BodyText"/>
        <w:tabs>
          <w:tab w:val="left" w:pos="8355"/>
        </w:tabs>
        <w:spacing w:before="0" w:after="240"/>
        <w:rPr>
          <w:sz w:val="24"/>
          <w:szCs w:val="24"/>
        </w:rPr>
      </w:pPr>
      <w:r w:rsidRPr="000D025D">
        <w:rPr>
          <w:sz w:val="24"/>
          <w:szCs w:val="24"/>
        </w:rPr>
        <w:t xml:space="preserve">10. </w:t>
      </w:r>
      <w:r w:rsidRPr="000D025D">
        <w:rPr>
          <w:sz w:val="24"/>
          <w:szCs w:val="24"/>
          <w:u w:val="single"/>
        </w:rPr>
        <w:t>Assurance of confidentiality of responses.</w:t>
      </w:r>
      <w:r w:rsidRPr="000D025D">
        <w:rPr>
          <w:sz w:val="24"/>
          <w:szCs w:val="24"/>
        </w:rPr>
        <w:t xml:space="preserve"> </w:t>
      </w:r>
      <w:r w:rsidR="006B5411">
        <w:rPr>
          <w:sz w:val="24"/>
          <w:szCs w:val="24"/>
        </w:rPr>
        <w:tab/>
      </w:r>
    </w:p>
    <w:p w:rsidR="003228D9" w:rsidRPr="00404A6F" w:rsidP="003228D9" w14:paraId="1C055197" w14:textId="77777777">
      <w:pPr>
        <w:pStyle w:val="BodyText"/>
        <w:spacing w:before="0"/>
        <w:ind w:firstLine="720"/>
        <w:rPr>
          <w:sz w:val="24"/>
          <w:szCs w:val="24"/>
        </w:rPr>
      </w:pPr>
      <w:r w:rsidRPr="000D025D">
        <w:rPr>
          <w:sz w:val="24"/>
          <w:szCs w:val="24"/>
        </w:rPr>
        <w:t xml:space="preserve">Information collected under </w:t>
      </w:r>
      <w:r w:rsidRPr="000D025D" w:rsidR="00B71B92">
        <w:rPr>
          <w:sz w:val="24"/>
          <w:szCs w:val="24"/>
        </w:rPr>
        <w:t xml:space="preserve">CIP requirements </w:t>
      </w:r>
      <w:r w:rsidRPr="000D025D" w:rsidR="001603F4">
        <w:rPr>
          <w:sz w:val="24"/>
          <w:szCs w:val="24"/>
        </w:rPr>
        <w:t xml:space="preserve">established pursuant to </w:t>
      </w:r>
      <w:r w:rsidRPr="000D025D">
        <w:rPr>
          <w:sz w:val="24"/>
          <w:szCs w:val="24"/>
        </w:rPr>
        <w:t>31 U.S.C. 5318(</w:t>
      </w:r>
      <w:r w:rsidRPr="004B3D55">
        <w:rPr>
          <w:sz w:val="24"/>
          <w:szCs w:val="24"/>
        </w:rPr>
        <w:t>l</w:t>
      </w:r>
      <w:r w:rsidRPr="000D025D">
        <w:rPr>
          <w:sz w:val="24"/>
          <w:szCs w:val="24"/>
        </w:rPr>
        <w:t>)(2) may be made available to FinCEN and other appropriate law enforcement and supervisory agencies.</w:t>
      </w:r>
      <w:r>
        <w:rPr>
          <w:sz w:val="24"/>
          <w:szCs w:val="24"/>
        </w:rPr>
        <w:t xml:space="preserve"> </w:t>
      </w:r>
      <w:r w:rsidRPr="00404A6F">
        <w:rPr>
          <w:sz w:val="24"/>
          <w:szCs w:val="24"/>
        </w:rPr>
        <w:t>All such information collections under the BSA must be used by such agencies consistent with a purpose set forth in 31 U.S.C. § 5311, including furthering a criminal, tax, or regulatory investigation, risk assessment, or proceeding, or use in intelligence or counterintelligence activities, including analysis, to protect against terrorism.</w:t>
      </w:r>
    </w:p>
    <w:p w:rsidR="00BC62A8" w:rsidRPr="000D025D" w:rsidP="00BC62A8" w14:paraId="2A1678EA" w14:textId="77777777">
      <w:pPr>
        <w:spacing w:after="0" w:line="240" w:lineRule="auto"/>
        <w:ind w:firstLine="720"/>
        <w:rPr>
          <w:rFonts w:ascii="Times New Roman" w:hAnsi="Times New Roman" w:cs="Times New Roman"/>
          <w:sz w:val="24"/>
          <w:szCs w:val="24"/>
        </w:rPr>
      </w:pPr>
    </w:p>
    <w:p w:rsidR="00240CCA" w:rsidRPr="000D025D" w:rsidP="00240CCA" w14:paraId="62E5B574" w14:textId="77777777">
      <w:pPr>
        <w:spacing w:after="240"/>
        <w:rPr>
          <w:rFonts w:ascii="Times New Roman" w:hAnsi="Times New Roman" w:cs="Times New Roman"/>
          <w:sz w:val="24"/>
          <w:szCs w:val="24"/>
        </w:rPr>
      </w:pPr>
      <w:r w:rsidRPr="000D025D">
        <w:rPr>
          <w:rFonts w:ascii="Times New Roman" w:hAnsi="Times New Roman" w:cs="Times New Roman"/>
          <w:sz w:val="24"/>
          <w:szCs w:val="24"/>
        </w:rPr>
        <w:t xml:space="preserve">11. </w:t>
      </w:r>
      <w:r w:rsidRPr="000D025D">
        <w:rPr>
          <w:rFonts w:ascii="Times New Roman" w:hAnsi="Times New Roman" w:cs="Times New Roman"/>
          <w:sz w:val="24"/>
          <w:szCs w:val="24"/>
          <w:u w:val="single"/>
        </w:rPr>
        <w:t>Justification of sensitive questions.</w:t>
      </w:r>
      <w:r w:rsidRPr="000D025D">
        <w:rPr>
          <w:rFonts w:ascii="Times New Roman" w:hAnsi="Times New Roman" w:cs="Times New Roman"/>
          <w:sz w:val="24"/>
          <w:szCs w:val="24"/>
        </w:rPr>
        <w:t xml:space="preserve"> </w:t>
      </w:r>
    </w:p>
    <w:p w:rsidR="00842581" w:rsidRPr="000D025D" w:rsidP="003C48C3" w14:paraId="47DC4A25" w14:textId="6E33FA8D">
      <w:pPr>
        <w:tabs>
          <w:tab w:val="left" w:pos="0"/>
        </w:tabs>
        <w:spacing w:after="0" w:line="240" w:lineRule="auto"/>
        <w:ind w:firstLine="720"/>
        <w:rPr>
          <w:rFonts w:ascii="Times New Roman" w:hAnsi="Times New Roman" w:cs="Times New Roman"/>
          <w:color w:val="1F497D"/>
          <w:sz w:val="24"/>
          <w:szCs w:val="24"/>
        </w:rPr>
      </w:pPr>
      <w:r>
        <w:rPr>
          <w:rFonts w:ascii="Times New Roman" w:hAnsi="Times New Roman" w:cs="Times New Roman"/>
          <w:sz w:val="24"/>
          <w:szCs w:val="24"/>
        </w:rPr>
        <w:t xml:space="preserve">Under the proposed rule, </w:t>
      </w:r>
      <w:r w:rsidR="00CC0622">
        <w:rPr>
          <w:rFonts w:ascii="Times New Roman" w:hAnsi="Times New Roman" w:cs="Times New Roman"/>
          <w:sz w:val="24"/>
          <w:szCs w:val="24"/>
        </w:rPr>
        <w:t>each</w:t>
      </w:r>
      <w:r w:rsidRPr="000D025D">
        <w:rPr>
          <w:rFonts w:ascii="Times New Roman" w:hAnsi="Times New Roman" w:cs="Times New Roman"/>
          <w:sz w:val="24"/>
          <w:szCs w:val="24"/>
        </w:rPr>
        <w:t xml:space="preserve"> PPSI </w:t>
      </w:r>
      <w:r>
        <w:rPr>
          <w:rFonts w:ascii="Times New Roman" w:hAnsi="Times New Roman" w:cs="Times New Roman"/>
          <w:sz w:val="24"/>
          <w:szCs w:val="24"/>
        </w:rPr>
        <w:t>would be</w:t>
      </w:r>
      <w:r w:rsidRPr="000D025D">
        <w:rPr>
          <w:rFonts w:ascii="Times New Roman" w:hAnsi="Times New Roman" w:cs="Times New Roman"/>
          <w:sz w:val="24"/>
          <w:szCs w:val="24"/>
        </w:rPr>
        <w:t xml:space="preserve"> required to </w:t>
      </w:r>
      <w:r w:rsidR="00D74AF9">
        <w:rPr>
          <w:rFonts w:ascii="Times New Roman" w:hAnsi="Times New Roman" w:cs="Times New Roman"/>
          <w:sz w:val="24"/>
          <w:szCs w:val="24"/>
        </w:rPr>
        <w:t>collect certain personally identifiable information</w:t>
      </w:r>
      <w:r w:rsidR="004B3D55">
        <w:rPr>
          <w:rFonts w:ascii="Times New Roman" w:hAnsi="Times New Roman" w:cs="Times New Roman"/>
          <w:sz w:val="24"/>
          <w:szCs w:val="24"/>
        </w:rPr>
        <w:t xml:space="preserve"> (PII)</w:t>
      </w:r>
      <w:r w:rsidR="00D74AF9">
        <w:rPr>
          <w:rFonts w:ascii="Times New Roman" w:hAnsi="Times New Roman" w:cs="Times New Roman"/>
          <w:sz w:val="24"/>
          <w:szCs w:val="24"/>
        </w:rPr>
        <w:t xml:space="preserve"> to </w:t>
      </w:r>
      <w:r w:rsidR="00CC0622">
        <w:rPr>
          <w:rFonts w:ascii="Times New Roman" w:hAnsi="Times New Roman" w:cs="Times New Roman"/>
          <w:sz w:val="24"/>
          <w:szCs w:val="24"/>
        </w:rPr>
        <w:t xml:space="preserve">document and </w:t>
      </w:r>
      <w:r w:rsidR="00D74AF9">
        <w:rPr>
          <w:rFonts w:ascii="Times New Roman" w:hAnsi="Times New Roman" w:cs="Times New Roman"/>
          <w:sz w:val="24"/>
          <w:szCs w:val="24"/>
        </w:rPr>
        <w:t>verify the identity of its customers.</w:t>
      </w:r>
      <w:r w:rsidRPr="000D025D">
        <w:rPr>
          <w:rFonts w:ascii="Times New Roman" w:hAnsi="Times New Roman" w:cs="Times New Roman"/>
          <w:sz w:val="24"/>
          <w:szCs w:val="24"/>
        </w:rPr>
        <w:t xml:space="preserve"> </w:t>
      </w:r>
      <w:r w:rsidR="00252701">
        <w:rPr>
          <w:rFonts w:ascii="Times New Roman" w:hAnsi="Times New Roman" w:cs="Times New Roman"/>
          <w:sz w:val="24"/>
          <w:szCs w:val="24"/>
        </w:rPr>
        <w:t xml:space="preserve"> </w:t>
      </w:r>
      <w:r w:rsidRPr="000D025D">
        <w:rPr>
          <w:rFonts w:ascii="Times New Roman" w:hAnsi="Times New Roman" w:cs="Times New Roman"/>
          <w:sz w:val="24"/>
          <w:szCs w:val="24"/>
        </w:rPr>
        <w:t xml:space="preserve">Any </w:t>
      </w:r>
      <w:r w:rsidR="004B3D55">
        <w:rPr>
          <w:rFonts w:ascii="Times New Roman" w:hAnsi="Times New Roman" w:cs="Times New Roman"/>
          <w:sz w:val="24"/>
          <w:szCs w:val="24"/>
        </w:rPr>
        <w:t>PII</w:t>
      </w:r>
      <w:r w:rsidRPr="000D025D">
        <w:rPr>
          <w:rFonts w:ascii="Times New Roman" w:hAnsi="Times New Roman" w:cs="Times New Roman"/>
          <w:sz w:val="24"/>
          <w:szCs w:val="24"/>
        </w:rPr>
        <w:t xml:space="preserve"> </w:t>
      </w:r>
      <w:r w:rsidRPr="000D025D">
        <w:rPr>
          <w:rFonts w:ascii="Times New Roman" w:hAnsi="Times New Roman" w:cs="Times New Roman"/>
          <w:sz w:val="24"/>
          <w:szCs w:val="24"/>
        </w:rPr>
        <w:t>collected under the BSA is strictly controlled as outlined in FinCEN’s Systems of Records Notice.</w:t>
      </w:r>
      <w:r>
        <w:rPr>
          <w:rStyle w:val="FootnoteReference"/>
          <w:rFonts w:ascii="Times New Roman" w:hAnsi="Times New Roman" w:cs="Times New Roman"/>
          <w:sz w:val="24"/>
          <w:szCs w:val="24"/>
        </w:rPr>
        <w:footnoteReference w:id="11"/>
      </w:r>
      <w:r w:rsidRPr="000D025D">
        <w:rPr>
          <w:rFonts w:ascii="Times New Roman" w:hAnsi="Times New Roman" w:cs="Times New Roman"/>
          <w:sz w:val="24"/>
          <w:szCs w:val="24"/>
        </w:rPr>
        <w:t xml:space="preserve">  </w:t>
      </w:r>
      <w:r w:rsidR="003C48C3">
        <w:br/>
      </w:r>
    </w:p>
    <w:p w:rsidR="00240CCA" w:rsidRPr="000D025D" w:rsidP="00240CCA" w14:paraId="3A0019F3" w14:textId="77777777">
      <w:pPr>
        <w:spacing w:after="240"/>
        <w:rPr>
          <w:rFonts w:ascii="Times New Roman" w:hAnsi="Times New Roman" w:cs="Times New Roman"/>
          <w:sz w:val="24"/>
          <w:szCs w:val="24"/>
          <w:u w:val="single"/>
        </w:rPr>
      </w:pPr>
      <w:r w:rsidRPr="000D025D">
        <w:rPr>
          <w:rFonts w:ascii="Times New Roman" w:hAnsi="Times New Roman" w:cs="Times New Roman"/>
          <w:sz w:val="24"/>
          <w:szCs w:val="24"/>
        </w:rPr>
        <w:t xml:space="preserve">12. </w:t>
      </w:r>
      <w:r w:rsidRPr="000D025D">
        <w:rPr>
          <w:rFonts w:ascii="Times New Roman" w:hAnsi="Times New Roman" w:cs="Times New Roman"/>
          <w:sz w:val="24"/>
          <w:szCs w:val="24"/>
          <w:u w:val="single"/>
        </w:rPr>
        <w:t>Estimated burden.</w:t>
      </w:r>
    </w:p>
    <w:p w:rsidR="00245AE2" w:rsidRPr="000D025D" w:rsidP="00470BE9" w14:paraId="14D5E901" w14:textId="519F70F4">
      <w:pPr>
        <w:pStyle w:val="PlainText"/>
        <w:ind w:firstLine="720"/>
        <w:rPr>
          <w:rFonts w:ascii="Times New Roman" w:eastAsia="MS Mincho" w:hAnsi="Times New Roman" w:cs="Times New Roman"/>
          <w:sz w:val="24"/>
          <w:szCs w:val="24"/>
        </w:rPr>
      </w:pPr>
      <w:r w:rsidRPr="000D025D">
        <w:rPr>
          <w:rFonts w:ascii="Times New Roman" w:eastAsia="MS Mincho" w:hAnsi="Times New Roman" w:cs="Times New Roman"/>
          <w:sz w:val="24"/>
          <w:szCs w:val="24"/>
          <w:u w:val="single"/>
        </w:rPr>
        <w:t>Frequency</w:t>
      </w:r>
      <w:r w:rsidRPr="000D025D">
        <w:rPr>
          <w:rFonts w:ascii="Times New Roman" w:eastAsia="MS Mincho" w:hAnsi="Times New Roman" w:cs="Times New Roman"/>
          <w:sz w:val="24"/>
          <w:szCs w:val="24"/>
          <w:u w:val="single"/>
        </w:rPr>
        <w:t>:</w:t>
      </w:r>
      <w:r w:rsidRPr="000D025D">
        <w:rPr>
          <w:rFonts w:ascii="Times New Roman" w:eastAsia="MS Mincho" w:hAnsi="Times New Roman" w:cs="Times New Roman"/>
          <w:sz w:val="24"/>
          <w:szCs w:val="24"/>
        </w:rPr>
        <w:t xml:space="preserve">  As</w:t>
      </w:r>
      <w:r w:rsidRPr="000D025D">
        <w:rPr>
          <w:rFonts w:ascii="Times New Roman" w:eastAsia="MS Mincho" w:hAnsi="Times New Roman" w:cs="Times New Roman"/>
          <w:sz w:val="24"/>
          <w:szCs w:val="24"/>
        </w:rPr>
        <w:t xml:space="preserve"> required. </w:t>
      </w:r>
      <w:r>
        <w:br/>
      </w:r>
    </w:p>
    <w:p w:rsidR="00EA6BD7" w:rsidRPr="000D025D" w:rsidP="00470BE9" w14:paraId="178ACE43" w14:textId="026D5BDE">
      <w:pPr>
        <w:pStyle w:val="PlainText"/>
        <w:ind w:firstLine="720"/>
        <w:rPr>
          <w:rFonts w:ascii="Times New Roman" w:eastAsia="MS Mincho" w:hAnsi="Times New Roman" w:cs="Times New Roman"/>
          <w:sz w:val="24"/>
          <w:szCs w:val="24"/>
        </w:rPr>
      </w:pPr>
      <w:r w:rsidRPr="000D025D">
        <w:rPr>
          <w:rFonts w:ascii="Times New Roman" w:eastAsia="MS Mincho" w:hAnsi="Times New Roman" w:cs="Times New Roman"/>
          <w:sz w:val="24"/>
          <w:szCs w:val="24"/>
          <w:u w:val="single"/>
        </w:rPr>
        <w:t>Estimated Number of Respondents</w:t>
      </w:r>
      <w:r w:rsidRPr="000D025D">
        <w:rPr>
          <w:rFonts w:ascii="Times New Roman" w:eastAsia="MS Mincho" w:hAnsi="Times New Roman" w:cs="Times New Roman"/>
          <w:sz w:val="24"/>
          <w:szCs w:val="24"/>
          <w:u w:val="single"/>
        </w:rPr>
        <w:t>:</w:t>
      </w:r>
      <w:r w:rsidRPr="000D025D">
        <w:rPr>
          <w:rFonts w:ascii="Times New Roman" w:eastAsia="MS Mincho" w:hAnsi="Times New Roman" w:cs="Times New Roman"/>
          <w:sz w:val="24"/>
          <w:szCs w:val="24"/>
        </w:rPr>
        <w:t xml:space="preserve">  50</w:t>
      </w:r>
      <w:r w:rsidRPr="000D025D">
        <w:rPr>
          <w:rFonts w:ascii="Times New Roman" w:eastAsia="MS Mincho" w:hAnsi="Times New Roman" w:cs="Times New Roman"/>
          <w:sz w:val="24"/>
          <w:szCs w:val="24"/>
        </w:rPr>
        <w:t xml:space="preserve"> </w:t>
      </w:r>
      <w:r w:rsidRPr="000D025D" w:rsidR="00751358">
        <w:rPr>
          <w:rFonts w:ascii="Times New Roman" w:eastAsia="MS Mincho" w:hAnsi="Times New Roman" w:cs="Times New Roman"/>
          <w:sz w:val="24"/>
          <w:szCs w:val="24"/>
        </w:rPr>
        <w:t>PPSIs.</w:t>
      </w:r>
      <w:r>
        <w:rPr>
          <w:rStyle w:val="FootnoteReference"/>
          <w:rFonts w:ascii="Times New Roman" w:eastAsia="MS Mincho" w:hAnsi="Times New Roman" w:cs="Times New Roman"/>
          <w:sz w:val="24"/>
          <w:szCs w:val="24"/>
        </w:rPr>
        <w:footnoteReference w:id="12"/>
      </w:r>
      <w:r w:rsidRPr="00245AE2" w:rsidR="00245AE2">
        <w:t xml:space="preserve"> </w:t>
      </w:r>
      <w:r w:rsidR="00245AE2">
        <w:br/>
      </w:r>
    </w:p>
    <w:p w:rsidR="00B11148" w:rsidP="00B11148" w14:paraId="5BB3EC3A" w14:textId="49C38F0F">
      <w:pPr>
        <w:spacing w:line="240" w:lineRule="auto"/>
        <w:ind w:firstLine="720"/>
        <w:rPr>
          <w:rFonts w:ascii="Times New Roman" w:eastAsia="MS Mincho" w:hAnsi="Times New Roman" w:cs="Times New Roman"/>
          <w:sz w:val="24"/>
          <w:szCs w:val="24"/>
        </w:rPr>
      </w:pPr>
      <w:r w:rsidRPr="000D025D">
        <w:rPr>
          <w:rFonts w:ascii="Times New Roman" w:eastAsia="MS Mincho" w:hAnsi="Times New Roman" w:cs="Times New Roman"/>
          <w:sz w:val="24"/>
          <w:szCs w:val="24"/>
          <w:u w:val="single"/>
        </w:rPr>
        <w:t>Estimated Total Annual Burden Hours</w:t>
      </w:r>
      <w:r w:rsidRPr="000D025D">
        <w:rPr>
          <w:rFonts w:ascii="Times New Roman" w:eastAsia="MS Mincho" w:hAnsi="Times New Roman" w:cs="Times New Roman"/>
          <w:sz w:val="24"/>
          <w:szCs w:val="24"/>
          <w:u w:val="single"/>
        </w:rPr>
        <w:t>:</w:t>
      </w:r>
      <w:r w:rsidRPr="000D025D">
        <w:rPr>
          <w:rFonts w:ascii="Times New Roman" w:eastAsia="MS Mincho" w:hAnsi="Times New Roman" w:cs="Times New Roman"/>
          <w:sz w:val="24"/>
          <w:szCs w:val="24"/>
        </w:rPr>
        <w:t xml:space="preserve">  </w:t>
      </w:r>
      <w:r w:rsidR="00AC2205">
        <w:rPr>
          <w:rFonts w:ascii="Times New Roman" w:eastAsia="MS Mincho" w:hAnsi="Times New Roman" w:cs="Times New Roman"/>
          <w:sz w:val="24"/>
          <w:szCs w:val="24"/>
        </w:rPr>
        <w:t>13,178</w:t>
      </w:r>
      <w:r w:rsidRPr="000D025D" w:rsidR="00751358">
        <w:rPr>
          <w:rFonts w:ascii="Times New Roman" w:eastAsia="MS Mincho" w:hAnsi="Times New Roman" w:cs="Times New Roman"/>
          <w:sz w:val="24"/>
          <w:szCs w:val="24"/>
        </w:rPr>
        <w:t xml:space="preserve"> hours</w:t>
      </w:r>
      <w:r w:rsidRPr="000D025D">
        <w:rPr>
          <w:rFonts w:ascii="Times New Roman" w:eastAsia="MS Mincho" w:hAnsi="Times New Roman" w:cs="Times New Roman"/>
          <w:sz w:val="24"/>
          <w:szCs w:val="24"/>
        </w:rPr>
        <w:t>.</w:t>
      </w:r>
      <w:r>
        <w:rPr>
          <w:rStyle w:val="FootnoteReference"/>
          <w:rFonts w:ascii="Times New Roman" w:eastAsia="MS Mincho" w:hAnsi="Times New Roman" w:cs="Times New Roman"/>
          <w:sz w:val="24"/>
          <w:szCs w:val="24"/>
        </w:rPr>
        <w:footnoteReference w:id="13"/>
      </w:r>
      <w:r w:rsidRPr="000D025D" w:rsidR="00840E85">
        <w:rPr>
          <w:rFonts w:ascii="Times New Roman" w:eastAsia="MS Mincho" w:hAnsi="Times New Roman" w:cs="Times New Roman"/>
          <w:sz w:val="24"/>
          <w:szCs w:val="24"/>
        </w:rPr>
        <w:t xml:space="preserve"> </w:t>
      </w:r>
    </w:p>
    <w:tbl>
      <w:tblPr>
        <w:tblW w:w="0" w:type="auto"/>
        <w:tblLayout w:type="fixed"/>
        <w:tblLook w:val="04A0"/>
      </w:tblPr>
      <w:tblGrid>
        <w:gridCol w:w="3240"/>
        <w:gridCol w:w="1530"/>
        <w:gridCol w:w="1350"/>
        <w:gridCol w:w="1440"/>
        <w:gridCol w:w="1800"/>
      </w:tblGrid>
      <w:tr w14:paraId="7B2F3A99" w14:textId="77777777" w:rsidTr="009C5868">
        <w:tblPrEx>
          <w:tblW w:w="0" w:type="auto"/>
          <w:tblLayout w:type="fixed"/>
          <w:tblLook w:val="04A0"/>
        </w:tblPrEx>
        <w:trPr>
          <w:trHeight w:val="270"/>
        </w:trPr>
        <w:tc>
          <w:tcPr>
            <w:tcW w:w="9360" w:type="dxa"/>
            <w:gridSpan w:val="5"/>
            <w:tcBorders>
              <w:bottom w:val="single" w:sz="4" w:space="0" w:color="auto"/>
            </w:tcBorders>
            <w:vAlign w:val="bottom"/>
          </w:tcPr>
          <w:p w:rsidR="00221D00" w:rsidRPr="00E57562" w:rsidP="009C5868" w14:paraId="4CABF051" w14:textId="77777777">
            <w:pPr>
              <w:spacing w:after="0" w:line="240" w:lineRule="auto"/>
              <w:rPr>
                <w:rFonts w:ascii="Times New Roman" w:eastAsia="Times New Roman" w:hAnsi="Times New Roman" w:cs="Times New Roman"/>
                <w:sz w:val="22"/>
                <w:szCs w:val="22"/>
                <w14:ligatures w14:val="none"/>
              </w:rPr>
            </w:pPr>
            <w:r w:rsidRPr="00EB60C5">
              <w:rPr>
                <w:rFonts w:ascii="Times New Roman" w:hAnsi="Times New Roman" w:cs="Times New Roman"/>
                <w:b/>
                <w:color w:val="000000" w:themeColor="text1"/>
                <w:sz w:val="22"/>
                <w:szCs w:val="22"/>
              </w:rPr>
              <w:t xml:space="preserve">Table 1. </w:t>
            </w:r>
            <w:r>
              <w:rPr>
                <w:rFonts w:ascii="Times New Roman" w:hAnsi="Times New Roman" w:cs="Times New Roman"/>
                <w:b/>
                <w:color w:val="000000" w:themeColor="text1"/>
                <w:sz w:val="22"/>
                <w:szCs w:val="22"/>
              </w:rPr>
              <w:t xml:space="preserve"> Summary of the PRA Burden and Costs, by Respondent Type</w:t>
            </w:r>
          </w:p>
        </w:tc>
      </w:tr>
      <w:tr w14:paraId="50F74F61" w14:textId="77777777" w:rsidTr="009C5868">
        <w:tblPrEx>
          <w:tblW w:w="0" w:type="auto"/>
          <w:tblLayout w:type="fixed"/>
          <w:tblLook w:val="04A0"/>
        </w:tblPrEx>
        <w:trPr>
          <w:trHeight w:val="900"/>
        </w:trPr>
        <w:tc>
          <w:tcPr>
            <w:tcW w:w="3240" w:type="dxa"/>
            <w:tcBorders>
              <w:top w:val="single" w:sz="4" w:space="0" w:color="auto"/>
              <w:left w:val="single" w:sz="8" w:space="0" w:color="auto"/>
              <w:bottom w:val="single" w:sz="4" w:space="0" w:color="auto"/>
              <w:right w:val="single" w:sz="4" w:space="0" w:color="auto"/>
            </w:tcBorders>
            <w:vAlign w:val="center"/>
            <w:hideMark/>
          </w:tcPr>
          <w:p w:rsidR="00221D00" w:rsidRPr="00E57562" w:rsidP="009C5868" w14:paraId="5DE8045A" w14:textId="7777777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Respondent Type</w:t>
            </w:r>
          </w:p>
        </w:tc>
        <w:tc>
          <w:tcPr>
            <w:tcW w:w="1530" w:type="dxa"/>
            <w:tcBorders>
              <w:top w:val="single" w:sz="4" w:space="0" w:color="auto"/>
              <w:left w:val="nil"/>
              <w:bottom w:val="single" w:sz="4" w:space="0" w:color="auto"/>
              <w:right w:val="single" w:sz="4" w:space="0" w:color="auto"/>
            </w:tcBorders>
            <w:vAlign w:val="center"/>
            <w:hideMark/>
          </w:tcPr>
          <w:p w:rsidR="00221D00" w:rsidRPr="00E57562" w:rsidP="009C5868" w14:paraId="28FBEBCE" w14:textId="7777777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 xml:space="preserve">Hours per </w:t>
            </w:r>
            <w:r w:rsidRPr="00E57562">
              <w:rPr>
                <w:rFonts w:ascii="Times New Roman" w:eastAsia="Times New Roman" w:hAnsi="Times New Roman" w:cs="Times New Roman"/>
                <w:sz w:val="22"/>
                <w:szCs w:val="22"/>
                <w14:ligatures w14:val="none"/>
              </w:rPr>
              <w:t>Respondent</w:t>
            </w:r>
            <w:r w:rsidRPr="00E135F6">
              <w:rPr>
                <w:rFonts w:ascii="Times New Roman" w:eastAsia="Times New Roman" w:hAnsi="Times New Roman" w:cs="Times New Roman"/>
                <w:sz w:val="22"/>
                <w:szCs w:val="22"/>
                <w:vertAlign w:val="superscript"/>
                <w14:ligatures w14:val="none"/>
              </w:rPr>
              <w:t>a</w:t>
            </w:r>
          </w:p>
        </w:tc>
        <w:tc>
          <w:tcPr>
            <w:tcW w:w="1350" w:type="dxa"/>
            <w:tcBorders>
              <w:top w:val="single" w:sz="4" w:space="0" w:color="auto"/>
              <w:left w:val="nil"/>
              <w:bottom w:val="single" w:sz="4" w:space="0" w:color="auto"/>
              <w:right w:val="single" w:sz="4" w:space="0" w:color="auto"/>
            </w:tcBorders>
            <w:vAlign w:val="center"/>
            <w:hideMark/>
          </w:tcPr>
          <w:p w:rsidR="00221D00" w:rsidRPr="00E57562" w:rsidP="009C5868" w14:paraId="63920205" w14:textId="7777777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Number of Respondents</w:t>
            </w:r>
          </w:p>
        </w:tc>
        <w:tc>
          <w:tcPr>
            <w:tcW w:w="1440" w:type="dxa"/>
            <w:tcBorders>
              <w:top w:val="single" w:sz="4" w:space="0" w:color="auto"/>
              <w:left w:val="nil"/>
              <w:bottom w:val="single" w:sz="4" w:space="0" w:color="auto"/>
              <w:right w:val="single" w:sz="4" w:space="0" w:color="auto"/>
            </w:tcBorders>
            <w:vAlign w:val="center"/>
            <w:hideMark/>
          </w:tcPr>
          <w:p w:rsidR="00221D00" w:rsidRPr="00E57562" w:rsidP="009C5868" w14:paraId="73645EE4" w14:textId="7777777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Total Burden Hours</w:t>
            </w:r>
          </w:p>
        </w:tc>
        <w:tc>
          <w:tcPr>
            <w:tcW w:w="1800" w:type="dxa"/>
            <w:tcBorders>
              <w:top w:val="single" w:sz="4" w:space="0" w:color="auto"/>
              <w:left w:val="nil"/>
              <w:bottom w:val="single" w:sz="4" w:space="0" w:color="auto"/>
              <w:right w:val="single" w:sz="8" w:space="0" w:color="auto"/>
            </w:tcBorders>
            <w:vAlign w:val="center"/>
            <w:hideMark/>
          </w:tcPr>
          <w:p w:rsidR="00221D00" w:rsidRPr="00E57562" w:rsidP="009C5868" w14:paraId="6C99524D" w14:textId="7777777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 xml:space="preserve">Total Costs by Respondent </w:t>
            </w:r>
            <w:r w:rsidRPr="00E57562">
              <w:rPr>
                <w:rFonts w:ascii="Times New Roman" w:eastAsia="Times New Roman" w:hAnsi="Times New Roman" w:cs="Times New Roman"/>
                <w:sz w:val="22"/>
                <w:szCs w:val="22"/>
                <w14:ligatures w14:val="none"/>
              </w:rPr>
              <w:t>Type</w:t>
            </w:r>
            <w:r w:rsidRPr="00C8789A">
              <w:rPr>
                <w:rFonts w:ascii="Times New Roman" w:eastAsia="Times New Roman" w:hAnsi="Times New Roman" w:cs="Times New Roman"/>
                <w:sz w:val="22"/>
                <w:szCs w:val="22"/>
                <w:vertAlign w:val="superscript"/>
                <w14:ligatures w14:val="none"/>
              </w:rPr>
              <w:t>b</w:t>
            </w:r>
          </w:p>
        </w:tc>
      </w:tr>
      <w:tr w14:paraId="22F609BD" w14:textId="77777777" w:rsidTr="009C5868">
        <w:tblPrEx>
          <w:tblW w:w="0" w:type="auto"/>
          <w:tblLayout w:type="fixed"/>
          <w:tblLook w:val="04A0"/>
        </w:tblPrEx>
        <w:trPr>
          <w:trHeight w:val="465"/>
        </w:trPr>
        <w:tc>
          <w:tcPr>
            <w:tcW w:w="3240" w:type="dxa"/>
            <w:tcBorders>
              <w:top w:val="nil"/>
              <w:left w:val="single" w:sz="8" w:space="0" w:color="auto"/>
              <w:bottom w:val="single" w:sz="4" w:space="0" w:color="auto"/>
              <w:right w:val="single" w:sz="4" w:space="0" w:color="auto"/>
            </w:tcBorders>
            <w:noWrap/>
            <w:hideMark/>
          </w:tcPr>
          <w:p w:rsidR="00221D00" w:rsidRPr="00E57562" w:rsidP="009C5868" w14:paraId="3AAD1C5F" w14:textId="77777777">
            <w:pPr>
              <w:spacing w:after="0" w:line="240" w:lineRule="auto"/>
              <w:rPr>
                <w:rFonts w:ascii="Times New Roman" w:eastAsia="Times New Roman" w:hAnsi="Times New Roman" w:cs="Times New Roman"/>
                <w:color w:val="000000"/>
                <w:sz w:val="22"/>
                <w:szCs w:val="22"/>
                <w14:ligatures w14:val="none"/>
              </w:rPr>
            </w:pPr>
            <w:r w:rsidRPr="00E57562">
              <w:rPr>
                <w:rFonts w:ascii="Times New Roman" w:eastAsia="Times New Roman" w:hAnsi="Times New Roman" w:cs="Times New Roman"/>
                <w:color w:val="000000"/>
                <w:sz w:val="22"/>
                <w:szCs w:val="22"/>
                <w14:ligatures w14:val="none"/>
              </w:rPr>
              <w:t>I</w:t>
            </w:r>
            <w:r w:rsidRPr="3661F5D1">
              <w:rPr>
                <w:rFonts w:ascii="Times New Roman" w:eastAsia="Times New Roman" w:hAnsi="Times New Roman" w:cs="Times New Roman"/>
                <w:color w:val="000000" w:themeColor="text1"/>
                <w:sz w:val="22"/>
                <w:szCs w:val="22"/>
              </w:rPr>
              <w:t>nsured Depository Institutions-</w:t>
            </w:r>
            <w:r>
              <w:rPr>
                <w:rFonts w:ascii="Times New Roman" w:eastAsia="Times New Roman" w:hAnsi="Times New Roman" w:cs="Times New Roman"/>
                <w:color w:val="000000"/>
                <w:sz w:val="22"/>
                <w:szCs w:val="22"/>
                <w14:ligatures w14:val="none"/>
              </w:rPr>
              <w:t>S</w:t>
            </w:r>
            <w:r w:rsidRPr="00E57562">
              <w:rPr>
                <w:rFonts w:ascii="Times New Roman" w:eastAsia="Times New Roman" w:hAnsi="Times New Roman" w:cs="Times New Roman"/>
                <w:color w:val="000000"/>
                <w:sz w:val="22"/>
                <w:szCs w:val="22"/>
                <w14:ligatures w14:val="none"/>
              </w:rPr>
              <w:t>ubsidiary PPSIs</w:t>
            </w:r>
          </w:p>
        </w:tc>
        <w:tc>
          <w:tcPr>
            <w:tcW w:w="1530" w:type="dxa"/>
            <w:tcBorders>
              <w:top w:val="nil"/>
              <w:left w:val="nil"/>
              <w:bottom w:val="single" w:sz="4" w:space="0" w:color="auto"/>
              <w:right w:val="single" w:sz="4" w:space="0" w:color="auto"/>
            </w:tcBorders>
            <w:noWrap/>
            <w:hideMark/>
          </w:tcPr>
          <w:p w:rsidR="00221D00" w:rsidRPr="00E57562" w:rsidP="009C5868" w14:paraId="1E264414"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175</w:t>
            </w:r>
          </w:p>
        </w:tc>
        <w:tc>
          <w:tcPr>
            <w:tcW w:w="1350" w:type="dxa"/>
            <w:tcBorders>
              <w:top w:val="nil"/>
              <w:left w:val="nil"/>
              <w:bottom w:val="single" w:sz="4" w:space="0" w:color="auto"/>
              <w:right w:val="single" w:sz="4" w:space="0" w:color="auto"/>
            </w:tcBorders>
            <w:noWrap/>
            <w:hideMark/>
          </w:tcPr>
          <w:p w:rsidR="00221D00" w:rsidRPr="00E57562" w:rsidP="009C5868" w14:paraId="3D0E6565"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30</w:t>
            </w:r>
          </w:p>
        </w:tc>
        <w:tc>
          <w:tcPr>
            <w:tcW w:w="1440" w:type="dxa"/>
            <w:tcBorders>
              <w:top w:val="nil"/>
              <w:left w:val="nil"/>
              <w:bottom w:val="single" w:sz="4" w:space="0" w:color="auto"/>
              <w:right w:val="single" w:sz="4" w:space="0" w:color="auto"/>
            </w:tcBorders>
            <w:noWrap/>
            <w:hideMark/>
          </w:tcPr>
          <w:p w:rsidR="00221D00" w:rsidRPr="00E57562" w:rsidP="009C5868" w14:paraId="6C549B05"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5,255</w:t>
            </w:r>
          </w:p>
        </w:tc>
        <w:tc>
          <w:tcPr>
            <w:tcW w:w="1800" w:type="dxa"/>
            <w:tcBorders>
              <w:top w:val="nil"/>
              <w:left w:val="nil"/>
              <w:bottom w:val="single" w:sz="4" w:space="0" w:color="auto"/>
              <w:right w:val="single" w:sz="8" w:space="0" w:color="auto"/>
            </w:tcBorders>
            <w:noWrap/>
            <w:hideMark/>
          </w:tcPr>
          <w:p w:rsidR="00221D00" w:rsidRPr="00E57562" w:rsidP="009C5868" w14:paraId="04CC0C07"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$659,618</w:t>
            </w:r>
          </w:p>
        </w:tc>
      </w:tr>
      <w:tr w14:paraId="47748EEB" w14:textId="77777777" w:rsidTr="009C5868">
        <w:tblPrEx>
          <w:tblW w:w="0" w:type="auto"/>
          <w:tblLayout w:type="fixed"/>
          <w:tblLook w:val="04A0"/>
        </w:tblPrEx>
        <w:trPr>
          <w:trHeight w:val="315"/>
        </w:trPr>
        <w:tc>
          <w:tcPr>
            <w:tcW w:w="3240" w:type="dxa"/>
            <w:tcBorders>
              <w:top w:val="nil"/>
              <w:left w:val="single" w:sz="8" w:space="0" w:color="auto"/>
              <w:bottom w:val="single" w:sz="4" w:space="0" w:color="auto"/>
              <w:right w:val="single" w:sz="4" w:space="0" w:color="auto"/>
            </w:tcBorders>
            <w:noWrap/>
            <w:hideMark/>
          </w:tcPr>
          <w:p w:rsidR="00221D00" w:rsidRPr="00E57562" w:rsidP="009C5868" w14:paraId="53E05D0B" w14:textId="77777777">
            <w:pPr>
              <w:spacing w:after="0" w:line="240" w:lineRule="auto"/>
              <w:rPr>
                <w:rFonts w:ascii="Times New Roman" w:eastAsia="Times New Roman" w:hAnsi="Times New Roman" w:cs="Times New Roman"/>
                <w:color w:val="000000"/>
                <w:sz w:val="22"/>
                <w:szCs w:val="22"/>
                <w14:ligatures w14:val="none"/>
              </w:rPr>
            </w:pPr>
            <w:r w:rsidRPr="00E57562">
              <w:rPr>
                <w:rFonts w:ascii="Times New Roman" w:eastAsia="Times New Roman" w:hAnsi="Times New Roman" w:cs="Times New Roman"/>
                <w:color w:val="000000"/>
                <w:sz w:val="22"/>
                <w:szCs w:val="22"/>
                <w14:ligatures w14:val="none"/>
              </w:rPr>
              <w:t>Other PPSIs</w:t>
            </w:r>
          </w:p>
        </w:tc>
        <w:tc>
          <w:tcPr>
            <w:tcW w:w="1530" w:type="dxa"/>
            <w:tcBorders>
              <w:top w:val="nil"/>
              <w:left w:val="nil"/>
              <w:bottom w:val="single" w:sz="4" w:space="0" w:color="auto"/>
              <w:right w:val="single" w:sz="4" w:space="0" w:color="auto"/>
            </w:tcBorders>
            <w:noWrap/>
            <w:hideMark/>
          </w:tcPr>
          <w:p w:rsidR="00221D00" w:rsidRPr="00E57562" w:rsidP="009C5868" w14:paraId="615E507A"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396</w:t>
            </w:r>
          </w:p>
        </w:tc>
        <w:tc>
          <w:tcPr>
            <w:tcW w:w="1350" w:type="dxa"/>
            <w:tcBorders>
              <w:top w:val="nil"/>
              <w:left w:val="nil"/>
              <w:bottom w:val="single" w:sz="4" w:space="0" w:color="auto"/>
              <w:right w:val="single" w:sz="4" w:space="0" w:color="auto"/>
            </w:tcBorders>
            <w:noWrap/>
            <w:hideMark/>
          </w:tcPr>
          <w:p w:rsidR="00221D00" w:rsidRPr="00E57562" w:rsidP="009C5868" w14:paraId="7A423E38"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20</w:t>
            </w:r>
          </w:p>
        </w:tc>
        <w:tc>
          <w:tcPr>
            <w:tcW w:w="1440" w:type="dxa"/>
            <w:tcBorders>
              <w:top w:val="nil"/>
              <w:left w:val="nil"/>
              <w:bottom w:val="single" w:sz="4" w:space="0" w:color="auto"/>
              <w:right w:val="single" w:sz="4" w:space="0" w:color="auto"/>
            </w:tcBorders>
            <w:noWrap/>
            <w:hideMark/>
          </w:tcPr>
          <w:p w:rsidR="00221D00" w:rsidRPr="00E57562" w:rsidP="009C5868" w14:paraId="5A59EBBE"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7,923</w:t>
            </w:r>
          </w:p>
        </w:tc>
        <w:tc>
          <w:tcPr>
            <w:tcW w:w="1800" w:type="dxa"/>
            <w:tcBorders>
              <w:top w:val="nil"/>
              <w:left w:val="nil"/>
              <w:bottom w:val="single" w:sz="4" w:space="0" w:color="auto"/>
              <w:right w:val="single" w:sz="8" w:space="0" w:color="auto"/>
            </w:tcBorders>
            <w:noWrap/>
            <w:hideMark/>
          </w:tcPr>
          <w:p w:rsidR="00221D00" w:rsidRPr="00E57562" w:rsidP="009C5868" w14:paraId="46B5CC89" w14:textId="77777777">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$990,389</w:t>
            </w:r>
          </w:p>
        </w:tc>
      </w:tr>
      <w:tr w14:paraId="6E07703B" w14:textId="77777777" w:rsidTr="009C5868">
        <w:tblPrEx>
          <w:tblW w:w="0" w:type="auto"/>
          <w:tblLayout w:type="fixed"/>
          <w:tblLook w:val="04A0"/>
        </w:tblPrEx>
        <w:trPr>
          <w:trHeight w:val="315"/>
        </w:trPr>
        <w:tc>
          <w:tcPr>
            <w:tcW w:w="3240" w:type="dxa"/>
            <w:tcBorders>
              <w:top w:val="nil"/>
              <w:left w:val="single" w:sz="8" w:space="0" w:color="auto"/>
              <w:bottom w:val="single" w:sz="4" w:space="0" w:color="auto"/>
              <w:right w:val="single" w:sz="4" w:space="0" w:color="auto"/>
            </w:tcBorders>
            <w:noWrap/>
          </w:tcPr>
          <w:p w:rsidR="00221D00" w:rsidRPr="00E135F6" w:rsidP="009C5868" w14:paraId="5D9B9D78" w14:textId="77777777">
            <w:pPr>
              <w:spacing w:after="0" w:line="240" w:lineRule="auto"/>
              <w:rPr>
                <w:rFonts w:ascii="Times New Roman" w:eastAsia="Times New Roman" w:hAnsi="Times New Roman" w:cs="Times New Roman"/>
                <w:b/>
                <w:bCs/>
                <w:color w:val="000000"/>
                <w:sz w:val="22"/>
                <w:szCs w:val="22"/>
                <w14:ligatures w14:val="none"/>
              </w:rPr>
            </w:pPr>
            <w:r w:rsidRPr="00E135F6">
              <w:rPr>
                <w:rFonts w:ascii="Times New Roman" w:eastAsia="Times New Roman" w:hAnsi="Times New Roman" w:cs="Times New Roman"/>
                <w:b/>
                <w:bCs/>
                <w:color w:val="000000"/>
                <w:sz w:val="22"/>
                <w:szCs w:val="22"/>
                <w14:ligatures w14:val="none"/>
              </w:rPr>
              <w:t>Total</w:t>
            </w:r>
          </w:p>
        </w:tc>
        <w:tc>
          <w:tcPr>
            <w:tcW w:w="1530" w:type="dxa"/>
            <w:tcBorders>
              <w:top w:val="nil"/>
              <w:left w:val="nil"/>
              <w:bottom w:val="single" w:sz="4" w:space="0" w:color="auto"/>
              <w:right w:val="single" w:sz="4" w:space="0" w:color="auto"/>
            </w:tcBorders>
            <w:noWrap/>
          </w:tcPr>
          <w:p w:rsidR="00221D00" w:rsidRPr="00E135F6" w:rsidP="009C5868" w14:paraId="35F4E51A" w14:textId="77777777">
            <w:pPr>
              <w:spacing w:after="0" w:line="240" w:lineRule="auto"/>
              <w:jc w:val="right"/>
              <w:rPr>
                <w:rFonts w:ascii="Times New Roman" w:eastAsia="Times New Roman" w:hAnsi="Times New Roman" w:cs="Times New Roman"/>
                <w:b/>
                <w:bCs/>
                <w:color w:val="000000"/>
                <w:sz w:val="22"/>
                <w:szCs w:val="22"/>
                <w14:ligatures w14:val="none"/>
              </w:rPr>
            </w:pPr>
          </w:p>
        </w:tc>
        <w:tc>
          <w:tcPr>
            <w:tcW w:w="1350" w:type="dxa"/>
            <w:tcBorders>
              <w:top w:val="nil"/>
              <w:left w:val="nil"/>
              <w:bottom w:val="single" w:sz="4" w:space="0" w:color="auto"/>
              <w:right w:val="single" w:sz="4" w:space="0" w:color="auto"/>
            </w:tcBorders>
            <w:noWrap/>
          </w:tcPr>
          <w:p w:rsidR="00221D00" w:rsidRPr="00E135F6" w:rsidP="009C5868" w14:paraId="0F05EE7D" w14:textId="77777777">
            <w:pPr>
              <w:spacing w:after="0" w:line="240" w:lineRule="auto"/>
              <w:jc w:val="right"/>
              <w:rPr>
                <w:rFonts w:ascii="Times New Roman" w:eastAsia="Times New Roman" w:hAnsi="Times New Roman" w:cs="Times New Roman"/>
                <w:b/>
                <w:bCs/>
                <w:color w:val="000000"/>
                <w:sz w:val="22"/>
                <w:szCs w:val="22"/>
                <w14:ligatures w14:val="none"/>
              </w:rPr>
            </w:pPr>
            <w:r w:rsidRPr="00E135F6">
              <w:rPr>
                <w:rFonts w:ascii="Times New Roman" w:eastAsia="Times New Roman" w:hAnsi="Times New Roman" w:cs="Times New Roman"/>
                <w:b/>
                <w:bCs/>
                <w:color w:val="000000"/>
                <w:sz w:val="22"/>
                <w:szCs w:val="22"/>
                <w14:ligatures w14:val="none"/>
              </w:rPr>
              <w:t>50</w:t>
            </w:r>
          </w:p>
        </w:tc>
        <w:tc>
          <w:tcPr>
            <w:tcW w:w="1440" w:type="dxa"/>
            <w:tcBorders>
              <w:top w:val="nil"/>
              <w:left w:val="nil"/>
              <w:bottom w:val="single" w:sz="4" w:space="0" w:color="auto"/>
              <w:right w:val="single" w:sz="4" w:space="0" w:color="auto"/>
            </w:tcBorders>
            <w:noWrap/>
          </w:tcPr>
          <w:p w:rsidR="00221D00" w:rsidRPr="00E135F6" w:rsidP="009C5868" w14:paraId="719AF54B" w14:textId="77777777">
            <w:pPr>
              <w:spacing w:after="0" w:line="240" w:lineRule="auto"/>
              <w:jc w:val="right"/>
              <w:rPr>
                <w:rFonts w:ascii="Times New Roman" w:eastAsia="Times New Roman" w:hAnsi="Times New Roman" w:cs="Times New Roman"/>
                <w:b/>
                <w:bCs/>
                <w:color w:val="000000"/>
                <w:sz w:val="22"/>
                <w:szCs w:val="22"/>
                <w14:ligatures w14:val="none"/>
              </w:rPr>
            </w:pPr>
            <w:r>
              <w:rPr>
                <w:rFonts w:ascii="Times New Roman" w:eastAsia="Times New Roman" w:hAnsi="Times New Roman" w:cs="Times New Roman"/>
                <w:b/>
                <w:bCs/>
                <w:color w:val="000000"/>
                <w:sz w:val="22"/>
                <w:szCs w:val="22"/>
                <w14:ligatures w14:val="none"/>
              </w:rPr>
              <w:t>13,178</w:t>
            </w:r>
          </w:p>
        </w:tc>
        <w:tc>
          <w:tcPr>
            <w:tcW w:w="1800" w:type="dxa"/>
            <w:tcBorders>
              <w:top w:val="nil"/>
              <w:left w:val="nil"/>
              <w:bottom w:val="single" w:sz="4" w:space="0" w:color="auto"/>
              <w:right w:val="single" w:sz="8" w:space="0" w:color="auto"/>
            </w:tcBorders>
            <w:noWrap/>
          </w:tcPr>
          <w:p w:rsidR="00221D00" w:rsidRPr="00E135F6" w:rsidP="009C5868" w14:paraId="60C12DD0" w14:textId="77777777">
            <w:pPr>
              <w:spacing w:after="0" w:line="240" w:lineRule="auto"/>
              <w:jc w:val="right"/>
              <w:rPr>
                <w:rFonts w:ascii="Times New Roman" w:eastAsia="Times New Roman" w:hAnsi="Times New Roman" w:cs="Times New Roman"/>
                <w:b/>
                <w:bCs/>
                <w:color w:val="000000"/>
                <w:sz w:val="22"/>
                <w:szCs w:val="22"/>
                <w14:ligatures w14:val="none"/>
              </w:rPr>
            </w:pPr>
            <w:r w:rsidRPr="00E135F6">
              <w:rPr>
                <w:rFonts w:ascii="Times New Roman" w:eastAsia="Times New Roman" w:hAnsi="Times New Roman" w:cs="Times New Roman"/>
                <w:b/>
                <w:bCs/>
                <w:color w:val="000000"/>
                <w:sz w:val="22"/>
                <w:szCs w:val="22"/>
                <w14:ligatures w14:val="none"/>
              </w:rPr>
              <w:t>$</w:t>
            </w:r>
            <w:r>
              <w:rPr>
                <w:rFonts w:ascii="Times New Roman" w:eastAsia="Times New Roman" w:hAnsi="Times New Roman" w:cs="Times New Roman"/>
                <w:b/>
                <w:bCs/>
                <w:color w:val="000000"/>
                <w:sz w:val="22"/>
                <w:szCs w:val="22"/>
                <w14:ligatures w14:val="none"/>
              </w:rPr>
              <w:t>1,650,007</w:t>
            </w:r>
          </w:p>
        </w:tc>
      </w:tr>
      <w:tr w14:paraId="71EA1BDE" w14:textId="77777777" w:rsidTr="009C5868">
        <w:tblPrEx>
          <w:tblW w:w="0" w:type="auto"/>
          <w:tblLayout w:type="fixed"/>
          <w:tblLook w:val="04A0"/>
        </w:tblPrEx>
        <w:trPr>
          <w:trHeight w:val="998"/>
        </w:trPr>
        <w:tc>
          <w:tcPr>
            <w:tcW w:w="9360" w:type="dxa"/>
            <w:gridSpan w:val="5"/>
            <w:tcBorders>
              <w:top w:val="single" w:sz="4" w:space="0" w:color="auto"/>
            </w:tcBorders>
            <w:noWrap/>
          </w:tcPr>
          <w:p w:rsidR="00221D00" w:rsidP="009C5868" w14:paraId="2E698850" w14:textId="77777777">
            <w:pPr>
              <w:spacing w:after="0" w:line="240" w:lineRule="auto"/>
              <w:rPr>
                <w:rFonts w:ascii="Times New Roman" w:hAnsi="Times New Roman" w:cs="Times New Roman"/>
                <w:sz w:val="20"/>
                <w:szCs w:val="20"/>
              </w:rPr>
            </w:pPr>
            <w:r w:rsidRPr="00E135F6">
              <w:rPr>
                <w:rFonts w:ascii="Times New Roman" w:hAnsi="Times New Roman" w:cs="Times New Roman"/>
                <w:sz w:val="20"/>
                <w:szCs w:val="20"/>
                <w:vertAlign w:val="superscript"/>
              </w:rPr>
              <w:t>a</w:t>
            </w:r>
            <w:r>
              <w:rPr>
                <w:rFonts w:ascii="Times New Roman" w:hAnsi="Times New Roman" w:cs="Times New Roman"/>
              </w:rPr>
              <w:t xml:space="preserve"> </w:t>
            </w:r>
            <w:r w:rsidRPr="00E135F6">
              <w:rPr>
                <w:rFonts w:ascii="Times New Roman" w:hAnsi="Times New Roman" w:cs="Times New Roman"/>
                <w:sz w:val="20"/>
                <w:szCs w:val="20"/>
              </w:rPr>
              <w:t xml:space="preserve">Hourly burden figures presented </w:t>
            </w:r>
            <w:r>
              <w:rPr>
                <w:rFonts w:ascii="Times New Roman" w:hAnsi="Times New Roman" w:cs="Times New Roman"/>
                <w:sz w:val="20"/>
                <w:szCs w:val="20"/>
              </w:rPr>
              <w:t>here</w:t>
            </w:r>
            <w:r w:rsidRPr="00E135F6">
              <w:rPr>
                <w:rFonts w:ascii="Times New Roman" w:hAnsi="Times New Roman" w:cs="Times New Roman"/>
                <w:sz w:val="20"/>
                <w:szCs w:val="20"/>
              </w:rPr>
              <w:t xml:space="preserve"> are rounded to the nearest </w:t>
            </w:r>
            <w:r w:rsidRPr="00E135F6">
              <w:rPr>
                <w:rFonts w:ascii="Times New Roman" w:hAnsi="Times New Roman" w:cs="Times New Roman"/>
                <w:sz w:val="20"/>
                <w:szCs w:val="20"/>
              </w:rPr>
              <w:t>hundredth</w:t>
            </w:r>
            <w:r w:rsidRPr="00E135F6">
              <w:rPr>
                <w:rFonts w:ascii="Times New Roman" w:hAnsi="Times New Roman" w:cs="Times New Roman"/>
                <w:sz w:val="20"/>
                <w:szCs w:val="20"/>
              </w:rPr>
              <w:t xml:space="preserve"> of an hour for presentation purposes.  Total burden figures are produced using unrounded figures for accuracy.</w:t>
            </w:r>
          </w:p>
          <w:p w:rsidR="00221D00" w:rsidRPr="00E57562" w:rsidP="009C5868" w14:paraId="219F28BA" w14:textId="77777777">
            <w:pPr>
              <w:spacing w:after="0" w:line="240" w:lineRule="auto"/>
              <w:rPr>
                <w:rFonts w:ascii="Times New Roman" w:eastAsia="Times New Roman" w:hAnsi="Times New Roman" w:cs="Times New Roman"/>
                <w:color w:val="000000"/>
                <w:sz w:val="22"/>
                <w:szCs w:val="22"/>
                <w14:ligatures w14:val="none"/>
              </w:rPr>
            </w:pPr>
            <w:r w:rsidRPr="00C8789A">
              <w:rPr>
                <w:rFonts w:ascii="Times New Roman" w:hAnsi="Times New Roman" w:cs="Times New Roman"/>
                <w:sz w:val="20"/>
                <w:szCs w:val="20"/>
                <w:vertAlign w:val="superscript"/>
              </w:rPr>
              <w:t>b</w:t>
            </w:r>
            <w:r>
              <w:rPr>
                <w:rFonts w:ascii="Times New Roman" w:hAnsi="Times New Roman" w:cs="Times New Roman"/>
                <w:sz w:val="20"/>
                <w:szCs w:val="20"/>
              </w:rPr>
              <w:t xml:space="preserve"> Total costs include (1) labor costs associated with the burden hours presented and (2) non-labor costs for recordkeeping of $165 per respondent associated with storage and technology.</w:t>
            </w:r>
          </w:p>
        </w:tc>
      </w:tr>
    </w:tbl>
    <w:p w:rsidR="00221D00" w:rsidP="00221D00" w14:paraId="407C7CDE" w14:textId="77777777">
      <w:pPr>
        <w:spacing w:line="240" w:lineRule="auto"/>
        <w:rPr>
          <w:rFonts w:ascii="Times New Roman" w:eastAsia="MS Mincho" w:hAnsi="Times New Roman" w:cs="Times New Roman"/>
          <w:sz w:val="24"/>
          <w:szCs w:val="24"/>
        </w:rPr>
      </w:pPr>
    </w:p>
    <w:p w:rsidR="00221D00" w:rsidP="00221D00" w14:paraId="62BD16A3" w14:textId="77777777">
      <w:pPr>
        <w:spacing w:line="240" w:lineRule="auto"/>
        <w:rPr>
          <w:rFonts w:ascii="Times New Roman" w:eastAsia="MS Mincho" w:hAnsi="Times New Roman" w:cs="Times New Roman"/>
          <w:sz w:val="24"/>
          <w:szCs w:val="24"/>
        </w:rPr>
      </w:pPr>
    </w:p>
    <w:p w:rsidR="00221D00" w:rsidP="00221D00" w14:paraId="0DC9055F" w14:textId="77777777">
      <w:pPr>
        <w:spacing w:line="240" w:lineRule="auto"/>
        <w:rPr>
          <w:rFonts w:ascii="Times New Roman" w:eastAsia="MS Mincho" w:hAnsi="Times New Roman" w:cs="Times New Roman"/>
          <w:sz w:val="24"/>
          <w:szCs w:val="24"/>
        </w:rPr>
      </w:pPr>
    </w:p>
    <w:p w:rsidR="00240CCA" w:rsidRPr="00221D00" w:rsidP="00221D00" w14:paraId="6D2DEDD6" w14:textId="0B1A5F5C">
      <w:pPr>
        <w:spacing w:line="240" w:lineRule="auto"/>
        <w:rPr>
          <w:rFonts w:ascii="Times New Roman" w:eastAsia="MS Mincho" w:hAnsi="Times New Roman" w:cs="Times New Roman"/>
          <w:sz w:val="24"/>
          <w:szCs w:val="24"/>
        </w:rPr>
      </w:pPr>
      <w:r w:rsidRPr="00221D00">
        <w:rPr>
          <w:rFonts w:ascii="Times New Roman" w:eastAsia="MS Mincho" w:hAnsi="Times New Roman" w:cs="Times New Roman"/>
          <w:sz w:val="24"/>
          <w:szCs w:val="24"/>
        </w:rPr>
        <w:br w:type="page"/>
      </w:r>
      <w:r w:rsidRPr="00636D8D">
        <w:rPr>
          <w:rFonts w:ascii="Times New Roman" w:eastAsia="MS Mincho" w:hAnsi="Times New Roman" w:cs="Times New Roman"/>
          <w:sz w:val="24"/>
          <w:szCs w:val="24"/>
        </w:rPr>
        <w:t xml:space="preserve">13. </w:t>
      </w:r>
      <w:r w:rsidRPr="00636D8D">
        <w:rPr>
          <w:rFonts w:ascii="Times New Roman" w:eastAsia="MS Mincho" w:hAnsi="Times New Roman" w:cs="Times New Roman"/>
          <w:sz w:val="24"/>
          <w:szCs w:val="24"/>
          <w:u w:val="single"/>
        </w:rPr>
        <w:t>Estimated total annual cost burden.</w:t>
      </w:r>
    </w:p>
    <w:p w:rsidR="00716CB3" w:rsidP="00470BE9" w14:paraId="37ED23C9" w14:textId="1379B42C">
      <w:pPr>
        <w:pStyle w:val="PlainText"/>
        <w:ind w:firstLine="720"/>
        <w:rPr>
          <w:rFonts w:ascii="Times New Roman" w:hAnsi="Times New Roman" w:cs="Times New Roman"/>
          <w:sz w:val="24"/>
          <w:szCs w:val="24"/>
        </w:rPr>
      </w:pPr>
      <w:r w:rsidRPr="00636D8D">
        <w:rPr>
          <w:rFonts w:ascii="Times New Roman" w:hAnsi="Times New Roman" w:cs="Times New Roman"/>
          <w:sz w:val="24"/>
          <w:szCs w:val="24"/>
          <w:u w:val="single"/>
        </w:rPr>
        <w:t xml:space="preserve">Estimated Total Annual </w:t>
      </w:r>
      <w:r w:rsidRPr="00636D8D" w:rsidR="000B1E32">
        <w:rPr>
          <w:rFonts w:ascii="Times New Roman" w:hAnsi="Times New Roman" w:cs="Times New Roman"/>
          <w:sz w:val="24"/>
          <w:szCs w:val="24"/>
          <w:u w:val="single"/>
        </w:rPr>
        <w:t>Aggregate</w:t>
      </w:r>
      <w:r w:rsidRPr="00636D8D">
        <w:rPr>
          <w:rFonts w:ascii="Times New Roman" w:hAnsi="Times New Roman" w:cs="Times New Roman"/>
          <w:sz w:val="24"/>
          <w:szCs w:val="24"/>
          <w:u w:val="single"/>
        </w:rPr>
        <w:t xml:space="preserve"> Cost</w:t>
      </w:r>
      <w:r w:rsidRPr="00636D8D">
        <w:rPr>
          <w:rFonts w:ascii="Times New Roman" w:hAnsi="Times New Roman" w:cs="Times New Roman"/>
          <w:sz w:val="24"/>
          <w:szCs w:val="24"/>
          <w:u w:val="single"/>
        </w:rPr>
        <w:t>:</w:t>
      </w:r>
      <w:r w:rsidRPr="00636D8D">
        <w:rPr>
          <w:rFonts w:ascii="Times New Roman" w:hAnsi="Times New Roman" w:cs="Times New Roman"/>
          <w:sz w:val="24"/>
          <w:szCs w:val="24"/>
        </w:rPr>
        <w:t xml:space="preserve">  $</w:t>
      </w:r>
      <w:r w:rsidR="00AC2205">
        <w:rPr>
          <w:rFonts w:ascii="Times New Roman" w:hAnsi="Times New Roman" w:cs="Times New Roman"/>
          <w:sz w:val="24"/>
          <w:szCs w:val="24"/>
        </w:rPr>
        <w:t>1,650,007</w:t>
      </w:r>
      <w:r>
        <w:rPr>
          <w:rFonts w:ascii="Times New Roman" w:hAnsi="Times New Roman" w:cs="Times New Roman"/>
          <w:sz w:val="24"/>
          <w:szCs w:val="24"/>
        </w:rPr>
        <w:t>.</w:t>
      </w:r>
      <w:r>
        <w:br/>
      </w:r>
    </w:p>
    <w:p w:rsidR="00C564A0" w:rsidRPr="00636D8D" w:rsidP="009B4A48" w14:paraId="671007FE" w14:textId="2B6C3C52">
      <w:pPr>
        <w:pStyle w:val="PlainText"/>
        <w:ind w:firstLine="720"/>
        <w:rPr>
          <w:rFonts w:ascii="Times New Roman" w:eastAsia="Aptos" w:hAnsi="Times New Roman" w:cs="Times New Roman"/>
          <w:kern w:val="2"/>
          <w:sz w:val="24"/>
          <w:szCs w:val="24"/>
        </w:rPr>
      </w:pPr>
      <w:r>
        <w:rPr>
          <w:rFonts w:ascii="Times New Roman" w:hAnsi="Times New Roman" w:cs="Times New Roman"/>
          <w:sz w:val="24"/>
          <w:szCs w:val="24"/>
        </w:rPr>
        <w:t>This total annual aggregate cost includes a (1) total labor cost of $</w:t>
      </w:r>
      <w:r w:rsidR="00AC2205">
        <w:rPr>
          <w:rFonts w:ascii="Times New Roman" w:hAnsi="Times New Roman" w:cs="Times New Roman"/>
          <w:sz w:val="24"/>
          <w:szCs w:val="24"/>
        </w:rPr>
        <w:t>1,641,757</w:t>
      </w:r>
      <w:r w:rsidRPr="00636D8D" w:rsidR="00EE146C">
        <w:rPr>
          <w:rFonts w:ascii="Times New Roman" w:hAnsi="Times New Roman" w:cs="Times New Roman"/>
          <w:sz w:val="24"/>
          <w:szCs w:val="24"/>
        </w:rPr>
        <w:t xml:space="preserve"> (</w:t>
      </w:r>
      <w:r w:rsidR="00AC2205">
        <w:rPr>
          <w:rFonts w:ascii="Times New Roman" w:hAnsi="Times New Roman" w:cs="Times New Roman"/>
          <w:sz w:val="24"/>
          <w:szCs w:val="24"/>
        </w:rPr>
        <w:t>13,178</w:t>
      </w:r>
      <w:r w:rsidR="00470BE9">
        <w:t> </w:t>
      </w:r>
      <w:r w:rsidRPr="00636D8D" w:rsidR="00EE146C">
        <w:rPr>
          <w:rFonts w:ascii="Times New Roman" w:hAnsi="Times New Roman" w:cs="Times New Roman"/>
          <w:sz w:val="24"/>
          <w:szCs w:val="24"/>
        </w:rPr>
        <w:t>hours multiplied by $124.58</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w:t>
      </w:r>
      <w:r w:rsidRPr="00636D8D" w:rsidR="00E664C1">
        <w:rPr>
          <w:rFonts w:ascii="Times New Roman" w:hAnsi="Times New Roman" w:cs="Times New Roman"/>
          <w:sz w:val="24"/>
          <w:szCs w:val="24"/>
        </w:rPr>
        <w:t xml:space="preserve"> </w:t>
      </w:r>
      <w:r>
        <w:rPr>
          <w:rFonts w:ascii="Times New Roman" w:hAnsi="Times New Roman" w:cs="Times New Roman"/>
          <w:sz w:val="24"/>
          <w:szCs w:val="24"/>
        </w:rPr>
        <w:t>and (2) a total non-labor cost of $8,250 (</w:t>
      </w:r>
      <w:r w:rsidRPr="00636D8D" w:rsidR="00E664C1">
        <w:rPr>
          <w:rFonts w:ascii="Times New Roman" w:hAnsi="Times New Roman" w:cs="Times New Roman"/>
          <w:sz w:val="24"/>
          <w:szCs w:val="24"/>
        </w:rPr>
        <w:t xml:space="preserve">50 </w:t>
      </w:r>
      <w:r>
        <w:rPr>
          <w:rFonts w:ascii="Times New Roman" w:hAnsi="Times New Roman" w:cs="Times New Roman"/>
          <w:sz w:val="24"/>
          <w:szCs w:val="24"/>
        </w:rPr>
        <w:t>respondents</w:t>
      </w:r>
      <w:r w:rsidRPr="00636D8D" w:rsidR="00E664C1">
        <w:rPr>
          <w:rFonts w:ascii="Times New Roman" w:hAnsi="Times New Roman" w:cs="Times New Roman"/>
          <w:sz w:val="24"/>
          <w:szCs w:val="24"/>
        </w:rPr>
        <w:t xml:space="preserve"> multiplied by $165.00</w:t>
      </w:r>
      <w:r>
        <w:rPr>
          <w:rStyle w:val="FootnoteReference"/>
          <w:rFonts w:ascii="Times New Roman" w:hAnsi="Times New Roman" w:cs="Times New Roman"/>
          <w:sz w:val="24"/>
          <w:szCs w:val="24"/>
        </w:rPr>
        <w:footnoteReference w:id="15"/>
      </w:r>
      <w:r w:rsidRPr="00636D8D" w:rsidR="00EE146C">
        <w:rPr>
          <w:rFonts w:ascii="Times New Roman" w:hAnsi="Times New Roman" w:cs="Times New Roman"/>
          <w:sz w:val="24"/>
          <w:szCs w:val="24"/>
        </w:rPr>
        <w:t>).</w:t>
      </w:r>
      <w:r w:rsidRPr="00636D8D" w:rsidR="00C23255">
        <w:rPr>
          <w:rFonts w:ascii="Times New Roman" w:hAnsi="Times New Roman" w:cs="Times New Roman"/>
          <w:sz w:val="24"/>
          <w:szCs w:val="24"/>
        </w:rPr>
        <w:t xml:space="preserve"> </w:t>
      </w:r>
      <w:r w:rsidR="00245AE2">
        <w:br/>
      </w:r>
    </w:p>
    <w:p w:rsidR="00240CCA" w:rsidRPr="00636D8D" w:rsidP="00240CCA" w14:paraId="1D18EEF1" w14:textId="77777777">
      <w:pPr>
        <w:spacing w:after="240"/>
        <w:rPr>
          <w:rFonts w:ascii="Times New Roman" w:hAnsi="Times New Roman" w:cs="Times New Roman"/>
          <w:sz w:val="24"/>
          <w:szCs w:val="24"/>
          <w:u w:val="single"/>
        </w:rPr>
      </w:pPr>
      <w:r w:rsidRPr="00636D8D">
        <w:rPr>
          <w:rFonts w:ascii="Times New Roman" w:hAnsi="Times New Roman" w:cs="Times New Roman"/>
          <w:sz w:val="24"/>
          <w:szCs w:val="24"/>
        </w:rPr>
        <w:t xml:space="preserve">14. </w:t>
      </w:r>
      <w:r w:rsidRPr="00636D8D">
        <w:rPr>
          <w:rFonts w:ascii="Times New Roman" w:hAnsi="Times New Roman" w:cs="Times New Roman"/>
          <w:sz w:val="24"/>
          <w:szCs w:val="24"/>
          <w:u w:val="single"/>
        </w:rPr>
        <w:t>Estimated annual cost to the Federal government.</w:t>
      </w:r>
    </w:p>
    <w:p w:rsidR="00D37B88" w14:paraId="034FF4D4" w14:textId="6E53FE80">
      <w:pPr>
        <w:spacing w:after="0" w:line="240" w:lineRule="auto"/>
        <w:ind w:firstLine="720"/>
        <w:rPr>
          <w:rFonts w:ascii="Times New Roman" w:hAnsi="Times New Roman" w:cs="Times New Roman"/>
          <w:color w:val="0F4761" w:themeColor="accent1" w:themeShade="BF"/>
          <w:sz w:val="24"/>
          <w:szCs w:val="24"/>
        </w:rPr>
      </w:pPr>
      <w:r w:rsidRPr="00636D8D">
        <w:rPr>
          <w:rFonts w:ascii="Times New Roman" w:eastAsia="Times New Roman" w:hAnsi="Times New Roman" w:cs="Times New Roman"/>
          <w:color w:val="000000" w:themeColor="text1"/>
          <w:sz w:val="24"/>
          <w:szCs w:val="24"/>
        </w:rPr>
        <w:t xml:space="preserve">To implement the proposed rule, FinCEN </w:t>
      </w:r>
      <w:r w:rsidR="00470BE9">
        <w:rPr>
          <w:rFonts w:ascii="Times New Roman" w:eastAsia="Times New Roman" w:hAnsi="Times New Roman" w:cs="Times New Roman"/>
          <w:color w:val="000000" w:themeColor="text1"/>
          <w:sz w:val="24"/>
          <w:szCs w:val="24"/>
        </w:rPr>
        <w:t xml:space="preserve">expects to </w:t>
      </w:r>
      <w:r w:rsidRPr="00636D8D">
        <w:rPr>
          <w:rFonts w:ascii="Times New Roman" w:eastAsia="Times New Roman" w:hAnsi="Times New Roman" w:cs="Times New Roman"/>
          <w:color w:val="000000" w:themeColor="text1"/>
          <w:sz w:val="24"/>
          <w:szCs w:val="24"/>
        </w:rPr>
        <w:t>incur certain operating costs that would include approximately $1.3 million in the first effective year</w:t>
      </w:r>
      <w:r w:rsidR="00CB24B1">
        <w:rPr>
          <w:rFonts w:ascii="Times New Roman" w:eastAsia="Times New Roman" w:hAnsi="Times New Roman" w:cs="Times New Roman"/>
          <w:color w:val="000000" w:themeColor="text1"/>
          <w:sz w:val="24"/>
          <w:szCs w:val="24"/>
        </w:rPr>
        <w:t xml:space="preserve"> of</w:t>
      </w:r>
      <w:r w:rsidRPr="00636D8D">
        <w:rPr>
          <w:rFonts w:ascii="Times New Roman" w:eastAsia="Times New Roman" w:hAnsi="Times New Roman" w:cs="Times New Roman"/>
          <w:color w:val="000000" w:themeColor="text1"/>
          <w:sz w:val="24"/>
          <w:szCs w:val="24"/>
        </w:rPr>
        <w:t xml:space="preserve"> the</w:t>
      </w:r>
      <w:r w:rsidR="00CB24B1">
        <w:rPr>
          <w:rFonts w:ascii="Times New Roman" w:eastAsia="Times New Roman" w:hAnsi="Times New Roman" w:cs="Times New Roman"/>
          <w:color w:val="000000" w:themeColor="text1"/>
          <w:sz w:val="24"/>
          <w:szCs w:val="24"/>
        </w:rPr>
        <w:t xml:space="preserve"> final</w:t>
      </w:r>
      <w:r w:rsidRPr="00636D8D">
        <w:rPr>
          <w:rFonts w:ascii="Times New Roman" w:eastAsia="Times New Roman" w:hAnsi="Times New Roman" w:cs="Times New Roman"/>
          <w:color w:val="000000" w:themeColor="text1"/>
          <w:sz w:val="24"/>
          <w:szCs w:val="24"/>
        </w:rPr>
        <w:t xml:space="preserve"> rule and</w:t>
      </w:r>
      <w:r w:rsidRPr="00636D8D" w:rsidR="04D44FB3">
        <w:rPr>
          <w:rFonts w:ascii="Times New Roman" w:eastAsia="Times New Roman" w:hAnsi="Times New Roman" w:cs="Times New Roman"/>
          <w:color w:val="000000" w:themeColor="text1"/>
          <w:sz w:val="24"/>
          <w:szCs w:val="24"/>
        </w:rPr>
        <w:t xml:space="preserve"> </w:t>
      </w:r>
      <w:r w:rsidRPr="00636D8D" w:rsidR="00CB24B1">
        <w:rPr>
          <w:rFonts w:ascii="Times New Roman" w:eastAsia="Times New Roman" w:hAnsi="Times New Roman" w:cs="Times New Roman"/>
          <w:color w:val="000000" w:themeColor="text1"/>
          <w:sz w:val="24"/>
          <w:szCs w:val="24"/>
        </w:rPr>
        <w:t>approximately</w:t>
      </w:r>
      <w:r w:rsidRPr="00636D8D">
        <w:rPr>
          <w:rFonts w:ascii="Times New Roman" w:eastAsia="Times New Roman" w:hAnsi="Times New Roman" w:cs="Times New Roman"/>
          <w:color w:val="000000" w:themeColor="text1"/>
          <w:sz w:val="24"/>
          <w:szCs w:val="24"/>
        </w:rPr>
        <w:t xml:space="preserve"> $0.9 million </w:t>
      </w:r>
      <w:r w:rsidRPr="00636D8D" w:rsidR="5B5E32DC">
        <w:rPr>
          <w:rFonts w:ascii="Times New Roman" w:eastAsia="Times New Roman" w:hAnsi="Times New Roman" w:cs="Times New Roman"/>
          <w:color w:val="000000" w:themeColor="text1"/>
          <w:sz w:val="24"/>
          <w:szCs w:val="24"/>
        </w:rPr>
        <w:t>on average in each</w:t>
      </w:r>
      <w:r w:rsidRPr="00636D8D">
        <w:rPr>
          <w:rFonts w:ascii="Times New Roman" w:eastAsia="Times New Roman" w:hAnsi="Times New Roman" w:cs="Times New Roman"/>
          <w:color w:val="000000" w:themeColor="text1"/>
          <w:sz w:val="24"/>
          <w:szCs w:val="24"/>
        </w:rPr>
        <w:t xml:space="preserve"> subsequent year. </w:t>
      </w:r>
      <w:r w:rsidRPr="00636D8D" w:rsidR="00A3789A">
        <w:rPr>
          <w:rFonts w:ascii="Times New Roman" w:eastAsia="Times New Roman" w:hAnsi="Times New Roman" w:cs="Times New Roman"/>
          <w:color w:val="000000" w:themeColor="text1"/>
          <w:sz w:val="24"/>
          <w:szCs w:val="24"/>
        </w:rPr>
        <w:t xml:space="preserve"> </w:t>
      </w:r>
      <w:r w:rsidRPr="00636D8D">
        <w:rPr>
          <w:rFonts w:ascii="Times New Roman" w:eastAsia="Times New Roman" w:hAnsi="Times New Roman" w:cs="Times New Roman"/>
          <w:color w:val="000000" w:themeColor="text1"/>
          <w:sz w:val="24"/>
          <w:szCs w:val="24"/>
        </w:rPr>
        <w:t>These estimates include anticipated expenses related to rulemaking maintenance, stakeholder outreach and informational support, compliance monitoring, and potential enforcement activities as well as certain incremental increases to pre-existing administrative expenses.</w:t>
      </w:r>
      <w:r w:rsidRPr="00636D8D">
        <w:rPr>
          <w:rFonts w:ascii="Times New Roman" w:hAnsi="Times New Roman" w:cs="Times New Roman"/>
          <w:color w:val="0F4761" w:themeColor="accent1" w:themeShade="BF"/>
          <w:sz w:val="24"/>
          <w:szCs w:val="24"/>
        </w:rPr>
        <w:t xml:space="preserve"> </w:t>
      </w:r>
      <w:r w:rsidR="00245AE2">
        <w:br/>
      </w:r>
    </w:p>
    <w:p w:rsidR="00240CCA" w:rsidRPr="00221D00" w:rsidP="00221D00" w14:paraId="60935A6E" w14:textId="5A415147">
      <w:pPr>
        <w:spacing w:after="160" w:line="259" w:lineRule="auto"/>
        <w:rPr>
          <w:rFonts w:ascii="Times New Roman" w:hAnsi="Times New Roman" w:cs="Times New Roman"/>
          <w:color w:val="0F4761" w:themeColor="accent1" w:themeShade="BF"/>
          <w:sz w:val="24"/>
          <w:szCs w:val="24"/>
        </w:rPr>
      </w:pPr>
      <w:r w:rsidRPr="00636D8D">
        <w:rPr>
          <w:rFonts w:ascii="Times New Roman" w:hAnsi="Times New Roman" w:cs="Times New Roman"/>
          <w:sz w:val="24"/>
          <w:szCs w:val="24"/>
        </w:rPr>
        <w:t xml:space="preserve">15. </w:t>
      </w:r>
      <w:r w:rsidRPr="00636D8D">
        <w:rPr>
          <w:rFonts w:ascii="Times New Roman" w:hAnsi="Times New Roman" w:cs="Times New Roman"/>
          <w:sz w:val="24"/>
          <w:szCs w:val="24"/>
          <w:u w:val="single"/>
        </w:rPr>
        <w:t>Reason for change in burden.</w:t>
      </w:r>
      <w:r w:rsidRPr="00636D8D">
        <w:rPr>
          <w:rFonts w:ascii="Times New Roman" w:hAnsi="Times New Roman" w:cs="Times New Roman"/>
          <w:sz w:val="24"/>
          <w:szCs w:val="24"/>
        </w:rPr>
        <w:t xml:space="preserve"> </w:t>
      </w:r>
    </w:p>
    <w:p w:rsidR="00240CCA" w:rsidRPr="00636D8D" w:rsidP="00D37B88" w14:paraId="71887AE9" w14:textId="376DCB5B">
      <w:pPr>
        <w:spacing w:after="0" w:line="240" w:lineRule="auto"/>
        <w:ind w:firstLine="720"/>
        <w:rPr>
          <w:rFonts w:ascii="Times New Roman" w:hAnsi="Times New Roman" w:cs="Times New Roman"/>
          <w:sz w:val="24"/>
          <w:szCs w:val="24"/>
        </w:rPr>
      </w:pPr>
      <w:r w:rsidRPr="00636D8D">
        <w:rPr>
          <w:rFonts w:ascii="Times New Roman" w:hAnsi="Times New Roman" w:cs="Times New Roman"/>
          <w:sz w:val="24"/>
          <w:szCs w:val="24"/>
        </w:rPr>
        <w:t xml:space="preserve">None. </w:t>
      </w:r>
      <w:r w:rsidRPr="00636D8D" w:rsidR="00A10BCD">
        <w:rPr>
          <w:rFonts w:ascii="Times New Roman" w:hAnsi="Times New Roman" w:cs="Times New Roman"/>
          <w:sz w:val="24"/>
          <w:szCs w:val="24"/>
        </w:rPr>
        <w:t xml:space="preserve"> </w:t>
      </w:r>
      <w:r w:rsidRPr="00636D8D">
        <w:rPr>
          <w:rFonts w:ascii="Times New Roman" w:hAnsi="Times New Roman" w:cs="Times New Roman"/>
          <w:sz w:val="24"/>
          <w:szCs w:val="24"/>
        </w:rPr>
        <w:t xml:space="preserve">This is a </w:t>
      </w:r>
      <w:r w:rsidRPr="00636D8D">
        <w:rPr>
          <w:rFonts w:ascii="Times New Roman" w:hAnsi="Times New Roman" w:cs="Times New Roman"/>
          <w:sz w:val="24"/>
          <w:szCs w:val="24"/>
        </w:rPr>
        <w:t>new</w:t>
      </w:r>
      <w:r w:rsidRPr="00636D8D">
        <w:rPr>
          <w:rFonts w:ascii="Times New Roman" w:hAnsi="Times New Roman" w:cs="Times New Roman"/>
          <w:sz w:val="24"/>
          <w:szCs w:val="24"/>
        </w:rPr>
        <w:t xml:space="preserve"> </w:t>
      </w:r>
      <w:r w:rsidRPr="00636D8D" w:rsidR="00B20F88">
        <w:rPr>
          <w:rFonts w:ascii="Times New Roman" w:hAnsi="Times New Roman" w:cs="Times New Roman"/>
          <w:sz w:val="24"/>
          <w:szCs w:val="24"/>
        </w:rPr>
        <w:t xml:space="preserve">proposed </w:t>
      </w:r>
      <w:r w:rsidRPr="00636D8D">
        <w:rPr>
          <w:rFonts w:ascii="Times New Roman" w:hAnsi="Times New Roman" w:cs="Times New Roman"/>
          <w:sz w:val="24"/>
          <w:szCs w:val="24"/>
        </w:rPr>
        <w:t>collection</w:t>
      </w:r>
      <w:r w:rsidRPr="00636D8D" w:rsidR="00B20F88">
        <w:rPr>
          <w:rFonts w:ascii="Times New Roman" w:hAnsi="Times New Roman" w:cs="Times New Roman"/>
          <w:sz w:val="24"/>
          <w:szCs w:val="24"/>
        </w:rPr>
        <w:t xml:space="preserve"> of information</w:t>
      </w:r>
      <w:r w:rsidRPr="00636D8D">
        <w:rPr>
          <w:rFonts w:ascii="Times New Roman" w:hAnsi="Times New Roman" w:cs="Times New Roman"/>
          <w:sz w:val="24"/>
          <w:szCs w:val="24"/>
        </w:rPr>
        <w:t>.</w:t>
      </w:r>
      <w:r w:rsidRPr="00CF49DA" w:rsidR="00CF49DA">
        <w:t xml:space="preserve"> </w:t>
      </w:r>
      <w:r w:rsidR="00CF49DA">
        <w:br/>
      </w:r>
    </w:p>
    <w:p w:rsidR="00240CCA" w:rsidRPr="00636D8D" w:rsidP="00240CCA" w14:paraId="175D9E0E" w14:textId="39C44758">
      <w:pPr>
        <w:spacing w:after="240"/>
        <w:rPr>
          <w:rFonts w:ascii="Times New Roman" w:hAnsi="Times New Roman" w:cs="Times New Roman"/>
          <w:sz w:val="24"/>
          <w:szCs w:val="24"/>
        </w:rPr>
      </w:pPr>
      <w:r w:rsidRPr="00636D8D">
        <w:rPr>
          <w:rFonts w:ascii="Times New Roman" w:hAnsi="Times New Roman" w:cs="Times New Roman"/>
          <w:sz w:val="24"/>
          <w:szCs w:val="24"/>
        </w:rPr>
        <w:t xml:space="preserve">16. </w:t>
      </w:r>
      <w:r w:rsidRPr="00636D8D">
        <w:rPr>
          <w:rFonts w:ascii="Times New Roman" w:hAnsi="Times New Roman" w:cs="Times New Roman"/>
          <w:sz w:val="24"/>
          <w:szCs w:val="24"/>
          <w:u w:val="single"/>
        </w:rPr>
        <w:t>Plans for tabulation, statistical analysis, and publication.</w:t>
      </w:r>
      <w:r w:rsidRPr="00636D8D">
        <w:rPr>
          <w:rFonts w:ascii="Times New Roman" w:hAnsi="Times New Roman" w:cs="Times New Roman"/>
          <w:sz w:val="24"/>
          <w:szCs w:val="24"/>
        </w:rPr>
        <w:t xml:space="preserve"> </w:t>
      </w:r>
    </w:p>
    <w:p w:rsidR="00737232" w:rsidRPr="00636D8D" w:rsidP="003C48C3" w14:paraId="51AC4E53" w14:textId="77777777">
      <w:pPr>
        <w:spacing w:after="240" w:line="240" w:lineRule="auto"/>
        <w:ind w:firstLine="720"/>
        <w:rPr>
          <w:rFonts w:ascii="Times New Roman" w:hAnsi="Times New Roman" w:cs="Times New Roman"/>
          <w:sz w:val="24"/>
          <w:szCs w:val="24"/>
        </w:rPr>
      </w:pPr>
      <w:r w:rsidRPr="00636D8D">
        <w:rPr>
          <w:rFonts w:ascii="Times New Roman" w:hAnsi="Times New Roman" w:cs="Times New Roman"/>
          <w:sz w:val="24"/>
          <w:szCs w:val="24"/>
        </w:rPr>
        <w:t>This collection of information will not be tabulated or compiled for publication.</w:t>
      </w:r>
    </w:p>
    <w:p w:rsidR="00240CCA" w:rsidRPr="00636D8D" w:rsidP="00240CCA" w14:paraId="7D853B40" w14:textId="77777777">
      <w:pPr>
        <w:spacing w:after="240"/>
        <w:rPr>
          <w:rFonts w:ascii="Times New Roman" w:hAnsi="Times New Roman" w:cs="Times New Roman"/>
          <w:sz w:val="24"/>
          <w:szCs w:val="24"/>
        </w:rPr>
      </w:pPr>
      <w:r w:rsidRPr="00636D8D">
        <w:rPr>
          <w:rFonts w:ascii="Times New Roman" w:hAnsi="Times New Roman" w:cs="Times New Roman"/>
          <w:sz w:val="24"/>
          <w:szCs w:val="24"/>
        </w:rPr>
        <w:t xml:space="preserve">17. </w:t>
      </w:r>
      <w:r w:rsidRPr="00636D8D">
        <w:rPr>
          <w:rFonts w:ascii="Times New Roman" w:hAnsi="Times New Roman" w:cs="Times New Roman"/>
          <w:sz w:val="24"/>
          <w:szCs w:val="24"/>
          <w:u w:val="single"/>
        </w:rPr>
        <w:t>Request not to display the OMB expiration date.</w:t>
      </w:r>
      <w:r w:rsidRPr="00636D8D">
        <w:rPr>
          <w:rFonts w:ascii="Times New Roman" w:hAnsi="Times New Roman" w:cs="Times New Roman"/>
          <w:sz w:val="24"/>
          <w:szCs w:val="24"/>
        </w:rPr>
        <w:t xml:space="preserve"> </w:t>
      </w:r>
    </w:p>
    <w:p w:rsidR="00143E05" w:rsidRPr="00636D8D" w:rsidP="003C48C3" w14:paraId="7468CDDA" w14:textId="77777777">
      <w:pPr>
        <w:spacing w:after="240" w:line="240" w:lineRule="auto"/>
        <w:ind w:firstLine="720"/>
        <w:rPr>
          <w:rFonts w:ascii="Times New Roman" w:hAnsi="Times New Roman" w:cs="Times New Roman"/>
          <w:sz w:val="24"/>
          <w:szCs w:val="24"/>
        </w:rPr>
      </w:pPr>
      <w:r w:rsidRPr="00636D8D">
        <w:rPr>
          <w:rFonts w:ascii="Times New Roman" w:hAnsi="Times New Roman" w:cs="Times New Roman"/>
          <w:sz w:val="24"/>
          <w:szCs w:val="24"/>
        </w:rPr>
        <w:t xml:space="preserve">FinCEN requests that it </w:t>
      </w:r>
      <w:r w:rsidRPr="00636D8D">
        <w:rPr>
          <w:rFonts w:ascii="Times New Roman" w:hAnsi="Times New Roman" w:cs="Times New Roman"/>
          <w:sz w:val="24"/>
          <w:szCs w:val="24"/>
        </w:rPr>
        <w:t>not be</w:t>
      </w:r>
      <w:r w:rsidRPr="00636D8D">
        <w:rPr>
          <w:rFonts w:ascii="Times New Roman" w:hAnsi="Times New Roman" w:cs="Times New Roman"/>
          <w:sz w:val="24"/>
          <w:szCs w:val="24"/>
        </w:rPr>
        <w:t xml:space="preserve"> required to display the expiration date so that the regulations will not have to be amended for the new expiration date every three years.  This request will not affect the normal three-year PRA renewal process.</w:t>
      </w:r>
    </w:p>
    <w:p w:rsidR="00240CCA" w:rsidRPr="00636D8D" w:rsidP="00240CCA" w14:paraId="7B3F00FB" w14:textId="5CCB0AC3">
      <w:pPr>
        <w:spacing w:after="240"/>
        <w:rPr>
          <w:rFonts w:ascii="Times New Roman" w:hAnsi="Times New Roman" w:cs="Times New Roman"/>
          <w:sz w:val="24"/>
          <w:szCs w:val="24"/>
        </w:rPr>
      </w:pPr>
      <w:r w:rsidRPr="00636D8D">
        <w:rPr>
          <w:rFonts w:ascii="Times New Roman" w:hAnsi="Times New Roman" w:cs="Times New Roman"/>
          <w:sz w:val="24"/>
          <w:szCs w:val="24"/>
        </w:rPr>
        <w:t xml:space="preserve">18. </w:t>
      </w:r>
      <w:r w:rsidRPr="00636D8D">
        <w:rPr>
          <w:rFonts w:ascii="Times New Roman" w:hAnsi="Times New Roman" w:cs="Times New Roman"/>
          <w:sz w:val="24"/>
          <w:szCs w:val="24"/>
          <w:u w:val="single"/>
        </w:rPr>
        <w:t>Exceptions to the certification statement.</w:t>
      </w:r>
      <w:r w:rsidRPr="00636D8D">
        <w:rPr>
          <w:rFonts w:ascii="Times New Roman" w:hAnsi="Times New Roman" w:cs="Times New Roman"/>
          <w:sz w:val="24"/>
          <w:szCs w:val="24"/>
        </w:rPr>
        <w:t xml:space="preserve"> </w:t>
      </w:r>
    </w:p>
    <w:p w:rsidR="00314E17" w:rsidRPr="00636D8D" w:rsidP="006A5FC2" w14:paraId="1C957F8B" w14:textId="3BF08DAA">
      <w:pPr>
        <w:spacing w:after="240" w:line="240" w:lineRule="auto"/>
        <w:ind w:firstLine="720"/>
        <w:rPr>
          <w:rFonts w:ascii="Times New Roman" w:hAnsi="Times New Roman" w:cs="Times New Roman"/>
          <w:color w:val="0F4761" w:themeColor="accent1" w:themeShade="BF"/>
          <w:sz w:val="24"/>
          <w:szCs w:val="24"/>
        </w:rPr>
      </w:pPr>
      <w:r w:rsidRPr="00636D8D">
        <w:rPr>
          <w:rFonts w:ascii="Times New Roman" w:hAnsi="Times New Roman" w:cs="Times New Roman"/>
          <w:sz w:val="24"/>
          <w:szCs w:val="24"/>
        </w:rPr>
        <w:t>There are no exceptions to the certification statement.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233822149"/>
      <w:docPartObj>
        <w:docPartGallery w:val="Page Numbers (Bottom of Page)"/>
        <w:docPartUnique/>
      </w:docPartObj>
    </w:sdtPr>
    <w:sdtEndPr>
      <w:rPr>
        <w:noProof/>
      </w:rPr>
    </w:sdtEndPr>
    <w:sdtContent>
      <w:p w:rsidR="00D95354" w:rsidRPr="00D95354" w14:paraId="2221F570" w14:textId="4A99BD16">
        <w:pPr>
          <w:pStyle w:val="Footer"/>
          <w:jc w:val="center"/>
          <w:rPr>
            <w:rFonts w:ascii="Times New Roman" w:hAnsi="Times New Roman" w:cs="Times New Roman"/>
            <w:sz w:val="24"/>
            <w:szCs w:val="24"/>
          </w:rPr>
        </w:pPr>
        <w:r w:rsidRPr="00D95354">
          <w:rPr>
            <w:rFonts w:ascii="Times New Roman" w:hAnsi="Times New Roman" w:cs="Times New Roman"/>
            <w:sz w:val="24"/>
            <w:szCs w:val="24"/>
          </w:rPr>
          <w:fldChar w:fldCharType="begin"/>
        </w:r>
        <w:r w:rsidRPr="00D95354">
          <w:rPr>
            <w:rFonts w:ascii="Times New Roman" w:hAnsi="Times New Roman" w:cs="Times New Roman"/>
            <w:sz w:val="24"/>
            <w:szCs w:val="24"/>
          </w:rPr>
          <w:instrText xml:space="preserve"> PAGE   \* MERGEFORMAT </w:instrText>
        </w:r>
        <w:r w:rsidRPr="00D95354">
          <w:rPr>
            <w:rFonts w:ascii="Times New Roman" w:hAnsi="Times New Roman" w:cs="Times New Roman"/>
            <w:sz w:val="24"/>
            <w:szCs w:val="24"/>
          </w:rPr>
          <w:fldChar w:fldCharType="separate"/>
        </w:r>
        <w:r w:rsidRPr="00D95354">
          <w:rPr>
            <w:rFonts w:ascii="Times New Roman" w:hAnsi="Times New Roman" w:cs="Times New Roman"/>
            <w:noProof/>
            <w:sz w:val="24"/>
            <w:szCs w:val="24"/>
          </w:rPr>
          <w:t>2</w:t>
        </w:r>
        <w:r w:rsidRPr="00D95354">
          <w:rPr>
            <w:rFonts w:ascii="Times New Roman" w:hAnsi="Times New Roman" w:cs="Times New Roman"/>
            <w:noProof/>
            <w:sz w:val="24"/>
            <w:szCs w:val="24"/>
          </w:rPr>
          <w:fldChar w:fldCharType="end"/>
        </w:r>
      </w:p>
    </w:sdtContent>
  </w:sdt>
  <w:p w:rsidR="00D95354" w14:paraId="364120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02A6" w:rsidP="00E654C2" w14:paraId="56518811" w14:textId="77777777">
      <w:pPr>
        <w:spacing w:after="0" w:line="240" w:lineRule="auto"/>
      </w:pPr>
      <w:r>
        <w:separator/>
      </w:r>
    </w:p>
  </w:footnote>
  <w:footnote w:type="continuationSeparator" w:id="1">
    <w:p w:rsidR="005502A6" w:rsidP="00E654C2" w14:paraId="2ACA7A62" w14:textId="77777777">
      <w:pPr>
        <w:spacing w:after="0" w:line="240" w:lineRule="auto"/>
      </w:pPr>
      <w:r>
        <w:continuationSeparator/>
      </w:r>
    </w:p>
  </w:footnote>
  <w:footnote w:id="2">
    <w:p w:rsidR="00380100" w:rsidRPr="00244D53" w:rsidP="00380100" w14:paraId="1A397023" w14:textId="77777777">
      <w:pPr>
        <w:pStyle w:val="FootnoteText"/>
        <w:rPr>
          <w:rFonts w:ascii="Times New Roman" w:hAnsi="Times New Roman" w:cs="Times New Roman"/>
        </w:rPr>
      </w:pPr>
      <w:r w:rsidRPr="00244D53">
        <w:rPr>
          <w:rStyle w:val="FootnoteReference"/>
          <w:rFonts w:ascii="Times New Roman" w:hAnsi="Times New Roman" w:cs="Times New Roman"/>
        </w:rPr>
        <w:footnoteRef/>
      </w:r>
      <w:r w:rsidRPr="00244D53">
        <w:rPr>
          <w:rFonts w:ascii="Times New Roman" w:hAnsi="Times New Roman" w:cs="Times New Roman"/>
        </w:rPr>
        <w:t xml:space="preserve"> </w:t>
      </w:r>
      <w:r w:rsidRPr="00244D53">
        <w:rPr>
          <w:rFonts w:ascii="Times New Roman" w:eastAsia="Calibri" w:hAnsi="Times New Roman" w:cs="Times New Roman"/>
          <w:color w:val="000000"/>
          <w:szCs w:val="22"/>
          <w14:ligatures w14:val="none"/>
        </w:rPr>
        <w:t>Certain parts of the Currency and Foreign Transactions Reporting Act, its amendments, and the other statutes relating to the subject matter of that Act, have come to be referred to as the BSA.  These statutes are codified at 12 U.S.C. 1829b, 12 U.S.C. 1951-1960, and 31 U.S.C. 5311-5314 and 5316-5336 and notes thereto</w:t>
      </w:r>
      <w:r w:rsidRPr="00244D53">
        <w:rPr>
          <w:rFonts w:ascii="Times New Roman" w:eastAsia="ZapfDingbats" w:hAnsi="Times New Roman" w:cs="Times New Roman"/>
          <w:color w:val="000000"/>
          <w:szCs w:val="22"/>
          <w14:ligatures w14:val="none"/>
        </w:rPr>
        <w:t>, with implementing regulations at 31 CFR chapter X</w:t>
      </w:r>
      <w:r w:rsidRPr="00244D53">
        <w:rPr>
          <w:rFonts w:ascii="Times New Roman" w:eastAsia="Calibri" w:hAnsi="Times New Roman" w:cs="Times New Roman"/>
          <w:color w:val="000000"/>
          <w:szCs w:val="22"/>
          <w14:ligatures w14:val="none"/>
        </w:rPr>
        <w:t>.</w:t>
      </w:r>
    </w:p>
  </w:footnote>
  <w:footnote w:id="3">
    <w:p w:rsidR="00380100" w:rsidRPr="00244D53" w:rsidP="00380100" w14:paraId="288FBAFE" w14:textId="77777777">
      <w:pPr>
        <w:pStyle w:val="FootnoteText"/>
        <w:rPr>
          <w:rFonts w:ascii="Times New Roman" w:hAnsi="Times New Roman" w:cs="Times New Roman"/>
        </w:rPr>
      </w:pPr>
      <w:r w:rsidRPr="00244D53">
        <w:rPr>
          <w:rStyle w:val="FootnoteReference"/>
          <w:rFonts w:ascii="Times New Roman" w:hAnsi="Times New Roman" w:cs="Times New Roman"/>
        </w:rPr>
        <w:footnoteRef/>
      </w:r>
      <w:r w:rsidRPr="00244D53">
        <w:rPr>
          <w:rFonts w:ascii="Times New Roman" w:hAnsi="Times New Roman" w:cs="Times New Roman"/>
        </w:rPr>
        <w:t xml:space="preserve"> GENIUS Act, Pub. L. 119-27, 139 Stat. 419 (2025) (codified at 12 U.S.C. 5901-5916).</w:t>
      </w:r>
    </w:p>
  </w:footnote>
  <w:footnote w:id="4">
    <w:p w:rsidR="00380100" w:rsidRPr="00F51403" w14:paraId="46B65684" w14:textId="5ECF349A">
      <w:pPr>
        <w:pStyle w:val="FootnoteText"/>
        <w:rPr>
          <w:rFonts w:ascii="Times New Roman" w:hAnsi="Times New Roman" w:cs="Times New Roman"/>
        </w:rPr>
      </w:pPr>
      <w:r w:rsidRPr="00244D53">
        <w:rPr>
          <w:rStyle w:val="FootnoteReference"/>
          <w:rFonts w:ascii="Times New Roman" w:hAnsi="Times New Roman" w:cs="Times New Roman"/>
        </w:rPr>
        <w:footnoteRef/>
      </w:r>
      <w:r w:rsidRPr="00244D53">
        <w:rPr>
          <w:rFonts w:ascii="Times New Roman" w:hAnsi="Times New Roman" w:cs="Times New Roman"/>
        </w:rPr>
        <w:t xml:space="preserve"> FinCEN</w:t>
      </w:r>
      <w:r w:rsidRPr="00244D53" w:rsidR="007E7FDD">
        <w:rPr>
          <w:rFonts w:ascii="Times New Roman" w:hAnsi="Times New Roman" w:cs="Times New Roman"/>
        </w:rPr>
        <w:t xml:space="preserve">, OCC, Board, FDIC, and NCUA, </w:t>
      </w:r>
      <w:r w:rsidRPr="00244D53" w:rsidR="007E7FDD">
        <w:rPr>
          <w:rFonts w:ascii="Times New Roman" w:hAnsi="Times New Roman" w:cs="Times New Roman"/>
          <w:i/>
          <w:iCs/>
        </w:rPr>
        <w:t xml:space="preserve">Permitted Payment Stablecoin Issuer Customer Identification Program Notice of Proposed </w:t>
      </w:r>
      <w:r w:rsidRPr="00F51403" w:rsidR="007E7FDD">
        <w:rPr>
          <w:rFonts w:ascii="Times New Roman" w:hAnsi="Times New Roman" w:cs="Times New Roman"/>
          <w:i/>
          <w:iCs/>
        </w:rPr>
        <w:t>Rulemaking</w:t>
      </w:r>
      <w:r w:rsidRPr="00F51403" w:rsidR="007E7FDD">
        <w:rPr>
          <w:rFonts w:ascii="Times New Roman" w:hAnsi="Times New Roman" w:cs="Times New Roman"/>
        </w:rPr>
        <w:t xml:space="preserve">, </w:t>
      </w:r>
      <w:r w:rsidRPr="00F51403" w:rsidR="00D5384D">
        <w:rPr>
          <w:rFonts w:ascii="Times New Roman" w:hAnsi="Times New Roman" w:cs="Times New Roman"/>
        </w:rPr>
        <w:t>91</w:t>
      </w:r>
      <w:r w:rsidRPr="00F51403" w:rsidR="007E7FDD">
        <w:rPr>
          <w:rFonts w:ascii="Times New Roman" w:hAnsi="Times New Roman" w:cs="Times New Roman"/>
        </w:rPr>
        <w:t xml:space="preserve"> FR </w:t>
      </w:r>
      <w:r w:rsidRPr="00F51403" w:rsidR="00F51403">
        <w:rPr>
          <w:rFonts w:ascii="Times New Roman" w:hAnsi="Times New Roman" w:cs="Times New Roman"/>
        </w:rPr>
        <w:t>37234</w:t>
      </w:r>
      <w:r w:rsidRPr="00F51403" w:rsidR="007E7FDD">
        <w:rPr>
          <w:rFonts w:ascii="Times New Roman" w:hAnsi="Times New Roman" w:cs="Times New Roman"/>
        </w:rPr>
        <w:t xml:space="preserve"> (</w:t>
      </w:r>
      <w:r w:rsidRPr="00F51403" w:rsidR="00897939">
        <w:rPr>
          <w:rFonts w:ascii="Times New Roman" w:hAnsi="Times New Roman" w:cs="Times New Roman"/>
        </w:rPr>
        <w:t xml:space="preserve">June </w:t>
      </w:r>
      <w:r w:rsidRPr="00F51403" w:rsidR="00A63C14">
        <w:rPr>
          <w:rFonts w:ascii="Times New Roman" w:hAnsi="Times New Roman" w:cs="Times New Roman"/>
        </w:rPr>
        <w:t>22</w:t>
      </w:r>
      <w:r w:rsidRPr="00F51403" w:rsidR="007E7FDD">
        <w:rPr>
          <w:rFonts w:ascii="Times New Roman" w:hAnsi="Times New Roman" w:cs="Times New Roman"/>
        </w:rPr>
        <w:t>, 2026) (PPSI CIP NPRM).</w:t>
      </w:r>
      <w:r w:rsidRPr="00F51403">
        <w:rPr>
          <w:rFonts w:ascii="Times New Roman" w:hAnsi="Times New Roman" w:cs="Times New Roman"/>
        </w:rPr>
        <w:t xml:space="preserve"> </w:t>
      </w:r>
    </w:p>
  </w:footnote>
  <w:footnote w:id="5">
    <w:p w:rsidR="002210FE" w:rsidRPr="00244D53" w:rsidP="002210FE" w14:paraId="3BE8E7C0" w14:textId="77777777">
      <w:pPr>
        <w:pStyle w:val="FootnoteText"/>
        <w:rPr>
          <w:rFonts w:ascii="Times New Roman" w:hAnsi="Times New Roman" w:cs="Times New Roman"/>
        </w:rPr>
      </w:pPr>
      <w:r w:rsidRPr="00F51403">
        <w:rPr>
          <w:rStyle w:val="FootnoteReference"/>
          <w:rFonts w:ascii="Times New Roman" w:hAnsi="Times New Roman" w:cs="Times New Roman"/>
        </w:rPr>
        <w:footnoteRef/>
      </w:r>
      <w:r w:rsidRPr="00F51403">
        <w:rPr>
          <w:rFonts w:ascii="Times New Roman" w:hAnsi="Times New Roman" w:cs="Times New Roman"/>
        </w:rPr>
        <w:t xml:space="preserve"> </w:t>
      </w:r>
      <w:r w:rsidRPr="00F51403">
        <w:rPr>
          <w:rFonts w:ascii="Times New Roman" w:hAnsi="Times New Roman" w:cs="Times New Roman"/>
          <w:i/>
          <w:iCs/>
        </w:rPr>
        <w:t xml:space="preserve">See </w:t>
      </w:r>
      <w:r w:rsidRPr="00F51403">
        <w:rPr>
          <w:rFonts w:ascii="Times New Roman" w:hAnsi="Times New Roman" w:cs="Times New Roman"/>
        </w:rPr>
        <w:t xml:space="preserve">12 U.S.C. 5903(a)(5)(A)(v); </w:t>
      </w:r>
      <w:r w:rsidRPr="00F51403">
        <w:rPr>
          <w:rFonts w:ascii="Times New Roman" w:hAnsi="Times New Roman" w:cs="Times New Roman"/>
          <w:i/>
          <w:iCs/>
        </w:rPr>
        <w:t xml:space="preserve">see also </w:t>
      </w:r>
      <w:r w:rsidRPr="00F51403">
        <w:rPr>
          <w:rFonts w:ascii="Times New Roman" w:hAnsi="Times New Roman" w:cs="Times New Roman"/>
        </w:rPr>
        <w:t>31 U.S.C. 5318(</w:t>
      </w:r>
      <w:r w:rsidRPr="00F51403">
        <w:rPr>
          <w:rFonts w:ascii="Times New Roman" w:hAnsi="Times New Roman" w:cs="Times New Roman"/>
          <w:i/>
          <w:iCs/>
        </w:rPr>
        <w:t>l</w:t>
      </w:r>
      <w:r w:rsidRPr="00244D53">
        <w:rPr>
          <w:rFonts w:ascii="Times New Roman" w:hAnsi="Times New Roman" w:cs="Times New Roman"/>
        </w:rPr>
        <w:t>).</w:t>
      </w:r>
    </w:p>
  </w:footnote>
  <w:footnote w:id="6">
    <w:p w:rsidR="00E504D1" w:rsidRPr="00144AA1" w:rsidP="00E504D1" w14:paraId="7280FF7C" w14:textId="4D6B47A9">
      <w:pPr>
        <w:pStyle w:val="FootnoteText"/>
        <w:rPr>
          <w:rFonts w:ascii="Times New Roman" w:hAnsi="Times New Roman" w:cs="Times New Roman"/>
        </w:rPr>
      </w:pPr>
      <w:r w:rsidRPr="00144AA1">
        <w:rPr>
          <w:rStyle w:val="FootnoteReference"/>
          <w:rFonts w:ascii="Times New Roman" w:hAnsi="Times New Roman" w:cs="Times New Roman"/>
        </w:rPr>
        <w:footnoteRef/>
      </w:r>
      <w:r w:rsidR="00BA79C0">
        <w:rPr>
          <w:rFonts w:ascii="Times New Roman" w:hAnsi="Times New Roman" w:cs="Times New Roman"/>
        </w:rPr>
        <w:t xml:space="preserve"> Treasury,</w:t>
      </w:r>
      <w:r w:rsidRPr="00144AA1">
        <w:rPr>
          <w:rFonts w:ascii="Times New Roman" w:hAnsi="Times New Roman" w:cs="Times New Roman"/>
        </w:rPr>
        <w:t xml:space="preserve"> </w:t>
      </w:r>
      <w:r w:rsidRPr="00144AA1">
        <w:rPr>
          <w:rFonts w:ascii="Times New Roman" w:hAnsi="Times New Roman" w:cs="Times New Roman"/>
          <w:i/>
          <w:iCs/>
        </w:rPr>
        <w:t>GENIUS Act Implementation</w:t>
      </w:r>
      <w:r w:rsidR="0092137D">
        <w:rPr>
          <w:rFonts w:ascii="Times New Roman" w:hAnsi="Times New Roman" w:cs="Times New Roman"/>
          <w:i/>
          <w:iCs/>
        </w:rPr>
        <w:t xml:space="preserve"> ANPRM</w:t>
      </w:r>
      <w:r w:rsidRPr="00144AA1">
        <w:rPr>
          <w:rFonts w:ascii="Times New Roman" w:hAnsi="Times New Roman" w:cs="Times New Roman"/>
        </w:rPr>
        <w:t>,</w:t>
      </w:r>
      <w:r w:rsidRPr="00144AA1">
        <w:rPr>
          <w:rFonts w:ascii="Times New Roman" w:hAnsi="Times New Roman" w:cs="Times New Roman"/>
          <w:i/>
          <w:iCs/>
        </w:rPr>
        <w:t xml:space="preserve"> </w:t>
      </w:r>
      <w:r w:rsidRPr="00144AA1">
        <w:rPr>
          <w:rFonts w:ascii="Times New Roman" w:hAnsi="Times New Roman" w:cs="Times New Roman"/>
        </w:rPr>
        <w:t xml:space="preserve">90 FR 45159 (Sept. 19, 2025).  The ANPRM solicited comment on a range of potential Treasury efforts related to the GENIUS Act and </w:t>
      </w:r>
      <w:r w:rsidR="00BA79C0">
        <w:rPr>
          <w:rFonts w:ascii="Times New Roman" w:hAnsi="Times New Roman" w:cs="Times New Roman"/>
        </w:rPr>
        <w:t xml:space="preserve">payment </w:t>
      </w:r>
      <w:r w:rsidRPr="00144AA1">
        <w:rPr>
          <w:rFonts w:ascii="Times New Roman" w:hAnsi="Times New Roman" w:cs="Times New Roman"/>
        </w:rPr>
        <w:t xml:space="preserve">stablecoins that are </w:t>
      </w:r>
      <w:r w:rsidR="00BA79C0">
        <w:rPr>
          <w:rFonts w:ascii="Times New Roman" w:hAnsi="Times New Roman" w:cs="Times New Roman"/>
        </w:rPr>
        <w:t xml:space="preserve">not pertinent to obligations underpinning this supporting statement. </w:t>
      </w:r>
      <w:r w:rsidRPr="00144AA1">
        <w:rPr>
          <w:rFonts w:ascii="Times New Roman" w:hAnsi="Times New Roman" w:cs="Times New Roman"/>
        </w:rPr>
        <w:t xml:space="preserve"> For example, the ANPRM included questions related to the GENIUS Act prohibition on digital asset service providers offering and selling a payment stablecoin to any person in the United States </w:t>
      </w:r>
      <w:r w:rsidR="00C869B7">
        <w:rPr>
          <w:rFonts w:ascii="Times New Roman" w:hAnsi="Times New Roman" w:cs="Times New Roman"/>
        </w:rPr>
        <w:t xml:space="preserve">absent certain conditions. </w:t>
      </w:r>
      <w:r w:rsidRPr="00144AA1">
        <w:rPr>
          <w:rFonts w:ascii="Times New Roman" w:hAnsi="Times New Roman" w:cs="Times New Roman"/>
        </w:rPr>
        <w:t xml:space="preserve"> </w:t>
      </w:r>
      <w:r w:rsidRPr="00144AA1">
        <w:rPr>
          <w:rFonts w:ascii="Times New Roman" w:hAnsi="Times New Roman" w:cs="Times New Roman"/>
          <w:i/>
          <w:iCs/>
        </w:rPr>
        <w:t>Id.</w:t>
      </w:r>
      <w:r w:rsidRPr="00144AA1">
        <w:rPr>
          <w:rFonts w:ascii="Times New Roman" w:hAnsi="Times New Roman" w:cs="Times New Roman"/>
        </w:rPr>
        <w:t xml:space="preserve"> at 45160-61.  </w:t>
      </w:r>
      <w:r w:rsidR="00EA1B88">
        <w:rPr>
          <w:rFonts w:ascii="Times New Roman" w:hAnsi="Times New Roman" w:cs="Times New Roman"/>
        </w:rPr>
        <w:t>The ANPRM</w:t>
      </w:r>
      <w:r w:rsidRPr="00144AA1">
        <w:rPr>
          <w:rFonts w:ascii="Times New Roman" w:hAnsi="Times New Roman" w:cs="Times New Roman"/>
        </w:rPr>
        <w:t xml:space="preserve"> also included questions related to Treasury’s role in determining whether a state-level regulatory regime is substantially similar to the </w:t>
      </w:r>
      <w:r w:rsidR="00EA1B88">
        <w:rPr>
          <w:rFonts w:ascii="Times New Roman" w:hAnsi="Times New Roman" w:cs="Times New Roman"/>
        </w:rPr>
        <w:t>F</w:t>
      </w:r>
      <w:r w:rsidRPr="00144AA1">
        <w:rPr>
          <w:rFonts w:ascii="Times New Roman" w:hAnsi="Times New Roman" w:cs="Times New Roman"/>
        </w:rPr>
        <w:t>ederal framework</w:t>
      </w:r>
      <w:r w:rsidR="00EA1B88">
        <w:rPr>
          <w:rFonts w:ascii="Times New Roman" w:hAnsi="Times New Roman" w:cs="Times New Roman"/>
        </w:rPr>
        <w:t>,</w:t>
      </w:r>
      <w:r w:rsidRPr="00144AA1">
        <w:rPr>
          <w:rFonts w:ascii="Times New Roman" w:hAnsi="Times New Roman" w:cs="Times New Roman"/>
        </w:rPr>
        <w:t xml:space="preserve"> and whether a foreign country’s regulatory and supervisory regime is comparable to the U.S. framework.  </w:t>
      </w:r>
      <w:r w:rsidRPr="00144AA1">
        <w:rPr>
          <w:rFonts w:ascii="Times New Roman" w:hAnsi="Times New Roman" w:cs="Times New Roman"/>
          <w:i/>
          <w:iCs/>
        </w:rPr>
        <w:t xml:space="preserve">Id. </w:t>
      </w:r>
      <w:r w:rsidRPr="00144AA1">
        <w:rPr>
          <w:rFonts w:ascii="Times New Roman" w:hAnsi="Times New Roman" w:cs="Times New Roman"/>
        </w:rPr>
        <w:t>at 45162-63.</w:t>
      </w:r>
    </w:p>
  </w:footnote>
  <w:footnote w:id="7">
    <w:p w:rsidR="00C869B7" w:rsidRPr="009314E6" w:rsidP="00C869B7" w14:paraId="3AEA7851" w14:textId="77777777">
      <w:pPr>
        <w:pStyle w:val="FootnoteText"/>
        <w:rPr>
          <w:rFonts w:ascii="Times New Roman" w:hAnsi="Times New Roman" w:cs="Times New Roman"/>
        </w:rPr>
      </w:pPr>
      <w:r w:rsidRPr="009314E6">
        <w:rPr>
          <w:rStyle w:val="FootnoteReference"/>
          <w:rFonts w:ascii="Times New Roman" w:hAnsi="Times New Roman" w:cs="Times New Roman"/>
        </w:rPr>
        <w:footnoteRef/>
      </w:r>
      <w:r w:rsidRPr="009314E6">
        <w:rPr>
          <w:rFonts w:ascii="Times New Roman" w:hAnsi="Times New Roman" w:cs="Times New Roman"/>
        </w:rPr>
        <w:t xml:space="preserve"> </w:t>
      </w:r>
      <w:r w:rsidRPr="009314E6">
        <w:rPr>
          <w:rFonts w:ascii="Times New Roman" w:hAnsi="Times New Roman" w:cs="Times New Roman"/>
          <w:i/>
          <w:iCs/>
        </w:rPr>
        <w:t xml:space="preserve">Id. </w:t>
      </w:r>
      <w:r w:rsidRPr="009314E6">
        <w:rPr>
          <w:rFonts w:ascii="Times New Roman" w:hAnsi="Times New Roman" w:cs="Times New Roman"/>
        </w:rPr>
        <w:t>at 45161–63.</w:t>
      </w:r>
    </w:p>
  </w:footnote>
  <w:footnote w:id="8">
    <w:p w:rsidR="00E504D1" w:rsidRPr="00144AA1" w:rsidP="00E504D1" w14:paraId="59D6231E" w14:textId="42B3C04B">
      <w:pPr>
        <w:pStyle w:val="FootnoteText"/>
        <w:rPr>
          <w:rFonts w:ascii="Times New Roman" w:hAnsi="Times New Roman" w:cs="Times New Roman"/>
          <w:i/>
          <w:iCs/>
        </w:rPr>
      </w:pPr>
      <w:r w:rsidRPr="00144AA1">
        <w:rPr>
          <w:rStyle w:val="FootnoteReference"/>
          <w:rFonts w:ascii="Times New Roman" w:hAnsi="Times New Roman" w:cs="Times New Roman"/>
        </w:rPr>
        <w:footnoteRef/>
      </w:r>
      <w:r w:rsidRPr="00144AA1">
        <w:rPr>
          <w:rFonts w:ascii="Times New Roman" w:hAnsi="Times New Roman" w:cs="Times New Roman"/>
        </w:rPr>
        <w:t xml:space="preserve"> </w:t>
      </w:r>
      <w:r w:rsidRPr="00144AA1">
        <w:rPr>
          <w:rFonts w:ascii="Times New Roman" w:hAnsi="Times New Roman" w:cs="Times New Roman"/>
          <w:i/>
          <w:iCs/>
        </w:rPr>
        <w:t>See, e.g.</w:t>
      </w:r>
      <w:r w:rsidRPr="00144AA1">
        <w:rPr>
          <w:rFonts w:ascii="Times New Roman" w:hAnsi="Times New Roman" w:cs="Times New Roman"/>
        </w:rPr>
        <w:t>,</w:t>
      </w:r>
      <w:r w:rsidRPr="00144AA1">
        <w:rPr>
          <w:rFonts w:ascii="Times New Roman" w:hAnsi="Times New Roman" w:cs="Times New Roman"/>
          <w:i/>
          <w:iCs/>
        </w:rPr>
        <w:t xml:space="preserve"> </w:t>
      </w:r>
      <w:r w:rsidRPr="00144AA1">
        <w:rPr>
          <w:rFonts w:ascii="Times New Roman" w:hAnsi="Times New Roman" w:cs="Times New Roman"/>
        </w:rPr>
        <w:t xml:space="preserve">FDIC, </w:t>
      </w:r>
      <w:r w:rsidRPr="00144AA1">
        <w:rPr>
          <w:rFonts w:ascii="Times New Roman" w:hAnsi="Times New Roman" w:cs="Times New Roman"/>
          <w:i/>
          <w:iCs/>
        </w:rPr>
        <w:t>Approval Requirements for Issuance of Payment Stablecoins by Subsidiaries of FDIC-Supervised Insured Depository Institutions</w:t>
      </w:r>
      <w:r w:rsidRPr="00144AA1">
        <w:rPr>
          <w:rFonts w:ascii="Times New Roman" w:hAnsi="Times New Roman" w:cs="Times New Roman"/>
        </w:rPr>
        <w:t>, 90 FR 59409 (Dec. 19, 2025);</w:t>
      </w:r>
      <w:r w:rsidRPr="00144AA1">
        <w:rPr>
          <w:rFonts w:ascii="Times New Roman" w:hAnsi="Times New Roman" w:cs="Times New Roman"/>
          <w:i/>
          <w:iCs/>
        </w:rPr>
        <w:t xml:space="preserve"> </w:t>
      </w:r>
      <w:r w:rsidRPr="00144AA1">
        <w:rPr>
          <w:rFonts w:ascii="Times New Roman" w:hAnsi="Times New Roman" w:cs="Times New Roman"/>
        </w:rPr>
        <w:t xml:space="preserve">NCUA, </w:t>
      </w:r>
      <w:r w:rsidRPr="00144AA1">
        <w:rPr>
          <w:rFonts w:ascii="Times New Roman" w:hAnsi="Times New Roman" w:cs="Times New Roman"/>
          <w:i/>
          <w:iCs/>
        </w:rPr>
        <w:t>Investments in and Licensing of Permitted Payment Stablecoins Issuers</w:t>
      </w:r>
      <w:r w:rsidRPr="00144AA1">
        <w:rPr>
          <w:rFonts w:ascii="Times New Roman" w:hAnsi="Times New Roman" w:cs="Times New Roman"/>
        </w:rPr>
        <w:t xml:space="preserve">, 91 FR 6531 (Feb. 12, 2026); OCC, </w:t>
      </w:r>
      <w:r w:rsidRPr="00144AA1">
        <w:rPr>
          <w:rFonts w:ascii="Times New Roman" w:hAnsi="Times New Roman" w:cs="Times New Roman"/>
          <w:i/>
          <w:iCs/>
        </w:rPr>
        <w:t>Implementing the</w:t>
      </w:r>
      <w:r w:rsidRPr="00144AA1">
        <w:rPr>
          <w:rFonts w:ascii="Times New Roman" w:hAnsi="Times New Roman" w:cs="Times New Roman"/>
          <w:i/>
        </w:rPr>
        <w:t xml:space="preserve"> </w:t>
      </w:r>
      <w:r w:rsidRPr="00144AA1">
        <w:rPr>
          <w:rFonts w:ascii="Times New Roman" w:hAnsi="Times New Roman" w:cs="Times New Roman"/>
          <w:i/>
          <w:iCs/>
        </w:rPr>
        <w:t>Guiding and Establishing National Innovation for U.S. Stablecoins Act for the Issuance of Stablecoins by Entities Subject to the Jurisdiction of the Office of the Comptroller of the Currency</w:t>
      </w:r>
      <w:r w:rsidRPr="00144AA1">
        <w:rPr>
          <w:rFonts w:ascii="Times New Roman" w:hAnsi="Times New Roman" w:cs="Times New Roman"/>
        </w:rPr>
        <w:t>,</w:t>
      </w:r>
      <w:r w:rsidRPr="00144AA1">
        <w:rPr>
          <w:rFonts w:ascii="Times New Roman" w:hAnsi="Times New Roman" w:cs="Times New Roman"/>
          <w:i/>
          <w:iCs/>
        </w:rPr>
        <w:t xml:space="preserve"> </w:t>
      </w:r>
      <w:r w:rsidRPr="00144AA1">
        <w:rPr>
          <w:rFonts w:ascii="Times New Roman" w:hAnsi="Times New Roman" w:cs="Times New Roman"/>
        </w:rPr>
        <w:t>91 FR 10202 (Mar. 2, 2026)</w:t>
      </w:r>
      <w:r w:rsidR="00AB37A9">
        <w:rPr>
          <w:rFonts w:ascii="Times New Roman" w:hAnsi="Times New Roman" w:cs="Times New Roman"/>
        </w:rPr>
        <w:t>;</w:t>
      </w:r>
      <w:r w:rsidRPr="00AB37A9" w:rsidR="00AB37A9">
        <w:rPr>
          <w:rFonts w:ascii="Times New Roman" w:hAnsi="Times New Roman" w:cs="Times New Roman"/>
        </w:rPr>
        <w:t xml:space="preserve"> Treasury, </w:t>
      </w:r>
      <w:r w:rsidRPr="00AB37A9" w:rsidR="00AB37A9">
        <w:rPr>
          <w:rFonts w:ascii="Times New Roman" w:hAnsi="Times New Roman" w:cs="Times New Roman"/>
          <w:i/>
          <w:iCs/>
        </w:rPr>
        <w:t xml:space="preserve">GENIUS Act Broad-Based Principles for Determining Whether a State-Level Regulatory Regime Is Substantially Similar to the Federal Regulatory Framework, </w:t>
      </w:r>
      <w:r w:rsidRPr="00AB37A9" w:rsidR="00AB37A9">
        <w:rPr>
          <w:rFonts w:ascii="Times New Roman" w:hAnsi="Times New Roman" w:cs="Times New Roman"/>
        </w:rPr>
        <w:t xml:space="preserve">91 FR 16844 (Apr. 3, 2026); FDIC, </w:t>
      </w:r>
      <w:r w:rsidRPr="00AB37A9" w:rsidR="00AB37A9">
        <w:rPr>
          <w:rFonts w:ascii="Times New Roman" w:hAnsi="Times New Roman" w:cs="Times New Roman"/>
          <w:i/>
          <w:iCs/>
        </w:rPr>
        <w:t>GENIUS Act Requirements and Standards for FDIC-Supervised Permitted Payment Stablecoin Issuers and Insured Depository Institutions</w:t>
      </w:r>
      <w:r w:rsidRPr="00AB37A9" w:rsidR="00AB37A9">
        <w:rPr>
          <w:rFonts w:ascii="Times New Roman" w:hAnsi="Times New Roman" w:cs="Times New Roman"/>
        </w:rPr>
        <w:t>, 91FR 18534 (Apr. 10, 2026).</w:t>
      </w:r>
    </w:p>
  </w:footnote>
  <w:footnote w:id="9">
    <w:p w:rsidR="00E504D1" w:rsidRPr="00144AA1" w:rsidP="00E504D1" w14:paraId="070E2578" w14:textId="15E4BD97">
      <w:pPr>
        <w:pStyle w:val="FootnoteText"/>
        <w:rPr>
          <w:rFonts w:ascii="Times New Roman" w:hAnsi="Times New Roman" w:cs="Times New Roman"/>
        </w:rPr>
      </w:pPr>
      <w:r w:rsidRPr="00144AA1">
        <w:rPr>
          <w:rStyle w:val="FootnoteReference"/>
          <w:rFonts w:ascii="Times New Roman" w:hAnsi="Times New Roman" w:cs="Times New Roman"/>
        </w:rPr>
        <w:footnoteRef/>
      </w:r>
      <w:r w:rsidR="0008016B">
        <w:rPr>
          <w:rFonts w:ascii="Times New Roman" w:hAnsi="Times New Roman" w:cs="Times New Roman"/>
        </w:rPr>
        <w:t xml:space="preserve"> </w:t>
      </w:r>
      <w:r w:rsidRPr="00994954" w:rsidR="0008016B">
        <w:rPr>
          <w:rFonts w:ascii="Times New Roman" w:hAnsi="Times New Roman" w:cs="Times New Roman"/>
          <w:i/>
          <w:iCs/>
        </w:rPr>
        <w:t>See</w:t>
      </w:r>
      <w:r w:rsidRPr="00144AA1">
        <w:rPr>
          <w:rFonts w:ascii="Times New Roman" w:hAnsi="Times New Roman" w:cs="Times New Roman"/>
        </w:rPr>
        <w:t xml:space="preserve"> </w:t>
      </w:r>
      <w:r w:rsidRPr="00CA53E4" w:rsidR="0008016B">
        <w:rPr>
          <w:rFonts w:ascii="Times New Roman" w:hAnsi="Times New Roman" w:cs="Times New Roman"/>
        </w:rPr>
        <w:t xml:space="preserve">OFAC and FinCEN, </w:t>
      </w:r>
      <w:r w:rsidRPr="00CA53E4" w:rsidR="0008016B">
        <w:rPr>
          <w:rFonts w:ascii="Times New Roman" w:hAnsi="Times New Roman" w:cs="Times New Roman"/>
          <w:i/>
          <w:iCs/>
        </w:rPr>
        <w:t>Permitted Payment Stablecoin Issuer Anti-Money Laundering/Countering the Financing of Terrorism Program and Sanctions Compliance Program Requirements Notice of Proposed Rulemaking</w:t>
      </w:r>
      <w:r w:rsidRPr="00CA53E4" w:rsidR="0008016B">
        <w:rPr>
          <w:rFonts w:ascii="Times New Roman" w:hAnsi="Times New Roman" w:cs="Times New Roman"/>
        </w:rPr>
        <w:t>, 91 FR 18582 (Apr. 10, 2026)</w:t>
      </w:r>
      <w:r w:rsidRPr="00144AA1">
        <w:rPr>
          <w:rFonts w:ascii="Times New Roman" w:hAnsi="Times New Roman" w:cs="Times New Roman"/>
        </w:rPr>
        <w:t>.</w:t>
      </w:r>
      <w:r w:rsidRPr="00144AA1">
        <w:rPr>
          <w:rFonts w:ascii="Times New Roman" w:hAnsi="Times New Roman" w:cs="Times New Roman"/>
          <w:i/>
          <w:iCs/>
        </w:rPr>
        <w:t xml:space="preserve">  </w:t>
      </w:r>
      <w:r w:rsidRPr="00144AA1">
        <w:rPr>
          <w:rFonts w:ascii="Times New Roman" w:hAnsi="Times New Roman" w:cs="Times New Roman"/>
        </w:rPr>
        <w:t>That NPRM was issued jointly with the Office of Foreign Assets Control because it also proposes implementation of the GENIUS Act’s sanction compliance program obligation.</w:t>
      </w:r>
    </w:p>
  </w:footnote>
  <w:footnote w:id="10">
    <w:p w:rsidR="003E59EF" w:rsidRPr="00636D8D" w:rsidP="003E59EF" w14:paraId="43562E7F" w14:textId="034A1889">
      <w:pPr>
        <w:pStyle w:val="FootnoteText"/>
        <w:rPr>
          <w:rFonts w:ascii="Times New Roman" w:hAnsi="Times New Roman" w:cs="Times New Roman"/>
        </w:rPr>
      </w:pPr>
      <w:r w:rsidRPr="00636D8D">
        <w:rPr>
          <w:rStyle w:val="FootnoteReference"/>
          <w:rFonts w:ascii="Times New Roman" w:hAnsi="Times New Roman" w:cs="Times New Roman"/>
        </w:rPr>
        <w:footnoteRef/>
      </w:r>
      <w:r w:rsidRPr="00636D8D">
        <w:rPr>
          <w:rFonts w:ascii="Times New Roman" w:hAnsi="Times New Roman" w:cs="Times New Roman"/>
        </w:rPr>
        <w:t xml:space="preserve"> </w:t>
      </w:r>
      <w:r w:rsidRPr="002A20FA" w:rsidR="0008016B">
        <w:rPr>
          <w:rFonts w:ascii="Times New Roman" w:hAnsi="Times New Roman" w:cs="Times New Roman"/>
          <w:i/>
          <w:iCs/>
        </w:rPr>
        <w:t>See</w:t>
      </w:r>
      <w:r w:rsidR="0008016B">
        <w:rPr>
          <w:rFonts w:ascii="Times New Roman" w:hAnsi="Times New Roman" w:cs="Times New Roman"/>
        </w:rPr>
        <w:t xml:space="preserve"> PPSI CIP NPRM.</w:t>
      </w:r>
    </w:p>
  </w:footnote>
  <w:footnote w:id="11">
    <w:p w:rsidR="00842581" w:rsidRPr="00636D8D" w:rsidP="00842581" w14:paraId="1FE1DC96" w14:textId="4C9BE89B">
      <w:pPr>
        <w:pStyle w:val="HTMLPreformatted"/>
        <w:shd w:val="clear" w:color="auto" w:fill="FFFFFF"/>
        <w:rPr>
          <w:rFonts w:ascii="Times New Roman" w:hAnsi="Times New Roman" w:cs="Times New Roman"/>
        </w:rPr>
      </w:pPr>
      <w:r w:rsidRPr="00636D8D">
        <w:rPr>
          <w:rStyle w:val="FootnoteReference"/>
          <w:rFonts w:ascii="Times New Roman" w:hAnsi="Times New Roman" w:eastAsiaTheme="majorEastAsia" w:cs="Times New Roman"/>
        </w:rPr>
        <w:footnoteRef/>
      </w:r>
      <w:r w:rsidRPr="00636D8D">
        <w:rPr>
          <w:rFonts w:ascii="Times New Roman" w:hAnsi="Times New Roman" w:cs="Times New Roman"/>
        </w:rPr>
        <w:t xml:space="preserve"> </w:t>
      </w:r>
      <w:r w:rsidRPr="00636D8D">
        <w:rPr>
          <w:rFonts w:ascii="Times New Roman" w:eastAsia="Courier New" w:hAnsi="Times New Roman" w:cs="Times New Roman"/>
          <w:i/>
          <w:lang w:val="x-none"/>
        </w:rPr>
        <w:t>See</w:t>
      </w:r>
      <w:r w:rsidRPr="00636D8D">
        <w:rPr>
          <w:rFonts w:ascii="Times New Roman" w:eastAsia="Courier New" w:hAnsi="Times New Roman" w:cs="Times New Roman"/>
          <w:lang w:eastAsia="x-none"/>
        </w:rPr>
        <w:t xml:space="preserve"> </w:t>
      </w:r>
      <w:r w:rsidRPr="00636D8D">
        <w:rPr>
          <w:rFonts w:ascii="Times New Roman" w:eastAsia="Courier New" w:hAnsi="Times New Roman" w:cs="Times New Roman"/>
          <w:color w:val="000000"/>
          <w:lang w:val="x-none" w:eastAsia="x-none"/>
        </w:rPr>
        <w:t>FinCEN</w:t>
      </w:r>
      <w:r w:rsidRPr="00636D8D">
        <w:rPr>
          <w:rFonts w:ascii="Times New Roman" w:eastAsia="Courier New" w:hAnsi="Times New Roman" w:cs="Times New Roman"/>
          <w:color w:val="000000"/>
          <w:lang w:eastAsia="x-none"/>
        </w:rPr>
        <w:t xml:space="preserve">, </w:t>
      </w:r>
      <w:r w:rsidRPr="00636D8D">
        <w:rPr>
          <w:rFonts w:ascii="Times New Roman" w:eastAsia="Courier New" w:hAnsi="Times New Roman" w:cs="Times New Roman"/>
          <w:i/>
          <w:iCs/>
          <w:color w:val="000000"/>
          <w:lang w:eastAsia="x-none"/>
        </w:rPr>
        <w:t>Privacy Act of 1974, Systems</w:t>
      </w:r>
      <w:r w:rsidRPr="00636D8D">
        <w:rPr>
          <w:rFonts w:ascii="Times New Roman" w:eastAsia="Courier New" w:hAnsi="Times New Roman" w:cs="Times New Roman"/>
          <w:i/>
          <w:color w:val="000000"/>
        </w:rPr>
        <w:t xml:space="preserve"> of Records Notice</w:t>
      </w:r>
      <w:r w:rsidRPr="00636D8D">
        <w:rPr>
          <w:rFonts w:ascii="Times New Roman" w:eastAsia="Courier New" w:hAnsi="Times New Roman" w:cs="Times New Roman"/>
          <w:color w:val="000000"/>
          <w:lang w:eastAsia="x-none"/>
        </w:rPr>
        <w:t>,</w:t>
      </w:r>
      <w:r w:rsidRPr="00636D8D">
        <w:rPr>
          <w:rFonts w:ascii="Times New Roman" w:eastAsia="Courier New" w:hAnsi="Times New Roman" w:cs="Times New Roman"/>
          <w:lang w:eastAsia="x-none"/>
        </w:rPr>
        <w:t xml:space="preserve"> </w:t>
      </w:r>
      <w:r w:rsidRPr="00636D8D" w:rsidR="001034B9">
        <w:rPr>
          <w:rFonts w:ascii="Times New Roman" w:eastAsia="Courier New" w:hAnsi="Times New Roman" w:cs="Times New Roman"/>
          <w:color w:val="0000FF"/>
          <w:u w:val="single"/>
          <w:lang w:val="x-none" w:eastAsia="x-none"/>
        </w:rPr>
        <w:t>79 FR 20969</w:t>
      </w:r>
      <w:r w:rsidRPr="00636D8D">
        <w:rPr>
          <w:rFonts w:ascii="Times New Roman" w:eastAsia="Courier New" w:hAnsi="Times New Roman" w:cs="Times New Roman"/>
          <w:color w:val="0000FF"/>
          <w:lang w:eastAsia="x-none"/>
        </w:rPr>
        <w:t xml:space="preserve"> </w:t>
      </w:r>
      <w:r w:rsidRPr="00636D8D">
        <w:rPr>
          <w:rFonts w:ascii="Times New Roman" w:eastAsia="Courier New" w:hAnsi="Times New Roman" w:cs="Times New Roman"/>
          <w:lang w:eastAsia="x-none"/>
        </w:rPr>
        <w:t>(Apr. 14, 2014).</w:t>
      </w:r>
    </w:p>
  </w:footnote>
  <w:footnote w:id="12">
    <w:p w:rsidR="00273593" w:rsidRPr="00636D8D" w:rsidP="00273593" w14:paraId="6B3DA5EE" w14:textId="14375BEE">
      <w:pPr>
        <w:pStyle w:val="FootnoteText"/>
        <w:rPr>
          <w:rFonts w:ascii="Times New Roman" w:hAnsi="Times New Roman" w:cs="Times New Roman"/>
        </w:rPr>
      </w:pPr>
      <w:r w:rsidRPr="00636D8D">
        <w:rPr>
          <w:rStyle w:val="FootnoteReference"/>
          <w:rFonts w:ascii="Times New Roman" w:hAnsi="Times New Roman" w:cs="Times New Roman"/>
        </w:rPr>
        <w:footnoteRef/>
      </w:r>
      <w:r w:rsidRPr="00636D8D">
        <w:rPr>
          <w:rFonts w:ascii="Times New Roman" w:hAnsi="Times New Roman" w:cs="Times New Roman"/>
        </w:rPr>
        <w:t xml:space="preserve"> </w:t>
      </w:r>
      <w:r w:rsidRPr="00636D8D">
        <w:rPr>
          <w:rFonts w:ascii="Times New Roman" w:hAnsi="Times New Roman" w:cs="Times New Roman"/>
          <w:i/>
          <w:iCs/>
        </w:rPr>
        <w:t>See</w:t>
      </w:r>
      <w:r w:rsidRPr="00636D8D">
        <w:rPr>
          <w:rFonts w:ascii="Times New Roman" w:hAnsi="Times New Roman" w:cs="Times New Roman"/>
        </w:rPr>
        <w:t xml:space="preserve"> </w:t>
      </w:r>
      <w:r w:rsidR="00710E93">
        <w:rPr>
          <w:rFonts w:ascii="Times New Roman" w:hAnsi="Times New Roman" w:cs="Times New Roman"/>
        </w:rPr>
        <w:t>PPSI CIP NPRM</w:t>
      </w:r>
      <w:r w:rsidRPr="00636D8D">
        <w:rPr>
          <w:rFonts w:ascii="Times New Roman" w:hAnsi="Times New Roman" w:cs="Times New Roman"/>
        </w:rPr>
        <w:t xml:space="preserve">, at section </w:t>
      </w:r>
      <w:r w:rsidRPr="00636D8D" w:rsidR="00230CDC">
        <w:rPr>
          <w:rFonts w:ascii="Times New Roman" w:hAnsi="Times New Roman" w:cs="Times New Roman"/>
        </w:rPr>
        <w:t>V</w:t>
      </w:r>
      <w:r w:rsidRPr="00636D8D" w:rsidR="00F42BD3">
        <w:rPr>
          <w:rFonts w:ascii="Times New Roman" w:hAnsi="Times New Roman" w:cs="Times New Roman"/>
        </w:rPr>
        <w:t>I</w:t>
      </w:r>
      <w:r w:rsidRPr="00636D8D">
        <w:rPr>
          <w:rFonts w:ascii="Times New Roman" w:hAnsi="Times New Roman" w:cs="Times New Roman"/>
        </w:rPr>
        <w:t>II.E.1.</w:t>
      </w:r>
    </w:p>
  </w:footnote>
  <w:footnote w:id="13">
    <w:p w:rsidR="00840E85" w:rsidRPr="00636D8D" w:rsidP="00840E85" w14:paraId="680E633A" w14:textId="3E27CB14">
      <w:pPr>
        <w:pStyle w:val="FootnoteText"/>
        <w:rPr>
          <w:rFonts w:ascii="Times New Roman" w:hAnsi="Times New Roman" w:cs="Times New Roman"/>
        </w:rPr>
      </w:pPr>
      <w:r w:rsidRPr="00636D8D">
        <w:rPr>
          <w:rStyle w:val="FootnoteReference"/>
          <w:rFonts w:ascii="Times New Roman" w:hAnsi="Times New Roman" w:cs="Times New Roman"/>
        </w:rPr>
        <w:footnoteRef/>
      </w:r>
      <w:r w:rsidRPr="00636D8D">
        <w:rPr>
          <w:rFonts w:ascii="Times New Roman" w:hAnsi="Times New Roman" w:cs="Times New Roman"/>
        </w:rPr>
        <w:t xml:space="preserve"> For the burden hours and costs per activity covered under this </w:t>
      </w:r>
      <w:r w:rsidR="00221D00">
        <w:rPr>
          <w:rFonts w:ascii="Times New Roman" w:hAnsi="Times New Roman" w:cs="Times New Roman"/>
        </w:rPr>
        <w:t>supporting statement</w:t>
      </w:r>
      <w:r w:rsidRPr="00636D8D">
        <w:rPr>
          <w:rFonts w:ascii="Times New Roman" w:hAnsi="Times New Roman" w:cs="Times New Roman"/>
        </w:rPr>
        <w:t xml:space="preserve"> (i.e., those associated with establishing and maintaining a written CIP</w:t>
      </w:r>
      <w:r w:rsidRPr="00636D8D" w:rsidR="00036880">
        <w:rPr>
          <w:rFonts w:ascii="Times New Roman" w:hAnsi="Times New Roman" w:cs="Times New Roman"/>
        </w:rPr>
        <w:t>; obtaining and verifying customer identification information; consulting government lists, and providing notice to customers)</w:t>
      </w:r>
      <w:r w:rsidRPr="00636D8D">
        <w:rPr>
          <w:rFonts w:ascii="Times New Roman" w:hAnsi="Times New Roman" w:cs="Times New Roman"/>
        </w:rPr>
        <w:t xml:space="preserve">, </w:t>
      </w:r>
      <w:r w:rsidRPr="00EC612F">
        <w:rPr>
          <w:rFonts w:ascii="Times New Roman" w:hAnsi="Times New Roman" w:cs="Times New Roman"/>
          <w:i/>
          <w:iCs/>
        </w:rPr>
        <w:t>see</w:t>
      </w:r>
      <w:r w:rsidRPr="002A20FA">
        <w:rPr>
          <w:rFonts w:ascii="Times New Roman" w:hAnsi="Times New Roman" w:cs="Times New Roman"/>
        </w:rPr>
        <w:t xml:space="preserve"> </w:t>
      </w:r>
      <w:r w:rsidRPr="002A20FA" w:rsidR="002A20FA">
        <w:rPr>
          <w:rFonts w:ascii="Times New Roman" w:hAnsi="Times New Roman" w:cs="Times New Roman"/>
        </w:rPr>
        <w:t>the PPSI CIP NPRM</w:t>
      </w:r>
      <w:r w:rsidRPr="00636D8D">
        <w:rPr>
          <w:rFonts w:ascii="Times New Roman" w:hAnsi="Times New Roman" w:cs="Times New Roman"/>
        </w:rPr>
        <w:t xml:space="preserve">, at sections </w:t>
      </w:r>
      <w:r w:rsidRPr="00636D8D" w:rsidR="00B4408B">
        <w:rPr>
          <w:rFonts w:ascii="Times New Roman" w:hAnsi="Times New Roman" w:cs="Times New Roman"/>
        </w:rPr>
        <w:t>V</w:t>
      </w:r>
      <w:r w:rsidRPr="00636D8D" w:rsidR="00F42BD3">
        <w:rPr>
          <w:rFonts w:ascii="Times New Roman" w:hAnsi="Times New Roman" w:cs="Times New Roman"/>
        </w:rPr>
        <w:t>I</w:t>
      </w:r>
      <w:r w:rsidRPr="00636D8D">
        <w:rPr>
          <w:rFonts w:ascii="Times New Roman" w:hAnsi="Times New Roman" w:cs="Times New Roman"/>
        </w:rPr>
        <w:t>II.E.</w:t>
      </w:r>
      <w:r w:rsidRPr="00636D8D" w:rsidR="00B4408B">
        <w:rPr>
          <w:rFonts w:ascii="Times New Roman" w:hAnsi="Times New Roman" w:cs="Times New Roman"/>
        </w:rPr>
        <w:t>2 and 3</w:t>
      </w:r>
      <w:r w:rsidRPr="00636D8D">
        <w:rPr>
          <w:rFonts w:ascii="Times New Roman" w:hAnsi="Times New Roman" w:cs="Times New Roman"/>
        </w:rPr>
        <w:t xml:space="preserve">.  </w:t>
      </w:r>
    </w:p>
  </w:footnote>
  <w:footnote w:id="14">
    <w:p w:rsidR="00C23255" w:rsidRPr="00636D8D" w:rsidP="00C23255" w14:paraId="09C93F72" w14:textId="4F37C04D">
      <w:pPr>
        <w:pStyle w:val="FootnoteText"/>
        <w:rPr>
          <w:rFonts w:ascii="Times New Roman" w:hAnsi="Times New Roman" w:cs="Times New Roman"/>
        </w:rPr>
      </w:pPr>
      <w:r w:rsidRPr="00636D8D">
        <w:rPr>
          <w:rStyle w:val="FootnoteReference"/>
          <w:rFonts w:ascii="Times New Roman" w:hAnsi="Times New Roman" w:cs="Times New Roman"/>
        </w:rPr>
        <w:footnoteRef/>
      </w:r>
      <w:r w:rsidRPr="00636D8D">
        <w:rPr>
          <w:rFonts w:ascii="Times New Roman" w:hAnsi="Times New Roman" w:cs="Times New Roman"/>
        </w:rPr>
        <w:t xml:space="preserve"> </w:t>
      </w:r>
      <w:r w:rsidRPr="00636D8D" w:rsidR="00702A75">
        <w:rPr>
          <w:rFonts w:ascii="Times New Roman" w:hAnsi="Times New Roman" w:cs="Times New Roman"/>
        </w:rPr>
        <w:t xml:space="preserve">To arrive at this wage rate, FinCEN first derives a general composite hourly wage of $87.61 using Bureau of Labor Statistics (BLS) May 2024 mean wage data.  </w:t>
      </w:r>
      <w:r w:rsidRPr="00636D8D" w:rsidR="00702A75">
        <w:rPr>
          <w:rFonts w:ascii="Times New Roman" w:hAnsi="Times New Roman" w:cs="Times New Roman"/>
          <w:i/>
          <w:iCs/>
        </w:rPr>
        <w:t>May 2024—National industry-specific and by ownership</w:t>
      </w:r>
      <w:r w:rsidRPr="00636D8D" w:rsidR="00702A75">
        <w:rPr>
          <w:rFonts w:ascii="Times New Roman" w:hAnsi="Times New Roman" w:cs="Times New Roman"/>
        </w:rPr>
        <w:t xml:space="preserve">, </w:t>
      </w:r>
      <w:hyperlink r:id="rId1" w:history="1">
        <w:r w:rsidRPr="00636D8D" w:rsidR="00702A75">
          <w:rPr>
            <w:rStyle w:val="Hyperlink"/>
            <w:rFonts w:ascii="Times New Roman" w:hAnsi="Times New Roman" w:cs="Times New Roman"/>
          </w:rPr>
          <w:t>https://www.bls.gov/oes/tables.htm</w:t>
        </w:r>
      </w:hyperlink>
      <w:r w:rsidRPr="00636D8D" w:rsidR="00702A75">
        <w:rPr>
          <w:rFonts w:ascii="Times New Roman" w:hAnsi="Times New Roman" w:cs="Times New Roman"/>
        </w:rPr>
        <w:t xml:space="preserve">.  This composite is calculated by averaging wages across six occupations (11-1010, 11-3021, 11-3031, 13-1041, 23-1010, and 43-3099) and nine groupings of North American Industry Classification System codes that are most comparable to the 11 categories of affected financial institutions in 31 CFR parts 1020–1030.  FinCEN then adjusts this base wage to reflect total employer costs, including benefits.  To do so, it applies a private sector benefits factor of 1.42, calculated from BLS Employer Costs for Employee Compensation data for private industry workers as of June 2024 (total compensation of $43.94 divided by wages and salaries of $30.90).  </w:t>
      </w:r>
      <w:r w:rsidRPr="00636D8D" w:rsidR="00702A75">
        <w:rPr>
          <w:rFonts w:ascii="Times New Roman" w:hAnsi="Times New Roman" w:cs="Times New Roman"/>
          <w:i/>
          <w:iCs/>
        </w:rPr>
        <w:t>Employer Costs for Employee Compensation</w:t>
      </w:r>
      <w:r w:rsidRPr="00636D8D" w:rsidR="00702A75">
        <w:rPr>
          <w:rFonts w:ascii="Times New Roman" w:hAnsi="Times New Roman" w:cs="Times New Roman"/>
        </w:rPr>
        <w:t xml:space="preserve"> data, </w:t>
      </w:r>
      <w:hyperlink r:id="rId2" w:history="1">
        <w:r w:rsidRPr="00636D8D" w:rsidR="00702A75">
          <w:rPr>
            <w:rStyle w:val="Hyperlink"/>
            <w:rFonts w:ascii="Times New Roman" w:hAnsi="Times New Roman" w:cs="Times New Roman"/>
          </w:rPr>
          <w:t>https://www.bls.gov/news.release/archives/ecec_09102024.pdf</w:t>
        </w:r>
      </w:hyperlink>
      <w:r w:rsidRPr="00636D8D" w:rsidR="00702A75">
        <w:rPr>
          <w:rFonts w:ascii="Times New Roman" w:hAnsi="Times New Roman" w:cs="Times New Roman"/>
        </w:rPr>
        <w:t xml:space="preserve">.  Applying this factor to the composite wage results in a fully loaded hourly rate of $124.58 ($87.61 × 1.42), which reflects total compensation, including benefits such as insurance and paid leave.  </w:t>
      </w:r>
    </w:p>
  </w:footnote>
  <w:footnote w:id="15">
    <w:p w:rsidR="00C23255" w:rsidRPr="00636D8D" w14:paraId="22AAE895" w14:textId="2ACE66DE">
      <w:pPr>
        <w:pStyle w:val="FootnoteText"/>
        <w:rPr>
          <w:rFonts w:ascii="Times New Roman" w:hAnsi="Times New Roman" w:cs="Times New Roman"/>
        </w:rPr>
      </w:pPr>
      <w:r w:rsidRPr="00636D8D">
        <w:rPr>
          <w:rStyle w:val="FootnoteReference"/>
          <w:rFonts w:ascii="Times New Roman" w:hAnsi="Times New Roman" w:cs="Times New Roman"/>
        </w:rPr>
        <w:footnoteRef/>
      </w:r>
      <w:r w:rsidRPr="00636D8D" w:rsidR="008D1B50">
        <w:rPr>
          <w:rFonts w:ascii="Times New Roman" w:eastAsia="Aptos" w:hAnsi="Times New Roman" w:cs="Times New Roman"/>
          <w:kern w:val="2"/>
        </w:rPr>
        <w:t xml:space="preserve"> This per-respondent cost accounts for storage and technology costs</w:t>
      </w:r>
      <w:r w:rsidRPr="00636D8D" w:rsidR="004130E5">
        <w:rPr>
          <w:rFonts w:ascii="Times New Roman" w:eastAsia="Aptos" w:hAnsi="Times New Roman" w:cs="Times New Roman"/>
          <w:kern w:val="2"/>
        </w:rPr>
        <w:t xml:space="preserve"> associated with recordkeeping</w:t>
      </w:r>
      <w:r w:rsidRPr="00636D8D" w:rsidR="008D1B50">
        <w:rPr>
          <w:rFonts w:ascii="Times New Roman" w:eastAsia="Aptos" w:hAnsi="Times New Roman" w:cs="Times New Roman"/>
          <w:kern w:val="2"/>
        </w:rPr>
        <w:t xml:space="preserve">.  </w:t>
      </w:r>
      <w:r w:rsidRPr="00636D8D" w:rsidR="008D1B50">
        <w:rPr>
          <w:rFonts w:ascii="Times New Roman" w:eastAsia="Aptos" w:hAnsi="Times New Roman" w:cs="Times New Roman"/>
          <w:i/>
          <w:iCs/>
          <w:kern w:val="2"/>
        </w:rPr>
        <w:t>See</w:t>
      </w:r>
      <w:r w:rsidRPr="00636D8D" w:rsidR="008D1B50">
        <w:rPr>
          <w:rFonts w:ascii="Times New Roman" w:eastAsia="Aptos" w:hAnsi="Times New Roman" w:cs="Times New Roman"/>
          <w:kern w:val="2"/>
        </w:rPr>
        <w:t xml:space="preserve"> </w:t>
      </w:r>
      <w:r w:rsidR="002A20FA">
        <w:rPr>
          <w:rFonts w:ascii="Times New Roman" w:hAnsi="Times New Roman" w:cs="Times New Roman"/>
        </w:rPr>
        <w:t>PPSI CIP NPRM</w:t>
      </w:r>
      <w:r w:rsidRPr="00636D8D" w:rsidR="00AB59B3">
        <w:rPr>
          <w:rFonts w:ascii="Times New Roman" w:hAnsi="Times New Roman" w:cs="Times New Roman"/>
        </w:rPr>
        <w:t>, at section VII</w:t>
      </w:r>
      <w:r w:rsidRPr="00636D8D" w:rsidR="00F42BD3">
        <w:rPr>
          <w:rFonts w:ascii="Times New Roman" w:hAnsi="Times New Roman" w:cs="Times New Roman"/>
        </w:rPr>
        <w:t>I</w:t>
      </w:r>
      <w:r w:rsidRPr="00636D8D" w:rsidR="00AB59B3">
        <w:rPr>
          <w:rFonts w:ascii="Times New Roman" w:hAnsi="Times New Roman" w:cs="Times New Roman"/>
        </w:rPr>
        <w:t>.E.2</w:t>
      </w:r>
      <w:r w:rsidRPr="00636D8D" w:rsidR="009571C5">
        <w:rPr>
          <w:rFonts w:ascii="Times New Roman" w:hAnsi="Times New Roman" w:cs="Times New Roman"/>
        </w:rPr>
        <w:t>.iii</w:t>
      </w:r>
      <w:r w:rsidRPr="00636D8D" w:rsidR="004130E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DF7"/>
    <w:multiLevelType w:val="hybridMultilevel"/>
    <w:tmpl w:val="D540A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7D371C"/>
    <w:multiLevelType w:val="hybridMultilevel"/>
    <w:tmpl w:val="2E18CB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7FD1"/>
    <w:multiLevelType w:val="hybridMultilevel"/>
    <w:tmpl w:val="CBB45CB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1735E9"/>
    <w:multiLevelType w:val="hybridMultilevel"/>
    <w:tmpl w:val="F9F8212A"/>
    <w:lvl w:ilvl="0">
      <w:start w:val="0"/>
      <w:numFmt w:val="bullet"/>
      <w:lvlText w:val=""/>
      <w:lvlJc w:val="left"/>
      <w:pPr>
        <w:ind w:left="720" w:hanging="360"/>
      </w:pPr>
      <w:rPr>
        <w:rFonts w:ascii="Symbol" w:hAnsi="Symbol"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D5DDB"/>
    <w:multiLevelType w:val="hybridMultilevel"/>
    <w:tmpl w:val="A6C2F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BD66CF"/>
    <w:multiLevelType w:val="hybridMultilevel"/>
    <w:tmpl w:val="5C800E0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7E29FF"/>
    <w:multiLevelType w:val="hybridMultilevel"/>
    <w:tmpl w:val="A212FA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57A3BBF"/>
    <w:multiLevelType w:val="hybridMultilevel"/>
    <w:tmpl w:val="8E4A4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C22694"/>
    <w:multiLevelType w:val="hybridMultilevel"/>
    <w:tmpl w:val="6738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95090B"/>
    <w:multiLevelType w:val="hybridMultilevel"/>
    <w:tmpl w:val="11A680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4831039"/>
    <w:multiLevelType w:val="hybridMultilevel"/>
    <w:tmpl w:val="E38290B0"/>
    <w:lvl w:ilvl="0">
      <w:start w:val="0"/>
      <w:numFmt w:val="bullet"/>
      <w:lvlText w:val=""/>
      <w:lvlJc w:val="left"/>
      <w:pPr>
        <w:ind w:left="720" w:hanging="360"/>
      </w:pPr>
      <w:rPr>
        <w:rFonts w:ascii="Symbol" w:eastAsia="MS Mincho"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A4165F"/>
    <w:multiLevelType w:val="hybridMultilevel"/>
    <w:tmpl w:val="EADC96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D834CC"/>
    <w:multiLevelType w:val="hybridMultilevel"/>
    <w:tmpl w:val="8FD41EC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1737DC"/>
    <w:multiLevelType w:val="hybridMultilevel"/>
    <w:tmpl w:val="4A2A9F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6D104AD"/>
    <w:multiLevelType w:val="hybridMultilevel"/>
    <w:tmpl w:val="46022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3247634">
    <w:abstractNumId w:val="8"/>
  </w:num>
  <w:num w:numId="2" w16cid:durableId="1178079767">
    <w:abstractNumId w:val="6"/>
  </w:num>
  <w:num w:numId="3" w16cid:durableId="1734547058">
    <w:abstractNumId w:val="7"/>
  </w:num>
  <w:num w:numId="4" w16cid:durableId="508256726">
    <w:abstractNumId w:val="10"/>
  </w:num>
  <w:num w:numId="5" w16cid:durableId="1131820865">
    <w:abstractNumId w:val="0"/>
  </w:num>
  <w:num w:numId="6" w16cid:durableId="2075852913">
    <w:abstractNumId w:val="4"/>
  </w:num>
  <w:num w:numId="7" w16cid:durableId="1064526070">
    <w:abstractNumId w:val="12"/>
  </w:num>
  <w:num w:numId="8" w16cid:durableId="2080981165">
    <w:abstractNumId w:val="2"/>
  </w:num>
  <w:num w:numId="9" w16cid:durableId="2069375409">
    <w:abstractNumId w:val="3"/>
  </w:num>
  <w:num w:numId="10" w16cid:durableId="1344043699">
    <w:abstractNumId w:val="14"/>
  </w:num>
  <w:num w:numId="11" w16cid:durableId="1795437572">
    <w:abstractNumId w:val="5"/>
  </w:num>
  <w:num w:numId="12" w16cid:durableId="1698508133">
    <w:abstractNumId w:val="1"/>
  </w:num>
  <w:num w:numId="13" w16cid:durableId="1592813173">
    <w:abstractNumId w:val="11"/>
  </w:num>
  <w:num w:numId="14" w16cid:durableId="799112634">
    <w:abstractNumId w:val="9"/>
  </w:num>
  <w:num w:numId="15" w16cid:durableId="1630042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A"/>
    <w:rsid w:val="00004B5B"/>
    <w:rsid w:val="00012FB2"/>
    <w:rsid w:val="00016E42"/>
    <w:rsid w:val="00020FFF"/>
    <w:rsid w:val="000366E5"/>
    <w:rsid w:val="00036880"/>
    <w:rsid w:val="00037741"/>
    <w:rsid w:val="00040DD3"/>
    <w:rsid w:val="00042333"/>
    <w:rsid w:val="000505CE"/>
    <w:rsid w:val="0005472B"/>
    <w:rsid w:val="00054D1E"/>
    <w:rsid w:val="00056F5F"/>
    <w:rsid w:val="00057649"/>
    <w:rsid w:val="000609D7"/>
    <w:rsid w:val="00062CBA"/>
    <w:rsid w:val="00063A83"/>
    <w:rsid w:val="000710DC"/>
    <w:rsid w:val="00073249"/>
    <w:rsid w:val="00076046"/>
    <w:rsid w:val="00076A66"/>
    <w:rsid w:val="0008016B"/>
    <w:rsid w:val="00091B68"/>
    <w:rsid w:val="00093296"/>
    <w:rsid w:val="0009337F"/>
    <w:rsid w:val="0009791E"/>
    <w:rsid w:val="00097C4C"/>
    <w:rsid w:val="000A49BA"/>
    <w:rsid w:val="000B08E5"/>
    <w:rsid w:val="000B133F"/>
    <w:rsid w:val="000B1E32"/>
    <w:rsid w:val="000B3CF1"/>
    <w:rsid w:val="000B79C1"/>
    <w:rsid w:val="000D025D"/>
    <w:rsid w:val="000D0FCC"/>
    <w:rsid w:val="000D202A"/>
    <w:rsid w:val="000E12CB"/>
    <w:rsid w:val="000E29BF"/>
    <w:rsid w:val="000F6E22"/>
    <w:rsid w:val="000F7D3D"/>
    <w:rsid w:val="00102E45"/>
    <w:rsid w:val="001034B9"/>
    <w:rsid w:val="00113BDF"/>
    <w:rsid w:val="0011768B"/>
    <w:rsid w:val="0012213D"/>
    <w:rsid w:val="00122A03"/>
    <w:rsid w:val="00125F83"/>
    <w:rsid w:val="0012724C"/>
    <w:rsid w:val="001376C7"/>
    <w:rsid w:val="00141D69"/>
    <w:rsid w:val="00143E05"/>
    <w:rsid w:val="00144AA1"/>
    <w:rsid w:val="001454C1"/>
    <w:rsid w:val="001603F4"/>
    <w:rsid w:val="0016560A"/>
    <w:rsid w:val="00172D37"/>
    <w:rsid w:val="00185BD5"/>
    <w:rsid w:val="00191B42"/>
    <w:rsid w:val="0019494B"/>
    <w:rsid w:val="00195C95"/>
    <w:rsid w:val="001A32B0"/>
    <w:rsid w:val="001A6B4D"/>
    <w:rsid w:val="001B6F90"/>
    <w:rsid w:val="001C2A5A"/>
    <w:rsid w:val="001C782D"/>
    <w:rsid w:val="001D349E"/>
    <w:rsid w:val="001D6D41"/>
    <w:rsid w:val="001E6271"/>
    <w:rsid w:val="001E7C12"/>
    <w:rsid w:val="00201625"/>
    <w:rsid w:val="00203EE1"/>
    <w:rsid w:val="0020547B"/>
    <w:rsid w:val="0021468C"/>
    <w:rsid w:val="00216CEF"/>
    <w:rsid w:val="002210FE"/>
    <w:rsid w:val="00221D00"/>
    <w:rsid w:val="00230250"/>
    <w:rsid w:val="00230CDC"/>
    <w:rsid w:val="00232FA3"/>
    <w:rsid w:val="00236C9C"/>
    <w:rsid w:val="00237A44"/>
    <w:rsid w:val="00237EC9"/>
    <w:rsid w:val="00240CCA"/>
    <w:rsid w:val="00240FC3"/>
    <w:rsid w:val="00242D0F"/>
    <w:rsid w:val="00244D53"/>
    <w:rsid w:val="00245AE2"/>
    <w:rsid w:val="00251826"/>
    <w:rsid w:val="00252701"/>
    <w:rsid w:val="00256EC8"/>
    <w:rsid w:val="0025777E"/>
    <w:rsid w:val="00264DC7"/>
    <w:rsid w:val="00267A32"/>
    <w:rsid w:val="00271096"/>
    <w:rsid w:val="00273593"/>
    <w:rsid w:val="00273C3D"/>
    <w:rsid w:val="00276A62"/>
    <w:rsid w:val="00280516"/>
    <w:rsid w:val="002806E5"/>
    <w:rsid w:val="00280ED6"/>
    <w:rsid w:val="00283448"/>
    <w:rsid w:val="00284AB9"/>
    <w:rsid w:val="00290FA7"/>
    <w:rsid w:val="00291E36"/>
    <w:rsid w:val="002A07CD"/>
    <w:rsid w:val="002A11AE"/>
    <w:rsid w:val="002A20FA"/>
    <w:rsid w:val="002A3DC3"/>
    <w:rsid w:val="002B3E40"/>
    <w:rsid w:val="002B4371"/>
    <w:rsid w:val="002C62D4"/>
    <w:rsid w:val="002C68A3"/>
    <w:rsid w:val="002D03E8"/>
    <w:rsid w:val="002D7FCD"/>
    <w:rsid w:val="002E5FF9"/>
    <w:rsid w:val="002F23F5"/>
    <w:rsid w:val="00300EC2"/>
    <w:rsid w:val="00302428"/>
    <w:rsid w:val="00302737"/>
    <w:rsid w:val="00314E17"/>
    <w:rsid w:val="0031718E"/>
    <w:rsid w:val="003214A2"/>
    <w:rsid w:val="0032173E"/>
    <w:rsid w:val="003219F9"/>
    <w:rsid w:val="003228D9"/>
    <w:rsid w:val="003305F0"/>
    <w:rsid w:val="00331028"/>
    <w:rsid w:val="003419A8"/>
    <w:rsid w:val="00357FEC"/>
    <w:rsid w:val="00361CD5"/>
    <w:rsid w:val="00362741"/>
    <w:rsid w:val="00364BBD"/>
    <w:rsid w:val="00366D5E"/>
    <w:rsid w:val="00366FFE"/>
    <w:rsid w:val="00374277"/>
    <w:rsid w:val="003767C8"/>
    <w:rsid w:val="00380100"/>
    <w:rsid w:val="003872F9"/>
    <w:rsid w:val="003922C1"/>
    <w:rsid w:val="0039349E"/>
    <w:rsid w:val="003A3147"/>
    <w:rsid w:val="003A34C5"/>
    <w:rsid w:val="003A7D40"/>
    <w:rsid w:val="003B19FD"/>
    <w:rsid w:val="003C3EA7"/>
    <w:rsid w:val="003C48C3"/>
    <w:rsid w:val="003C6FF3"/>
    <w:rsid w:val="003D089A"/>
    <w:rsid w:val="003D55BD"/>
    <w:rsid w:val="003E59EF"/>
    <w:rsid w:val="003F5082"/>
    <w:rsid w:val="003F7A0C"/>
    <w:rsid w:val="00404A6F"/>
    <w:rsid w:val="00404E23"/>
    <w:rsid w:val="0041051C"/>
    <w:rsid w:val="004130E5"/>
    <w:rsid w:val="004215A9"/>
    <w:rsid w:val="00421AAC"/>
    <w:rsid w:val="00421C80"/>
    <w:rsid w:val="00424848"/>
    <w:rsid w:val="00427158"/>
    <w:rsid w:val="00442B6A"/>
    <w:rsid w:val="00444373"/>
    <w:rsid w:val="00445381"/>
    <w:rsid w:val="004579D6"/>
    <w:rsid w:val="0046419A"/>
    <w:rsid w:val="00470BE9"/>
    <w:rsid w:val="00480771"/>
    <w:rsid w:val="004832AE"/>
    <w:rsid w:val="00484156"/>
    <w:rsid w:val="0048594F"/>
    <w:rsid w:val="00497987"/>
    <w:rsid w:val="004A2366"/>
    <w:rsid w:val="004A5485"/>
    <w:rsid w:val="004B3D55"/>
    <w:rsid w:val="004B7158"/>
    <w:rsid w:val="004C2448"/>
    <w:rsid w:val="004C4224"/>
    <w:rsid w:val="004C4714"/>
    <w:rsid w:val="004D1483"/>
    <w:rsid w:val="004D2B32"/>
    <w:rsid w:val="004E3D91"/>
    <w:rsid w:val="004E3FE0"/>
    <w:rsid w:val="004F09C7"/>
    <w:rsid w:val="004F3E3E"/>
    <w:rsid w:val="00503252"/>
    <w:rsid w:val="005037C3"/>
    <w:rsid w:val="00510419"/>
    <w:rsid w:val="00511B32"/>
    <w:rsid w:val="00513245"/>
    <w:rsid w:val="00524F8E"/>
    <w:rsid w:val="00526268"/>
    <w:rsid w:val="005273C5"/>
    <w:rsid w:val="00533498"/>
    <w:rsid w:val="00533F3D"/>
    <w:rsid w:val="005421FC"/>
    <w:rsid w:val="005455E3"/>
    <w:rsid w:val="00550294"/>
    <w:rsid w:val="005502A6"/>
    <w:rsid w:val="005549E8"/>
    <w:rsid w:val="005563E9"/>
    <w:rsid w:val="00560F62"/>
    <w:rsid w:val="00562421"/>
    <w:rsid w:val="00564839"/>
    <w:rsid w:val="00572361"/>
    <w:rsid w:val="00577FC1"/>
    <w:rsid w:val="00583024"/>
    <w:rsid w:val="0059460A"/>
    <w:rsid w:val="005951CF"/>
    <w:rsid w:val="005A7F19"/>
    <w:rsid w:val="005B3565"/>
    <w:rsid w:val="005D3DCD"/>
    <w:rsid w:val="005D3FE5"/>
    <w:rsid w:val="005D5BBB"/>
    <w:rsid w:val="005E1DA4"/>
    <w:rsid w:val="005E6E8B"/>
    <w:rsid w:val="005E77FA"/>
    <w:rsid w:val="005F5E11"/>
    <w:rsid w:val="00611F01"/>
    <w:rsid w:val="00616F69"/>
    <w:rsid w:val="00620082"/>
    <w:rsid w:val="006279AC"/>
    <w:rsid w:val="0063045E"/>
    <w:rsid w:val="00636D8D"/>
    <w:rsid w:val="00650B82"/>
    <w:rsid w:val="00652CC8"/>
    <w:rsid w:val="00657616"/>
    <w:rsid w:val="00662B53"/>
    <w:rsid w:val="00672F2F"/>
    <w:rsid w:val="00694D43"/>
    <w:rsid w:val="00697B72"/>
    <w:rsid w:val="006A5FC2"/>
    <w:rsid w:val="006A67BB"/>
    <w:rsid w:val="006B5411"/>
    <w:rsid w:val="006B691E"/>
    <w:rsid w:val="006C18B1"/>
    <w:rsid w:val="006D083D"/>
    <w:rsid w:val="006D3728"/>
    <w:rsid w:val="006E58BC"/>
    <w:rsid w:val="006E6522"/>
    <w:rsid w:val="006E7BCC"/>
    <w:rsid w:val="006F455E"/>
    <w:rsid w:val="006F5B7E"/>
    <w:rsid w:val="00702A75"/>
    <w:rsid w:val="00706CED"/>
    <w:rsid w:val="00710E93"/>
    <w:rsid w:val="00716CB3"/>
    <w:rsid w:val="007249A7"/>
    <w:rsid w:val="00730081"/>
    <w:rsid w:val="00730662"/>
    <w:rsid w:val="0073470A"/>
    <w:rsid w:val="00737232"/>
    <w:rsid w:val="007424B0"/>
    <w:rsid w:val="00743212"/>
    <w:rsid w:val="00743D64"/>
    <w:rsid w:val="00745C48"/>
    <w:rsid w:val="00751358"/>
    <w:rsid w:val="00752587"/>
    <w:rsid w:val="00760442"/>
    <w:rsid w:val="0076054E"/>
    <w:rsid w:val="00761028"/>
    <w:rsid w:val="00766BF8"/>
    <w:rsid w:val="00770364"/>
    <w:rsid w:val="007738F5"/>
    <w:rsid w:val="0077502B"/>
    <w:rsid w:val="00777B80"/>
    <w:rsid w:val="00787027"/>
    <w:rsid w:val="00787B64"/>
    <w:rsid w:val="0079392A"/>
    <w:rsid w:val="007962C0"/>
    <w:rsid w:val="007A0378"/>
    <w:rsid w:val="007C1956"/>
    <w:rsid w:val="007C4AFB"/>
    <w:rsid w:val="007D116F"/>
    <w:rsid w:val="007D41DD"/>
    <w:rsid w:val="007E0D4E"/>
    <w:rsid w:val="007E2F9D"/>
    <w:rsid w:val="007E5ACE"/>
    <w:rsid w:val="007E669C"/>
    <w:rsid w:val="007E79CE"/>
    <w:rsid w:val="007E7FDD"/>
    <w:rsid w:val="007F0010"/>
    <w:rsid w:val="007F1E0C"/>
    <w:rsid w:val="00807393"/>
    <w:rsid w:val="00812340"/>
    <w:rsid w:val="008161E9"/>
    <w:rsid w:val="00816434"/>
    <w:rsid w:val="00822ADD"/>
    <w:rsid w:val="00823A4A"/>
    <w:rsid w:val="008302E0"/>
    <w:rsid w:val="00840E85"/>
    <w:rsid w:val="00842581"/>
    <w:rsid w:val="008473C4"/>
    <w:rsid w:val="00854D10"/>
    <w:rsid w:val="00863E6E"/>
    <w:rsid w:val="008710E7"/>
    <w:rsid w:val="00874621"/>
    <w:rsid w:val="00877EF1"/>
    <w:rsid w:val="00883389"/>
    <w:rsid w:val="00892F53"/>
    <w:rsid w:val="00895E11"/>
    <w:rsid w:val="0089662A"/>
    <w:rsid w:val="00897939"/>
    <w:rsid w:val="008B1D91"/>
    <w:rsid w:val="008B2464"/>
    <w:rsid w:val="008B2F9B"/>
    <w:rsid w:val="008B3AEC"/>
    <w:rsid w:val="008D1B50"/>
    <w:rsid w:val="008D28F2"/>
    <w:rsid w:val="008E369E"/>
    <w:rsid w:val="008F4722"/>
    <w:rsid w:val="00900C63"/>
    <w:rsid w:val="009100B4"/>
    <w:rsid w:val="00911420"/>
    <w:rsid w:val="00912704"/>
    <w:rsid w:val="00916ED0"/>
    <w:rsid w:val="00920571"/>
    <w:rsid w:val="0092137D"/>
    <w:rsid w:val="00921C30"/>
    <w:rsid w:val="00922D22"/>
    <w:rsid w:val="009314E6"/>
    <w:rsid w:val="009323F6"/>
    <w:rsid w:val="0094292C"/>
    <w:rsid w:val="009440EE"/>
    <w:rsid w:val="009571C5"/>
    <w:rsid w:val="009612F7"/>
    <w:rsid w:val="00961640"/>
    <w:rsid w:val="00961983"/>
    <w:rsid w:val="009705FE"/>
    <w:rsid w:val="00977AAF"/>
    <w:rsid w:val="0098707D"/>
    <w:rsid w:val="00987D6F"/>
    <w:rsid w:val="00990CEF"/>
    <w:rsid w:val="00994954"/>
    <w:rsid w:val="00995AD9"/>
    <w:rsid w:val="00995C18"/>
    <w:rsid w:val="00995D27"/>
    <w:rsid w:val="009B2C7C"/>
    <w:rsid w:val="009B3467"/>
    <w:rsid w:val="009B4A48"/>
    <w:rsid w:val="009B62EE"/>
    <w:rsid w:val="009C5868"/>
    <w:rsid w:val="009D17B8"/>
    <w:rsid w:val="009D1C26"/>
    <w:rsid w:val="009D2EBF"/>
    <w:rsid w:val="009D7DE9"/>
    <w:rsid w:val="009E2419"/>
    <w:rsid w:val="009F04F7"/>
    <w:rsid w:val="00A10BCD"/>
    <w:rsid w:val="00A11549"/>
    <w:rsid w:val="00A1402E"/>
    <w:rsid w:val="00A23AA1"/>
    <w:rsid w:val="00A3789A"/>
    <w:rsid w:val="00A37B05"/>
    <w:rsid w:val="00A448A7"/>
    <w:rsid w:val="00A47F9A"/>
    <w:rsid w:val="00A5616B"/>
    <w:rsid w:val="00A63C14"/>
    <w:rsid w:val="00A67041"/>
    <w:rsid w:val="00A746B8"/>
    <w:rsid w:val="00A80E6A"/>
    <w:rsid w:val="00A82E52"/>
    <w:rsid w:val="00A84B7B"/>
    <w:rsid w:val="00A8595E"/>
    <w:rsid w:val="00A87F0F"/>
    <w:rsid w:val="00A968DA"/>
    <w:rsid w:val="00AA1C44"/>
    <w:rsid w:val="00AA4B52"/>
    <w:rsid w:val="00AA75E1"/>
    <w:rsid w:val="00AB0E10"/>
    <w:rsid w:val="00AB37A9"/>
    <w:rsid w:val="00AB4C3E"/>
    <w:rsid w:val="00AB59B3"/>
    <w:rsid w:val="00AB5B89"/>
    <w:rsid w:val="00AC201A"/>
    <w:rsid w:val="00AC2205"/>
    <w:rsid w:val="00AD7654"/>
    <w:rsid w:val="00AE2092"/>
    <w:rsid w:val="00AE442C"/>
    <w:rsid w:val="00AF3645"/>
    <w:rsid w:val="00AF4997"/>
    <w:rsid w:val="00AF5668"/>
    <w:rsid w:val="00B0116D"/>
    <w:rsid w:val="00B075DD"/>
    <w:rsid w:val="00B11148"/>
    <w:rsid w:val="00B20F88"/>
    <w:rsid w:val="00B24C54"/>
    <w:rsid w:val="00B317C9"/>
    <w:rsid w:val="00B36335"/>
    <w:rsid w:val="00B4408B"/>
    <w:rsid w:val="00B4492F"/>
    <w:rsid w:val="00B5378B"/>
    <w:rsid w:val="00B54196"/>
    <w:rsid w:val="00B55AFD"/>
    <w:rsid w:val="00B64F0A"/>
    <w:rsid w:val="00B70447"/>
    <w:rsid w:val="00B70708"/>
    <w:rsid w:val="00B70A91"/>
    <w:rsid w:val="00B712EE"/>
    <w:rsid w:val="00B71B92"/>
    <w:rsid w:val="00B810EE"/>
    <w:rsid w:val="00B836D5"/>
    <w:rsid w:val="00B87C96"/>
    <w:rsid w:val="00B90B0E"/>
    <w:rsid w:val="00B919DE"/>
    <w:rsid w:val="00B95252"/>
    <w:rsid w:val="00B97111"/>
    <w:rsid w:val="00BA06C5"/>
    <w:rsid w:val="00BA0EA4"/>
    <w:rsid w:val="00BA79C0"/>
    <w:rsid w:val="00BB3AD3"/>
    <w:rsid w:val="00BB780C"/>
    <w:rsid w:val="00BC62A8"/>
    <w:rsid w:val="00BC707C"/>
    <w:rsid w:val="00BE7878"/>
    <w:rsid w:val="00BF0C23"/>
    <w:rsid w:val="00C018D4"/>
    <w:rsid w:val="00C026DB"/>
    <w:rsid w:val="00C054CF"/>
    <w:rsid w:val="00C17168"/>
    <w:rsid w:val="00C23255"/>
    <w:rsid w:val="00C2595D"/>
    <w:rsid w:val="00C443D7"/>
    <w:rsid w:val="00C564A0"/>
    <w:rsid w:val="00C60D7A"/>
    <w:rsid w:val="00C6508D"/>
    <w:rsid w:val="00C66266"/>
    <w:rsid w:val="00C727C6"/>
    <w:rsid w:val="00C76F2A"/>
    <w:rsid w:val="00C82506"/>
    <w:rsid w:val="00C869B7"/>
    <w:rsid w:val="00C8789A"/>
    <w:rsid w:val="00CA1711"/>
    <w:rsid w:val="00CA4C0A"/>
    <w:rsid w:val="00CA53E4"/>
    <w:rsid w:val="00CA6DC9"/>
    <w:rsid w:val="00CA7319"/>
    <w:rsid w:val="00CA7D6A"/>
    <w:rsid w:val="00CB24B1"/>
    <w:rsid w:val="00CB56F4"/>
    <w:rsid w:val="00CB6F7A"/>
    <w:rsid w:val="00CC0622"/>
    <w:rsid w:val="00CC0EF7"/>
    <w:rsid w:val="00CC726F"/>
    <w:rsid w:val="00CD1FBB"/>
    <w:rsid w:val="00CD71F5"/>
    <w:rsid w:val="00CE5D85"/>
    <w:rsid w:val="00CE78D9"/>
    <w:rsid w:val="00CF422C"/>
    <w:rsid w:val="00CF49DA"/>
    <w:rsid w:val="00CF75AA"/>
    <w:rsid w:val="00D17F20"/>
    <w:rsid w:val="00D22CB9"/>
    <w:rsid w:val="00D2326C"/>
    <w:rsid w:val="00D25BD4"/>
    <w:rsid w:val="00D271CA"/>
    <w:rsid w:val="00D37B88"/>
    <w:rsid w:val="00D37E53"/>
    <w:rsid w:val="00D519C2"/>
    <w:rsid w:val="00D5384D"/>
    <w:rsid w:val="00D53949"/>
    <w:rsid w:val="00D55AC6"/>
    <w:rsid w:val="00D6166B"/>
    <w:rsid w:val="00D65597"/>
    <w:rsid w:val="00D74AF9"/>
    <w:rsid w:val="00D879A7"/>
    <w:rsid w:val="00D91BA8"/>
    <w:rsid w:val="00D95354"/>
    <w:rsid w:val="00D97B05"/>
    <w:rsid w:val="00D97F40"/>
    <w:rsid w:val="00DA0042"/>
    <w:rsid w:val="00DA097B"/>
    <w:rsid w:val="00DB07D3"/>
    <w:rsid w:val="00DB09EF"/>
    <w:rsid w:val="00DB22A1"/>
    <w:rsid w:val="00DD2BF1"/>
    <w:rsid w:val="00DD3590"/>
    <w:rsid w:val="00DE021D"/>
    <w:rsid w:val="00DF006D"/>
    <w:rsid w:val="00DF04A0"/>
    <w:rsid w:val="00DF1D2A"/>
    <w:rsid w:val="00DF5744"/>
    <w:rsid w:val="00DF6E48"/>
    <w:rsid w:val="00E02FDD"/>
    <w:rsid w:val="00E07200"/>
    <w:rsid w:val="00E12FC1"/>
    <w:rsid w:val="00E135F6"/>
    <w:rsid w:val="00E2057F"/>
    <w:rsid w:val="00E231AB"/>
    <w:rsid w:val="00E31D5E"/>
    <w:rsid w:val="00E32A29"/>
    <w:rsid w:val="00E36874"/>
    <w:rsid w:val="00E504D1"/>
    <w:rsid w:val="00E5145A"/>
    <w:rsid w:val="00E53AEA"/>
    <w:rsid w:val="00E563DF"/>
    <w:rsid w:val="00E57562"/>
    <w:rsid w:val="00E60A6E"/>
    <w:rsid w:val="00E60C6C"/>
    <w:rsid w:val="00E64A65"/>
    <w:rsid w:val="00E654C2"/>
    <w:rsid w:val="00E664C1"/>
    <w:rsid w:val="00E676C1"/>
    <w:rsid w:val="00E72ED7"/>
    <w:rsid w:val="00E760BF"/>
    <w:rsid w:val="00E76EC7"/>
    <w:rsid w:val="00E8173A"/>
    <w:rsid w:val="00E851EE"/>
    <w:rsid w:val="00E87C8C"/>
    <w:rsid w:val="00E87F4A"/>
    <w:rsid w:val="00E907DF"/>
    <w:rsid w:val="00E90D08"/>
    <w:rsid w:val="00EA1B88"/>
    <w:rsid w:val="00EA2719"/>
    <w:rsid w:val="00EA3856"/>
    <w:rsid w:val="00EA6BD7"/>
    <w:rsid w:val="00EB416A"/>
    <w:rsid w:val="00EB60C5"/>
    <w:rsid w:val="00EB73BC"/>
    <w:rsid w:val="00EC08A0"/>
    <w:rsid w:val="00EC2C26"/>
    <w:rsid w:val="00EC612F"/>
    <w:rsid w:val="00EC7C0B"/>
    <w:rsid w:val="00ED743F"/>
    <w:rsid w:val="00EE146C"/>
    <w:rsid w:val="00EE66F2"/>
    <w:rsid w:val="00F00BF0"/>
    <w:rsid w:val="00F07C99"/>
    <w:rsid w:val="00F14638"/>
    <w:rsid w:val="00F167E0"/>
    <w:rsid w:val="00F2705D"/>
    <w:rsid w:val="00F35270"/>
    <w:rsid w:val="00F3704B"/>
    <w:rsid w:val="00F377B7"/>
    <w:rsid w:val="00F37853"/>
    <w:rsid w:val="00F4189F"/>
    <w:rsid w:val="00F42BD3"/>
    <w:rsid w:val="00F43CDF"/>
    <w:rsid w:val="00F45269"/>
    <w:rsid w:val="00F4593F"/>
    <w:rsid w:val="00F46A11"/>
    <w:rsid w:val="00F51403"/>
    <w:rsid w:val="00F67403"/>
    <w:rsid w:val="00F67FDB"/>
    <w:rsid w:val="00F70904"/>
    <w:rsid w:val="00F7491C"/>
    <w:rsid w:val="00FA58F1"/>
    <w:rsid w:val="00FB21E8"/>
    <w:rsid w:val="00FB3FEB"/>
    <w:rsid w:val="00FB4E6B"/>
    <w:rsid w:val="00FC041C"/>
    <w:rsid w:val="00FC0CCB"/>
    <w:rsid w:val="00FC70B0"/>
    <w:rsid w:val="00FD7737"/>
    <w:rsid w:val="00FE07F9"/>
    <w:rsid w:val="00FE0960"/>
    <w:rsid w:val="00FE34FA"/>
    <w:rsid w:val="04D44FB3"/>
    <w:rsid w:val="1CA7D9AA"/>
    <w:rsid w:val="1D59F7C6"/>
    <w:rsid w:val="20672831"/>
    <w:rsid w:val="225821AC"/>
    <w:rsid w:val="2DC44209"/>
    <w:rsid w:val="35A3A3FC"/>
    <w:rsid w:val="3661F5D1"/>
    <w:rsid w:val="3B19AE5D"/>
    <w:rsid w:val="3ED3AE93"/>
    <w:rsid w:val="3F71FC73"/>
    <w:rsid w:val="412C1257"/>
    <w:rsid w:val="57FB1444"/>
    <w:rsid w:val="5B5E32DC"/>
    <w:rsid w:val="625EC29A"/>
    <w:rsid w:val="6331FEDF"/>
    <w:rsid w:val="6D266184"/>
    <w:rsid w:val="7CB236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E42A00"/>
  <w15:chartTrackingRefBased/>
  <w15:docId w15:val="{ED85CD67-BA4D-4112-817F-3DF5F012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CCA"/>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24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CA"/>
    <w:rPr>
      <w:rFonts w:eastAsiaTheme="majorEastAsia" w:cstheme="majorBidi"/>
      <w:color w:val="272727" w:themeColor="text1" w:themeTint="D8"/>
    </w:rPr>
  </w:style>
  <w:style w:type="paragraph" w:styleId="Title">
    <w:name w:val="Title"/>
    <w:basedOn w:val="Normal"/>
    <w:next w:val="Normal"/>
    <w:link w:val="TitleChar"/>
    <w:uiPriority w:val="10"/>
    <w:qFormat/>
    <w:rsid w:val="0024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CA"/>
    <w:rPr>
      <w:i/>
      <w:iCs/>
      <w:color w:val="404040" w:themeColor="text1" w:themeTint="BF"/>
    </w:rPr>
  </w:style>
  <w:style w:type="paragraph" w:styleId="ListParagraph">
    <w:name w:val="List Paragraph"/>
    <w:basedOn w:val="Normal"/>
    <w:uiPriority w:val="34"/>
    <w:qFormat/>
    <w:rsid w:val="00240CCA"/>
    <w:pPr>
      <w:ind w:left="720"/>
      <w:contextualSpacing/>
    </w:pPr>
  </w:style>
  <w:style w:type="character" w:styleId="IntenseEmphasis">
    <w:name w:val="Intense Emphasis"/>
    <w:basedOn w:val="DefaultParagraphFont"/>
    <w:uiPriority w:val="21"/>
    <w:qFormat/>
    <w:rsid w:val="00240CCA"/>
    <w:rPr>
      <w:i/>
      <w:iCs/>
      <w:color w:val="0F4761" w:themeColor="accent1" w:themeShade="BF"/>
    </w:rPr>
  </w:style>
  <w:style w:type="paragraph" w:styleId="IntenseQuote">
    <w:name w:val="Intense Quote"/>
    <w:basedOn w:val="Normal"/>
    <w:next w:val="Normal"/>
    <w:link w:val="IntenseQuoteChar"/>
    <w:uiPriority w:val="30"/>
    <w:qFormat/>
    <w:rsid w:val="0024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CA"/>
    <w:rPr>
      <w:i/>
      <w:iCs/>
      <w:color w:val="0F4761" w:themeColor="accent1" w:themeShade="BF"/>
    </w:rPr>
  </w:style>
  <w:style w:type="character" w:styleId="IntenseReference">
    <w:name w:val="Intense Reference"/>
    <w:basedOn w:val="DefaultParagraphFont"/>
    <w:uiPriority w:val="32"/>
    <w:qFormat/>
    <w:rsid w:val="00240CCA"/>
    <w:rPr>
      <w:b/>
      <w:bCs/>
      <w:smallCaps/>
      <w:color w:val="0F4761" w:themeColor="accent1" w:themeShade="BF"/>
      <w:spacing w:val="5"/>
    </w:rPr>
  </w:style>
  <w:style w:type="paragraph" w:styleId="BodyText">
    <w:name w:val="Body Text"/>
    <w:basedOn w:val="Normal"/>
    <w:link w:val="BodyTextChar"/>
    <w:rsid w:val="00240CCA"/>
    <w:pPr>
      <w:autoSpaceDE w:val="0"/>
      <w:autoSpaceDN w:val="0"/>
      <w:adjustRightInd w:val="0"/>
      <w:spacing w:before="283"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40CCA"/>
    <w:rPr>
      <w:rFonts w:ascii="Times New Roman" w:eastAsia="Times New Roman" w:hAnsi="Times New Roman" w:cs="Times New Roman"/>
      <w:kern w:val="0"/>
      <w:sz w:val="21"/>
      <w:szCs w:val="21"/>
    </w:rPr>
  </w:style>
  <w:style w:type="paragraph" w:styleId="PlainText">
    <w:name w:val="Plain Text"/>
    <w:basedOn w:val="Normal"/>
    <w:link w:val="PlainTextChar"/>
    <w:uiPriority w:val="99"/>
    <w:rsid w:val="00240CC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40CCA"/>
    <w:rPr>
      <w:rFonts w:ascii="Courier New" w:eastAsia="Times New Roman" w:hAnsi="Courier New" w:cs="Courier New"/>
      <w:kern w:val="0"/>
      <w:sz w:val="20"/>
      <w:szCs w:val="20"/>
    </w:rPr>
  </w:style>
  <w:style w:type="paragraph" w:styleId="BodyTextIndent">
    <w:name w:val="Body Text Indent"/>
    <w:basedOn w:val="Normal"/>
    <w:link w:val="BodyTextIndentChar"/>
    <w:unhideWhenUsed/>
    <w:rsid w:val="00240CC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0CCA"/>
    <w:rPr>
      <w:rFonts w:ascii="Times New Roman" w:eastAsia="Times New Roman" w:hAnsi="Times New Roman" w:cs="Times New Roman"/>
      <w:kern w:val="0"/>
      <w:sz w:val="24"/>
      <w:szCs w:val="24"/>
    </w:rPr>
  </w:style>
  <w:style w:type="paragraph" w:styleId="Revision">
    <w:name w:val="Revision"/>
    <w:hidden/>
    <w:uiPriority w:val="99"/>
    <w:semiHidden/>
    <w:rsid w:val="00203EE1"/>
    <w:pPr>
      <w:spacing w:after="0" w:line="240" w:lineRule="auto"/>
    </w:pPr>
    <w:rPr>
      <w:rFonts w:eastAsiaTheme="minorEastAsia"/>
      <w:kern w:val="0"/>
      <w:sz w:val="21"/>
      <w:szCs w:val="21"/>
    </w:rPr>
  </w:style>
  <w:style w:type="table" w:styleId="TableGrid">
    <w:name w:val="Table Grid"/>
    <w:basedOn w:val="TableNormal"/>
    <w:uiPriority w:val="39"/>
    <w:rsid w:val="007703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E654C2"/>
    <w:pPr>
      <w:spacing w:after="0" w:line="240" w:lineRule="auto"/>
    </w:pPr>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E654C2"/>
    <w:rPr>
      <w:rFonts w:eastAsiaTheme="minorEastAsia"/>
      <w:kern w:val="0"/>
      <w:sz w:val="20"/>
      <w:szCs w:val="20"/>
    </w:rPr>
  </w:style>
  <w:style w:type="character" w:styleId="FootnoteReference">
    <w:name w:val="footnote reference"/>
    <w:aliases w:val="16 Point,Appel note de bas de p.,EN Footnote Reference,Footnote Reference Number,Footnote Reference_LVL6,Footnote Reference_LVL61,Footnote Reference_LVL62,Footnote Reference_LVL63,Footnote Reference_LVL64,SUPERS,fr,ftref,normal,number"/>
    <w:basedOn w:val="DefaultParagraphFont"/>
    <w:qFormat/>
    <w:rsid w:val="00E654C2"/>
    <w:rPr>
      <w:position w:val="0"/>
      <w:vertAlign w:val="superscript"/>
    </w:rPr>
  </w:style>
  <w:style w:type="table" w:customStyle="1" w:styleId="TableGrid1">
    <w:name w:val="Table Grid1"/>
    <w:basedOn w:val="TableNormal"/>
    <w:next w:val="TableGrid"/>
    <w:uiPriority w:val="39"/>
    <w:rsid w:val="009705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FEC"/>
    <w:rPr>
      <w:rFonts w:eastAsiaTheme="minorEastAsia"/>
      <w:kern w:val="0"/>
      <w:sz w:val="21"/>
      <w:szCs w:val="21"/>
    </w:rPr>
  </w:style>
  <w:style w:type="paragraph" w:styleId="Footer">
    <w:name w:val="footer"/>
    <w:basedOn w:val="Normal"/>
    <w:link w:val="FooterChar"/>
    <w:uiPriority w:val="99"/>
    <w:unhideWhenUsed/>
    <w:rsid w:val="00357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FEC"/>
    <w:rPr>
      <w:rFonts w:eastAsiaTheme="minorEastAsia"/>
      <w:kern w:val="0"/>
      <w:sz w:val="21"/>
      <w:szCs w:val="21"/>
    </w:rPr>
  </w:style>
  <w:style w:type="character" w:styleId="CommentReference">
    <w:name w:val="annotation reference"/>
    <w:basedOn w:val="DefaultParagraphFont"/>
    <w:uiPriority w:val="99"/>
    <w:semiHidden/>
    <w:unhideWhenUsed/>
    <w:rsid w:val="00662B53"/>
    <w:rPr>
      <w:sz w:val="16"/>
      <w:szCs w:val="16"/>
    </w:rPr>
  </w:style>
  <w:style w:type="paragraph" w:styleId="CommentText">
    <w:name w:val="annotation text"/>
    <w:basedOn w:val="Normal"/>
    <w:link w:val="CommentTextChar"/>
    <w:uiPriority w:val="99"/>
    <w:unhideWhenUsed/>
    <w:rsid w:val="00662B53"/>
    <w:pPr>
      <w:spacing w:line="240" w:lineRule="auto"/>
    </w:pPr>
    <w:rPr>
      <w:sz w:val="20"/>
      <w:szCs w:val="20"/>
    </w:rPr>
  </w:style>
  <w:style w:type="character" w:customStyle="1" w:styleId="CommentTextChar">
    <w:name w:val="Comment Text Char"/>
    <w:basedOn w:val="DefaultParagraphFont"/>
    <w:link w:val="CommentText"/>
    <w:uiPriority w:val="99"/>
    <w:rsid w:val="00662B53"/>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662B53"/>
    <w:rPr>
      <w:b/>
      <w:bCs/>
    </w:rPr>
  </w:style>
  <w:style w:type="character" w:customStyle="1" w:styleId="CommentSubjectChar">
    <w:name w:val="Comment Subject Char"/>
    <w:basedOn w:val="CommentTextChar"/>
    <w:link w:val="CommentSubject"/>
    <w:uiPriority w:val="99"/>
    <w:semiHidden/>
    <w:rsid w:val="00662B53"/>
    <w:rPr>
      <w:rFonts w:eastAsiaTheme="minorEastAsia"/>
      <w:b/>
      <w:bCs/>
      <w:kern w:val="0"/>
      <w:sz w:val="20"/>
      <w:szCs w:val="20"/>
    </w:rPr>
  </w:style>
  <w:style w:type="character" w:styleId="Hyperlink">
    <w:name w:val="Hyperlink"/>
    <w:basedOn w:val="DefaultParagraphFont"/>
    <w:uiPriority w:val="99"/>
    <w:unhideWhenUsed/>
    <w:rsid w:val="003A34C5"/>
    <w:rPr>
      <w:color w:val="0A2F41" w:themeColor="accent1" w:themeShade="80"/>
      <w:u w:val="single"/>
    </w:rPr>
  </w:style>
  <w:style w:type="paragraph" w:customStyle="1" w:styleId="1BodyTextNormal">
    <w:name w:val="1. Body Text (Normal)"/>
    <w:basedOn w:val="Normal"/>
    <w:link w:val="1BodyTextNormalChar"/>
    <w:qFormat/>
    <w:rsid w:val="00E504D1"/>
    <w:pPr>
      <w:spacing w:after="0" w:line="480" w:lineRule="auto"/>
    </w:pPr>
    <w:rPr>
      <w:rFonts w:ascii="Times New Roman" w:hAnsi="Times New Roman" w:eastAsiaTheme="minorHAnsi" w:cs="Times New Roman"/>
      <w:sz w:val="24"/>
      <w:szCs w:val="24"/>
      <w14:ligatures w14:val="none"/>
    </w:rPr>
  </w:style>
  <w:style w:type="character" w:customStyle="1" w:styleId="1BodyTextNormalChar">
    <w:name w:val="1. Body Text (Normal) Char"/>
    <w:basedOn w:val="DefaultParagraphFont"/>
    <w:link w:val="1BodyTextNormal"/>
    <w:rsid w:val="00E504D1"/>
    <w:rPr>
      <w:rFonts w:ascii="Times New Roman" w:hAnsi="Times New Roman" w:cs="Times New Roman"/>
      <w:kern w:val="0"/>
      <w:sz w:val="24"/>
      <w:szCs w:val="24"/>
      <w14:ligatures w14:val="none"/>
    </w:rPr>
  </w:style>
  <w:style w:type="paragraph" w:styleId="HTMLPreformatted">
    <w:name w:val="HTML Preformatted"/>
    <w:basedOn w:val="Normal"/>
    <w:link w:val="HTMLPreformattedChar"/>
    <w:unhideWhenUsed/>
    <w:rsid w:val="00191B42"/>
    <w:pPr>
      <w:widowControl w:val="0"/>
      <w:autoSpaceDE w:val="0"/>
      <w:autoSpaceDN w:val="0"/>
      <w:adjustRightInd w:val="0"/>
      <w:spacing w:after="0" w:line="240" w:lineRule="auto"/>
    </w:pPr>
    <w:rPr>
      <w:rFonts w:ascii="Consolas" w:eastAsia="Times New Roman" w:hAnsi="Consolas" w:cs="Consolas"/>
      <w:sz w:val="20"/>
      <w:szCs w:val="20"/>
      <w14:ligatures w14:val="none"/>
    </w:rPr>
  </w:style>
  <w:style w:type="character" w:customStyle="1" w:styleId="HTMLPreformattedChar">
    <w:name w:val="HTML Preformatted Char"/>
    <w:basedOn w:val="DefaultParagraphFont"/>
    <w:link w:val="HTMLPreformatted"/>
    <w:rsid w:val="00191B42"/>
    <w:rPr>
      <w:rFonts w:ascii="Consolas" w:eastAsia="Times New Roman" w:hAnsi="Consolas" w:cs="Consolas"/>
      <w:kern w:val="0"/>
      <w:sz w:val="20"/>
      <w:szCs w:val="20"/>
      <w14:ligatures w14:val="none"/>
    </w:rPr>
  </w:style>
  <w:style w:type="paragraph" w:styleId="BodyTextIndent3">
    <w:name w:val="Body Text Indent 3"/>
    <w:basedOn w:val="Normal"/>
    <w:link w:val="BodyTextIndent3Char"/>
    <w:uiPriority w:val="99"/>
    <w:unhideWhenUsed/>
    <w:rsid w:val="00D65597"/>
    <w:pPr>
      <w:spacing w:after="120"/>
      <w:ind w:left="360"/>
    </w:pPr>
    <w:rPr>
      <w:sz w:val="16"/>
      <w:szCs w:val="16"/>
    </w:rPr>
  </w:style>
  <w:style w:type="character" w:customStyle="1" w:styleId="BodyTextIndent3Char">
    <w:name w:val="Body Text Indent 3 Char"/>
    <w:basedOn w:val="DefaultParagraphFont"/>
    <w:link w:val="BodyTextIndent3"/>
    <w:uiPriority w:val="99"/>
    <w:rsid w:val="00D65597"/>
    <w:rPr>
      <w:rFonts w:eastAsiaTheme="minorEastAsia"/>
      <w:kern w:val="0"/>
      <w:sz w:val="16"/>
      <w:szCs w:val="16"/>
    </w:rPr>
  </w:style>
  <w:style w:type="paragraph" w:styleId="NormalWeb">
    <w:name w:val="Normal (Web)"/>
    <w:basedOn w:val="Normal"/>
    <w:rsid w:val="006279AC"/>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NPRMBody">
    <w:name w:val="NPRM Body"/>
    <w:basedOn w:val="Normal"/>
    <w:qFormat/>
    <w:rsid w:val="000D202A"/>
    <w:pPr>
      <w:spacing w:after="0" w:line="480" w:lineRule="auto"/>
      <w:ind w:firstLine="720"/>
    </w:pPr>
    <w:rPr>
      <w:rFonts w:ascii="Times New Roman" w:hAnsi="Times New Roman" w:eastAsiaTheme="majorEastAsia"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tables.htm" TargetMode="External" /><Relationship Id="rId2" Type="http://schemas.openxmlformats.org/officeDocument/2006/relationships/hyperlink" Target="https://www.bls.gov/news.release/archives/ecec_0910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9DE90990FDB5489F7FB77B43675A7B" ma:contentTypeVersion="5" ma:contentTypeDescription="Create a new document." ma:contentTypeScope="" ma:versionID="de09a8605c0ab60c7830ca62d6e25ced">
  <xsd:schema xmlns:xsd="http://www.w3.org/2001/XMLSchema" xmlns:xs="http://www.w3.org/2001/XMLSchema" xmlns:p="http://schemas.microsoft.com/office/2006/metadata/properties" xmlns:ns2="5e070b10-8376-4a51-b35c-0da1b222944d" xmlns:ns3="91882c98-ad7c-457b-bb99-16138be0c2aa" targetNamespace="http://schemas.microsoft.com/office/2006/metadata/properties" ma:root="true" ma:fieldsID="fef9b2f528630329159488af671bc94a" ns2:_="" ns3:_="">
    <xsd:import namespace="5e070b10-8376-4a51-b35c-0da1b222944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0b10-8376-4a51-b35c-0da1b222944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5e070b10-8376-4a51-b35c-0da1b222944d">Final</Category>
    <CaseID xmlns="5e070b10-8376-4a51-b35c-0da1b222944d">20264-TFI-4210</CaseID>
    <DocID xmlns="5e070b10-8376-4a51-b35c-0da1b222944d">b5603508-c515-4399-8fa7-ae65da5b19a4</DocID>
  </documentManagement>
</p:properties>
</file>

<file path=customXml/itemProps1.xml><?xml version="1.0" encoding="utf-8"?>
<ds:datastoreItem xmlns:ds="http://schemas.openxmlformats.org/officeDocument/2006/customXml" ds:itemID="{41DF6A09-2E31-4F85-80D5-C9E7CC832585}">
  <ds:schemaRefs>
    <ds:schemaRef ds:uri="http://schemas.microsoft.com/sharepoint/v3/contenttype/forms"/>
  </ds:schemaRefs>
</ds:datastoreItem>
</file>

<file path=customXml/itemProps2.xml><?xml version="1.0" encoding="utf-8"?>
<ds:datastoreItem xmlns:ds="http://schemas.openxmlformats.org/officeDocument/2006/customXml" ds:itemID="{ADEDA7C5-5170-407B-A793-77E46D26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0b10-8376-4a51-b35c-0da1b222944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E68B3-4238-4B6F-9E6E-1C7D913F8938}">
  <ds:schemaRefs>
    <ds:schemaRef ds:uri="http://schemas.openxmlformats.org/officeDocument/2006/bibliography"/>
  </ds:schemaRefs>
</ds:datastoreItem>
</file>

<file path=customXml/itemProps4.xml><?xml version="1.0" encoding="utf-8"?>
<ds:datastoreItem xmlns:ds="http://schemas.openxmlformats.org/officeDocument/2006/customXml" ds:itemID="{70329B24-E045-48E1-A6B7-AEF22E5C4D2B}">
  <ds:schemaRefs>
    <ds:schemaRef ds:uri="http://schemas.microsoft.com/office/2006/metadata/properties"/>
    <ds:schemaRef ds:uri="http://schemas.microsoft.com/office/infopath/2007/PartnerControls"/>
    <ds:schemaRef ds:uri="5e070b10-8376-4a51-b35c-0da1b222944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Mariesa</dc:creator>
  <cp:lastModifiedBy>Stewart, Jaclyn</cp:lastModifiedBy>
  <cp:revision>5</cp:revision>
  <dcterms:created xsi:type="dcterms:W3CDTF">2026-06-22T12:14:00Z</dcterms:created>
  <dcterms:modified xsi:type="dcterms:W3CDTF">2026-06-22T12:17:00Z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0x010100509DE90990FDB5489F7FB77B43675A7B</vt:lpwstr>
  </property>
</Properties>
</file>