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0387" w:rsidP="00320387" w14:paraId="6EEA6BB7"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6EEA6BB8"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6EEA6BB9" w14:textId="77777777">
      <w:pPr>
        <w:keepNext/>
        <w:numPr>
          <w:ilvl w:val="12"/>
          <w:numId w:val="0"/>
        </w:numPr>
        <w:ind w:left="360"/>
      </w:pPr>
    </w:p>
    <w:p w:rsidR="00B4391D" w14:paraId="26DDF79A" w14:textId="0F4F5FAA">
      <w:pPr>
        <w:pStyle w:val="IndexHeading"/>
        <w:keepNext w:val="0"/>
        <w:tabs>
          <w:tab w:val="left" w:pos="360"/>
        </w:tabs>
        <w:spacing w:line="240" w:lineRule="auto"/>
        <w:ind w:left="360"/>
        <w:rPr>
          <w:rFonts w:ascii="Times New Roman" w:hAnsi="Times New Roman"/>
          <w:iCs/>
        </w:rPr>
      </w:pPr>
      <w:r>
        <w:rPr>
          <w:rFonts w:ascii="Times New Roman" w:hAnsi="Times New Roman"/>
        </w:rPr>
        <w:t>U</w:t>
      </w:r>
      <w:r w:rsidRPr="00C660E3">
        <w:rPr>
          <w:rFonts w:ascii="Times New Roman" w:hAnsi="Times New Roman"/>
        </w:rPr>
        <w:t>nder the Aviation and Transportation Security Act, the Transportation Security Administration (TSA) is responsible for security in all modes of transportation, including screening operations for passenger air transportation and for carrying out such other duties it considers appropriate relating to transportation security.</w:t>
      </w:r>
      <w:r>
        <w:rPr>
          <w:rStyle w:val="FootnoteReference"/>
          <w:rFonts w:ascii="Times New Roman" w:hAnsi="Times New Roman"/>
        </w:rPr>
        <w:footnoteReference w:id="3"/>
      </w:r>
      <w:r w:rsidRPr="00C660E3">
        <w:rPr>
          <w:rFonts w:ascii="Times New Roman" w:hAnsi="Times New Roman"/>
        </w:rPr>
        <w:t xml:space="preserve">  </w:t>
      </w:r>
      <w:r w:rsidR="00C46754">
        <w:rPr>
          <w:rFonts w:ascii="Times New Roman" w:hAnsi="Times New Roman"/>
        </w:rPr>
        <w:t>Department of Homeland Security (</w:t>
      </w:r>
      <w:r w:rsidRPr="00904005" w:rsidR="00904005">
        <w:rPr>
          <w:rFonts w:ascii="Times New Roman" w:hAnsi="Times New Roman"/>
          <w:iCs/>
        </w:rPr>
        <w:t>DHS</w:t>
      </w:r>
      <w:r w:rsidR="00C46754">
        <w:rPr>
          <w:rFonts w:ascii="Times New Roman" w:hAnsi="Times New Roman"/>
          <w:iCs/>
        </w:rPr>
        <w:t>)</w:t>
      </w:r>
      <w:r w:rsidRPr="00904005" w:rsidR="00904005">
        <w:rPr>
          <w:rFonts w:ascii="Times New Roman" w:hAnsi="Times New Roman"/>
          <w:iCs/>
        </w:rPr>
        <w:t xml:space="preserve"> Directive 262-05, “</w:t>
      </w:r>
      <w:r w:rsidRPr="00657283" w:rsidR="00904005">
        <w:rPr>
          <w:rFonts w:ascii="Times New Roman" w:hAnsi="Times New Roman"/>
          <w:i/>
        </w:rPr>
        <w:t>Information Sharing and Safeguarding</w:t>
      </w:r>
      <w:r w:rsidR="003B3450">
        <w:rPr>
          <w:rFonts w:ascii="Times New Roman" w:hAnsi="Times New Roman"/>
          <w:iCs/>
        </w:rPr>
        <w:t>.</w:t>
      </w:r>
      <w:r w:rsidRPr="00904005" w:rsidR="00904005">
        <w:rPr>
          <w:rFonts w:ascii="Times New Roman" w:hAnsi="Times New Roman"/>
          <w:iCs/>
        </w:rPr>
        <w:t xml:space="preserve">” </w:t>
      </w:r>
      <w:r w:rsidR="003B3450">
        <w:rPr>
          <w:rFonts w:ascii="Times New Roman" w:hAnsi="Times New Roman"/>
          <w:iCs/>
        </w:rPr>
        <w:t xml:space="preserve"> The </w:t>
      </w:r>
      <w:r w:rsidR="00913CDF">
        <w:rPr>
          <w:rFonts w:ascii="Times New Roman" w:hAnsi="Times New Roman"/>
          <w:iCs/>
        </w:rPr>
        <w:t xml:space="preserve">directive </w:t>
      </w:r>
      <w:r w:rsidRPr="00904005" w:rsidR="00904005">
        <w:rPr>
          <w:rFonts w:ascii="Times New Roman" w:hAnsi="Times New Roman"/>
          <w:iCs/>
        </w:rPr>
        <w:t>establishe</w:t>
      </w:r>
      <w:r w:rsidR="00E155A3">
        <w:rPr>
          <w:rFonts w:ascii="Times New Roman" w:hAnsi="Times New Roman"/>
          <w:iCs/>
        </w:rPr>
        <w:t>d</w:t>
      </w:r>
      <w:r w:rsidRPr="00904005" w:rsidR="00904005">
        <w:rPr>
          <w:rFonts w:ascii="Times New Roman" w:hAnsi="Times New Roman"/>
          <w:iCs/>
        </w:rPr>
        <w:t xml:space="preserve"> </w:t>
      </w:r>
      <w:r w:rsidRPr="00904005" w:rsidR="00711E45">
        <w:rPr>
          <w:rFonts w:ascii="Times New Roman" w:hAnsi="Times New Roman"/>
          <w:iCs/>
        </w:rPr>
        <w:t>requirements,</w:t>
      </w:r>
      <w:r w:rsidRPr="00904005" w:rsidR="00904005">
        <w:rPr>
          <w:rFonts w:ascii="Times New Roman" w:hAnsi="Times New Roman"/>
          <w:iCs/>
        </w:rPr>
        <w:t xml:space="preserve"> standards, and assign</w:t>
      </w:r>
      <w:r w:rsidR="00471C27">
        <w:rPr>
          <w:rFonts w:ascii="Times New Roman" w:hAnsi="Times New Roman"/>
          <w:iCs/>
        </w:rPr>
        <w:t>ed</w:t>
      </w:r>
      <w:r w:rsidRPr="00904005" w:rsidR="00904005">
        <w:rPr>
          <w:rFonts w:ascii="Times New Roman" w:hAnsi="Times New Roman"/>
          <w:iCs/>
        </w:rPr>
        <w:t xml:space="preserve"> responsibilities for DHS agencies to implement an insider threat detection and prevention program.</w:t>
      </w:r>
      <w:r>
        <w:rPr>
          <w:rStyle w:val="FootnoteReference"/>
          <w:rFonts w:ascii="Times New Roman" w:hAnsi="Times New Roman"/>
          <w:iCs/>
        </w:rPr>
        <w:footnoteReference w:id="4"/>
      </w:r>
      <w:r w:rsidR="000E5149">
        <w:rPr>
          <w:rFonts w:ascii="Times New Roman" w:hAnsi="Times New Roman"/>
          <w:iCs/>
        </w:rPr>
        <w:t xml:space="preserve">  </w:t>
      </w:r>
      <w:r w:rsidRPr="000964D9" w:rsidR="00CC0D0C">
        <w:rPr>
          <w:rFonts w:ascii="Times New Roman" w:hAnsi="Times New Roman"/>
          <w:color w:val="080808"/>
          <w:shd w:val="clear" w:color="auto" w:fill="FFFFFF"/>
        </w:rPr>
        <w:t>Th</w:t>
      </w:r>
      <w:r w:rsidR="00255CEE">
        <w:rPr>
          <w:rFonts w:ascii="Times New Roman" w:hAnsi="Times New Roman"/>
          <w:color w:val="080808"/>
          <w:shd w:val="clear" w:color="auto" w:fill="FFFFFF"/>
        </w:rPr>
        <w:t>e</w:t>
      </w:r>
      <w:r w:rsidRPr="000964D9" w:rsidR="00CC0D0C">
        <w:rPr>
          <w:rFonts w:ascii="Times New Roman" w:hAnsi="Times New Roman"/>
          <w:color w:val="080808"/>
          <w:shd w:val="clear" w:color="auto" w:fill="FFFFFF"/>
        </w:rPr>
        <w:t xml:space="preserve"> </w:t>
      </w:r>
      <w:r w:rsidR="00D10C67">
        <w:rPr>
          <w:rFonts w:ascii="Times New Roman" w:hAnsi="Times New Roman"/>
          <w:color w:val="080808"/>
          <w:shd w:val="clear" w:color="auto" w:fill="FFFFFF"/>
        </w:rPr>
        <w:t xml:space="preserve">Instruction to the </w:t>
      </w:r>
      <w:r w:rsidR="00E838BD">
        <w:rPr>
          <w:rFonts w:ascii="Times New Roman" w:hAnsi="Times New Roman"/>
          <w:color w:val="080808"/>
          <w:shd w:val="clear" w:color="auto" w:fill="FFFFFF"/>
        </w:rPr>
        <w:t>D</w:t>
      </w:r>
      <w:r w:rsidR="00D10C67">
        <w:rPr>
          <w:rFonts w:ascii="Times New Roman" w:hAnsi="Times New Roman"/>
          <w:color w:val="080808"/>
          <w:shd w:val="clear" w:color="auto" w:fill="FFFFFF"/>
        </w:rPr>
        <w:t>irective</w:t>
      </w:r>
      <w:r w:rsidRPr="000964D9" w:rsidR="00CC0D0C">
        <w:rPr>
          <w:rFonts w:ascii="Times New Roman" w:hAnsi="Times New Roman"/>
          <w:color w:val="080808"/>
          <w:shd w:val="clear" w:color="auto" w:fill="FFFFFF"/>
        </w:rPr>
        <w:t xml:space="preserve"> defines “Insider Threat” and “Insider.”  An “insider” is any person who has or who had authorized access to any DHS facility, information, equipment, network, or system. </w:t>
      </w:r>
      <w:r w:rsidR="005669CE">
        <w:rPr>
          <w:rFonts w:ascii="Times New Roman" w:hAnsi="Times New Roman"/>
          <w:color w:val="080808"/>
          <w:shd w:val="clear" w:color="auto" w:fill="FFFFFF"/>
        </w:rPr>
        <w:t xml:space="preserve"> </w:t>
      </w:r>
      <w:r w:rsidRPr="000964D9" w:rsidR="00CC0D0C">
        <w:rPr>
          <w:rFonts w:ascii="Times New Roman" w:hAnsi="Times New Roman"/>
          <w:color w:val="080808"/>
          <w:shd w:val="clear" w:color="auto" w:fill="FFFFFF"/>
        </w:rPr>
        <w:t>An “Insider Threat” is defined as the threat that an insider will use his or her authorized access, wittingly or unwittingly, to do harm to the Department's mission, resources, personnel, facilities, information, equipment, networks, or systems.</w:t>
      </w:r>
      <w:r>
        <w:rPr>
          <w:rStyle w:val="FootnoteReference"/>
          <w:rFonts w:ascii="Times New Roman" w:hAnsi="Times New Roman"/>
          <w:color w:val="080808"/>
          <w:shd w:val="clear" w:color="auto" w:fill="FFFFFF"/>
        </w:rPr>
        <w:footnoteReference w:id="5"/>
      </w:r>
    </w:p>
    <w:p w:rsidR="00D0413D" w:rsidP="00D0413D" w14:paraId="4529FC43" w14:textId="77777777">
      <w:pPr>
        <w:pStyle w:val="Index1"/>
      </w:pPr>
    </w:p>
    <w:p w:rsidR="00AB3259" w:rsidP="0049149C" w14:paraId="74362F54" w14:textId="384E10B1">
      <w:pPr>
        <w:ind w:left="360"/>
      </w:pPr>
      <w:r w:rsidRPr="00190F24">
        <w:t xml:space="preserve">TSA </w:t>
      </w:r>
      <w:r w:rsidR="001035EB">
        <w:t xml:space="preserve">created the </w:t>
      </w:r>
      <w:r w:rsidRPr="00C1102D" w:rsidR="006B5B61">
        <w:t>Insider Threat Program</w:t>
      </w:r>
      <w:r w:rsidR="00466D87">
        <w:t xml:space="preserve"> in compliance with the directive and instruction’s requirements for DHS components</w:t>
      </w:r>
      <w:r w:rsidR="00B3776E">
        <w:t>.  The program’s</w:t>
      </w:r>
      <w:r w:rsidRPr="00C1102D" w:rsidR="00B3776E">
        <w:t xml:space="preserve"> purpose is to detect, deter, and mitigate threats that an individual with authorized access to sensitive areas and/or information, wittingly or unwittingly misuse or allow others to misuse this access to exploit vulnerabilities in an effort to compromise security, facilitate criminal activity, terrorism, or other illicit actions that inflict harm to people, organizations, the transportation system, or national security, including transportation sector personnel, operations, information, systems and critical infrastructure.</w:t>
      </w:r>
      <w:r w:rsidR="00F6619A">
        <w:t xml:space="preserve">  The</w:t>
      </w:r>
      <w:r w:rsidRPr="00190F24">
        <w:t xml:space="preserve"> program operates as a partnership among TSA</w:t>
      </w:r>
      <w:r w:rsidR="007D1842">
        <w:t>,</w:t>
      </w:r>
      <w:r w:rsidRPr="00190F24">
        <w:t xml:space="preserve"> aviation, mass transit, and maritime sectors</w:t>
      </w:r>
      <w:r w:rsidR="007D1842">
        <w:t>, as well as with</w:t>
      </w:r>
      <w:r w:rsidR="000964D9">
        <w:t xml:space="preserve"> </w:t>
      </w:r>
      <w:r w:rsidR="007D1842">
        <w:t>s</w:t>
      </w:r>
      <w:r w:rsidRPr="00190F24">
        <w:t>tate and local law enforcement.</w:t>
      </w:r>
    </w:p>
    <w:p w:rsidR="00AB3259" w:rsidP="0049149C" w14:paraId="0E43BD0C" w14:textId="77777777">
      <w:pPr>
        <w:ind w:left="360"/>
      </w:pPr>
    </w:p>
    <w:p w:rsidR="00A505C8" w:rsidP="0049149C" w14:paraId="2A90E35F" w14:textId="20EAB733">
      <w:pPr>
        <w:ind w:left="360"/>
        <w:rPr>
          <w:iCs/>
        </w:rPr>
      </w:pPr>
      <w:r>
        <w:t xml:space="preserve">To ensure </w:t>
      </w:r>
      <w:r w:rsidR="0082513D">
        <w:t xml:space="preserve">consistency with the directive, TSA created the Insider Threat </w:t>
      </w:r>
      <w:r w:rsidR="009B23E8">
        <w:t>Incident Reporting</w:t>
      </w:r>
      <w:r w:rsidR="0082513D">
        <w:t xml:space="preserve"> tool, </w:t>
      </w:r>
      <w:r w:rsidR="0049149C">
        <w:t>which collects information on insider threat</w:t>
      </w:r>
      <w:r w:rsidR="006024B0">
        <w:t>s</w:t>
      </w:r>
      <w:r w:rsidR="00397139">
        <w:t>.</w:t>
      </w:r>
      <w:r w:rsidR="0001600D">
        <w:t xml:space="preserve">  </w:t>
      </w:r>
      <w:r w:rsidRPr="005E32E8" w:rsidR="005E32E8">
        <w:t xml:space="preserve">TSA is requesting the Office of Management and Budget (OMB)’s approval of </w:t>
      </w:r>
      <w:r w:rsidR="009C1173">
        <w:t xml:space="preserve">the </w:t>
      </w:r>
      <w:r w:rsidRPr="005E32E8" w:rsidR="005E32E8">
        <w:t>Insider Threat Incident Reporting Tool as a Common Form to permit Federal agency users beyond the agency that created the form (e.g., DHS or U.S. Office of Personnel Management) to streamline the information collection process in coordination with OMB.</w:t>
      </w:r>
    </w:p>
    <w:p w:rsidR="00320387" w:rsidP="00320387" w14:paraId="6EEA6BBB" w14:textId="77777777">
      <w:pPr>
        <w:pStyle w:val="IndexHeading"/>
        <w:keepNext w:val="0"/>
        <w:tabs>
          <w:tab w:val="left" w:pos="360"/>
        </w:tabs>
        <w:spacing w:line="240" w:lineRule="auto"/>
        <w:rPr>
          <w:rFonts w:ascii="Times New Roman" w:hAnsi="Times New Roman"/>
          <w:spacing w:val="0"/>
        </w:rPr>
      </w:pPr>
    </w:p>
    <w:p w:rsidR="00320387" w:rsidP="00320387" w14:paraId="6EEA6BBC"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6EEA6BBD" w14:textId="77777777">
      <w:pPr>
        <w:keepNext/>
        <w:numPr>
          <w:ilvl w:val="12"/>
          <w:numId w:val="0"/>
        </w:numPr>
        <w:ind w:left="360"/>
      </w:pPr>
    </w:p>
    <w:p w:rsidR="00D23164" w:rsidP="004C2D6E" w14:paraId="5C10B676" w14:textId="03521BF2">
      <w:pPr>
        <w:ind w:left="360"/>
      </w:pPr>
      <w:r>
        <w:t xml:space="preserve">The </w:t>
      </w:r>
      <w:r w:rsidR="00500453">
        <w:t xml:space="preserve">Insider Threat </w:t>
      </w:r>
      <w:r w:rsidR="00C07210">
        <w:t>Incident Reporting</w:t>
      </w:r>
      <w:r w:rsidR="00500453">
        <w:t xml:space="preserve"> tool</w:t>
      </w:r>
      <w:r>
        <w:t xml:space="preserve"> is an online application </w:t>
      </w:r>
      <w:r w:rsidR="00591191">
        <w:t>where</w:t>
      </w:r>
      <w:r>
        <w:t xml:space="preserve"> </w:t>
      </w:r>
      <w:r w:rsidR="00591191">
        <w:t xml:space="preserve">the public can submit </w:t>
      </w:r>
      <w:r w:rsidR="00C20BC3">
        <w:t>inquiries</w:t>
      </w:r>
      <w:r w:rsidR="00081BAC">
        <w:t xml:space="preserve"> regarding potential insider threats</w:t>
      </w:r>
      <w:r w:rsidR="00406C86">
        <w:t xml:space="preserve"> by providing</w:t>
      </w:r>
      <w:r w:rsidR="00081BAC">
        <w:t xml:space="preserve"> personal information</w:t>
      </w:r>
      <w:r w:rsidR="00406C86">
        <w:t xml:space="preserve"> and other specific data </w:t>
      </w:r>
      <w:r w:rsidR="00DA2C03">
        <w:t>regarding the person or situation deemed to be an insider threat</w:t>
      </w:r>
      <w:r w:rsidR="00AC2C9A">
        <w:t>.</w:t>
      </w:r>
      <w:r w:rsidR="00406C86">
        <w:t xml:space="preserve"> </w:t>
      </w:r>
      <w:r w:rsidR="005669CE">
        <w:t xml:space="preserve"> </w:t>
      </w:r>
      <w:r>
        <w:t xml:space="preserve">TSA uses the information collected to </w:t>
      </w:r>
      <w:r w:rsidR="004B16D1">
        <w:t>review</w:t>
      </w:r>
      <w:r w:rsidR="009B13DE">
        <w:t xml:space="preserve"> the</w:t>
      </w:r>
      <w:r>
        <w:t xml:space="preserve"> </w:t>
      </w:r>
      <w:r w:rsidR="00EF3633">
        <w:t>potential</w:t>
      </w:r>
      <w:r w:rsidR="00937FAE">
        <w:t xml:space="preserve"> insider</w:t>
      </w:r>
      <w:r w:rsidR="00EF3633">
        <w:t xml:space="preserve"> threats</w:t>
      </w:r>
      <w:r w:rsidR="00937FAE">
        <w:t xml:space="preserve"> </w:t>
      </w:r>
      <w:r w:rsidR="00E84ED3">
        <w:t>and to</w:t>
      </w:r>
      <w:r w:rsidR="00937FAE">
        <w:t xml:space="preserve"> </w:t>
      </w:r>
      <w:r w:rsidR="004B16D1">
        <w:t>determin</w:t>
      </w:r>
      <w:r w:rsidR="000B3B78">
        <w:t>e</w:t>
      </w:r>
      <w:r w:rsidR="004B16D1">
        <w:t xml:space="preserve"> if further evaluation</w:t>
      </w:r>
      <w:r w:rsidR="00885324">
        <w:t xml:space="preserve"> and follow-up</w:t>
      </w:r>
      <w:r w:rsidR="004B16D1">
        <w:t xml:space="preserve"> is necessary</w:t>
      </w:r>
      <w:r>
        <w:t xml:space="preserve">. </w:t>
      </w:r>
      <w:r w:rsidR="005669CE">
        <w:t xml:space="preserve"> </w:t>
      </w:r>
      <w:r w:rsidRPr="00306683">
        <w:t>The collection</w:t>
      </w:r>
      <w:r w:rsidR="00E84ED3">
        <w:t xml:space="preserve"> may</w:t>
      </w:r>
      <w:r w:rsidRPr="00306683">
        <w:t xml:space="preserve"> include individual </w:t>
      </w:r>
      <w:r w:rsidR="00E84ED3">
        <w:t xml:space="preserve">personal </w:t>
      </w:r>
      <w:r w:rsidR="00885324">
        <w:t>information and/or appearance</w:t>
      </w:r>
      <w:r w:rsidRPr="00306683">
        <w:t>,</w:t>
      </w:r>
      <w:r w:rsidR="00B46088">
        <w:t xml:space="preserve"> and</w:t>
      </w:r>
      <w:r w:rsidRPr="00306683">
        <w:t xml:space="preserve"> </w:t>
      </w:r>
      <w:r w:rsidR="00BD04E2">
        <w:t>the details</w:t>
      </w:r>
      <w:r w:rsidR="00B46088">
        <w:t xml:space="preserve"> surrounding </w:t>
      </w:r>
      <w:r w:rsidR="00BD04E2">
        <w:t>the situation alleged to be</w:t>
      </w:r>
      <w:r w:rsidR="0074457E">
        <w:t xml:space="preserve"> the potential</w:t>
      </w:r>
      <w:r w:rsidR="00BD04E2">
        <w:t xml:space="preserve"> insider threat</w:t>
      </w:r>
      <w:r w:rsidR="00B46088">
        <w:t>.</w:t>
      </w:r>
      <w:r>
        <w:t xml:space="preserve"> </w:t>
      </w:r>
      <w:r w:rsidR="005669CE">
        <w:t xml:space="preserve"> </w:t>
      </w:r>
      <w:r>
        <w:t xml:space="preserve">TSA </w:t>
      </w:r>
      <w:r w:rsidR="00F51EC3">
        <w:t xml:space="preserve">requires submitters to attest that all </w:t>
      </w:r>
      <w:r>
        <w:t>information submitted is true.</w:t>
      </w:r>
    </w:p>
    <w:p w:rsidR="00D23164" w:rsidP="004C2D6E" w14:paraId="4FC4C658" w14:textId="77777777">
      <w:pPr>
        <w:ind w:left="360"/>
      </w:pPr>
    </w:p>
    <w:p w:rsidR="005155B9" w:rsidP="004C2D6E" w14:paraId="6D18A34D" w14:textId="4641BE54">
      <w:pPr>
        <w:ind w:left="360"/>
      </w:pPr>
      <w:r w:rsidRPr="00F01360">
        <w:t xml:space="preserve">The likely respondents to this proposed information collection are </w:t>
      </w:r>
      <w:r w:rsidRPr="003B297F">
        <w:t>any person who has or who had authorized access to any DHS facility, information, equipment, network, or system, including individuals detailed or assigned to DHS</w:t>
      </w:r>
      <w:r>
        <w:t>.</w:t>
      </w:r>
    </w:p>
    <w:p w:rsidR="00320387" w:rsidP="00320387" w14:paraId="6EEA6BBF" w14:textId="77777777">
      <w:pPr>
        <w:numPr>
          <w:ilvl w:val="12"/>
          <w:numId w:val="0"/>
        </w:numPr>
      </w:pPr>
    </w:p>
    <w:p w:rsidR="00320387" w:rsidRPr="0035353B" w:rsidP="00FB30DC" w14:paraId="6EEA6BC1" w14:textId="2815970D">
      <w:pPr>
        <w:keepNext/>
        <w:numPr>
          <w:ilvl w:val="0"/>
          <w:numId w:val="1"/>
        </w:numPr>
        <w:tabs>
          <w:tab w:val="left" w:pos="360"/>
        </w:tabs>
        <w:rPr>
          <w:b/>
          <w:bCs/>
          <w:i/>
          <w:iCs/>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35353B">
        <w:rPr>
          <w:b/>
          <w:bCs/>
          <w:i/>
          <w:iCs/>
        </w:rPr>
        <w:t>the basis for the decision for adopting this means of collection.  Also describe any consideration of using information technology to reduce burden.</w:t>
      </w:r>
      <w:r w:rsidRPr="009953E5">
        <w:rPr>
          <w:b/>
          <w:bCs/>
          <w:i/>
          <w:iCs/>
        </w:rPr>
        <w:t xml:space="preserve">  [Effective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C57550" w:rsidP="00FB0F8F" w14:paraId="0CDCDE6E" w14:textId="26905F35">
      <w:pPr>
        <w:spacing w:before="100" w:beforeAutospacing="1"/>
        <w:ind w:left="360"/>
      </w:pPr>
      <w:r w:rsidRPr="0035353B">
        <w:rPr>
          <w:color w:val="auto"/>
        </w:rPr>
        <w:t xml:space="preserve">In compliance with the Government Paperwork Elimination Act, </w:t>
      </w:r>
      <w:r w:rsidRPr="0035353B" w:rsidR="00700B5A">
        <w:rPr>
          <w:color w:val="auto"/>
        </w:rPr>
        <w:t>the</w:t>
      </w:r>
      <w:r w:rsidRPr="00FB30DC" w:rsidR="00700B5A">
        <w:rPr>
          <w:color w:val="auto"/>
        </w:rPr>
        <w:t xml:space="preserve"> </w:t>
      </w:r>
      <w:r w:rsidRPr="00FB30DC" w:rsidR="00282FA8">
        <w:rPr>
          <w:color w:val="auto"/>
        </w:rPr>
        <w:t>collection uses an online web tool,</w:t>
      </w:r>
      <w:r w:rsidRPr="00FB30DC">
        <w:rPr>
          <w:color w:val="auto"/>
        </w:rPr>
        <w:t xml:space="preserve"> </w:t>
      </w:r>
      <w:r w:rsidRPr="0035353B">
        <w:rPr>
          <w:color w:val="auto"/>
        </w:rPr>
        <w:t xml:space="preserve">available at </w:t>
      </w:r>
      <w:hyperlink r:id="rId6" w:history="1">
        <w:r w:rsidRPr="00A05210">
          <w:rPr>
            <w:rStyle w:val="Hyperlink"/>
            <w:color w:val="auto"/>
            <w:u w:val="none"/>
          </w:rPr>
          <w:t>https://www.tsa.gov/</w:t>
        </w:r>
        <w:r w:rsidRPr="00A05210" w:rsidR="00FB30DC">
          <w:rPr>
            <w:rStyle w:val="Hyperlink"/>
            <w:color w:val="auto"/>
            <w:u w:val="none"/>
          </w:rPr>
          <w:t>travel/insider-threat</w:t>
        </w:r>
      </w:hyperlink>
      <w:r w:rsidRPr="0035353B">
        <w:rPr>
          <w:color w:val="auto"/>
        </w:rPr>
        <w:t xml:space="preserve">. </w:t>
      </w:r>
      <w:r w:rsidRPr="0035353B" w:rsidR="00C46754">
        <w:rPr>
          <w:color w:val="auto"/>
        </w:rPr>
        <w:t xml:space="preserve"> </w:t>
      </w:r>
      <w:r w:rsidRPr="0035353B">
        <w:rPr>
          <w:color w:val="auto"/>
        </w:rPr>
        <w:t xml:space="preserve">All </w:t>
      </w:r>
      <w:r w:rsidR="00E95CDA">
        <w:rPr>
          <w:color w:val="auto"/>
        </w:rPr>
        <w:t xml:space="preserve">submissions occur </w:t>
      </w:r>
      <w:r w:rsidRPr="00FB30DC">
        <w:rPr>
          <w:color w:val="auto"/>
        </w:rPr>
        <w:t xml:space="preserve">  through a secure internal network drive accessible only by authorized personnel.</w:t>
      </w:r>
    </w:p>
    <w:p w:rsidR="003D181B" w:rsidRPr="00FB30DC" w:rsidP="00FB0F8F" w14:paraId="43388569" w14:textId="47F3122C">
      <w:pPr>
        <w:spacing w:before="100" w:beforeAutospacing="1"/>
        <w:ind w:left="360"/>
      </w:pPr>
      <w:r>
        <w:rPr>
          <w:rFonts w:cs="Times New Roman"/>
          <w:szCs w:val="24"/>
          <w:u w:val="single"/>
        </w:rPr>
        <w:t>U</w:t>
      </w:r>
      <w:r w:rsidRPr="004E41BF">
        <w:rPr>
          <w:rFonts w:cs="Times New Roman"/>
          <w:szCs w:val="24"/>
          <w:u w:val="single"/>
        </w:rPr>
        <w:t>sability Testing Requirement</w:t>
      </w:r>
      <w:r w:rsidRPr="00C656A5">
        <w:rPr>
          <w:rFonts w:cs="Times New Roman"/>
          <w:szCs w:val="24"/>
        </w:rPr>
        <w:t xml:space="preserve">: Pursuant to a </w:t>
      </w:r>
      <w:r>
        <w:rPr>
          <w:rFonts w:cs="Times New Roman"/>
          <w:szCs w:val="24"/>
        </w:rPr>
        <w:t>2023</w:t>
      </w:r>
      <w:r w:rsidRPr="00C656A5">
        <w:rPr>
          <w:rFonts w:cs="Times New Roman"/>
          <w:szCs w:val="24"/>
        </w:rPr>
        <w:t xml:space="preserve"> DHS requirement, all Information Collection </w:t>
      </w:r>
      <w:r>
        <w:rPr>
          <w:rFonts w:cs="Times New Roman"/>
          <w:szCs w:val="24"/>
        </w:rPr>
        <w:t>R</w:t>
      </w:r>
      <w:r w:rsidRPr="00C656A5">
        <w:rPr>
          <w:rFonts w:cs="Times New Roman"/>
          <w:szCs w:val="24"/>
        </w:rPr>
        <w:t xml:space="preserve">equests must undergo usability testing prior to submission to OMB.  </w:t>
      </w:r>
      <w:r w:rsidRPr="004E41BF">
        <w:rPr>
          <w:rFonts w:cs="Times New Roman"/>
          <w:i/>
          <w:iCs/>
          <w:szCs w:val="24"/>
        </w:rPr>
        <w:t>See</w:t>
      </w:r>
      <w:r w:rsidRPr="00C656A5">
        <w:rPr>
          <w:rFonts w:cs="Times New Roman"/>
          <w:szCs w:val="24"/>
        </w:rPr>
        <w:t xml:space="preserve"> DHS Fiscal Year 2024 Burden Reduction Plan Memorandum </w:t>
      </w:r>
      <w:r w:rsidRPr="00C656A5">
        <w:rPr>
          <w:rFonts w:cs="Times New Roman"/>
          <w:szCs w:val="24"/>
        </w:rPr>
        <w:t>dated,</w:t>
      </w:r>
      <w:r w:rsidRPr="00C656A5">
        <w:rPr>
          <w:rFonts w:cs="Times New Roman"/>
          <w:szCs w:val="24"/>
        </w:rPr>
        <w:t xml:space="preserve"> September 2</w:t>
      </w:r>
      <w:r>
        <w:rPr>
          <w:rFonts w:cs="Times New Roman"/>
          <w:szCs w:val="24"/>
        </w:rPr>
        <w:t>9</w:t>
      </w:r>
      <w:r w:rsidRPr="00C656A5">
        <w:rPr>
          <w:rFonts w:cs="Times New Roman"/>
          <w:szCs w:val="24"/>
        </w:rPr>
        <w:t xml:space="preserve">, 2023. </w:t>
      </w:r>
      <w:r w:rsidRPr="00FB30DC" w:rsidR="005F50EA">
        <w:t xml:space="preserve"> </w:t>
      </w:r>
      <w:r w:rsidRPr="00AE2DCB" w:rsidR="00AE2DCB">
        <w:t xml:space="preserve">TSA completed usability testing on the online submission form to determine the </w:t>
      </w:r>
      <w:r w:rsidR="002E3323">
        <w:t>use of plain language.</w:t>
      </w:r>
      <w:r w:rsidRPr="00AE2DCB" w:rsidR="00AE2DCB">
        <w:t xml:space="preserve">  There were </w:t>
      </w:r>
      <w:r w:rsidRPr="00E116CE" w:rsidR="002E3323">
        <w:t>four</w:t>
      </w:r>
      <w:r w:rsidRPr="00AE2DCB" w:rsidR="00AE2DCB">
        <w:t xml:space="preserve"> participants, </w:t>
      </w:r>
      <w:r w:rsidR="002E3323">
        <w:t>three</w:t>
      </w:r>
      <w:r w:rsidRPr="00AE2DCB" w:rsidR="00AE2DCB">
        <w:t xml:space="preserve"> were </w:t>
      </w:r>
      <w:r w:rsidR="002E3323">
        <w:t xml:space="preserve">familiar with the form and one was </w:t>
      </w:r>
      <w:r w:rsidRPr="00E116CE" w:rsidR="00AE2DCB">
        <w:t>unfamiliar.</w:t>
      </w:r>
      <w:r w:rsidRPr="00AE2DCB" w:rsidR="00AE2DCB">
        <w:t xml:space="preserve">  </w:t>
      </w:r>
      <w:r w:rsidR="002E3323">
        <w:t>One participant recommended a change to the language in</w:t>
      </w:r>
      <w:r w:rsidR="003245EC">
        <w:t xml:space="preserve"> the</w:t>
      </w:r>
      <w:r w:rsidR="002E3323">
        <w:t xml:space="preserve"> </w:t>
      </w:r>
      <w:r w:rsidR="002C544C">
        <w:t xml:space="preserve">“Impact Details” section.  </w:t>
      </w:r>
      <w:r w:rsidRPr="00AE2DCB" w:rsidR="00AE2DCB">
        <w:t xml:space="preserve">TSA </w:t>
      </w:r>
      <w:r w:rsidR="000D0322">
        <w:t xml:space="preserve">updated the section accordingly.  </w:t>
      </w:r>
      <w:r w:rsidR="003245EC">
        <w:t>No further changes were made to the form.</w:t>
      </w:r>
    </w:p>
    <w:p w:rsidR="00320387" w:rsidP="00320387" w14:paraId="6EEA6BC3" w14:textId="77777777">
      <w:pPr>
        <w:numPr>
          <w:ilvl w:val="12"/>
          <w:numId w:val="0"/>
        </w:numPr>
      </w:pPr>
    </w:p>
    <w:p w:rsidR="00320387" w:rsidP="00320387" w14:paraId="6EEA6BC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6EEA6BC5" w14:textId="77777777">
      <w:pPr>
        <w:keepNext/>
        <w:numPr>
          <w:ilvl w:val="12"/>
          <w:numId w:val="0"/>
        </w:numPr>
        <w:ind w:left="360"/>
      </w:pPr>
    </w:p>
    <w:p w:rsidR="003257DD" w:rsidP="003257DD" w14:paraId="6AA77346" w14:textId="2FA6ABD1">
      <w:pPr>
        <w:numPr>
          <w:ilvl w:val="12"/>
          <w:numId w:val="0"/>
        </w:numPr>
        <w:ind w:left="360"/>
        <w:jc w:val="both"/>
      </w:pPr>
      <w:r>
        <w:t>T</w:t>
      </w:r>
      <w:r>
        <w:t>here is no specific or similar information currently collected by TSA that can be used or modified for use for the purpose(s) described above.</w:t>
      </w:r>
    </w:p>
    <w:p w:rsidR="00320387" w:rsidP="003257DD" w14:paraId="6EEA6BC7" w14:textId="77777777">
      <w:pPr>
        <w:numPr>
          <w:ilvl w:val="12"/>
          <w:numId w:val="0"/>
        </w:numPr>
        <w:ind w:left="360"/>
      </w:pPr>
    </w:p>
    <w:p w:rsidR="00320387" w:rsidP="00320387" w14:paraId="6EEA6BC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6EEA6BC9" w14:textId="77777777">
      <w:pPr>
        <w:keepNext/>
        <w:numPr>
          <w:ilvl w:val="12"/>
          <w:numId w:val="0"/>
        </w:numPr>
        <w:ind w:left="360"/>
      </w:pPr>
    </w:p>
    <w:p w:rsidR="00E61507" w:rsidRPr="006261AE" w:rsidP="00E61507" w14:paraId="02FE5322" w14:textId="77777777">
      <w:pPr>
        <w:numPr>
          <w:ilvl w:val="12"/>
          <w:numId w:val="0"/>
        </w:numPr>
        <w:ind w:left="360"/>
      </w:pPr>
      <w:r w:rsidRPr="006261AE">
        <w:t>This collection does not have a significant impact on a substantial number of small businesses.</w:t>
      </w:r>
    </w:p>
    <w:p w:rsidR="00320387" w:rsidP="00320387" w14:paraId="6EEA6BCB" w14:textId="77777777">
      <w:pPr>
        <w:numPr>
          <w:ilvl w:val="12"/>
          <w:numId w:val="0"/>
        </w:numPr>
      </w:pPr>
    </w:p>
    <w:p w:rsidR="00320387" w:rsidP="00320387" w14:paraId="6EEA6BC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6EEA6BCD" w14:textId="77777777">
      <w:pPr>
        <w:keepNext/>
        <w:numPr>
          <w:ilvl w:val="12"/>
          <w:numId w:val="0"/>
        </w:numPr>
        <w:ind w:left="360"/>
      </w:pPr>
    </w:p>
    <w:p w:rsidR="00320387" w:rsidP="18BAFD86" w14:paraId="6EEA6BCE" w14:textId="28C70705">
      <w:pPr>
        <w:ind w:left="360"/>
      </w:pPr>
      <w:r>
        <w:t xml:space="preserve">If the collection of information is not conducted, TSA will not be </w:t>
      </w:r>
      <w:r w:rsidR="00B5110C">
        <w:t xml:space="preserve">in compliance with </w:t>
      </w:r>
      <w:r w:rsidRPr="0031356C" w:rsidR="0031356C">
        <w:t>DHS Directive 262-05, “Information Sharing and Safeguarding</w:t>
      </w:r>
      <w:r w:rsidR="0031356C">
        <w:t>”</w:t>
      </w:r>
      <w:r w:rsidRPr="0031356C" w:rsidR="0031356C">
        <w:t xml:space="preserve"> </w:t>
      </w:r>
      <w:r w:rsidR="00B5110C">
        <w:t>and other associated requirements</w:t>
      </w:r>
      <w:r w:rsidR="125B3A92">
        <w:t xml:space="preserve"> </w:t>
      </w:r>
      <w:r w:rsidR="00FE424C">
        <w:t xml:space="preserve">and </w:t>
      </w:r>
      <w:r w:rsidR="00B64E37">
        <w:t xml:space="preserve">will be </w:t>
      </w:r>
      <w:r w:rsidR="00FE424C">
        <w:t xml:space="preserve">unable </w:t>
      </w:r>
      <w:r w:rsidR="00B64E37">
        <w:t xml:space="preserve">to </w:t>
      </w:r>
      <w:r w:rsidR="125B3A92">
        <w:t xml:space="preserve">fulfill its mission </w:t>
      </w:r>
      <w:r w:rsidR="52229B27">
        <w:t>statement</w:t>
      </w:r>
      <w:r w:rsidR="125B3A92">
        <w:t xml:space="preserve"> of </w:t>
      </w:r>
      <w:r w:rsidR="67144E9C">
        <w:t>deterring</w:t>
      </w:r>
      <w:r w:rsidR="125B3A92">
        <w:t>, detecting and mitigating insider threats to TSA’s personnel, operations, information</w:t>
      </w:r>
      <w:r w:rsidR="4C639333">
        <w:t>, and critical infrastructure.</w:t>
      </w:r>
    </w:p>
    <w:p w:rsidR="00320387" w:rsidP="00320387" w14:paraId="6EEA6BCF" w14:textId="77777777">
      <w:pPr>
        <w:numPr>
          <w:ilvl w:val="12"/>
          <w:numId w:val="0"/>
        </w:numPr>
      </w:pPr>
    </w:p>
    <w:p w:rsidR="00320387" w:rsidP="00320387" w14:paraId="6EEA6BD0"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6EEA6BD1" w14:textId="77777777">
      <w:pPr>
        <w:keepNext/>
        <w:numPr>
          <w:ilvl w:val="12"/>
          <w:numId w:val="0"/>
        </w:numPr>
        <w:ind w:left="360"/>
      </w:pPr>
    </w:p>
    <w:p w:rsidR="00320387" w:rsidP="00320387" w14:paraId="6EEA6BD2" w14:textId="0D311F62">
      <w:pPr>
        <w:numPr>
          <w:ilvl w:val="12"/>
          <w:numId w:val="0"/>
        </w:numPr>
        <w:ind w:left="360"/>
      </w:pPr>
      <w:r w:rsidRPr="000F2573">
        <w:t>TSA will conduct this collection in a manner consistent with the general information collection guidelines in 5 CFR 1320.5(d)(2).</w:t>
      </w:r>
    </w:p>
    <w:p w:rsidR="00320387" w:rsidP="00320387" w14:paraId="6EEA6BD3" w14:textId="77777777">
      <w:pPr>
        <w:numPr>
          <w:ilvl w:val="12"/>
          <w:numId w:val="0"/>
        </w:numPr>
      </w:pPr>
    </w:p>
    <w:p w:rsidR="00320387" w:rsidP="00320387" w14:paraId="6EEA6BD4"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6EEA6BD5" w14:textId="77777777">
      <w:pPr>
        <w:keepNext/>
        <w:numPr>
          <w:ilvl w:val="12"/>
          <w:numId w:val="0"/>
        </w:numPr>
        <w:ind w:left="360"/>
      </w:pPr>
    </w:p>
    <w:p w:rsidR="00CA606E" w:rsidRPr="00FF2D58" w:rsidP="00CA606E" w14:paraId="6F1BE0AF" w14:textId="26B51B64">
      <w:pPr>
        <w:pStyle w:val="IndexHeading"/>
        <w:keepNext w:val="0"/>
        <w:numPr>
          <w:ilvl w:val="12"/>
          <w:numId w:val="0"/>
        </w:numPr>
        <w:spacing w:line="240" w:lineRule="auto"/>
        <w:ind w:left="360"/>
        <w:rPr>
          <w:rFonts w:ascii="Times New Roman" w:hAnsi="Times New Roman" w:cs="Arial"/>
          <w:color w:val="000000"/>
          <w:spacing w:val="0"/>
        </w:rPr>
      </w:pPr>
      <w:r w:rsidRPr="006261AE">
        <w:rPr>
          <w:rFonts w:ascii="Times New Roman" w:hAnsi="Times New Roman" w:cs="Arial"/>
          <w:color w:val="000000"/>
          <w:spacing w:val="0"/>
        </w:rPr>
        <w:t xml:space="preserve">TSA published a notice in the </w:t>
      </w:r>
      <w:r w:rsidRPr="00431199">
        <w:rPr>
          <w:rFonts w:ascii="Times New Roman" w:hAnsi="Times New Roman" w:cs="Arial"/>
          <w:i/>
          <w:color w:val="000000"/>
          <w:spacing w:val="0"/>
        </w:rPr>
        <w:t>Federal Register</w:t>
      </w:r>
      <w:r w:rsidRPr="006261AE">
        <w:rPr>
          <w:rFonts w:ascii="Times New Roman" w:hAnsi="Times New Roman" w:cs="Arial"/>
          <w:color w:val="000000"/>
          <w:spacing w:val="0"/>
        </w:rPr>
        <w:t xml:space="preserve">, with a 60-day period for soliciting comments, on </w:t>
      </w:r>
      <w:r w:rsidR="002D2E36">
        <w:rPr>
          <w:rFonts w:ascii="Times New Roman" w:hAnsi="Times New Roman" w:cs="Arial"/>
          <w:color w:val="000000"/>
          <w:spacing w:val="0"/>
        </w:rPr>
        <w:t>April 23</w:t>
      </w:r>
      <w:r w:rsidRPr="00431199">
        <w:rPr>
          <w:rFonts w:ascii="Times New Roman" w:hAnsi="Times New Roman" w:cs="Arial"/>
          <w:color w:val="000000"/>
          <w:spacing w:val="0"/>
        </w:rPr>
        <w:t>, 202</w:t>
      </w:r>
      <w:r w:rsidR="009A0319">
        <w:rPr>
          <w:rFonts w:ascii="Times New Roman" w:hAnsi="Times New Roman" w:cs="Arial"/>
          <w:color w:val="000000"/>
          <w:spacing w:val="0"/>
        </w:rPr>
        <w:t>6</w:t>
      </w:r>
      <w:r w:rsidRPr="00431199">
        <w:rPr>
          <w:rFonts w:ascii="Times New Roman" w:hAnsi="Times New Roman" w:cs="Arial"/>
          <w:color w:val="000000"/>
          <w:spacing w:val="0"/>
        </w:rPr>
        <w:t xml:space="preserve"> (</w:t>
      </w:r>
      <w:r w:rsidRPr="00431199">
        <w:rPr>
          <w:rFonts w:ascii="Times New Roman" w:hAnsi="Times New Roman" w:cs="Arial"/>
          <w:i/>
          <w:color w:val="000000"/>
          <w:spacing w:val="0"/>
        </w:rPr>
        <w:t>See</w:t>
      </w:r>
      <w:r w:rsidRPr="00431199">
        <w:rPr>
          <w:rFonts w:ascii="Times New Roman" w:hAnsi="Times New Roman" w:cs="Arial"/>
          <w:color w:val="000000"/>
          <w:spacing w:val="0"/>
        </w:rPr>
        <w:t xml:space="preserve"> </w:t>
      </w:r>
      <w:r w:rsidR="008031F6">
        <w:rPr>
          <w:rFonts w:ascii="Times New Roman" w:hAnsi="Times New Roman" w:cs="Arial"/>
          <w:color w:val="000000"/>
          <w:spacing w:val="0"/>
        </w:rPr>
        <w:t>9</w:t>
      </w:r>
      <w:r w:rsidR="009A0319">
        <w:rPr>
          <w:rFonts w:ascii="Times New Roman" w:hAnsi="Times New Roman" w:cs="Arial"/>
          <w:color w:val="000000"/>
          <w:spacing w:val="0"/>
        </w:rPr>
        <w:t>1</w:t>
      </w:r>
      <w:r w:rsidRPr="00431199">
        <w:rPr>
          <w:rFonts w:ascii="Times New Roman" w:hAnsi="Times New Roman" w:cs="Arial"/>
          <w:color w:val="000000"/>
          <w:spacing w:val="0"/>
        </w:rPr>
        <w:t xml:space="preserve"> FR </w:t>
      </w:r>
      <w:r w:rsidR="009A0319">
        <w:rPr>
          <w:rFonts w:ascii="Times New Roman" w:hAnsi="Times New Roman" w:cs="Arial"/>
          <w:color w:val="000000"/>
          <w:spacing w:val="0"/>
        </w:rPr>
        <w:t>21831</w:t>
      </w:r>
      <w:r w:rsidRPr="001555CD">
        <w:rPr>
          <w:rFonts w:ascii="Times New Roman" w:hAnsi="Times New Roman" w:cs="Arial"/>
          <w:color w:val="000000"/>
          <w:spacing w:val="0"/>
        </w:rPr>
        <w:t>)</w:t>
      </w:r>
      <w:r w:rsidR="00CC570B">
        <w:rPr>
          <w:rFonts w:ascii="Times New Roman" w:hAnsi="Times New Roman" w:cs="Arial"/>
          <w:color w:val="000000"/>
          <w:spacing w:val="0"/>
        </w:rPr>
        <w:t>,</w:t>
      </w:r>
      <w:r w:rsidRPr="001555CD">
        <w:rPr>
          <w:rFonts w:ascii="Times New Roman" w:hAnsi="Times New Roman" w:cs="Arial"/>
          <w:color w:val="000000"/>
          <w:spacing w:val="0"/>
        </w:rPr>
        <w:t xml:space="preserve"> and a 30-day notice, </w:t>
      </w:r>
      <w:r w:rsidRPr="00FF2D58">
        <w:rPr>
          <w:rFonts w:ascii="Times New Roman" w:hAnsi="Times New Roman" w:cs="Arial"/>
          <w:color w:val="000000"/>
          <w:spacing w:val="0"/>
        </w:rPr>
        <w:t xml:space="preserve">on </w:t>
      </w:r>
      <w:r w:rsidRPr="00FF2D58" w:rsidR="006161B2">
        <w:rPr>
          <w:rFonts w:ascii="Times New Roman" w:hAnsi="Times New Roman" w:cs="Arial"/>
          <w:color w:val="000000"/>
          <w:spacing w:val="0"/>
        </w:rPr>
        <w:t>July</w:t>
      </w:r>
      <w:r w:rsidRPr="00FF2D58" w:rsidR="006161B2">
        <w:rPr>
          <w:rFonts w:ascii="Times New Roman" w:hAnsi="Times New Roman" w:cs="Arial"/>
          <w:color w:val="000000"/>
          <w:spacing w:val="0"/>
        </w:rPr>
        <w:t xml:space="preserve"> </w:t>
      </w:r>
      <w:r w:rsidRPr="00FF2D58" w:rsidR="00FF2D58">
        <w:rPr>
          <w:rFonts w:ascii="Times New Roman" w:hAnsi="Times New Roman" w:cs="Arial"/>
          <w:color w:val="000000"/>
          <w:spacing w:val="0"/>
        </w:rPr>
        <w:t>13</w:t>
      </w:r>
      <w:r w:rsidRPr="00FF2D58">
        <w:rPr>
          <w:rFonts w:ascii="Times New Roman" w:hAnsi="Times New Roman" w:cs="Arial"/>
          <w:color w:val="000000"/>
          <w:spacing w:val="0"/>
        </w:rPr>
        <w:t>, 202</w:t>
      </w:r>
      <w:r w:rsidRPr="00FF2D58" w:rsidR="00E373BA">
        <w:rPr>
          <w:rFonts w:ascii="Times New Roman" w:hAnsi="Times New Roman" w:cs="Arial"/>
          <w:color w:val="000000"/>
          <w:spacing w:val="0"/>
        </w:rPr>
        <w:t>6</w:t>
      </w:r>
      <w:r w:rsidRPr="00FF2D58">
        <w:rPr>
          <w:rFonts w:ascii="Times New Roman" w:hAnsi="Times New Roman" w:cs="Arial"/>
          <w:color w:val="000000"/>
          <w:spacing w:val="0"/>
        </w:rPr>
        <w:t xml:space="preserve"> (</w:t>
      </w:r>
      <w:r w:rsidRPr="00FF2D58">
        <w:rPr>
          <w:rFonts w:ascii="Times New Roman" w:hAnsi="Times New Roman" w:cs="Arial"/>
          <w:i/>
          <w:color w:val="000000"/>
          <w:spacing w:val="0"/>
        </w:rPr>
        <w:t>See</w:t>
      </w:r>
      <w:r w:rsidRPr="00FF2D58">
        <w:rPr>
          <w:rFonts w:ascii="Times New Roman" w:hAnsi="Times New Roman" w:cs="Arial"/>
          <w:color w:val="000000"/>
          <w:spacing w:val="0"/>
        </w:rPr>
        <w:t xml:space="preserve"> </w:t>
      </w:r>
      <w:r w:rsidRPr="00FF2D58" w:rsidR="008031F6">
        <w:rPr>
          <w:rFonts w:ascii="Times New Roman" w:hAnsi="Times New Roman" w:cs="Arial"/>
          <w:color w:val="000000"/>
          <w:spacing w:val="0"/>
        </w:rPr>
        <w:t>9</w:t>
      </w:r>
      <w:r w:rsidRPr="00FF2D58" w:rsidR="006161B2">
        <w:rPr>
          <w:rFonts w:ascii="Times New Roman" w:hAnsi="Times New Roman" w:cs="Arial"/>
          <w:color w:val="000000"/>
          <w:spacing w:val="0"/>
        </w:rPr>
        <w:t>1</w:t>
      </w:r>
      <w:r w:rsidRPr="00FF2D58" w:rsidR="008031F6">
        <w:rPr>
          <w:rFonts w:ascii="Times New Roman" w:hAnsi="Times New Roman" w:cs="Arial"/>
          <w:color w:val="000000"/>
          <w:spacing w:val="0"/>
        </w:rPr>
        <w:t xml:space="preserve"> </w:t>
      </w:r>
      <w:r w:rsidRPr="00FF2D58">
        <w:rPr>
          <w:rFonts w:ascii="Times New Roman" w:hAnsi="Times New Roman" w:cs="Arial"/>
          <w:color w:val="000000"/>
          <w:spacing w:val="0"/>
        </w:rPr>
        <w:t xml:space="preserve">FR </w:t>
      </w:r>
      <w:r w:rsidRPr="00FF2D58" w:rsidR="006161B2">
        <w:rPr>
          <w:rFonts w:ascii="Times New Roman" w:hAnsi="Times New Roman" w:cs="Arial"/>
          <w:color w:val="000000"/>
          <w:spacing w:val="0"/>
        </w:rPr>
        <w:t>42972</w:t>
      </w:r>
      <w:r w:rsidRPr="00FF2D58">
        <w:rPr>
          <w:rFonts w:ascii="Times New Roman" w:hAnsi="Times New Roman" w:cs="Arial"/>
          <w:color w:val="000000"/>
          <w:spacing w:val="0"/>
        </w:rPr>
        <w:t>).  TSA received no comments in reply to the notices.</w:t>
      </w:r>
    </w:p>
    <w:p w:rsidR="00320387" w:rsidP="00320387" w14:paraId="6EEA6BD7" w14:textId="77777777">
      <w:pPr>
        <w:pStyle w:val="IndexHeading"/>
        <w:keepNext w:val="0"/>
        <w:numPr>
          <w:ilvl w:val="12"/>
          <w:numId w:val="0"/>
        </w:numPr>
        <w:spacing w:line="240" w:lineRule="auto"/>
        <w:rPr>
          <w:rFonts w:ascii="Times New Roman" w:hAnsi="Times New Roman"/>
          <w:spacing w:val="0"/>
        </w:rPr>
      </w:pPr>
    </w:p>
    <w:p w:rsidR="00320387" w:rsidP="00320387" w14:paraId="6EEA6BD8"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6EEA6BD9" w14:textId="77777777">
      <w:pPr>
        <w:keepNext/>
        <w:numPr>
          <w:ilvl w:val="12"/>
          <w:numId w:val="0"/>
        </w:numPr>
        <w:ind w:left="360"/>
      </w:pPr>
    </w:p>
    <w:p w:rsidR="00B41A80" w:rsidRPr="00162E04" w:rsidP="00B41A80" w14:paraId="2AB0EDFC" w14:textId="77777777">
      <w:pPr>
        <w:numPr>
          <w:ilvl w:val="12"/>
          <w:numId w:val="0"/>
        </w:numPr>
        <w:ind w:left="360"/>
      </w:pPr>
      <w:r w:rsidRPr="00162E04">
        <w:t>T</w:t>
      </w:r>
      <w:r>
        <w:t>SA will not provide any payment or gifts to respondents</w:t>
      </w:r>
      <w:r w:rsidRPr="00162E04">
        <w:t xml:space="preserve"> for this information collection.</w:t>
      </w:r>
    </w:p>
    <w:p w:rsidR="00320387" w:rsidP="00320387" w14:paraId="6EEA6BDB" w14:textId="77777777">
      <w:pPr>
        <w:numPr>
          <w:ilvl w:val="12"/>
          <w:numId w:val="0"/>
        </w:numPr>
      </w:pPr>
    </w:p>
    <w:p w:rsidR="00320387" w:rsidP="00320387" w14:paraId="6EEA6BDC"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6EEA6BDD" w14:textId="77777777">
      <w:pPr>
        <w:keepNext/>
        <w:numPr>
          <w:ilvl w:val="12"/>
          <w:numId w:val="0"/>
        </w:numPr>
        <w:ind w:left="360"/>
      </w:pPr>
    </w:p>
    <w:p w:rsidR="001E596F" w:rsidP="001E596F" w14:paraId="36D97078" w14:textId="688C53C4">
      <w:pPr>
        <w:numPr>
          <w:ilvl w:val="12"/>
          <w:numId w:val="0"/>
        </w:numPr>
        <w:ind w:left="360"/>
      </w:pPr>
      <w:r>
        <w:t xml:space="preserve">Although TSA will not provide any assurances of confidentiality to respondents, information collected that is determined by TSA to be Sensitive Security Information, in accordance with </w:t>
      </w:r>
      <w:r>
        <w:t xml:space="preserve">49 CFR part 1520, will be </w:t>
      </w:r>
      <w:r w:rsidRPr="001C1FA3">
        <w:t xml:space="preserve">protected as such.  This information </w:t>
      </w:r>
      <w:r w:rsidRPr="001C1FA3">
        <w:t>collection is</w:t>
      </w:r>
      <w:r w:rsidRPr="001C1FA3">
        <w:t xml:space="preserve"> covered under Privacy Impact Assessments: </w:t>
      </w:r>
      <w:r w:rsidRPr="001C1FA3" w:rsidR="00FA7E35">
        <w:t xml:space="preserve">DHS/TSA/PIA-048 Insider Threat Unit Database </w:t>
      </w:r>
      <w:r w:rsidRPr="001C1FA3" w:rsidR="00EC310C">
        <w:t xml:space="preserve">(April 4, 2018) </w:t>
      </w:r>
      <w:r w:rsidRPr="001C1FA3" w:rsidR="00FA7E35">
        <w:t>and DHS/ALL/PIA-052 Insider Threat Program</w:t>
      </w:r>
      <w:r w:rsidRPr="001C1FA3" w:rsidR="00EC310C">
        <w:t xml:space="preserve"> (June 16, 2020)</w:t>
      </w:r>
      <w:r w:rsidRPr="001C1FA3">
        <w:t xml:space="preserve">.  In addition, to the extent applicable the collection is covered by </w:t>
      </w:r>
      <w:r w:rsidRPr="001C1FA3" w:rsidR="00A82C7A">
        <w:t xml:space="preserve">the following </w:t>
      </w:r>
      <w:r w:rsidRPr="001C1FA3">
        <w:t>System of Records Notice</w:t>
      </w:r>
      <w:r w:rsidRPr="001C1FA3" w:rsidR="00A82C7A">
        <w:t>s</w:t>
      </w:r>
      <w:r w:rsidRPr="001C1FA3">
        <w:t xml:space="preserve">, </w:t>
      </w:r>
      <w:r w:rsidRPr="001C1FA3" w:rsidR="00FA7E35">
        <w:t xml:space="preserve">DHS/TSA-001 Transportation Security Enforcement </w:t>
      </w:r>
      <w:r w:rsidRPr="001C1FA3" w:rsidR="00EC310C">
        <w:t xml:space="preserve">Record </w:t>
      </w:r>
      <w:r w:rsidRPr="001C1FA3" w:rsidR="00FA7E35">
        <w:t>System</w:t>
      </w:r>
      <w:r w:rsidRPr="001C1FA3" w:rsidR="00A82C7A">
        <w:t>,</w:t>
      </w:r>
      <w:r w:rsidRPr="001C1FA3" w:rsidR="00FA7E35">
        <w:t xml:space="preserve"> </w:t>
      </w:r>
      <w:r w:rsidRPr="001C1FA3" w:rsidR="00A82C7A">
        <w:t>and DHS/ALL-038 Insider Threat Program</w:t>
      </w:r>
      <w:r w:rsidR="00F55BAC">
        <w:t>.</w:t>
      </w:r>
      <w:r w:rsidR="00587883">
        <w:t xml:space="preserve">  </w:t>
      </w:r>
      <w:r w:rsidRPr="001C1FA3" w:rsidR="00A82C7A">
        <w:rPr>
          <w:i/>
        </w:rPr>
        <w:t>S</w:t>
      </w:r>
      <w:r w:rsidRPr="001C1FA3">
        <w:rPr>
          <w:i/>
        </w:rPr>
        <w:t>ee</w:t>
      </w:r>
      <w:r w:rsidRPr="001C1FA3">
        <w:t xml:space="preserve"> </w:t>
      </w:r>
      <w:r w:rsidRPr="001C1FA3" w:rsidR="00EC310C">
        <w:t xml:space="preserve">83 </w:t>
      </w:r>
      <w:r w:rsidRPr="001C1FA3">
        <w:t xml:space="preserve">FR </w:t>
      </w:r>
      <w:r w:rsidRPr="001C1FA3" w:rsidR="00EC310C">
        <w:t xml:space="preserve">43888 </w:t>
      </w:r>
      <w:r w:rsidRPr="001C1FA3">
        <w:t>(</w:t>
      </w:r>
      <w:r w:rsidRPr="001C1FA3" w:rsidR="00A82C7A">
        <w:t>August 28</w:t>
      </w:r>
      <w:r w:rsidRPr="001C1FA3">
        <w:t>, 20</w:t>
      </w:r>
      <w:r w:rsidRPr="001C1FA3" w:rsidR="00A82C7A">
        <w:t>18</w:t>
      </w:r>
      <w:r w:rsidRPr="001C1FA3">
        <w:t>)</w:t>
      </w:r>
      <w:r w:rsidRPr="001C1FA3" w:rsidR="00A82C7A">
        <w:t xml:space="preserve"> and 85 FR 13914 (March</w:t>
      </w:r>
      <w:r w:rsidR="00A82C7A">
        <w:t xml:space="preserve"> 10, 2020), respectively</w:t>
      </w:r>
      <w:r>
        <w:t>.</w:t>
      </w:r>
    </w:p>
    <w:p w:rsidR="00320387" w:rsidP="00320387" w14:paraId="6EEA6BDF" w14:textId="77777777">
      <w:pPr>
        <w:numPr>
          <w:ilvl w:val="12"/>
          <w:numId w:val="0"/>
        </w:numPr>
      </w:pPr>
    </w:p>
    <w:p w:rsidR="00320387" w:rsidP="00320387" w14:paraId="6EEA6BE0"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14:paraId="6EEA6BE1" w14:textId="77777777">
      <w:pPr>
        <w:numPr>
          <w:ilvl w:val="12"/>
          <w:numId w:val="0"/>
        </w:numPr>
        <w:ind w:left="360"/>
      </w:pPr>
    </w:p>
    <w:p w:rsidR="00E704AF" w:rsidP="00E704AF" w14:paraId="1A6570E3" w14:textId="77777777">
      <w:pPr>
        <w:numPr>
          <w:ilvl w:val="12"/>
          <w:numId w:val="0"/>
        </w:numPr>
        <w:ind w:left="360"/>
      </w:pPr>
      <w:r w:rsidRPr="00097104">
        <w:t>This information collection does not involve any questions of a sensitive nature.</w:t>
      </w:r>
    </w:p>
    <w:p w:rsidR="00320387" w:rsidP="00320387" w14:paraId="6EEA6BE3" w14:textId="77777777">
      <w:pPr>
        <w:numPr>
          <w:ilvl w:val="12"/>
          <w:numId w:val="0"/>
        </w:numPr>
      </w:pPr>
    </w:p>
    <w:p w:rsidR="005A2CF9" w:rsidP="005A2CF9" w14:paraId="4375B220" w14:textId="2C2FA2A9">
      <w:pPr>
        <w:keepNext/>
        <w:numPr>
          <w:ilvl w:val="0"/>
          <w:numId w:val="1"/>
        </w:numPr>
        <w:tabs>
          <w:tab w:val="left" w:pos="360"/>
        </w:tabs>
        <w:rPr>
          <w:b/>
          <w:i/>
        </w:rPr>
      </w:pPr>
      <w:r w:rsidRPr="00695A48">
        <w:rPr>
          <w:b/>
          <w:i/>
        </w:rPr>
        <w:t>Provide estimates of hour and cost burdens of the collection of information.</w:t>
      </w:r>
    </w:p>
    <w:p w:rsidR="005A2CF9" w:rsidP="005A2CF9" w14:paraId="153F4846" w14:textId="77777777">
      <w:pPr>
        <w:keepNext/>
        <w:tabs>
          <w:tab w:val="left" w:pos="360"/>
        </w:tabs>
        <w:ind w:left="360"/>
        <w:rPr>
          <w:b/>
          <w:i/>
        </w:rPr>
      </w:pPr>
    </w:p>
    <w:p w:rsidR="00C14AA3" w:rsidP="00C14AA3" w14:paraId="2E6A4F51" w14:textId="2656A077">
      <w:pPr>
        <w:numPr>
          <w:ilvl w:val="12"/>
          <w:numId w:val="0"/>
        </w:numPr>
        <w:ind w:left="360"/>
      </w:pPr>
      <w:r w:rsidRPr="00333516">
        <w:t>TSA estimates that an average of approximately</w:t>
      </w:r>
      <w:r w:rsidR="003E19A9">
        <w:t xml:space="preserve"> </w:t>
      </w:r>
      <w:r w:rsidR="00670F8A">
        <w:t>312</w:t>
      </w:r>
      <w:r w:rsidRPr="00333516">
        <w:t xml:space="preserve"> respondents will be completing the </w:t>
      </w:r>
      <w:r w:rsidR="00FA2814">
        <w:t>Insider Threat Incident Reporting Tool</w:t>
      </w:r>
      <w:r>
        <w:t xml:space="preserve">.  TSA estimates that it takes approximately </w:t>
      </w:r>
      <w:r w:rsidR="003E19A9">
        <w:t>10</w:t>
      </w:r>
      <w:r>
        <w:t xml:space="preserve"> minutes (0.16667 hours) to complete and submit the </w:t>
      </w:r>
      <w:r w:rsidR="00154333">
        <w:t>report.</w:t>
      </w:r>
      <w:r>
        <w:t xml:space="preserve">  TSA uses the fully loaded average hourly wage rate of $</w:t>
      </w:r>
      <w:r w:rsidR="001D5199">
        <w:t>45.38</w:t>
      </w:r>
      <w:r>
        <w:t xml:space="preserve"> to estimate the respondents’ value of time (opportunity cost).</w:t>
      </w:r>
      <w:r>
        <w:rPr>
          <w:rStyle w:val="FootnoteReference"/>
        </w:rPr>
        <w:footnoteReference w:id="6"/>
      </w:r>
    </w:p>
    <w:p w:rsidR="00C14AA3" w:rsidP="00C14AA3" w14:paraId="3F71A70D" w14:textId="77777777">
      <w:pPr>
        <w:numPr>
          <w:ilvl w:val="12"/>
          <w:numId w:val="0"/>
        </w:numPr>
        <w:ind w:left="360"/>
      </w:pPr>
    </w:p>
    <w:p w:rsidR="00C14AA3" w:rsidP="00C14AA3" w14:paraId="06226249" w14:textId="72F4B0EF">
      <w:pPr>
        <w:numPr>
          <w:ilvl w:val="12"/>
          <w:numId w:val="0"/>
        </w:numPr>
        <w:ind w:left="360"/>
      </w:pPr>
      <w:r w:rsidRPr="00333516">
        <w:t xml:space="preserve">TSA estimates </w:t>
      </w:r>
      <w:r>
        <w:t xml:space="preserve">that the total annual burden to complete the </w:t>
      </w:r>
      <w:r w:rsidR="00193CF7">
        <w:t>reporting</w:t>
      </w:r>
      <w:r>
        <w:t xml:space="preserve"> is </w:t>
      </w:r>
      <w:r w:rsidR="00F73948">
        <w:t>52</w:t>
      </w:r>
      <w:r>
        <w:t xml:space="preserve"> hours, resulting in an annual hour burden </w:t>
      </w:r>
      <w:r w:rsidRPr="00333516">
        <w:t xml:space="preserve">cost of </w:t>
      </w:r>
      <w:r>
        <w:t>$2,</w:t>
      </w:r>
      <w:r w:rsidR="00F73948">
        <w:t>360</w:t>
      </w:r>
      <w:r w:rsidR="00EA2504">
        <w:t xml:space="preserve"> (</w:t>
      </w:r>
      <w:r w:rsidR="00114E31">
        <w:t>$</w:t>
      </w:r>
      <w:r w:rsidR="000902CE">
        <w:t>7,079</w:t>
      </w:r>
      <w:r w:rsidR="00114E31">
        <w:t xml:space="preserve"> over </w:t>
      </w:r>
      <w:r w:rsidR="00CC570B">
        <w:t xml:space="preserve">3 </w:t>
      </w:r>
      <w:r w:rsidR="00114E31">
        <w:t>years)</w:t>
      </w:r>
      <w:r w:rsidRPr="00193CF7">
        <w:t>.</w:t>
      </w:r>
      <w:r w:rsidRPr="00333516">
        <w:t xml:space="preserve"> </w:t>
      </w:r>
      <w:r>
        <w:t xml:space="preserve"> Table 1 shows the hour burden and cost estimation.</w:t>
      </w:r>
    </w:p>
    <w:p w:rsidR="00C14AA3" w:rsidP="00C14AA3" w14:paraId="18520628" w14:textId="77777777">
      <w:pPr>
        <w:numPr>
          <w:ilvl w:val="12"/>
          <w:numId w:val="0"/>
        </w:numPr>
        <w:ind w:left="360"/>
      </w:pPr>
    </w:p>
    <w:tbl>
      <w:tblPr>
        <w:tblW w:w="8820" w:type="dxa"/>
        <w:tblInd w:w="360" w:type="dxa"/>
        <w:tblLook w:val="04A0"/>
      </w:tblPr>
      <w:tblGrid>
        <w:gridCol w:w="2070"/>
        <w:gridCol w:w="1530"/>
        <w:gridCol w:w="2070"/>
        <w:gridCol w:w="1260"/>
        <w:gridCol w:w="180"/>
        <w:gridCol w:w="1710"/>
      </w:tblGrid>
      <w:tr w14:paraId="727DAC5E" w14:textId="77777777" w:rsidTr="00193CF7">
        <w:tblPrEx>
          <w:tblW w:w="8820" w:type="dxa"/>
          <w:tblInd w:w="360" w:type="dxa"/>
          <w:tblLook w:val="04A0"/>
        </w:tblPrEx>
        <w:trPr>
          <w:trHeight w:val="300"/>
        </w:trPr>
        <w:tc>
          <w:tcPr>
            <w:tcW w:w="5670" w:type="dxa"/>
            <w:gridSpan w:val="3"/>
            <w:tcBorders>
              <w:top w:val="nil"/>
              <w:left w:val="nil"/>
              <w:bottom w:val="nil"/>
              <w:right w:val="nil"/>
            </w:tcBorders>
            <w:noWrap/>
            <w:vAlign w:val="bottom"/>
            <w:hideMark/>
          </w:tcPr>
          <w:p w:rsidR="00987C71" w:rsidRPr="00987C71" w:rsidP="00987C71" w14:paraId="41011182" w14:textId="77777777">
            <w:pPr>
              <w:rPr>
                <w:rFonts w:cs="Times New Roman"/>
                <w:sz w:val="22"/>
                <w:szCs w:val="22"/>
              </w:rPr>
            </w:pPr>
            <w:r w:rsidRPr="00987C71">
              <w:rPr>
                <w:rFonts w:cs="Times New Roman"/>
                <w:sz w:val="22"/>
                <w:szCs w:val="22"/>
              </w:rPr>
              <w:t>Table 1: Public Hour Burden and Cost Estimation</w:t>
            </w:r>
          </w:p>
        </w:tc>
        <w:tc>
          <w:tcPr>
            <w:tcW w:w="1260" w:type="dxa"/>
            <w:tcBorders>
              <w:top w:val="nil"/>
              <w:left w:val="nil"/>
              <w:bottom w:val="nil"/>
              <w:right w:val="nil"/>
            </w:tcBorders>
            <w:noWrap/>
            <w:vAlign w:val="bottom"/>
            <w:hideMark/>
          </w:tcPr>
          <w:p w:rsidR="00987C71" w:rsidRPr="00987C71" w:rsidP="00987C71" w14:paraId="610991B9" w14:textId="77777777">
            <w:pPr>
              <w:rPr>
                <w:rFonts w:cs="Times New Roman"/>
                <w:sz w:val="22"/>
                <w:szCs w:val="22"/>
              </w:rPr>
            </w:pPr>
          </w:p>
        </w:tc>
        <w:tc>
          <w:tcPr>
            <w:tcW w:w="1890" w:type="dxa"/>
            <w:gridSpan w:val="2"/>
            <w:tcBorders>
              <w:top w:val="nil"/>
              <w:left w:val="nil"/>
              <w:bottom w:val="nil"/>
              <w:right w:val="nil"/>
            </w:tcBorders>
            <w:noWrap/>
            <w:vAlign w:val="bottom"/>
            <w:hideMark/>
          </w:tcPr>
          <w:p w:rsidR="00987C71" w:rsidRPr="00987C71" w:rsidP="00987C71" w14:paraId="47285CD2" w14:textId="77777777">
            <w:pPr>
              <w:rPr>
                <w:rFonts w:cs="Times New Roman"/>
                <w:color w:val="auto"/>
                <w:sz w:val="20"/>
              </w:rPr>
            </w:pPr>
          </w:p>
        </w:tc>
      </w:tr>
      <w:tr w14:paraId="2C25733C" w14:textId="77777777" w:rsidTr="00193CF7">
        <w:tblPrEx>
          <w:tblW w:w="8820" w:type="dxa"/>
          <w:tblInd w:w="360" w:type="dxa"/>
          <w:tblLook w:val="04A0"/>
        </w:tblPrEx>
        <w:trPr>
          <w:trHeight w:val="900"/>
        </w:trPr>
        <w:tc>
          <w:tcPr>
            <w:tcW w:w="2070" w:type="dxa"/>
            <w:vMerge w:val="restart"/>
            <w:tcBorders>
              <w:top w:val="single" w:sz="4" w:space="0" w:color="auto"/>
              <w:left w:val="single" w:sz="4" w:space="0" w:color="auto"/>
              <w:bottom w:val="single" w:sz="4" w:space="0" w:color="000000"/>
              <w:right w:val="single" w:sz="4" w:space="0" w:color="auto"/>
            </w:tcBorders>
            <w:noWrap/>
            <w:vAlign w:val="bottom"/>
            <w:hideMark/>
          </w:tcPr>
          <w:p w:rsidR="00987C71" w:rsidRPr="00987C71" w:rsidP="00987C71" w14:paraId="5A4A884F" w14:textId="77777777">
            <w:pPr>
              <w:jc w:val="center"/>
              <w:rPr>
                <w:rFonts w:cs="Times New Roman"/>
                <w:sz w:val="22"/>
                <w:szCs w:val="22"/>
              </w:rPr>
            </w:pPr>
            <w:r w:rsidRPr="00987C71">
              <w:rPr>
                <w:rFonts w:cs="Times New Roman"/>
                <w:sz w:val="22"/>
                <w:szCs w:val="22"/>
              </w:rPr>
              <w:t> </w:t>
            </w:r>
          </w:p>
        </w:tc>
        <w:tc>
          <w:tcPr>
            <w:tcW w:w="1530" w:type="dxa"/>
            <w:tcBorders>
              <w:top w:val="single" w:sz="4" w:space="0" w:color="auto"/>
              <w:left w:val="nil"/>
              <w:bottom w:val="single" w:sz="4" w:space="0" w:color="auto"/>
              <w:right w:val="single" w:sz="4" w:space="0" w:color="auto"/>
            </w:tcBorders>
            <w:vAlign w:val="bottom"/>
            <w:hideMark/>
          </w:tcPr>
          <w:p w:rsidR="00987C71" w:rsidRPr="00987C71" w:rsidP="00987C71" w14:paraId="785C29C5" w14:textId="77777777">
            <w:pPr>
              <w:jc w:val="center"/>
              <w:rPr>
                <w:rFonts w:cs="Times New Roman"/>
                <w:sz w:val="22"/>
                <w:szCs w:val="22"/>
              </w:rPr>
            </w:pPr>
            <w:r w:rsidRPr="00987C71">
              <w:rPr>
                <w:rFonts w:cs="Times New Roman"/>
                <w:sz w:val="22"/>
                <w:szCs w:val="22"/>
              </w:rPr>
              <w:t>Annual Number of Respondents</w:t>
            </w:r>
          </w:p>
        </w:tc>
        <w:tc>
          <w:tcPr>
            <w:tcW w:w="2070" w:type="dxa"/>
            <w:tcBorders>
              <w:top w:val="single" w:sz="4" w:space="0" w:color="auto"/>
              <w:left w:val="nil"/>
              <w:bottom w:val="single" w:sz="4" w:space="0" w:color="auto"/>
              <w:right w:val="single" w:sz="4" w:space="0" w:color="auto"/>
            </w:tcBorders>
            <w:vAlign w:val="bottom"/>
            <w:hideMark/>
          </w:tcPr>
          <w:p w:rsidR="00987C71" w:rsidRPr="00987C71" w:rsidP="00987C71" w14:paraId="02BB5A10" w14:textId="77777777">
            <w:pPr>
              <w:jc w:val="center"/>
              <w:rPr>
                <w:rFonts w:cs="Times New Roman"/>
                <w:sz w:val="22"/>
                <w:szCs w:val="22"/>
              </w:rPr>
            </w:pPr>
            <w:r w:rsidRPr="00987C71">
              <w:rPr>
                <w:rFonts w:cs="Times New Roman"/>
                <w:sz w:val="22"/>
                <w:szCs w:val="22"/>
              </w:rPr>
              <w:t>Time to Complete Online Form (hours)</w:t>
            </w:r>
          </w:p>
        </w:tc>
        <w:tc>
          <w:tcPr>
            <w:tcW w:w="1440" w:type="dxa"/>
            <w:gridSpan w:val="2"/>
            <w:tcBorders>
              <w:top w:val="single" w:sz="4" w:space="0" w:color="auto"/>
              <w:left w:val="nil"/>
              <w:bottom w:val="single" w:sz="4" w:space="0" w:color="auto"/>
              <w:right w:val="single" w:sz="4" w:space="0" w:color="auto"/>
            </w:tcBorders>
            <w:vAlign w:val="bottom"/>
            <w:hideMark/>
          </w:tcPr>
          <w:p w:rsidR="00987C71" w:rsidRPr="00987C71" w:rsidP="00987C71" w14:paraId="687AD613" w14:textId="77777777">
            <w:pPr>
              <w:jc w:val="center"/>
              <w:rPr>
                <w:rFonts w:cs="Times New Roman"/>
                <w:sz w:val="22"/>
                <w:szCs w:val="22"/>
              </w:rPr>
            </w:pPr>
            <w:r w:rsidRPr="00987C71">
              <w:rPr>
                <w:rFonts w:cs="Times New Roman"/>
                <w:sz w:val="22"/>
                <w:szCs w:val="22"/>
              </w:rPr>
              <w:t>Annual Hour Burden</w:t>
            </w:r>
          </w:p>
        </w:tc>
        <w:tc>
          <w:tcPr>
            <w:tcW w:w="1710" w:type="dxa"/>
            <w:tcBorders>
              <w:top w:val="single" w:sz="4" w:space="0" w:color="auto"/>
              <w:left w:val="nil"/>
              <w:bottom w:val="single" w:sz="4" w:space="0" w:color="auto"/>
              <w:right w:val="single" w:sz="4" w:space="0" w:color="auto"/>
            </w:tcBorders>
            <w:vAlign w:val="bottom"/>
            <w:hideMark/>
          </w:tcPr>
          <w:p w:rsidR="00987C71" w:rsidRPr="00987C71" w:rsidP="00987C71" w14:paraId="4B7394EF" w14:textId="77777777">
            <w:pPr>
              <w:jc w:val="center"/>
              <w:rPr>
                <w:rFonts w:cs="Times New Roman"/>
                <w:sz w:val="22"/>
                <w:szCs w:val="22"/>
              </w:rPr>
            </w:pPr>
            <w:r w:rsidRPr="00987C71">
              <w:rPr>
                <w:rFonts w:cs="Times New Roman"/>
                <w:sz w:val="22"/>
                <w:szCs w:val="22"/>
              </w:rPr>
              <w:t>Annual Hour Burden Cost</w:t>
            </w:r>
          </w:p>
        </w:tc>
      </w:tr>
      <w:tr w14:paraId="2FA8C045" w14:textId="77777777" w:rsidTr="00193CF7">
        <w:tblPrEx>
          <w:tblW w:w="8820" w:type="dxa"/>
          <w:tblInd w:w="360" w:type="dxa"/>
          <w:tblLook w:val="04A0"/>
        </w:tblPrEx>
        <w:trPr>
          <w:trHeight w:val="300"/>
        </w:trPr>
        <w:tc>
          <w:tcPr>
            <w:tcW w:w="2070" w:type="dxa"/>
            <w:vMerge/>
            <w:tcBorders>
              <w:top w:val="single" w:sz="4" w:space="0" w:color="auto"/>
              <w:left w:val="single" w:sz="4" w:space="0" w:color="auto"/>
              <w:bottom w:val="single" w:sz="4" w:space="0" w:color="000000"/>
              <w:right w:val="single" w:sz="4" w:space="0" w:color="auto"/>
            </w:tcBorders>
            <w:vAlign w:val="center"/>
            <w:hideMark/>
          </w:tcPr>
          <w:p w:rsidR="00987C71" w:rsidRPr="00987C71" w:rsidP="00987C71" w14:paraId="33C2998B" w14:textId="77777777">
            <w:pPr>
              <w:rPr>
                <w:rFonts w:cs="Times New Roman"/>
                <w:sz w:val="22"/>
                <w:szCs w:val="22"/>
              </w:rPr>
            </w:pPr>
          </w:p>
        </w:tc>
        <w:tc>
          <w:tcPr>
            <w:tcW w:w="1530" w:type="dxa"/>
            <w:tcBorders>
              <w:top w:val="nil"/>
              <w:left w:val="nil"/>
              <w:bottom w:val="single" w:sz="4" w:space="0" w:color="auto"/>
              <w:right w:val="single" w:sz="4" w:space="0" w:color="auto"/>
            </w:tcBorders>
            <w:noWrap/>
            <w:vAlign w:val="bottom"/>
            <w:hideMark/>
          </w:tcPr>
          <w:p w:rsidR="00987C71" w:rsidRPr="00987C71" w:rsidP="00987C71" w14:paraId="4B892DAE" w14:textId="77777777">
            <w:pPr>
              <w:jc w:val="center"/>
              <w:rPr>
                <w:rFonts w:cs="Times New Roman"/>
                <w:sz w:val="22"/>
                <w:szCs w:val="22"/>
              </w:rPr>
            </w:pPr>
            <w:r w:rsidRPr="00987C71">
              <w:rPr>
                <w:rFonts w:cs="Times New Roman"/>
                <w:sz w:val="22"/>
                <w:szCs w:val="22"/>
              </w:rPr>
              <w:t>A</w:t>
            </w:r>
          </w:p>
        </w:tc>
        <w:tc>
          <w:tcPr>
            <w:tcW w:w="2070" w:type="dxa"/>
            <w:tcBorders>
              <w:top w:val="nil"/>
              <w:left w:val="nil"/>
              <w:bottom w:val="single" w:sz="4" w:space="0" w:color="auto"/>
              <w:right w:val="single" w:sz="4" w:space="0" w:color="auto"/>
            </w:tcBorders>
            <w:noWrap/>
            <w:vAlign w:val="bottom"/>
            <w:hideMark/>
          </w:tcPr>
          <w:p w:rsidR="00987C71" w:rsidRPr="00987C71" w:rsidP="00987C71" w14:paraId="68AA5149" w14:textId="77777777">
            <w:pPr>
              <w:jc w:val="center"/>
              <w:rPr>
                <w:rFonts w:cs="Times New Roman"/>
                <w:sz w:val="22"/>
                <w:szCs w:val="22"/>
              </w:rPr>
            </w:pPr>
            <w:r w:rsidRPr="00987C71">
              <w:rPr>
                <w:rFonts w:cs="Times New Roman"/>
                <w:sz w:val="22"/>
                <w:szCs w:val="22"/>
              </w:rPr>
              <w:t>B</w:t>
            </w:r>
          </w:p>
        </w:tc>
        <w:tc>
          <w:tcPr>
            <w:tcW w:w="1260" w:type="dxa"/>
            <w:tcBorders>
              <w:top w:val="nil"/>
              <w:left w:val="nil"/>
              <w:bottom w:val="single" w:sz="4" w:space="0" w:color="auto"/>
              <w:right w:val="nil"/>
            </w:tcBorders>
            <w:noWrap/>
            <w:vAlign w:val="bottom"/>
            <w:hideMark/>
          </w:tcPr>
          <w:p w:rsidR="00987C71" w:rsidRPr="00987C71" w:rsidP="00987C71" w14:paraId="68FD5EFE" w14:textId="77777777">
            <w:pPr>
              <w:jc w:val="center"/>
              <w:rPr>
                <w:rFonts w:cs="Times New Roman"/>
                <w:sz w:val="22"/>
                <w:szCs w:val="22"/>
              </w:rPr>
            </w:pPr>
            <w:r w:rsidRPr="00987C71">
              <w:rPr>
                <w:rFonts w:cs="Times New Roman"/>
                <w:sz w:val="22"/>
                <w:szCs w:val="22"/>
              </w:rPr>
              <w:t>C = A x B</w:t>
            </w:r>
          </w:p>
        </w:tc>
        <w:tc>
          <w:tcPr>
            <w:tcW w:w="1890" w:type="dxa"/>
            <w:gridSpan w:val="2"/>
            <w:tcBorders>
              <w:top w:val="nil"/>
              <w:left w:val="single" w:sz="4" w:space="0" w:color="auto"/>
              <w:bottom w:val="single" w:sz="4" w:space="0" w:color="auto"/>
              <w:right w:val="single" w:sz="4" w:space="0" w:color="auto"/>
            </w:tcBorders>
            <w:noWrap/>
            <w:vAlign w:val="bottom"/>
            <w:hideMark/>
          </w:tcPr>
          <w:p w:rsidR="00987C71" w:rsidRPr="00987C71" w:rsidP="00987C71" w14:paraId="5B3231AE" w14:textId="77777777">
            <w:pPr>
              <w:rPr>
                <w:rFonts w:cs="Times New Roman"/>
                <w:sz w:val="22"/>
                <w:szCs w:val="22"/>
              </w:rPr>
            </w:pPr>
            <w:r w:rsidRPr="00987C71">
              <w:rPr>
                <w:rFonts w:cs="Times New Roman"/>
                <w:sz w:val="22"/>
                <w:szCs w:val="22"/>
              </w:rPr>
              <w:t>D = C x $45.38</w:t>
            </w:r>
          </w:p>
        </w:tc>
      </w:tr>
      <w:tr w14:paraId="56F31055" w14:textId="77777777" w:rsidTr="00193CF7">
        <w:tblPrEx>
          <w:tblW w:w="8820" w:type="dxa"/>
          <w:tblInd w:w="360" w:type="dxa"/>
          <w:tblLook w:val="04A0"/>
        </w:tblPrEx>
        <w:trPr>
          <w:trHeight w:val="600"/>
        </w:trPr>
        <w:tc>
          <w:tcPr>
            <w:tcW w:w="2070" w:type="dxa"/>
            <w:tcBorders>
              <w:top w:val="nil"/>
              <w:left w:val="single" w:sz="4" w:space="0" w:color="auto"/>
              <w:bottom w:val="single" w:sz="4" w:space="0" w:color="auto"/>
              <w:right w:val="nil"/>
            </w:tcBorders>
            <w:vAlign w:val="bottom"/>
            <w:hideMark/>
          </w:tcPr>
          <w:p w:rsidR="00987C71" w:rsidRPr="00987C71" w:rsidP="00987C71" w14:paraId="77E4EBA8" w14:textId="35444D92">
            <w:pPr>
              <w:rPr>
                <w:rFonts w:cs="Times New Roman"/>
                <w:sz w:val="22"/>
                <w:szCs w:val="22"/>
              </w:rPr>
            </w:pPr>
            <w:r w:rsidRPr="00987C71">
              <w:rPr>
                <w:rFonts w:cs="Times New Roman"/>
                <w:sz w:val="22"/>
                <w:szCs w:val="22"/>
              </w:rPr>
              <w:t xml:space="preserve">Completing </w:t>
            </w:r>
            <w:r w:rsidR="000F20B6">
              <w:rPr>
                <w:rFonts w:cs="Times New Roman"/>
                <w:sz w:val="22"/>
                <w:szCs w:val="22"/>
              </w:rPr>
              <w:t xml:space="preserve">Insider Threat </w:t>
            </w:r>
            <w:r w:rsidR="00495E96">
              <w:rPr>
                <w:rFonts w:cs="Times New Roman"/>
                <w:sz w:val="22"/>
                <w:szCs w:val="22"/>
              </w:rPr>
              <w:t xml:space="preserve">Incident </w:t>
            </w:r>
            <w:r w:rsidR="000F20B6">
              <w:rPr>
                <w:rFonts w:cs="Times New Roman"/>
                <w:sz w:val="22"/>
                <w:szCs w:val="22"/>
              </w:rPr>
              <w:t>Report</w:t>
            </w:r>
            <w:r w:rsidR="00193CF7">
              <w:rPr>
                <w:rFonts w:cs="Times New Roman"/>
                <w:sz w:val="22"/>
                <w:szCs w:val="22"/>
              </w:rPr>
              <w:t>ing Tool</w:t>
            </w:r>
          </w:p>
        </w:tc>
        <w:tc>
          <w:tcPr>
            <w:tcW w:w="1530" w:type="dxa"/>
            <w:tcBorders>
              <w:top w:val="nil"/>
              <w:left w:val="single" w:sz="4" w:space="0" w:color="auto"/>
              <w:bottom w:val="single" w:sz="4" w:space="0" w:color="auto"/>
              <w:right w:val="single" w:sz="4" w:space="0" w:color="auto"/>
            </w:tcBorders>
            <w:noWrap/>
            <w:vAlign w:val="bottom"/>
            <w:hideMark/>
          </w:tcPr>
          <w:p w:rsidR="00987C71" w:rsidRPr="00987C71" w:rsidP="00987C71" w14:paraId="24318F02" w14:textId="77777777">
            <w:pPr>
              <w:jc w:val="right"/>
              <w:rPr>
                <w:rFonts w:cs="Times New Roman"/>
                <w:sz w:val="22"/>
                <w:szCs w:val="22"/>
              </w:rPr>
            </w:pPr>
            <w:r w:rsidRPr="00987C71">
              <w:rPr>
                <w:rFonts w:cs="Times New Roman"/>
                <w:sz w:val="22"/>
                <w:szCs w:val="22"/>
              </w:rPr>
              <w:t>312</w:t>
            </w:r>
          </w:p>
        </w:tc>
        <w:tc>
          <w:tcPr>
            <w:tcW w:w="2070" w:type="dxa"/>
            <w:tcBorders>
              <w:top w:val="nil"/>
              <w:left w:val="nil"/>
              <w:bottom w:val="single" w:sz="4" w:space="0" w:color="auto"/>
              <w:right w:val="single" w:sz="4" w:space="0" w:color="auto"/>
            </w:tcBorders>
            <w:noWrap/>
            <w:vAlign w:val="bottom"/>
            <w:hideMark/>
          </w:tcPr>
          <w:p w:rsidR="00987C71" w:rsidRPr="00987C71" w:rsidP="00987C71" w14:paraId="1C4806B0" w14:textId="28D1FF2D">
            <w:pPr>
              <w:jc w:val="right"/>
              <w:rPr>
                <w:rFonts w:cs="Times New Roman"/>
                <w:sz w:val="22"/>
                <w:szCs w:val="22"/>
              </w:rPr>
            </w:pPr>
            <w:r w:rsidRPr="00987C71">
              <w:rPr>
                <w:rFonts w:cs="Times New Roman"/>
                <w:sz w:val="22"/>
                <w:szCs w:val="22"/>
              </w:rPr>
              <w:t>0.1</w:t>
            </w:r>
            <w:r w:rsidR="00093363">
              <w:rPr>
                <w:rFonts w:cs="Times New Roman"/>
                <w:sz w:val="22"/>
                <w:szCs w:val="22"/>
              </w:rPr>
              <w:t>6</w:t>
            </w:r>
            <w:r w:rsidRPr="00987C71">
              <w:rPr>
                <w:rFonts w:cs="Times New Roman"/>
                <w:sz w:val="22"/>
                <w:szCs w:val="22"/>
              </w:rPr>
              <w:t>667</w:t>
            </w:r>
          </w:p>
        </w:tc>
        <w:tc>
          <w:tcPr>
            <w:tcW w:w="1260" w:type="dxa"/>
            <w:tcBorders>
              <w:top w:val="nil"/>
              <w:left w:val="nil"/>
              <w:bottom w:val="single" w:sz="4" w:space="0" w:color="auto"/>
              <w:right w:val="nil"/>
            </w:tcBorders>
            <w:noWrap/>
            <w:vAlign w:val="bottom"/>
            <w:hideMark/>
          </w:tcPr>
          <w:p w:rsidR="00987C71" w:rsidRPr="00987C71" w:rsidP="00987C71" w14:paraId="123541F1" w14:textId="77777777">
            <w:pPr>
              <w:jc w:val="right"/>
              <w:rPr>
                <w:rFonts w:cs="Times New Roman"/>
                <w:sz w:val="22"/>
                <w:szCs w:val="22"/>
              </w:rPr>
            </w:pPr>
            <w:r w:rsidRPr="00987C71">
              <w:rPr>
                <w:rFonts w:cs="Times New Roman"/>
                <w:sz w:val="22"/>
                <w:szCs w:val="22"/>
              </w:rPr>
              <w:t>52</w:t>
            </w:r>
          </w:p>
        </w:tc>
        <w:tc>
          <w:tcPr>
            <w:tcW w:w="1890" w:type="dxa"/>
            <w:gridSpan w:val="2"/>
            <w:tcBorders>
              <w:top w:val="nil"/>
              <w:left w:val="single" w:sz="4" w:space="0" w:color="auto"/>
              <w:bottom w:val="single" w:sz="4" w:space="0" w:color="auto"/>
              <w:right w:val="single" w:sz="4" w:space="0" w:color="auto"/>
            </w:tcBorders>
            <w:noWrap/>
            <w:vAlign w:val="bottom"/>
            <w:hideMark/>
          </w:tcPr>
          <w:p w:rsidR="00987C71" w:rsidRPr="00987C71" w:rsidP="00987C71" w14:paraId="202F7047" w14:textId="77777777">
            <w:pPr>
              <w:jc w:val="right"/>
              <w:rPr>
                <w:rFonts w:cs="Times New Roman"/>
                <w:sz w:val="22"/>
                <w:szCs w:val="22"/>
              </w:rPr>
            </w:pPr>
            <w:r w:rsidRPr="00987C71">
              <w:rPr>
                <w:rFonts w:cs="Times New Roman"/>
                <w:sz w:val="22"/>
                <w:szCs w:val="22"/>
              </w:rPr>
              <w:t>$2,360</w:t>
            </w:r>
          </w:p>
        </w:tc>
      </w:tr>
      <w:tr w14:paraId="7D650A8F" w14:textId="77777777" w:rsidTr="00193CF7">
        <w:tblPrEx>
          <w:tblW w:w="8820" w:type="dxa"/>
          <w:tblInd w:w="360" w:type="dxa"/>
          <w:tblLook w:val="04A0"/>
        </w:tblPrEx>
        <w:trPr>
          <w:trHeight w:val="300"/>
        </w:trPr>
        <w:tc>
          <w:tcPr>
            <w:tcW w:w="2070" w:type="dxa"/>
            <w:tcBorders>
              <w:top w:val="nil"/>
              <w:left w:val="single" w:sz="4" w:space="0" w:color="auto"/>
              <w:bottom w:val="single" w:sz="4" w:space="0" w:color="auto"/>
              <w:right w:val="nil"/>
            </w:tcBorders>
            <w:noWrap/>
            <w:vAlign w:val="bottom"/>
            <w:hideMark/>
          </w:tcPr>
          <w:p w:rsidR="00987C71" w:rsidRPr="00987C71" w:rsidP="00987C71" w14:paraId="45C68417" w14:textId="77777777">
            <w:pPr>
              <w:jc w:val="center"/>
              <w:rPr>
                <w:rFonts w:cs="Times New Roman"/>
                <w:b/>
                <w:bCs/>
                <w:sz w:val="22"/>
                <w:szCs w:val="22"/>
              </w:rPr>
            </w:pPr>
            <w:r w:rsidRPr="00987C71">
              <w:rPr>
                <w:rFonts w:cs="Times New Roman"/>
                <w:b/>
                <w:bCs/>
                <w:sz w:val="22"/>
                <w:szCs w:val="22"/>
              </w:rPr>
              <w:t>Total</w:t>
            </w:r>
          </w:p>
        </w:tc>
        <w:tc>
          <w:tcPr>
            <w:tcW w:w="1530" w:type="dxa"/>
            <w:tcBorders>
              <w:top w:val="nil"/>
              <w:left w:val="single" w:sz="4" w:space="0" w:color="auto"/>
              <w:bottom w:val="single" w:sz="4" w:space="0" w:color="auto"/>
              <w:right w:val="single" w:sz="4" w:space="0" w:color="auto"/>
            </w:tcBorders>
            <w:noWrap/>
            <w:vAlign w:val="bottom"/>
            <w:hideMark/>
          </w:tcPr>
          <w:p w:rsidR="00987C71" w:rsidRPr="00987C71" w:rsidP="00987C71" w14:paraId="6BC63FD1" w14:textId="77777777">
            <w:pPr>
              <w:jc w:val="right"/>
              <w:rPr>
                <w:rFonts w:cs="Times New Roman"/>
                <w:b/>
                <w:bCs/>
                <w:sz w:val="22"/>
                <w:szCs w:val="22"/>
              </w:rPr>
            </w:pPr>
            <w:r w:rsidRPr="00987C71">
              <w:rPr>
                <w:rFonts w:cs="Times New Roman"/>
                <w:b/>
                <w:bCs/>
                <w:sz w:val="22"/>
                <w:szCs w:val="22"/>
              </w:rPr>
              <w:t>312</w:t>
            </w:r>
          </w:p>
        </w:tc>
        <w:tc>
          <w:tcPr>
            <w:tcW w:w="2070" w:type="dxa"/>
            <w:tcBorders>
              <w:top w:val="nil"/>
              <w:left w:val="nil"/>
              <w:bottom w:val="single" w:sz="4" w:space="0" w:color="auto"/>
              <w:right w:val="single" w:sz="4" w:space="0" w:color="auto"/>
            </w:tcBorders>
            <w:shd w:val="clear" w:color="000000" w:fill="D9D9D9"/>
            <w:noWrap/>
            <w:vAlign w:val="bottom"/>
            <w:hideMark/>
          </w:tcPr>
          <w:p w:rsidR="00987C71" w:rsidRPr="00987C71" w:rsidP="00987C71" w14:paraId="2F8B307C" w14:textId="77777777">
            <w:pPr>
              <w:rPr>
                <w:rFonts w:cs="Times New Roman"/>
                <w:b/>
                <w:bCs/>
                <w:sz w:val="22"/>
                <w:szCs w:val="22"/>
              </w:rPr>
            </w:pPr>
            <w:r w:rsidRPr="00987C71">
              <w:rPr>
                <w:rFonts w:cs="Times New Roman"/>
                <w:b/>
                <w:bCs/>
                <w:sz w:val="22"/>
                <w:szCs w:val="22"/>
              </w:rPr>
              <w:t> </w:t>
            </w:r>
          </w:p>
        </w:tc>
        <w:tc>
          <w:tcPr>
            <w:tcW w:w="1260" w:type="dxa"/>
            <w:tcBorders>
              <w:top w:val="nil"/>
              <w:left w:val="nil"/>
              <w:bottom w:val="single" w:sz="4" w:space="0" w:color="auto"/>
              <w:right w:val="nil"/>
            </w:tcBorders>
            <w:noWrap/>
            <w:vAlign w:val="bottom"/>
            <w:hideMark/>
          </w:tcPr>
          <w:p w:rsidR="00987C71" w:rsidRPr="00987C71" w:rsidP="00987C71" w14:paraId="09CFCCC2" w14:textId="77777777">
            <w:pPr>
              <w:jc w:val="right"/>
              <w:rPr>
                <w:rFonts w:cs="Times New Roman"/>
                <w:b/>
                <w:bCs/>
                <w:sz w:val="22"/>
                <w:szCs w:val="22"/>
              </w:rPr>
            </w:pPr>
            <w:r w:rsidRPr="00987C71">
              <w:rPr>
                <w:rFonts w:cs="Times New Roman"/>
                <w:b/>
                <w:bCs/>
                <w:sz w:val="22"/>
                <w:szCs w:val="22"/>
              </w:rPr>
              <w:t>52</w:t>
            </w:r>
          </w:p>
        </w:tc>
        <w:tc>
          <w:tcPr>
            <w:tcW w:w="1890" w:type="dxa"/>
            <w:gridSpan w:val="2"/>
            <w:tcBorders>
              <w:top w:val="nil"/>
              <w:left w:val="single" w:sz="4" w:space="0" w:color="auto"/>
              <w:bottom w:val="single" w:sz="4" w:space="0" w:color="auto"/>
              <w:right w:val="single" w:sz="4" w:space="0" w:color="auto"/>
            </w:tcBorders>
            <w:noWrap/>
            <w:vAlign w:val="bottom"/>
            <w:hideMark/>
          </w:tcPr>
          <w:p w:rsidR="00987C71" w:rsidRPr="00987C71" w:rsidP="00987C71" w14:paraId="03EEDB70" w14:textId="77777777">
            <w:pPr>
              <w:jc w:val="right"/>
              <w:rPr>
                <w:rFonts w:cs="Times New Roman"/>
                <w:b/>
                <w:bCs/>
                <w:sz w:val="22"/>
                <w:szCs w:val="22"/>
              </w:rPr>
            </w:pPr>
            <w:r w:rsidRPr="00987C71">
              <w:rPr>
                <w:rFonts w:cs="Times New Roman"/>
                <w:b/>
                <w:bCs/>
                <w:sz w:val="22"/>
                <w:szCs w:val="22"/>
              </w:rPr>
              <w:t>$2,360</w:t>
            </w:r>
          </w:p>
        </w:tc>
      </w:tr>
    </w:tbl>
    <w:p w:rsidR="00320387" w:rsidP="00617E4D" w14:paraId="6EEA6BE6" w14:textId="0C18F36F">
      <w:pPr>
        <w:numPr>
          <w:ilvl w:val="12"/>
          <w:numId w:val="0"/>
        </w:numPr>
      </w:pPr>
    </w:p>
    <w:p w:rsidR="00320387" w:rsidP="00320387" w14:paraId="6EEA6BE7" w14:textId="77777777">
      <w:pPr>
        <w:numPr>
          <w:ilvl w:val="12"/>
          <w:numId w:val="0"/>
        </w:numPr>
      </w:pPr>
    </w:p>
    <w:p w:rsidR="005A2CF9" w:rsidRPr="00695A48" w:rsidP="005A2CF9" w14:paraId="0AC5F5F5" w14:textId="74310795">
      <w:pPr>
        <w:keepNext/>
        <w:numPr>
          <w:ilvl w:val="0"/>
          <w:numId w:val="1"/>
        </w:numPr>
        <w:tabs>
          <w:tab w:val="left" w:pos="360"/>
        </w:tabs>
        <w:rPr>
          <w:b/>
          <w:i/>
        </w:rPr>
      </w:pPr>
      <w:r w:rsidRPr="00695A48">
        <w:rPr>
          <w:b/>
          <w:i/>
        </w:rPr>
        <w:t>Provide an estimate of annualized capital and start-up costs.</w:t>
      </w:r>
    </w:p>
    <w:p w:rsidR="005A2CF9" w:rsidP="005A2CF9" w14:paraId="67797884" w14:textId="77777777">
      <w:pPr>
        <w:keepNext/>
        <w:numPr>
          <w:ilvl w:val="12"/>
          <w:numId w:val="0"/>
        </w:numPr>
        <w:ind w:left="360"/>
      </w:pPr>
    </w:p>
    <w:p w:rsidR="005A2CF9" w:rsidP="00694681" w14:paraId="3A1148DA" w14:textId="7E60D14F">
      <w:pPr>
        <w:pStyle w:val="IndexHeading"/>
        <w:keepNext w:val="0"/>
        <w:numPr>
          <w:ilvl w:val="12"/>
          <w:numId w:val="0"/>
        </w:numPr>
        <w:spacing w:line="240" w:lineRule="auto"/>
        <w:ind w:left="360"/>
        <w:rPr>
          <w:rFonts w:ascii="Times New Roman" w:hAnsi="Times New Roman"/>
          <w:spacing w:val="0"/>
        </w:rPr>
      </w:pPr>
      <w:r w:rsidRPr="00FF5662">
        <w:rPr>
          <w:rFonts w:ascii="Times New Roman" w:hAnsi="Times New Roman"/>
        </w:rPr>
        <w:t>There are no additional costs to respondents or recordkeepers resulting from the information collection.</w:t>
      </w:r>
    </w:p>
    <w:p w:rsidR="00320387" w:rsidP="00320387" w14:paraId="6EEA6BEB" w14:textId="7CC5C579">
      <w:pPr>
        <w:pStyle w:val="IndexHeading"/>
        <w:keepNext w:val="0"/>
        <w:numPr>
          <w:ilvl w:val="12"/>
          <w:numId w:val="0"/>
        </w:numPr>
        <w:spacing w:line="240" w:lineRule="auto"/>
        <w:rPr>
          <w:rFonts w:ascii="Times New Roman" w:hAnsi="Times New Roman"/>
          <w:spacing w:val="0"/>
        </w:rPr>
      </w:pPr>
    </w:p>
    <w:p w:rsidR="00320387" w:rsidP="00320387" w14:paraId="6EEA6BE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14:paraId="6EEA6BED" w14:textId="77777777">
      <w:pPr>
        <w:keepNext/>
        <w:numPr>
          <w:ilvl w:val="12"/>
          <w:numId w:val="0"/>
        </w:numPr>
        <w:ind w:left="360"/>
      </w:pPr>
    </w:p>
    <w:p w:rsidR="004D17D5" w:rsidP="004D17D5" w14:paraId="3653BC27" w14:textId="7E8099AC">
      <w:pPr>
        <w:keepNext/>
        <w:numPr>
          <w:ilvl w:val="12"/>
          <w:numId w:val="0"/>
        </w:numPr>
        <w:ind w:left="360"/>
        <w:rPr>
          <w:szCs w:val="24"/>
        </w:rPr>
      </w:pPr>
      <w:r w:rsidRPr="00333516">
        <w:t>TSA estimates it take</w:t>
      </w:r>
      <w:r>
        <w:t>s</w:t>
      </w:r>
      <w:r w:rsidRPr="00333516">
        <w:t xml:space="preserve"> an average </w:t>
      </w:r>
      <w:r w:rsidRPr="00FA2814">
        <w:t>of 15 minutes (0.25 hours) to</w:t>
      </w:r>
      <w:r w:rsidRPr="00333516">
        <w:t xml:space="preserve"> process the </w:t>
      </w:r>
      <w:r w:rsidR="00AD4AF2">
        <w:t xml:space="preserve">Insider Threat </w:t>
      </w:r>
      <w:r w:rsidR="00FA2814">
        <w:t xml:space="preserve">Incident </w:t>
      </w:r>
      <w:r w:rsidR="00AD4AF2">
        <w:t>Report</w:t>
      </w:r>
      <w:r>
        <w:t>.  TSA uses the fully loaded</w:t>
      </w:r>
      <w:r w:rsidRPr="00333516">
        <w:t xml:space="preserve"> average hourly wage rate of $</w:t>
      </w:r>
      <w:r>
        <w:t>88.39,</w:t>
      </w:r>
      <w:r>
        <w:rPr>
          <w:vertAlign w:val="superscript"/>
        </w:rPr>
        <w:footnoteReference w:id="7"/>
      </w:r>
      <w:r>
        <w:t xml:space="preserve"> to estimate TSA employees’ cost to process the </w:t>
      </w:r>
      <w:r w:rsidR="00DC0F23">
        <w:t>reports</w:t>
      </w:r>
      <w:r>
        <w:t>.</w:t>
      </w:r>
    </w:p>
    <w:p w:rsidR="004D17D5" w:rsidP="004D17D5" w14:paraId="4565F5C4" w14:textId="77777777">
      <w:pPr>
        <w:keepNext/>
        <w:numPr>
          <w:ilvl w:val="12"/>
          <w:numId w:val="0"/>
        </w:numPr>
        <w:ind w:left="360"/>
        <w:rPr>
          <w:szCs w:val="24"/>
        </w:rPr>
      </w:pPr>
    </w:p>
    <w:p w:rsidR="004D17D5" w:rsidP="004D17D5" w14:paraId="73923E16" w14:textId="604F9673">
      <w:pPr>
        <w:keepNext/>
        <w:numPr>
          <w:ilvl w:val="12"/>
          <w:numId w:val="0"/>
        </w:numPr>
        <w:ind w:left="360"/>
      </w:pPr>
      <w:r w:rsidRPr="00333516">
        <w:rPr>
          <w:szCs w:val="24"/>
        </w:rPr>
        <w:t xml:space="preserve">TSA estimates </w:t>
      </w:r>
      <w:r>
        <w:rPr>
          <w:szCs w:val="24"/>
        </w:rPr>
        <w:t xml:space="preserve">that TSA (or the </w:t>
      </w:r>
      <w:r w:rsidR="00CC570B">
        <w:rPr>
          <w:szCs w:val="24"/>
        </w:rPr>
        <w:t>F</w:t>
      </w:r>
      <w:r>
        <w:rPr>
          <w:szCs w:val="24"/>
        </w:rPr>
        <w:t>ederal government) incurs a</w:t>
      </w:r>
      <w:r w:rsidRPr="00333516">
        <w:rPr>
          <w:szCs w:val="24"/>
        </w:rPr>
        <w:t xml:space="preserve"> </w:t>
      </w:r>
      <w:r>
        <w:rPr>
          <w:szCs w:val="24"/>
        </w:rPr>
        <w:t xml:space="preserve">total </w:t>
      </w:r>
      <w:r w:rsidRPr="00333516">
        <w:rPr>
          <w:szCs w:val="24"/>
        </w:rPr>
        <w:t xml:space="preserve">annual </w:t>
      </w:r>
      <w:r>
        <w:rPr>
          <w:szCs w:val="24"/>
        </w:rPr>
        <w:t xml:space="preserve">burden of </w:t>
      </w:r>
      <w:r w:rsidR="00200218">
        <w:rPr>
          <w:szCs w:val="24"/>
        </w:rPr>
        <w:t>78</w:t>
      </w:r>
      <w:r>
        <w:rPr>
          <w:szCs w:val="24"/>
        </w:rPr>
        <w:t xml:space="preserve"> hours to process the </w:t>
      </w:r>
      <w:r w:rsidR="00BA6DB1">
        <w:rPr>
          <w:szCs w:val="24"/>
        </w:rPr>
        <w:t xml:space="preserve">Insider Threat </w:t>
      </w:r>
      <w:r w:rsidR="007E4500">
        <w:rPr>
          <w:szCs w:val="24"/>
        </w:rPr>
        <w:t xml:space="preserve">Incident </w:t>
      </w:r>
      <w:r w:rsidR="00BA6DB1">
        <w:rPr>
          <w:szCs w:val="24"/>
        </w:rPr>
        <w:t>Reports</w:t>
      </w:r>
      <w:r>
        <w:rPr>
          <w:szCs w:val="24"/>
        </w:rPr>
        <w:t xml:space="preserve">, resulting in an annual hour burden </w:t>
      </w:r>
      <w:r w:rsidRPr="00333516">
        <w:rPr>
          <w:szCs w:val="24"/>
        </w:rPr>
        <w:t xml:space="preserve">cost </w:t>
      </w:r>
      <w:r>
        <w:rPr>
          <w:szCs w:val="24"/>
        </w:rPr>
        <w:t xml:space="preserve">of </w:t>
      </w:r>
      <w:r w:rsidRPr="00333516">
        <w:rPr>
          <w:szCs w:val="24"/>
        </w:rPr>
        <w:t>$</w:t>
      </w:r>
      <w:r>
        <w:rPr>
          <w:szCs w:val="24"/>
        </w:rPr>
        <w:t>6,</w:t>
      </w:r>
      <w:r w:rsidR="00616333">
        <w:rPr>
          <w:szCs w:val="24"/>
        </w:rPr>
        <w:t>894</w:t>
      </w:r>
      <w:r w:rsidR="000902CE">
        <w:rPr>
          <w:szCs w:val="24"/>
        </w:rPr>
        <w:t xml:space="preserve"> (</w:t>
      </w:r>
      <w:r w:rsidR="0078126F">
        <w:rPr>
          <w:szCs w:val="24"/>
        </w:rPr>
        <w:t xml:space="preserve">$20,683 over </w:t>
      </w:r>
      <w:r w:rsidR="00CC570B">
        <w:rPr>
          <w:szCs w:val="24"/>
        </w:rPr>
        <w:t xml:space="preserve">3 </w:t>
      </w:r>
      <w:r w:rsidR="0078126F">
        <w:rPr>
          <w:szCs w:val="24"/>
        </w:rPr>
        <w:t>years)</w:t>
      </w:r>
      <w:r w:rsidRPr="00333516">
        <w:rPr>
          <w:szCs w:val="24"/>
        </w:rPr>
        <w:t xml:space="preserve">.  </w:t>
      </w:r>
      <w:r>
        <w:t xml:space="preserve">Table </w:t>
      </w:r>
      <w:r w:rsidR="00616333">
        <w:t>2</w:t>
      </w:r>
      <w:r>
        <w:t xml:space="preserve"> shows TSA hour burden and cost estimation.</w:t>
      </w:r>
    </w:p>
    <w:p w:rsidR="004D17D5" w:rsidRPr="00333516" w:rsidP="004D17D5" w14:paraId="4D3005CD" w14:textId="77777777">
      <w:pPr>
        <w:keepNext/>
        <w:numPr>
          <w:ilvl w:val="12"/>
          <w:numId w:val="0"/>
        </w:numPr>
        <w:ind w:left="360"/>
      </w:pPr>
    </w:p>
    <w:tbl>
      <w:tblPr>
        <w:tblW w:w="9090" w:type="dxa"/>
        <w:tblInd w:w="360" w:type="dxa"/>
        <w:tblLook w:val="04A0"/>
      </w:tblPr>
      <w:tblGrid>
        <w:gridCol w:w="2250"/>
        <w:gridCol w:w="1620"/>
        <w:gridCol w:w="1620"/>
        <w:gridCol w:w="1710"/>
        <w:gridCol w:w="1890"/>
      </w:tblGrid>
      <w:tr w14:paraId="3AAEEB07" w14:textId="77777777" w:rsidTr="00AE0E12">
        <w:tblPrEx>
          <w:tblW w:w="9090" w:type="dxa"/>
          <w:tblInd w:w="360" w:type="dxa"/>
          <w:tblLook w:val="04A0"/>
        </w:tblPrEx>
        <w:trPr>
          <w:trHeight w:val="300"/>
        </w:trPr>
        <w:tc>
          <w:tcPr>
            <w:tcW w:w="5490" w:type="dxa"/>
            <w:gridSpan w:val="3"/>
            <w:tcBorders>
              <w:top w:val="nil"/>
              <w:left w:val="nil"/>
              <w:bottom w:val="nil"/>
              <w:right w:val="nil"/>
            </w:tcBorders>
            <w:noWrap/>
            <w:vAlign w:val="bottom"/>
            <w:hideMark/>
          </w:tcPr>
          <w:p w:rsidR="000959C9" w:rsidRPr="000959C9" w:rsidP="000959C9" w14:paraId="17BE42CA" w14:textId="77777777">
            <w:pPr>
              <w:rPr>
                <w:rFonts w:cs="Times New Roman"/>
                <w:sz w:val="22"/>
                <w:szCs w:val="22"/>
              </w:rPr>
            </w:pPr>
            <w:r w:rsidRPr="000959C9">
              <w:rPr>
                <w:rFonts w:cs="Times New Roman"/>
                <w:sz w:val="22"/>
                <w:szCs w:val="22"/>
              </w:rPr>
              <w:t>Table 2: TSA Hour Burden and Cost Estimation</w:t>
            </w:r>
          </w:p>
        </w:tc>
        <w:tc>
          <w:tcPr>
            <w:tcW w:w="1710" w:type="dxa"/>
            <w:tcBorders>
              <w:top w:val="nil"/>
              <w:left w:val="nil"/>
              <w:bottom w:val="nil"/>
              <w:right w:val="nil"/>
            </w:tcBorders>
            <w:noWrap/>
            <w:vAlign w:val="bottom"/>
            <w:hideMark/>
          </w:tcPr>
          <w:p w:rsidR="000959C9" w:rsidRPr="000959C9" w:rsidP="000959C9" w14:paraId="7915092F" w14:textId="77777777">
            <w:pPr>
              <w:rPr>
                <w:rFonts w:cs="Times New Roman"/>
                <w:sz w:val="22"/>
                <w:szCs w:val="22"/>
              </w:rPr>
            </w:pPr>
          </w:p>
        </w:tc>
        <w:tc>
          <w:tcPr>
            <w:tcW w:w="1890" w:type="dxa"/>
            <w:tcBorders>
              <w:top w:val="nil"/>
              <w:left w:val="nil"/>
              <w:bottom w:val="nil"/>
              <w:right w:val="nil"/>
            </w:tcBorders>
            <w:noWrap/>
            <w:vAlign w:val="bottom"/>
            <w:hideMark/>
          </w:tcPr>
          <w:p w:rsidR="000959C9" w:rsidRPr="000959C9" w:rsidP="000959C9" w14:paraId="370E4D0E" w14:textId="77777777">
            <w:pPr>
              <w:rPr>
                <w:rFonts w:cs="Times New Roman"/>
                <w:color w:val="auto"/>
                <w:sz w:val="20"/>
              </w:rPr>
            </w:pPr>
          </w:p>
        </w:tc>
      </w:tr>
      <w:tr w14:paraId="2FC0A08A" w14:textId="77777777" w:rsidTr="007E4500">
        <w:tblPrEx>
          <w:tblW w:w="9090" w:type="dxa"/>
          <w:tblInd w:w="360" w:type="dxa"/>
          <w:tblLook w:val="04A0"/>
        </w:tblPrEx>
        <w:trPr>
          <w:trHeight w:val="900"/>
        </w:trPr>
        <w:tc>
          <w:tcPr>
            <w:tcW w:w="2250" w:type="dxa"/>
            <w:vMerge w:val="restart"/>
            <w:tcBorders>
              <w:top w:val="single" w:sz="4" w:space="0" w:color="auto"/>
              <w:left w:val="single" w:sz="4" w:space="0" w:color="auto"/>
              <w:bottom w:val="single" w:sz="4" w:space="0" w:color="000000"/>
              <w:right w:val="single" w:sz="4" w:space="0" w:color="auto"/>
            </w:tcBorders>
            <w:noWrap/>
            <w:vAlign w:val="bottom"/>
            <w:hideMark/>
          </w:tcPr>
          <w:p w:rsidR="000959C9" w:rsidRPr="000959C9" w:rsidP="000959C9" w14:paraId="637B3652" w14:textId="77777777">
            <w:pPr>
              <w:jc w:val="center"/>
              <w:rPr>
                <w:rFonts w:cs="Times New Roman"/>
                <w:sz w:val="22"/>
                <w:szCs w:val="22"/>
              </w:rPr>
            </w:pPr>
            <w:r w:rsidRPr="000959C9">
              <w:rPr>
                <w:rFonts w:cs="Times New Roman"/>
                <w:sz w:val="22"/>
                <w:szCs w:val="22"/>
              </w:rPr>
              <w:t> </w:t>
            </w:r>
          </w:p>
        </w:tc>
        <w:tc>
          <w:tcPr>
            <w:tcW w:w="1620" w:type="dxa"/>
            <w:tcBorders>
              <w:top w:val="single" w:sz="4" w:space="0" w:color="auto"/>
              <w:left w:val="nil"/>
              <w:bottom w:val="single" w:sz="4" w:space="0" w:color="auto"/>
              <w:right w:val="single" w:sz="4" w:space="0" w:color="auto"/>
            </w:tcBorders>
            <w:vAlign w:val="bottom"/>
            <w:hideMark/>
          </w:tcPr>
          <w:p w:rsidR="000959C9" w:rsidRPr="000959C9" w:rsidP="000959C9" w14:paraId="08DFCC46" w14:textId="77777777">
            <w:pPr>
              <w:jc w:val="center"/>
              <w:rPr>
                <w:rFonts w:cs="Times New Roman"/>
                <w:sz w:val="22"/>
                <w:szCs w:val="22"/>
              </w:rPr>
            </w:pPr>
            <w:r w:rsidRPr="000959C9">
              <w:rPr>
                <w:rFonts w:cs="Times New Roman"/>
                <w:sz w:val="22"/>
                <w:szCs w:val="22"/>
              </w:rPr>
              <w:t>Annual Number of Respondents</w:t>
            </w:r>
          </w:p>
        </w:tc>
        <w:tc>
          <w:tcPr>
            <w:tcW w:w="1620" w:type="dxa"/>
            <w:tcBorders>
              <w:top w:val="single" w:sz="4" w:space="0" w:color="auto"/>
              <w:left w:val="nil"/>
              <w:bottom w:val="single" w:sz="4" w:space="0" w:color="auto"/>
              <w:right w:val="single" w:sz="4" w:space="0" w:color="auto"/>
            </w:tcBorders>
            <w:vAlign w:val="bottom"/>
            <w:hideMark/>
          </w:tcPr>
          <w:p w:rsidR="000959C9" w:rsidRPr="000959C9" w:rsidP="000959C9" w14:paraId="0CAC3CCD" w14:textId="77777777">
            <w:pPr>
              <w:jc w:val="center"/>
              <w:rPr>
                <w:rFonts w:cs="Times New Roman"/>
                <w:sz w:val="22"/>
                <w:szCs w:val="22"/>
              </w:rPr>
            </w:pPr>
            <w:r w:rsidRPr="000959C9">
              <w:rPr>
                <w:rFonts w:cs="Times New Roman"/>
                <w:sz w:val="22"/>
                <w:szCs w:val="22"/>
              </w:rPr>
              <w:t>Time to Review Form (hours)</w:t>
            </w:r>
          </w:p>
        </w:tc>
        <w:tc>
          <w:tcPr>
            <w:tcW w:w="1710" w:type="dxa"/>
            <w:tcBorders>
              <w:top w:val="single" w:sz="4" w:space="0" w:color="auto"/>
              <w:left w:val="nil"/>
              <w:bottom w:val="single" w:sz="4" w:space="0" w:color="auto"/>
              <w:right w:val="single" w:sz="4" w:space="0" w:color="auto"/>
            </w:tcBorders>
            <w:vAlign w:val="bottom"/>
            <w:hideMark/>
          </w:tcPr>
          <w:p w:rsidR="000959C9" w:rsidRPr="000959C9" w:rsidP="000959C9" w14:paraId="46A52DC2" w14:textId="77777777">
            <w:pPr>
              <w:jc w:val="center"/>
              <w:rPr>
                <w:rFonts w:cs="Times New Roman"/>
                <w:sz w:val="22"/>
                <w:szCs w:val="22"/>
              </w:rPr>
            </w:pPr>
            <w:r w:rsidRPr="000959C9">
              <w:rPr>
                <w:rFonts w:cs="Times New Roman"/>
                <w:sz w:val="22"/>
                <w:szCs w:val="22"/>
              </w:rPr>
              <w:t>Annual Hour Burden</w:t>
            </w:r>
          </w:p>
        </w:tc>
        <w:tc>
          <w:tcPr>
            <w:tcW w:w="1890" w:type="dxa"/>
            <w:tcBorders>
              <w:top w:val="single" w:sz="4" w:space="0" w:color="auto"/>
              <w:left w:val="nil"/>
              <w:bottom w:val="single" w:sz="4" w:space="0" w:color="auto"/>
              <w:right w:val="single" w:sz="4" w:space="0" w:color="auto"/>
            </w:tcBorders>
            <w:vAlign w:val="bottom"/>
            <w:hideMark/>
          </w:tcPr>
          <w:p w:rsidR="000959C9" w:rsidRPr="000959C9" w:rsidP="000959C9" w14:paraId="49D9488A" w14:textId="77777777">
            <w:pPr>
              <w:jc w:val="center"/>
              <w:rPr>
                <w:rFonts w:cs="Times New Roman"/>
                <w:sz w:val="22"/>
                <w:szCs w:val="22"/>
              </w:rPr>
            </w:pPr>
            <w:r w:rsidRPr="000959C9">
              <w:rPr>
                <w:rFonts w:cs="Times New Roman"/>
                <w:sz w:val="22"/>
                <w:szCs w:val="22"/>
              </w:rPr>
              <w:t>Annual Hour Burden Cost</w:t>
            </w:r>
          </w:p>
        </w:tc>
      </w:tr>
      <w:tr w14:paraId="3400B3F5" w14:textId="77777777" w:rsidTr="007E4500">
        <w:tblPrEx>
          <w:tblW w:w="9090" w:type="dxa"/>
          <w:tblInd w:w="360" w:type="dxa"/>
          <w:tblLook w:val="04A0"/>
        </w:tblPrEx>
        <w:trPr>
          <w:trHeight w:val="300"/>
        </w:trPr>
        <w:tc>
          <w:tcPr>
            <w:tcW w:w="2250" w:type="dxa"/>
            <w:vMerge/>
            <w:tcBorders>
              <w:top w:val="single" w:sz="4" w:space="0" w:color="auto"/>
              <w:left w:val="single" w:sz="4" w:space="0" w:color="auto"/>
              <w:bottom w:val="single" w:sz="4" w:space="0" w:color="000000"/>
              <w:right w:val="single" w:sz="4" w:space="0" w:color="auto"/>
            </w:tcBorders>
            <w:vAlign w:val="center"/>
            <w:hideMark/>
          </w:tcPr>
          <w:p w:rsidR="000959C9" w:rsidRPr="000959C9" w:rsidP="000959C9" w14:paraId="0BDB8FC6" w14:textId="77777777">
            <w:pPr>
              <w:rPr>
                <w:rFonts w:cs="Times New Roman"/>
                <w:sz w:val="22"/>
                <w:szCs w:val="22"/>
              </w:rPr>
            </w:pPr>
          </w:p>
        </w:tc>
        <w:tc>
          <w:tcPr>
            <w:tcW w:w="1620" w:type="dxa"/>
            <w:tcBorders>
              <w:top w:val="nil"/>
              <w:left w:val="nil"/>
              <w:bottom w:val="single" w:sz="4" w:space="0" w:color="auto"/>
              <w:right w:val="single" w:sz="4" w:space="0" w:color="auto"/>
            </w:tcBorders>
            <w:noWrap/>
            <w:vAlign w:val="bottom"/>
            <w:hideMark/>
          </w:tcPr>
          <w:p w:rsidR="000959C9" w:rsidRPr="000959C9" w:rsidP="000959C9" w14:paraId="012756E8" w14:textId="77777777">
            <w:pPr>
              <w:jc w:val="center"/>
              <w:rPr>
                <w:rFonts w:cs="Times New Roman"/>
                <w:sz w:val="22"/>
                <w:szCs w:val="22"/>
              </w:rPr>
            </w:pPr>
            <w:r w:rsidRPr="000959C9">
              <w:rPr>
                <w:rFonts w:cs="Times New Roman"/>
                <w:sz w:val="22"/>
                <w:szCs w:val="22"/>
              </w:rPr>
              <w:t>A</w:t>
            </w:r>
          </w:p>
        </w:tc>
        <w:tc>
          <w:tcPr>
            <w:tcW w:w="1620" w:type="dxa"/>
            <w:tcBorders>
              <w:top w:val="nil"/>
              <w:left w:val="nil"/>
              <w:bottom w:val="single" w:sz="4" w:space="0" w:color="auto"/>
              <w:right w:val="single" w:sz="4" w:space="0" w:color="auto"/>
            </w:tcBorders>
            <w:noWrap/>
            <w:vAlign w:val="bottom"/>
            <w:hideMark/>
          </w:tcPr>
          <w:p w:rsidR="000959C9" w:rsidRPr="000959C9" w:rsidP="000959C9" w14:paraId="5D3DA9B1" w14:textId="77777777">
            <w:pPr>
              <w:jc w:val="center"/>
              <w:rPr>
                <w:rFonts w:cs="Times New Roman"/>
                <w:sz w:val="22"/>
                <w:szCs w:val="22"/>
              </w:rPr>
            </w:pPr>
            <w:r w:rsidRPr="000959C9">
              <w:rPr>
                <w:rFonts w:cs="Times New Roman"/>
                <w:sz w:val="22"/>
                <w:szCs w:val="22"/>
              </w:rPr>
              <w:t>B</w:t>
            </w:r>
          </w:p>
        </w:tc>
        <w:tc>
          <w:tcPr>
            <w:tcW w:w="1710" w:type="dxa"/>
            <w:tcBorders>
              <w:top w:val="nil"/>
              <w:left w:val="nil"/>
              <w:bottom w:val="single" w:sz="4" w:space="0" w:color="auto"/>
              <w:right w:val="nil"/>
            </w:tcBorders>
            <w:noWrap/>
            <w:vAlign w:val="bottom"/>
            <w:hideMark/>
          </w:tcPr>
          <w:p w:rsidR="000959C9" w:rsidRPr="000959C9" w:rsidP="000959C9" w14:paraId="21A3D9F9" w14:textId="77777777">
            <w:pPr>
              <w:jc w:val="center"/>
              <w:rPr>
                <w:rFonts w:cs="Times New Roman"/>
                <w:sz w:val="22"/>
                <w:szCs w:val="22"/>
              </w:rPr>
            </w:pPr>
            <w:r w:rsidRPr="000959C9">
              <w:rPr>
                <w:rFonts w:cs="Times New Roman"/>
                <w:sz w:val="22"/>
                <w:szCs w:val="22"/>
              </w:rPr>
              <w:t>C = A x B</w:t>
            </w:r>
          </w:p>
        </w:tc>
        <w:tc>
          <w:tcPr>
            <w:tcW w:w="1890" w:type="dxa"/>
            <w:tcBorders>
              <w:top w:val="nil"/>
              <w:left w:val="single" w:sz="4" w:space="0" w:color="auto"/>
              <w:bottom w:val="single" w:sz="4" w:space="0" w:color="auto"/>
              <w:right w:val="single" w:sz="4" w:space="0" w:color="auto"/>
            </w:tcBorders>
            <w:noWrap/>
            <w:vAlign w:val="bottom"/>
            <w:hideMark/>
          </w:tcPr>
          <w:p w:rsidR="000959C9" w:rsidRPr="000959C9" w:rsidP="000959C9" w14:paraId="25EDEF43" w14:textId="77777777">
            <w:pPr>
              <w:jc w:val="center"/>
              <w:rPr>
                <w:rFonts w:cs="Times New Roman"/>
                <w:color w:val="auto"/>
                <w:sz w:val="22"/>
                <w:szCs w:val="22"/>
              </w:rPr>
            </w:pPr>
            <w:r w:rsidRPr="000959C9">
              <w:rPr>
                <w:rFonts w:cs="Times New Roman"/>
                <w:color w:val="auto"/>
                <w:sz w:val="22"/>
                <w:szCs w:val="22"/>
              </w:rPr>
              <w:t>D = C x $88.39</w:t>
            </w:r>
          </w:p>
        </w:tc>
      </w:tr>
      <w:tr w14:paraId="7B240518" w14:textId="77777777" w:rsidTr="007E4500">
        <w:tblPrEx>
          <w:tblW w:w="9090" w:type="dxa"/>
          <w:tblInd w:w="360" w:type="dxa"/>
          <w:tblLook w:val="04A0"/>
        </w:tblPrEx>
        <w:trPr>
          <w:trHeight w:val="600"/>
        </w:trPr>
        <w:tc>
          <w:tcPr>
            <w:tcW w:w="2250" w:type="dxa"/>
            <w:tcBorders>
              <w:top w:val="nil"/>
              <w:left w:val="single" w:sz="4" w:space="0" w:color="auto"/>
              <w:bottom w:val="single" w:sz="4" w:space="0" w:color="auto"/>
              <w:right w:val="nil"/>
            </w:tcBorders>
            <w:vAlign w:val="bottom"/>
            <w:hideMark/>
          </w:tcPr>
          <w:p w:rsidR="000959C9" w:rsidRPr="000959C9" w:rsidP="000959C9" w14:paraId="1A0496F2" w14:textId="142D36C0">
            <w:pPr>
              <w:rPr>
                <w:rFonts w:cs="Times New Roman"/>
                <w:sz w:val="22"/>
                <w:szCs w:val="22"/>
              </w:rPr>
            </w:pPr>
            <w:r w:rsidRPr="000959C9">
              <w:rPr>
                <w:rFonts w:cs="Times New Roman"/>
                <w:sz w:val="22"/>
                <w:szCs w:val="22"/>
              </w:rPr>
              <w:t xml:space="preserve">Processing Insider Threat </w:t>
            </w:r>
            <w:r w:rsidR="007E4500">
              <w:rPr>
                <w:rFonts w:cs="Times New Roman"/>
                <w:sz w:val="22"/>
                <w:szCs w:val="22"/>
              </w:rPr>
              <w:t xml:space="preserve">Incident </w:t>
            </w:r>
            <w:r w:rsidRPr="000959C9">
              <w:rPr>
                <w:rFonts w:cs="Times New Roman"/>
                <w:sz w:val="22"/>
                <w:szCs w:val="22"/>
              </w:rPr>
              <w:t>Report</w:t>
            </w:r>
          </w:p>
        </w:tc>
        <w:tc>
          <w:tcPr>
            <w:tcW w:w="1620" w:type="dxa"/>
            <w:tcBorders>
              <w:top w:val="nil"/>
              <w:left w:val="single" w:sz="4" w:space="0" w:color="auto"/>
              <w:bottom w:val="single" w:sz="4" w:space="0" w:color="auto"/>
              <w:right w:val="single" w:sz="4" w:space="0" w:color="auto"/>
            </w:tcBorders>
            <w:noWrap/>
            <w:vAlign w:val="bottom"/>
            <w:hideMark/>
          </w:tcPr>
          <w:p w:rsidR="000959C9" w:rsidRPr="000959C9" w:rsidP="000959C9" w14:paraId="3D1F8CB1" w14:textId="77777777">
            <w:pPr>
              <w:jc w:val="right"/>
              <w:rPr>
                <w:rFonts w:cs="Times New Roman"/>
                <w:sz w:val="22"/>
                <w:szCs w:val="22"/>
              </w:rPr>
            </w:pPr>
            <w:r w:rsidRPr="000959C9">
              <w:rPr>
                <w:rFonts w:cs="Times New Roman"/>
                <w:sz w:val="22"/>
                <w:szCs w:val="22"/>
              </w:rPr>
              <w:t>312</w:t>
            </w:r>
          </w:p>
        </w:tc>
        <w:tc>
          <w:tcPr>
            <w:tcW w:w="1620" w:type="dxa"/>
            <w:tcBorders>
              <w:top w:val="nil"/>
              <w:left w:val="nil"/>
              <w:bottom w:val="single" w:sz="4" w:space="0" w:color="auto"/>
              <w:right w:val="single" w:sz="4" w:space="0" w:color="auto"/>
            </w:tcBorders>
            <w:noWrap/>
            <w:vAlign w:val="bottom"/>
            <w:hideMark/>
          </w:tcPr>
          <w:p w:rsidR="000959C9" w:rsidRPr="000959C9" w:rsidP="000959C9" w14:paraId="7E6546C7" w14:textId="77777777">
            <w:pPr>
              <w:jc w:val="right"/>
              <w:rPr>
                <w:rFonts w:cs="Times New Roman"/>
                <w:sz w:val="22"/>
                <w:szCs w:val="22"/>
              </w:rPr>
            </w:pPr>
            <w:r w:rsidRPr="000959C9">
              <w:rPr>
                <w:rFonts w:cs="Times New Roman"/>
                <w:sz w:val="22"/>
                <w:szCs w:val="22"/>
              </w:rPr>
              <w:t>0.25</w:t>
            </w:r>
          </w:p>
        </w:tc>
        <w:tc>
          <w:tcPr>
            <w:tcW w:w="1710" w:type="dxa"/>
            <w:tcBorders>
              <w:top w:val="nil"/>
              <w:left w:val="nil"/>
              <w:bottom w:val="single" w:sz="4" w:space="0" w:color="auto"/>
              <w:right w:val="nil"/>
            </w:tcBorders>
            <w:noWrap/>
            <w:vAlign w:val="bottom"/>
            <w:hideMark/>
          </w:tcPr>
          <w:p w:rsidR="000959C9" w:rsidRPr="000959C9" w:rsidP="000959C9" w14:paraId="0E593064" w14:textId="77777777">
            <w:pPr>
              <w:jc w:val="right"/>
              <w:rPr>
                <w:rFonts w:cs="Times New Roman"/>
                <w:sz w:val="22"/>
                <w:szCs w:val="22"/>
              </w:rPr>
            </w:pPr>
            <w:r w:rsidRPr="000959C9">
              <w:rPr>
                <w:rFonts w:cs="Times New Roman"/>
                <w:sz w:val="22"/>
                <w:szCs w:val="22"/>
              </w:rPr>
              <w:t>78</w:t>
            </w:r>
          </w:p>
        </w:tc>
        <w:tc>
          <w:tcPr>
            <w:tcW w:w="1890" w:type="dxa"/>
            <w:tcBorders>
              <w:top w:val="nil"/>
              <w:left w:val="single" w:sz="4" w:space="0" w:color="auto"/>
              <w:bottom w:val="single" w:sz="4" w:space="0" w:color="auto"/>
              <w:right w:val="single" w:sz="4" w:space="0" w:color="auto"/>
            </w:tcBorders>
            <w:noWrap/>
            <w:vAlign w:val="bottom"/>
            <w:hideMark/>
          </w:tcPr>
          <w:p w:rsidR="000959C9" w:rsidRPr="000959C9" w:rsidP="000959C9" w14:paraId="0EA2159E" w14:textId="77777777">
            <w:pPr>
              <w:jc w:val="right"/>
              <w:rPr>
                <w:rFonts w:cs="Times New Roman"/>
                <w:sz w:val="22"/>
                <w:szCs w:val="22"/>
              </w:rPr>
            </w:pPr>
            <w:r w:rsidRPr="000959C9">
              <w:rPr>
                <w:rFonts w:cs="Times New Roman"/>
                <w:sz w:val="22"/>
                <w:szCs w:val="22"/>
              </w:rPr>
              <w:t>$6,894</w:t>
            </w:r>
          </w:p>
        </w:tc>
      </w:tr>
      <w:tr w14:paraId="205D3501" w14:textId="77777777" w:rsidTr="007E4500">
        <w:tblPrEx>
          <w:tblW w:w="9090" w:type="dxa"/>
          <w:tblInd w:w="360" w:type="dxa"/>
          <w:tblLook w:val="04A0"/>
        </w:tblPrEx>
        <w:trPr>
          <w:trHeight w:val="300"/>
        </w:trPr>
        <w:tc>
          <w:tcPr>
            <w:tcW w:w="2250" w:type="dxa"/>
            <w:tcBorders>
              <w:top w:val="nil"/>
              <w:left w:val="single" w:sz="4" w:space="0" w:color="auto"/>
              <w:bottom w:val="single" w:sz="4" w:space="0" w:color="auto"/>
              <w:right w:val="nil"/>
            </w:tcBorders>
            <w:noWrap/>
            <w:vAlign w:val="bottom"/>
            <w:hideMark/>
          </w:tcPr>
          <w:p w:rsidR="000959C9" w:rsidRPr="000959C9" w:rsidP="000959C9" w14:paraId="2FE45A7D" w14:textId="77777777">
            <w:pPr>
              <w:jc w:val="center"/>
              <w:rPr>
                <w:rFonts w:cs="Times New Roman"/>
                <w:b/>
                <w:bCs/>
                <w:sz w:val="22"/>
                <w:szCs w:val="22"/>
              </w:rPr>
            </w:pPr>
            <w:r w:rsidRPr="000959C9">
              <w:rPr>
                <w:rFonts w:cs="Times New Roman"/>
                <w:b/>
                <w:bCs/>
                <w:sz w:val="22"/>
                <w:szCs w:val="22"/>
              </w:rPr>
              <w:t>Total</w:t>
            </w:r>
          </w:p>
        </w:tc>
        <w:tc>
          <w:tcPr>
            <w:tcW w:w="1620" w:type="dxa"/>
            <w:tcBorders>
              <w:top w:val="nil"/>
              <w:left w:val="single" w:sz="4" w:space="0" w:color="auto"/>
              <w:bottom w:val="single" w:sz="4" w:space="0" w:color="auto"/>
              <w:right w:val="single" w:sz="4" w:space="0" w:color="auto"/>
            </w:tcBorders>
            <w:noWrap/>
            <w:vAlign w:val="bottom"/>
            <w:hideMark/>
          </w:tcPr>
          <w:p w:rsidR="000959C9" w:rsidRPr="000959C9" w:rsidP="000959C9" w14:paraId="66702F1F" w14:textId="77777777">
            <w:pPr>
              <w:jc w:val="right"/>
              <w:rPr>
                <w:rFonts w:cs="Times New Roman"/>
                <w:b/>
                <w:bCs/>
                <w:sz w:val="22"/>
                <w:szCs w:val="22"/>
              </w:rPr>
            </w:pPr>
            <w:r w:rsidRPr="000959C9">
              <w:rPr>
                <w:rFonts w:cs="Times New Roman"/>
                <w:b/>
                <w:bCs/>
                <w:sz w:val="22"/>
                <w:szCs w:val="22"/>
              </w:rPr>
              <w:t>312</w:t>
            </w:r>
          </w:p>
        </w:tc>
        <w:tc>
          <w:tcPr>
            <w:tcW w:w="1620" w:type="dxa"/>
            <w:tcBorders>
              <w:top w:val="nil"/>
              <w:left w:val="nil"/>
              <w:bottom w:val="single" w:sz="4" w:space="0" w:color="auto"/>
              <w:right w:val="single" w:sz="4" w:space="0" w:color="auto"/>
            </w:tcBorders>
            <w:shd w:val="clear" w:color="000000" w:fill="D9D9D9"/>
            <w:noWrap/>
            <w:vAlign w:val="bottom"/>
            <w:hideMark/>
          </w:tcPr>
          <w:p w:rsidR="000959C9" w:rsidRPr="000959C9" w:rsidP="000959C9" w14:paraId="78CC9D90" w14:textId="77777777">
            <w:pPr>
              <w:rPr>
                <w:rFonts w:cs="Times New Roman"/>
                <w:b/>
                <w:bCs/>
                <w:sz w:val="22"/>
                <w:szCs w:val="22"/>
              </w:rPr>
            </w:pPr>
            <w:r w:rsidRPr="000959C9">
              <w:rPr>
                <w:rFonts w:cs="Times New Roman"/>
                <w:b/>
                <w:bCs/>
                <w:sz w:val="22"/>
                <w:szCs w:val="22"/>
              </w:rPr>
              <w:t> </w:t>
            </w:r>
          </w:p>
        </w:tc>
        <w:tc>
          <w:tcPr>
            <w:tcW w:w="1710" w:type="dxa"/>
            <w:tcBorders>
              <w:top w:val="nil"/>
              <w:left w:val="nil"/>
              <w:bottom w:val="single" w:sz="4" w:space="0" w:color="auto"/>
              <w:right w:val="nil"/>
            </w:tcBorders>
            <w:noWrap/>
            <w:vAlign w:val="bottom"/>
            <w:hideMark/>
          </w:tcPr>
          <w:p w:rsidR="000959C9" w:rsidRPr="000959C9" w:rsidP="000959C9" w14:paraId="5CC58D54" w14:textId="77777777">
            <w:pPr>
              <w:jc w:val="right"/>
              <w:rPr>
                <w:rFonts w:cs="Times New Roman"/>
                <w:b/>
                <w:bCs/>
                <w:sz w:val="22"/>
                <w:szCs w:val="22"/>
              </w:rPr>
            </w:pPr>
            <w:r w:rsidRPr="000959C9">
              <w:rPr>
                <w:rFonts w:cs="Times New Roman"/>
                <w:b/>
                <w:bCs/>
                <w:sz w:val="22"/>
                <w:szCs w:val="22"/>
              </w:rPr>
              <w:t>78</w:t>
            </w:r>
          </w:p>
        </w:tc>
        <w:tc>
          <w:tcPr>
            <w:tcW w:w="1890" w:type="dxa"/>
            <w:tcBorders>
              <w:top w:val="nil"/>
              <w:left w:val="single" w:sz="4" w:space="0" w:color="auto"/>
              <w:bottom w:val="single" w:sz="4" w:space="0" w:color="auto"/>
              <w:right w:val="single" w:sz="4" w:space="0" w:color="auto"/>
            </w:tcBorders>
            <w:noWrap/>
            <w:vAlign w:val="bottom"/>
            <w:hideMark/>
          </w:tcPr>
          <w:p w:rsidR="000959C9" w:rsidRPr="000959C9" w:rsidP="000959C9" w14:paraId="21CBBEA3" w14:textId="77777777">
            <w:pPr>
              <w:jc w:val="right"/>
              <w:rPr>
                <w:rFonts w:cs="Times New Roman"/>
                <w:b/>
                <w:bCs/>
                <w:sz w:val="22"/>
                <w:szCs w:val="22"/>
              </w:rPr>
            </w:pPr>
            <w:r w:rsidRPr="000959C9">
              <w:rPr>
                <w:rFonts w:cs="Times New Roman"/>
                <w:b/>
                <w:bCs/>
                <w:sz w:val="22"/>
                <w:szCs w:val="22"/>
              </w:rPr>
              <w:t>$6,894</w:t>
            </w:r>
          </w:p>
        </w:tc>
      </w:tr>
    </w:tbl>
    <w:p w:rsidR="00320387" w:rsidP="00320387" w14:paraId="6EEA6BEF" w14:textId="77777777">
      <w:pPr>
        <w:pStyle w:val="IndexHeading"/>
        <w:keepNext w:val="0"/>
        <w:numPr>
          <w:ilvl w:val="12"/>
          <w:numId w:val="0"/>
        </w:numPr>
        <w:spacing w:line="240" w:lineRule="auto"/>
        <w:rPr>
          <w:rFonts w:ascii="Times New Roman" w:hAnsi="Times New Roman"/>
          <w:spacing w:val="0"/>
        </w:rPr>
      </w:pPr>
    </w:p>
    <w:p w:rsidR="00320387" w:rsidP="00320387" w14:paraId="6EEA6BF0"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14:paraId="6EEA6BF1" w14:textId="77777777">
      <w:pPr>
        <w:keepNext/>
        <w:numPr>
          <w:ilvl w:val="12"/>
          <w:numId w:val="0"/>
        </w:numPr>
        <w:ind w:left="360"/>
      </w:pPr>
    </w:p>
    <w:p w:rsidR="00320387" w:rsidP="00320387" w14:paraId="6EEA6BF2" w14:textId="54F39512">
      <w:pPr>
        <w:numPr>
          <w:ilvl w:val="12"/>
          <w:numId w:val="0"/>
        </w:numPr>
        <w:ind w:left="360"/>
      </w:pPr>
      <w:r>
        <w:t>This is a new collection.</w:t>
      </w:r>
    </w:p>
    <w:p w:rsidR="00320387" w:rsidP="00320387" w14:paraId="6EEA6BF3" w14:textId="77777777">
      <w:pPr>
        <w:pStyle w:val="IndexHeading"/>
        <w:keepNext w:val="0"/>
        <w:numPr>
          <w:ilvl w:val="12"/>
          <w:numId w:val="0"/>
        </w:numPr>
        <w:spacing w:line="240" w:lineRule="auto"/>
        <w:rPr>
          <w:rFonts w:ascii="Times New Roman" w:hAnsi="Times New Roman"/>
          <w:spacing w:val="0"/>
        </w:rPr>
      </w:pPr>
    </w:p>
    <w:p w:rsidR="00320387" w:rsidP="00320387" w14:paraId="6EEA6BF4"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6EEA6BF5" w14:textId="77777777">
      <w:pPr>
        <w:keepNext/>
        <w:numPr>
          <w:ilvl w:val="12"/>
          <w:numId w:val="0"/>
        </w:numPr>
        <w:ind w:left="360"/>
      </w:pPr>
    </w:p>
    <w:p w:rsidR="00694681" w:rsidP="007E4500" w14:paraId="4E4CE3FD" w14:textId="77777777">
      <w:pPr>
        <w:pStyle w:val="IndexHeading"/>
        <w:keepNext w:val="0"/>
        <w:numPr>
          <w:ilvl w:val="12"/>
          <w:numId w:val="0"/>
        </w:numPr>
        <w:spacing w:line="240" w:lineRule="auto"/>
        <w:ind w:firstLine="360"/>
        <w:rPr>
          <w:rFonts w:ascii="Times New Roman" w:hAnsi="Times New Roman" w:cs="Arial"/>
          <w:color w:val="000000"/>
          <w:spacing w:val="0"/>
        </w:rPr>
      </w:pPr>
      <w:r w:rsidRPr="00694681">
        <w:rPr>
          <w:rFonts w:ascii="Times New Roman" w:hAnsi="Times New Roman" w:cs="Arial"/>
          <w:color w:val="000000"/>
          <w:spacing w:val="0"/>
        </w:rPr>
        <w:t>This information collection will not be published for statistical purposes.</w:t>
      </w:r>
    </w:p>
    <w:p w:rsidR="00320387" w:rsidP="00320387" w14:paraId="6EEA6BF7" w14:textId="60E5457F">
      <w:pPr>
        <w:pStyle w:val="IndexHeading"/>
        <w:keepNext w:val="0"/>
        <w:numPr>
          <w:ilvl w:val="12"/>
          <w:numId w:val="0"/>
        </w:numPr>
        <w:spacing w:line="240" w:lineRule="auto"/>
        <w:rPr>
          <w:rFonts w:ascii="Times New Roman" w:hAnsi="Times New Roman"/>
          <w:spacing w:val="0"/>
        </w:rPr>
      </w:pPr>
    </w:p>
    <w:p w:rsidR="00320387" w:rsidP="00320387" w14:paraId="6EEA6BF8"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6EEA6BF9" w14:textId="77777777">
      <w:pPr>
        <w:keepNext/>
        <w:numPr>
          <w:ilvl w:val="12"/>
          <w:numId w:val="0"/>
        </w:numPr>
        <w:ind w:left="360"/>
      </w:pPr>
    </w:p>
    <w:p w:rsidR="00320387" w:rsidP="00320387" w14:paraId="6EEA6BFA" w14:textId="2FCEFFB0">
      <w:pPr>
        <w:numPr>
          <w:ilvl w:val="12"/>
          <w:numId w:val="0"/>
        </w:numPr>
        <w:tabs>
          <w:tab w:val="left" w:pos="360"/>
        </w:tabs>
      </w:pPr>
      <w:r>
        <w:tab/>
      </w:r>
      <w:r w:rsidR="004F3434">
        <w:t>Not applicable.</w:t>
      </w:r>
    </w:p>
    <w:p w:rsidR="00320387" w:rsidP="00320387" w14:paraId="6EEA6BFB" w14:textId="77777777">
      <w:pPr>
        <w:numPr>
          <w:ilvl w:val="12"/>
          <w:numId w:val="0"/>
        </w:numPr>
        <w:tabs>
          <w:tab w:val="left" w:pos="360"/>
        </w:tabs>
      </w:pPr>
    </w:p>
    <w:p w:rsidR="00320387" w:rsidP="00320387" w14:paraId="6EEA6BFC"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6EEA6BFD" w14:textId="77777777">
      <w:pPr>
        <w:keepNext/>
        <w:numPr>
          <w:ilvl w:val="12"/>
          <w:numId w:val="0"/>
        </w:numPr>
        <w:ind w:left="360"/>
      </w:pPr>
    </w:p>
    <w:p w:rsidR="003C0F11" w14:paraId="6EEA6BFF" w14:textId="61B07DC1">
      <w:r w:rsidRPr="001177C6">
        <w:t>TSA is not seeking any exceptions to the certification requirement.</w:t>
      </w:r>
    </w:p>
    <w:sectPr w:rsidSect="00D32902">
      <w:head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EEA6C0C"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643A" w14:paraId="5F0EFAF9" w14:textId="77777777">
      <w:r>
        <w:separator/>
      </w:r>
    </w:p>
  </w:footnote>
  <w:footnote w:type="continuationSeparator" w:id="1">
    <w:p w:rsidR="0009643A" w14:paraId="27CA6B4C" w14:textId="77777777">
      <w:r>
        <w:continuationSeparator/>
      </w:r>
    </w:p>
  </w:footnote>
  <w:footnote w:type="continuationNotice" w:id="2">
    <w:p w:rsidR="0009643A" w14:paraId="0E54CB8F" w14:textId="77777777"/>
  </w:footnote>
  <w:footnote w:id="3">
    <w:p w:rsidR="00422F01" w14:paraId="49AB38D3" w14:textId="46DCBBD8">
      <w:pPr>
        <w:pStyle w:val="FootnoteText"/>
      </w:pPr>
      <w:r>
        <w:rPr>
          <w:rStyle w:val="FootnoteReference"/>
        </w:rPr>
        <w:footnoteRef/>
      </w:r>
      <w:r>
        <w:t xml:space="preserve"> </w:t>
      </w:r>
      <w:r w:rsidRPr="00B50474">
        <w:rPr>
          <w:i/>
          <w:iCs/>
        </w:rPr>
        <w:t>See</w:t>
      </w:r>
      <w:r w:rsidRPr="00C660E3">
        <w:t xml:space="preserve"> sec. 101(a) of </w:t>
      </w:r>
      <w:r w:rsidRPr="00C660E3" w:rsidR="00C46754">
        <w:t>Aviation and Transportation Security Act</w:t>
      </w:r>
      <w:r w:rsidRPr="00C660E3">
        <w:t xml:space="preserve">, Pub. L. 107-71 (115 Stat. 597-598, Nov. 19, 2001), as codified at 49 U.S.C. 114(d) and (f).  </w:t>
      </w:r>
      <w:r w:rsidRPr="006D73E4" w:rsidR="006D73E4">
        <w:rPr>
          <w:i/>
          <w:iCs/>
        </w:rPr>
        <w:t>See</w:t>
      </w:r>
      <w:r w:rsidRPr="006D73E4" w:rsidR="006D73E4">
        <w:t xml:space="preserve"> </w:t>
      </w:r>
      <w:r w:rsidRPr="006D73E4" w:rsidR="006D73E4">
        <w:rPr>
          <w:i/>
        </w:rPr>
        <w:t>also</w:t>
      </w:r>
      <w:r w:rsidRPr="006D73E4" w:rsidR="006D73E4">
        <w:t xml:space="preserve"> Memorandum, </w:t>
      </w:r>
      <w:r w:rsidRPr="006D73E4" w:rsidR="006D73E4">
        <w:rPr>
          <w:i/>
          <w:iCs/>
        </w:rPr>
        <w:t>Expanding the Scope of the Department of Homeland Security Insider Threat Program</w:t>
      </w:r>
      <w:r w:rsidRPr="006D73E4" w:rsidR="006D73E4">
        <w:t xml:space="preserve"> (submitted Dec. 7, 2016, approved Jan. 3,</w:t>
      </w:r>
      <w:r w:rsidRPr="00540951" w:rsidR="00540951">
        <w:rPr>
          <w:sz w:val="24"/>
        </w:rPr>
        <w:t xml:space="preserve"> </w:t>
      </w:r>
      <w:r w:rsidRPr="00540951" w:rsidR="00540951">
        <w:t xml:space="preserve">2017); Presidential Memorandum, </w:t>
      </w:r>
      <w:r w:rsidRPr="00540951" w:rsidR="00540951">
        <w:rPr>
          <w:i/>
          <w:iCs/>
        </w:rPr>
        <w:t xml:space="preserve">National Insider Threat Policy and Minimum Standards for Executive Branch Insider Threat Programs </w:t>
      </w:r>
      <w:r w:rsidRPr="00540951" w:rsidR="00540951">
        <w:t xml:space="preserve">(Nov. 21, 2012); Executive Order 13587, </w:t>
      </w:r>
      <w:r w:rsidRPr="00540951" w:rsidR="00540951">
        <w:rPr>
          <w:i/>
          <w:iCs/>
        </w:rPr>
        <w:t>Structural Reforms To Improve the Security of Classified Networks and the Responsible Sharing and Safeguarding of Classified Information</w:t>
      </w:r>
      <w:r w:rsidRPr="00540951" w:rsidR="00540951">
        <w:t>, 76 FR 63811 (October 7, 2011).</w:t>
      </w:r>
    </w:p>
  </w:footnote>
  <w:footnote w:id="4">
    <w:p w:rsidR="0042661B" w14:paraId="4B532646" w14:textId="69B63961">
      <w:pPr>
        <w:pStyle w:val="FootnoteText"/>
      </w:pPr>
      <w:r>
        <w:rPr>
          <w:rStyle w:val="FootnoteReference"/>
        </w:rPr>
        <w:footnoteRef/>
      </w:r>
      <w:r>
        <w:t xml:space="preserve"> </w:t>
      </w:r>
      <w:r w:rsidR="005A2C78">
        <w:t xml:space="preserve">Effective </w:t>
      </w:r>
      <w:r>
        <w:t>October 1, 2019</w:t>
      </w:r>
      <w:r w:rsidR="005A2C78">
        <w:t>.</w:t>
      </w:r>
    </w:p>
  </w:footnote>
  <w:footnote w:id="5">
    <w:p w:rsidR="00753538" w14:paraId="3C3C05C5" w14:textId="50E5FDBD">
      <w:pPr>
        <w:pStyle w:val="FootnoteText"/>
      </w:pPr>
      <w:r>
        <w:rPr>
          <w:rStyle w:val="FootnoteReference"/>
        </w:rPr>
        <w:footnoteRef/>
      </w:r>
      <w:r>
        <w:t xml:space="preserve"> </w:t>
      </w:r>
      <w:r w:rsidRPr="0006055B" w:rsidR="00E838BD">
        <w:rPr>
          <w:i/>
          <w:iCs/>
        </w:rPr>
        <w:t>See</w:t>
      </w:r>
      <w:r w:rsidR="00E838BD">
        <w:t xml:space="preserve"> DHS Instruction 262-05-002, “Insider Threat Program,” issued October 1, 2019</w:t>
      </w:r>
      <w:r w:rsidR="008976F1">
        <w:t>; and</w:t>
      </w:r>
      <w:r w:rsidR="00E838BD">
        <w:t xml:space="preserve"> DHS Instruction 262-05-002-01, “Insider Threat Information Sharing Guide,” issued October 11, 2019.</w:t>
      </w:r>
    </w:p>
  </w:footnote>
  <w:footnote w:id="6">
    <w:p w:rsidR="00C14AA3" w:rsidRPr="00030BA5" w:rsidP="00A82077" w14:paraId="4D47541E" w14:textId="71527BF4">
      <w:pPr>
        <w:pStyle w:val="FootnoteText"/>
        <w:ind w:left="90" w:hanging="90"/>
        <w:rPr>
          <w:rFonts w:cs="Times New Roman"/>
          <w:color w:val="FF0000"/>
        </w:rPr>
      </w:pPr>
      <w:r>
        <w:rPr>
          <w:rStyle w:val="FootnoteReference"/>
        </w:rPr>
        <w:footnoteRef/>
      </w:r>
      <w:r>
        <w:t xml:space="preserve"> </w:t>
      </w:r>
      <w:r>
        <w:rPr>
          <w:rFonts w:cs="Times New Roman"/>
        </w:rPr>
        <w:t xml:space="preserve">TSA uses the total compensation cost for all full-time </w:t>
      </w:r>
      <w:r w:rsidR="00AE06FA">
        <w:rPr>
          <w:rFonts w:cs="Times New Roman"/>
        </w:rPr>
        <w:t>private industry</w:t>
      </w:r>
      <w:r>
        <w:rPr>
          <w:rFonts w:cs="Times New Roman"/>
        </w:rPr>
        <w:t xml:space="preserve"> workers.  </w:t>
      </w:r>
      <w:r w:rsidRPr="00D20611">
        <w:rPr>
          <w:rFonts w:cs="Times New Roman"/>
        </w:rPr>
        <w:t xml:space="preserve">For </w:t>
      </w:r>
      <w:r>
        <w:rPr>
          <w:rFonts w:cs="Times New Roman"/>
        </w:rPr>
        <w:t xml:space="preserve">all full-time </w:t>
      </w:r>
      <w:r w:rsidR="00710941">
        <w:rPr>
          <w:rFonts w:cs="Times New Roman"/>
        </w:rPr>
        <w:t>private industry</w:t>
      </w:r>
      <w:r>
        <w:rPr>
          <w:rFonts w:cs="Times New Roman"/>
        </w:rPr>
        <w:t xml:space="preserve"> workers</w:t>
      </w:r>
      <w:r w:rsidRPr="00D20611">
        <w:rPr>
          <w:rFonts w:cs="Times New Roman"/>
        </w:rPr>
        <w:t xml:space="preserve">, </w:t>
      </w:r>
      <w:r>
        <w:rPr>
          <w:rFonts w:cs="Times New Roman"/>
        </w:rPr>
        <w:t xml:space="preserve">hourly </w:t>
      </w:r>
      <w:r w:rsidRPr="00D20611">
        <w:rPr>
          <w:rFonts w:cs="Times New Roman"/>
        </w:rPr>
        <w:t>total compensation is $</w:t>
      </w:r>
      <w:r w:rsidR="00710941">
        <w:rPr>
          <w:rFonts w:cs="Times New Roman"/>
        </w:rPr>
        <w:t>45</w:t>
      </w:r>
      <w:r w:rsidR="004331CF">
        <w:rPr>
          <w:rFonts w:cs="Times New Roman"/>
        </w:rPr>
        <w:t>.38</w:t>
      </w:r>
      <w:r w:rsidRPr="00D20611">
        <w:rPr>
          <w:rFonts w:cs="Times New Roman"/>
        </w:rPr>
        <w:t xml:space="preserve">. </w:t>
      </w:r>
      <w:r>
        <w:rPr>
          <w:rFonts w:cs="Times New Roman"/>
        </w:rPr>
        <w:t xml:space="preserve"> BLS, </w:t>
      </w:r>
      <w:r w:rsidRPr="00AD27E2">
        <w:rPr>
          <w:rFonts w:cs="Times New Roman"/>
        </w:rPr>
        <w:t xml:space="preserve">News Release, Employer Costs for Employee Compensation </w:t>
      </w:r>
      <w:r>
        <w:rPr>
          <w:rFonts w:cs="Times New Roman"/>
        </w:rPr>
        <w:t>–</w:t>
      </w:r>
      <w:r w:rsidRPr="00AD27E2">
        <w:rPr>
          <w:rFonts w:cs="Times New Roman"/>
        </w:rPr>
        <w:t xml:space="preserve"> </w:t>
      </w:r>
      <w:r w:rsidR="004331CF">
        <w:rPr>
          <w:rFonts w:cs="Times New Roman"/>
        </w:rPr>
        <w:t>March 2025</w:t>
      </w:r>
      <w:r>
        <w:rPr>
          <w:rFonts w:cs="Times New Roman"/>
        </w:rPr>
        <w:t>.</w:t>
      </w:r>
      <w:r w:rsidRPr="00AD27E2">
        <w:rPr>
          <w:rFonts w:cs="Times New Roman"/>
        </w:rPr>
        <w:t xml:space="preserve"> Table </w:t>
      </w:r>
      <w:r>
        <w:rPr>
          <w:rFonts w:cs="Times New Roman"/>
        </w:rPr>
        <w:t>4</w:t>
      </w:r>
      <w:r w:rsidRPr="00AD27E2">
        <w:rPr>
          <w:rFonts w:cs="Times New Roman"/>
        </w:rPr>
        <w:t>.</w:t>
      </w:r>
      <w:r w:rsidR="00CC570B">
        <w:rPr>
          <w:rFonts w:cs="Times New Roman"/>
        </w:rPr>
        <w:t xml:space="preserve"> </w:t>
      </w:r>
      <w:r w:rsidRPr="00AD27E2">
        <w:rPr>
          <w:rFonts w:cs="Times New Roman"/>
        </w:rPr>
        <w:t xml:space="preserve"> </w:t>
      </w:r>
      <w:r w:rsidRPr="000156AB" w:rsidR="000156AB">
        <w:rPr>
          <w:rFonts w:cs="Times New Roman"/>
        </w:rPr>
        <w:t>Employer</w:t>
      </w:r>
      <w:r w:rsidR="00CC570B">
        <w:rPr>
          <w:rFonts w:cs="Times New Roman"/>
        </w:rPr>
        <w:t xml:space="preserve"> </w:t>
      </w:r>
      <w:r w:rsidRPr="000156AB" w:rsidR="000156AB">
        <w:rPr>
          <w:rFonts w:cs="Times New Roman"/>
        </w:rPr>
        <w:t>Costs</w:t>
      </w:r>
      <w:r w:rsidR="00CC570B">
        <w:rPr>
          <w:rFonts w:cs="Times New Roman"/>
        </w:rPr>
        <w:t xml:space="preserve"> </w:t>
      </w:r>
      <w:r w:rsidRPr="000156AB" w:rsidR="000156AB">
        <w:rPr>
          <w:rFonts w:cs="Times New Roman"/>
        </w:rPr>
        <w:t>for</w:t>
      </w:r>
      <w:r w:rsidR="00CC570B">
        <w:rPr>
          <w:rFonts w:cs="Times New Roman"/>
        </w:rPr>
        <w:t xml:space="preserve"> </w:t>
      </w:r>
      <w:r w:rsidRPr="000156AB" w:rsidR="000156AB">
        <w:rPr>
          <w:rFonts w:cs="Times New Roman"/>
        </w:rPr>
        <w:t>Employee</w:t>
      </w:r>
      <w:r w:rsidR="00CC570B">
        <w:rPr>
          <w:rFonts w:cs="Times New Roman"/>
        </w:rPr>
        <w:t xml:space="preserve"> </w:t>
      </w:r>
      <w:r w:rsidRPr="000156AB" w:rsidR="000156AB">
        <w:rPr>
          <w:rFonts w:cs="Times New Roman"/>
        </w:rPr>
        <w:t>Compensation</w:t>
      </w:r>
      <w:r w:rsidR="00CC570B">
        <w:rPr>
          <w:rFonts w:cs="Times New Roman"/>
        </w:rPr>
        <w:t xml:space="preserve"> </w:t>
      </w:r>
      <w:r w:rsidRPr="000156AB" w:rsidR="000156AB">
        <w:rPr>
          <w:rFonts w:cs="Times New Roman"/>
        </w:rPr>
        <w:t>for</w:t>
      </w:r>
      <w:r w:rsidR="00CC570B">
        <w:rPr>
          <w:rFonts w:cs="Times New Roman"/>
        </w:rPr>
        <w:t xml:space="preserve"> </w:t>
      </w:r>
      <w:r w:rsidRPr="000156AB" w:rsidR="000156AB">
        <w:rPr>
          <w:rFonts w:cs="Times New Roman"/>
        </w:rPr>
        <w:t>private</w:t>
      </w:r>
      <w:r w:rsidR="00CC570B">
        <w:rPr>
          <w:rFonts w:cs="Times New Roman"/>
        </w:rPr>
        <w:t xml:space="preserve"> </w:t>
      </w:r>
      <w:r w:rsidRPr="000156AB" w:rsidR="000156AB">
        <w:rPr>
          <w:rFonts w:cs="Times New Roman"/>
        </w:rPr>
        <w:t>industry</w:t>
      </w:r>
      <w:r w:rsidR="00CC570B">
        <w:rPr>
          <w:rFonts w:cs="Times New Roman"/>
        </w:rPr>
        <w:t xml:space="preserve"> </w:t>
      </w:r>
      <w:r w:rsidRPr="000156AB" w:rsidR="000156AB">
        <w:rPr>
          <w:rFonts w:cs="Times New Roman"/>
        </w:rPr>
        <w:t>workers</w:t>
      </w:r>
      <w:r w:rsidR="00CC570B">
        <w:rPr>
          <w:rFonts w:cs="Times New Roman"/>
        </w:rPr>
        <w:t xml:space="preserve"> </w:t>
      </w:r>
      <w:r w:rsidRPr="000156AB" w:rsidR="000156AB">
        <w:rPr>
          <w:rFonts w:cs="Times New Roman"/>
        </w:rPr>
        <w:t>by</w:t>
      </w:r>
      <w:r w:rsidR="00CC570B">
        <w:rPr>
          <w:rFonts w:cs="Times New Roman"/>
        </w:rPr>
        <w:t xml:space="preserve"> </w:t>
      </w:r>
      <w:r w:rsidRPr="000156AB" w:rsidR="000156AB">
        <w:rPr>
          <w:rFonts w:cs="Times New Roman"/>
        </w:rPr>
        <w:t>occupational</w:t>
      </w:r>
      <w:r w:rsidR="00CC570B">
        <w:rPr>
          <w:rFonts w:cs="Times New Roman"/>
        </w:rPr>
        <w:t xml:space="preserve"> </w:t>
      </w:r>
      <w:r w:rsidRPr="000156AB" w:rsidR="000156AB">
        <w:rPr>
          <w:rFonts w:cs="Times New Roman"/>
        </w:rPr>
        <w:t>and</w:t>
      </w:r>
      <w:r w:rsidR="00CC570B">
        <w:rPr>
          <w:rFonts w:cs="Times New Roman"/>
        </w:rPr>
        <w:t xml:space="preserve"> </w:t>
      </w:r>
      <w:r w:rsidRPr="000156AB" w:rsidR="000156AB">
        <w:rPr>
          <w:rFonts w:cs="Times New Roman"/>
        </w:rPr>
        <w:t>industry</w:t>
      </w:r>
      <w:r w:rsidR="00CC570B">
        <w:rPr>
          <w:rFonts w:cs="Times New Roman"/>
        </w:rPr>
        <w:t xml:space="preserve"> </w:t>
      </w:r>
      <w:r w:rsidRPr="000156AB" w:rsidR="000156AB">
        <w:rPr>
          <w:rFonts w:cs="Times New Roman"/>
        </w:rPr>
        <w:t>group [Mar.2025]</w:t>
      </w:r>
      <w:r>
        <w:rPr>
          <w:rFonts w:cs="Times New Roman"/>
        </w:rPr>
        <w:t xml:space="preserve">  </w:t>
      </w:r>
      <w:r w:rsidRPr="00AD27E2">
        <w:rPr>
          <w:rFonts w:cs="Times New Roman"/>
        </w:rPr>
        <w:t xml:space="preserve">Release date </w:t>
      </w:r>
      <w:r w:rsidR="00F1722D">
        <w:rPr>
          <w:rFonts w:cs="Times New Roman"/>
        </w:rPr>
        <w:t>June 13</w:t>
      </w:r>
      <w:r>
        <w:rPr>
          <w:rFonts w:cs="Times New Roman"/>
        </w:rPr>
        <w:t>, 2025</w:t>
      </w:r>
      <w:r w:rsidRPr="00AD27E2">
        <w:rPr>
          <w:rFonts w:cs="Times New Roman"/>
        </w:rPr>
        <w:t>.</w:t>
      </w:r>
      <w:r w:rsidR="00863E53">
        <w:rPr>
          <w:rFonts w:cs="Times New Roman"/>
        </w:rPr>
        <w:t xml:space="preserve"> </w:t>
      </w:r>
      <w:r w:rsidR="00CC570B">
        <w:rPr>
          <w:rFonts w:cs="Times New Roman"/>
        </w:rPr>
        <w:t xml:space="preserve"> </w:t>
      </w:r>
      <w:r w:rsidRPr="00863E53" w:rsidR="00863E53">
        <w:rPr>
          <w:rFonts w:cs="Times New Roman"/>
        </w:rPr>
        <w:t>extension://efaidnbmnnnibpcajpcglclefindmkaj/https://www.bls.gov/news.release/archives/ecec_06132025.pdf</w:t>
      </w:r>
      <w:hyperlink w:history="1"/>
      <w:r w:rsidRPr="00431199">
        <w:rPr>
          <w:rFonts w:cs="Times New Roman"/>
        </w:rPr>
        <w:t xml:space="preserve">.  Retrieved </w:t>
      </w:r>
      <w:r w:rsidR="003511B4">
        <w:rPr>
          <w:rFonts w:cs="Times New Roman"/>
        </w:rPr>
        <w:t>September 8</w:t>
      </w:r>
      <w:r>
        <w:rPr>
          <w:rFonts w:cs="Times New Roman"/>
        </w:rPr>
        <w:t>, 2025</w:t>
      </w:r>
      <w:r w:rsidRPr="00030BA5">
        <w:rPr>
          <w:rFonts w:cs="Times New Roman"/>
          <w:color w:val="auto"/>
        </w:rPr>
        <w:t>.</w:t>
      </w:r>
    </w:p>
    <w:p w:rsidR="00C14AA3" w:rsidP="00C14AA3" w14:paraId="4472D060" w14:textId="77777777">
      <w:pPr>
        <w:pStyle w:val="FootnoteText"/>
        <w:ind w:left="90" w:hanging="90"/>
      </w:pPr>
      <w:r w:rsidRPr="00443A4E">
        <w:rPr>
          <w:rFonts w:cs="Times New Roman"/>
        </w:rPr>
        <w:t xml:space="preserve"> </w:t>
      </w:r>
    </w:p>
  </w:footnote>
  <w:footnote w:id="7">
    <w:p w:rsidR="004D17D5" w:rsidRPr="007F6C2A" w:rsidP="004D17D5" w14:paraId="34F6A9BE" w14:textId="5C8A4410">
      <w:pPr>
        <w:pStyle w:val="FootnoteText"/>
        <w:ind w:left="180" w:hanging="180"/>
      </w:pPr>
      <w:r w:rsidRPr="007F6C2A">
        <w:rPr>
          <w:rStyle w:val="FootnoteReference"/>
        </w:rPr>
        <w:footnoteRef/>
      </w:r>
      <w:r w:rsidRPr="007F6C2A">
        <w:t xml:space="preserve"> </w:t>
      </w:r>
      <w:r>
        <w:t>The total compensation for I</w:t>
      </w:r>
      <w:r w:rsidRPr="007F6C2A">
        <w:t xml:space="preserve"> Band </w:t>
      </w:r>
      <w:r>
        <w:t xml:space="preserve">(equivalent to GS –13) </w:t>
      </w:r>
      <w:r w:rsidRPr="007F6C2A">
        <w:t xml:space="preserve">TSA personnel located at TSA HQ in </w:t>
      </w:r>
      <w:r w:rsidR="00C12C74">
        <w:t>Springfield</w:t>
      </w:r>
      <w:r w:rsidRPr="007F6C2A">
        <w:t>, VA</w:t>
      </w:r>
      <w:r>
        <w:t xml:space="preserve"> is</w:t>
      </w:r>
      <w:r w:rsidRPr="007F6C2A">
        <w:t xml:space="preserve"> $</w:t>
      </w:r>
      <w:r>
        <w:t xml:space="preserve">184,465 </w:t>
      </w:r>
      <w:r w:rsidRPr="007F6C2A">
        <w:t>per year (includ</w:t>
      </w:r>
      <w:r>
        <w:t xml:space="preserve">ing </w:t>
      </w:r>
      <w:r w:rsidRPr="007F6C2A">
        <w:t xml:space="preserve">locality adjustment and </w:t>
      </w:r>
      <w:r>
        <w:t xml:space="preserve">other benefits).  </w:t>
      </w:r>
      <w:r w:rsidRPr="00B75E3E">
        <w:t xml:space="preserve">Source: 2025 TSA Compensation Plan Pay Chart by </w:t>
      </w:r>
      <w:r w:rsidRPr="00B75E3E">
        <w:t>Paybands</w:t>
      </w:r>
      <w:r w:rsidRPr="00B75E3E">
        <w:t xml:space="preserve"> Step 5, including Washington-Baltimore-Arlington, DC-MD-WV-PA Locality Pay.</w:t>
      </w:r>
      <w:r w:rsidRPr="007F6C2A">
        <w:t xml:space="preserve">  </w:t>
      </w:r>
      <w:r>
        <w:t xml:space="preserve">$88.39 = $184,465 </w:t>
      </w:r>
      <w:r>
        <w:rPr>
          <w:rFonts w:cs="Times New Roman"/>
        </w:rPr>
        <w:t>÷</w:t>
      </w:r>
      <w:r>
        <w:t xml:space="preserve"> 2087 annual work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EEA6C04" w14:textId="232B582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B4E9E">
      <w:rPr>
        <w:rStyle w:val="PageNumber"/>
        <w:rFonts w:ascii="Times New Roman" w:hAnsi="Times New Roman"/>
        <w:noProof/>
        <w:sz w:val="24"/>
      </w:rPr>
      <w:t>2</w:t>
    </w:r>
    <w:r>
      <w:rPr>
        <w:rStyle w:val="PageNumber"/>
        <w:rFonts w:ascii="Times New Roman" w:hAnsi="Times New Roman"/>
        <w:sz w:val="24"/>
      </w:rPr>
      <w:fldChar w:fldCharType="end"/>
    </w:r>
  </w:p>
  <w:p w:rsidR="00320387" w:rsidRPr="00320387" w14:paraId="6EEA6C05"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EEA6C06" w14:textId="044178CD">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20387" w14:paraId="6EEA6C07" w14:textId="77777777">
    <w:pPr>
      <w:jc w:val="center"/>
      <w:rPr>
        <w:rFonts w:cs="Times New Roman"/>
        <w:b/>
        <w:sz w:val="28"/>
      </w:rPr>
    </w:pPr>
  </w:p>
  <w:p w:rsidR="00320387" w14:paraId="6EEA6C09" w14:textId="6B323463">
    <w:pPr>
      <w:jc w:val="center"/>
      <w:rPr>
        <w:rFonts w:cs="Times New Roman"/>
        <w:b/>
        <w:sz w:val="28"/>
      </w:rPr>
    </w:pPr>
    <w:r>
      <w:rPr>
        <w:rFonts w:cs="Times New Roman"/>
        <w:b/>
        <w:sz w:val="28"/>
      </w:rPr>
      <w:t xml:space="preserve">1652-NEW </w:t>
    </w:r>
    <w:r w:rsidRPr="005D2E4B">
      <w:rPr>
        <w:rFonts w:cs="Times New Roman"/>
        <w:b/>
        <w:sz w:val="28"/>
      </w:rPr>
      <w:t>Insider Threat Incident Report</w:t>
    </w:r>
    <w:r w:rsidR="00367593">
      <w:rPr>
        <w:rFonts w:cs="Times New Roman"/>
        <w:b/>
        <w:sz w:val="28"/>
      </w:rPr>
      <w:t>ing Tool</w:t>
    </w:r>
  </w:p>
  <w:p w:rsidR="007D30EE" w14:paraId="3A6A1011" w14:textId="6C79FA66">
    <w:pPr>
      <w:jc w:val="center"/>
      <w:rPr>
        <w:rFonts w:cs="Times New Roman"/>
        <w:b/>
        <w:sz w:val="28"/>
      </w:rPr>
    </w:pPr>
    <w:r>
      <w:rPr>
        <w:rFonts w:cs="Times New Roman"/>
        <w:b/>
        <w:sz w:val="28"/>
      </w:rPr>
      <w:t>OMB control number 1652-XXXX</w:t>
    </w:r>
  </w:p>
  <w:p w:rsidR="005D2E4B" w14:paraId="319C8AEB" w14:textId="4C153EA5">
    <w:pPr>
      <w:jc w:val="center"/>
      <w:rPr>
        <w:rFonts w:cs="Times New Roman"/>
        <w:b/>
        <w:sz w:val="28"/>
      </w:rPr>
    </w:pPr>
    <w:r>
      <w:rPr>
        <w:rFonts w:cs="Times New Roman"/>
        <w:b/>
        <w:sz w:val="28"/>
      </w:rPr>
      <w:t xml:space="preserve">Exp. </w:t>
    </w:r>
    <w:r w:rsidR="007D30EE">
      <w:rPr>
        <w:rFonts w:cs="Times New Roman"/>
        <w:b/>
        <w:sz w:val="28"/>
      </w:rPr>
      <w:t>xx/xx/</w:t>
    </w:r>
    <w:r w:rsidR="007D30EE">
      <w:rPr>
        <w:rFonts w:cs="Times New Roman"/>
        <w:b/>
        <w:sz w:val="28"/>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30300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1D82"/>
    <w:rsid w:val="00003291"/>
    <w:rsid w:val="000067AE"/>
    <w:rsid w:val="00012C1B"/>
    <w:rsid w:val="000131CF"/>
    <w:rsid w:val="000156AB"/>
    <w:rsid w:val="0001600D"/>
    <w:rsid w:val="00020278"/>
    <w:rsid w:val="0002653B"/>
    <w:rsid w:val="00030AC8"/>
    <w:rsid w:val="00030BA5"/>
    <w:rsid w:val="0004017C"/>
    <w:rsid w:val="00044642"/>
    <w:rsid w:val="00051CA5"/>
    <w:rsid w:val="0006055B"/>
    <w:rsid w:val="00067BB0"/>
    <w:rsid w:val="00081BAC"/>
    <w:rsid w:val="00083274"/>
    <w:rsid w:val="0008776C"/>
    <w:rsid w:val="00087F14"/>
    <w:rsid w:val="000902CE"/>
    <w:rsid w:val="00093363"/>
    <w:rsid w:val="0009435A"/>
    <w:rsid w:val="000959C9"/>
    <w:rsid w:val="0009643A"/>
    <w:rsid w:val="000964D9"/>
    <w:rsid w:val="00097104"/>
    <w:rsid w:val="000B332E"/>
    <w:rsid w:val="000B3B78"/>
    <w:rsid w:val="000B402B"/>
    <w:rsid w:val="000B4154"/>
    <w:rsid w:val="000D0322"/>
    <w:rsid w:val="000D466B"/>
    <w:rsid w:val="000D7D1C"/>
    <w:rsid w:val="000E0043"/>
    <w:rsid w:val="000E5149"/>
    <w:rsid w:val="000E66C2"/>
    <w:rsid w:val="000F10D4"/>
    <w:rsid w:val="000F20B6"/>
    <w:rsid w:val="000F2573"/>
    <w:rsid w:val="000F504D"/>
    <w:rsid w:val="001035EB"/>
    <w:rsid w:val="00106482"/>
    <w:rsid w:val="00110575"/>
    <w:rsid w:val="00114E31"/>
    <w:rsid w:val="0011532B"/>
    <w:rsid w:val="001177C6"/>
    <w:rsid w:val="00120A21"/>
    <w:rsid w:val="00125F27"/>
    <w:rsid w:val="0013064D"/>
    <w:rsid w:val="001334F4"/>
    <w:rsid w:val="001420F4"/>
    <w:rsid w:val="00154333"/>
    <w:rsid w:val="001555CD"/>
    <w:rsid w:val="00162B29"/>
    <w:rsid w:val="00162E04"/>
    <w:rsid w:val="00182C0F"/>
    <w:rsid w:val="00186C03"/>
    <w:rsid w:val="00190F24"/>
    <w:rsid w:val="0019213E"/>
    <w:rsid w:val="00193CF7"/>
    <w:rsid w:val="00196EE5"/>
    <w:rsid w:val="00197B06"/>
    <w:rsid w:val="001A2B5D"/>
    <w:rsid w:val="001A4168"/>
    <w:rsid w:val="001C1699"/>
    <w:rsid w:val="001C19BA"/>
    <w:rsid w:val="001C1FA3"/>
    <w:rsid w:val="001C4AE2"/>
    <w:rsid w:val="001D4683"/>
    <w:rsid w:val="001D5199"/>
    <w:rsid w:val="001E4065"/>
    <w:rsid w:val="001E596F"/>
    <w:rsid w:val="001F1FD6"/>
    <w:rsid w:val="00200218"/>
    <w:rsid w:val="00203ECD"/>
    <w:rsid w:val="00206656"/>
    <w:rsid w:val="00223205"/>
    <w:rsid w:val="002433D1"/>
    <w:rsid w:val="0024467B"/>
    <w:rsid w:val="0024480B"/>
    <w:rsid w:val="00255CEE"/>
    <w:rsid w:val="00263523"/>
    <w:rsid w:val="002643DB"/>
    <w:rsid w:val="00264B21"/>
    <w:rsid w:val="00265AAC"/>
    <w:rsid w:val="00272526"/>
    <w:rsid w:val="00282FA8"/>
    <w:rsid w:val="0028400D"/>
    <w:rsid w:val="002851FB"/>
    <w:rsid w:val="0029042E"/>
    <w:rsid w:val="002B4E9E"/>
    <w:rsid w:val="002C3A60"/>
    <w:rsid w:val="002C544C"/>
    <w:rsid w:val="002C66AC"/>
    <w:rsid w:val="002D2E36"/>
    <w:rsid w:val="002D3C46"/>
    <w:rsid w:val="002E1E1A"/>
    <w:rsid w:val="002E3323"/>
    <w:rsid w:val="002E672C"/>
    <w:rsid w:val="002F2CC8"/>
    <w:rsid w:val="00306683"/>
    <w:rsid w:val="0031356C"/>
    <w:rsid w:val="00320387"/>
    <w:rsid w:val="003245EC"/>
    <w:rsid w:val="003257DD"/>
    <w:rsid w:val="00333516"/>
    <w:rsid w:val="003511B4"/>
    <w:rsid w:val="0035353B"/>
    <w:rsid w:val="00354B5D"/>
    <w:rsid w:val="003609A1"/>
    <w:rsid w:val="00367593"/>
    <w:rsid w:val="00370224"/>
    <w:rsid w:val="0038532B"/>
    <w:rsid w:val="003907D9"/>
    <w:rsid w:val="00397139"/>
    <w:rsid w:val="00397A13"/>
    <w:rsid w:val="003A5714"/>
    <w:rsid w:val="003B297F"/>
    <w:rsid w:val="003B3450"/>
    <w:rsid w:val="003B79F1"/>
    <w:rsid w:val="003C0F11"/>
    <w:rsid w:val="003C255B"/>
    <w:rsid w:val="003C5175"/>
    <w:rsid w:val="003D181B"/>
    <w:rsid w:val="003E19A9"/>
    <w:rsid w:val="003F58D6"/>
    <w:rsid w:val="00402C0E"/>
    <w:rsid w:val="00406C86"/>
    <w:rsid w:val="004152A1"/>
    <w:rsid w:val="00416B88"/>
    <w:rsid w:val="00422F01"/>
    <w:rsid w:val="004243D1"/>
    <w:rsid w:val="0042661B"/>
    <w:rsid w:val="00427ABC"/>
    <w:rsid w:val="00431199"/>
    <w:rsid w:val="004331CF"/>
    <w:rsid w:val="004356FC"/>
    <w:rsid w:val="004419C2"/>
    <w:rsid w:val="00441D2B"/>
    <w:rsid w:val="00443A4E"/>
    <w:rsid w:val="0044670B"/>
    <w:rsid w:val="00453970"/>
    <w:rsid w:val="00466D87"/>
    <w:rsid w:val="00470178"/>
    <w:rsid w:val="00470A62"/>
    <w:rsid w:val="00471C27"/>
    <w:rsid w:val="00475461"/>
    <w:rsid w:val="0049149C"/>
    <w:rsid w:val="00495E96"/>
    <w:rsid w:val="0049604F"/>
    <w:rsid w:val="004A47D6"/>
    <w:rsid w:val="004B16D1"/>
    <w:rsid w:val="004C1101"/>
    <w:rsid w:val="004C2D6E"/>
    <w:rsid w:val="004D129F"/>
    <w:rsid w:val="004D17D5"/>
    <w:rsid w:val="004D2DAD"/>
    <w:rsid w:val="004E0D44"/>
    <w:rsid w:val="004E23BB"/>
    <w:rsid w:val="004E35B7"/>
    <w:rsid w:val="004E41BF"/>
    <w:rsid w:val="004F3434"/>
    <w:rsid w:val="004F4468"/>
    <w:rsid w:val="00500453"/>
    <w:rsid w:val="00501689"/>
    <w:rsid w:val="005101EB"/>
    <w:rsid w:val="005104E7"/>
    <w:rsid w:val="005155B9"/>
    <w:rsid w:val="00517946"/>
    <w:rsid w:val="00540951"/>
    <w:rsid w:val="00541E7D"/>
    <w:rsid w:val="005473BA"/>
    <w:rsid w:val="005500D0"/>
    <w:rsid w:val="00556C67"/>
    <w:rsid w:val="00563C1D"/>
    <w:rsid w:val="005656DF"/>
    <w:rsid w:val="005669CE"/>
    <w:rsid w:val="00575FBB"/>
    <w:rsid w:val="00577DBD"/>
    <w:rsid w:val="00587883"/>
    <w:rsid w:val="00591191"/>
    <w:rsid w:val="00592E0D"/>
    <w:rsid w:val="00593990"/>
    <w:rsid w:val="005A2C78"/>
    <w:rsid w:val="005A2CF9"/>
    <w:rsid w:val="005B60D7"/>
    <w:rsid w:val="005B71E8"/>
    <w:rsid w:val="005D17AF"/>
    <w:rsid w:val="005D2E4B"/>
    <w:rsid w:val="005E32E8"/>
    <w:rsid w:val="005F50EA"/>
    <w:rsid w:val="00600CE9"/>
    <w:rsid w:val="006024B0"/>
    <w:rsid w:val="00607901"/>
    <w:rsid w:val="00610E35"/>
    <w:rsid w:val="006161B2"/>
    <w:rsid w:val="00616333"/>
    <w:rsid w:val="00617E4D"/>
    <w:rsid w:val="006261AE"/>
    <w:rsid w:val="006278A0"/>
    <w:rsid w:val="006328C7"/>
    <w:rsid w:val="00654FC8"/>
    <w:rsid w:val="00655845"/>
    <w:rsid w:val="00657283"/>
    <w:rsid w:val="00670B6C"/>
    <w:rsid w:val="00670F8A"/>
    <w:rsid w:val="00694681"/>
    <w:rsid w:val="00695A48"/>
    <w:rsid w:val="006B413D"/>
    <w:rsid w:val="006B5B61"/>
    <w:rsid w:val="006C2C06"/>
    <w:rsid w:val="006C4235"/>
    <w:rsid w:val="006D73E4"/>
    <w:rsid w:val="006E1124"/>
    <w:rsid w:val="006F5239"/>
    <w:rsid w:val="006F573E"/>
    <w:rsid w:val="00700B5A"/>
    <w:rsid w:val="00702F74"/>
    <w:rsid w:val="00710941"/>
    <w:rsid w:val="00711E45"/>
    <w:rsid w:val="00723785"/>
    <w:rsid w:val="00734322"/>
    <w:rsid w:val="00741BE9"/>
    <w:rsid w:val="0074457E"/>
    <w:rsid w:val="00746BA9"/>
    <w:rsid w:val="0074771D"/>
    <w:rsid w:val="00753538"/>
    <w:rsid w:val="00760AA9"/>
    <w:rsid w:val="0077469C"/>
    <w:rsid w:val="0078067A"/>
    <w:rsid w:val="0078126F"/>
    <w:rsid w:val="00781EC5"/>
    <w:rsid w:val="00783063"/>
    <w:rsid w:val="00785F14"/>
    <w:rsid w:val="0079555E"/>
    <w:rsid w:val="007B0EEA"/>
    <w:rsid w:val="007B4DCE"/>
    <w:rsid w:val="007B6B2F"/>
    <w:rsid w:val="007D1842"/>
    <w:rsid w:val="007D30EE"/>
    <w:rsid w:val="007E11BC"/>
    <w:rsid w:val="007E242D"/>
    <w:rsid w:val="007E4500"/>
    <w:rsid w:val="007E78BD"/>
    <w:rsid w:val="007F2119"/>
    <w:rsid w:val="007F2DE7"/>
    <w:rsid w:val="007F3B44"/>
    <w:rsid w:val="007F6C2A"/>
    <w:rsid w:val="00802A55"/>
    <w:rsid w:val="008031F6"/>
    <w:rsid w:val="008122C1"/>
    <w:rsid w:val="008159B3"/>
    <w:rsid w:val="00816703"/>
    <w:rsid w:val="00821457"/>
    <w:rsid w:val="0082513D"/>
    <w:rsid w:val="008367EE"/>
    <w:rsid w:val="0084757F"/>
    <w:rsid w:val="008501A0"/>
    <w:rsid w:val="00857363"/>
    <w:rsid w:val="00863E53"/>
    <w:rsid w:val="00885324"/>
    <w:rsid w:val="00893F2D"/>
    <w:rsid w:val="00896FA5"/>
    <w:rsid w:val="008976F1"/>
    <w:rsid w:val="008A2A42"/>
    <w:rsid w:val="008C15EA"/>
    <w:rsid w:val="008C6BB9"/>
    <w:rsid w:val="008D353D"/>
    <w:rsid w:val="008D7778"/>
    <w:rsid w:val="008E1C64"/>
    <w:rsid w:val="008F396B"/>
    <w:rsid w:val="008F6DE3"/>
    <w:rsid w:val="008F7388"/>
    <w:rsid w:val="009024CA"/>
    <w:rsid w:val="00904005"/>
    <w:rsid w:val="00913CDF"/>
    <w:rsid w:val="009168F8"/>
    <w:rsid w:val="00917871"/>
    <w:rsid w:val="00920611"/>
    <w:rsid w:val="00922941"/>
    <w:rsid w:val="00930327"/>
    <w:rsid w:val="00935DC4"/>
    <w:rsid w:val="0093665E"/>
    <w:rsid w:val="00937FAE"/>
    <w:rsid w:val="00941BC1"/>
    <w:rsid w:val="00950989"/>
    <w:rsid w:val="009540BE"/>
    <w:rsid w:val="0096210E"/>
    <w:rsid w:val="00965EE3"/>
    <w:rsid w:val="00966AC1"/>
    <w:rsid w:val="00967BE9"/>
    <w:rsid w:val="00982AE1"/>
    <w:rsid w:val="00983299"/>
    <w:rsid w:val="00983F0A"/>
    <w:rsid w:val="00987C71"/>
    <w:rsid w:val="00994872"/>
    <w:rsid w:val="009953E5"/>
    <w:rsid w:val="009A0319"/>
    <w:rsid w:val="009A08B0"/>
    <w:rsid w:val="009A293F"/>
    <w:rsid w:val="009B13DE"/>
    <w:rsid w:val="009B23E8"/>
    <w:rsid w:val="009B4DE3"/>
    <w:rsid w:val="009C0768"/>
    <w:rsid w:val="009C0BF3"/>
    <w:rsid w:val="009C0E44"/>
    <w:rsid w:val="009C0E93"/>
    <w:rsid w:val="009C1173"/>
    <w:rsid w:val="009D37EC"/>
    <w:rsid w:val="009E4106"/>
    <w:rsid w:val="009E4E7D"/>
    <w:rsid w:val="00A00063"/>
    <w:rsid w:val="00A03643"/>
    <w:rsid w:val="00A03A90"/>
    <w:rsid w:val="00A05210"/>
    <w:rsid w:val="00A2718C"/>
    <w:rsid w:val="00A27F98"/>
    <w:rsid w:val="00A31134"/>
    <w:rsid w:val="00A351E0"/>
    <w:rsid w:val="00A35343"/>
    <w:rsid w:val="00A40227"/>
    <w:rsid w:val="00A505C8"/>
    <w:rsid w:val="00A54273"/>
    <w:rsid w:val="00A572B9"/>
    <w:rsid w:val="00A61B56"/>
    <w:rsid w:val="00A67925"/>
    <w:rsid w:val="00A7216D"/>
    <w:rsid w:val="00A752A8"/>
    <w:rsid w:val="00A80CA3"/>
    <w:rsid w:val="00A82077"/>
    <w:rsid w:val="00A82C7A"/>
    <w:rsid w:val="00A84460"/>
    <w:rsid w:val="00A860BB"/>
    <w:rsid w:val="00A90002"/>
    <w:rsid w:val="00AB0596"/>
    <w:rsid w:val="00AB3259"/>
    <w:rsid w:val="00AB6448"/>
    <w:rsid w:val="00AC2C9A"/>
    <w:rsid w:val="00AD27E2"/>
    <w:rsid w:val="00AD4AF2"/>
    <w:rsid w:val="00AE06FA"/>
    <w:rsid w:val="00AE0E12"/>
    <w:rsid w:val="00AE2DCB"/>
    <w:rsid w:val="00AE328C"/>
    <w:rsid w:val="00B00F5C"/>
    <w:rsid w:val="00B3776E"/>
    <w:rsid w:val="00B37D30"/>
    <w:rsid w:val="00B41A80"/>
    <w:rsid w:val="00B4391D"/>
    <w:rsid w:val="00B46088"/>
    <w:rsid w:val="00B476E9"/>
    <w:rsid w:val="00B50474"/>
    <w:rsid w:val="00B5110C"/>
    <w:rsid w:val="00B64E37"/>
    <w:rsid w:val="00B730A9"/>
    <w:rsid w:val="00B75E3E"/>
    <w:rsid w:val="00B76746"/>
    <w:rsid w:val="00B876F4"/>
    <w:rsid w:val="00BA4E08"/>
    <w:rsid w:val="00BA5417"/>
    <w:rsid w:val="00BA6DB1"/>
    <w:rsid w:val="00BB1DE9"/>
    <w:rsid w:val="00BB3CD0"/>
    <w:rsid w:val="00BD04E2"/>
    <w:rsid w:val="00BD0ADA"/>
    <w:rsid w:val="00BD45E3"/>
    <w:rsid w:val="00C05EC6"/>
    <w:rsid w:val="00C07210"/>
    <w:rsid w:val="00C108EA"/>
    <w:rsid w:val="00C1102D"/>
    <w:rsid w:val="00C12923"/>
    <w:rsid w:val="00C12C74"/>
    <w:rsid w:val="00C14AA3"/>
    <w:rsid w:val="00C159DE"/>
    <w:rsid w:val="00C20BC3"/>
    <w:rsid w:val="00C20E7F"/>
    <w:rsid w:val="00C2546C"/>
    <w:rsid w:val="00C33014"/>
    <w:rsid w:val="00C44EA2"/>
    <w:rsid w:val="00C46754"/>
    <w:rsid w:val="00C529C2"/>
    <w:rsid w:val="00C52B72"/>
    <w:rsid w:val="00C5561E"/>
    <w:rsid w:val="00C57550"/>
    <w:rsid w:val="00C61E4F"/>
    <w:rsid w:val="00C656A5"/>
    <w:rsid w:val="00C660E3"/>
    <w:rsid w:val="00C77204"/>
    <w:rsid w:val="00C82F0C"/>
    <w:rsid w:val="00C8539B"/>
    <w:rsid w:val="00C86931"/>
    <w:rsid w:val="00C95C7E"/>
    <w:rsid w:val="00CA18D4"/>
    <w:rsid w:val="00CA3A66"/>
    <w:rsid w:val="00CA5204"/>
    <w:rsid w:val="00CA606E"/>
    <w:rsid w:val="00CB06AC"/>
    <w:rsid w:val="00CB4EA8"/>
    <w:rsid w:val="00CB58C9"/>
    <w:rsid w:val="00CB7ED0"/>
    <w:rsid w:val="00CC0D0C"/>
    <w:rsid w:val="00CC570B"/>
    <w:rsid w:val="00CD0CDD"/>
    <w:rsid w:val="00CD1D75"/>
    <w:rsid w:val="00CE14E6"/>
    <w:rsid w:val="00CE7DDB"/>
    <w:rsid w:val="00CF16BF"/>
    <w:rsid w:val="00CF213B"/>
    <w:rsid w:val="00CF46B8"/>
    <w:rsid w:val="00D01F47"/>
    <w:rsid w:val="00D0413D"/>
    <w:rsid w:val="00D05818"/>
    <w:rsid w:val="00D10C67"/>
    <w:rsid w:val="00D10EB8"/>
    <w:rsid w:val="00D14053"/>
    <w:rsid w:val="00D2031C"/>
    <w:rsid w:val="00D20611"/>
    <w:rsid w:val="00D23164"/>
    <w:rsid w:val="00D2447E"/>
    <w:rsid w:val="00D24E59"/>
    <w:rsid w:val="00D255E4"/>
    <w:rsid w:val="00D27AC1"/>
    <w:rsid w:val="00D301DB"/>
    <w:rsid w:val="00D3238B"/>
    <w:rsid w:val="00D327DF"/>
    <w:rsid w:val="00D32902"/>
    <w:rsid w:val="00D36B53"/>
    <w:rsid w:val="00D40846"/>
    <w:rsid w:val="00D4678C"/>
    <w:rsid w:val="00D51575"/>
    <w:rsid w:val="00D64477"/>
    <w:rsid w:val="00D65CF8"/>
    <w:rsid w:val="00D761D6"/>
    <w:rsid w:val="00DA2C03"/>
    <w:rsid w:val="00DA319A"/>
    <w:rsid w:val="00DA59AB"/>
    <w:rsid w:val="00DA6593"/>
    <w:rsid w:val="00DC0F23"/>
    <w:rsid w:val="00DC2581"/>
    <w:rsid w:val="00DD069B"/>
    <w:rsid w:val="00DE1BF3"/>
    <w:rsid w:val="00E02144"/>
    <w:rsid w:val="00E02B1E"/>
    <w:rsid w:val="00E116CE"/>
    <w:rsid w:val="00E155A3"/>
    <w:rsid w:val="00E276C8"/>
    <w:rsid w:val="00E27C30"/>
    <w:rsid w:val="00E33811"/>
    <w:rsid w:val="00E33FA0"/>
    <w:rsid w:val="00E35C94"/>
    <w:rsid w:val="00E373BA"/>
    <w:rsid w:val="00E43523"/>
    <w:rsid w:val="00E4632D"/>
    <w:rsid w:val="00E61507"/>
    <w:rsid w:val="00E651B6"/>
    <w:rsid w:val="00E704AF"/>
    <w:rsid w:val="00E713D8"/>
    <w:rsid w:val="00E838BD"/>
    <w:rsid w:val="00E84ED3"/>
    <w:rsid w:val="00E9598F"/>
    <w:rsid w:val="00E95CDA"/>
    <w:rsid w:val="00EA0D46"/>
    <w:rsid w:val="00EA2504"/>
    <w:rsid w:val="00EA4989"/>
    <w:rsid w:val="00EB0117"/>
    <w:rsid w:val="00EB1FF5"/>
    <w:rsid w:val="00EB75F7"/>
    <w:rsid w:val="00EC310C"/>
    <w:rsid w:val="00EC4760"/>
    <w:rsid w:val="00ED14B4"/>
    <w:rsid w:val="00ED2B1E"/>
    <w:rsid w:val="00ED5B0C"/>
    <w:rsid w:val="00EE658A"/>
    <w:rsid w:val="00EF2FCE"/>
    <w:rsid w:val="00EF3633"/>
    <w:rsid w:val="00EF47BD"/>
    <w:rsid w:val="00EF6973"/>
    <w:rsid w:val="00F01360"/>
    <w:rsid w:val="00F0306A"/>
    <w:rsid w:val="00F134CD"/>
    <w:rsid w:val="00F1722D"/>
    <w:rsid w:val="00F2331E"/>
    <w:rsid w:val="00F24525"/>
    <w:rsid w:val="00F51EC3"/>
    <w:rsid w:val="00F52E3F"/>
    <w:rsid w:val="00F55BAC"/>
    <w:rsid w:val="00F63358"/>
    <w:rsid w:val="00F63E73"/>
    <w:rsid w:val="00F6619A"/>
    <w:rsid w:val="00F73948"/>
    <w:rsid w:val="00F87526"/>
    <w:rsid w:val="00F93DD2"/>
    <w:rsid w:val="00F96AEA"/>
    <w:rsid w:val="00F96FB3"/>
    <w:rsid w:val="00FA2814"/>
    <w:rsid w:val="00FA7E35"/>
    <w:rsid w:val="00FB0F8F"/>
    <w:rsid w:val="00FB30DC"/>
    <w:rsid w:val="00FB5202"/>
    <w:rsid w:val="00FB5449"/>
    <w:rsid w:val="00FB5E1C"/>
    <w:rsid w:val="00FB5EA0"/>
    <w:rsid w:val="00FD09CF"/>
    <w:rsid w:val="00FE3BFF"/>
    <w:rsid w:val="00FE424C"/>
    <w:rsid w:val="00FF2D58"/>
    <w:rsid w:val="00FF45A3"/>
    <w:rsid w:val="00FF5662"/>
    <w:rsid w:val="00FF6263"/>
    <w:rsid w:val="04861016"/>
    <w:rsid w:val="0A3AFD36"/>
    <w:rsid w:val="0D8B92C6"/>
    <w:rsid w:val="1098E258"/>
    <w:rsid w:val="1139B72A"/>
    <w:rsid w:val="125B3A92"/>
    <w:rsid w:val="18BAFD86"/>
    <w:rsid w:val="1D37544B"/>
    <w:rsid w:val="1DC9A609"/>
    <w:rsid w:val="1FBD2500"/>
    <w:rsid w:val="20EEFF2F"/>
    <w:rsid w:val="24E18A3E"/>
    <w:rsid w:val="25A613F0"/>
    <w:rsid w:val="2ACF2F1E"/>
    <w:rsid w:val="2B45676D"/>
    <w:rsid w:val="2D021A8F"/>
    <w:rsid w:val="31FE97F7"/>
    <w:rsid w:val="32CE7591"/>
    <w:rsid w:val="350A430A"/>
    <w:rsid w:val="4073AF00"/>
    <w:rsid w:val="41F3C938"/>
    <w:rsid w:val="4BFECA1E"/>
    <w:rsid w:val="4C2AF9DF"/>
    <w:rsid w:val="4C4598EB"/>
    <w:rsid w:val="4C639333"/>
    <w:rsid w:val="4C8CDD63"/>
    <w:rsid w:val="4D1A80C9"/>
    <w:rsid w:val="4D9101F4"/>
    <w:rsid w:val="4D99EEC3"/>
    <w:rsid w:val="52229B27"/>
    <w:rsid w:val="54C8E3A0"/>
    <w:rsid w:val="5555F3FE"/>
    <w:rsid w:val="575AA453"/>
    <w:rsid w:val="59BD0ABC"/>
    <w:rsid w:val="67144E9C"/>
    <w:rsid w:val="6E3A1650"/>
    <w:rsid w:val="7132E114"/>
    <w:rsid w:val="771168DC"/>
    <w:rsid w:val="785081FE"/>
    <w:rsid w:val="7D6CE8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F63358"/>
    <w:rPr>
      <w:rFonts w:cs="Arial"/>
      <w:color w:val="000000"/>
      <w:sz w:val="24"/>
    </w:rPr>
  </w:style>
  <w:style w:type="character" w:styleId="CommentReference">
    <w:name w:val="annotation reference"/>
    <w:basedOn w:val="DefaultParagraphFont"/>
    <w:semiHidden/>
    <w:unhideWhenUsed/>
    <w:rsid w:val="00A572B9"/>
    <w:rPr>
      <w:sz w:val="16"/>
      <w:szCs w:val="16"/>
    </w:rPr>
  </w:style>
  <w:style w:type="paragraph" w:styleId="CommentText">
    <w:name w:val="annotation text"/>
    <w:basedOn w:val="Normal"/>
    <w:link w:val="CommentTextChar"/>
    <w:unhideWhenUsed/>
    <w:rsid w:val="00A572B9"/>
    <w:rPr>
      <w:sz w:val="20"/>
    </w:rPr>
  </w:style>
  <w:style w:type="character" w:customStyle="1" w:styleId="CommentTextChar">
    <w:name w:val="Comment Text Char"/>
    <w:basedOn w:val="DefaultParagraphFont"/>
    <w:link w:val="CommentText"/>
    <w:rsid w:val="00A572B9"/>
    <w:rPr>
      <w:rFonts w:cs="Arial"/>
      <w:color w:val="000000"/>
    </w:rPr>
  </w:style>
  <w:style w:type="paragraph" w:styleId="CommentSubject">
    <w:name w:val="annotation subject"/>
    <w:basedOn w:val="CommentText"/>
    <w:next w:val="CommentText"/>
    <w:link w:val="CommentSubjectChar"/>
    <w:semiHidden/>
    <w:unhideWhenUsed/>
    <w:rsid w:val="00A572B9"/>
    <w:rPr>
      <w:b/>
      <w:bCs/>
    </w:rPr>
  </w:style>
  <w:style w:type="character" w:customStyle="1" w:styleId="CommentSubjectChar">
    <w:name w:val="Comment Subject Char"/>
    <w:basedOn w:val="CommentTextChar"/>
    <w:link w:val="CommentSubject"/>
    <w:semiHidden/>
    <w:rsid w:val="00A572B9"/>
    <w:rPr>
      <w:rFonts w:cs="Arial"/>
      <w:b/>
      <w:bCs/>
      <w:color w:val="000000"/>
    </w:rPr>
  </w:style>
  <w:style w:type="paragraph" w:styleId="FootnoteText">
    <w:name w:val="footnote text"/>
    <w:basedOn w:val="Normal"/>
    <w:link w:val="FootnoteTextChar"/>
    <w:unhideWhenUsed/>
    <w:rsid w:val="00422F01"/>
    <w:rPr>
      <w:sz w:val="20"/>
    </w:rPr>
  </w:style>
  <w:style w:type="character" w:customStyle="1" w:styleId="FootnoteTextChar">
    <w:name w:val="Footnote Text Char"/>
    <w:basedOn w:val="DefaultParagraphFont"/>
    <w:link w:val="FootnoteText"/>
    <w:rsid w:val="00422F01"/>
    <w:rPr>
      <w:rFonts w:cs="Arial"/>
      <w:color w:val="000000"/>
    </w:rPr>
  </w:style>
  <w:style w:type="character" w:styleId="FootnoteReference">
    <w:name w:val="footnote reference"/>
    <w:basedOn w:val="DefaultParagraphFont"/>
    <w:unhideWhenUsed/>
    <w:rsid w:val="00422F01"/>
    <w:rPr>
      <w:vertAlign w:val="superscript"/>
    </w:rPr>
  </w:style>
  <w:style w:type="character" w:styleId="Hyperlink">
    <w:name w:val="Hyperlink"/>
    <w:uiPriority w:val="99"/>
    <w:unhideWhenUsed/>
    <w:rsid w:val="00C14AA3"/>
    <w:rPr>
      <w:color w:val="FFFFFF"/>
      <w:u w:val="single"/>
    </w:rPr>
  </w:style>
  <w:style w:type="character" w:styleId="UnresolvedMention">
    <w:name w:val="Unresolved Mention"/>
    <w:basedOn w:val="DefaultParagraphFont"/>
    <w:uiPriority w:val="99"/>
    <w:semiHidden/>
    <w:unhideWhenUsed/>
    <w:rsid w:val="009168F8"/>
    <w:rPr>
      <w:color w:val="605E5C"/>
      <w:shd w:val="clear" w:color="auto" w:fill="E1DFDD"/>
    </w:rPr>
  </w:style>
  <w:style w:type="character" w:styleId="Mention">
    <w:name w:val="Mention"/>
    <w:basedOn w:val="DefaultParagraphFont"/>
    <w:uiPriority w:val="99"/>
    <w:unhideWhenUsed/>
    <w:rsid w:val="006328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sa.gov/travel/insider-threat"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E2AB-03A1-4C58-97CD-640CF241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2026-07-13T14:19:00Z</dcterms:created>
  <dcterms:modified xsi:type="dcterms:W3CDTF">2026-07-13T14:19:00Z</dcterms:modified>
</cp:coreProperties>
</file>