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37BD" w:rsidP="003B37BD" w14:paraId="0B5ED0E2"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w:t>
      </w:r>
    </w:p>
    <w:p w:rsidR="003B37BD" w:rsidP="003B37BD" w14:paraId="4F8037D5" w14:textId="7ADEA17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FERC-550, Oil Pipeline Rate</w:t>
      </w:r>
      <w:r w:rsidR="003D3B31">
        <w:rPr>
          <w:rFonts w:ascii="Times New Roman" w:hAnsi="Times New Roman" w:cs="Times New Roman"/>
          <w:b/>
          <w:sz w:val="26"/>
          <w:szCs w:val="26"/>
        </w:rPr>
        <w:t>s</w:t>
      </w:r>
      <w:r>
        <w:rPr>
          <w:rFonts w:ascii="Times New Roman" w:hAnsi="Times New Roman" w:cs="Times New Roman"/>
          <w:b/>
          <w:sz w:val="26"/>
          <w:szCs w:val="26"/>
        </w:rPr>
        <w:t>- Tariff Filings</w:t>
      </w:r>
      <w:r w:rsidR="00330454">
        <w:rPr>
          <w:rFonts w:ascii="Times New Roman" w:hAnsi="Times New Roman" w:cs="Times New Roman"/>
          <w:b/>
          <w:sz w:val="26"/>
          <w:szCs w:val="26"/>
        </w:rPr>
        <w:t xml:space="preserve"> and Depreciation Studies</w:t>
      </w:r>
    </w:p>
    <w:p w:rsidR="003B37BD" w:rsidP="003B37BD" w14:paraId="04EAB608" w14:textId="77777777">
      <w:pPr>
        <w:spacing w:after="0" w:line="240" w:lineRule="auto"/>
        <w:jc w:val="center"/>
        <w:rPr>
          <w:rFonts w:ascii="Times New Roman" w:hAnsi="Times New Roman" w:cs="Times New Roman"/>
          <w:sz w:val="26"/>
          <w:szCs w:val="26"/>
        </w:rPr>
      </w:pPr>
    </w:p>
    <w:p w:rsidR="003B37BD" w:rsidP="003B37BD" w14:paraId="3B56079B" w14:textId="5DF1066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w:t>
      </w:r>
      <w:r w:rsidRPr="00143F84">
        <w:rPr>
          <w:rFonts w:ascii="Times New Roman" w:hAnsi="Times New Roman" w:cs="Times New Roman"/>
          <w:bCs/>
          <w:sz w:val="26"/>
          <w:szCs w:val="26"/>
        </w:rPr>
        <w:t>FERC</w:t>
      </w:r>
      <w:r w:rsidRPr="00143F84">
        <w:rPr>
          <w:rFonts w:ascii="Times New Roman" w:hAnsi="Times New Roman" w:cs="Times New Roman"/>
          <w:bCs/>
          <w:sz w:val="26"/>
          <w:szCs w:val="26"/>
        </w:rPr>
        <w:noBreakHyphen/>
        <w:t>550, Oil Pipeline Rates – Tariff Filings</w:t>
      </w:r>
      <w:r w:rsidR="00330454">
        <w:rPr>
          <w:rFonts w:ascii="Times New Roman" w:hAnsi="Times New Roman" w:cs="Times New Roman"/>
          <w:bCs/>
          <w:sz w:val="26"/>
          <w:szCs w:val="26"/>
        </w:rPr>
        <w:t xml:space="preserve"> and Depreciation Studies</w:t>
      </w:r>
      <w:r w:rsidRPr="00143F84">
        <w:rPr>
          <w:rFonts w:ascii="Times New Roman" w:hAnsi="Times New Roman" w:cs="Times New Roman"/>
          <w:bCs/>
          <w:sz w:val="26"/>
          <w:szCs w:val="26"/>
        </w:rPr>
        <w:t>,</w:t>
      </w:r>
      <w:r>
        <w:rPr>
          <w:rFonts w:ascii="Times New Roman" w:hAnsi="Times New Roman" w:cs="Times New Roman"/>
          <w:sz w:val="26"/>
          <w:szCs w:val="26"/>
        </w:rPr>
        <w:t xml:space="preserve"> for a three-year period.</w:t>
      </w:r>
      <w:r w:rsidR="003E43D4">
        <w:rPr>
          <w:rFonts w:ascii="Times New Roman" w:hAnsi="Times New Roman" w:cs="Times New Roman"/>
          <w:sz w:val="26"/>
          <w:szCs w:val="26"/>
        </w:rPr>
        <w:t xml:space="preserve"> </w:t>
      </w:r>
      <w:r>
        <w:rPr>
          <w:rFonts w:ascii="Times New Roman" w:hAnsi="Times New Roman" w:cs="Times New Roman"/>
          <w:sz w:val="26"/>
          <w:szCs w:val="26"/>
        </w:rPr>
        <w:t>FERC-550 (OMB Control No. 1902-0089) is an existing Commission data collection, with no changes to the reporting requirements.</w:t>
      </w:r>
      <w:r w:rsidR="003D3B31">
        <w:rPr>
          <w:rFonts w:ascii="Times New Roman" w:hAnsi="Times New Roman" w:cs="Times New Roman"/>
          <w:sz w:val="26"/>
          <w:szCs w:val="26"/>
        </w:rPr>
        <w:t xml:space="preserve"> </w:t>
      </w:r>
    </w:p>
    <w:p w:rsidR="003B37BD" w:rsidP="003B37BD" w14:paraId="6E6E8FB6" w14:textId="77777777">
      <w:pPr>
        <w:spacing w:after="0" w:line="240" w:lineRule="auto"/>
        <w:rPr>
          <w:rFonts w:ascii="Times New Roman" w:hAnsi="Times New Roman" w:cs="Times New Roman"/>
          <w:sz w:val="26"/>
          <w:szCs w:val="26"/>
        </w:rPr>
      </w:pPr>
    </w:p>
    <w:p w:rsidR="003B37BD" w:rsidP="003B37BD" w14:paraId="228C211F" w14:textId="77777777">
      <w:pPr>
        <w:spacing w:after="0" w:line="240" w:lineRule="auto"/>
        <w:rPr>
          <w:rFonts w:ascii="Times New Roman" w:hAnsi="Times New Roman" w:cs="Times New Roman"/>
          <w:sz w:val="26"/>
          <w:szCs w:val="26"/>
        </w:rPr>
      </w:pPr>
    </w:p>
    <w:p w:rsidR="003B37BD" w:rsidP="003B37BD" w14:paraId="74DF5A3B"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3B37BD" w:rsidP="003B37BD" w14:paraId="37957D93" w14:textId="77777777">
      <w:pPr>
        <w:spacing w:after="0" w:line="240" w:lineRule="auto"/>
        <w:rPr>
          <w:rFonts w:ascii="Times New Roman" w:hAnsi="Times New Roman" w:cs="Times New Roman"/>
          <w:sz w:val="26"/>
          <w:szCs w:val="26"/>
        </w:rPr>
      </w:pPr>
    </w:p>
    <w:p w:rsidR="003B37BD" w:rsidP="003B37BD" w14:paraId="7CFF38D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Commission's regulatory jurisdiction</w:t>
      </w:r>
      <w:r>
        <w:rPr>
          <w:rStyle w:val="FootnoteReference"/>
          <w:rFonts w:ascii="Times New Roman" w:hAnsi="Times New Roman" w:cs="Times New Roman"/>
          <w:sz w:val="26"/>
          <w:szCs w:val="26"/>
        </w:rPr>
        <w:footnoteReference w:id="3"/>
      </w:r>
      <w:r>
        <w:rPr>
          <w:rFonts w:ascii="Times New Roman" w:hAnsi="Times New Roman" w:cs="Times New Roman"/>
          <w:sz w:val="26"/>
          <w:szCs w:val="26"/>
        </w:rPr>
        <w:t xml:space="preserve"> over oil pipelines includes:</w:t>
      </w:r>
    </w:p>
    <w:p w:rsidR="003B37BD" w:rsidP="003B37BD" w14:paraId="66351C3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regulation of rates and practices of oil pipeline companies engaged in interstate transportation; </w:t>
      </w:r>
    </w:p>
    <w:p w:rsidR="003B37BD" w:rsidP="003B37BD" w14:paraId="1E87A71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establishment of equal service conditions to provide shippers with equal access to pipeline transportation; and </w:t>
      </w:r>
    </w:p>
    <w:p w:rsidR="003B37BD" w:rsidP="003B37BD" w14:paraId="55212F8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establishment of reasonable rates for transporting petroleum and petroleum products by pipeline. </w:t>
      </w:r>
    </w:p>
    <w:p w:rsidR="003B37BD" w:rsidP="003B37BD" w14:paraId="49BD3334" w14:textId="77777777">
      <w:pPr>
        <w:spacing w:after="0" w:line="240" w:lineRule="auto"/>
        <w:rPr>
          <w:rFonts w:ascii="Times New Roman" w:hAnsi="Times New Roman" w:cs="Times New Roman"/>
          <w:sz w:val="26"/>
          <w:szCs w:val="26"/>
        </w:rPr>
      </w:pPr>
    </w:p>
    <w:p w:rsidR="003B37BD" w:rsidP="003B37BD" w14:paraId="7A623624" w14:textId="72FF35AA">
      <w:pPr>
        <w:spacing w:after="0" w:line="240" w:lineRule="auto"/>
        <w:rPr>
          <w:rFonts w:ascii="Times New Roman" w:hAnsi="Times New Roman" w:cs="Times New Roman"/>
          <w:sz w:val="26"/>
          <w:szCs w:val="26"/>
        </w:rPr>
      </w:pPr>
      <w:r>
        <w:rPr>
          <w:rFonts w:ascii="Times New Roman" w:hAnsi="Times New Roman" w:cs="Times New Roman"/>
          <w:sz w:val="26"/>
          <w:szCs w:val="26"/>
        </w:rPr>
        <w:t>The filing requirements for oil pipeline tariffs and rates</w:t>
      </w:r>
      <w:r>
        <w:rPr>
          <w:rFonts w:ascii="Times New Roman" w:hAnsi="Times New Roman" w:cs="Times New Roman"/>
          <w:sz w:val="26"/>
          <w:szCs w:val="26"/>
          <w:vertAlign w:val="superscript"/>
        </w:rPr>
        <w:footnoteReference w:id="4"/>
      </w:r>
      <w:r>
        <w:rPr>
          <w:rFonts w:ascii="Times New Roman" w:hAnsi="Times New Roman" w:cs="Times New Roman"/>
          <w:sz w:val="26"/>
          <w:szCs w:val="26"/>
        </w:rPr>
        <w:t xml:space="preserve"> under the FERC-550 data collection provide the Commission with the information it needs to analyze the rates, practices, and service conditions of oil pipelines.</w:t>
      </w:r>
      <w:r w:rsidR="003E43D4">
        <w:rPr>
          <w:rFonts w:ascii="Times New Roman" w:hAnsi="Times New Roman" w:cs="Times New Roman"/>
          <w:sz w:val="26"/>
          <w:szCs w:val="26"/>
        </w:rPr>
        <w:t xml:space="preserve"> </w:t>
      </w:r>
      <w:r>
        <w:rPr>
          <w:rFonts w:ascii="Times New Roman" w:hAnsi="Times New Roman" w:cs="Times New Roman"/>
          <w:sz w:val="26"/>
          <w:szCs w:val="26"/>
        </w:rPr>
        <w:t>As a result, the Commission can implement statutory directives for the federal regulation of these carriers.</w:t>
      </w:r>
      <w:r w:rsidR="003E43D4">
        <w:rPr>
          <w:rFonts w:ascii="Times New Roman" w:hAnsi="Times New Roman" w:cs="Times New Roman"/>
          <w:sz w:val="26"/>
          <w:szCs w:val="26"/>
        </w:rPr>
        <w:t xml:space="preserve"> </w:t>
      </w:r>
      <w:r>
        <w:rPr>
          <w:rFonts w:ascii="Times New Roman" w:hAnsi="Times New Roman" w:cs="Times New Roman"/>
          <w:sz w:val="26"/>
          <w:szCs w:val="26"/>
        </w:rPr>
        <w:t>Major statutory and rate-making milestones in the Commission’s regulation of oil pipelines rates (“</w:t>
      </w:r>
      <w:r>
        <w:rPr>
          <w:rFonts w:ascii="Times New Roman" w:hAnsi="Times New Roman" w:cs="Times New Roman"/>
          <w:i/>
          <w:sz w:val="26"/>
          <w:szCs w:val="26"/>
        </w:rPr>
        <w:t>Historical Background of Oil Pipeline Ratemaking</w:t>
      </w:r>
      <w:r>
        <w:rPr>
          <w:rFonts w:ascii="Times New Roman" w:hAnsi="Times New Roman" w:cs="Times New Roman"/>
          <w:sz w:val="26"/>
          <w:szCs w:val="26"/>
        </w:rPr>
        <w:t xml:space="preserve">”) are included in reginfo.gov and ROCIS under “Supplementary Documents” and posted at </w:t>
      </w:r>
      <w:hyperlink r:id="rId9" w:history="1">
        <w:r w:rsidR="000C3913">
          <w:rPr>
            <w:rStyle w:val="Hyperlink"/>
            <w:rFonts w:ascii="Times New Roman" w:hAnsi="Times New Roman" w:cs="Times New Roman"/>
            <w:sz w:val="26"/>
            <w:szCs w:val="26"/>
          </w:rPr>
          <w:t>https://www.ferc.gov/federal-statutes</w:t>
        </w:r>
      </w:hyperlink>
      <w:r w:rsidR="000C3913">
        <w:rPr>
          <w:rFonts w:ascii="Times New Roman" w:hAnsi="Times New Roman" w:cs="Times New Roman"/>
          <w:sz w:val="26"/>
          <w:szCs w:val="26"/>
        </w:rPr>
        <w:t>.</w:t>
      </w:r>
      <w:r w:rsidRPr="00F161AD" w:rsidR="000C3913">
        <w:rPr>
          <w:rFonts w:ascii="Times New Roman" w:hAnsi="Times New Roman" w:cs="Times New Roman"/>
          <w:sz w:val="26"/>
          <w:szCs w:val="26"/>
        </w:rPr>
        <w:t xml:space="preserve"> </w:t>
      </w:r>
    </w:p>
    <w:p w:rsidR="003B37BD" w:rsidP="003B37BD" w14:paraId="24C404A2" w14:textId="77777777">
      <w:pPr>
        <w:spacing w:after="0" w:line="240" w:lineRule="auto"/>
        <w:rPr>
          <w:rFonts w:ascii="Times New Roman" w:hAnsi="Times New Roman" w:cs="Times New Roman"/>
          <w:sz w:val="26"/>
          <w:szCs w:val="26"/>
        </w:rPr>
      </w:pPr>
    </w:p>
    <w:p w:rsidR="003B37BD" w:rsidRPr="003D3B31" w:rsidP="003B37BD" w14:paraId="05D59A50" w14:textId="3843E445">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w:t>
      </w:r>
      <w:r w:rsidR="003E43D4">
        <w:rPr>
          <w:rFonts w:ascii="Times New Roman" w:hAnsi="Times New Roman" w:cs="Times New Roman"/>
          <w:b/>
          <w:sz w:val="26"/>
          <w:szCs w:val="26"/>
        </w:rPr>
        <w:t xml:space="preserve"> </w:t>
      </w:r>
      <w:r>
        <w:rPr>
          <w:rFonts w:ascii="Times New Roman" w:hAnsi="Times New Roman" w:cs="Times New Roman"/>
          <w:b/>
          <w:sz w:val="26"/>
          <w:szCs w:val="26"/>
        </w:rPr>
        <w:t>INFORMATION</w:t>
      </w:r>
      <w:r w:rsidR="003E43D4">
        <w:rPr>
          <w:rFonts w:ascii="Times New Roman" w:hAnsi="Times New Roman" w:cs="Times New Roman"/>
          <w:b/>
          <w:sz w:val="26"/>
          <w:szCs w:val="26"/>
        </w:rPr>
        <w:t xml:space="preserve"> </w:t>
      </w:r>
    </w:p>
    <w:p w:rsidR="00330454" w:rsidP="003B37BD" w14:paraId="72913372" w14:textId="77777777">
      <w:pPr>
        <w:spacing w:after="0" w:line="240" w:lineRule="auto"/>
        <w:rPr>
          <w:rFonts w:ascii="Times New Roman" w:hAnsi="Times New Roman" w:cs="Times New Roman"/>
          <w:sz w:val="26"/>
          <w:szCs w:val="26"/>
        </w:rPr>
      </w:pPr>
    </w:p>
    <w:p w:rsidR="003D3B31" w:rsidP="003B37BD" w14:paraId="2BDAC46F" w14:textId="4C5E09F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uses information provided through the FERC-550 collection to analyze proposed </w:t>
      </w:r>
      <w:r w:rsidR="003A7291">
        <w:rPr>
          <w:rFonts w:ascii="Times New Roman" w:hAnsi="Times New Roman" w:cs="Times New Roman"/>
          <w:sz w:val="26"/>
          <w:szCs w:val="26"/>
        </w:rPr>
        <w:t>changes to:</w:t>
      </w:r>
      <w:r w:rsidR="003E43D4">
        <w:rPr>
          <w:rFonts w:ascii="Times New Roman" w:hAnsi="Times New Roman" w:cs="Times New Roman"/>
          <w:sz w:val="26"/>
          <w:szCs w:val="26"/>
        </w:rPr>
        <w:t xml:space="preserve"> </w:t>
      </w:r>
      <w:r>
        <w:rPr>
          <w:rFonts w:ascii="Times New Roman" w:hAnsi="Times New Roman" w:cs="Times New Roman"/>
          <w:sz w:val="26"/>
          <w:szCs w:val="26"/>
        </w:rPr>
        <w:t>tariffs,</w:t>
      </w:r>
      <w:r w:rsidR="00D01566">
        <w:rPr>
          <w:rFonts w:ascii="Times New Roman" w:hAnsi="Times New Roman" w:cs="Times New Roman"/>
          <w:sz w:val="26"/>
          <w:szCs w:val="26"/>
        </w:rPr>
        <w:t xml:space="preserve"> </w:t>
      </w:r>
      <w:r>
        <w:rPr>
          <w:rFonts w:ascii="Times New Roman" w:hAnsi="Times New Roman" w:cs="Times New Roman"/>
          <w:sz w:val="26"/>
          <w:szCs w:val="26"/>
        </w:rPr>
        <w:t>rates,</w:t>
      </w:r>
      <w:r w:rsidR="00D01566">
        <w:rPr>
          <w:rFonts w:ascii="Times New Roman" w:hAnsi="Times New Roman" w:cs="Times New Roman"/>
          <w:sz w:val="26"/>
          <w:szCs w:val="26"/>
        </w:rPr>
        <w:t xml:space="preserve"> </w:t>
      </w:r>
      <w:r>
        <w:rPr>
          <w:rFonts w:ascii="Times New Roman" w:hAnsi="Times New Roman" w:cs="Times New Roman"/>
          <w:sz w:val="26"/>
          <w:szCs w:val="26"/>
        </w:rPr>
        <w:t>fares,</w:t>
      </w:r>
      <w:r w:rsidR="00D01566">
        <w:rPr>
          <w:rFonts w:ascii="Times New Roman" w:hAnsi="Times New Roman" w:cs="Times New Roman"/>
          <w:sz w:val="26"/>
          <w:szCs w:val="26"/>
        </w:rPr>
        <w:t xml:space="preserve"> </w:t>
      </w:r>
      <w:r>
        <w:rPr>
          <w:rFonts w:ascii="Times New Roman" w:hAnsi="Times New Roman" w:cs="Times New Roman"/>
          <w:sz w:val="26"/>
          <w:szCs w:val="26"/>
        </w:rPr>
        <w:t xml:space="preserve">and charges of oil pipelines and other carriers in connection with the transportation of crude oil and petroleum products. </w:t>
      </w:r>
    </w:p>
    <w:p w:rsidR="00330454" w:rsidP="003D3B31" w14:paraId="2B252DF9" w14:textId="77777777">
      <w:pPr>
        <w:spacing w:after="0" w:line="240" w:lineRule="auto"/>
        <w:ind w:firstLine="360"/>
        <w:rPr>
          <w:rFonts w:ascii="Times New Roman" w:hAnsi="Times New Roman" w:cs="Times New Roman"/>
          <w:sz w:val="26"/>
          <w:szCs w:val="26"/>
        </w:rPr>
      </w:pPr>
    </w:p>
    <w:p w:rsidR="003B37BD" w:rsidP="0080218C" w14:paraId="6E8D998B" w14:textId="6B379421">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uses this information to determine whether the proposed tariffs and rates are just and reasonable.</w:t>
      </w:r>
      <w:r w:rsidR="003E43D4">
        <w:rPr>
          <w:rFonts w:ascii="Times New Roman" w:hAnsi="Times New Roman" w:cs="Times New Roman"/>
          <w:sz w:val="26"/>
          <w:szCs w:val="26"/>
        </w:rPr>
        <w:t xml:space="preserve"> </w:t>
      </w:r>
      <w:r>
        <w:rPr>
          <w:rFonts w:ascii="Times New Roman" w:hAnsi="Times New Roman" w:cs="Times New Roman"/>
          <w:sz w:val="26"/>
          <w:szCs w:val="26"/>
        </w:rPr>
        <w:t>If the FERC-550 information were not collected, the Commission could not determine whether the proposed rates of oil pipelines are just and reasonable.</w:t>
      </w:r>
    </w:p>
    <w:p w:rsidR="003B37BD" w:rsidP="003B37BD" w14:paraId="49486953" w14:textId="77777777">
      <w:pPr>
        <w:spacing w:after="0" w:line="240" w:lineRule="auto"/>
        <w:rPr>
          <w:rFonts w:ascii="Times New Roman" w:hAnsi="Times New Roman" w:cs="Times New Roman"/>
          <w:sz w:val="26"/>
          <w:szCs w:val="26"/>
        </w:rPr>
      </w:pPr>
    </w:p>
    <w:p w:rsidR="003B37BD" w:rsidP="003B37BD" w14:paraId="79FD6A7E"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CONSIDERATION OF THE USE OF IMPROVED INFORMATION TECHNOLOGY TO REDUCE THE BURDEN AND TECHNICAL OR LEGAL OBSTACLES TO REDUCING BURDEN</w:t>
      </w:r>
    </w:p>
    <w:p w:rsidR="003B37BD" w:rsidP="003B37BD" w14:paraId="09EB5FB5" w14:textId="77777777">
      <w:pPr>
        <w:spacing w:after="0" w:line="240" w:lineRule="auto"/>
        <w:rPr>
          <w:rFonts w:ascii="Times New Roman" w:hAnsi="Times New Roman" w:cs="Times New Roman"/>
          <w:sz w:val="26"/>
          <w:szCs w:val="26"/>
        </w:rPr>
      </w:pPr>
    </w:p>
    <w:p w:rsidR="003B37BD" w:rsidP="003B37BD" w14:paraId="25C36704" w14:textId="42642754">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FERC-550 applicants use the </w:t>
      </w:r>
      <w:r>
        <w:rPr>
          <w:rFonts w:ascii="Times New Roman" w:eastAsia="Times New Roman" w:hAnsi="Times New Roman" w:cs="Times New Roman"/>
          <w:sz w:val="26"/>
          <w:szCs w:val="26"/>
        </w:rPr>
        <w:t>eFiling</w:t>
      </w:r>
      <w:r>
        <w:rPr>
          <w:rFonts w:ascii="Times New Roman" w:eastAsia="Times New Roman" w:hAnsi="Times New Roman" w:cs="Times New Roman"/>
          <w:sz w:val="26"/>
          <w:szCs w:val="26"/>
        </w:rPr>
        <w:t xml:space="preserve"> system to </w:t>
      </w:r>
      <w:r w:rsidR="00E52E1C">
        <w:rPr>
          <w:rFonts w:ascii="Times New Roman" w:eastAsia="Times New Roman" w:hAnsi="Times New Roman" w:cs="Times New Roman"/>
          <w:sz w:val="26"/>
          <w:szCs w:val="26"/>
        </w:rPr>
        <w:t xml:space="preserve">submit </w:t>
      </w:r>
      <w:r>
        <w:rPr>
          <w:rFonts w:ascii="Times New Roman" w:eastAsia="Times New Roman" w:hAnsi="Times New Roman" w:cs="Times New Roman"/>
          <w:sz w:val="26"/>
          <w:szCs w:val="26"/>
        </w:rPr>
        <w:t>the required information to the Commission.</w:t>
      </w:r>
      <w:r w:rsidR="003E43D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Applicants should visit the </w:t>
      </w:r>
      <w:r>
        <w:rPr>
          <w:rFonts w:ascii="Times New Roman" w:eastAsia="Times New Roman" w:hAnsi="Times New Roman" w:cs="Times New Roman"/>
          <w:sz w:val="26"/>
          <w:szCs w:val="26"/>
        </w:rPr>
        <w:t>eFiling</w:t>
      </w:r>
      <w:r>
        <w:rPr>
          <w:rFonts w:ascii="Times New Roman" w:eastAsia="Times New Roman" w:hAnsi="Times New Roman" w:cs="Times New Roman"/>
          <w:sz w:val="26"/>
          <w:szCs w:val="26"/>
        </w:rPr>
        <w:t xml:space="preserve"> website </w:t>
      </w:r>
      <w:hyperlink r:id="rId10" w:history="1">
        <w:r>
          <w:rPr>
            <w:rStyle w:val="Hyperlink"/>
            <w:rFonts w:ascii="Times New Roman" w:eastAsia="Times New Roman" w:hAnsi="Times New Roman" w:cs="Times New Roman"/>
            <w:sz w:val="26"/>
            <w:szCs w:val="26"/>
          </w:rPr>
          <w:t>(http://www.ferc.gov/docs-filing/efiling.asp</w:t>
        </w:r>
      </w:hyperlink>
      <w:r>
        <w:rPr>
          <w:rFonts w:ascii="Times New Roman" w:eastAsia="Times New Roman" w:hAnsi="Times New Roman" w:cs="Times New Roman"/>
          <w:sz w:val="26"/>
          <w:szCs w:val="26"/>
        </w:rPr>
        <w:t>) to find information on what file formats are acceptable.</w:t>
      </w:r>
    </w:p>
    <w:p w:rsidR="003B37BD" w:rsidP="003B37BD" w14:paraId="5453CA23" w14:textId="77777777">
      <w:pPr>
        <w:spacing w:after="0" w:line="240" w:lineRule="auto"/>
        <w:rPr>
          <w:rFonts w:ascii="Times New Roman" w:hAnsi="Times New Roman" w:cs="Times New Roman"/>
          <w:sz w:val="26"/>
          <w:szCs w:val="26"/>
        </w:rPr>
      </w:pPr>
    </w:p>
    <w:p w:rsidR="003B37BD" w:rsidP="003B37BD" w14:paraId="2D7E77B5"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3B37BD" w:rsidP="003B37BD" w14:paraId="67C3302C" w14:textId="77777777">
      <w:pPr>
        <w:spacing w:after="0" w:line="240" w:lineRule="auto"/>
        <w:rPr>
          <w:rFonts w:ascii="Times New Roman" w:hAnsi="Times New Roman" w:cs="Times New Roman"/>
          <w:sz w:val="26"/>
          <w:szCs w:val="26"/>
        </w:rPr>
      </w:pPr>
    </w:p>
    <w:p w:rsidR="003B37BD" w:rsidP="003B37BD" w14:paraId="461BE485" w14:textId="4F0D0D1E">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Filing requirements are periodically reviewed as OMB review dates arise or as the Commission deem</w:t>
      </w:r>
      <w:r w:rsidR="003D3B31">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necessary in carrying out its regulatory responsibilities under the Act to alleviate duplication.</w:t>
      </w:r>
      <w:r w:rsidR="003E43D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All Commission information collections are subject to analysis by Commission staff and are examined for redundancy.</w:t>
      </w:r>
      <w:r w:rsidR="003E43D4">
        <w:rPr>
          <w:rFonts w:ascii="Times New Roman" w:eastAsia="Times New Roman" w:hAnsi="Times New Roman" w:cs="Times New Roman"/>
          <w:sz w:val="26"/>
          <w:szCs w:val="26"/>
        </w:rPr>
        <w:t xml:space="preserve"> </w:t>
      </w:r>
    </w:p>
    <w:p w:rsidR="003B37BD" w:rsidP="003B37BD" w14:paraId="371AA8AB" w14:textId="77777777">
      <w:pPr>
        <w:spacing w:after="0" w:line="240" w:lineRule="auto"/>
        <w:rPr>
          <w:rFonts w:ascii="Times New Roman" w:hAnsi="Times New Roman" w:cs="Times New Roman"/>
          <w:sz w:val="26"/>
          <w:szCs w:val="26"/>
        </w:rPr>
      </w:pPr>
    </w:p>
    <w:p w:rsidR="003B37BD" w:rsidP="003B37BD" w14:paraId="14C5869C"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3B37BD" w:rsidP="003B37BD" w14:paraId="78C9C405" w14:textId="77777777">
      <w:pPr>
        <w:pStyle w:val="FERCparanumber"/>
        <w:numPr>
          <w:ilvl w:val="0"/>
          <w:numId w:val="0"/>
        </w:numPr>
        <w:tabs>
          <w:tab w:val="left" w:pos="720"/>
        </w:tabs>
        <w:rPr>
          <w:rFonts w:eastAsiaTheme="minorHAnsi"/>
          <w:szCs w:val="26"/>
        </w:rPr>
      </w:pPr>
    </w:p>
    <w:p w:rsidR="003B37BD" w:rsidP="003B37BD" w14:paraId="6F71DA3E" w14:textId="54A66561">
      <w:pPr>
        <w:pStyle w:val="FERCparanumber"/>
        <w:numPr>
          <w:ilvl w:val="0"/>
          <w:numId w:val="0"/>
        </w:numPr>
        <w:tabs>
          <w:tab w:val="left" w:pos="720"/>
        </w:tabs>
        <w:rPr>
          <w:color w:val="000000" w:themeColor="text1"/>
          <w:szCs w:val="26"/>
        </w:rPr>
      </w:pPr>
      <w:r>
        <w:rPr>
          <w:szCs w:val="26"/>
        </w:rPr>
        <w:t>None of the oil pipeline companies required to file the FERC-550 qualify for the Small Business Administration definition of “small entity.”</w:t>
      </w:r>
      <w:r w:rsidR="003E43D4">
        <w:rPr>
          <w:szCs w:val="26"/>
        </w:rPr>
        <w:t xml:space="preserve"> </w:t>
      </w:r>
    </w:p>
    <w:p w:rsidR="003B37BD" w:rsidP="003B37BD" w14:paraId="7DCE620C" w14:textId="77777777">
      <w:pPr>
        <w:spacing w:after="0" w:line="240" w:lineRule="auto"/>
        <w:rPr>
          <w:rFonts w:ascii="Times New Roman" w:hAnsi="Times New Roman" w:cs="Times New Roman"/>
          <w:sz w:val="26"/>
          <w:szCs w:val="26"/>
        </w:rPr>
      </w:pPr>
    </w:p>
    <w:p w:rsidR="003B37BD" w:rsidP="003B37BD" w14:paraId="71946B5B"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3B37BD" w:rsidP="003B37BD" w14:paraId="65E76BC8" w14:textId="77777777">
      <w:pPr>
        <w:spacing w:after="0" w:line="240" w:lineRule="auto"/>
        <w:rPr>
          <w:rFonts w:ascii="Times New Roman" w:hAnsi="Times New Roman" w:cs="Times New Roman"/>
          <w:sz w:val="26"/>
          <w:szCs w:val="26"/>
        </w:rPr>
      </w:pPr>
    </w:p>
    <w:p w:rsidR="003B37BD" w:rsidP="003B37BD" w14:paraId="7A1EBCE2" w14:textId="3C9FBE85">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collects the FERC-550 information when oil pipelines propose to change or establish tariffs and rates.</w:t>
      </w:r>
      <w:r w:rsidR="003E43D4">
        <w:rPr>
          <w:rFonts w:ascii="Times New Roman" w:hAnsi="Times New Roman" w:cs="Times New Roman"/>
          <w:sz w:val="26"/>
          <w:szCs w:val="26"/>
        </w:rPr>
        <w:t xml:space="preserve"> </w:t>
      </w:r>
      <w:r>
        <w:rPr>
          <w:rFonts w:ascii="Times New Roman" w:hAnsi="Times New Roman" w:cs="Times New Roman"/>
          <w:sz w:val="26"/>
          <w:szCs w:val="26"/>
        </w:rPr>
        <w:t>There is no set timeframe or filing cycle for submittal of the FERC-550.</w:t>
      </w:r>
      <w:r w:rsidR="003E43D4">
        <w:rPr>
          <w:rFonts w:ascii="Times New Roman" w:hAnsi="Times New Roman" w:cs="Times New Roman"/>
          <w:sz w:val="26"/>
          <w:szCs w:val="26"/>
        </w:rPr>
        <w:t xml:space="preserve"> </w:t>
      </w:r>
      <w:r>
        <w:rPr>
          <w:rFonts w:ascii="Times New Roman" w:hAnsi="Times New Roman" w:cs="Times New Roman"/>
          <w:sz w:val="26"/>
          <w:szCs w:val="26"/>
        </w:rPr>
        <w:t>The information arrives when a pipeline seeks Commission review of proposed tariffs and rates.</w:t>
      </w:r>
      <w:r w:rsidR="003E43D4">
        <w:rPr>
          <w:rFonts w:ascii="Times New Roman" w:hAnsi="Times New Roman" w:cs="Times New Roman"/>
          <w:sz w:val="26"/>
          <w:szCs w:val="26"/>
        </w:rPr>
        <w:t xml:space="preserve"> </w:t>
      </w:r>
      <w:r>
        <w:rPr>
          <w:rFonts w:ascii="Times New Roman" w:hAnsi="Times New Roman" w:cs="Times New Roman"/>
          <w:sz w:val="26"/>
          <w:szCs w:val="26"/>
        </w:rPr>
        <w:t>As described previously, the Commission needs the FERC-550 data for its oil ratemaking work.</w:t>
      </w:r>
      <w:r w:rsidR="003E43D4">
        <w:rPr>
          <w:rFonts w:ascii="Times New Roman" w:hAnsi="Times New Roman" w:cs="Times New Roman"/>
          <w:sz w:val="26"/>
          <w:szCs w:val="26"/>
        </w:rPr>
        <w:t xml:space="preserve"> </w:t>
      </w:r>
      <w:r>
        <w:rPr>
          <w:rFonts w:ascii="Times New Roman" w:hAnsi="Times New Roman" w:cs="Times New Roman"/>
          <w:sz w:val="26"/>
          <w:szCs w:val="26"/>
        </w:rPr>
        <w:t xml:space="preserve">If the FERC-550 data were not collected as part of a rate change filing, the Commission would be unable </w:t>
      </w:r>
      <w:r w:rsidR="000E1400">
        <w:rPr>
          <w:rFonts w:ascii="Times New Roman" w:hAnsi="Times New Roman" w:cs="Times New Roman"/>
          <w:sz w:val="26"/>
          <w:szCs w:val="26"/>
        </w:rPr>
        <w:t xml:space="preserve">review oil rates and tariffs, which is part of the Commissions statutory mandate. </w:t>
      </w:r>
    </w:p>
    <w:p w:rsidR="003B37BD" w:rsidP="003B37BD" w14:paraId="08411328" w14:textId="77777777">
      <w:pPr>
        <w:spacing w:after="0" w:line="240" w:lineRule="auto"/>
        <w:rPr>
          <w:rFonts w:ascii="Times New Roman" w:hAnsi="Times New Roman" w:cs="Times New Roman"/>
          <w:sz w:val="26"/>
          <w:szCs w:val="26"/>
        </w:rPr>
      </w:pPr>
    </w:p>
    <w:p w:rsidR="003B37BD" w:rsidP="003B37BD" w14:paraId="43888C1F"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3B37BD" w:rsidP="003B37BD" w14:paraId="687449A4" w14:textId="77777777">
      <w:pPr>
        <w:spacing w:after="0" w:line="240" w:lineRule="auto"/>
        <w:rPr>
          <w:rFonts w:ascii="Times New Roman" w:hAnsi="Times New Roman" w:cs="Times New Roman"/>
          <w:sz w:val="26"/>
          <w:szCs w:val="26"/>
        </w:rPr>
      </w:pPr>
    </w:p>
    <w:p w:rsidR="003B37BD" w:rsidP="003B37BD" w14:paraId="503A0440" w14:textId="7AE7C31B">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w:t>
      </w:r>
    </w:p>
    <w:p w:rsidR="003B37BD" w:rsidP="003B37BD" w14:paraId="5CC1E5C3" w14:textId="77777777">
      <w:pPr>
        <w:spacing w:after="0" w:line="240" w:lineRule="auto"/>
        <w:rPr>
          <w:rFonts w:ascii="Times New Roman" w:hAnsi="Times New Roman" w:cs="Times New Roman"/>
          <w:sz w:val="26"/>
          <w:szCs w:val="26"/>
        </w:rPr>
      </w:pPr>
    </w:p>
    <w:p w:rsidR="003B37BD" w:rsidP="003B37BD" w14:paraId="159853DE"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w:t>
      </w:r>
    </w:p>
    <w:p w:rsidR="003B37BD" w:rsidP="003B37BD" w14:paraId="0FD61FF4" w14:textId="77777777">
      <w:pPr>
        <w:pStyle w:val="ListParagraph"/>
        <w:spacing w:after="0" w:line="240" w:lineRule="auto"/>
        <w:ind w:left="360"/>
        <w:rPr>
          <w:rFonts w:ascii="Times New Roman" w:hAnsi="Times New Roman" w:cs="Times New Roman"/>
          <w:b/>
          <w:sz w:val="26"/>
          <w:szCs w:val="26"/>
        </w:rPr>
      </w:pPr>
    </w:p>
    <w:p w:rsidR="00267B1A" w:rsidRPr="00267B1A" w:rsidP="7985BEEC" w14:paraId="4EA5F2E2" w14:textId="0F185A01">
      <w:pPr>
        <w:spacing w:after="0" w:line="240" w:lineRule="auto"/>
        <w:rPr>
          <w:rFonts w:ascii="Times New Roman" w:eastAsia="Times New Roman" w:hAnsi="Times New Roman" w:cs="Times New Roman"/>
          <w:sz w:val="26"/>
          <w:szCs w:val="26"/>
        </w:rPr>
      </w:pPr>
      <w:r w:rsidRPr="7985BEEC">
        <w:rPr>
          <w:rFonts w:ascii="Times New Roman" w:eastAsia="Times New Roman" w:hAnsi="Times New Roman" w:cs="Times New Roman"/>
          <w:sz w:val="26"/>
          <w:szCs w:val="26"/>
        </w:rPr>
        <w:t>In accordance with OMB requirements,</w:t>
      </w:r>
      <w:r>
        <w:rPr>
          <w:rFonts w:ascii="Times New Roman" w:eastAsia="Times New Roman" w:hAnsi="Times New Roman" w:cs="Times New Roman"/>
          <w:b/>
          <w:bCs/>
          <w:sz w:val="26"/>
          <w:szCs w:val="26"/>
          <w:vertAlign w:val="superscript"/>
        </w:rPr>
        <w:footnoteReference w:id="5"/>
      </w:r>
      <w:r w:rsidRPr="7985BEEC">
        <w:rPr>
          <w:rFonts w:ascii="Times New Roman" w:eastAsia="Times New Roman" w:hAnsi="Times New Roman" w:cs="Times New Roman"/>
          <w:sz w:val="26"/>
          <w:szCs w:val="26"/>
        </w:rPr>
        <w:t xml:space="preserve"> the Commission published a 60-day notice (91 FR 3168, January 26, 2026) and a 30-day notice (91 FR 1</w:t>
      </w:r>
      <w:r w:rsidRPr="7985BEEC" w:rsidR="76AC063E">
        <w:rPr>
          <w:rFonts w:ascii="Times New Roman" w:eastAsia="Times New Roman" w:hAnsi="Times New Roman" w:cs="Times New Roman"/>
          <w:sz w:val="26"/>
          <w:szCs w:val="26"/>
        </w:rPr>
        <w:t>9125</w:t>
      </w:r>
      <w:r w:rsidRPr="7985BEEC">
        <w:rPr>
          <w:rFonts w:ascii="Times New Roman" w:eastAsia="Times New Roman" w:hAnsi="Times New Roman" w:cs="Times New Roman"/>
          <w:sz w:val="26"/>
          <w:szCs w:val="26"/>
        </w:rPr>
        <w:t xml:space="preserve">, April </w:t>
      </w:r>
      <w:r w:rsidRPr="7985BEEC" w:rsidR="01D33EEF">
        <w:rPr>
          <w:rFonts w:ascii="Times New Roman" w:eastAsia="Times New Roman" w:hAnsi="Times New Roman" w:cs="Times New Roman"/>
          <w:sz w:val="26"/>
          <w:szCs w:val="26"/>
        </w:rPr>
        <w:t>4</w:t>
      </w:r>
      <w:r w:rsidRPr="7985BEEC">
        <w:rPr>
          <w:rFonts w:ascii="Times New Roman" w:eastAsia="Times New Roman" w:hAnsi="Times New Roman" w:cs="Times New Roman"/>
          <w:sz w:val="26"/>
          <w:szCs w:val="26"/>
        </w:rPr>
        <w:t>, 2026) to the public regarding this information collection.</w:t>
      </w:r>
      <w:r w:rsidRPr="7985BEEC" w:rsidR="649455D8">
        <w:rPr>
          <w:rFonts w:ascii="Times New Roman" w:eastAsia="Times New Roman" w:hAnsi="Times New Roman" w:cs="Times New Roman"/>
          <w:sz w:val="26"/>
          <w:szCs w:val="26"/>
        </w:rPr>
        <w:t xml:space="preserve"> FERC also published a correction to the 30-day notice in the Federal Register</w:t>
      </w:r>
      <w:r w:rsidRPr="7985BEEC">
        <w:rPr>
          <w:rFonts w:ascii="Times New Roman" w:eastAsia="Times New Roman" w:hAnsi="Times New Roman" w:cs="Times New Roman"/>
          <w:sz w:val="26"/>
          <w:szCs w:val="26"/>
        </w:rPr>
        <w:t xml:space="preserve"> </w:t>
      </w:r>
      <w:r w:rsidRPr="05DE83EE" w:rsidR="649455D8">
        <w:rPr>
          <w:rFonts w:ascii="Times New Roman" w:eastAsia="Times New Roman" w:hAnsi="Times New Roman" w:cs="Times New Roman"/>
          <w:sz w:val="26"/>
          <w:szCs w:val="26"/>
        </w:rPr>
        <w:t>(</w:t>
      </w:r>
      <w:r w:rsidRPr="0FB0D22B" w:rsidR="2EA3458A">
        <w:rPr>
          <w:rFonts w:ascii="Times New Roman" w:eastAsia="Times New Roman" w:hAnsi="Times New Roman" w:cs="Times New Roman"/>
          <w:sz w:val="26"/>
          <w:szCs w:val="26"/>
        </w:rPr>
        <w:t>91 FR 20995</w:t>
      </w:r>
      <w:r w:rsidRPr="0FB0D22B" w:rsidR="649455D8">
        <w:rPr>
          <w:rFonts w:ascii="Times New Roman" w:eastAsia="Times New Roman" w:hAnsi="Times New Roman" w:cs="Times New Roman"/>
          <w:sz w:val="26"/>
          <w:szCs w:val="26"/>
        </w:rPr>
        <w:t xml:space="preserve">, </w:t>
      </w:r>
      <w:r w:rsidRPr="0FB0D22B" w:rsidR="5DA5980A">
        <w:rPr>
          <w:rFonts w:ascii="Times New Roman" w:eastAsia="Times New Roman" w:hAnsi="Times New Roman" w:cs="Times New Roman"/>
          <w:sz w:val="26"/>
          <w:szCs w:val="26"/>
        </w:rPr>
        <w:t>April 20</w:t>
      </w:r>
      <w:r w:rsidRPr="0FB0D22B" w:rsidR="649455D8">
        <w:rPr>
          <w:rFonts w:ascii="Times New Roman" w:eastAsia="Times New Roman" w:hAnsi="Times New Roman" w:cs="Times New Roman"/>
          <w:sz w:val="26"/>
          <w:szCs w:val="26"/>
        </w:rPr>
        <w:t>, 2026</w:t>
      </w:r>
      <w:r w:rsidRPr="05DE83EE" w:rsidR="649455D8">
        <w:rPr>
          <w:rFonts w:ascii="Times New Roman" w:eastAsia="Times New Roman" w:hAnsi="Times New Roman" w:cs="Times New Roman"/>
          <w:sz w:val="26"/>
          <w:szCs w:val="26"/>
        </w:rPr>
        <w:t>).</w:t>
      </w:r>
      <w:r w:rsidRPr="7985BEEC">
        <w:rPr>
          <w:rFonts w:ascii="Times New Roman" w:eastAsia="Times New Roman" w:hAnsi="Times New Roman" w:cs="Times New Roman"/>
          <w:sz w:val="26"/>
          <w:szCs w:val="26"/>
        </w:rPr>
        <w:t xml:space="preserve"> Within the public notices, the Commission noted that it would be requesting a three-year extension of the public reporting burden with no change to the existing requirements concerning the collection of data. No comments were received.</w:t>
      </w:r>
    </w:p>
    <w:p w:rsidR="003B37BD" w:rsidP="003B37BD" w14:paraId="7192D8F4" w14:textId="750A0483">
      <w:pPr>
        <w:spacing w:after="0" w:line="240" w:lineRule="auto"/>
        <w:rPr>
          <w:rFonts w:ascii="Times New Roman" w:hAnsi="Times New Roman" w:cs="Times New Roman"/>
          <w:sz w:val="26"/>
          <w:szCs w:val="26"/>
        </w:rPr>
      </w:pPr>
    </w:p>
    <w:p w:rsidR="003B37BD" w:rsidP="003B37BD" w14:paraId="299A0579"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3B37BD" w:rsidP="003B37BD" w14:paraId="14D0BE1D" w14:textId="77777777">
      <w:pPr>
        <w:spacing w:after="0" w:line="240" w:lineRule="auto"/>
        <w:rPr>
          <w:rFonts w:ascii="Times New Roman" w:hAnsi="Times New Roman" w:cs="Times New Roman"/>
          <w:sz w:val="26"/>
          <w:szCs w:val="26"/>
        </w:rPr>
      </w:pPr>
    </w:p>
    <w:p w:rsidR="003B37BD" w:rsidP="003B37BD" w14:paraId="271A192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makes no payments or gifts to respondents as part of this collection.</w:t>
      </w:r>
    </w:p>
    <w:p w:rsidR="003B37BD" w:rsidP="003B37BD" w14:paraId="2F42E27A" w14:textId="77777777">
      <w:pPr>
        <w:spacing w:after="0" w:line="240" w:lineRule="auto"/>
        <w:rPr>
          <w:rFonts w:ascii="Times New Roman" w:hAnsi="Times New Roman" w:cs="Times New Roman"/>
          <w:sz w:val="26"/>
          <w:szCs w:val="26"/>
        </w:rPr>
      </w:pPr>
    </w:p>
    <w:p w:rsidR="003B37BD" w:rsidP="003B37BD" w14:paraId="33F733D8"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3B37BD" w:rsidP="003B37BD" w14:paraId="2D8CB0EC" w14:textId="77777777">
      <w:pPr>
        <w:pStyle w:val="ListParagraph"/>
        <w:spacing w:after="0" w:line="240" w:lineRule="auto"/>
        <w:ind w:left="360"/>
        <w:rPr>
          <w:rFonts w:ascii="Times New Roman" w:hAnsi="Times New Roman" w:cs="Times New Roman"/>
          <w:b/>
          <w:sz w:val="26"/>
          <w:szCs w:val="26"/>
        </w:rPr>
      </w:pPr>
    </w:p>
    <w:p w:rsidR="003B37BD" w:rsidP="006344C0" w14:paraId="096C2435" w14:textId="43D44CFC">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The Commission does not consider the information collected in FERC-550 filings to be confidential</w:t>
      </w:r>
      <w:r w:rsidRPr="006344C0">
        <w:rPr>
          <w:rFonts w:ascii="Times New Roman" w:hAnsi="Times New Roman" w:cs="Times New Roman"/>
          <w:sz w:val="26"/>
          <w:szCs w:val="26"/>
        </w:rPr>
        <w:t>.</w:t>
      </w:r>
      <w:r w:rsidR="003E43D4">
        <w:rPr>
          <w:rFonts w:ascii="Times New Roman" w:hAnsi="Times New Roman" w:cs="Times New Roman"/>
          <w:sz w:val="26"/>
          <w:szCs w:val="26"/>
        </w:rPr>
        <w:t xml:space="preserve"> </w:t>
      </w:r>
      <w:r w:rsidRPr="00143F84">
        <w:rPr>
          <w:rFonts w:ascii="Times New Roman" w:eastAsia="Times New Roman" w:hAnsi="Times New Roman" w:cs="Times New Roman"/>
          <w:sz w:val="26"/>
          <w:szCs w:val="26"/>
        </w:rPr>
        <w:t>However, an applicant may request non-public treatment of privileged information or Critical Energy</w:t>
      </w:r>
      <w:r w:rsidR="001D432D">
        <w:rPr>
          <w:rFonts w:ascii="Times New Roman" w:eastAsia="Times New Roman" w:hAnsi="Times New Roman" w:cs="Times New Roman"/>
          <w:sz w:val="26"/>
          <w:szCs w:val="26"/>
        </w:rPr>
        <w:t>/Electric</w:t>
      </w:r>
      <w:r w:rsidRPr="00143F84">
        <w:rPr>
          <w:rFonts w:ascii="Times New Roman" w:eastAsia="Times New Roman" w:hAnsi="Times New Roman" w:cs="Times New Roman"/>
          <w:sz w:val="26"/>
          <w:szCs w:val="26"/>
        </w:rPr>
        <w:t xml:space="preserve"> Infrastructure Information (CEII) </w:t>
      </w:r>
      <w:r w:rsidR="009766D0">
        <w:rPr>
          <w:rFonts w:ascii="Times New Roman" w:eastAsia="Times New Roman" w:hAnsi="Times New Roman" w:cs="Times New Roman"/>
          <w:sz w:val="26"/>
          <w:szCs w:val="26"/>
        </w:rPr>
        <w:t>that meets the specified criteria at</w:t>
      </w:r>
      <w:r w:rsidRPr="00143F84">
        <w:rPr>
          <w:rFonts w:ascii="Times New Roman" w:eastAsia="Times New Roman" w:hAnsi="Times New Roman" w:cs="Times New Roman"/>
          <w:sz w:val="26"/>
          <w:szCs w:val="26"/>
        </w:rPr>
        <w:t xml:space="preserve"> 18 CFR 388.112</w:t>
      </w:r>
      <w:r w:rsidR="001D432D">
        <w:rPr>
          <w:rFonts w:ascii="Times New Roman" w:eastAsia="Times New Roman" w:hAnsi="Times New Roman" w:cs="Times New Roman"/>
          <w:sz w:val="26"/>
          <w:szCs w:val="26"/>
        </w:rPr>
        <w:t xml:space="preserve"> and 388.113</w:t>
      </w:r>
      <w:r w:rsidRPr="00143F84">
        <w:rPr>
          <w:rFonts w:ascii="Times New Roman" w:eastAsia="Times New Roman" w:hAnsi="Times New Roman" w:cs="Times New Roman"/>
          <w:sz w:val="26"/>
          <w:szCs w:val="26"/>
        </w:rPr>
        <w:t>.</w:t>
      </w:r>
    </w:p>
    <w:p w:rsidR="006344C0" w:rsidP="00143F84" w14:paraId="5F8C0D45" w14:textId="77777777">
      <w:pPr>
        <w:spacing w:after="0" w:line="240" w:lineRule="auto"/>
        <w:rPr>
          <w:rFonts w:ascii="Times New Roman" w:hAnsi="Times New Roman" w:cs="Times New Roman"/>
          <w:sz w:val="26"/>
          <w:szCs w:val="26"/>
        </w:rPr>
      </w:pPr>
    </w:p>
    <w:p w:rsidR="003B37BD" w:rsidP="003B37BD" w14:paraId="14B5A9E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3B37BD" w:rsidP="003B37BD" w14:paraId="18438937" w14:textId="77777777">
      <w:pPr>
        <w:pStyle w:val="ListParagraph"/>
        <w:spacing w:after="0" w:line="240" w:lineRule="auto"/>
        <w:ind w:left="360"/>
        <w:rPr>
          <w:rFonts w:ascii="Times New Roman" w:hAnsi="Times New Roman" w:cs="Times New Roman"/>
          <w:b/>
          <w:sz w:val="26"/>
          <w:szCs w:val="26"/>
        </w:rPr>
      </w:pPr>
    </w:p>
    <w:p w:rsidR="003B37BD" w:rsidP="003B37BD" w14:paraId="71F3C058" w14:textId="43E0748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consider any of the questions within the FERC-550 </w:t>
      </w:r>
      <w:r w:rsidR="006344C0">
        <w:rPr>
          <w:rFonts w:ascii="Times New Roman" w:hAnsi="Times New Roman" w:cs="Times New Roman"/>
          <w:sz w:val="26"/>
          <w:szCs w:val="26"/>
        </w:rPr>
        <w:t>to be</w:t>
      </w:r>
      <w:r>
        <w:rPr>
          <w:rFonts w:ascii="Times New Roman" w:hAnsi="Times New Roman" w:cs="Times New Roman"/>
          <w:sz w:val="26"/>
          <w:szCs w:val="26"/>
        </w:rPr>
        <w:t xml:space="preserve"> private.</w:t>
      </w:r>
    </w:p>
    <w:p w:rsidR="003B37BD" w:rsidP="003B37BD" w14:paraId="2F26E71B" w14:textId="77777777">
      <w:pPr>
        <w:spacing w:after="0" w:line="240" w:lineRule="auto"/>
        <w:rPr>
          <w:rFonts w:ascii="Times New Roman" w:hAnsi="Times New Roman" w:cs="Times New Roman"/>
          <w:sz w:val="26"/>
          <w:szCs w:val="26"/>
        </w:rPr>
      </w:pPr>
    </w:p>
    <w:p w:rsidR="003B37BD" w:rsidP="003B37BD" w14:paraId="027CC975"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3B37BD" w:rsidP="003B37BD" w14:paraId="08494E65" w14:textId="77777777">
      <w:pPr>
        <w:spacing w:after="0" w:line="240" w:lineRule="auto"/>
        <w:rPr>
          <w:rFonts w:ascii="Times New Roman" w:hAnsi="Times New Roman" w:cs="Times New Roman"/>
          <w:sz w:val="26"/>
          <w:szCs w:val="26"/>
        </w:rPr>
      </w:pPr>
    </w:p>
    <w:p w:rsidR="003B37BD" w:rsidP="003B37BD" w14:paraId="7F5137B4" w14:textId="56CFF5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Commission estimates the annual public reporting burden</w:t>
      </w:r>
      <w:r>
        <w:rPr>
          <w:rFonts w:ascii="Times New Roman" w:eastAsia="Times New Roman" w:hAnsi="Times New Roman" w:cs="Times New Roman"/>
          <w:b/>
          <w:sz w:val="26"/>
          <w:szCs w:val="26"/>
          <w:vertAlign w:val="superscript"/>
        </w:rPr>
        <w:footnoteReference w:id="6"/>
      </w:r>
      <w:r>
        <w:rPr>
          <w:rFonts w:ascii="Times New Roman" w:eastAsia="Times New Roman" w:hAnsi="Times New Roman" w:cs="Times New Roman"/>
          <w:sz w:val="26"/>
          <w:szCs w:val="26"/>
        </w:rPr>
        <w:t xml:space="preserve"> and cost</w:t>
      </w:r>
      <w:r>
        <w:rPr>
          <w:rFonts w:ascii="Times New Roman" w:eastAsia="Times New Roman" w:hAnsi="Times New Roman" w:cs="Times New Roman"/>
          <w:b/>
          <w:sz w:val="26"/>
          <w:szCs w:val="26"/>
          <w:vertAlign w:val="superscript"/>
        </w:rPr>
        <w:footnoteReference w:id="7"/>
      </w:r>
      <w:r>
        <w:rPr>
          <w:rFonts w:ascii="Times New Roman" w:eastAsia="Times New Roman" w:hAnsi="Times New Roman" w:cs="Times New Roman"/>
          <w:sz w:val="26"/>
          <w:szCs w:val="26"/>
        </w:rPr>
        <w:t xml:space="preserve"> for the FERC-550 information collection as follows:</w:t>
      </w:r>
    </w:p>
    <w:p w:rsidR="003B37BD" w:rsidP="003B37BD" w14:paraId="6A65A9F7" w14:textId="749AD9CB">
      <w:pPr>
        <w:spacing w:after="0" w:line="240" w:lineRule="auto"/>
        <w:rPr>
          <w:rFonts w:ascii="Times New Roman" w:eastAsia="Times New Roman" w:hAnsi="Times New Roman" w:cs="Times New Roman"/>
          <w:sz w:val="26"/>
          <w:szCs w:val="26"/>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333"/>
        <w:gridCol w:w="1267"/>
        <w:gridCol w:w="1260"/>
        <w:gridCol w:w="1169"/>
        <w:gridCol w:w="1529"/>
        <w:gridCol w:w="1622"/>
      </w:tblGrid>
      <w:tr w14:paraId="2ED97B0D" w14:textId="77777777" w:rsidTr="503A3E8C">
        <w:tblPrEx>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53" w:type="pct"/>
            <w:shd w:val="clear" w:color="auto" w:fill="D9D9D9" w:themeFill="background1" w:themeFillShade="D9"/>
          </w:tcPr>
          <w:p w:rsidR="00D87B40" w:rsidRPr="00D87B40" w:rsidP="00D87B40" w14:paraId="1BE73CF1" w14:textId="77777777">
            <w:pPr>
              <w:spacing w:after="0" w:line="240" w:lineRule="auto"/>
              <w:rPr>
                <w:rFonts w:ascii="Times New Roman" w:eastAsia="Times New Roman" w:hAnsi="Times New Roman" w:cs="Times New Roman"/>
                <w:b/>
                <w:sz w:val="26"/>
                <w:szCs w:val="26"/>
              </w:rPr>
            </w:pPr>
          </w:p>
        </w:tc>
        <w:tc>
          <w:tcPr>
            <w:tcW w:w="692" w:type="pct"/>
            <w:shd w:val="clear" w:color="auto" w:fill="D9D9D9" w:themeFill="background1" w:themeFillShade="D9"/>
          </w:tcPr>
          <w:p w:rsidR="00D87B40" w:rsidRPr="00D87B40" w:rsidP="00A30DE9" w14:paraId="1119B010"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Number of Respondents</w:t>
            </w:r>
            <w:r w:rsidRPr="00D87B40">
              <w:rPr>
                <w:rFonts w:ascii="Times New Roman" w:eastAsia="Times New Roman" w:hAnsi="Times New Roman" w:cs="Times New Roman"/>
                <w:b/>
                <w:sz w:val="26"/>
                <w:szCs w:val="26"/>
              </w:rPr>
              <w:br/>
              <w:t>(1)</w:t>
            </w:r>
          </w:p>
        </w:tc>
        <w:tc>
          <w:tcPr>
            <w:tcW w:w="658" w:type="pct"/>
            <w:shd w:val="clear" w:color="auto" w:fill="D9D9D9" w:themeFill="background1" w:themeFillShade="D9"/>
          </w:tcPr>
          <w:p w:rsidR="00D87B40" w:rsidRPr="00D87B40" w:rsidP="00A30DE9" w14:paraId="2184065E"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Annual Number of Responses per Respondent</w:t>
            </w:r>
          </w:p>
          <w:p w:rsidR="00D87B40" w:rsidRPr="00D87B40" w:rsidP="00A30DE9" w14:paraId="60F51299"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(2)</w:t>
            </w:r>
          </w:p>
        </w:tc>
        <w:tc>
          <w:tcPr>
            <w:tcW w:w="654" w:type="pct"/>
            <w:shd w:val="clear" w:color="auto" w:fill="D9D9D9" w:themeFill="background1" w:themeFillShade="D9"/>
          </w:tcPr>
          <w:p w:rsidR="00D87B40" w:rsidRPr="00D87B40" w:rsidP="00A30DE9" w14:paraId="34D7583E"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Total Number of Responses</w:t>
            </w:r>
            <w:r>
              <w:rPr>
                <w:rFonts w:ascii="Times New Roman" w:eastAsia="Times New Roman" w:hAnsi="Times New Roman" w:cs="Times New Roman"/>
                <w:b/>
                <w:sz w:val="26"/>
                <w:szCs w:val="26"/>
                <w:vertAlign w:val="superscript"/>
              </w:rPr>
              <w:footnoteReference w:id="8"/>
            </w:r>
            <w:r w:rsidRPr="00D87B40">
              <w:rPr>
                <w:rFonts w:ascii="Times New Roman" w:eastAsia="Times New Roman" w:hAnsi="Times New Roman" w:cs="Times New Roman"/>
                <w:b/>
                <w:sz w:val="26"/>
                <w:szCs w:val="26"/>
              </w:rPr>
              <w:t xml:space="preserve"> (1)*(2)=(3)</w:t>
            </w:r>
          </w:p>
        </w:tc>
        <w:tc>
          <w:tcPr>
            <w:tcW w:w="607" w:type="pct"/>
            <w:shd w:val="clear" w:color="auto" w:fill="D9D9D9" w:themeFill="background1" w:themeFillShade="D9"/>
          </w:tcPr>
          <w:p w:rsidR="00D87B40" w:rsidRPr="00D87B40" w:rsidP="00A30DE9" w14:paraId="44610223"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Average Burden Hrs. &amp; Cost ($) Per Response</w:t>
            </w:r>
          </w:p>
          <w:p w:rsidR="00D87B40" w:rsidRPr="00D87B40" w:rsidP="00A30DE9" w14:paraId="589BDAB8"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(4)</w:t>
            </w:r>
          </w:p>
        </w:tc>
        <w:tc>
          <w:tcPr>
            <w:tcW w:w="794" w:type="pct"/>
            <w:shd w:val="clear" w:color="auto" w:fill="D9D9D9" w:themeFill="background1" w:themeFillShade="D9"/>
          </w:tcPr>
          <w:p w:rsidR="00D87B40" w:rsidRPr="00D87B40" w:rsidP="00A30DE9" w14:paraId="6E22B529"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Total Annual Burden Hours &amp; Total Annual Cost ($)</w:t>
            </w:r>
          </w:p>
          <w:p w:rsidR="00D87B40" w:rsidRPr="00D87B40" w:rsidP="00A30DE9" w14:paraId="448CCA73"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(3)*(4)=(5)</w:t>
            </w:r>
          </w:p>
        </w:tc>
        <w:tc>
          <w:tcPr>
            <w:tcW w:w="842" w:type="pct"/>
            <w:shd w:val="clear" w:color="auto" w:fill="D9D9D9" w:themeFill="background1" w:themeFillShade="D9"/>
          </w:tcPr>
          <w:p w:rsidR="00D87B40" w:rsidRPr="00D87B40" w:rsidP="00A30DE9" w14:paraId="683F6E9F" w14:textId="2ED53C74">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Cost per Respondent</w:t>
            </w:r>
            <w:r w:rsidR="003E43D4">
              <w:rPr>
                <w:rFonts w:ascii="Times New Roman" w:eastAsia="Times New Roman" w:hAnsi="Times New Roman" w:cs="Times New Roman"/>
                <w:b/>
                <w:sz w:val="26"/>
                <w:szCs w:val="26"/>
              </w:rPr>
              <w:t xml:space="preserve"> </w:t>
            </w:r>
            <w:r w:rsidRPr="00D87B40">
              <w:rPr>
                <w:rFonts w:ascii="Times New Roman" w:eastAsia="Times New Roman" w:hAnsi="Times New Roman" w:cs="Times New Roman"/>
                <w:b/>
                <w:sz w:val="26"/>
                <w:szCs w:val="26"/>
              </w:rPr>
              <w:t>($)</w:t>
            </w:r>
          </w:p>
          <w:p w:rsidR="00D87B40" w:rsidRPr="00D87B40" w:rsidP="00A30DE9" w14:paraId="6483C996" w14:textId="77777777">
            <w:pPr>
              <w:spacing w:after="0" w:line="240" w:lineRule="auto"/>
              <w:rPr>
                <w:rFonts w:ascii="Times New Roman" w:eastAsia="Times New Roman" w:hAnsi="Times New Roman" w:cs="Times New Roman"/>
                <w:b/>
                <w:sz w:val="26"/>
                <w:szCs w:val="26"/>
              </w:rPr>
            </w:pPr>
            <w:r w:rsidRPr="00D87B40">
              <w:rPr>
                <w:rFonts w:ascii="Times New Roman" w:eastAsia="Times New Roman" w:hAnsi="Times New Roman" w:cs="Times New Roman"/>
                <w:b/>
                <w:sz w:val="26"/>
                <w:szCs w:val="26"/>
              </w:rPr>
              <w:t>(5)÷(1)</w:t>
            </w:r>
          </w:p>
        </w:tc>
      </w:tr>
      <w:tr w14:paraId="6128A049" w14:textId="77777777" w:rsidTr="503A3E8C">
        <w:tblPrEx>
          <w:tblW w:w="5150" w:type="pct"/>
          <w:tblInd w:w="-5" w:type="dxa"/>
          <w:tblLayout w:type="fixed"/>
          <w:tblLook w:val="01E0"/>
        </w:tblPrEx>
        <w:trPr>
          <w:cantSplit/>
        </w:trPr>
        <w:tc>
          <w:tcPr>
            <w:tcW w:w="753" w:type="pct"/>
          </w:tcPr>
          <w:p w:rsidR="00120E8E" w:rsidRPr="005B413B" w:rsidP="005B413B" w14:paraId="6852695A" w14:textId="77777777">
            <w:pPr>
              <w:spacing w:after="0" w:line="240" w:lineRule="auto"/>
              <w:rPr>
                <w:rFonts w:ascii="Times New Roman" w:eastAsia="Times New Roman" w:hAnsi="Times New Roman" w:cs="Times New Roman"/>
                <w:sz w:val="26"/>
                <w:szCs w:val="26"/>
              </w:rPr>
            </w:pPr>
            <w:r w:rsidRPr="005B413B">
              <w:rPr>
                <w:rFonts w:ascii="Times New Roman" w:eastAsia="Times New Roman" w:hAnsi="Times New Roman" w:cs="Times New Roman"/>
                <w:sz w:val="26"/>
                <w:szCs w:val="26"/>
              </w:rPr>
              <w:t>Oil Rates and Tariff Filings</w:t>
            </w:r>
          </w:p>
        </w:tc>
        <w:tc>
          <w:tcPr>
            <w:tcW w:w="692" w:type="pct"/>
          </w:tcPr>
          <w:p w:rsidR="00120E8E" w:rsidRPr="005B413B" w:rsidP="005B413B" w14:paraId="109F74DD" w14:textId="77777777">
            <w:pPr>
              <w:widowControl w:val="0"/>
              <w:autoSpaceDE w:val="0"/>
              <w:autoSpaceDN w:val="0"/>
              <w:adjustRightInd w:val="0"/>
              <w:jc w:val="right"/>
              <w:rPr>
                <w:rFonts w:ascii="Times New Roman" w:hAnsi="Times New Roman" w:cs="Times New Roman"/>
                <w:sz w:val="26"/>
                <w:szCs w:val="26"/>
              </w:rPr>
            </w:pPr>
            <w:r w:rsidRPr="005B413B">
              <w:rPr>
                <w:rFonts w:ascii="Times New Roman" w:hAnsi="Times New Roman" w:cs="Times New Roman"/>
                <w:sz w:val="26"/>
                <w:szCs w:val="26"/>
              </w:rPr>
              <w:t>261</w:t>
            </w:r>
          </w:p>
          <w:p w:rsidR="00120E8E" w:rsidRPr="005B413B" w:rsidP="005B413B" w14:paraId="776A5D81" w14:textId="77777777">
            <w:pPr>
              <w:spacing w:after="0" w:line="240" w:lineRule="auto"/>
              <w:jc w:val="right"/>
              <w:rPr>
                <w:rFonts w:ascii="Times New Roman" w:eastAsia="Times New Roman" w:hAnsi="Times New Roman" w:cs="Times New Roman"/>
                <w:sz w:val="26"/>
                <w:szCs w:val="26"/>
              </w:rPr>
            </w:pPr>
          </w:p>
        </w:tc>
        <w:tc>
          <w:tcPr>
            <w:tcW w:w="658" w:type="pct"/>
          </w:tcPr>
          <w:p w:rsidR="00120E8E" w:rsidRPr="005B413B" w:rsidP="005B413B" w14:paraId="46920424" w14:textId="1AE17D8C">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3</w:t>
            </w:r>
          </w:p>
        </w:tc>
        <w:tc>
          <w:tcPr>
            <w:tcW w:w="654" w:type="pct"/>
          </w:tcPr>
          <w:p w:rsidR="00120E8E" w:rsidRPr="005B413B" w:rsidP="005B413B" w14:paraId="6AB5B0AB" w14:textId="4FB7364F">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 xml:space="preserve">783 </w:t>
            </w:r>
          </w:p>
        </w:tc>
        <w:tc>
          <w:tcPr>
            <w:tcW w:w="607" w:type="pct"/>
          </w:tcPr>
          <w:p w:rsidR="00120E8E" w:rsidRPr="005B413B" w:rsidP="005B413B" w14:paraId="3F52E86E" w14:textId="77777777">
            <w:pPr>
              <w:widowControl w:val="0"/>
              <w:autoSpaceDE w:val="0"/>
              <w:autoSpaceDN w:val="0"/>
              <w:adjustRightInd w:val="0"/>
              <w:jc w:val="right"/>
              <w:rPr>
                <w:rFonts w:ascii="Times New Roman" w:hAnsi="Times New Roman" w:cs="Times New Roman"/>
                <w:sz w:val="26"/>
                <w:szCs w:val="26"/>
              </w:rPr>
            </w:pPr>
            <w:r w:rsidRPr="005B413B">
              <w:rPr>
                <w:rFonts w:ascii="Times New Roman" w:hAnsi="Times New Roman" w:cs="Times New Roman"/>
                <w:sz w:val="26"/>
                <w:szCs w:val="26"/>
              </w:rPr>
              <w:t>7 hrs.;</w:t>
            </w:r>
          </w:p>
          <w:p w:rsidR="00120E8E" w:rsidRPr="005B413B" w:rsidP="005B413B" w14:paraId="6BAA1DAA" w14:textId="6AAB88F8">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$721</w:t>
            </w:r>
          </w:p>
        </w:tc>
        <w:tc>
          <w:tcPr>
            <w:tcW w:w="794" w:type="pct"/>
          </w:tcPr>
          <w:p w:rsidR="00120E8E" w:rsidRPr="005B413B" w:rsidP="005B413B" w14:paraId="468FCE3A" w14:textId="77777777">
            <w:pPr>
              <w:widowControl w:val="0"/>
              <w:autoSpaceDE w:val="0"/>
              <w:autoSpaceDN w:val="0"/>
              <w:adjustRightInd w:val="0"/>
              <w:jc w:val="right"/>
              <w:rPr>
                <w:rFonts w:ascii="Times New Roman" w:hAnsi="Times New Roman" w:cs="Times New Roman"/>
                <w:sz w:val="26"/>
                <w:szCs w:val="26"/>
              </w:rPr>
            </w:pPr>
            <w:r w:rsidRPr="005B413B">
              <w:rPr>
                <w:rFonts w:ascii="Times New Roman" w:hAnsi="Times New Roman" w:cs="Times New Roman"/>
                <w:sz w:val="26"/>
                <w:szCs w:val="26"/>
              </w:rPr>
              <w:t>5,481 hrs.;</w:t>
            </w:r>
          </w:p>
          <w:p w:rsidR="00120E8E" w:rsidRPr="005B413B" w:rsidP="005B413B" w14:paraId="6DAEB0A1" w14:textId="15E7603D">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$564,543</w:t>
            </w:r>
          </w:p>
        </w:tc>
        <w:tc>
          <w:tcPr>
            <w:tcW w:w="842" w:type="pct"/>
          </w:tcPr>
          <w:p w:rsidR="00120E8E" w:rsidRPr="005B413B" w:rsidP="005B413B" w14:paraId="61BB152F" w14:textId="5568EFCC">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$2,163</w:t>
            </w:r>
          </w:p>
        </w:tc>
      </w:tr>
      <w:tr w14:paraId="31EC4C36" w14:textId="77777777" w:rsidTr="503A3E8C">
        <w:tblPrEx>
          <w:tblW w:w="5150" w:type="pct"/>
          <w:tblInd w:w="-5" w:type="dxa"/>
          <w:tblLayout w:type="fixed"/>
          <w:tblLook w:val="01E0"/>
        </w:tblPrEx>
        <w:trPr>
          <w:cantSplit/>
        </w:trPr>
        <w:tc>
          <w:tcPr>
            <w:tcW w:w="753" w:type="pct"/>
          </w:tcPr>
          <w:p w:rsidR="00120E8E" w:rsidRPr="005B413B" w:rsidP="005B413B" w14:paraId="6E9A0628" w14:textId="7FA6C2AD">
            <w:pPr>
              <w:spacing w:after="0" w:line="240" w:lineRule="auto"/>
              <w:rPr>
                <w:rFonts w:ascii="Times New Roman" w:eastAsia="Times New Roman" w:hAnsi="Times New Roman" w:cs="Times New Roman"/>
                <w:sz w:val="26"/>
                <w:szCs w:val="26"/>
              </w:rPr>
            </w:pPr>
            <w:r w:rsidRPr="503A3E8C">
              <w:rPr>
                <w:rFonts w:ascii="Times New Roman" w:eastAsia="Times New Roman" w:hAnsi="Times New Roman" w:cs="Times New Roman"/>
                <w:sz w:val="26"/>
                <w:szCs w:val="26"/>
              </w:rPr>
              <w:t>Depreciation Studies</w:t>
            </w:r>
          </w:p>
        </w:tc>
        <w:tc>
          <w:tcPr>
            <w:tcW w:w="692" w:type="pct"/>
          </w:tcPr>
          <w:p w:rsidR="00120E8E" w:rsidRPr="005B413B" w:rsidP="005B413B" w14:paraId="25EB0D1E" w14:textId="48309999">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15</w:t>
            </w:r>
          </w:p>
        </w:tc>
        <w:tc>
          <w:tcPr>
            <w:tcW w:w="658" w:type="pct"/>
          </w:tcPr>
          <w:p w:rsidR="00120E8E" w:rsidRPr="005B413B" w:rsidP="005B413B" w14:paraId="4562F09F" w14:textId="7F7B0D9B">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1</w:t>
            </w:r>
          </w:p>
        </w:tc>
        <w:tc>
          <w:tcPr>
            <w:tcW w:w="654" w:type="pct"/>
          </w:tcPr>
          <w:p w:rsidR="00120E8E" w:rsidRPr="005B413B" w:rsidP="005B413B" w14:paraId="7FB5CA7E" w14:textId="7B103ADA">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15</w:t>
            </w:r>
          </w:p>
        </w:tc>
        <w:tc>
          <w:tcPr>
            <w:tcW w:w="607" w:type="pct"/>
          </w:tcPr>
          <w:p w:rsidR="00120E8E" w:rsidRPr="005B413B" w:rsidP="005B413B" w14:paraId="20577E64" w14:textId="77777777">
            <w:pPr>
              <w:widowControl w:val="0"/>
              <w:autoSpaceDE w:val="0"/>
              <w:autoSpaceDN w:val="0"/>
              <w:adjustRightInd w:val="0"/>
              <w:jc w:val="right"/>
              <w:rPr>
                <w:rFonts w:ascii="Times New Roman" w:hAnsi="Times New Roman" w:cs="Times New Roman"/>
                <w:sz w:val="26"/>
                <w:szCs w:val="26"/>
              </w:rPr>
            </w:pPr>
            <w:r w:rsidRPr="005B413B">
              <w:rPr>
                <w:rFonts w:ascii="Times New Roman" w:hAnsi="Times New Roman" w:cs="Times New Roman"/>
                <w:sz w:val="26"/>
                <w:szCs w:val="26"/>
              </w:rPr>
              <w:t>40 hrs.;</w:t>
            </w:r>
          </w:p>
          <w:p w:rsidR="00120E8E" w:rsidRPr="005B413B" w:rsidP="005B413B" w14:paraId="5FFCC2BE" w14:textId="5798841D">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$4,120</w:t>
            </w:r>
          </w:p>
        </w:tc>
        <w:tc>
          <w:tcPr>
            <w:tcW w:w="794" w:type="pct"/>
          </w:tcPr>
          <w:p w:rsidR="00120E8E" w:rsidRPr="005B413B" w:rsidP="005B413B" w14:paraId="5CBD22BB" w14:textId="77777777">
            <w:pPr>
              <w:widowControl w:val="0"/>
              <w:autoSpaceDE w:val="0"/>
              <w:autoSpaceDN w:val="0"/>
              <w:adjustRightInd w:val="0"/>
              <w:jc w:val="right"/>
              <w:rPr>
                <w:rFonts w:ascii="Times New Roman" w:hAnsi="Times New Roman" w:cs="Times New Roman"/>
                <w:sz w:val="26"/>
                <w:szCs w:val="26"/>
              </w:rPr>
            </w:pPr>
            <w:r w:rsidRPr="005B413B">
              <w:rPr>
                <w:rFonts w:ascii="Times New Roman" w:hAnsi="Times New Roman" w:cs="Times New Roman"/>
                <w:sz w:val="26"/>
                <w:szCs w:val="26"/>
              </w:rPr>
              <w:t>600 hrs.;</w:t>
            </w:r>
          </w:p>
          <w:p w:rsidR="00120E8E" w:rsidRPr="005B413B" w:rsidP="005B413B" w14:paraId="5449F217" w14:textId="5EEA4F5A">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$61,800</w:t>
            </w:r>
          </w:p>
        </w:tc>
        <w:tc>
          <w:tcPr>
            <w:tcW w:w="842" w:type="pct"/>
          </w:tcPr>
          <w:p w:rsidR="00120E8E" w:rsidRPr="005B413B" w:rsidP="005B413B" w14:paraId="33D949AD" w14:textId="505437D8">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$4,120</w:t>
            </w:r>
          </w:p>
        </w:tc>
      </w:tr>
      <w:tr w14:paraId="48A9E609" w14:textId="77777777" w:rsidTr="05DE83EE">
        <w:tblPrEx>
          <w:tblW w:w="5150" w:type="pct"/>
          <w:tblInd w:w="-5" w:type="dxa"/>
          <w:tblLayout w:type="fixed"/>
          <w:tblLook w:val="01E0"/>
        </w:tblPrEx>
        <w:trPr>
          <w:cantSplit/>
          <w:trHeight w:val="300"/>
        </w:trPr>
        <w:tc>
          <w:tcPr>
            <w:tcW w:w="1451" w:type="dxa"/>
          </w:tcPr>
          <w:p w:rsidR="185F12DD" w:rsidP="05DE83EE" w14:paraId="23B18FFF" w14:textId="505AE546">
            <w:pPr>
              <w:spacing w:line="240" w:lineRule="auto"/>
              <w:rPr>
                <w:rFonts w:ascii="Times New Roman" w:eastAsia="Times New Roman" w:hAnsi="Times New Roman" w:cs="Times New Roman"/>
                <w:sz w:val="26"/>
                <w:szCs w:val="26"/>
              </w:rPr>
            </w:pPr>
            <w:r w:rsidRPr="05DE83EE">
              <w:rPr>
                <w:rFonts w:ascii="Times New Roman" w:eastAsia="Times New Roman" w:hAnsi="Times New Roman" w:cs="Times New Roman"/>
                <w:sz w:val="26"/>
                <w:szCs w:val="26"/>
              </w:rPr>
              <w:t>Project Area Labor Wages</w:t>
            </w:r>
          </w:p>
        </w:tc>
        <w:tc>
          <w:tcPr>
            <w:tcW w:w="1333" w:type="dxa"/>
          </w:tcPr>
          <w:p w:rsidR="185F12DD" w:rsidP="05DE83EE" w14:paraId="56D6AF9C" w14:textId="18F885E9">
            <w:pPr>
              <w:spacing w:line="240" w:lineRule="auto"/>
              <w:jc w:val="right"/>
              <w:rPr>
                <w:rFonts w:ascii="Times New Roman" w:hAnsi="Times New Roman" w:cs="Times New Roman"/>
                <w:sz w:val="26"/>
                <w:szCs w:val="26"/>
              </w:rPr>
            </w:pPr>
            <w:r w:rsidRPr="05DE83EE">
              <w:rPr>
                <w:rFonts w:ascii="Times New Roman" w:hAnsi="Times New Roman" w:cs="Times New Roman"/>
                <w:sz w:val="26"/>
                <w:szCs w:val="26"/>
              </w:rPr>
              <w:t>7</w:t>
            </w:r>
          </w:p>
        </w:tc>
        <w:tc>
          <w:tcPr>
            <w:tcW w:w="1267" w:type="dxa"/>
          </w:tcPr>
          <w:p w:rsidR="185F12DD" w:rsidP="05DE83EE" w14:paraId="3F3D4520" w14:textId="1D5D4D90">
            <w:pPr>
              <w:spacing w:line="240" w:lineRule="auto"/>
              <w:jc w:val="right"/>
              <w:rPr>
                <w:rFonts w:ascii="Times New Roman" w:hAnsi="Times New Roman" w:cs="Times New Roman"/>
                <w:sz w:val="26"/>
                <w:szCs w:val="26"/>
              </w:rPr>
            </w:pPr>
            <w:r w:rsidRPr="05DE83EE">
              <w:rPr>
                <w:rFonts w:ascii="Times New Roman" w:hAnsi="Times New Roman" w:cs="Times New Roman"/>
                <w:sz w:val="26"/>
                <w:szCs w:val="26"/>
              </w:rPr>
              <w:t>1</w:t>
            </w:r>
          </w:p>
        </w:tc>
        <w:tc>
          <w:tcPr>
            <w:tcW w:w="1260" w:type="dxa"/>
          </w:tcPr>
          <w:p w:rsidR="185F12DD" w:rsidP="05DE83EE" w14:paraId="5C8AA98B" w14:textId="3D45F5DD">
            <w:pPr>
              <w:spacing w:line="240" w:lineRule="auto"/>
              <w:jc w:val="right"/>
              <w:rPr>
                <w:rFonts w:ascii="Times New Roman" w:hAnsi="Times New Roman" w:cs="Times New Roman"/>
                <w:sz w:val="26"/>
                <w:szCs w:val="26"/>
              </w:rPr>
            </w:pPr>
            <w:r w:rsidRPr="05DE83EE">
              <w:rPr>
                <w:rFonts w:ascii="Times New Roman" w:hAnsi="Times New Roman" w:cs="Times New Roman"/>
                <w:sz w:val="26"/>
                <w:szCs w:val="26"/>
              </w:rPr>
              <w:t>7</w:t>
            </w:r>
          </w:p>
        </w:tc>
        <w:tc>
          <w:tcPr>
            <w:tcW w:w="1169" w:type="dxa"/>
          </w:tcPr>
          <w:p w:rsidR="185F12DD" w:rsidP="05DE83EE" w14:paraId="10A58C70" w14:textId="42D370EF">
            <w:pPr>
              <w:jc w:val="right"/>
              <w:rPr>
                <w:rFonts w:ascii="Times New Roman" w:hAnsi="Times New Roman" w:cs="Times New Roman"/>
                <w:sz w:val="26"/>
                <w:szCs w:val="26"/>
              </w:rPr>
            </w:pPr>
            <w:r w:rsidRPr="05DE83EE">
              <w:rPr>
                <w:rFonts w:ascii="Times New Roman" w:hAnsi="Times New Roman" w:cs="Times New Roman"/>
                <w:sz w:val="26"/>
                <w:szCs w:val="26"/>
              </w:rPr>
              <w:t>15 hrs.;</w:t>
            </w:r>
            <w:r w:rsidR="00D87129">
              <w:rPr>
                <w:rFonts w:ascii="Times New Roman" w:hAnsi="Times New Roman" w:cs="Times New Roman"/>
                <w:sz w:val="26"/>
                <w:szCs w:val="26"/>
              </w:rPr>
              <w:t xml:space="preserve"> $1,545</w:t>
            </w:r>
          </w:p>
          <w:p w:rsidR="05DE83EE" w:rsidP="05DE83EE" w14:paraId="70B51E88" w14:textId="08E042D9">
            <w:pPr>
              <w:jc w:val="right"/>
              <w:rPr>
                <w:rFonts w:ascii="Times New Roman" w:hAnsi="Times New Roman" w:cs="Times New Roman"/>
                <w:sz w:val="26"/>
                <w:szCs w:val="26"/>
              </w:rPr>
            </w:pPr>
          </w:p>
        </w:tc>
        <w:tc>
          <w:tcPr>
            <w:tcW w:w="1529" w:type="dxa"/>
          </w:tcPr>
          <w:p w:rsidR="05DE83EE" w:rsidP="05DE83EE" w14:paraId="6A8449E3" w14:textId="534633E5">
            <w:pPr>
              <w:jc w:val="right"/>
              <w:rPr>
                <w:rFonts w:ascii="Times New Roman" w:hAnsi="Times New Roman" w:cs="Times New Roman"/>
                <w:sz w:val="26"/>
                <w:szCs w:val="26"/>
              </w:rPr>
            </w:pPr>
            <w:r>
              <w:rPr>
                <w:rFonts w:ascii="Times New Roman" w:hAnsi="Times New Roman" w:cs="Times New Roman"/>
                <w:sz w:val="26"/>
                <w:szCs w:val="26"/>
              </w:rPr>
              <w:t>105 hrs.; $10,815</w:t>
            </w:r>
          </w:p>
        </w:tc>
        <w:tc>
          <w:tcPr>
            <w:tcW w:w="1622" w:type="dxa"/>
          </w:tcPr>
          <w:p w:rsidR="05DE83EE" w:rsidP="05DE83EE" w14:paraId="666AD842" w14:textId="2A23F5C2">
            <w:pPr>
              <w:spacing w:line="240" w:lineRule="auto"/>
              <w:jc w:val="right"/>
              <w:rPr>
                <w:rFonts w:ascii="Times New Roman" w:hAnsi="Times New Roman" w:cs="Times New Roman"/>
                <w:sz w:val="26"/>
                <w:szCs w:val="26"/>
              </w:rPr>
            </w:pPr>
            <w:r>
              <w:rPr>
                <w:rFonts w:ascii="Times New Roman" w:hAnsi="Times New Roman" w:cs="Times New Roman"/>
                <w:sz w:val="26"/>
                <w:szCs w:val="26"/>
              </w:rPr>
              <w:t>$1,545</w:t>
            </w:r>
          </w:p>
        </w:tc>
      </w:tr>
      <w:tr w14:paraId="0E4EB139" w14:textId="77777777" w:rsidTr="503A3E8C">
        <w:tblPrEx>
          <w:tblW w:w="5150" w:type="pct"/>
          <w:tblInd w:w="-5" w:type="dxa"/>
          <w:tblLayout w:type="fixed"/>
          <w:tblLook w:val="01E0"/>
        </w:tblPrEx>
        <w:trPr>
          <w:cantSplit/>
        </w:trPr>
        <w:tc>
          <w:tcPr>
            <w:tcW w:w="753" w:type="pct"/>
          </w:tcPr>
          <w:p w:rsidR="005B413B" w:rsidRPr="005B413B" w:rsidP="005B413B" w14:paraId="51348FB4" w14:textId="77777777">
            <w:pPr>
              <w:spacing w:after="0" w:line="240" w:lineRule="auto"/>
              <w:jc w:val="right"/>
              <w:rPr>
                <w:rFonts w:ascii="Times New Roman" w:eastAsia="Times New Roman" w:hAnsi="Times New Roman" w:cs="Times New Roman"/>
                <w:sz w:val="26"/>
                <w:szCs w:val="26"/>
              </w:rPr>
            </w:pPr>
            <w:r w:rsidRPr="005B413B">
              <w:rPr>
                <w:rFonts w:ascii="Times New Roman" w:eastAsia="Times New Roman" w:hAnsi="Times New Roman" w:cs="Times New Roman"/>
                <w:sz w:val="26"/>
                <w:szCs w:val="26"/>
              </w:rPr>
              <w:t>Total</w:t>
            </w:r>
          </w:p>
        </w:tc>
        <w:tc>
          <w:tcPr>
            <w:tcW w:w="692" w:type="pct"/>
          </w:tcPr>
          <w:p w:rsidR="005B413B" w:rsidRPr="005B413B" w:rsidP="005B413B" w14:paraId="6879CF4B" w14:textId="444943FF">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2</w:t>
            </w:r>
            <w:r w:rsidR="00D87129">
              <w:rPr>
                <w:rFonts w:ascii="Times New Roman" w:hAnsi="Times New Roman" w:cs="Times New Roman"/>
                <w:sz w:val="26"/>
                <w:szCs w:val="26"/>
              </w:rPr>
              <w:t>83</w:t>
            </w:r>
          </w:p>
        </w:tc>
        <w:tc>
          <w:tcPr>
            <w:tcW w:w="658" w:type="pct"/>
            <w:shd w:val="clear" w:color="auto" w:fill="D9D9D9" w:themeFill="background1" w:themeFillShade="D9"/>
          </w:tcPr>
          <w:p w:rsidR="005B413B" w:rsidRPr="005B413B" w:rsidP="005B413B" w14:paraId="24126776" w14:textId="77777777">
            <w:pPr>
              <w:spacing w:after="0" w:line="240" w:lineRule="auto"/>
              <w:jc w:val="right"/>
              <w:rPr>
                <w:rFonts w:ascii="Times New Roman" w:eastAsia="Times New Roman" w:hAnsi="Times New Roman" w:cs="Times New Roman"/>
                <w:sz w:val="26"/>
                <w:szCs w:val="26"/>
              </w:rPr>
            </w:pPr>
          </w:p>
        </w:tc>
        <w:tc>
          <w:tcPr>
            <w:tcW w:w="654" w:type="pct"/>
          </w:tcPr>
          <w:p w:rsidR="005B413B" w:rsidRPr="005B413B" w:rsidP="005B413B" w14:paraId="7117CCF7" w14:textId="4375C598">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805</w:t>
            </w:r>
          </w:p>
        </w:tc>
        <w:tc>
          <w:tcPr>
            <w:tcW w:w="607" w:type="pct"/>
            <w:shd w:val="clear" w:color="auto" w:fill="D9D9D9" w:themeFill="background1" w:themeFillShade="D9"/>
          </w:tcPr>
          <w:p w:rsidR="005B413B" w:rsidRPr="005B413B" w:rsidP="005B413B" w14:paraId="391F1B4A" w14:textId="77777777">
            <w:pPr>
              <w:spacing w:after="0" w:line="240" w:lineRule="auto"/>
              <w:jc w:val="right"/>
              <w:rPr>
                <w:rFonts w:ascii="Times New Roman" w:eastAsia="Times New Roman" w:hAnsi="Times New Roman" w:cs="Times New Roman"/>
                <w:sz w:val="26"/>
                <w:szCs w:val="26"/>
              </w:rPr>
            </w:pPr>
          </w:p>
        </w:tc>
        <w:tc>
          <w:tcPr>
            <w:tcW w:w="794" w:type="pct"/>
          </w:tcPr>
          <w:p w:rsidR="005B413B" w:rsidRPr="005B413B" w:rsidP="00D87129" w14:paraId="0F501BBB" w14:textId="643BB31A">
            <w:pPr>
              <w:widowControl w:val="0"/>
              <w:autoSpaceDE w:val="0"/>
              <w:autoSpaceDN w:val="0"/>
              <w:adjustRightInd w:val="0"/>
              <w:spacing w:line="240" w:lineRule="auto"/>
              <w:jc w:val="right"/>
              <w:rPr>
                <w:rFonts w:ascii="Times New Roman" w:hAnsi="Times New Roman" w:cs="Times New Roman"/>
                <w:sz w:val="26"/>
                <w:szCs w:val="26"/>
              </w:rPr>
            </w:pPr>
            <w:r w:rsidRPr="005B413B">
              <w:rPr>
                <w:rFonts w:ascii="Times New Roman" w:hAnsi="Times New Roman" w:cs="Times New Roman"/>
                <w:sz w:val="26"/>
                <w:szCs w:val="26"/>
              </w:rPr>
              <w:t>6,</w:t>
            </w:r>
            <w:r w:rsidR="00D87129">
              <w:rPr>
                <w:rFonts w:ascii="Times New Roman" w:hAnsi="Times New Roman" w:cs="Times New Roman"/>
                <w:sz w:val="26"/>
                <w:szCs w:val="26"/>
              </w:rPr>
              <w:t>186</w:t>
            </w:r>
            <w:r w:rsidRPr="005B413B">
              <w:rPr>
                <w:rFonts w:ascii="Times New Roman" w:hAnsi="Times New Roman" w:cs="Times New Roman"/>
                <w:sz w:val="26"/>
                <w:szCs w:val="26"/>
              </w:rPr>
              <w:t xml:space="preserve"> hrs.;</w:t>
            </w:r>
          </w:p>
          <w:p w:rsidR="005B413B" w:rsidRPr="005B413B" w:rsidP="00D87129" w14:paraId="731E4D2C" w14:textId="634794F1">
            <w:pPr>
              <w:spacing w:after="0" w:line="240" w:lineRule="auto"/>
              <w:jc w:val="right"/>
              <w:rPr>
                <w:rFonts w:ascii="Times New Roman" w:eastAsia="Times New Roman" w:hAnsi="Times New Roman" w:cs="Times New Roman"/>
                <w:sz w:val="26"/>
                <w:szCs w:val="26"/>
              </w:rPr>
            </w:pPr>
            <w:r w:rsidRPr="005B413B">
              <w:rPr>
                <w:rFonts w:ascii="Times New Roman" w:hAnsi="Times New Roman" w:cs="Times New Roman"/>
                <w:sz w:val="26"/>
                <w:szCs w:val="26"/>
              </w:rPr>
              <w:t>$</w:t>
            </w:r>
            <w:r w:rsidR="00D87129">
              <w:rPr>
                <w:rFonts w:ascii="Times New Roman" w:hAnsi="Times New Roman" w:cs="Times New Roman"/>
                <w:sz w:val="26"/>
                <w:szCs w:val="26"/>
              </w:rPr>
              <w:t>637,158</w:t>
            </w:r>
          </w:p>
        </w:tc>
        <w:tc>
          <w:tcPr>
            <w:tcW w:w="842" w:type="pct"/>
            <w:shd w:val="clear" w:color="auto" w:fill="D9D9D9" w:themeFill="background1" w:themeFillShade="D9"/>
          </w:tcPr>
          <w:p w:rsidR="005B413B" w:rsidRPr="005B413B" w:rsidP="005B413B" w14:paraId="6C839096" w14:textId="77777777">
            <w:pPr>
              <w:spacing w:after="0" w:line="240" w:lineRule="auto"/>
              <w:jc w:val="right"/>
              <w:rPr>
                <w:rFonts w:ascii="Times New Roman" w:eastAsia="Times New Roman" w:hAnsi="Times New Roman" w:cs="Times New Roman"/>
                <w:sz w:val="26"/>
                <w:szCs w:val="26"/>
              </w:rPr>
            </w:pPr>
          </w:p>
        </w:tc>
      </w:tr>
    </w:tbl>
    <w:p w:rsidR="00D87B40" w:rsidP="003B37BD" w14:paraId="73A23569" w14:textId="30E7E6DF">
      <w:pPr>
        <w:spacing w:after="0" w:line="240" w:lineRule="auto"/>
        <w:rPr>
          <w:rFonts w:ascii="Times New Roman" w:eastAsia="Times New Roman" w:hAnsi="Times New Roman" w:cs="Times New Roman"/>
          <w:sz w:val="26"/>
          <w:szCs w:val="26"/>
        </w:rPr>
      </w:pPr>
    </w:p>
    <w:p w:rsidR="00D87B40" w:rsidP="003B37BD" w14:paraId="4B90B7E0" w14:textId="77777777">
      <w:pPr>
        <w:spacing w:after="0" w:line="240" w:lineRule="auto"/>
        <w:rPr>
          <w:rFonts w:ascii="Times New Roman" w:hAnsi="Times New Roman" w:cs="Times New Roman"/>
          <w:sz w:val="26"/>
          <w:szCs w:val="26"/>
        </w:rPr>
      </w:pPr>
    </w:p>
    <w:p w:rsidR="003B37BD" w:rsidP="003B37BD" w14:paraId="5936487D"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3B37BD" w:rsidP="003B37BD" w14:paraId="1287C27F" w14:textId="77777777">
      <w:pPr>
        <w:spacing w:after="0" w:line="240" w:lineRule="auto"/>
        <w:rPr>
          <w:rFonts w:ascii="Times New Roman" w:hAnsi="Times New Roman" w:cs="Times New Roman"/>
          <w:sz w:val="26"/>
          <w:szCs w:val="26"/>
        </w:rPr>
      </w:pPr>
    </w:p>
    <w:p w:rsidR="003B37BD" w:rsidP="003B37BD" w14:paraId="7D3D48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non-labor start-up costs. All costs are related to burden hours and are addressed in Questions #12 and #15.</w:t>
      </w:r>
    </w:p>
    <w:p w:rsidR="003B37BD" w:rsidP="003B37BD" w14:paraId="33215879" w14:textId="77777777">
      <w:pPr>
        <w:spacing w:after="0" w:line="240" w:lineRule="auto"/>
        <w:rPr>
          <w:rFonts w:ascii="Times New Roman" w:hAnsi="Times New Roman" w:cs="Times New Roman"/>
          <w:sz w:val="26"/>
          <w:szCs w:val="26"/>
        </w:rPr>
      </w:pPr>
    </w:p>
    <w:p w:rsidR="003B37BD" w:rsidP="003B37BD" w14:paraId="214BDC1F"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3B37BD" w:rsidP="003B37BD" w14:paraId="764853A5" w14:textId="77777777">
      <w:pPr>
        <w:spacing w:after="0" w:line="240" w:lineRule="auto"/>
        <w:rPr>
          <w:rFonts w:ascii="Times New Roman" w:hAnsi="Times New Roman" w:cs="Times New Roman"/>
          <w:sz w:val="26"/>
          <w:szCs w:val="26"/>
        </w:rPr>
      </w:pPr>
    </w:p>
    <w:p w:rsidR="003B37BD" w:rsidP="003B37BD" w14:paraId="4FBDDE98" w14:textId="55CA12B1">
      <w:pPr>
        <w:spacing w:after="0" w:line="240" w:lineRule="auto"/>
        <w:rPr>
          <w:rFonts w:ascii="Times New Roman" w:hAnsi="Times New Roman" w:cs="Times New Roman"/>
          <w:sz w:val="26"/>
          <w:szCs w:val="26"/>
        </w:rPr>
      </w:pPr>
      <w:r>
        <w:rPr>
          <w:rFonts w:ascii="Times New Roman" w:hAnsi="Times New Roman" w:cs="Times New Roman"/>
          <w:sz w:val="26"/>
          <w:szCs w:val="26"/>
        </w:rPr>
        <w:t>The estimate of the cost for ‘analysis and processing of filings</w:t>
      </w:r>
      <w:r w:rsidR="00B52BC0">
        <w:rPr>
          <w:rFonts w:ascii="Times New Roman" w:hAnsi="Times New Roman" w:cs="Times New Roman"/>
          <w:sz w:val="26"/>
          <w:szCs w:val="26"/>
        </w:rPr>
        <w:t>’</w:t>
      </w:r>
      <w:r>
        <w:rPr>
          <w:rFonts w:ascii="Times New Roman" w:hAnsi="Times New Roman" w:cs="Times New Roman"/>
          <w:sz w:val="26"/>
          <w:szCs w:val="26"/>
          <w:vertAlign w:val="superscript"/>
        </w:rPr>
        <w:t xml:space="preserve"> </w:t>
      </w:r>
      <w:r>
        <w:rPr>
          <w:rFonts w:ascii="Times New Roman" w:hAnsi="Times New Roman" w:cs="Times New Roman"/>
          <w:sz w:val="26"/>
          <w:szCs w:val="26"/>
        </w:rPr>
        <w:t>is based on salaries and benefits for professional and clerical support.</w:t>
      </w:r>
      <w:r w:rsidR="003E43D4">
        <w:rPr>
          <w:rFonts w:ascii="Times New Roman" w:hAnsi="Times New Roman" w:cs="Times New Roman"/>
          <w:sz w:val="26"/>
          <w:szCs w:val="26"/>
        </w:rPr>
        <w:t xml:space="preserve"> </w:t>
      </w:r>
    </w:p>
    <w:p w:rsidR="003B37BD" w:rsidP="003B37BD" w14:paraId="42115E96" w14:textId="77777777">
      <w:pPr>
        <w:spacing w:after="0" w:line="240" w:lineRule="auto"/>
        <w:rPr>
          <w:rFonts w:ascii="Times New Roman" w:hAnsi="Times New Roman" w:cs="Times New Roman"/>
          <w:sz w:val="26"/>
          <w:szCs w:val="26"/>
        </w:rPr>
      </w:pPr>
    </w:p>
    <w:p w:rsidR="003B37BD" w:rsidP="003B37BD" w14:paraId="2F667384" w14:textId="5A4D7EAC">
      <w:pPr>
        <w:spacing w:after="0" w:line="240" w:lineRule="auto"/>
        <w:rPr>
          <w:rFonts w:ascii="Times New Roman" w:hAnsi="Times New Roman" w:cs="Times New Roman"/>
          <w:sz w:val="26"/>
          <w:szCs w:val="26"/>
        </w:rPr>
      </w:pPr>
      <w:r>
        <w:rPr>
          <w:rFonts w:ascii="Times New Roman" w:hAnsi="Times New Roman" w:cs="Times New Roman"/>
          <w:sz w:val="26"/>
          <w:szCs w:val="26"/>
        </w:rPr>
        <w:t>The Paperwork Reduction Act of 1995 (PRA) Administrative Cost is the average annual FERC cost associated with preparing, issuing, and submitting materials necessary to comply with the PRA for rulemakings, orders, or any other vehicle used to create, modify, extend, or discontinue an information collection.</w:t>
      </w:r>
      <w:r w:rsidR="003E43D4">
        <w:rPr>
          <w:rFonts w:ascii="Times New Roman" w:hAnsi="Times New Roman" w:cs="Times New Roman"/>
          <w:sz w:val="26"/>
          <w:szCs w:val="26"/>
        </w:rPr>
        <w:t xml:space="preserve"> </w:t>
      </w:r>
      <w:r>
        <w:rPr>
          <w:rFonts w:ascii="Times New Roman" w:hAnsi="Times New Roman" w:cs="Times New Roman"/>
          <w:sz w:val="26"/>
          <w:szCs w:val="26"/>
        </w:rPr>
        <w:t>It also includes the cost of publishing the necessary notices in the Federal Register.</w:t>
      </w:r>
    </w:p>
    <w:p w:rsidR="003B37BD" w:rsidP="003B37BD" w14:paraId="086A4C53" w14:textId="77777777">
      <w:pPr>
        <w:spacing w:after="0" w:line="240" w:lineRule="auto"/>
        <w:rPr>
          <w:rFonts w:ascii="Times New Roman" w:hAnsi="Times New Roman" w:cs="Times New Roman"/>
          <w:sz w:val="26"/>
          <w:szCs w:val="26"/>
        </w:rPr>
      </w:pPr>
    </w:p>
    <w:p w:rsidR="003B37BD" w:rsidP="003B37BD" w14:paraId="70FEB68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estimated annualized cost to the Federal Government is as follows:</w:t>
      </w:r>
    </w:p>
    <w:p w:rsidR="003B37BD" w:rsidP="003B37BD" w14:paraId="76AE84CE" w14:textId="60FA4F71">
      <w:pPr>
        <w:spacing w:after="0" w:line="240" w:lineRule="auto"/>
        <w:rPr>
          <w:rFonts w:ascii="Times New Roman" w:hAnsi="Times New Roman" w:cs="Times New Roman"/>
          <w:sz w:val="26"/>
          <w:szCs w:val="26"/>
        </w:rPr>
      </w:pPr>
    </w:p>
    <w:p w:rsidR="00903137" w:rsidP="003B37BD" w14:paraId="7DC6822E" w14:textId="79BEBBAD">
      <w:pPr>
        <w:spacing w:after="0" w:line="240" w:lineRule="auto"/>
        <w:rPr>
          <w:rFonts w:ascii="Times New Roman" w:hAnsi="Times New Roman" w:cs="Times New Roman"/>
          <w:sz w:val="26"/>
          <w:szCs w:val="26"/>
        </w:rPr>
      </w:pPr>
      <w:r>
        <w:rPr>
          <w:rFonts w:ascii="Times New Roman" w:hAnsi="Times New Roman" w:cs="Times New Roman"/>
          <w:sz w:val="26"/>
          <w:szCs w:val="26"/>
        </w:rPr>
        <w:t>Table 2: Estimated Annual Cost to the Federal Government of FERC-550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6798B378" w14:textId="77777777" w:rsidTr="003B37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tcBorders>
              <w:top w:val="single" w:sz="4" w:space="0" w:color="auto"/>
              <w:left w:val="single" w:sz="4" w:space="0" w:color="auto"/>
              <w:bottom w:val="single" w:sz="4" w:space="0" w:color="auto"/>
              <w:right w:val="single" w:sz="4" w:space="0" w:color="auto"/>
            </w:tcBorders>
            <w:shd w:val="clear" w:color="auto" w:fill="CCCCCC"/>
          </w:tcPr>
          <w:p w:rsidR="003B37BD" w14:paraId="2029D297"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53" w:type="dxa"/>
            <w:tcBorders>
              <w:top w:val="single" w:sz="4" w:space="0" w:color="auto"/>
              <w:left w:val="single" w:sz="4" w:space="0" w:color="auto"/>
              <w:bottom w:val="single" w:sz="4" w:space="0" w:color="auto"/>
              <w:right w:val="single" w:sz="4" w:space="0" w:color="auto"/>
            </w:tcBorders>
            <w:shd w:val="clear" w:color="auto" w:fill="CCCCCC"/>
            <w:hideMark/>
          </w:tcPr>
          <w:p w:rsidR="003B37BD" w14:paraId="7F80B927"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of Employees (FTEs)</w:t>
            </w:r>
          </w:p>
        </w:tc>
        <w:tc>
          <w:tcPr>
            <w:tcW w:w="2965" w:type="dxa"/>
            <w:tcBorders>
              <w:top w:val="single" w:sz="4" w:space="0" w:color="auto"/>
              <w:left w:val="single" w:sz="4" w:space="0" w:color="auto"/>
              <w:bottom w:val="single" w:sz="4" w:space="0" w:color="auto"/>
              <w:right w:val="single" w:sz="4" w:space="0" w:color="auto"/>
            </w:tcBorders>
            <w:shd w:val="clear" w:color="auto" w:fill="CCCCCC"/>
            <w:hideMark/>
          </w:tcPr>
          <w:p w:rsidR="003B37BD" w14:paraId="084C0641"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Estimated Annual Federal Cost</w:t>
            </w:r>
          </w:p>
        </w:tc>
      </w:tr>
      <w:tr w14:paraId="3D3545D8" w14:textId="77777777" w:rsidTr="003B37BD">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3B37BD" w14:paraId="6829E3D9" w14:textId="7F753AE6">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Analysis and Processing of Filings</w:t>
            </w:r>
            <w:r>
              <w:rPr>
                <w:rStyle w:val="FootnoteReference"/>
                <w:rFonts w:ascii="Times New Roman" w:eastAsia="Times New Roman" w:hAnsi="Times New Roman" w:cs="Times New Roman"/>
              </w:rPr>
              <w:footnoteReference w:id="9"/>
            </w:r>
          </w:p>
        </w:tc>
        <w:tc>
          <w:tcPr>
            <w:tcW w:w="2953" w:type="dxa"/>
            <w:tcBorders>
              <w:top w:val="single" w:sz="4" w:space="0" w:color="auto"/>
              <w:left w:val="single" w:sz="4" w:space="0" w:color="auto"/>
              <w:bottom w:val="single" w:sz="4" w:space="0" w:color="auto"/>
              <w:right w:val="single" w:sz="4" w:space="0" w:color="auto"/>
            </w:tcBorders>
            <w:hideMark/>
          </w:tcPr>
          <w:p w:rsidR="003B37BD" w14:paraId="2A16F332"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965" w:type="dxa"/>
            <w:tcBorders>
              <w:top w:val="single" w:sz="4" w:space="0" w:color="auto"/>
              <w:left w:val="single" w:sz="4" w:space="0" w:color="auto"/>
              <w:bottom w:val="single" w:sz="4" w:space="0" w:color="auto"/>
              <w:right w:val="single" w:sz="4" w:space="0" w:color="auto"/>
            </w:tcBorders>
            <w:hideMark/>
          </w:tcPr>
          <w:p w:rsidR="003B37BD" w14:paraId="4D7C8634" w14:textId="1C9E8F50">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5D5921" w:rsidR="005D5921">
              <w:rPr>
                <w:rFonts w:ascii="Times New Roman" w:eastAsia="Times New Roman" w:hAnsi="Times New Roman" w:cs="Times New Roman"/>
                <w:sz w:val="26"/>
                <w:szCs w:val="26"/>
              </w:rPr>
              <w:t>1</w:t>
            </w:r>
            <w:r w:rsidR="005D5921">
              <w:rPr>
                <w:rFonts w:ascii="Times New Roman" w:eastAsia="Times New Roman" w:hAnsi="Times New Roman" w:cs="Times New Roman"/>
                <w:sz w:val="26"/>
                <w:szCs w:val="26"/>
              </w:rPr>
              <w:t>,</w:t>
            </w:r>
            <w:r w:rsidRPr="005D5921" w:rsidR="005D5921">
              <w:rPr>
                <w:rFonts w:ascii="Times New Roman" w:eastAsia="Times New Roman" w:hAnsi="Times New Roman" w:cs="Times New Roman"/>
                <w:sz w:val="26"/>
                <w:szCs w:val="26"/>
              </w:rPr>
              <w:t>712</w:t>
            </w:r>
            <w:r w:rsidR="005D5921">
              <w:rPr>
                <w:rFonts w:ascii="Times New Roman" w:eastAsia="Times New Roman" w:hAnsi="Times New Roman" w:cs="Times New Roman"/>
                <w:sz w:val="26"/>
                <w:szCs w:val="26"/>
              </w:rPr>
              <w:t>,</w:t>
            </w:r>
            <w:r w:rsidRPr="005D5921" w:rsidR="005D5921">
              <w:rPr>
                <w:rFonts w:ascii="Times New Roman" w:eastAsia="Times New Roman" w:hAnsi="Times New Roman" w:cs="Times New Roman"/>
                <w:sz w:val="26"/>
                <w:szCs w:val="26"/>
              </w:rPr>
              <w:t>744</w:t>
            </w:r>
          </w:p>
        </w:tc>
      </w:tr>
      <w:tr w14:paraId="55F562E6" w14:textId="77777777" w:rsidTr="003B37BD">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3B37BD" w14:paraId="3FC537DA" w14:textId="63323B63">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PRA</w:t>
            </w:r>
            <w:r>
              <w:rPr>
                <w:rFonts w:ascii="Times New Roman" w:eastAsia="Times New Roman" w:hAnsi="Times New Roman" w:cs="Times New Roman"/>
                <w:b/>
                <w:sz w:val="26"/>
                <w:szCs w:val="26"/>
                <w:vertAlign w:val="superscript"/>
              </w:rPr>
              <w:footnoteReference w:id="10"/>
            </w:r>
            <w:r>
              <w:rPr>
                <w:rFonts w:ascii="Times New Roman" w:eastAsia="Times New Roman" w:hAnsi="Times New Roman" w:cs="Times New Roman"/>
                <w:sz w:val="26"/>
                <w:szCs w:val="26"/>
                <w:vertAlign w:val="superscript"/>
              </w:rPr>
              <w:t xml:space="preserve"> </w:t>
            </w:r>
            <w:r>
              <w:rPr>
                <w:rFonts w:ascii="Times New Roman" w:eastAsia="Times New Roman" w:hAnsi="Times New Roman" w:cs="Times New Roman"/>
                <w:sz w:val="26"/>
                <w:szCs w:val="26"/>
              </w:rPr>
              <w:t>Administrative Cost</w:t>
            </w:r>
          </w:p>
        </w:tc>
        <w:tc>
          <w:tcPr>
            <w:tcW w:w="2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37BD" w14:paraId="0BFC6B82"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tcBorders>
              <w:top w:val="single" w:sz="4" w:space="0" w:color="auto"/>
              <w:left w:val="single" w:sz="4" w:space="0" w:color="auto"/>
              <w:bottom w:val="single" w:sz="4" w:space="0" w:color="auto"/>
              <w:right w:val="single" w:sz="4" w:space="0" w:color="auto"/>
            </w:tcBorders>
            <w:hideMark/>
          </w:tcPr>
          <w:p w:rsidR="003B37BD" w14:paraId="6DB50E60" w14:textId="02BD48C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D87B40">
              <w:rPr>
                <w:rFonts w:ascii="Times New Roman" w:eastAsia="Times New Roman" w:hAnsi="Times New Roman" w:cs="Times New Roman"/>
                <w:sz w:val="26"/>
                <w:szCs w:val="26"/>
              </w:rPr>
              <w:t>7,</w:t>
            </w:r>
            <w:r w:rsidR="00A30DE9">
              <w:rPr>
                <w:rFonts w:ascii="Times New Roman" w:eastAsia="Times New Roman" w:hAnsi="Times New Roman" w:cs="Times New Roman"/>
                <w:sz w:val="26"/>
                <w:szCs w:val="26"/>
              </w:rPr>
              <w:t>978</w:t>
            </w:r>
          </w:p>
        </w:tc>
      </w:tr>
      <w:tr w14:paraId="77467F01" w14:textId="77777777" w:rsidTr="003B37BD">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3B37BD" w14:paraId="41DFEC4B" w14:textId="77777777">
            <w:pPr>
              <w:widowControl w:val="0"/>
              <w:autoSpaceDE w:val="0"/>
              <w:autoSpaceDN w:val="0"/>
              <w:adjustRightInd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FERC Total</w:t>
            </w:r>
          </w:p>
        </w:tc>
        <w:tc>
          <w:tcPr>
            <w:tcW w:w="2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37BD" w14:paraId="4678D1D0"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tcBorders>
              <w:top w:val="single" w:sz="4" w:space="0" w:color="auto"/>
              <w:left w:val="single" w:sz="4" w:space="0" w:color="auto"/>
              <w:bottom w:val="single" w:sz="4" w:space="0" w:color="auto"/>
              <w:right w:val="single" w:sz="4" w:space="0" w:color="auto"/>
            </w:tcBorders>
            <w:hideMark/>
          </w:tcPr>
          <w:p w:rsidR="003B37BD" w14:paraId="2415E6DD" w14:textId="78E6DB9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80218C">
              <w:rPr>
                <w:rFonts w:ascii="Times New Roman" w:eastAsia="Times New Roman" w:hAnsi="Times New Roman" w:cs="Times New Roman"/>
                <w:sz w:val="26"/>
                <w:szCs w:val="26"/>
              </w:rPr>
              <w:t>$</w:t>
            </w:r>
            <w:r w:rsidRPr="00F058D3" w:rsidR="00F058D3">
              <w:rPr>
                <w:rFonts w:ascii="Times New Roman" w:eastAsia="Times New Roman" w:hAnsi="Times New Roman" w:cs="Times New Roman"/>
                <w:sz w:val="26"/>
                <w:szCs w:val="26"/>
              </w:rPr>
              <w:t>1</w:t>
            </w:r>
            <w:r w:rsidR="00F058D3">
              <w:rPr>
                <w:rFonts w:ascii="Times New Roman" w:eastAsia="Times New Roman" w:hAnsi="Times New Roman" w:cs="Times New Roman"/>
                <w:sz w:val="26"/>
                <w:szCs w:val="26"/>
              </w:rPr>
              <w:t>,</w:t>
            </w:r>
            <w:r w:rsidRPr="00F058D3" w:rsidR="00F058D3">
              <w:rPr>
                <w:rFonts w:ascii="Times New Roman" w:eastAsia="Times New Roman" w:hAnsi="Times New Roman" w:cs="Times New Roman"/>
                <w:sz w:val="26"/>
                <w:szCs w:val="26"/>
              </w:rPr>
              <w:t>720</w:t>
            </w:r>
            <w:r w:rsidR="00F058D3">
              <w:rPr>
                <w:rFonts w:ascii="Times New Roman" w:eastAsia="Times New Roman" w:hAnsi="Times New Roman" w:cs="Times New Roman"/>
                <w:sz w:val="26"/>
                <w:szCs w:val="26"/>
              </w:rPr>
              <w:t>,</w:t>
            </w:r>
            <w:r w:rsidRPr="00F058D3" w:rsidR="00F058D3">
              <w:rPr>
                <w:rFonts w:ascii="Times New Roman" w:eastAsia="Times New Roman" w:hAnsi="Times New Roman" w:cs="Times New Roman"/>
                <w:sz w:val="26"/>
                <w:szCs w:val="26"/>
              </w:rPr>
              <w:t>722</w:t>
            </w:r>
          </w:p>
        </w:tc>
      </w:tr>
    </w:tbl>
    <w:p w:rsidR="003B37BD" w:rsidP="003B37BD" w14:paraId="66833795" w14:textId="77777777">
      <w:pPr>
        <w:spacing w:after="0" w:line="240" w:lineRule="auto"/>
        <w:rPr>
          <w:rFonts w:ascii="Times New Roman" w:hAnsi="Times New Roman" w:cs="Times New Roman"/>
          <w:sz w:val="26"/>
          <w:szCs w:val="26"/>
        </w:rPr>
      </w:pPr>
    </w:p>
    <w:p w:rsidR="003B37BD" w:rsidP="003B37BD" w14:paraId="52F8307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3B37BD" w:rsidP="003B37BD" w14:paraId="1667F6D6" w14:textId="77777777">
      <w:pPr>
        <w:spacing w:after="0" w:line="240" w:lineRule="auto"/>
      </w:pPr>
    </w:p>
    <w:p w:rsidR="00D33385" w:rsidP="003B37BD" w14:paraId="3B3CCB40" w14:textId="09CA64D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The reporting requirements have not changed.</w:t>
      </w:r>
      <w:r w:rsidR="003E43D4">
        <w:rPr>
          <w:rFonts w:ascii="Times New Roman" w:hAnsi="Times New Roman" w:cs="Times New Roman"/>
          <w:sz w:val="26"/>
          <w:szCs w:val="26"/>
        </w:rPr>
        <w:t xml:space="preserve"> </w:t>
      </w:r>
      <w:r w:rsidR="00266C9F">
        <w:rPr>
          <w:rFonts w:ascii="Times New Roman" w:hAnsi="Times New Roman" w:cs="Times New Roman"/>
          <w:sz w:val="26"/>
          <w:szCs w:val="26"/>
        </w:rPr>
        <w:t xml:space="preserve">The adjustments in the number of responses </w:t>
      </w:r>
      <w:r w:rsidR="00D01EB0">
        <w:rPr>
          <w:rFonts w:ascii="Times New Roman" w:hAnsi="Times New Roman" w:cs="Times New Roman"/>
          <w:sz w:val="26"/>
          <w:szCs w:val="26"/>
        </w:rPr>
        <w:t>and burden are due to changes in the number of respondents for the various submission types.</w:t>
      </w:r>
    </w:p>
    <w:p w:rsidR="00DB56CC" w:rsidRPr="00680504" w:rsidP="00DB56CC" w14:paraId="6D8C02CE" w14:textId="77777777">
      <w:pPr>
        <w:autoSpaceDE w:val="0"/>
        <w:autoSpaceDN w:val="0"/>
        <w:adjustRightInd w:val="0"/>
        <w:spacing w:after="0" w:line="240" w:lineRule="auto"/>
        <w:rPr>
          <w:rFonts w:ascii="Times New Roman" w:eastAsia="Times New Roman" w:hAnsi="Times New Roman" w:cs="Times New Roman"/>
          <w:sz w:val="26"/>
          <w:szCs w:val="26"/>
        </w:rPr>
      </w:pPr>
    </w:p>
    <w:p w:rsidR="00903137" w:rsidP="003B37BD" w14:paraId="5FE6C26A" w14:textId="28A4A1F7">
      <w:pPr>
        <w:spacing w:after="0" w:line="240" w:lineRule="auto"/>
        <w:rPr>
          <w:rFonts w:ascii="Times New Roman" w:hAnsi="Times New Roman" w:cs="Times New Roman"/>
          <w:sz w:val="26"/>
          <w:szCs w:val="26"/>
        </w:rPr>
      </w:pPr>
      <w:r>
        <w:rPr>
          <w:rFonts w:ascii="Times New Roman" w:hAnsi="Times New Roman" w:cs="Times New Roman"/>
          <w:sz w:val="26"/>
          <w:szCs w:val="26"/>
        </w:rPr>
        <w:t>Table 3: Change in Respon</w:t>
      </w:r>
      <w:r w:rsidR="00F759DC">
        <w:rPr>
          <w:rFonts w:ascii="Times New Roman" w:hAnsi="Times New Roman" w:cs="Times New Roman"/>
          <w:sz w:val="26"/>
          <w:szCs w:val="26"/>
        </w:rPr>
        <w:t>ses</w:t>
      </w:r>
      <w:r>
        <w:rPr>
          <w:rFonts w:ascii="Times New Roman" w:hAnsi="Times New Roman" w:cs="Times New Roman"/>
          <w:sz w:val="26"/>
          <w:szCs w:val="26"/>
        </w:rPr>
        <w:t xml:space="preserve"> and Burden Hours from Previous Collection </w:t>
      </w:r>
    </w:p>
    <w:tbl>
      <w:tblPr>
        <w:tblW w:w="10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2"/>
        <w:gridCol w:w="1779"/>
        <w:gridCol w:w="1959"/>
        <w:gridCol w:w="1958"/>
        <w:gridCol w:w="1960"/>
      </w:tblGrid>
      <w:tr w14:paraId="4B72A733" w14:textId="77777777" w:rsidTr="003B37BD">
        <w:tblPrEx>
          <w:tblW w:w="10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70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B37BD" w14:paraId="644BAEE9"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FERC-550</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B37BD" w14:paraId="4682165B"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B37BD" w14:paraId="07A0889D"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B37BD" w14:paraId="34A5A390"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Adjustment in Estimate</w:t>
            </w:r>
          </w:p>
        </w:tc>
        <w:tc>
          <w:tcPr>
            <w:tcW w:w="196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B37BD" w14:paraId="51808B73"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14:paraId="7CF6F1EC" w14:textId="77777777" w:rsidTr="00D861D6">
        <w:tblPrEx>
          <w:tblW w:w="10358" w:type="dxa"/>
          <w:tblInd w:w="-5" w:type="dxa"/>
          <w:tblLook w:val="01E0"/>
        </w:tblPrEx>
        <w:trPr>
          <w:trHeight w:val="591"/>
        </w:trPr>
        <w:tc>
          <w:tcPr>
            <w:tcW w:w="2702" w:type="dxa"/>
            <w:tcBorders>
              <w:top w:val="single" w:sz="4" w:space="0" w:color="auto"/>
              <w:left w:val="single" w:sz="4" w:space="0" w:color="auto"/>
              <w:bottom w:val="single" w:sz="4" w:space="0" w:color="auto"/>
              <w:right w:val="single" w:sz="4" w:space="0" w:color="auto"/>
            </w:tcBorders>
            <w:hideMark/>
          </w:tcPr>
          <w:p w:rsidR="00BC12EB" w:rsidP="00BC12EB" w14:paraId="0885230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hideMark/>
          </w:tcPr>
          <w:p w:rsidR="00BC12EB" w:rsidP="00BC12EB" w14:paraId="769C77CF" w14:textId="567FD179">
            <w:pPr>
              <w:spacing w:after="0" w:line="240" w:lineRule="auto"/>
              <w:jc w:val="right"/>
              <w:rPr>
                <w:rFonts w:ascii="Times New Roman" w:hAnsi="Times New Roman" w:cs="Times New Roman"/>
                <w:sz w:val="26"/>
                <w:szCs w:val="26"/>
              </w:rPr>
            </w:pPr>
            <w:r>
              <w:rPr>
                <w:rFonts w:ascii="Times New Roman" w:eastAsia="Times New Roman" w:hAnsi="Times New Roman" w:cs="Times New Roman"/>
                <w:sz w:val="26"/>
                <w:szCs w:val="26"/>
              </w:rPr>
              <w:t>805</w:t>
            </w:r>
          </w:p>
        </w:tc>
        <w:tc>
          <w:tcPr>
            <w:tcW w:w="1959" w:type="dxa"/>
            <w:tcBorders>
              <w:top w:val="single" w:sz="4" w:space="0" w:color="auto"/>
              <w:left w:val="single" w:sz="4" w:space="0" w:color="auto"/>
              <w:bottom w:val="single" w:sz="4" w:space="0" w:color="auto"/>
              <w:right w:val="single" w:sz="4" w:space="0" w:color="auto"/>
            </w:tcBorders>
            <w:vAlign w:val="center"/>
            <w:hideMark/>
          </w:tcPr>
          <w:p w:rsidR="00BC12EB" w:rsidP="00BC12EB" w14:paraId="6BAD44F8" w14:textId="1B6FED1A">
            <w:pPr>
              <w:spacing w:after="0" w:line="240" w:lineRule="auto"/>
              <w:jc w:val="right"/>
              <w:rPr>
                <w:rFonts w:ascii="Times New Roman" w:hAnsi="Times New Roman" w:cs="Times New Roman"/>
                <w:sz w:val="26"/>
                <w:szCs w:val="26"/>
              </w:rPr>
            </w:pPr>
            <w:r>
              <w:rPr>
                <w:rFonts w:ascii="Times New Roman" w:eastAsia="Times New Roman" w:hAnsi="Times New Roman" w:cs="Times New Roman"/>
                <w:sz w:val="26"/>
                <w:szCs w:val="26"/>
              </w:rPr>
              <w:t>803</w:t>
            </w:r>
          </w:p>
        </w:tc>
        <w:tc>
          <w:tcPr>
            <w:tcW w:w="1958" w:type="dxa"/>
            <w:tcBorders>
              <w:top w:val="single" w:sz="4" w:space="0" w:color="auto"/>
              <w:left w:val="single" w:sz="4" w:space="0" w:color="auto"/>
              <w:bottom w:val="single" w:sz="4" w:space="0" w:color="auto"/>
              <w:right w:val="single" w:sz="4" w:space="0" w:color="auto"/>
            </w:tcBorders>
            <w:vAlign w:val="center"/>
            <w:hideMark/>
          </w:tcPr>
          <w:p w:rsidR="00BC12EB" w:rsidP="00BC12EB" w14:paraId="713BD933" w14:textId="7AED41B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D87129">
              <w:rPr>
                <w:rFonts w:ascii="Times New Roman" w:hAnsi="Times New Roman" w:cs="Times New Roman"/>
                <w:sz w:val="26"/>
                <w:szCs w:val="26"/>
              </w:rPr>
              <w:t>2</w:t>
            </w:r>
          </w:p>
        </w:tc>
        <w:tc>
          <w:tcPr>
            <w:tcW w:w="1960" w:type="dxa"/>
            <w:tcBorders>
              <w:top w:val="single" w:sz="4" w:space="0" w:color="auto"/>
              <w:left w:val="single" w:sz="4" w:space="0" w:color="auto"/>
              <w:bottom w:val="single" w:sz="4" w:space="0" w:color="auto"/>
              <w:right w:val="single" w:sz="4" w:space="0" w:color="auto"/>
            </w:tcBorders>
            <w:vAlign w:val="center"/>
            <w:hideMark/>
          </w:tcPr>
          <w:p w:rsidR="00BC12EB" w:rsidP="00BC12EB" w14:paraId="20086427" w14:textId="3868C82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0</w:t>
            </w:r>
          </w:p>
        </w:tc>
      </w:tr>
      <w:tr w14:paraId="7F66C3C8" w14:textId="77777777" w:rsidTr="00D861D6">
        <w:tblPrEx>
          <w:tblW w:w="10358" w:type="dxa"/>
          <w:tblInd w:w="-5" w:type="dxa"/>
          <w:tblLook w:val="01E0"/>
        </w:tblPrEx>
        <w:trPr>
          <w:trHeight w:val="575"/>
        </w:trPr>
        <w:tc>
          <w:tcPr>
            <w:tcW w:w="2702" w:type="dxa"/>
            <w:tcBorders>
              <w:top w:val="single" w:sz="4" w:space="0" w:color="auto"/>
              <w:left w:val="single" w:sz="4" w:space="0" w:color="auto"/>
              <w:bottom w:val="single" w:sz="4" w:space="0" w:color="auto"/>
              <w:right w:val="single" w:sz="4" w:space="0" w:color="auto"/>
            </w:tcBorders>
            <w:hideMark/>
          </w:tcPr>
          <w:p w:rsidR="00BC12EB" w:rsidP="00BC12EB" w14:paraId="28ABEF0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center"/>
            <w:hideMark/>
          </w:tcPr>
          <w:p w:rsidR="00BC12EB" w:rsidP="00BC12EB" w14:paraId="66FEE3E5" w14:textId="5E44BAFE">
            <w:pPr>
              <w:spacing w:after="0" w:line="240" w:lineRule="auto"/>
              <w:jc w:val="right"/>
              <w:rPr>
                <w:rFonts w:ascii="Times New Roman" w:hAnsi="Times New Roman" w:cs="Times New Roman"/>
                <w:sz w:val="26"/>
                <w:szCs w:val="26"/>
              </w:rPr>
            </w:pPr>
            <w:r w:rsidRPr="005B413B">
              <w:rPr>
                <w:rFonts w:ascii="Times New Roman" w:hAnsi="Times New Roman" w:cs="Times New Roman"/>
                <w:sz w:val="26"/>
                <w:szCs w:val="26"/>
              </w:rPr>
              <w:t>6,</w:t>
            </w:r>
            <w:r w:rsidR="00D87129">
              <w:rPr>
                <w:rFonts w:ascii="Times New Roman" w:hAnsi="Times New Roman" w:cs="Times New Roman"/>
                <w:sz w:val="26"/>
                <w:szCs w:val="26"/>
              </w:rPr>
              <w:t>186</w:t>
            </w:r>
          </w:p>
        </w:tc>
        <w:tc>
          <w:tcPr>
            <w:tcW w:w="1959" w:type="dxa"/>
            <w:tcBorders>
              <w:top w:val="single" w:sz="4" w:space="0" w:color="auto"/>
              <w:left w:val="single" w:sz="4" w:space="0" w:color="auto"/>
              <w:bottom w:val="single" w:sz="4" w:space="0" w:color="auto"/>
              <w:right w:val="single" w:sz="4" w:space="0" w:color="auto"/>
            </w:tcBorders>
            <w:vAlign w:val="center"/>
            <w:hideMark/>
          </w:tcPr>
          <w:p w:rsidR="00BC12EB" w:rsidP="00BC12EB" w14:paraId="5B79B30A" w14:textId="290F3BFC">
            <w:pPr>
              <w:spacing w:after="0" w:line="240" w:lineRule="auto"/>
              <w:jc w:val="right"/>
              <w:rPr>
                <w:rFonts w:ascii="Times New Roman" w:hAnsi="Times New Roman" w:cs="Times New Roman"/>
                <w:sz w:val="26"/>
                <w:szCs w:val="26"/>
              </w:rPr>
            </w:pPr>
            <w:r w:rsidRPr="00D87B40">
              <w:rPr>
                <w:rFonts w:ascii="Times New Roman" w:eastAsia="Times New Roman" w:hAnsi="Times New Roman" w:cs="Times New Roman"/>
                <w:sz w:val="26"/>
                <w:szCs w:val="26"/>
              </w:rPr>
              <w:t>6,</w:t>
            </w:r>
            <w:r w:rsidR="00D87129">
              <w:rPr>
                <w:rFonts w:ascii="Times New Roman" w:eastAsia="Times New Roman" w:hAnsi="Times New Roman" w:cs="Times New Roman"/>
                <w:sz w:val="26"/>
                <w:szCs w:val="26"/>
              </w:rPr>
              <w:t>403</w:t>
            </w:r>
          </w:p>
        </w:tc>
        <w:tc>
          <w:tcPr>
            <w:tcW w:w="1958" w:type="dxa"/>
            <w:tcBorders>
              <w:top w:val="single" w:sz="4" w:space="0" w:color="auto"/>
              <w:left w:val="single" w:sz="4" w:space="0" w:color="auto"/>
              <w:bottom w:val="single" w:sz="4" w:space="0" w:color="auto"/>
              <w:right w:val="single" w:sz="4" w:space="0" w:color="auto"/>
            </w:tcBorders>
            <w:vAlign w:val="center"/>
            <w:hideMark/>
          </w:tcPr>
          <w:p w:rsidR="00BC12EB" w:rsidP="00BC12EB" w14:paraId="66D66138" w14:textId="59FE3AB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-217</w:t>
            </w:r>
          </w:p>
        </w:tc>
        <w:tc>
          <w:tcPr>
            <w:tcW w:w="1960" w:type="dxa"/>
            <w:tcBorders>
              <w:top w:val="single" w:sz="4" w:space="0" w:color="auto"/>
              <w:left w:val="single" w:sz="4" w:space="0" w:color="auto"/>
              <w:bottom w:val="single" w:sz="4" w:space="0" w:color="auto"/>
              <w:right w:val="single" w:sz="4" w:space="0" w:color="auto"/>
            </w:tcBorders>
            <w:vAlign w:val="center"/>
            <w:hideMark/>
          </w:tcPr>
          <w:p w:rsidR="00BC12EB" w:rsidP="00BC12EB" w14:paraId="495C9256"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2E37313D" w14:textId="77777777" w:rsidTr="00D861D6">
        <w:tblPrEx>
          <w:tblW w:w="10358" w:type="dxa"/>
          <w:tblInd w:w="-5" w:type="dxa"/>
          <w:tblLook w:val="01E0"/>
        </w:tblPrEx>
        <w:trPr>
          <w:trHeight w:val="295"/>
        </w:trPr>
        <w:tc>
          <w:tcPr>
            <w:tcW w:w="2702" w:type="dxa"/>
            <w:tcBorders>
              <w:top w:val="single" w:sz="4" w:space="0" w:color="auto"/>
              <w:left w:val="single" w:sz="4" w:space="0" w:color="auto"/>
              <w:bottom w:val="single" w:sz="4" w:space="0" w:color="auto"/>
              <w:right w:val="single" w:sz="4" w:space="0" w:color="auto"/>
            </w:tcBorders>
            <w:hideMark/>
          </w:tcPr>
          <w:p w:rsidR="003B37BD" w14:paraId="2471C7F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center"/>
            <w:hideMark/>
          </w:tcPr>
          <w:p w:rsidR="003B37BD" w:rsidP="00903137" w14:paraId="3C122A5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center"/>
            <w:hideMark/>
          </w:tcPr>
          <w:p w:rsidR="003B37BD" w:rsidP="00492096" w14:paraId="1FEE7DD5"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center"/>
            <w:hideMark/>
          </w:tcPr>
          <w:p w:rsidR="003B37BD" w14:paraId="1B5E1964"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60" w:type="dxa"/>
            <w:tcBorders>
              <w:top w:val="single" w:sz="4" w:space="0" w:color="auto"/>
              <w:left w:val="single" w:sz="4" w:space="0" w:color="auto"/>
              <w:bottom w:val="single" w:sz="4" w:space="0" w:color="auto"/>
              <w:right w:val="single" w:sz="4" w:space="0" w:color="auto"/>
            </w:tcBorders>
            <w:vAlign w:val="center"/>
            <w:hideMark/>
          </w:tcPr>
          <w:p w:rsidR="003B37BD" w14:paraId="0400CFF9"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3B37BD" w:rsidP="003B37BD" w14:paraId="1668CA5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3B37BD" w:rsidP="003B37BD" w14:paraId="4D26B1D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3B37BD" w:rsidP="003B37BD" w14:paraId="608136DB" w14:textId="77777777">
      <w:pPr>
        <w:spacing w:after="0" w:line="240" w:lineRule="auto"/>
        <w:rPr>
          <w:rFonts w:ascii="Times New Roman" w:hAnsi="Times New Roman" w:cs="Times New Roman"/>
          <w:sz w:val="26"/>
          <w:szCs w:val="26"/>
        </w:rPr>
      </w:pPr>
    </w:p>
    <w:p w:rsidR="003B37BD" w:rsidP="003B37BD" w14:paraId="582260C6" w14:textId="77823FB3">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publish data associated with this collection.</w:t>
      </w:r>
      <w:r w:rsidR="003E43D4">
        <w:rPr>
          <w:rFonts w:ascii="Times New Roman" w:hAnsi="Times New Roman" w:cs="Times New Roman"/>
          <w:sz w:val="26"/>
          <w:szCs w:val="26"/>
        </w:rPr>
        <w:t xml:space="preserve"> </w:t>
      </w:r>
      <w:r>
        <w:rPr>
          <w:rFonts w:ascii="Times New Roman" w:hAnsi="Times New Roman" w:cs="Times New Roman"/>
          <w:sz w:val="26"/>
          <w:szCs w:val="26"/>
        </w:rPr>
        <w:t xml:space="preserve">Tariff filings are available publicly through the Commission’s </w:t>
      </w:r>
      <w:r>
        <w:rPr>
          <w:rFonts w:ascii="Times New Roman" w:hAnsi="Times New Roman" w:cs="Times New Roman"/>
          <w:sz w:val="26"/>
          <w:szCs w:val="26"/>
        </w:rPr>
        <w:t>eTariff</w:t>
      </w:r>
      <w:r>
        <w:rPr>
          <w:rFonts w:ascii="Times New Roman" w:hAnsi="Times New Roman" w:cs="Times New Roman"/>
          <w:sz w:val="26"/>
          <w:szCs w:val="26"/>
        </w:rPr>
        <w:t xml:space="preserve"> system. </w:t>
      </w:r>
    </w:p>
    <w:p w:rsidR="00192E34" w:rsidP="003B37BD" w14:paraId="4640A1FD" w14:textId="77777777">
      <w:pPr>
        <w:spacing w:after="0" w:line="240" w:lineRule="auto"/>
        <w:rPr>
          <w:rFonts w:ascii="Times New Roman" w:hAnsi="Times New Roman" w:cs="Times New Roman"/>
          <w:sz w:val="26"/>
          <w:szCs w:val="26"/>
        </w:rPr>
      </w:pPr>
    </w:p>
    <w:p w:rsidR="003B37BD" w:rsidP="003B37BD" w14:paraId="7FDB89D8"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DISPLAY OF EXPIRATION DATE</w:t>
      </w:r>
    </w:p>
    <w:p w:rsidR="003B37BD" w:rsidP="003B37BD" w14:paraId="244419DC" w14:textId="77777777">
      <w:pPr>
        <w:spacing w:after="0" w:line="240" w:lineRule="auto"/>
        <w:rPr>
          <w:rFonts w:ascii="Times New Roman" w:hAnsi="Times New Roman" w:cs="Times New Roman"/>
          <w:sz w:val="26"/>
          <w:szCs w:val="26"/>
        </w:rPr>
      </w:pPr>
    </w:p>
    <w:p w:rsidR="003B37BD" w:rsidP="003B37BD" w14:paraId="63A0C019" w14:textId="40AB9969">
      <w:pPr>
        <w:spacing w:after="0" w:line="240" w:lineRule="auto"/>
        <w:rPr>
          <w:rFonts w:ascii="Times New Roman" w:hAnsi="Times New Roman" w:cs="Times New Roman"/>
          <w:sz w:val="26"/>
          <w:szCs w:val="26"/>
        </w:rPr>
      </w:pPr>
      <w:r>
        <w:rPr>
          <w:rFonts w:ascii="Times New Roman" w:hAnsi="Times New Roman" w:cs="Times New Roman"/>
          <w:sz w:val="26"/>
          <w:szCs w:val="26"/>
        </w:rPr>
        <w:t>The OMB expiration dates are posted on ferc.gov at</w:t>
      </w:r>
      <w:r w:rsidR="00073358">
        <w:t> </w:t>
      </w:r>
      <w:hyperlink r:id="rId11" w:tgtFrame="_blank" w:history="1">
        <w:r w:rsidR="00073358">
          <w:rPr>
            <w:rStyle w:val="Hyperlink"/>
          </w:rPr>
          <w:t>Information Collections | Federal Energy Regulatory Commission (ferc.gov)</w:t>
        </w:r>
      </w:hyperlink>
    </w:p>
    <w:p w:rsidR="003B37BD" w:rsidP="003B37BD" w14:paraId="28F65B3F" w14:textId="77777777">
      <w:pPr>
        <w:spacing w:after="0" w:line="240" w:lineRule="auto"/>
        <w:rPr>
          <w:rFonts w:ascii="Times New Roman" w:hAnsi="Times New Roman" w:cs="Times New Roman"/>
          <w:sz w:val="26"/>
          <w:szCs w:val="26"/>
        </w:rPr>
      </w:pPr>
    </w:p>
    <w:p w:rsidR="003B37BD" w:rsidP="003B37BD" w14:paraId="0E174367"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3B37BD" w:rsidP="003B37BD" w14:paraId="2D816CC8" w14:textId="77777777">
      <w:pPr>
        <w:spacing w:after="0" w:line="240" w:lineRule="auto"/>
        <w:rPr>
          <w:rFonts w:ascii="Times New Roman" w:hAnsi="Times New Roman" w:cs="Times New Roman"/>
          <w:b/>
          <w:sz w:val="26"/>
          <w:szCs w:val="26"/>
        </w:rPr>
      </w:pPr>
    </w:p>
    <w:p w:rsidR="003B37BD" w:rsidP="003B37BD" w14:paraId="59370E7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exceptions.</w:t>
      </w:r>
    </w:p>
    <w:p w:rsidR="00E704E3" w14:paraId="3033EFCF" w14:textId="77777777"/>
    <w:sectPr w:rsidSect="0041341E">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0852730"/>
      <w:docPartObj>
        <w:docPartGallery w:val="Page Numbers (Bottom of Page)"/>
        <w:docPartUnique/>
      </w:docPartObj>
    </w:sdtPr>
    <w:sdtEndPr>
      <w:rPr>
        <w:noProof/>
      </w:rPr>
    </w:sdtEndPr>
    <w:sdtContent>
      <w:p w:rsidR="003B748B" w14:paraId="1D4E1527" w14:textId="51713212">
        <w:pPr>
          <w:pStyle w:val="Footer"/>
          <w:jc w:val="right"/>
        </w:pPr>
        <w:r>
          <w:fldChar w:fldCharType="begin"/>
        </w:r>
        <w:r>
          <w:instrText xml:space="preserve"> PAGE   \* MERGEFORMAT </w:instrText>
        </w:r>
        <w:r>
          <w:fldChar w:fldCharType="separate"/>
        </w:r>
        <w:r w:rsidR="00C469C1">
          <w:rPr>
            <w:noProof/>
          </w:rPr>
          <w:t>8</w:t>
        </w:r>
        <w:r>
          <w:rPr>
            <w:noProof/>
          </w:rPr>
          <w:fldChar w:fldCharType="end"/>
        </w:r>
      </w:p>
    </w:sdtContent>
  </w:sdt>
  <w:p w:rsidR="00673401" w14:paraId="4836C2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C98" w:rsidP="003B37BD" w14:paraId="66AE3579" w14:textId="77777777">
      <w:pPr>
        <w:spacing w:after="0" w:line="240" w:lineRule="auto"/>
      </w:pPr>
      <w:r>
        <w:separator/>
      </w:r>
    </w:p>
  </w:footnote>
  <w:footnote w:type="continuationSeparator" w:id="1">
    <w:p w:rsidR="00571C98" w:rsidP="003B37BD" w14:paraId="579C9880" w14:textId="77777777">
      <w:pPr>
        <w:spacing w:after="0" w:line="240" w:lineRule="auto"/>
      </w:pPr>
      <w:r>
        <w:continuationSeparator/>
      </w:r>
    </w:p>
  </w:footnote>
  <w:footnote w:type="continuationNotice" w:id="2">
    <w:p w:rsidR="00571C98" w14:paraId="08D83016" w14:textId="77777777">
      <w:pPr>
        <w:spacing w:after="0" w:line="240" w:lineRule="auto"/>
      </w:pPr>
    </w:p>
  </w:footnote>
  <w:footnote w:id="3">
    <w:p w:rsidR="003B37BD" w:rsidRPr="00281710" w:rsidP="003B37BD" w14:paraId="3123E4D4" w14:textId="5D14718F">
      <w:pPr>
        <w:pStyle w:val="FootnoteText"/>
      </w:pPr>
      <w:r w:rsidRPr="00281710">
        <w:rPr>
          <w:rStyle w:val="FootnoteReference"/>
          <w:sz w:val="20"/>
          <w:szCs w:val="20"/>
        </w:rPr>
        <w:footnoteRef/>
      </w:r>
      <w:r w:rsidRPr="00281710">
        <w:rPr>
          <w:vertAlign w:val="superscript"/>
        </w:rPr>
        <w:t xml:space="preserve"> </w:t>
      </w:r>
      <w:r w:rsidRPr="00281710">
        <w:t>In 1977, Congress transferred regulatory authority over oil pipelines to FERC.</w:t>
      </w:r>
      <w:r w:rsidR="003E43D4">
        <w:t xml:space="preserve"> </w:t>
      </w:r>
      <w:r w:rsidRPr="00281710">
        <w:t>Section 402 of the Department of Energy Organization Act transferred the ICC's (Interstate Commerce Commission) oil pipeline jurisdiction to FERC.</w:t>
      </w:r>
      <w:r w:rsidR="003E43D4">
        <w:t xml:space="preserve"> </w:t>
      </w:r>
      <w:r w:rsidRPr="00281710">
        <w:t>Department of Energy Organization Act, Pub. L. No. 95-91, 91 Stat. 565, 584 (1977) (codified at 42 U.S.C. § 7172(b)), effectuated, Exec. Order No. 12,009, 42 Fed. Reg. 161,377 240 7-18-85 46,267 (Sept. 13, 1977), implemented, 42 Fed. Reg. 55,534 (Oct. 17, 1977).</w:t>
      </w:r>
    </w:p>
  </w:footnote>
  <w:footnote w:id="4">
    <w:p w:rsidR="003B37BD" w:rsidP="003B37BD" w14:paraId="5FF7E41A" w14:textId="1F2B3A0A">
      <w:pPr>
        <w:pStyle w:val="FootnoteText"/>
      </w:pPr>
      <w:r w:rsidRPr="00281710">
        <w:rPr>
          <w:rStyle w:val="FootnoteReference"/>
          <w:sz w:val="20"/>
          <w:szCs w:val="20"/>
        </w:rPr>
        <w:footnoteRef/>
      </w:r>
      <w:r w:rsidRPr="00281710">
        <w:rPr>
          <w:vertAlign w:val="superscript"/>
        </w:rPr>
        <w:t xml:space="preserve"> </w:t>
      </w:r>
      <w:r w:rsidRPr="00281710">
        <w:t>18 Code of Federal Requirements (</w:t>
      </w:r>
      <w:r w:rsidRPr="00281710" w:rsidR="00E52E1C">
        <w:t>CFR)</w:t>
      </w:r>
      <w:r w:rsidRPr="00281710">
        <w:t xml:space="preserve"> Parts 341-348.</w:t>
      </w:r>
    </w:p>
  </w:footnote>
  <w:footnote w:id="5">
    <w:p w:rsidR="00267B1A" w:rsidRPr="005C67DC" w:rsidP="00267B1A" w14:paraId="4F63AA68" w14:textId="77777777">
      <w:pPr>
        <w:pStyle w:val="FootnoteText"/>
        <w:rPr>
          <w:lang w:val="fr-FR"/>
        </w:rPr>
      </w:pPr>
      <w:r w:rsidRPr="005C67DC">
        <w:rPr>
          <w:rStyle w:val="FootnoteReference"/>
          <w:bCs/>
        </w:rPr>
        <w:footnoteRef/>
      </w:r>
      <w:r w:rsidRPr="005C67DC">
        <w:rPr>
          <w:vertAlign w:val="superscript"/>
          <w:lang w:val="fr-FR"/>
        </w:rPr>
        <w:t xml:space="preserve"> </w:t>
      </w:r>
      <w:r w:rsidRPr="005C67DC">
        <w:rPr>
          <w:lang w:val="fr-FR"/>
        </w:rPr>
        <w:t>5 CFR 1320.8(d)</w:t>
      </w:r>
    </w:p>
  </w:footnote>
  <w:footnote w:id="6">
    <w:p w:rsidR="003B37BD" w:rsidP="003B37BD" w14:paraId="03813115" w14:textId="0BDB95F1">
      <w:pPr>
        <w:pStyle w:val="FootnoteText"/>
      </w:pPr>
      <w:r>
        <w:rPr>
          <w:rStyle w:val="FootnoteReference"/>
        </w:rPr>
        <w:footnoteRef/>
      </w:r>
      <w:r w:rsidR="009766D0">
        <w:rPr>
          <w:sz w:val="26"/>
          <w:szCs w:val="26"/>
        </w:rPr>
        <w:t xml:space="preserve"> </w:t>
      </w:r>
      <w:r>
        <w:rPr>
          <w:sz w:val="26"/>
          <w:szCs w:val="26"/>
        </w:rPr>
        <w:t>“Burden” is the total time, effort, or financial resources expended by persons to generate, maintain, retain, or disclose or provide information to or for a Federal agency.</w:t>
      </w:r>
      <w:r w:rsidR="003E43D4">
        <w:rPr>
          <w:sz w:val="26"/>
          <w:szCs w:val="26"/>
        </w:rPr>
        <w:t xml:space="preserve"> </w:t>
      </w:r>
      <w:r>
        <w:rPr>
          <w:sz w:val="26"/>
          <w:szCs w:val="26"/>
        </w:rPr>
        <w:t>For further explanation of what is included in the information collection burden, refer to 5 CFR § 1320.3.</w:t>
      </w:r>
    </w:p>
  </w:footnote>
  <w:footnote w:id="7">
    <w:p w:rsidR="003B37BD" w:rsidP="003B37BD" w14:paraId="0E449C84" w14:textId="4CC2E898">
      <w:pPr>
        <w:pStyle w:val="FootnoteText"/>
      </w:pPr>
      <w:r>
        <w:rPr>
          <w:rStyle w:val="FootnoteReference"/>
        </w:rPr>
        <w:footnoteRef/>
      </w:r>
      <w:r>
        <w:rPr>
          <w:vertAlign w:val="superscript"/>
        </w:rPr>
        <w:t xml:space="preserve"> </w:t>
      </w:r>
      <w:r w:rsidRPr="00FE1E25" w:rsidR="00FE1E25">
        <w:rPr>
          <w:sz w:val="26"/>
          <w:szCs w:val="26"/>
        </w:rPr>
        <w:t>FERC staff estimates that industry costs for salary plus benefits are similar to Commission costs. The cost figure is the FY2025 FERC average annual salary plus benefits ($214,093</w:t>
      </w:r>
      <w:r w:rsidR="00A3312B">
        <w:rPr>
          <w:sz w:val="26"/>
          <w:szCs w:val="26"/>
        </w:rPr>
        <w:t>/</w:t>
      </w:r>
      <w:r w:rsidRPr="00FE1E25" w:rsidR="00FE1E25">
        <w:rPr>
          <w:sz w:val="26"/>
          <w:szCs w:val="26"/>
        </w:rPr>
        <w:t>year or $103/hour)</w:t>
      </w:r>
    </w:p>
  </w:footnote>
  <w:footnote w:id="8">
    <w:p w:rsidR="00D87B40" w:rsidP="00D87B40" w14:paraId="7BF18C61" w14:textId="77777777">
      <w:pPr>
        <w:pStyle w:val="FootnoteText"/>
      </w:pPr>
      <w:r w:rsidRPr="00BE7E15">
        <w:rPr>
          <w:rStyle w:val="FootnoteReference"/>
          <w:bCs/>
          <w:szCs w:val="26"/>
        </w:rPr>
        <w:footnoteRef/>
      </w:r>
      <w:r w:rsidRPr="001E0A63">
        <w:rPr>
          <w:sz w:val="26"/>
          <w:szCs w:val="26"/>
        </w:rPr>
        <w:t xml:space="preserve"> This figure is rounded.</w:t>
      </w:r>
    </w:p>
  </w:footnote>
  <w:footnote w:id="9">
    <w:p w:rsidR="005D350C" w14:paraId="4F61972B" w14:textId="5D4B71EC">
      <w:pPr>
        <w:pStyle w:val="FootnoteText"/>
      </w:pPr>
      <w:r>
        <w:rPr>
          <w:rStyle w:val="FootnoteReference"/>
        </w:rPr>
        <w:footnoteRef/>
      </w:r>
      <w:r w:rsidR="005349D0">
        <w:t xml:space="preserve"> </w:t>
      </w:r>
      <w:r w:rsidR="00045704">
        <w:rPr>
          <w:sz w:val="26"/>
          <w:szCs w:val="26"/>
        </w:rPr>
        <w:t xml:space="preserve">The cost figure is calculated </w:t>
      </w:r>
      <w:r w:rsidR="00A3312B">
        <w:rPr>
          <w:sz w:val="26"/>
          <w:szCs w:val="26"/>
        </w:rPr>
        <w:t>using</w:t>
      </w:r>
      <w:r w:rsidRPr="00FE1E25" w:rsidR="00A3312B">
        <w:rPr>
          <w:sz w:val="26"/>
          <w:szCs w:val="26"/>
        </w:rPr>
        <w:t xml:space="preserve"> the FY2025 FERC average annual salary plus benefits ($214,093</w:t>
      </w:r>
      <w:r w:rsidR="00A3312B">
        <w:rPr>
          <w:sz w:val="26"/>
          <w:szCs w:val="26"/>
        </w:rPr>
        <w:t>/</w:t>
      </w:r>
      <w:r w:rsidRPr="00FE1E25" w:rsidR="00A3312B">
        <w:rPr>
          <w:sz w:val="26"/>
          <w:szCs w:val="26"/>
        </w:rPr>
        <w:t>year</w:t>
      </w:r>
      <w:r w:rsidR="00045704">
        <w:rPr>
          <w:sz w:val="26"/>
          <w:szCs w:val="26"/>
        </w:rPr>
        <w:t>).</w:t>
      </w:r>
    </w:p>
  </w:footnote>
  <w:footnote w:id="10">
    <w:p w:rsidR="003B37BD" w:rsidP="003B37BD" w14:paraId="0A4CF512" w14:textId="77777777">
      <w:pPr>
        <w:pStyle w:val="FootnoteText"/>
        <w:rPr>
          <w:sz w:val="26"/>
          <w:szCs w:val="26"/>
        </w:rPr>
      </w:pPr>
      <w:r>
        <w:rPr>
          <w:rStyle w:val="FootnoteReference"/>
          <w:sz w:val="26"/>
          <w:szCs w:val="26"/>
        </w:rPr>
        <w:footnoteRef/>
      </w:r>
      <w:r>
        <w:rPr>
          <w:sz w:val="26"/>
          <w:szCs w:val="26"/>
          <w:vertAlign w:val="superscript"/>
        </w:rPr>
        <w:t xml:space="preserve"> </w:t>
      </w:r>
      <w:r>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41E" w14:paraId="46D9F2CA" w14:textId="5114D0AA">
    <w:pPr>
      <w:pStyle w:val="Header"/>
      <w:rPr>
        <w:rFonts w:ascii="Times New Roman" w:hAnsi="Times New Roman" w:cs="Times New Roman"/>
        <w:sz w:val="26"/>
        <w:szCs w:val="26"/>
      </w:rPr>
    </w:pPr>
    <w:r w:rsidRPr="00673401">
      <w:rPr>
        <w:rFonts w:ascii="Times New Roman" w:hAnsi="Times New Roman" w:cs="Times New Roman"/>
        <w:sz w:val="26"/>
        <w:szCs w:val="26"/>
      </w:rPr>
      <w:t>FERC-550 (OMB Control No. 1902-0089)</w:t>
    </w:r>
  </w:p>
  <w:p w:rsidR="00680504" w:rsidRPr="00781DB0" w14:paraId="03AACD20" w14:textId="5720D665">
    <w:pPr>
      <w:pStyle w:val="Header"/>
      <w:rPr>
        <w:rFonts w:ascii="Times New Roman" w:hAnsi="Times New Roman" w:cs="Times New Roman"/>
        <w:bCs/>
        <w:sz w:val="26"/>
        <w:szCs w:val="26"/>
      </w:rPr>
    </w:pPr>
    <w:r w:rsidRPr="00781DB0">
      <w:rPr>
        <w:rFonts w:ascii="Times New Roman" w:hAnsi="Times New Roman" w:cs="Times New Roman"/>
        <w:bCs/>
        <w:sz w:val="26"/>
        <w:szCs w:val="26"/>
      </w:rPr>
      <w:t>Renewal in Docket No. IC26-10-000</w:t>
    </w:r>
  </w:p>
  <w:p w:rsidR="00680504" w14:paraId="790F58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41E" w:rsidP="0041341E" w14:paraId="2C67B101" w14:textId="77777777">
    <w:pPr>
      <w:pStyle w:val="Header"/>
    </w:pPr>
    <w:r w:rsidRPr="00673401">
      <w:rPr>
        <w:rFonts w:ascii="Times New Roman" w:hAnsi="Times New Roman" w:cs="Times New Roman"/>
        <w:sz w:val="26"/>
        <w:szCs w:val="26"/>
      </w:rPr>
      <w:t>FERC-550 (OMB Control No. 1902-0089)</w:t>
    </w:r>
  </w:p>
  <w:p w:rsidR="0041341E" w:rsidRPr="0041341E" w:rsidP="0041341E" w14:paraId="34D9DC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3125"/>
    <w:multiLevelType w:val="hybridMultilevel"/>
    <w:tmpl w:val="11CE8E5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4D200305"/>
    <w:multiLevelType w:val="hybridMultilevel"/>
    <w:tmpl w:val="F30E06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CC1895"/>
    <w:multiLevelType w:val="hybridMultilevel"/>
    <w:tmpl w:val="632C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4E4DD3"/>
    <w:multiLevelType w:val="hybridMultilevel"/>
    <w:tmpl w:val="6E32FC24"/>
    <w:lvl w:ilvl="0">
      <w:start w:val="1"/>
      <w:numFmt w:val="decimal"/>
      <w:pStyle w:val="FERCparanumber"/>
      <w:lvlText w:val="%1."/>
      <w:lvlJc w:val="left"/>
      <w:pPr>
        <w:tabs>
          <w:tab w:val="num" w:pos="1980"/>
        </w:tabs>
        <w:ind w:left="1260" w:firstLine="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0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58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239207">
    <w:abstractNumId w:val="0"/>
  </w:num>
  <w:num w:numId="4" w16cid:durableId="1604723585">
    <w:abstractNumId w:val="2"/>
  </w:num>
  <w:num w:numId="5" w16cid:durableId="108634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BD"/>
    <w:rsid w:val="000114DE"/>
    <w:rsid w:val="000131F0"/>
    <w:rsid w:val="00045704"/>
    <w:rsid w:val="0006249D"/>
    <w:rsid w:val="00071759"/>
    <w:rsid w:val="00073358"/>
    <w:rsid w:val="000746D8"/>
    <w:rsid w:val="000C0AC6"/>
    <w:rsid w:val="000C3913"/>
    <w:rsid w:val="000C6F32"/>
    <w:rsid w:val="000E1400"/>
    <w:rsid w:val="00120E8E"/>
    <w:rsid w:val="00143F84"/>
    <w:rsid w:val="00181B4B"/>
    <w:rsid w:val="00192E34"/>
    <w:rsid w:val="001A0DBA"/>
    <w:rsid w:val="001B1C0A"/>
    <w:rsid w:val="001B6E3D"/>
    <w:rsid w:val="001D155D"/>
    <w:rsid w:val="001D432D"/>
    <w:rsid w:val="001D6F41"/>
    <w:rsid w:val="001E0A63"/>
    <w:rsid w:val="001E2B65"/>
    <w:rsid w:val="00225558"/>
    <w:rsid w:val="00233302"/>
    <w:rsid w:val="00234611"/>
    <w:rsid w:val="00234987"/>
    <w:rsid w:val="002359D3"/>
    <w:rsid w:val="002539DF"/>
    <w:rsid w:val="00262E2A"/>
    <w:rsid w:val="00266C9F"/>
    <w:rsid w:val="00267B1A"/>
    <w:rsid w:val="00281710"/>
    <w:rsid w:val="00290627"/>
    <w:rsid w:val="002A4149"/>
    <w:rsid w:val="002B3181"/>
    <w:rsid w:val="002C2361"/>
    <w:rsid w:val="00330454"/>
    <w:rsid w:val="003374C0"/>
    <w:rsid w:val="003405F3"/>
    <w:rsid w:val="0034082F"/>
    <w:rsid w:val="003467CE"/>
    <w:rsid w:val="00371AB0"/>
    <w:rsid w:val="003776F1"/>
    <w:rsid w:val="00377BFB"/>
    <w:rsid w:val="00387821"/>
    <w:rsid w:val="003A20F1"/>
    <w:rsid w:val="003A7291"/>
    <w:rsid w:val="003B37BD"/>
    <w:rsid w:val="003B748B"/>
    <w:rsid w:val="003D3B31"/>
    <w:rsid w:val="003E1FB6"/>
    <w:rsid w:val="003E43D4"/>
    <w:rsid w:val="003F5DD8"/>
    <w:rsid w:val="0041341E"/>
    <w:rsid w:val="004143C7"/>
    <w:rsid w:val="004461BB"/>
    <w:rsid w:val="0047578E"/>
    <w:rsid w:val="004779B1"/>
    <w:rsid w:val="00481848"/>
    <w:rsid w:val="00486E25"/>
    <w:rsid w:val="00492096"/>
    <w:rsid w:val="004F2DB1"/>
    <w:rsid w:val="00506EFB"/>
    <w:rsid w:val="005213C0"/>
    <w:rsid w:val="0053066C"/>
    <w:rsid w:val="005349D0"/>
    <w:rsid w:val="005433ED"/>
    <w:rsid w:val="00547DE1"/>
    <w:rsid w:val="00571C98"/>
    <w:rsid w:val="005B413B"/>
    <w:rsid w:val="005C37A4"/>
    <w:rsid w:val="005C67DC"/>
    <w:rsid w:val="005D350C"/>
    <w:rsid w:val="005D5921"/>
    <w:rsid w:val="005D7DDD"/>
    <w:rsid w:val="005E571B"/>
    <w:rsid w:val="005E67D6"/>
    <w:rsid w:val="005F1F9E"/>
    <w:rsid w:val="005F78A5"/>
    <w:rsid w:val="006344C0"/>
    <w:rsid w:val="00647B9B"/>
    <w:rsid w:val="00651846"/>
    <w:rsid w:val="0066183B"/>
    <w:rsid w:val="00663A34"/>
    <w:rsid w:val="00673401"/>
    <w:rsid w:val="00680504"/>
    <w:rsid w:val="006825BB"/>
    <w:rsid w:val="006914BF"/>
    <w:rsid w:val="006F5218"/>
    <w:rsid w:val="00712C39"/>
    <w:rsid w:val="00717D30"/>
    <w:rsid w:val="00720621"/>
    <w:rsid w:val="0074042F"/>
    <w:rsid w:val="007419DA"/>
    <w:rsid w:val="007454DB"/>
    <w:rsid w:val="00755411"/>
    <w:rsid w:val="0077108A"/>
    <w:rsid w:val="00781DB0"/>
    <w:rsid w:val="007869BD"/>
    <w:rsid w:val="007A251E"/>
    <w:rsid w:val="007C669E"/>
    <w:rsid w:val="007E77DF"/>
    <w:rsid w:val="0080218C"/>
    <w:rsid w:val="00802820"/>
    <w:rsid w:val="00815A8E"/>
    <w:rsid w:val="008460DF"/>
    <w:rsid w:val="00855CCF"/>
    <w:rsid w:val="0086440D"/>
    <w:rsid w:val="008773DC"/>
    <w:rsid w:val="008C6174"/>
    <w:rsid w:val="008D2870"/>
    <w:rsid w:val="00903137"/>
    <w:rsid w:val="00904878"/>
    <w:rsid w:val="00915FB8"/>
    <w:rsid w:val="009766D0"/>
    <w:rsid w:val="00985BF1"/>
    <w:rsid w:val="00992846"/>
    <w:rsid w:val="009A0416"/>
    <w:rsid w:val="009A0B62"/>
    <w:rsid w:val="009A5CCE"/>
    <w:rsid w:val="009B0FAD"/>
    <w:rsid w:val="009B4D78"/>
    <w:rsid w:val="009D30E7"/>
    <w:rsid w:val="009D4ACD"/>
    <w:rsid w:val="009D781D"/>
    <w:rsid w:val="009F6F25"/>
    <w:rsid w:val="00A03004"/>
    <w:rsid w:val="00A0622E"/>
    <w:rsid w:val="00A073F8"/>
    <w:rsid w:val="00A30DE9"/>
    <w:rsid w:val="00A3312B"/>
    <w:rsid w:val="00A50DBF"/>
    <w:rsid w:val="00A669E2"/>
    <w:rsid w:val="00A72317"/>
    <w:rsid w:val="00A92586"/>
    <w:rsid w:val="00AA436D"/>
    <w:rsid w:val="00AB4DCD"/>
    <w:rsid w:val="00B156CC"/>
    <w:rsid w:val="00B20B40"/>
    <w:rsid w:val="00B32796"/>
    <w:rsid w:val="00B473C3"/>
    <w:rsid w:val="00B51CDF"/>
    <w:rsid w:val="00B52BC0"/>
    <w:rsid w:val="00B55400"/>
    <w:rsid w:val="00B61BF8"/>
    <w:rsid w:val="00B955DB"/>
    <w:rsid w:val="00BC12EB"/>
    <w:rsid w:val="00BC3679"/>
    <w:rsid w:val="00BD681A"/>
    <w:rsid w:val="00BF18BA"/>
    <w:rsid w:val="00C00D5E"/>
    <w:rsid w:val="00C114E8"/>
    <w:rsid w:val="00C16002"/>
    <w:rsid w:val="00C16037"/>
    <w:rsid w:val="00C2302B"/>
    <w:rsid w:val="00C469C1"/>
    <w:rsid w:val="00C4778A"/>
    <w:rsid w:val="00C662BC"/>
    <w:rsid w:val="00C67701"/>
    <w:rsid w:val="00C75E7E"/>
    <w:rsid w:val="00C95FF7"/>
    <w:rsid w:val="00CA48E9"/>
    <w:rsid w:val="00CB78C3"/>
    <w:rsid w:val="00D01566"/>
    <w:rsid w:val="00D01EB0"/>
    <w:rsid w:val="00D023D2"/>
    <w:rsid w:val="00D2149C"/>
    <w:rsid w:val="00D27C31"/>
    <w:rsid w:val="00D33287"/>
    <w:rsid w:val="00D33385"/>
    <w:rsid w:val="00D64D46"/>
    <w:rsid w:val="00D747DF"/>
    <w:rsid w:val="00D861D6"/>
    <w:rsid w:val="00D86E22"/>
    <w:rsid w:val="00D87129"/>
    <w:rsid w:val="00D87B40"/>
    <w:rsid w:val="00D96D5F"/>
    <w:rsid w:val="00DB56CC"/>
    <w:rsid w:val="00DB6344"/>
    <w:rsid w:val="00DC3BF7"/>
    <w:rsid w:val="00DD1344"/>
    <w:rsid w:val="00DE7B94"/>
    <w:rsid w:val="00E02233"/>
    <w:rsid w:val="00E04164"/>
    <w:rsid w:val="00E52E1C"/>
    <w:rsid w:val="00E704E3"/>
    <w:rsid w:val="00E73311"/>
    <w:rsid w:val="00E75157"/>
    <w:rsid w:val="00EE2CC6"/>
    <w:rsid w:val="00EF4219"/>
    <w:rsid w:val="00EF796A"/>
    <w:rsid w:val="00F006F7"/>
    <w:rsid w:val="00F058D3"/>
    <w:rsid w:val="00F10034"/>
    <w:rsid w:val="00F161AD"/>
    <w:rsid w:val="00F6698A"/>
    <w:rsid w:val="00F74155"/>
    <w:rsid w:val="00F759DC"/>
    <w:rsid w:val="00F82B53"/>
    <w:rsid w:val="00F83751"/>
    <w:rsid w:val="00FA4763"/>
    <w:rsid w:val="00FB7F82"/>
    <w:rsid w:val="00FE1E25"/>
    <w:rsid w:val="00FE5AEC"/>
    <w:rsid w:val="01D33EEF"/>
    <w:rsid w:val="037C14C0"/>
    <w:rsid w:val="03BF4A2C"/>
    <w:rsid w:val="05DE83EE"/>
    <w:rsid w:val="0A368900"/>
    <w:rsid w:val="0FB0D22B"/>
    <w:rsid w:val="185F12DD"/>
    <w:rsid w:val="214C0422"/>
    <w:rsid w:val="2EA3458A"/>
    <w:rsid w:val="36D53EAD"/>
    <w:rsid w:val="3D506A38"/>
    <w:rsid w:val="503A3E8C"/>
    <w:rsid w:val="5DA5980A"/>
    <w:rsid w:val="649455D8"/>
    <w:rsid w:val="76AC063E"/>
    <w:rsid w:val="7985BEEC"/>
    <w:rsid w:val="7B07980E"/>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5657A29F"/>
  <w15:docId w15:val="{BAB1F763-B16F-45F9-95F8-6076BCA3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6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7BD"/>
    <w:rPr>
      <w:color w:val="0563C1" w:themeColor="hyperlink"/>
      <w:u w:val="singl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semiHidden/>
    <w:locked/>
    <w:rsid w:val="003B37BD"/>
    <w:rPr>
      <w:rFonts w:ascii="Times New Roman" w:eastAsia="Times New Roman" w:hAnsi="Times New Roman" w:cs="Times New Roman"/>
      <w:sz w:val="20"/>
      <w:szCs w:val="20"/>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unhideWhenUsed/>
    <w:qFormat/>
    <w:rsid w:val="003B37B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3B37BD"/>
    <w:rPr>
      <w:sz w:val="20"/>
      <w:szCs w:val="20"/>
    </w:rPr>
  </w:style>
  <w:style w:type="paragraph" w:styleId="ListParagraph">
    <w:name w:val="List Paragraph"/>
    <w:basedOn w:val="Normal"/>
    <w:uiPriority w:val="34"/>
    <w:qFormat/>
    <w:rsid w:val="003B37BD"/>
    <w:pPr>
      <w:ind w:left="720"/>
      <w:contextualSpacing/>
    </w:pPr>
  </w:style>
  <w:style w:type="paragraph" w:customStyle="1" w:styleId="FERCparanumber">
    <w:name w:val="FERC paranumber"/>
    <w:basedOn w:val="Normal"/>
    <w:rsid w:val="003B37BD"/>
    <w:pPr>
      <w:widowControl w:val="0"/>
      <w:numPr>
        <w:numId w:val="1"/>
      </w:numPr>
      <w:tabs>
        <w:tab w:val="num" w:pos="720"/>
      </w:tabs>
      <w:autoSpaceDE w:val="0"/>
      <w:autoSpaceDN w:val="0"/>
      <w:adjustRightInd w:val="0"/>
      <w:spacing w:after="0" w:line="240" w:lineRule="auto"/>
      <w:ind w:left="0"/>
    </w:pPr>
    <w:rPr>
      <w:rFonts w:ascii="Times New Roman" w:eastAsia="Times New Roman" w:hAnsi="Times New Roman" w:cs="Times New Roman"/>
      <w:sz w:val="26"/>
      <w:szCs w:val="24"/>
    </w:rPr>
  </w:style>
  <w:style w:type="character" w:styleId="FootnoteReference">
    <w:name w:val="footnote reference"/>
    <w:basedOn w:val="DefaultParagraphFont"/>
    <w:unhideWhenUsed/>
    <w:rsid w:val="009766D0"/>
    <w:rPr>
      <w:sz w:val="24"/>
      <w:szCs w:val="24"/>
      <w:vertAlign w:val="superscript"/>
    </w:rPr>
  </w:style>
  <w:style w:type="paragraph" w:styleId="Header">
    <w:name w:val="header"/>
    <w:basedOn w:val="Normal"/>
    <w:link w:val="HeaderChar"/>
    <w:uiPriority w:val="99"/>
    <w:unhideWhenUsed/>
    <w:rsid w:val="00673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01"/>
  </w:style>
  <w:style w:type="paragraph" w:styleId="Footer">
    <w:name w:val="footer"/>
    <w:basedOn w:val="Normal"/>
    <w:link w:val="FooterChar"/>
    <w:uiPriority w:val="99"/>
    <w:unhideWhenUsed/>
    <w:rsid w:val="00673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01"/>
  </w:style>
  <w:style w:type="character" w:styleId="CommentReference">
    <w:name w:val="annotation reference"/>
    <w:basedOn w:val="DefaultParagraphFont"/>
    <w:uiPriority w:val="99"/>
    <w:semiHidden/>
    <w:unhideWhenUsed/>
    <w:rsid w:val="00E52E1C"/>
    <w:rPr>
      <w:sz w:val="16"/>
      <w:szCs w:val="16"/>
    </w:rPr>
  </w:style>
  <w:style w:type="paragraph" w:styleId="CommentText">
    <w:name w:val="annotation text"/>
    <w:basedOn w:val="Normal"/>
    <w:link w:val="CommentTextChar"/>
    <w:uiPriority w:val="99"/>
    <w:unhideWhenUsed/>
    <w:rsid w:val="00E52E1C"/>
    <w:pPr>
      <w:spacing w:line="240" w:lineRule="auto"/>
    </w:pPr>
    <w:rPr>
      <w:sz w:val="20"/>
      <w:szCs w:val="20"/>
    </w:rPr>
  </w:style>
  <w:style w:type="character" w:customStyle="1" w:styleId="CommentTextChar">
    <w:name w:val="Comment Text Char"/>
    <w:basedOn w:val="DefaultParagraphFont"/>
    <w:link w:val="CommentText"/>
    <w:uiPriority w:val="99"/>
    <w:rsid w:val="00E52E1C"/>
    <w:rPr>
      <w:sz w:val="20"/>
      <w:szCs w:val="20"/>
    </w:rPr>
  </w:style>
  <w:style w:type="paragraph" w:styleId="CommentSubject">
    <w:name w:val="annotation subject"/>
    <w:basedOn w:val="CommentText"/>
    <w:next w:val="CommentText"/>
    <w:link w:val="CommentSubjectChar"/>
    <w:uiPriority w:val="99"/>
    <w:semiHidden/>
    <w:unhideWhenUsed/>
    <w:rsid w:val="00E52E1C"/>
    <w:rPr>
      <w:b/>
      <w:bCs/>
    </w:rPr>
  </w:style>
  <w:style w:type="character" w:customStyle="1" w:styleId="CommentSubjectChar">
    <w:name w:val="Comment Subject Char"/>
    <w:basedOn w:val="CommentTextChar"/>
    <w:link w:val="CommentSubject"/>
    <w:uiPriority w:val="99"/>
    <w:semiHidden/>
    <w:rsid w:val="00E52E1C"/>
    <w:rPr>
      <w:b/>
      <w:bCs/>
      <w:sz w:val="20"/>
      <w:szCs w:val="20"/>
    </w:rPr>
  </w:style>
  <w:style w:type="paragraph" w:styleId="BalloonText">
    <w:name w:val="Balloon Text"/>
    <w:basedOn w:val="Normal"/>
    <w:link w:val="BalloonTextChar"/>
    <w:uiPriority w:val="99"/>
    <w:semiHidden/>
    <w:unhideWhenUsed/>
    <w:rsid w:val="00E52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E1C"/>
    <w:rPr>
      <w:rFonts w:ascii="Segoe UI" w:hAnsi="Segoe UI" w:cs="Segoe UI"/>
      <w:sz w:val="18"/>
      <w:szCs w:val="18"/>
    </w:rPr>
  </w:style>
  <w:style w:type="paragraph" w:customStyle="1" w:styleId="Default">
    <w:name w:val="Default"/>
    <w:rsid w:val="00F8375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0218C"/>
    <w:rPr>
      <w:color w:val="605E5C"/>
      <w:shd w:val="clear" w:color="auto" w:fill="E1DFDD"/>
    </w:rPr>
  </w:style>
  <w:style w:type="character" w:styleId="FollowedHyperlink">
    <w:name w:val="FollowedHyperlink"/>
    <w:basedOn w:val="DefaultParagraphFont"/>
    <w:uiPriority w:val="99"/>
    <w:semiHidden/>
    <w:unhideWhenUsed/>
    <w:rsid w:val="00346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efiling.asp"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federal-statu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A775-7060-4CB6-ADDF-5ECD49E715E2}">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C6E61A23-4BC3-4459-8EB4-3F87A93C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74740-295B-43AD-AC88-77CF7631A1B4}">
  <ds:schemaRefs>
    <ds:schemaRef ds:uri="http://schemas.microsoft.com/sharepoint/v3/contenttype/forms"/>
  </ds:schemaRefs>
</ds:datastoreItem>
</file>

<file path=customXml/itemProps4.xml><?xml version="1.0" encoding="utf-8"?>
<ds:datastoreItem xmlns:ds="http://schemas.openxmlformats.org/officeDocument/2006/customXml" ds:itemID="{F32A3298-93A9-4ADD-A6C3-D4D99197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Pipeline Rate - Tariff Filing</dc:title>
  <dc:creator>Michele Chambers</dc:creator>
  <cp:lastModifiedBy>Ken Ambrose</cp:lastModifiedBy>
  <cp:revision>48</cp:revision>
  <dcterms:created xsi:type="dcterms:W3CDTF">2023-07-31T17:36:00Z</dcterms:created>
  <dcterms:modified xsi:type="dcterms:W3CDTF">2026-04-20T20:07:00Z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6a4b71de-bf3b-4594-ae3f-11e2211d7d0d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2026-04-09T18:44:46Z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