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EB6D36" w:rsidP="11AB4B38" w14:paraId="45D37654" w14:textId="77777777">
      <w:pPr>
        <w:spacing w:after="0"/>
        <w:jc w:val="center"/>
        <w:rPr>
          <w:rFonts w:cstheme="minorHAnsi"/>
        </w:rPr>
      </w:pPr>
      <w:bookmarkStart w:id="0" w:name="_Toc49148152"/>
      <w:r w:rsidRPr="00EB6D36">
        <w:rPr>
          <w:rFonts w:cstheme="minorHAnsi"/>
        </w:rPr>
        <w:t>U.S. Environmental Protection Agency</w:t>
      </w:r>
    </w:p>
    <w:p w:rsidR="00DE4E0C" w:rsidRPr="00EB6D36" w:rsidP="11AB4B38" w14:paraId="5C6F43DD" w14:textId="77777777">
      <w:pPr>
        <w:jc w:val="center"/>
        <w:rPr>
          <w:rFonts w:cstheme="minorHAnsi"/>
        </w:rPr>
      </w:pPr>
      <w:r w:rsidRPr="00EB6D36">
        <w:rPr>
          <w:rFonts w:cstheme="minorHAnsi"/>
        </w:rPr>
        <w:t>Information Collection Request</w:t>
      </w:r>
    </w:p>
    <w:p w:rsidR="00EA0D20" w:rsidRPr="00EB6D36" w:rsidP="00BB432F" w14:paraId="338B5CD6" w14:textId="77777777">
      <w:pPr>
        <w:rPr>
          <w:rFonts w:cstheme="minorHAnsi"/>
          <w:b/>
          <w:bCs/>
        </w:rPr>
      </w:pPr>
    </w:p>
    <w:p w:rsidR="00BB432F" w:rsidRPr="00EB6D36" w:rsidP="00FB1410" w14:paraId="047558A2" w14:textId="2A8635DE">
      <w:pPr>
        <w:tabs>
          <w:tab w:val="center" w:pos="4680"/>
        </w:tabs>
        <w:rPr>
          <w:rFonts w:cstheme="minorHAnsi"/>
          <w:bCs/>
        </w:rPr>
      </w:pPr>
      <w:r w:rsidRPr="00EB6D36">
        <w:rPr>
          <w:rFonts w:cstheme="minorHAnsi"/>
          <w:b/>
          <w:bCs/>
        </w:rPr>
        <w:t>Title:</w:t>
      </w:r>
      <w:r w:rsidRPr="00EB6D36" w:rsidR="001F34A5">
        <w:rPr>
          <w:rFonts w:cstheme="minorHAnsi"/>
        </w:rPr>
        <w:t xml:space="preserve"> </w:t>
      </w:r>
      <w:r w:rsidRPr="00EB6D36" w:rsidR="00FB1410">
        <w:rPr>
          <w:rFonts w:cstheme="minorHAnsi"/>
          <w:bCs/>
        </w:rPr>
        <w:t>Information Requirements for Boilers and Industrial Furnaces (Renewal)</w:t>
      </w:r>
    </w:p>
    <w:p w:rsidR="00EE2403" w:rsidRPr="00EB6D36" w:rsidP="00BB432F" w14:paraId="24D5FEFE" w14:textId="7BC39F26">
      <w:pPr>
        <w:spacing w:line="240" w:lineRule="auto"/>
        <w:rPr>
          <w:rFonts w:cstheme="minorHAnsi"/>
        </w:rPr>
      </w:pPr>
      <w:r w:rsidRPr="00EB6D36">
        <w:rPr>
          <w:rFonts w:cstheme="minorHAnsi"/>
          <w:b/>
          <w:bCs/>
        </w:rPr>
        <w:t>OMB Control Number:</w:t>
      </w:r>
      <w:r w:rsidRPr="00EB6D36" w:rsidR="00BB432F">
        <w:rPr>
          <w:rFonts w:cstheme="minorHAnsi"/>
        </w:rPr>
        <w:t xml:space="preserve"> </w:t>
      </w:r>
      <w:r w:rsidRPr="00EB6D36" w:rsidR="00FB1410">
        <w:rPr>
          <w:rFonts w:cstheme="minorHAnsi"/>
        </w:rPr>
        <w:t>2050-0073</w:t>
      </w:r>
    </w:p>
    <w:p w:rsidR="00EE2403" w:rsidRPr="00EB6D36" w:rsidP="00ED57A4" w14:paraId="40A41C55" w14:textId="706DD57B">
      <w:pPr>
        <w:spacing w:before="240" w:line="240" w:lineRule="auto"/>
        <w:rPr>
          <w:rFonts w:cstheme="minorHAnsi"/>
        </w:rPr>
      </w:pPr>
      <w:r w:rsidRPr="00EB6D36">
        <w:rPr>
          <w:rFonts w:cstheme="minorHAnsi"/>
          <w:b/>
          <w:bCs/>
        </w:rPr>
        <w:t>EPA ICR Number:</w:t>
      </w:r>
      <w:r w:rsidRPr="00EB6D36" w:rsidR="00BB432F">
        <w:rPr>
          <w:rFonts w:cstheme="minorHAnsi"/>
        </w:rPr>
        <w:t xml:space="preserve"> </w:t>
      </w:r>
      <w:r w:rsidRPr="00EB6D36" w:rsidR="00FB1410">
        <w:rPr>
          <w:rFonts w:cstheme="minorHAnsi"/>
        </w:rPr>
        <w:t>1361.</w:t>
      </w:r>
      <w:r w:rsidR="00C3230C">
        <w:rPr>
          <w:rFonts w:cstheme="minorHAnsi"/>
        </w:rPr>
        <w:t>20</w:t>
      </w:r>
    </w:p>
    <w:p w:rsidR="00FB1410" w:rsidRPr="00EB6D36" w:rsidP="00FB1410" w14:paraId="7761415D" w14:textId="60B89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bCs/>
        </w:rPr>
        <w:t>Abstract:</w:t>
      </w:r>
      <w:r w:rsidRPr="00EB6D36" w:rsidR="00BB432F">
        <w:rPr>
          <w:rFonts w:cstheme="minorHAnsi"/>
        </w:rPr>
        <w:t xml:space="preserve"> </w:t>
      </w:r>
      <w:r w:rsidRPr="00EB6D36">
        <w:rPr>
          <w:rFonts w:cstheme="minorHAnsi"/>
        </w:rPr>
        <w:t>EPA promulgated regulations at 40 CFR Parts 260, 261, 264, 265, 266, and 270 covering boilers and industrial furnaces (BIFs) that burn hazardous waste.  Specifically, 40 CFR Part 266, Subpart H establishes standards for the burning of hazardous waste in BIFs.  Owners and operators of BIF facilities must comply with these regulations in addition to those regulations applicable to all hazardous waste facilities.</w:t>
      </w:r>
    </w:p>
    <w:p w:rsidR="00DE4E0C" w:rsidRPr="00EB6D36" w:rsidP="4BDBF0A0" w14:paraId="0C498983" w14:textId="77777777">
      <w:pPr>
        <w:rPr>
          <w:rFonts w:cstheme="minorHAnsi"/>
          <w:b/>
          <w:bCs/>
          <w:u w:val="single"/>
        </w:rPr>
      </w:pPr>
      <w:r w:rsidRPr="00EB6D36">
        <w:rPr>
          <w:rFonts w:cstheme="minorHAnsi"/>
          <w:b/>
          <w:bCs/>
          <w:u w:val="single"/>
        </w:rPr>
        <w:t>Supporting Statement A</w:t>
      </w:r>
      <w:bookmarkEnd w:id="0"/>
    </w:p>
    <w:p w:rsidR="00D47CB3" w:rsidRPr="00EB6D36"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EB6D36">
        <w:rPr>
          <w:rFonts w:cstheme="minorHAnsi"/>
          <w:b/>
          <w:bCs/>
        </w:rPr>
        <w:t>NEED AND AUTHORITY FOR THE COLLECTION</w:t>
      </w:r>
      <w:bookmarkEnd w:id="1"/>
    </w:p>
    <w:p w:rsidR="00A27E5C" w:rsidRPr="00EB6D36" w:rsidP="00854AAE" w14:paraId="6A0007D4" w14:textId="77777777">
      <w:pPr>
        <w:pBdr>
          <w:bottom w:val="single" w:sz="4" w:space="1" w:color="auto"/>
        </w:pBdr>
        <w:spacing w:before="60"/>
        <w:rPr>
          <w:rFonts w:cstheme="minorHAnsi"/>
          <w:i/>
          <w:iCs/>
        </w:rPr>
      </w:pPr>
      <w:r w:rsidRPr="00EB6D36">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D7129" w:rsidRPr="00EB6D36" w:rsidP="00DD7129" w14:paraId="62AF4883" w14:textId="58B6CC95">
      <w:pPr>
        <w:pStyle w:val="pf0"/>
        <w:rPr>
          <w:rFonts w:asciiTheme="minorHAnsi" w:hAnsiTheme="minorHAnsi" w:cstheme="minorHAnsi"/>
          <w:sz w:val="22"/>
          <w:szCs w:val="22"/>
        </w:rPr>
      </w:pPr>
      <w:bookmarkStart w:id="2" w:name="_Toc156593369"/>
      <w:r w:rsidRPr="00EB6D36">
        <w:rPr>
          <w:rFonts w:asciiTheme="minorHAnsi" w:hAnsiTheme="minorHAnsi" w:cstheme="minorHAnsi"/>
          <w:sz w:val="22"/>
          <w:szCs w:val="22"/>
        </w:rPr>
        <w:t>Regulations covering BIFs and general hazardous waste facilities are promulgated under authority of Sections 1006, 2002, 3001 through 3007, 3010, and 7004 of RCRA, as amended.  And codified in 40 CFR Parts 261, 264, 266, and 270 as described in the table below.</w:t>
      </w:r>
    </w:p>
    <w:tbl>
      <w:tblPr>
        <w:tblStyle w:val="TableGrid"/>
        <w:tblW w:w="0" w:type="auto"/>
        <w:tblLook w:val="04A0"/>
      </w:tblPr>
      <w:tblGrid>
        <w:gridCol w:w="3116"/>
        <w:gridCol w:w="6149"/>
      </w:tblGrid>
      <w:tr w14:paraId="2B91D7D5" w14:textId="77777777" w:rsidTr="007E7F41">
        <w:tblPrEx>
          <w:tblW w:w="0" w:type="auto"/>
          <w:tblLook w:val="04A0"/>
        </w:tblPrEx>
        <w:tc>
          <w:tcPr>
            <w:tcW w:w="3116" w:type="dxa"/>
          </w:tcPr>
          <w:p w:rsidR="00FB1410" w:rsidRPr="00EB6D36" w:rsidP="007E7F41" w14:paraId="092DF556" w14:textId="77777777">
            <w:pPr>
              <w:rPr>
                <w:rFonts w:cstheme="minorHAnsi"/>
                <w:b/>
                <w:bCs/>
              </w:rPr>
            </w:pPr>
            <w:r w:rsidRPr="00EB6D36">
              <w:rPr>
                <w:rFonts w:cstheme="minorHAnsi"/>
                <w:b/>
                <w:bCs/>
              </w:rPr>
              <w:t>CFR citation (40 CFR Part)</w:t>
            </w:r>
          </w:p>
        </w:tc>
        <w:tc>
          <w:tcPr>
            <w:tcW w:w="6149" w:type="dxa"/>
          </w:tcPr>
          <w:p w:rsidR="00FB1410" w:rsidRPr="00EB6D36" w:rsidP="007E7F41" w14:paraId="432989A2" w14:textId="77777777">
            <w:pPr>
              <w:rPr>
                <w:rFonts w:cstheme="minorHAnsi"/>
                <w:b/>
                <w:bCs/>
              </w:rPr>
            </w:pPr>
            <w:r w:rsidRPr="00EB6D36">
              <w:rPr>
                <w:rFonts w:cstheme="minorHAnsi"/>
                <w:b/>
                <w:bCs/>
              </w:rPr>
              <w:t>Brief Description of Requirements</w:t>
            </w:r>
          </w:p>
        </w:tc>
      </w:tr>
      <w:tr w14:paraId="66360A8B" w14:textId="77777777" w:rsidTr="007E7F41">
        <w:tblPrEx>
          <w:tblW w:w="0" w:type="auto"/>
          <w:tblLook w:val="04A0"/>
        </w:tblPrEx>
        <w:tc>
          <w:tcPr>
            <w:tcW w:w="3116" w:type="dxa"/>
          </w:tcPr>
          <w:p w:rsidR="00FB1410" w:rsidRPr="00EB6D36" w:rsidP="007E7F41" w14:paraId="1511C0E7" w14:textId="77777777">
            <w:pPr>
              <w:rPr>
                <w:rFonts w:cstheme="minorHAnsi"/>
              </w:rPr>
            </w:pPr>
            <w:r w:rsidRPr="00EB6D36">
              <w:rPr>
                <w:rFonts w:cstheme="minorHAnsi"/>
              </w:rPr>
              <w:t>261.38</w:t>
            </w:r>
          </w:p>
        </w:tc>
        <w:tc>
          <w:tcPr>
            <w:tcW w:w="6149" w:type="dxa"/>
          </w:tcPr>
          <w:p w:rsidR="00FB1410" w:rsidRPr="00EB6D36" w:rsidP="007E7F41" w14:paraId="65220C12" w14:textId="77777777">
            <w:pPr>
              <w:rPr>
                <w:rFonts w:cstheme="minorHAnsi"/>
              </w:rPr>
            </w:pPr>
            <w:r w:rsidRPr="00EB6D36">
              <w:rPr>
                <w:rFonts w:cstheme="minorHAnsi"/>
              </w:rPr>
              <w:t xml:space="preserve">Allows owners and operators to claim the comparable fuel exclusion by submitting a one-time notice.  </w:t>
            </w:r>
          </w:p>
        </w:tc>
      </w:tr>
      <w:tr w14:paraId="66A869F4" w14:textId="77777777" w:rsidTr="007E7F41">
        <w:tblPrEx>
          <w:tblW w:w="0" w:type="auto"/>
          <w:tblLook w:val="04A0"/>
        </w:tblPrEx>
        <w:tc>
          <w:tcPr>
            <w:tcW w:w="3116" w:type="dxa"/>
          </w:tcPr>
          <w:p w:rsidR="00FB1410" w:rsidRPr="00EB6D36" w:rsidP="007E7F41" w14:paraId="423F67F0" w14:textId="77777777">
            <w:pPr>
              <w:rPr>
                <w:rFonts w:cstheme="minorHAnsi"/>
              </w:rPr>
            </w:pPr>
            <w:r w:rsidRPr="00EB6D36">
              <w:rPr>
                <w:rFonts w:cstheme="minorHAnsi"/>
              </w:rPr>
              <w:t>264.12-17</w:t>
            </w:r>
          </w:p>
        </w:tc>
        <w:tc>
          <w:tcPr>
            <w:tcW w:w="6149" w:type="dxa"/>
          </w:tcPr>
          <w:p w:rsidR="00FB1410" w:rsidRPr="00EB6D36" w:rsidP="007E7F41" w14:paraId="15833C2E" w14:textId="77777777">
            <w:pPr>
              <w:rPr>
                <w:rFonts w:cstheme="minorHAnsi"/>
              </w:rPr>
            </w:pPr>
            <w:r w:rsidRPr="00EB6D36">
              <w:rPr>
                <w:rFonts w:cstheme="minorHAnsi"/>
              </w:rPr>
              <w:t xml:space="preserve">Requires the owner or operator of a treatment facility to obtain a detailed chemical and physical analysis of a representative sample of the waste that will be received and develop and follow a written waste analysis plan that describes the procedures to be used in obtaining a detailed chemical and physical analysis of the waste.  Also requires the owner or operator of a facility to record inspections in an inspection log or summary and maintain copies of personnel training documents and records at the facility. </w:t>
            </w:r>
          </w:p>
        </w:tc>
      </w:tr>
      <w:tr w14:paraId="55D99CD3" w14:textId="77777777" w:rsidTr="007E7F41">
        <w:tblPrEx>
          <w:tblW w:w="0" w:type="auto"/>
          <w:tblLook w:val="04A0"/>
        </w:tblPrEx>
        <w:tc>
          <w:tcPr>
            <w:tcW w:w="3116" w:type="dxa"/>
          </w:tcPr>
          <w:p w:rsidR="00FB1410" w:rsidRPr="00EB6D36" w:rsidP="007E7F41" w14:paraId="4C7E314C" w14:textId="77777777">
            <w:pPr>
              <w:rPr>
                <w:rFonts w:cstheme="minorHAnsi"/>
              </w:rPr>
            </w:pPr>
            <w:r w:rsidRPr="00EB6D36">
              <w:rPr>
                <w:rFonts w:cstheme="minorHAnsi"/>
              </w:rPr>
              <w:t>264.51-56</w:t>
            </w:r>
          </w:p>
        </w:tc>
        <w:tc>
          <w:tcPr>
            <w:tcW w:w="6149" w:type="dxa"/>
          </w:tcPr>
          <w:p w:rsidR="00FB1410" w:rsidRPr="00EB6D36" w:rsidP="007E7F41" w14:paraId="2036153E" w14:textId="77777777">
            <w:pPr>
              <w:rPr>
                <w:rFonts w:cstheme="minorHAnsi"/>
              </w:rPr>
            </w:pPr>
            <w:r w:rsidRPr="00EB6D36">
              <w:rPr>
                <w:rFonts w:cstheme="minorHAnsi"/>
              </w:rPr>
              <w:t>Requires owners and operators of hazardous waste facilities to prepare and maintain contingency plans, and to notify State and local authorities and prepare emergency reports whenever an imminent or actual emergency situation occurs.</w:t>
            </w:r>
          </w:p>
        </w:tc>
      </w:tr>
      <w:tr w14:paraId="08E9CAC5" w14:textId="77777777" w:rsidTr="007E7F41">
        <w:tblPrEx>
          <w:tblW w:w="0" w:type="auto"/>
          <w:tblLook w:val="04A0"/>
        </w:tblPrEx>
        <w:tc>
          <w:tcPr>
            <w:tcW w:w="3116" w:type="dxa"/>
          </w:tcPr>
          <w:p w:rsidR="00FB1410" w:rsidRPr="00EB6D36" w:rsidP="007E7F41" w14:paraId="65BFB7FF" w14:textId="77777777">
            <w:pPr>
              <w:rPr>
                <w:rFonts w:cstheme="minorHAnsi"/>
              </w:rPr>
            </w:pPr>
            <w:r w:rsidRPr="00EB6D36">
              <w:rPr>
                <w:rFonts w:cstheme="minorHAnsi"/>
              </w:rPr>
              <w:t>264.73-74</w:t>
            </w:r>
          </w:p>
        </w:tc>
        <w:tc>
          <w:tcPr>
            <w:tcW w:w="6149" w:type="dxa"/>
          </w:tcPr>
          <w:p w:rsidR="00FB1410" w:rsidRPr="00EB6D36" w:rsidP="007E7F41" w14:paraId="070293B9" w14:textId="77777777">
            <w:pPr>
              <w:rPr>
                <w:rFonts w:cstheme="minorHAnsi"/>
              </w:rPr>
            </w:pPr>
            <w:r w:rsidRPr="00EB6D36">
              <w:rPr>
                <w:rFonts w:cstheme="minorHAnsi"/>
              </w:rPr>
              <w:t>Requires owners or operators of TSDFs to maintain a written operating record at the facility.</w:t>
            </w:r>
          </w:p>
        </w:tc>
      </w:tr>
      <w:tr w14:paraId="3DEC91F5" w14:textId="77777777" w:rsidTr="007E7F41">
        <w:tblPrEx>
          <w:tblW w:w="0" w:type="auto"/>
          <w:tblLook w:val="04A0"/>
        </w:tblPrEx>
        <w:tc>
          <w:tcPr>
            <w:tcW w:w="3116" w:type="dxa"/>
          </w:tcPr>
          <w:p w:rsidR="00FB1410" w:rsidRPr="00EB6D36" w:rsidP="007E7F41" w14:paraId="1C016CA9" w14:textId="77777777">
            <w:pPr>
              <w:rPr>
                <w:rFonts w:cstheme="minorHAnsi"/>
              </w:rPr>
            </w:pPr>
            <w:r w:rsidRPr="00EB6D36">
              <w:rPr>
                <w:rFonts w:cstheme="minorHAnsi"/>
              </w:rPr>
              <w:t>264.113</w:t>
            </w:r>
          </w:p>
        </w:tc>
        <w:tc>
          <w:tcPr>
            <w:tcW w:w="6149" w:type="dxa"/>
          </w:tcPr>
          <w:p w:rsidR="00FB1410" w:rsidRPr="00EB6D36" w:rsidP="007E7F41" w14:paraId="7DB25825" w14:textId="77777777">
            <w:pPr>
              <w:rPr>
                <w:rFonts w:cstheme="minorHAnsi"/>
              </w:rPr>
            </w:pPr>
            <w:r w:rsidRPr="00EB6D36">
              <w:rPr>
                <w:rFonts w:cstheme="minorHAnsi"/>
              </w:rPr>
              <w:t>Allows owners and operators to prepare demonstrations in support of certain extensions and allowances during the closure period.</w:t>
            </w:r>
          </w:p>
        </w:tc>
      </w:tr>
      <w:tr w14:paraId="28E2D6AD" w14:textId="77777777" w:rsidTr="007E7F41">
        <w:tblPrEx>
          <w:tblW w:w="0" w:type="auto"/>
          <w:tblLook w:val="04A0"/>
        </w:tblPrEx>
        <w:tc>
          <w:tcPr>
            <w:tcW w:w="3116" w:type="dxa"/>
          </w:tcPr>
          <w:p w:rsidR="00FB1410" w:rsidRPr="00EB6D36" w:rsidP="007E7F41" w14:paraId="0F1C7B4B" w14:textId="77777777">
            <w:pPr>
              <w:rPr>
                <w:rFonts w:cstheme="minorHAnsi"/>
              </w:rPr>
            </w:pPr>
            <w:r w:rsidRPr="00EB6D36">
              <w:rPr>
                <w:rFonts w:cstheme="minorHAnsi"/>
              </w:rPr>
              <w:t>264.142-150</w:t>
            </w:r>
          </w:p>
        </w:tc>
        <w:tc>
          <w:tcPr>
            <w:tcW w:w="6149" w:type="dxa"/>
          </w:tcPr>
          <w:p w:rsidR="00FB1410" w:rsidRPr="00EB6D36" w:rsidP="007E7F41" w14:paraId="52B29AA0" w14:textId="77777777">
            <w:pPr>
              <w:rPr>
                <w:rFonts w:cstheme="minorHAnsi"/>
              </w:rPr>
            </w:pPr>
            <w:r w:rsidRPr="00EB6D36">
              <w:rPr>
                <w:rFonts w:cstheme="minorHAnsi"/>
              </w:rPr>
              <w:t>Requires owners and operators of TSDFs to maintain a detailed written estimate of the cost of facility closure care until closure of the facility.</w:t>
            </w:r>
          </w:p>
        </w:tc>
      </w:tr>
      <w:tr w14:paraId="3D80B993" w14:textId="77777777" w:rsidTr="007E7F41">
        <w:tblPrEx>
          <w:tblW w:w="0" w:type="auto"/>
          <w:tblLook w:val="04A0"/>
        </w:tblPrEx>
        <w:tc>
          <w:tcPr>
            <w:tcW w:w="3116" w:type="dxa"/>
          </w:tcPr>
          <w:p w:rsidR="00FB1410" w:rsidRPr="00EB6D36" w:rsidP="007E7F41" w14:paraId="6799E9B6" w14:textId="77777777">
            <w:pPr>
              <w:rPr>
                <w:rFonts w:cstheme="minorHAnsi"/>
              </w:rPr>
            </w:pPr>
            <w:r w:rsidRPr="00EB6D36">
              <w:rPr>
                <w:rFonts w:cstheme="minorHAnsi"/>
              </w:rPr>
              <w:t>266.100-112</w:t>
            </w:r>
          </w:p>
        </w:tc>
        <w:tc>
          <w:tcPr>
            <w:tcW w:w="6149" w:type="dxa"/>
          </w:tcPr>
          <w:p w:rsidR="00FB1410" w:rsidRPr="00EB6D36" w:rsidP="007E7F41" w14:paraId="16A7C6C2" w14:textId="77777777">
            <w:pPr>
              <w:rPr>
                <w:rFonts w:cstheme="minorHAnsi"/>
              </w:rPr>
            </w:pPr>
            <w:r w:rsidRPr="00EB6D36">
              <w:rPr>
                <w:rFonts w:cstheme="minorHAnsi"/>
              </w:rPr>
              <w:t xml:space="preserve">Allows owners and operators of certain BIF units to apply for an exemption from BIF regulations.  </w:t>
            </w:r>
          </w:p>
        </w:tc>
      </w:tr>
      <w:tr w14:paraId="4FBEDE93" w14:textId="77777777" w:rsidTr="007E7F41">
        <w:tblPrEx>
          <w:tblW w:w="0" w:type="auto"/>
          <w:tblLook w:val="04A0"/>
        </w:tblPrEx>
        <w:tc>
          <w:tcPr>
            <w:tcW w:w="3116" w:type="dxa"/>
          </w:tcPr>
          <w:p w:rsidR="00FB1410" w:rsidRPr="00EB6D36" w:rsidP="007E7F41" w14:paraId="0E5BFF9E" w14:textId="77777777">
            <w:pPr>
              <w:rPr>
                <w:rFonts w:cstheme="minorHAnsi"/>
              </w:rPr>
            </w:pPr>
            <w:r w:rsidRPr="00EB6D36">
              <w:rPr>
                <w:rFonts w:cstheme="minorHAnsi"/>
              </w:rPr>
              <w:t>270.22</w:t>
            </w:r>
          </w:p>
        </w:tc>
        <w:tc>
          <w:tcPr>
            <w:tcW w:w="6149" w:type="dxa"/>
          </w:tcPr>
          <w:p w:rsidR="00FB1410" w:rsidRPr="00EB6D36" w:rsidP="007E7F41" w14:paraId="7A6A0140" w14:textId="77777777">
            <w:pPr>
              <w:rPr>
                <w:rFonts w:cstheme="minorHAnsi"/>
              </w:rPr>
            </w:pPr>
            <w:r w:rsidRPr="00EB6D36">
              <w:rPr>
                <w:rFonts w:cstheme="minorHAnsi"/>
              </w:rPr>
              <w:t>Establishes Part B application information requirements for BIFs burning hazardous waste.</w:t>
            </w:r>
          </w:p>
        </w:tc>
      </w:tr>
      <w:tr w14:paraId="2AB9908D" w14:textId="77777777" w:rsidTr="007E7F41">
        <w:tblPrEx>
          <w:tblW w:w="0" w:type="auto"/>
          <w:tblLook w:val="04A0"/>
        </w:tblPrEx>
        <w:tc>
          <w:tcPr>
            <w:tcW w:w="3116" w:type="dxa"/>
          </w:tcPr>
          <w:p w:rsidR="00FB1410" w:rsidRPr="00EB6D36" w:rsidP="007E7F41" w14:paraId="686D7DA6" w14:textId="77777777">
            <w:pPr>
              <w:rPr>
                <w:rFonts w:cstheme="minorHAnsi"/>
              </w:rPr>
            </w:pPr>
            <w:r w:rsidRPr="00EB6D36">
              <w:rPr>
                <w:rFonts w:cstheme="minorHAnsi"/>
              </w:rPr>
              <w:t>270.66</w:t>
            </w:r>
          </w:p>
        </w:tc>
        <w:tc>
          <w:tcPr>
            <w:tcW w:w="6149" w:type="dxa"/>
          </w:tcPr>
          <w:p w:rsidR="00FB1410" w:rsidRPr="00EB6D36" w:rsidP="007E7F41" w14:paraId="4B7A37C0" w14:textId="77777777">
            <w:pPr>
              <w:rPr>
                <w:rFonts w:cstheme="minorHAnsi"/>
              </w:rPr>
            </w:pPr>
            <w:r w:rsidRPr="00EB6D36">
              <w:rPr>
                <w:rFonts w:cstheme="minorHAnsi"/>
              </w:rPr>
              <w:t>Establishes permit requirements for BIFs.  Owners and operators of BIF facilities must comply with these regulations in addition to those regulations applicable to all hazardous waste facilities.</w:t>
            </w:r>
          </w:p>
        </w:tc>
      </w:tr>
      <w:tr w14:paraId="71163D60" w14:textId="77777777" w:rsidTr="007E7F41">
        <w:tblPrEx>
          <w:tblW w:w="0" w:type="auto"/>
          <w:tblLook w:val="04A0"/>
        </w:tblPrEx>
        <w:tc>
          <w:tcPr>
            <w:tcW w:w="3116" w:type="dxa"/>
          </w:tcPr>
          <w:p w:rsidR="00FB1410" w:rsidRPr="00EB6D36" w:rsidP="007E7F41" w14:paraId="2BEB35DC" w14:textId="77777777">
            <w:pPr>
              <w:rPr>
                <w:rFonts w:cstheme="minorHAnsi"/>
              </w:rPr>
            </w:pPr>
            <w:r w:rsidRPr="00EB6D36">
              <w:rPr>
                <w:rFonts w:cstheme="minorHAnsi"/>
              </w:rPr>
              <w:t>270.14</w:t>
            </w:r>
          </w:p>
        </w:tc>
        <w:tc>
          <w:tcPr>
            <w:tcW w:w="6149" w:type="dxa"/>
          </w:tcPr>
          <w:p w:rsidR="00FB1410" w:rsidRPr="00EB6D36" w:rsidP="007E7F41" w14:paraId="797DFB15" w14:textId="77777777">
            <w:pPr>
              <w:rPr>
                <w:rFonts w:cstheme="minorHAnsi"/>
              </w:rPr>
            </w:pPr>
            <w:r w:rsidRPr="00EB6D36">
              <w:rPr>
                <w:rFonts w:cstheme="minorHAnsi"/>
              </w:rPr>
              <w:t>Allows owners and operators to petition EPA for relief from submission of information prescribed in Part B on a case-by-case basis by demonstrating that such information cannot be provided to the extent required.</w:t>
            </w:r>
          </w:p>
        </w:tc>
      </w:tr>
    </w:tbl>
    <w:p w:rsidR="00D47CB3" w:rsidRPr="00EB6D36" w:rsidP="00854AAE" w14:paraId="13EA7282"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PRACTICAL UTILITY/USERS OF THE DATA</w:t>
      </w:r>
      <w:bookmarkEnd w:id="2"/>
    </w:p>
    <w:p w:rsidR="004252C1" w:rsidRPr="00EB6D36" w:rsidP="00854AAE" w14:paraId="24379675" w14:textId="77777777">
      <w:pPr>
        <w:pBdr>
          <w:bottom w:val="single" w:sz="4" w:space="1" w:color="auto"/>
        </w:pBdr>
        <w:spacing w:before="60"/>
        <w:rPr>
          <w:rFonts w:cstheme="minorHAnsi"/>
          <w:i/>
          <w:iCs/>
          <w:color w:val="000000"/>
          <w:shd w:val="clear" w:color="auto" w:fill="FFFFFF"/>
        </w:rPr>
      </w:pPr>
      <w:r w:rsidRPr="00EB6D36">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74674F" w:rsidRPr="00EB6D36" w:rsidP="00BC133C" w14:paraId="761B27EB" w14:textId="6661DB9D">
      <w:pPr>
        <w:keepNext/>
        <w:keepLines/>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bookmarkStart w:id="3" w:name="_Toc156593370"/>
      <w:r w:rsidRPr="00EB6D36">
        <w:rPr>
          <w:rFonts w:cstheme="minorHAnsi"/>
          <w:b/>
        </w:rPr>
        <w:tab/>
        <w:t>Waste Analysis, Waste Analysis Plan, Inspection</w:t>
      </w:r>
      <w:r w:rsidRPr="00EB6D36">
        <w:rPr>
          <w:rFonts w:cstheme="minorHAnsi"/>
        </w:rPr>
        <w:t xml:space="preserve"> </w:t>
      </w:r>
      <w:r w:rsidRPr="00EB6D36">
        <w:rPr>
          <w:rFonts w:cstheme="minorHAnsi"/>
          <w:b/>
        </w:rPr>
        <w:t>Schedule, and Documentation of Compliance</w:t>
      </w:r>
    </w:p>
    <w:p w:rsidR="0074674F" w:rsidRPr="00EB6D36" w:rsidP="0074674F" w14:paraId="03803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rsidR="0074674F" w:rsidRPr="00EB6D36" w:rsidP="00BC133C" w14:paraId="65808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rPr>
          <w:rFonts w:cstheme="minorHAnsi"/>
        </w:rPr>
      </w:pPr>
      <w:r w:rsidRPr="00EB6D36">
        <w:rPr>
          <w:rFonts w:cstheme="minorHAnsi"/>
          <w:b/>
        </w:rPr>
        <w:tab/>
        <w:t>Personnel Training</w:t>
      </w:r>
    </w:p>
    <w:p w:rsidR="0074674F" w:rsidRPr="00EB6D36" w:rsidP="0074674F" w14:paraId="2D831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74674F" w:rsidRPr="00EB6D36" w:rsidP="0074674F" w14:paraId="3A0C5B7B" w14:textId="40A3D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 </w:t>
      </w:r>
      <w:r w:rsidRPr="00EB6D36">
        <w:rPr>
          <w:rFonts w:cstheme="minorHAnsi"/>
          <w:b/>
        </w:rPr>
        <w:t>Recordkeeping Requirements</w:t>
      </w:r>
    </w:p>
    <w:p w:rsidR="0074674F" w:rsidRPr="00EB6D36" w:rsidP="0074674F" w14:paraId="3010D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w:t>
      </w:r>
      <w:r w:rsidRPr="00EB6D36">
        <w:rPr>
          <w:rFonts w:cstheme="minorHAnsi"/>
        </w:rPr>
        <w:t>facility-specific data, the operating record also enables EPA compliance officials to determine whether operating requirements can be better tailored to the needs of a particular site.</w:t>
      </w:r>
    </w:p>
    <w:p w:rsidR="0074674F" w:rsidRPr="00EB6D36" w:rsidP="0074674F" w14:paraId="4E87D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Contingency Plan and Emergency Procedures</w:t>
      </w:r>
      <w:r w:rsidRPr="00EB6D36">
        <w:rPr>
          <w:rFonts w:cstheme="minorHAnsi"/>
        </w:rPr>
        <w:t xml:space="preserve"> </w:t>
      </w:r>
    </w:p>
    <w:p w:rsidR="0074674F" w:rsidRPr="00EB6D36" w:rsidP="0074674F" w14:paraId="68B2D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74674F" w:rsidRPr="00EB6D36" w:rsidP="0074674F" w14:paraId="54897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Closure Requirements</w:t>
      </w:r>
    </w:p>
    <w:p w:rsidR="0074674F" w:rsidRPr="00EB6D36" w:rsidP="0074674F" w14:paraId="7A547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74674F" w:rsidRPr="00EB6D36" w:rsidP="0074674F" w14:paraId="0F010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EB6D36">
        <w:rPr>
          <w:rFonts w:cstheme="minorHAnsi"/>
          <w:b/>
        </w:rPr>
        <w:t>Financial Requirements</w:t>
      </w:r>
    </w:p>
    <w:p w:rsidR="0074674F" w:rsidRPr="00EB6D36" w:rsidP="0074674F" w14:paraId="7119A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rsidR="0074674F" w:rsidRPr="00EB6D36" w:rsidP="0074674F" w14:paraId="050B9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Conditions Applicable to All Permits</w:t>
      </w:r>
    </w:p>
    <w:p w:rsidR="0074674F" w:rsidRPr="00EB6D36" w:rsidP="0074674F" w14:paraId="03A12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rsidR="0074674F" w:rsidRPr="00EB6D36" w:rsidP="0074674F" w14:paraId="6C5E3F1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Exemptions from the BIF Regulations</w:t>
      </w:r>
    </w:p>
    <w:p w:rsidR="0074674F" w:rsidRPr="00EB6D36" w:rsidP="0074674F" w14:paraId="7C30DCF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collected under 40 CFR Parts 266.100 and 266.108 to determine whether a facility complies with the conditions that allow an exemption from BIF regulations.</w:t>
      </w:r>
    </w:p>
    <w:p w:rsidR="0074674F" w:rsidRPr="00EB6D36" w:rsidP="0074674F" w14:paraId="4767C20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Standards</w:t>
      </w:r>
    </w:p>
    <w:p w:rsidR="0074674F" w:rsidRPr="00EB6D36" w:rsidP="0074674F" w14:paraId="41E717F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monitoring and inspection information to ensure that a facility is complying with all the terms of its permit and all applicable standards and conditions, including standards covering the control of organic emissions (40 CFR Part 266.104), particulate matter (40 CFR Part 266.105), metals emissions (40 CFR Part 266.106), HCl and Cl</w:t>
      </w:r>
      <w:r w:rsidRPr="00EB6D36">
        <w:rPr>
          <w:rFonts w:cstheme="minorHAnsi"/>
          <w:vertAlign w:val="subscript"/>
        </w:rPr>
        <w:t>2</w:t>
      </w:r>
      <w:r w:rsidRPr="00EB6D36">
        <w:rPr>
          <w:rFonts w:cstheme="minorHAnsi"/>
        </w:rPr>
        <w:t xml:space="preserve"> gas emissions (40 CFR Part 266.107).</w:t>
      </w:r>
    </w:p>
    <w:p w:rsidR="0074674F" w:rsidRPr="00EB6D36" w:rsidP="0074674F" w14:paraId="4BD7B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Organic Emissions</w:t>
      </w:r>
    </w:p>
    <w:p w:rsidR="0074674F" w:rsidRPr="00EB6D36" w:rsidP="0074674F" w14:paraId="636A4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POHC designation to evaluate whether the proposed POHC can serve as an effective indicator of combustion efficiency.</w:t>
      </w:r>
    </w:p>
    <w:p w:rsidR="0074674F" w:rsidRPr="00EB6D36" w:rsidP="0074674F" w14:paraId="26369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Metals Emissions</w:t>
      </w:r>
    </w:p>
    <w:p w:rsidR="0074674F" w:rsidRPr="00EB6D36" w:rsidP="0074674F" w14:paraId="12EC6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implementation approach to evaluate whether the proposed approach can be used effectively and safely.</w:t>
      </w:r>
    </w:p>
    <w:p w:rsidR="0074674F" w:rsidRPr="00EB6D36" w:rsidP="0074674F" w14:paraId="166FA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Direct Transfer Requirements</w:t>
      </w:r>
    </w:p>
    <w:p w:rsidR="0074674F" w:rsidRPr="00EB6D36" w:rsidP="0074674F" w14:paraId="55411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concerning the direct transfer of waste to evaluate the equipment used and to ensure that waste is being transferred in a manner that minimizes the likelihood of a release.</w:t>
      </w:r>
    </w:p>
    <w:p w:rsidR="0074674F" w:rsidRPr="00EB6D36" w:rsidP="0074674F" w14:paraId="5CC72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Regulation of Residues</w:t>
      </w:r>
    </w:p>
    <w:p w:rsidR="0074674F" w:rsidRPr="00EB6D36" w:rsidP="0074674F" w14:paraId="03AAC7DE" w14:textId="317B5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non</w:t>
      </w:r>
      <w:r w:rsidR="002F16B1">
        <w:rPr>
          <w:rFonts w:cstheme="minorHAnsi"/>
        </w:rPr>
        <w:t>-</w:t>
      </w:r>
      <w:r w:rsidRPr="00EB6D36">
        <w:rPr>
          <w:rFonts w:cstheme="minorHAnsi"/>
        </w:rPr>
        <w:t>detect data points to ensure that the approaches used are supported by valid data and assumptions.</w:t>
      </w:r>
    </w:p>
    <w:p w:rsidR="0074674F" w:rsidRPr="00EB6D36" w:rsidP="0074674F" w14:paraId="1D4CE23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General Part B Information Requirements for BIFs</w:t>
      </w:r>
    </w:p>
    <w:p w:rsidR="0074674F" w:rsidRPr="00EB6D36" w:rsidP="0074674F" w14:paraId="027D80F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EPA uses the information requirements in 40 CFR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rsidR="0074674F" w:rsidRPr="00EB6D36" w:rsidP="0074674F" w14:paraId="5EC6AF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Specific Part B Information Requirements for BIFs</w:t>
      </w:r>
      <w:r w:rsidRPr="00EB6D36">
        <w:rPr>
          <w:rFonts w:cstheme="minorHAnsi"/>
        </w:rPr>
        <w:t xml:space="preserve"> </w:t>
      </w:r>
    </w:p>
    <w:p w:rsidR="0074674F" w:rsidRPr="00EB6D36" w:rsidP="0074674F" w14:paraId="4110F0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Fugitive Emissions</w:t>
      </w:r>
    </w:p>
    <w:p w:rsidR="0074674F" w:rsidRPr="00EB6D36" w:rsidP="0074674F" w14:paraId="119ACEA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means of fugitive emissions control to ensure that the proposed method will perform effectively.</w:t>
      </w:r>
    </w:p>
    <w:p w:rsidR="0074674F" w:rsidRPr="00EB6D36" w:rsidP="0074674F" w14:paraId="10BD1BF9" w14:textId="4D113CB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Pre-Trial Burn, Trial Burn, and Post-Trial Burn Periods</w:t>
      </w:r>
    </w:p>
    <w:p w:rsidR="0074674F" w:rsidRPr="00EB6D36" w:rsidP="0074674F" w14:paraId="4E9033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relating to the various permit operating periods to evaluate whether the BIF unit can meet the standards set forth in 40 CFR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CFR Part 266, Subpart H.</w:t>
      </w:r>
    </w:p>
    <w:p w:rsidR="0074674F" w:rsidRPr="00EB6D36" w:rsidP="0074674F" w14:paraId="442CE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ab/>
        <w:t>Waivers of the Trial Burn</w:t>
      </w:r>
    </w:p>
    <w:p w:rsidR="0074674F" w:rsidRPr="00EB6D36" w:rsidP="0074674F" w14:paraId="093B9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 waiver of a trial burn to evaluate whether the proposed waiver should be granted, based on human health and environmental considerations.</w:t>
      </w:r>
    </w:p>
    <w:p w:rsidR="0074674F" w:rsidRPr="00EB6D36" w:rsidP="0074674F" w14:paraId="39EA0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HC Limit for Industrial Furnaces with Organic Matter in Raw Materials</w:t>
      </w:r>
    </w:p>
    <w:p w:rsidR="0074674F" w:rsidRPr="00EB6D36" w:rsidP="0074674F" w14:paraId="43C9E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HC limit to evaluate whether the limit will be protective of human health and the environment.</w:t>
      </w:r>
    </w:p>
    <w:p w:rsidR="0074674F" w:rsidRPr="00EB6D36" w:rsidP="0074674F" w14:paraId="144B3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Metals Implementation Approach</w:t>
      </w:r>
    </w:p>
    <w:p w:rsidR="0074674F" w:rsidRPr="00EB6D36" w:rsidP="0074674F" w14:paraId="6CBDB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alternative implementation approach, as described at 40 CFR Parts 266.103(b), 266.106(f), and appendix IX, section 10, to evaluate whether the proposed approach will work effectively and safely.</w:t>
      </w:r>
    </w:p>
    <w:p w:rsidR="0074674F" w:rsidRPr="00EB6D36" w:rsidP="0074674F" w14:paraId="4A4B5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Automatic Hazardous Waste Feed Cutoff System</w:t>
      </w:r>
    </w:p>
    <w:p w:rsidR="0074674F" w:rsidRPr="00EB6D36" w:rsidP="0074674F" w14:paraId="24406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on the automatic hazardous waste feed cutoff system to evaluate whether the system has been installed and is being operated correctly.</w:t>
      </w:r>
    </w:p>
    <w:p w:rsidR="0074674F" w:rsidRPr="00EB6D36" w:rsidP="0074674F" w14:paraId="217E96B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Direct Transfer Requirements</w:t>
      </w:r>
    </w:p>
    <w:p w:rsidR="0074674F" w:rsidRPr="00EB6D36" w:rsidP="0074674F" w14:paraId="34F769D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collected on direct transfer equipment to evaluate and ensure that the integrity of the equipment and its maintenance and operation minimizes the likelihood of a release.</w:t>
      </w:r>
    </w:p>
    <w:p w:rsidR="0074674F" w:rsidRPr="00EB6D36" w:rsidP="0074674F" w14:paraId="393CEB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Regulation of Residues</w:t>
      </w:r>
    </w:p>
    <w:p w:rsidR="0074674F" w:rsidRPr="00EB6D36" w:rsidP="0074674F" w14:paraId="605CA4A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rsidR="0074674F" w:rsidRPr="00EB6D36" w:rsidP="0074674F" w14:paraId="7AFFF5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Modifications for BIFs</w:t>
      </w:r>
    </w:p>
    <w:p w:rsidR="0074674F" w:rsidRPr="00EB6D36" w:rsidP="0074674F" w14:paraId="361606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Modifications</w:t>
      </w:r>
    </w:p>
    <w:p w:rsidR="0074674F" w:rsidRPr="00EB6D36" w:rsidP="0074674F" w14:paraId="57842ED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0074674F" w:rsidRPr="00EB6D36" w:rsidP="0074674F" w14:paraId="05058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74674F" w:rsidRPr="00EB6D36" w:rsidP="0074674F" w14:paraId="4023B0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Expiration and Continuation of Permits</w:t>
      </w:r>
    </w:p>
    <w:p w:rsidR="0074674F" w:rsidRPr="00EB6D36" w:rsidP="0074674F" w14:paraId="79B2D45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uses permit renewal applications to ensure that the terms of the facility permit remain protective of human health and the environment.</w:t>
      </w:r>
    </w:p>
    <w:p w:rsidR="00074917" w:rsidRPr="00EB6D36" w:rsidP="00854AAE" w14:paraId="5743ED7B"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USE OF TECHNOLOGY</w:t>
      </w:r>
      <w:bookmarkEnd w:id="3"/>
    </w:p>
    <w:p w:rsidR="00D47CB3" w:rsidRPr="00EB6D36" w:rsidP="00854AAE" w14:paraId="63FA7108" w14:textId="77777777">
      <w:pPr>
        <w:pBdr>
          <w:bottom w:val="single" w:sz="4" w:space="1" w:color="auto"/>
        </w:pBdr>
        <w:spacing w:before="60"/>
        <w:rPr>
          <w:rFonts w:cstheme="minorHAnsi"/>
          <w:i/>
          <w:iCs/>
        </w:rPr>
      </w:pPr>
      <w:r w:rsidRPr="00EB6D36">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5D4" w:rsidRPr="00DF6B59" w:rsidP="008545D4" w14:paraId="292126C5" w14:textId="77777777">
      <w:pPr>
        <w:pBdr>
          <w:top w:val="single" w:sz="6" w:space="0" w:color="FFFFFF"/>
          <w:left w:val="single" w:sz="6" w:space="0" w:color="FFFFFF"/>
          <w:bottom w:val="single" w:sz="6" w:space="0" w:color="FFFFFF"/>
          <w:right w:val="single" w:sz="6" w:space="0" w:color="FFFFFF"/>
        </w:pBdr>
        <w:ind w:firstLine="360"/>
        <w:rPr>
          <w:rFonts w:cstheme="minorHAnsi"/>
        </w:rPr>
      </w:pPr>
      <w:bookmarkStart w:id="4" w:name="_Toc156593371"/>
      <w:r w:rsidRPr="00DF6B59">
        <w:rPr>
          <w:rFonts w:cstheme="minorHAnsi"/>
        </w:rPr>
        <w:t>The information collected, as described above, can be kept in an electronic format and reports can be submitted to the State and/or Region electronically</w:t>
      </w:r>
      <w:r>
        <w:rPr>
          <w:rFonts w:cstheme="minorHAnsi"/>
        </w:rPr>
        <w:t xml:space="preserve"> </w:t>
      </w:r>
      <w:r w:rsidRPr="00C10FED">
        <w:rPr>
          <w:rFonts w:cstheme="minorHAnsi"/>
        </w:rPr>
        <w:t>as attachments via email.</w:t>
      </w:r>
    </w:p>
    <w:p w:rsidR="005263EC" w:rsidRPr="00EB6D36" w:rsidP="00854AAE" w14:paraId="3B54AC74"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EFFORTS TO IDENTIFY DUPLICATION</w:t>
      </w:r>
      <w:bookmarkEnd w:id="4"/>
    </w:p>
    <w:p w:rsidR="00D47CB3" w:rsidRPr="00EB6D36" w:rsidP="00854AAE" w14:paraId="3A68AD31" w14:textId="77777777">
      <w:pPr>
        <w:pBdr>
          <w:bottom w:val="single" w:sz="4" w:space="1" w:color="auto"/>
        </w:pBdr>
        <w:spacing w:before="60"/>
        <w:rPr>
          <w:rFonts w:cstheme="minorHAnsi"/>
          <w:i/>
          <w:iCs/>
        </w:rPr>
      </w:pPr>
      <w:r w:rsidRPr="00EB6D36">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DD7129" w:rsidRPr="00EB6D36" w:rsidP="00BF144F" w14:paraId="6C21A3A5" w14:textId="47CB4A21">
      <w:pPr>
        <w:spacing w:before="100" w:beforeAutospacing="1" w:after="100" w:afterAutospacing="1"/>
        <w:ind w:firstLine="360"/>
        <w:rPr>
          <w:rFonts w:cstheme="minorHAnsi"/>
        </w:rPr>
      </w:pPr>
      <w:bookmarkStart w:id="5" w:name="_Toc156593372"/>
      <w:r w:rsidRPr="00EB6D36">
        <w:rPr>
          <w:rFonts w:cstheme="minorHAnsi"/>
        </w:rPr>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Resource Conservation and Recovery has systematically reorganized its ICR structure to eliminate gaps or duplication.</w:t>
      </w:r>
    </w:p>
    <w:p w:rsidR="00251151" w:rsidRPr="00EB6D36" w:rsidP="4BDBF0A0" w14:paraId="258ABFB2"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 xml:space="preserve">MINIMIZING BURDEN ON SMALL </w:t>
      </w:r>
      <w:r w:rsidRPr="00EB6D36" w:rsidR="0F43C128">
        <w:rPr>
          <w:rFonts w:cstheme="minorHAnsi"/>
          <w:b/>
          <w:bCs/>
        </w:rPr>
        <w:t xml:space="preserve">BUSINESSES AND SMALL </w:t>
      </w:r>
      <w:r w:rsidRPr="00EB6D36">
        <w:rPr>
          <w:rFonts w:cstheme="minorHAnsi"/>
          <w:b/>
          <w:bCs/>
        </w:rPr>
        <w:t>ENTITIES</w:t>
      </w:r>
      <w:bookmarkEnd w:id="5"/>
    </w:p>
    <w:p w:rsidR="00D47CB3" w:rsidRPr="00EB6D36" w:rsidP="00854AAE" w14:paraId="56E8CE4E" w14:textId="77777777">
      <w:pPr>
        <w:pBdr>
          <w:bottom w:val="single" w:sz="4" w:space="1" w:color="auto"/>
        </w:pBdr>
        <w:spacing w:before="60"/>
        <w:rPr>
          <w:rFonts w:cstheme="minorHAnsi"/>
          <w:i/>
          <w:iCs/>
        </w:rPr>
      </w:pPr>
      <w:r w:rsidRPr="00EB6D36">
        <w:rPr>
          <w:rFonts w:cstheme="minorHAnsi"/>
          <w:i/>
          <w:iCs/>
          <w:color w:val="000000"/>
          <w:shd w:val="clear" w:color="auto" w:fill="FFFFFF"/>
        </w:rPr>
        <w:t>If the collection of information impacts small businesses or other small entities, describe any methods used to minimize burden.</w:t>
      </w:r>
    </w:p>
    <w:p w:rsidR="008545D4" w:rsidRPr="00DF6B59" w:rsidP="008545D4" w14:paraId="73418580" w14:textId="5824B33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bookmarkStart w:id="6" w:name="_Toc156593373"/>
      <w:r>
        <w:rPr>
          <w:rFonts w:cstheme="minorHAnsi"/>
        </w:rPr>
        <w:tab/>
      </w:r>
      <w:r w:rsidRPr="00DF6B59">
        <w:rPr>
          <w:rFonts w:cstheme="minorHAnsi"/>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 </w:t>
      </w:r>
    </w:p>
    <w:p w:rsidR="004252C1" w:rsidRPr="00EB6D36" w:rsidP="008545D4" w14:paraId="657EF9D9" w14:textId="33AB71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B6D36">
        <w:rPr>
          <w:rFonts w:cstheme="minorHAnsi"/>
          <w:b/>
          <w:bCs/>
        </w:rPr>
        <w:t>CONSEQUENCES</w:t>
      </w:r>
      <w:r w:rsidRPr="00EB6D36" w:rsidR="00061A77">
        <w:rPr>
          <w:rFonts w:cstheme="minorHAnsi"/>
          <w:b/>
          <w:bCs/>
        </w:rPr>
        <w:t xml:space="preserve"> OF LESS FREQUENT COLLECTION</w:t>
      </w:r>
      <w:bookmarkEnd w:id="6"/>
    </w:p>
    <w:p w:rsidR="00D47CB3" w:rsidRPr="00EB6D36" w:rsidP="00854AAE" w14:paraId="5343D984" w14:textId="77777777">
      <w:pPr>
        <w:pBdr>
          <w:bottom w:val="single" w:sz="4" w:space="1" w:color="auto"/>
        </w:pBdr>
        <w:tabs>
          <w:tab w:val="left" w:pos="921"/>
        </w:tabs>
        <w:spacing w:before="60"/>
        <w:rPr>
          <w:rFonts w:cstheme="minorHAnsi"/>
          <w:i/>
          <w:iCs/>
        </w:rPr>
      </w:pPr>
      <w:r w:rsidRPr="00EB6D36">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182B0B" w:rsidRPr="00EB6D36" w:rsidP="00BF144F" w14:paraId="4A1DBF1E" w14:textId="1FE31831">
      <w:pPr>
        <w:ind w:firstLine="360"/>
        <w:rPr>
          <w:rFonts w:cstheme="minorHAnsi"/>
          <w:b/>
          <w:bCs/>
        </w:rPr>
      </w:pPr>
      <w:bookmarkStart w:id="7" w:name="_Toc156593374"/>
      <w:r w:rsidRPr="00EB6D36">
        <w:rPr>
          <w:rFonts w:cstheme="minorHAnsi"/>
        </w:rPr>
        <w:t xml:space="preserve">EPA has carefully considered the burden imposed upon the regulated community by the specific unit and special waste processes and types </w:t>
      </w:r>
      <w:r w:rsidR="002F16B1">
        <w:rPr>
          <w:rFonts w:cstheme="minorHAnsi"/>
        </w:rPr>
        <w:t xml:space="preserve">of </w:t>
      </w:r>
      <w:r w:rsidRPr="00EB6D36">
        <w:rPr>
          <w:rFonts w:cstheme="minorHAnsi"/>
        </w:rPr>
        <w:t>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rsidR="00A233E0" w:rsidRPr="00EB6D36" w:rsidP="00854AAE" w14:paraId="2C23FE65"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GENERAL GUIDELINES</w:t>
      </w:r>
      <w:bookmarkEnd w:id="7"/>
    </w:p>
    <w:p w:rsidR="00A233E0" w:rsidRPr="00EB6D36" w:rsidP="00854AAE" w14:paraId="7BE32DD9" w14:textId="77777777">
      <w:pPr>
        <w:pBdr>
          <w:bottom w:val="single" w:sz="4" w:space="1" w:color="auto"/>
        </w:pBdr>
        <w:spacing w:before="60"/>
        <w:rPr>
          <w:rFonts w:cstheme="minorHAnsi"/>
        </w:rPr>
      </w:pPr>
      <w:r w:rsidRPr="00EB6D36">
        <w:rPr>
          <w:rFonts w:cstheme="minorHAnsi"/>
          <w:i/>
          <w:iCs/>
        </w:rPr>
        <w:t>Explain any special circumstances that require the collection to be conducted in a manner inconsistent with OMB guidelines.</w:t>
      </w:r>
    </w:p>
    <w:p w:rsidR="001F78F0" w:rsidRPr="00EB6D36" w:rsidP="00BF144F" w14:paraId="4B7FBC6B" w14:textId="6FD835F7">
      <w:pPr>
        <w:ind w:firstLine="360"/>
        <w:rPr>
          <w:rFonts w:cstheme="minorHAnsi"/>
          <w:b/>
          <w:bCs/>
        </w:rPr>
      </w:pPr>
      <w:bookmarkStart w:id="8" w:name="_Toc156593375"/>
      <w:r w:rsidRPr="002F16B1">
        <w:rPr>
          <w:rFonts w:cstheme="minorHAnsi"/>
          <w:color w:val="000000"/>
        </w:rPr>
        <w:t>The information collection is consistent with the guidelines set forth in 5 CFR 1320(d)(2) of the Paperwork Reduction Act.</w:t>
      </w:r>
    </w:p>
    <w:p w:rsidR="006036CD" w:rsidRPr="00EB6D36" w:rsidP="00854AAE" w14:paraId="4AF007FB"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PUBLIC COMMENT AND CONSULTATIONS</w:t>
      </w:r>
      <w:bookmarkStart w:id="9" w:name="_Toc156593376"/>
      <w:bookmarkEnd w:id="8"/>
    </w:p>
    <w:p w:rsidR="00DD2682" w:rsidRPr="00EB6D36" w:rsidP="00854AAE" w14:paraId="756F1008" w14:textId="77777777">
      <w:pPr>
        <w:spacing w:before="120" w:after="0"/>
        <w:rPr>
          <w:rFonts w:cstheme="minorHAnsi"/>
          <w:b/>
          <w:bCs/>
        </w:rPr>
      </w:pPr>
      <w:r w:rsidRPr="00EB6D36">
        <w:rPr>
          <w:rFonts w:cstheme="minorHAnsi"/>
          <w:b/>
          <w:bCs/>
        </w:rPr>
        <w:t xml:space="preserve">8a. </w:t>
      </w:r>
      <w:r w:rsidRPr="00EB6D36" w:rsidR="00A82647">
        <w:rPr>
          <w:rFonts w:cstheme="minorHAnsi"/>
          <w:b/>
          <w:bCs/>
        </w:rPr>
        <w:t>Public Comment</w:t>
      </w:r>
      <w:bookmarkStart w:id="10" w:name="_Toc156593377"/>
      <w:bookmarkEnd w:id="9"/>
    </w:p>
    <w:p w:rsidR="00A233E0" w:rsidRPr="00EB6D36" w:rsidP="00854AAE" w14:paraId="40C6F9AB" w14:textId="77777777">
      <w:pPr>
        <w:spacing w:line="240" w:lineRule="auto"/>
        <w:rPr>
          <w:rFonts w:cstheme="minorHAnsi"/>
          <w:i/>
          <w:iCs/>
        </w:rPr>
      </w:pPr>
      <w:r w:rsidRPr="00EB6D36">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EB6D36" w:rsidP="00BF144F" w14:paraId="406A0F68" w14:textId="7102C43F">
      <w:pPr>
        <w:ind w:firstLine="720"/>
        <w:rPr>
          <w:rFonts w:cstheme="minorHAnsi"/>
        </w:rPr>
      </w:pPr>
      <w:r w:rsidRPr="00EB6D36">
        <w:rPr>
          <w:rFonts w:cstheme="minorHAnsi"/>
        </w:rPr>
        <w:t xml:space="preserve">In compliance with the Paperwork Reduction Act of 1995, EPA issued a public notice in the </w:t>
      </w:r>
      <w:r w:rsidRPr="00EB6D36">
        <w:rPr>
          <w:rFonts w:cstheme="minorHAnsi"/>
          <w:i/>
          <w:iCs/>
        </w:rPr>
        <w:t>Federal Register</w:t>
      </w:r>
      <w:r w:rsidRPr="00EB6D36">
        <w:rPr>
          <w:rFonts w:cstheme="minorHAnsi"/>
        </w:rPr>
        <w:t xml:space="preserve"> on May 13, 2024 (89 </w:t>
      </w:r>
      <w:r w:rsidRPr="00EB6D36">
        <w:rPr>
          <w:rFonts w:cstheme="minorHAnsi"/>
          <w:i/>
        </w:rPr>
        <w:t>FR</w:t>
      </w:r>
      <w:r w:rsidRPr="00EB6D36">
        <w:rPr>
          <w:rFonts w:cstheme="minorHAnsi"/>
        </w:rPr>
        <w:t xml:space="preserve"> 41432).  The notice indicated that EPA was planning to submit an ICR, </w:t>
      </w:r>
      <w:r w:rsidRPr="00EB6D36" w:rsidR="00B021B7">
        <w:rPr>
          <w:rFonts w:cstheme="minorHAnsi"/>
        </w:rPr>
        <w:t>“</w:t>
      </w:r>
      <w:r w:rsidRPr="00EB6D36" w:rsidR="00B021B7">
        <w:rPr>
          <w:rFonts w:cstheme="minorHAnsi"/>
          <w:bCs/>
        </w:rPr>
        <w:t>Information Requirements for Boilers and Industrial Furnaces (Renewal)”</w:t>
      </w:r>
      <w:r w:rsidRPr="00EB6D36" w:rsidR="00B021B7">
        <w:rPr>
          <w:rFonts w:cstheme="minorHAnsi"/>
        </w:rPr>
        <w:t xml:space="preserve"> </w:t>
      </w:r>
      <w:r w:rsidRPr="00EB6D36">
        <w:rPr>
          <w:rFonts w:cstheme="minorHAnsi"/>
        </w:rPr>
        <w:t xml:space="preserve">(EPA ICR No. </w:t>
      </w:r>
      <w:r w:rsidRPr="00EB6D36" w:rsidR="00B021B7">
        <w:rPr>
          <w:rFonts w:cstheme="minorHAnsi"/>
        </w:rPr>
        <w:t>1361.19</w:t>
      </w:r>
      <w:r w:rsidRPr="00EB6D36">
        <w:rPr>
          <w:rFonts w:cstheme="minorHAnsi"/>
        </w:rPr>
        <w:t>, OMB Control No. 2050–00</w:t>
      </w:r>
      <w:r w:rsidRPr="00EB6D36" w:rsidR="00B021B7">
        <w:rPr>
          <w:rFonts w:cstheme="minorHAnsi"/>
        </w:rPr>
        <w:t>73</w:t>
      </w:r>
      <w:r w:rsidRPr="00EB6D36">
        <w:rPr>
          <w:rFonts w:cstheme="minorHAnsi"/>
        </w:rPr>
        <w:t xml:space="preserve">), 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EB6D36" w:rsidR="00B021B7">
        <w:rPr>
          <w:rFonts w:cstheme="minorHAnsi"/>
        </w:rPr>
        <w:t>July 12, 2024</w:t>
      </w:r>
      <w:r w:rsidRPr="00EB6D36">
        <w:rPr>
          <w:rFonts w:cstheme="minorHAnsi"/>
        </w:rPr>
        <w:t xml:space="preserve">.  EPA received no comments on this ICR in response to the </w:t>
      </w:r>
      <w:r w:rsidRPr="00EB6D36">
        <w:rPr>
          <w:rFonts w:cstheme="minorHAnsi"/>
          <w:i/>
        </w:rPr>
        <w:t>Federal Register</w:t>
      </w:r>
      <w:r w:rsidRPr="00EB6D36">
        <w:rPr>
          <w:rFonts w:cstheme="minorHAnsi"/>
        </w:rPr>
        <w:t xml:space="preserve"> notice.  </w:t>
      </w:r>
      <w:r w:rsidR="008545D4">
        <w:rPr>
          <w:rFonts w:cstheme="minorHAnsi"/>
        </w:rPr>
        <w:t>A copy of the notice as published is included with this ICR package.</w:t>
      </w:r>
      <w:r w:rsidRPr="00EB6D36">
        <w:rPr>
          <w:rFonts w:cstheme="minorHAnsi"/>
        </w:rPr>
        <w:t xml:space="preserve">  </w:t>
      </w:r>
    </w:p>
    <w:p w:rsidR="00DB7775" w:rsidRPr="00EB6D36"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EB6D36">
        <w:rPr>
          <w:rFonts w:cstheme="minorHAnsi"/>
          <w:b/>
          <w:bCs/>
        </w:rPr>
        <w:t xml:space="preserve">8b. </w:t>
      </w:r>
      <w:r w:rsidRPr="00EB6D36" w:rsidR="0061689C">
        <w:rPr>
          <w:rFonts w:cstheme="minorHAnsi"/>
          <w:b/>
          <w:bCs/>
        </w:rPr>
        <w:t>C</w:t>
      </w:r>
      <w:bookmarkEnd w:id="10"/>
      <w:r w:rsidRPr="00EB6D36" w:rsidR="005D140B">
        <w:rPr>
          <w:rFonts w:cstheme="minorHAnsi"/>
          <w:b/>
          <w:bCs/>
        </w:rPr>
        <w:t>onsultations</w:t>
      </w:r>
    </w:p>
    <w:p w:rsidR="00A233E0" w:rsidRPr="00EB6D36" w:rsidP="00854AAE" w14:paraId="43491B7D" w14:textId="77777777">
      <w:pPr>
        <w:rPr>
          <w:rFonts w:cstheme="minorHAnsi"/>
          <w:i/>
          <w:iCs/>
        </w:rPr>
      </w:pPr>
      <w:r w:rsidRPr="00EB6D36">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A55FD" w:rsidRPr="00F85821" w:rsidP="009A55FD" w14:paraId="4D447C61" w14:textId="035BC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1" w:name="_Toc116104383"/>
      <w:bookmarkStart w:id="12" w:name="_Toc156593378"/>
      <w:r>
        <w:t xml:space="preserve">In compliance with the PRA of 1995, EPA consulted with the following companies: Union Carbide, Dow Chemical, Rohm and Haas, and Angus Chemical. </w:t>
      </w:r>
      <w:r w:rsidR="00C03FE4">
        <w:t>As a result of these consultations, the burden estimates were deemed to be acceptable. There have been no changes to the program that would cause these estimates to change</w:t>
      </w:r>
      <w:r>
        <w:t>.</w:t>
      </w:r>
    </w:p>
    <w:bookmarkEnd w:id="11"/>
    <w:p w:rsidR="00A233E0" w:rsidRPr="00EB6D36" w:rsidP="00854AAE" w14:paraId="19364F16"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PAYMENTS OR GIFTS TO RESPONDENTS</w:t>
      </w:r>
      <w:bookmarkEnd w:id="12"/>
    </w:p>
    <w:p w:rsidR="00D47CB3" w:rsidRPr="00EB6D36" w:rsidP="00854AAE" w14:paraId="5384C56D" w14:textId="77777777">
      <w:pPr>
        <w:pBdr>
          <w:bottom w:val="single" w:sz="4" w:space="1" w:color="auto"/>
        </w:pBdr>
        <w:spacing w:before="60"/>
        <w:rPr>
          <w:rFonts w:cstheme="minorHAnsi"/>
        </w:rPr>
      </w:pPr>
      <w:r w:rsidRPr="00EB6D36">
        <w:rPr>
          <w:rFonts w:cstheme="minorHAnsi"/>
          <w:i/>
          <w:iCs/>
        </w:rPr>
        <w:t>Explain any decisions to provide payments or gifts to respondents, other than remuneration of contractors or grantees.</w:t>
      </w:r>
    </w:p>
    <w:p w:rsidR="00165275" w:rsidRPr="00EB6D36" w:rsidP="00CE4BFA" w14:paraId="3F713AB6" w14:textId="77777777">
      <w:pPr>
        <w:ind w:firstLine="360"/>
        <w:rPr>
          <w:rFonts w:cstheme="minorHAnsi"/>
        </w:rPr>
      </w:pPr>
      <w:r w:rsidRPr="00EB6D36">
        <w:rPr>
          <w:rFonts w:cstheme="minorHAnsi"/>
        </w:rPr>
        <w:t>There are no payments or gifts associated with this collection of information.</w:t>
      </w:r>
    </w:p>
    <w:p w:rsidR="4C04BBF2" w:rsidRPr="00EB6D36" w:rsidP="4BDBF0A0" w14:paraId="5BE5EB6E"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ASSURANCE OF CONFIDENTIALITY</w:t>
      </w:r>
    </w:p>
    <w:p w:rsidR="00A233E0" w:rsidRPr="00EB6D36" w:rsidP="00854AAE" w14:paraId="1E85BB3F" w14:textId="77777777">
      <w:pPr>
        <w:pBdr>
          <w:bottom w:val="single" w:sz="4" w:space="1" w:color="auto"/>
        </w:pBdr>
        <w:spacing w:before="60"/>
        <w:rPr>
          <w:rFonts w:cstheme="minorHAnsi"/>
        </w:rPr>
      </w:pPr>
      <w:r w:rsidRPr="00EB6D36">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65275" w:rsidRPr="00EB6D36" w:rsidP="00CE4BFA" w14:paraId="2B6CA6C5" w14:textId="47B813AB">
      <w:pPr>
        <w:ind w:firstLine="360"/>
        <w:rPr>
          <w:rFonts w:cstheme="minorHAnsi"/>
          <w:b/>
          <w:bCs/>
        </w:rPr>
      </w:pPr>
      <w:bookmarkStart w:id="13" w:name="_Toc156593380"/>
      <w:r w:rsidRPr="00EB6D36">
        <w:rPr>
          <w:rFonts w:cstheme="minorHAnsi"/>
        </w:rPr>
        <w:t xml:space="preserve">EPA does not intend to collect any information related to trade secrets of the </w:t>
      </w:r>
      <w:r w:rsidRPr="00EB6D36" w:rsidR="00707CC4">
        <w:rPr>
          <w:rFonts w:cstheme="minorHAnsi"/>
        </w:rPr>
        <w:t>stakeholders</w:t>
      </w:r>
      <w:r w:rsidRPr="00EB6D36">
        <w:rPr>
          <w:rFonts w:cstheme="minorHAnsi"/>
        </w:rPr>
        <w:t xml:space="preserve">.  Section 3007(b) of RCRA and 40 CFR Part 2, Subpart B define EPA’s general policy on the public disclosure of </w:t>
      </w:r>
      <w:r w:rsidRPr="00EB6D36" w:rsidR="00707CC4">
        <w:rPr>
          <w:rFonts w:cstheme="minorHAnsi"/>
        </w:rPr>
        <w:t>information and</w:t>
      </w:r>
      <w:r w:rsidRPr="00EB6D36">
        <w:rPr>
          <w:rFonts w:cstheme="minorHAnsi"/>
        </w:rPr>
        <w:t xml:space="preserve"> contain provisions for confidentiality of business information.  EPA protects from public disclosure all Confidential Business Information (CBI) obtained under </w:t>
      </w:r>
      <w:r w:rsidRPr="00EB6D36" w:rsidR="00707CC4">
        <w:rPr>
          <w:rFonts w:cstheme="minorHAnsi"/>
        </w:rPr>
        <w:t>RCRA and</w:t>
      </w:r>
      <w:r w:rsidRPr="00EB6D36">
        <w:rPr>
          <w:rFonts w:cstheme="minorHAnsi"/>
        </w:rPr>
        <w:t xml:space="preserve"> has provided businesses with procedures to claim confidentiality for such CBI.  EPA makes extra efforts to protect the confidentiality of this CBI.</w:t>
      </w:r>
    </w:p>
    <w:p w:rsidR="00A233E0" w:rsidRPr="00EB6D36" w:rsidP="00854AAE" w14:paraId="74E56D6D"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JUSTIFICATION FOR SENSITIVE QUESTIONS</w:t>
      </w:r>
      <w:bookmarkEnd w:id="13"/>
    </w:p>
    <w:p w:rsidR="00A233E0" w:rsidRPr="00EB6D36" w:rsidP="00854AAE" w14:paraId="20A3DD0B" w14:textId="77777777">
      <w:pPr>
        <w:pBdr>
          <w:bottom w:val="single" w:sz="4" w:space="1" w:color="auto"/>
        </w:pBdr>
        <w:spacing w:before="60"/>
        <w:rPr>
          <w:rFonts w:cstheme="minorHAnsi"/>
        </w:rPr>
      </w:pPr>
      <w:r w:rsidRPr="00EB6D36">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FA" w:rsidRPr="00EB6D36" w:rsidP="00CE4BFA" w14:paraId="67825BD6" w14:textId="2971AF3B">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4" w:name="_Toc156593381"/>
      <w:bookmarkStart w:id="15" w:name="_Hlk162363270"/>
      <w:r w:rsidRPr="00707CC4">
        <w:rPr>
          <w:rFonts w:cstheme="minorHAnsi"/>
        </w:rPr>
        <w:t>The information collection activities covered by this ICR will not include questions about sensitive issues (e.g., religious beliefs, sexual attitudes and behavior).</w:t>
      </w:r>
    </w:p>
    <w:p w:rsidR="001172FE" w:rsidRPr="00EB6D36" w:rsidP="00854AAE" w14:paraId="12A11C7D" w14:textId="77777777">
      <w:pPr>
        <w:pStyle w:val="ListParagraph"/>
        <w:numPr>
          <w:ilvl w:val="0"/>
          <w:numId w:val="25"/>
        </w:numPr>
        <w:spacing w:before="240" w:after="0"/>
        <w:rPr>
          <w:rFonts w:cstheme="minorHAnsi"/>
          <w:b/>
          <w:bCs/>
        </w:rPr>
      </w:pPr>
      <w:r w:rsidRPr="00EB6D36">
        <w:rPr>
          <w:rFonts w:cstheme="minorHAnsi"/>
          <w:b/>
          <w:bCs/>
        </w:rPr>
        <w:t>RESPONDENT BURDEN HOURS</w:t>
      </w:r>
      <w:r w:rsidRPr="00EB6D36" w:rsidR="00DB799B">
        <w:rPr>
          <w:rFonts w:cstheme="minorHAnsi"/>
          <w:b/>
          <w:bCs/>
        </w:rPr>
        <w:t xml:space="preserve"> &amp; LABOR COSTS</w:t>
      </w:r>
      <w:bookmarkStart w:id="16" w:name="_Toc156593382"/>
      <w:bookmarkEnd w:id="14"/>
    </w:p>
    <w:p w:rsidR="00A233E0" w:rsidRPr="00EB6D36" w:rsidP="00163C69" w14:paraId="49CEA154" w14:textId="77777777">
      <w:pPr>
        <w:pStyle w:val="ListParagraph"/>
        <w:ind w:left="0"/>
        <w:rPr>
          <w:rFonts w:cstheme="minorHAnsi"/>
          <w:i/>
          <w:iCs/>
        </w:rPr>
      </w:pPr>
      <w:r w:rsidRPr="00EB6D36">
        <w:rPr>
          <w:rFonts w:cstheme="minorHAnsi"/>
          <w:i/>
          <w:iCs/>
        </w:rPr>
        <w:t>Provide estimates of the hour burden of the collection of information. The statement should:</w:t>
      </w:r>
    </w:p>
    <w:p w:rsidR="00A233E0" w:rsidRPr="00EB6D36" w:rsidP="006E197A" w14:paraId="170FFD04" w14:textId="77777777">
      <w:pPr>
        <w:pStyle w:val="ListParagraph"/>
        <w:numPr>
          <w:ilvl w:val="0"/>
          <w:numId w:val="14"/>
        </w:numPr>
        <w:ind w:left="446"/>
        <w:rPr>
          <w:rFonts w:cstheme="minorHAnsi"/>
          <w:i/>
          <w:iCs/>
        </w:rPr>
      </w:pPr>
      <w:r w:rsidRPr="00EB6D3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EB6D36" w:rsidP="001F0834" w14:paraId="5B6A52B3" w14:textId="77777777">
      <w:pPr>
        <w:pStyle w:val="ListParagraph"/>
        <w:numPr>
          <w:ilvl w:val="0"/>
          <w:numId w:val="14"/>
        </w:numPr>
        <w:ind w:left="450"/>
        <w:rPr>
          <w:rFonts w:cstheme="minorHAnsi"/>
          <w:i/>
          <w:iCs/>
        </w:rPr>
      </w:pPr>
      <w:r w:rsidRPr="00EB6D36">
        <w:rPr>
          <w:rFonts w:cstheme="minorHAnsi"/>
          <w:i/>
          <w:iCs/>
        </w:rPr>
        <w:t>If this request for approval covers more than one form, provide separate hour burden estimates for each form and the aggregate the hour burdens.</w:t>
      </w:r>
    </w:p>
    <w:p w:rsidR="00A233E0" w:rsidRPr="00EB6D36" w:rsidP="00854AAE" w14:paraId="18F38B79" w14:textId="77777777">
      <w:pPr>
        <w:pStyle w:val="ListParagraph"/>
        <w:numPr>
          <w:ilvl w:val="0"/>
          <w:numId w:val="14"/>
        </w:numPr>
        <w:pBdr>
          <w:bottom w:val="single" w:sz="4" w:space="1" w:color="auto"/>
        </w:pBdr>
        <w:ind w:left="446"/>
        <w:rPr>
          <w:rFonts w:cstheme="minorHAnsi"/>
          <w:i/>
          <w:iCs/>
        </w:rPr>
      </w:pPr>
      <w:r w:rsidRPr="00EB6D3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EB6D36" w:rsidR="001F0834">
        <w:rPr>
          <w:rFonts w:cstheme="minorHAnsi"/>
          <w:i/>
          <w:iCs/>
        </w:rPr>
        <w:t>.</w:t>
      </w:r>
    </w:p>
    <w:bookmarkEnd w:id="15"/>
    <w:p w:rsidR="001172FE" w:rsidRPr="00EB6D36" w:rsidP="00854AAE" w14:paraId="523A70C1" w14:textId="77777777">
      <w:pPr>
        <w:spacing w:before="120" w:after="0"/>
        <w:rPr>
          <w:rFonts w:cstheme="minorHAnsi"/>
          <w:b/>
          <w:bCs/>
        </w:rPr>
      </w:pPr>
      <w:r w:rsidRPr="00EB6D36">
        <w:rPr>
          <w:rFonts w:cstheme="minorHAnsi"/>
          <w:b/>
          <w:bCs/>
        </w:rPr>
        <w:t xml:space="preserve">12a. </w:t>
      </w:r>
      <w:r w:rsidRPr="00EB6D36" w:rsidR="00557E8F">
        <w:rPr>
          <w:rFonts w:cstheme="minorHAnsi"/>
          <w:b/>
          <w:bCs/>
        </w:rPr>
        <w:t>Respondents/NAICS Codes</w:t>
      </w:r>
      <w:bookmarkStart w:id="17" w:name="_Toc156593383"/>
      <w:bookmarkEnd w:id="16"/>
    </w:p>
    <w:p w:rsidR="00EF519E" w:rsidP="00C418FD" w14:paraId="66801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C418FD" w:rsidRPr="00EF519E" w:rsidP="00C418FD" w14:paraId="4EE613F1" w14:textId="6B819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F519E">
        <w:rPr>
          <w:rFonts w:cstheme="minorHAnsi"/>
        </w:rPr>
        <w:t xml:space="preserve">Based on data compiled from the EPA Regions, EPA estimated that, over the three-year period covered by  ICR 1361.19, there will be, on average, </w:t>
      </w:r>
      <w:r w:rsidRPr="00EF519E">
        <w:rPr>
          <w:rFonts w:cstheme="minorHAnsi"/>
          <w:u w:val="single"/>
        </w:rPr>
        <w:t>36</w:t>
      </w:r>
      <w:r w:rsidRPr="00EF519E">
        <w:rPr>
          <w:rFonts w:cstheme="minorHAnsi"/>
        </w:rPr>
        <w:t xml:space="preserve"> BIF facilities in operation or in the process of closing. </w:t>
      </w:r>
    </w:p>
    <w:p w:rsidR="00C418FD" w:rsidRPr="00EB6D36" w:rsidP="00C418FD" w14:paraId="6B97EEDF" w14:textId="49940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following is a list of NAICS Codes associated with this ICR:</w:t>
      </w:r>
    </w:p>
    <w:tbl>
      <w:tblPr>
        <w:tblW w:w="0" w:type="auto"/>
        <w:jc w:val="center"/>
        <w:tblLayout w:type="fixed"/>
        <w:tblCellMar>
          <w:left w:w="11" w:type="dxa"/>
          <w:right w:w="11" w:type="dxa"/>
        </w:tblCellMar>
        <w:tblLook w:val="0000"/>
      </w:tblPr>
      <w:tblGrid>
        <w:gridCol w:w="7069"/>
        <w:gridCol w:w="2192"/>
      </w:tblGrid>
      <w:tr w14:paraId="15A22C15" w14:textId="77777777" w:rsidTr="00911677">
        <w:tblPrEx>
          <w:tblW w:w="0" w:type="auto"/>
          <w:jc w:val="center"/>
          <w:tblLayout w:type="fixed"/>
          <w:tblCellMar>
            <w:left w:w="11" w:type="dxa"/>
            <w:right w:w="11" w:type="dxa"/>
          </w:tblCellMar>
          <w:tblLook w:val="0000"/>
        </w:tblPrEx>
        <w:trPr>
          <w:tblHeade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26D767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b/>
                <w:sz w:val="20"/>
                <w:szCs w:val="20"/>
              </w:rPr>
              <w:t>Industry Sector</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0A3C3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b/>
                <w:sz w:val="20"/>
                <w:szCs w:val="20"/>
              </w:rPr>
              <w:t>NAICS Code(s)</w:t>
            </w:r>
          </w:p>
        </w:tc>
      </w:tr>
      <w:tr w14:paraId="503585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981E8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Mining: Nonmetallic Minerals, Except Fuels: Miscellaneous Nonmetallic Minerals, not elsewhere classified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7BEDD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212399 </w:t>
            </w:r>
          </w:p>
        </w:tc>
      </w:tr>
      <w:tr w14:paraId="2D7780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05D51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Commercial Printing, Lithographic</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70A33F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323110 </w:t>
            </w:r>
          </w:p>
        </w:tc>
      </w:tr>
      <w:tr w14:paraId="5D832A3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C976FB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All Other Miscellaneous Chemical Product and Preparation Manufacturing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8A643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325998</w:t>
            </w:r>
          </w:p>
        </w:tc>
      </w:tr>
      <w:tr w14:paraId="6AD0651B"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BF87D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Plastics Material and Resin Manufacturing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6F407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325211</w:t>
            </w:r>
          </w:p>
        </w:tc>
      </w:tr>
      <w:tr w14:paraId="7126A70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C3B2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Paints and Allied Products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99340B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p>
        </w:tc>
      </w:tr>
      <w:tr w14:paraId="53BBB3C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2E3F0F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 xml:space="preserve">All Other Basic Organic Chemical Manufacturing </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D9F4F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325199</w:t>
            </w:r>
          </w:p>
        </w:tc>
      </w:tr>
      <w:tr w14:paraId="4AABF15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2EBE3A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Petroleum Refineries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0E8977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32411</w:t>
            </w:r>
          </w:p>
        </w:tc>
      </w:tr>
      <w:tr w14:paraId="0F0D138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4155C9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50" w:hanging="750"/>
              <w:rPr>
                <w:rFonts w:cstheme="minorHAnsi"/>
                <w:sz w:val="20"/>
                <w:szCs w:val="20"/>
              </w:rPr>
            </w:pPr>
            <w:r w:rsidRPr="00652096">
              <w:rPr>
                <w:rFonts w:cstheme="minorHAnsi"/>
                <w:sz w:val="20"/>
                <w:szCs w:val="20"/>
              </w:rPr>
              <w:t>Manufacturing: Stone, Clay and Glass Products: Cement, Hydraulic</w:t>
            </w:r>
            <w:r w:rsidRPr="00652096">
              <w:rPr>
                <w:rFonts w:cstheme="minorHAnsi"/>
                <w:sz w:val="20"/>
                <w:szCs w:val="20"/>
              </w:rPr>
              <w:tab/>
            </w:r>
            <w:r w:rsidRPr="00652096">
              <w:rPr>
                <w:rFonts w:cstheme="minorHAnsi"/>
                <w:sz w:val="20"/>
                <w:szCs w:val="20"/>
              </w:rPr>
              <w:tab/>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32BB6B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 xml:space="preserve">32731 </w:t>
            </w:r>
          </w:p>
        </w:tc>
      </w:tr>
      <w:tr w14:paraId="3C0C8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3B3BA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Concrete Block and Brick</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114F5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327331</w:t>
            </w:r>
          </w:p>
        </w:tc>
      </w:tr>
      <w:tr w14:paraId="32DD4DC0"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47954B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Ready-Mixed Concrete</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458C4FC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32732</w:t>
            </w:r>
          </w:p>
        </w:tc>
      </w:tr>
      <w:tr w14:paraId="4AAFF84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EFC8B0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Minerals, Ground or Treated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96E61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21232, 21239</w:t>
            </w:r>
          </w:p>
        </w:tc>
      </w:tr>
      <w:tr w14:paraId="7DE51EE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BD559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Manufacturing: Stone, Clay and Glass Products: Non-metallic Mineral Products, not elsewhere classified</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2DFC7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327999</w:t>
            </w:r>
          </w:p>
        </w:tc>
      </w:tr>
      <w:tr w14:paraId="728E4A0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9E09A6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Plating and Polishing</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8904AB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332813</w:t>
            </w:r>
          </w:p>
        </w:tc>
      </w:tr>
      <w:tr w14:paraId="449C6B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BA03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Industrial Machinery</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6187D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333999</w:t>
            </w:r>
          </w:p>
        </w:tc>
      </w:tr>
      <w:tr w14:paraId="004C655A"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FD389B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Electronic Components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15761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334419</w:t>
            </w:r>
          </w:p>
        </w:tc>
      </w:tr>
      <w:tr w14:paraId="0B9C99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0DD8E6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Motor Vehicle Parts and Accessories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5503BD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3363</w:t>
            </w:r>
          </w:p>
        </w:tc>
      </w:tr>
      <w:tr w14:paraId="1326EAD4"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11B82E4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Local Trucking Without Storage</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1D3BDD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48411, 56211</w:t>
            </w:r>
          </w:p>
        </w:tc>
      </w:tr>
      <w:tr w14:paraId="20EE23E6"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70B74F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Electric Systems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D924F0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2211</w:t>
            </w:r>
          </w:p>
        </w:tc>
      </w:tr>
      <w:tr w14:paraId="214BF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6AE3E1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Sewerage Systems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4340A02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22132</w:t>
            </w:r>
          </w:p>
        </w:tc>
      </w:tr>
      <w:tr w14:paraId="778F940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A40E3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Waste Treatment and Disposal</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2653CA9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5622</w:t>
            </w:r>
          </w:p>
        </w:tc>
      </w:tr>
      <w:tr w14:paraId="4FF5B665"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5A2E27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Petroleum Bulk Stations and Terminals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37B904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42271</w:t>
            </w:r>
          </w:p>
        </w:tc>
      </w:tr>
      <w:tr w14:paraId="600A1FC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20630E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New and Used Car Dealers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13207A8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4411</w:t>
            </w:r>
          </w:p>
        </w:tc>
      </w:tr>
      <w:tr w14:paraId="3EB80284" w14:textId="77777777" w:rsidTr="00652096">
        <w:tblPrEx>
          <w:tblW w:w="0" w:type="auto"/>
          <w:jc w:val="center"/>
          <w:tblLayout w:type="fixed"/>
          <w:tblCellMar>
            <w:left w:w="11" w:type="dxa"/>
            <w:right w:w="11" w:type="dxa"/>
          </w:tblCellMar>
          <w:tblLook w:val="0000"/>
        </w:tblPrEx>
        <w:trPr>
          <w:trHeight w:val="63"/>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7F72FE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Gasoline Service Stations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799E08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4471</w:t>
            </w:r>
          </w:p>
        </w:tc>
      </w:tr>
      <w:tr w14:paraId="415EEB9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652096" w:rsidP="00911677" w14:paraId="344565D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0"/>
                <w:szCs w:val="20"/>
              </w:rPr>
            </w:pPr>
            <w:r w:rsidRPr="00652096">
              <w:rPr>
                <w:rFonts w:cstheme="minorHAnsi"/>
                <w:sz w:val="20"/>
                <w:szCs w:val="20"/>
              </w:rPr>
              <w:t>General Automotive Repair Shops</w:t>
            </w:r>
          </w:p>
        </w:tc>
        <w:tc>
          <w:tcPr>
            <w:tcW w:w="2192" w:type="dxa"/>
            <w:tcBorders>
              <w:top w:val="single" w:sz="7" w:space="0" w:color="000000"/>
              <w:left w:val="single" w:sz="7" w:space="0" w:color="000000"/>
              <w:bottom w:val="single" w:sz="7" w:space="0" w:color="000000"/>
              <w:right w:val="single" w:sz="7" w:space="0" w:color="000000"/>
            </w:tcBorders>
          </w:tcPr>
          <w:p w:rsidR="00911677" w:rsidRPr="00652096" w:rsidP="00911677" w14:paraId="65607B1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0"/>
                <w:szCs w:val="20"/>
              </w:rPr>
            </w:pPr>
            <w:r w:rsidRPr="00652096">
              <w:rPr>
                <w:rFonts w:cstheme="minorHAnsi"/>
                <w:sz w:val="20"/>
                <w:szCs w:val="20"/>
              </w:rPr>
              <w:t>811111</w:t>
            </w:r>
          </w:p>
        </w:tc>
      </w:tr>
    </w:tbl>
    <w:p w:rsidR="00911677" w:rsidRPr="00EB6D36" w:rsidP="00C418FD" w14:paraId="4D63E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ED57A4" w:rsidRPr="00EB6D36" w:rsidP="00854AAE" w14:paraId="73C025B2" w14:textId="77777777">
      <w:pPr>
        <w:spacing w:before="120" w:after="0"/>
        <w:rPr>
          <w:rFonts w:cstheme="minorHAnsi"/>
          <w:b/>
          <w:bCs/>
        </w:rPr>
      </w:pPr>
      <w:r w:rsidRPr="00EB6D36">
        <w:rPr>
          <w:rFonts w:cstheme="minorHAnsi"/>
          <w:b/>
          <w:bCs/>
        </w:rPr>
        <w:t xml:space="preserve">12b. </w:t>
      </w:r>
      <w:r w:rsidRPr="00EB6D36" w:rsidR="00BB7DA0">
        <w:rPr>
          <w:rFonts w:cstheme="minorHAnsi"/>
          <w:b/>
          <w:bCs/>
        </w:rPr>
        <w:t>Information Requested</w:t>
      </w:r>
      <w:bookmarkStart w:id="18" w:name="_Toc156593384"/>
      <w:bookmarkEnd w:id="17"/>
    </w:p>
    <w:p w:rsidR="00C13401" w:rsidRPr="00EB6D36" w:rsidP="00C13401" w14:paraId="11D6F60F" w14:textId="77777777">
      <w:pPr>
        <w:pStyle w:val="Level1"/>
        <w:widowControl/>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008BAC88" w14:textId="5D4A98DB">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264.12(a) requires owners or operators that have arranged to receive hazardous wastes from foreign sources to notify the Regional Administrator in writing at least four weeks prior to the expected date of arrival of the shipments at the facility.  </w:t>
      </w:r>
    </w:p>
    <w:p w:rsidR="00C13401" w:rsidRPr="00EB6D36" w:rsidP="00C13401" w14:paraId="096694C8"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3F66790D"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C13401" w:rsidRPr="00EB6D36" w:rsidP="00C13401" w14:paraId="593EB622"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55DE26BE"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264.12(c) requires owners or operators transferring ownership of a facility during its operating life to notify the new owner or operator in writing of the requirements of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264 and Part 270.  This notice must be submitted before the transfer in ownership.</w:t>
      </w:r>
    </w:p>
    <w:p w:rsidR="00C13401" w:rsidRPr="00EB6D36" w:rsidP="00C13401" w14:paraId="4681328C"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657CF16F"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Waste analysis is required for all facilities with permitted BIFs.  Regulations covering waste analysis have been promulgated as general hazardous waste facility requirements at section 264.13 and as specific unit requirements for BIFs at §266.102(b) and (e), §266.103(b) and (c), and appendix </w:t>
      </w:r>
      <w:r w:rsidRPr="00EB6D36">
        <w:rPr>
          <w:rFonts w:asciiTheme="minorHAnsi" w:hAnsiTheme="minorHAnsi" w:cstheme="minorHAnsi"/>
          <w:sz w:val="22"/>
          <w:szCs w:val="22"/>
        </w:rPr>
        <w:t xml:space="preserve">IX of Part 266.  Section 264.13(a)(1) requires an owner or operator to obtain a detailed chemical and physical analysis of any hazardous waste he or she intends to treat, store, or dispose.  Section 264.13(a)(2) states that the analysis may include data, either existing or published, developed under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261, as well as existing data on the hazardous waste or hazardous waste generated from similar processes.  For facilities with permitted BIF units, this analysis must include a quantification of the concentration of any hazardous constituents identified in appendix VIII of 40 </w:t>
      </w:r>
      <w:r w:rsidRPr="00EB6D36">
        <w:rPr>
          <w:rFonts w:asciiTheme="minorHAnsi" w:hAnsiTheme="minorHAnsi" w:cstheme="minorHAnsi"/>
          <w:sz w:val="22"/>
          <w:szCs w:val="22"/>
          <w:u w:val="single"/>
        </w:rPr>
        <w:t>CFR</w:t>
      </w:r>
      <w:r w:rsidRPr="00EB6D36">
        <w:rPr>
          <w:rFonts w:asciiTheme="minorHAnsi" w:hAnsiTheme="minorHAnsi" w:cstheme="minorHAnsi"/>
          <w:sz w:val="22"/>
          <w:szCs w:val="22"/>
        </w:rPr>
        <w:t xml:space="preserve"> Part 261 that are reasonably expected to be in the waste, as required by section 266.102(b).  Appendix VIII constituents excluded from this analysis must be identified and the basis for their exclusion explained.  </w:t>
      </w:r>
    </w:p>
    <w:p w:rsidR="00C13401" w:rsidRPr="00EB6D36" w:rsidP="00C13401" w14:paraId="05472198"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C13401" w:rsidRPr="00EB6D36" w:rsidP="00C13401" w14:paraId="14E077C6" w14:textId="77777777">
      <w:pPr>
        <w:pStyle w:val="Level1"/>
        <w:widowControl/>
        <w:numPr>
          <w:ilvl w:val="0"/>
          <w:numId w:val="28"/>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B6D36">
        <w:rPr>
          <w:rFonts w:asciiTheme="minorHAnsi" w:hAnsiTheme="minorHAnsi" w:cstheme="minorHAnsi"/>
          <w:sz w:val="22"/>
          <w:szCs w:val="22"/>
        </w:rPr>
        <w:t xml:space="preserve">Section 264.13(b)-(c)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w:t>
      </w:r>
    </w:p>
    <w:p w:rsidR="00C13401" w:rsidRPr="00EB6D36" w:rsidP="00C13401" w14:paraId="025F9936" w14:textId="77777777">
      <w:pPr>
        <w:pStyle w:val="Level1"/>
        <w:widowControl/>
        <w:tabs>
          <w:tab w:val="left" w:pos="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rsidR="00C13401" w:rsidRPr="00EB6D36" w:rsidP="00C13401" w14:paraId="28855B86" w14:textId="77777777">
      <w:pPr>
        <w:pStyle w:val="ListParagraph"/>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264.15(b)(1) requires owners and operators to develop and follow a written schedule for monitoring equipment, safety and emergency equipment, security devices, and operating and structural equipment that is important in preventing, detecting, or responding to environmental or human health hazards.  At a minimum, the inspection schedule must identify the types of problems that are to be investigated during the inspection.  </w:t>
      </w:r>
    </w:p>
    <w:p w:rsidR="00C13401" w:rsidRPr="00EB6D36" w:rsidP="00C13401" w14:paraId="1F14F249" w14:textId="77777777">
      <w:pPr>
        <w:pStyle w:val="ListParagraph"/>
        <w:spacing w:after="0"/>
        <w:rPr>
          <w:rFonts w:cstheme="minorHAnsi"/>
        </w:rPr>
      </w:pPr>
    </w:p>
    <w:p w:rsidR="00C13401" w:rsidRPr="00EB6D36" w:rsidP="00C13401" w14:paraId="019F9365"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264.15(d) states that an owner or operator must record inspections conducted according to the written schedule developed pursuant to §§264.15(b)(1) in an inspection log or summary that is to be maintained at the facility for at least three years from the date of inspection.</w:t>
      </w:r>
    </w:p>
    <w:p w:rsidR="00C13401" w:rsidRPr="00EB6D36" w:rsidP="00C13401" w14:paraId="61E637FF"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57FF1537"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264.16(d) requires an owner or operator to maintain copies of personnel training documents and records at the facility.  </w:t>
      </w:r>
    </w:p>
    <w:p w:rsidR="00C13401" w:rsidRPr="00EB6D36" w:rsidP="00C13401" w14:paraId="6FDDD3A4" w14:textId="77777777">
      <w:pPr>
        <w:pStyle w:val="ListParagraph"/>
        <w:rPr>
          <w:rFonts w:cstheme="minorHAnsi"/>
        </w:rPr>
      </w:pPr>
    </w:p>
    <w:p w:rsidR="00C13401" w:rsidRPr="00EB6D36" w:rsidP="00C13401" w14:paraId="2C0D33AA"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EB6D36">
        <w:rPr>
          <w:rFonts w:cstheme="minorHAnsi"/>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C13401" w:rsidRPr="00EB6D36" w:rsidP="00C13401" w14:paraId="1183C89E" w14:textId="77777777">
      <w:pPr>
        <w:pStyle w:val="ListParagraph"/>
        <w:rPr>
          <w:rFonts w:cstheme="minorHAnsi"/>
        </w:rPr>
      </w:pPr>
    </w:p>
    <w:p w:rsidR="00C13401" w:rsidRPr="00EB6D36" w:rsidP="00C13401" w14:paraId="07B4104C"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264.51 requires owners or operators to have a contingency plan for their facilities and section 264.53(a) requires the owner or operator to maintain a copy of an updated contingency plan at the facility. </w:t>
      </w:r>
    </w:p>
    <w:p w:rsidR="00C13401" w:rsidRPr="00EB6D36" w:rsidP="00C13401" w14:paraId="21E1DE3F"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7117D7EC"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264.56(a)(2) requires owners and operators to immediately notify State and local authorities with designated response roles of an imminent or actual emergency situation.  Section 264.56(d)(1) requires owners and operators to notify local authorities if his or her assessment of a release, fire, or explosion indicates that evacuation of local areas may be advisable.</w:t>
      </w:r>
    </w:p>
    <w:p w:rsidR="00C13401" w:rsidRPr="00EB6D36" w:rsidP="00C13401" w14:paraId="3AC36C0D" w14:textId="77777777">
      <w:pPr>
        <w:pStyle w:val="ListParagraph"/>
        <w:rPr>
          <w:rFonts w:cstheme="minorHAnsi"/>
        </w:rPr>
      </w:pPr>
    </w:p>
    <w:p w:rsidR="00C13401" w:rsidRPr="00EB6D36" w:rsidP="00C13401" w14:paraId="7614F72D"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264.56(d)(2) requires the facility emergency coordinator to notify the on-scene coordinator or the National Response Center of any release, fire, or explosion that could threaten human health or the environment outside the facility.  </w:t>
      </w:r>
    </w:p>
    <w:p w:rsidR="00C13401" w:rsidRPr="00EB6D36" w:rsidP="00C13401" w14:paraId="1D5B6BFE"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574A9F74"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264.56(i) states that the owner or operator must notify the Regional Administrator and appropriate State and local authorities that their facility is in compliance with §§264.56(h) before resuming operations in the affected area(s) of the facility.</w:t>
      </w:r>
    </w:p>
    <w:p w:rsidR="00C13401" w:rsidRPr="00EB6D36" w:rsidP="00C13401" w14:paraId="64D3F71C" w14:textId="77777777">
      <w:pPr>
        <w:pStyle w:val="ListParagraph"/>
        <w:rPr>
          <w:rFonts w:cstheme="minorHAnsi"/>
        </w:rPr>
      </w:pPr>
    </w:p>
    <w:p w:rsidR="00C13401" w:rsidRPr="00EB6D36" w:rsidP="00C13401" w14:paraId="32BBE270"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Section 264.112(a) states that an owner or operator must have a written closure plan.  </w:t>
      </w:r>
    </w:p>
    <w:p w:rsidR="00C13401" w:rsidRPr="00EB6D36" w:rsidP="00C13401" w14:paraId="6CEAA06D"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00196937"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266.100(d) provides owners and operators of metal recovery furnaces (smelting, melting and refining furnaces, but not cement kilns, aggregate kilns, or HAFs)  that process hazardous waste solely for metal recovery, with the opportunity to be conditionally exempt from the requirements of sections 266.102 through 266.111.</w:t>
      </w:r>
    </w:p>
    <w:p w:rsidR="00C13401" w:rsidRPr="00EB6D36" w:rsidP="00C13401" w14:paraId="69E620F2" w14:textId="77777777">
      <w:pPr>
        <w:pStyle w:val="ListParagraph"/>
        <w:rPr>
          <w:rFonts w:cstheme="minorHAnsi"/>
        </w:rPr>
      </w:pPr>
    </w:p>
    <w:p w:rsidR="00C13401" w:rsidRPr="00EB6D36" w:rsidP="00C13401" w14:paraId="3C8AC612" w14:textId="1CCBEFA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266.100(g) allows owners and operators of smelting, melting, and refining furnaces (including pyrometallurgical devices) that process hazardous waste for recovery of economically significant amounts of the precious metals</w:t>
      </w:r>
      <w:r w:rsidR="00707CC4">
        <w:rPr>
          <w:rFonts w:cstheme="minorHAnsi"/>
        </w:rPr>
        <w:t>:</w:t>
      </w:r>
      <w:r w:rsidRPr="00EB6D36">
        <w:rPr>
          <w:rFonts w:cstheme="minorHAnsi"/>
        </w:rPr>
        <w:t xml:space="preserve"> gold, silver, platinum, palladium, or ruthenium to be conditionally exempt from the requirements of §§266.101 through 266.111.</w:t>
      </w:r>
    </w:p>
    <w:p w:rsidR="00C13401" w:rsidRPr="00EB6D36" w:rsidP="00C13401" w14:paraId="32DD8611" w14:textId="77777777">
      <w:pPr>
        <w:pStyle w:val="ListParagraph"/>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rFonts w:cstheme="minorHAnsi"/>
        </w:rPr>
      </w:pPr>
    </w:p>
    <w:p w:rsidR="00C13401" w:rsidRPr="00EB6D36" w:rsidP="00C13401" w14:paraId="776D18BB"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As required by section 266.100(h), lead recovery furnaces processing hazardous waste for the recovery of lead are subject to regulation under the Secondary Lead Smelting NESHAP.  Such facilities are conditionally exempt from regulation under section 266, except for section 266.101.  Facilities desiring this exemption must provide a one-time notice to EPA identifying each hazardous waste burned and specify that the lead recovery furnace claims the exemption.  The notice must also demonstrate that the waste burned has a total concentration of organic compounds listed in 40 </w:t>
      </w:r>
      <w:r w:rsidRPr="00EB6D36">
        <w:rPr>
          <w:rFonts w:cstheme="minorHAnsi"/>
          <w:u w:val="single"/>
        </w:rPr>
        <w:t>CFR</w:t>
      </w:r>
      <w:r w:rsidRPr="00EB6D36">
        <w:rPr>
          <w:rFonts w:cstheme="minorHAnsi"/>
        </w:rPr>
        <w:t xml:space="preserve"> Part 261, Appendix VIII of less than 500 ppm by weight, as fired and as provided in 40 </w:t>
      </w:r>
      <w:r w:rsidRPr="00EB6D36">
        <w:rPr>
          <w:rFonts w:cstheme="minorHAnsi"/>
          <w:u w:val="single"/>
        </w:rPr>
        <w:t>CFR</w:t>
      </w:r>
      <w:r w:rsidRPr="00EB6D36">
        <w:rPr>
          <w:rFonts w:cstheme="minorHAnsi"/>
        </w:rPr>
        <w:t xml:space="preserve"> 266.100(d)(2)(i), or is listed in 40 </w:t>
      </w:r>
      <w:r w:rsidRPr="00EB6D36">
        <w:rPr>
          <w:rFonts w:cstheme="minorHAnsi"/>
          <w:u w:val="single"/>
        </w:rPr>
        <w:t>CFR</w:t>
      </w:r>
      <w:r w:rsidRPr="00EB6D36">
        <w:rPr>
          <w:rFonts w:cstheme="minorHAnsi"/>
        </w:rPr>
        <w:t xml:space="preserve"> Part 266, Appendix XI.</w:t>
      </w:r>
    </w:p>
    <w:p w:rsidR="00C13401" w:rsidRPr="00EB6D36" w:rsidP="00C13401" w14:paraId="2F5AC6FB" w14:textId="77777777">
      <w:pPr>
        <w:pStyle w:val="ListParagraph"/>
        <w:rPr>
          <w:rFonts w:cstheme="minorHAnsi"/>
        </w:rPr>
      </w:pPr>
    </w:p>
    <w:p w:rsidR="00C13401" w:rsidRPr="00EB6D36" w:rsidP="00C13401" w14:paraId="48904733"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Style w:val="footnoteref0"/>
          <w:rFonts w:cstheme="minorHAnsi"/>
          <w:sz w:val="22"/>
          <w:vertAlign w:val="baseline"/>
        </w:rPr>
        <w:t>Under section 266.103(d) owners or operators of boilers or industrial furnaces must submit to the Director a recertification of compliance under the provisions of section 266.103(c) within three years from submitting the previous certification or recertification.  If the owner or operator seeks to recertify compliance under new operating conditions, he or she must comply with the requirements of section 266.103(c)(8).</w:t>
      </w:r>
    </w:p>
    <w:p w:rsidR="00C13401" w:rsidRPr="00EB6D36" w:rsidP="00C13401" w14:paraId="62085C52" w14:textId="77777777">
      <w:pPr>
        <w:pStyle w:val="ListParagraph"/>
        <w:rPr>
          <w:rStyle w:val="footnoteref0"/>
          <w:rFonts w:cstheme="minorHAnsi"/>
          <w:sz w:val="22"/>
          <w:vertAlign w:val="baseline"/>
        </w:rPr>
      </w:pPr>
    </w:p>
    <w:p w:rsidR="00C13401" w:rsidRPr="00EB6D36" w:rsidP="00C13401" w14:paraId="75CAAC19"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Style w:val="footnoteref0"/>
          <w:rFonts w:cstheme="minorHAnsi"/>
          <w:sz w:val="22"/>
          <w:vertAlign w:val="baseline"/>
        </w:rPr>
        <w:t>During the compliance test and upon submittal of a certification of compliance, a BIF must be operated with a functioning system that automatically cuts off the hazardous waste feed when operating conditions deviate from those established in the certification of compliance, as specified in §266.103(g).  Section 266.103(g)(2) requires owners and operators to keep a record of the operating parameters during the cutoff.</w:t>
      </w:r>
    </w:p>
    <w:p w:rsidR="00C13401" w:rsidRPr="00EB6D36" w:rsidP="00C13401" w14:paraId="7B393403" w14:textId="77777777">
      <w:pPr>
        <w:pStyle w:val="ListParagraph"/>
        <w:rPr>
          <w:rFonts w:cstheme="minorHAnsi"/>
        </w:rPr>
      </w:pPr>
    </w:p>
    <w:p w:rsidR="00C13401" w:rsidRPr="00EB6D36" w:rsidP="00C13401" w14:paraId="5C8D5DE2" w14:textId="28DDE79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Style w:val="footnoteref0"/>
          <w:rFonts w:cstheme="minorHAnsi"/>
          <w:sz w:val="22"/>
          <w:vertAlign w:val="baseline"/>
        </w:rPr>
        <w:t xml:space="preserve">Section 266.103(h) allows owners or operators to prepare a demonstration to obtain an  exemption from the requirement that fugitive emissions be controlled by either keeping the combustion zone totally sealed against fugitive </w:t>
      </w:r>
      <w:r w:rsidRPr="00EB6D36" w:rsidR="00707CC4">
        <w:rPr>
          <w:rStyle w:val="footnoteref0"/>
          <w:rFonts w:cstheme="minorHAnsi"/>
          <w:sz w:val="22"/>
          <w:vertAlign w:val="baseline"/>
        </w:rPr>
        <w:t>emissions or</w:t>
      </w:r>
      <w:r w:rsidRPr="00EB6D36">
        <w:rPr>
          <w:rStyle w:val="footnoteref0"/>
          <w:rFonts w:cstheme="minorHAnsi"/>
          <w:sz w:val="22"/>
          <w:vertAlign w:val="baseline"/>
        </w:rPr>
        <w:t xml:space="preserve"> maintaining the combustion zone pressure lower than atmospheric pressure.</w:t>
      </w:r>
    </w:p>
    <w:p w:rsidR="00C13401" w:rsidRPr="00EB6D36" w:rsidP="00C13401" w14:paraId="36579E9D" w14:textId="77777777">
      <w:pPr>
        <w:pStyle w:val="ListParagraph"/>
        <w:rPr>
          <w:rFonts w:cstheme="minorHAnsi"/>
        </w:rPr>
      </w:pPr>
    </w:p>
    <w:p w:rsidR="00C13401" w:rsidRPr="00EB6D36" w:rsidP="00C13401" w14:paraId="5A6CBC02"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Style w:val="footnoteref0"/>
          <w:rFonts w:cstheme="minorHAnsi"/>
          <w:sz w:val="22"/>
          <w:vertAlign w:val="baseline"/>
        </w:rPr>
        <w:t xml:space="preserve">Section 266.104 requires a boiler or industrial furnace burning hazardous waste to achieve a destruction and removal efficiency (DRE) of 99.99 percent for all organic hazardous constituents in the waste feed.  Principal organic hazardous constituents (POHCs) are those compounds for which compliance with the DRE requirements of section 266.104 shall be demonstrated in a trial burn in conformance with the procedures prescribed in section 270.66.  POHCs are most likely to be selected from among those compounds listed in 40 CFR Part 261, appendix VIII, that are also present in the normal waste feed.  However, section 266.104(a)(2) allows owners or operators to submit a demonstration for an alternative POHC.  </w:t>
      </w:r>
      <w:r w:rsidRPr="00EB6D36">
        <w:rPr>
          <w:rFonts w:cstheme="minorHAnsi"/>
        </w:rPr>
        <w:t xml:space="preserve">  </w:t>
      </w:r>
    </w:p>
    <w:p w:rsidR="00C13401" w:rsidRPr="00EB6D36" w:rsidP="00C13401" w14:paraId="187583CD" w14:textId="77777777">
      <w:pPr>
        <w:pStyle w:val="ListParagraph"/>
        <w:rPr>
          <w:rFonts w:cstheme="minorHAnsi"/>
        </w:rPr>
      </w:pPr>
    </w:p>
    <w:p w:rsidR="00C13401" w:rsidRPr="00EB6D36" w:rsidP="00C13401" w14:paraId="6F4E189A"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Under section 270.14(b) (1)-(14), owners and operators of hazardous waste management facilities must submit in their Part B permit applications information on compliance with general facility standards.  </w:t>
      </w:r>
    </w:p>
    <w:p w:rsidR="00C13401" w:rsidRPr="00EB6D36" w:rsidP="00C13401" w14:paraId="2212B093" w14:textId="77777777">
      <w:pPr>
        <w:pStyle w:val="ListParagraph"/>
        <w:rPr>
          <w:rFonts w:cstheme="minorHAnsi"/>
        </w:rPr>
      </w:pPr>
    </w:p>
    <w:p w:rsidR="00C13401" w:rsidRPr="00EB6D36" w:rsidP="00C13401" w14:paraId="420CCF25"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266.102(e)(7) stipulates that owners and operators must control fugitive emissions by keeping the combustion zone totally sealed against fugitive emissions and maintaining the combustion zone pressure lower than atmospheric pressure.  Owners and operators may apply for an alternative means of control by submitting a demonstration with the Part B application that an alternate means of control can provide equivalent emission control.</w:t>
      </w:r>
    </w:p>
    <w:p w:rsidR="00C13401" w:rsidRPr="00EB6D36" w:rsidP="00C13401" w14:paraId="00738CD2" w14:textId="77777777">
      <w:pPr>
        <w:pStyle w:val="ListParagraph"/>
        <w:rPr>
          <w:rFonts w:cstheme="minorHAnsi"/>
        </w:rPr>
      </w:pPr>
    </w:p>
    <w:p w:rsidR="00C13401" w:rsidRPr="00EB6D36" w:rsidP="00C13401" w14:paraId="6BEE079D"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270.22(a)(2)(i) requires owners or operators of a boiler to submit documentation that the boiler operates under the special operating requirements as specified in section 266.110 when seeking a waiver for the DRE trial burn.</w:t>
      </w:r>
    </w:p>
    <w:p w:rsidR="00C13401" w:rsidRPr="00EB6D36" w:rsidP="00C13401" w14:paraId="25A6FC23" w14:textId="77777777">
      <w:pPr>
        <w:pStyle w:val="ListParagraph"/>
        <w:rPr>
          <w:rFonts w:cstheme="minorHAnsi"/>
        </w:rPr>
      </w:pPr>
    </w:p>
    <w:p w:rsidR="00C13401" w:rsidRPr="00EB6D36" w:rsidP="00C13401" w14:paraId="12239186"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270.66(a)(6) provides owners or operators with the opportunity to seek an exemption from the trial burn requirements to demonstrate conformance with sections 266.104 through 266.107, and 270.66.  To seek the exemption, owners or operators can provide the information required by section 270.66 from previous compliance testing of the device in conformance with section 266.103, or from compliance testing or trial or operational burns of similar boilers or industrial furnaces burning similar hazardous waste under similar conditions.  If data from a similar device is used to support the trial burn waiver, the design and operating information required by section 270.66 must be provided for both the similar device and the device to which the data is to be applied, and a comparison of the design and operating information must be provided.</w:t>
      </w:r>
    </w:p>
    <w:p w:rsidR="00C13401" w:rsidRPr="00EB6D36" w:rsidP="00C13401" w14:paraId="79928E1A" w14:textId="77777777">
      <w:pPr>
        <w:pStyle w:val="ListParagraph"/>
        <w:rPr>
          <w:rFonts w:cstheme="minorHAnsi"/>
        </w:rPr>
      </w:pPr>
    </w:p>
    <w:p w:rsidR="00C13401" w:rsidRPr="00EB6D36" w:rsidP="00C13401" w14:paraId="06628624"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Section 270.22(d) requires owners and operators to submit information describing the automatic hazardous waste feed cutoff system, including any pre-alarm systems that may be used.</w:t>
      </w:r>
    </w:p>
    <w:p w:rsidR="00C13401" w:rsidRPr="00EB6D36" w:rsidP="00C13401" w14:paraId="0CC0CEF3" w14:textId="77777777">
      <w:pPr>
        <w:pStyle w:val="ListParagraph"/>
        <w:rPr>
          <w:rFonts w:cstheme="minorHAnsi"/>
        </w:rPr>
      </w:pPr>
    </w:p>
    <w:p w:rsidR="00C13401" w:rsidRPr="00EB6D36" w:rsidP="00C13401" w14:paraId="5BCFF8C6" w14:textId="77777777">
      <w:pPr>
        <w:pStyle w:val="ListParagraph"/>
        <w:keepNext/>
        <w:keepLines/>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Under section 270.22(e) owners and operators that use direct transfer operations to feed hazardous waste from transport vehicles directly to the boiler or industrial furnace must submit information supporting conformance with the standards for direct transfer provided by section 266.111.  </w:t>
      </w:r>
    </w:p>
    <w:p w:rsidR="001172FE" w:rsidRPr="00EB6D36" w:rsidP="00165275" w14:paraId="30C9E7F3" w14:textId="3D1A9B87">
      <w:pPr>
        <w:pBdr>
          <w:top w:val="single" w:sz="6" w:space="0" w:color="FFFFFF"/>
          <w:left w:val="single" w:sz="6" w:space="0" w:color="FFFFFF"/>
          <w:bottom w:val="single" w:sz="6" w:space="0" w:color="FFFFFF"/>
          <w:right w:val="single" w:sz="6" w:space="0" w:color="FFFFFF"/>
        </w:pBdr>
        <w:spacing w:before="60"/>
        <w:rPr>
          <w:rFonts w:cstheme="minorHAnsi"/>
          <w:b/>
          <w:bCs/>
        </w:rPr>
      </w:pPr>
      <w:r w:rsidRPr="00EB6D36">
        <w:rPr>
          <w:rFonts w:cstheme="minorHAnsi"/>
          <w:b/>
          <w:bCs/>
        </w:rPr>
        <w:t xml:space="preserve">12c. </w:t>
      </w:r>
      <w:r w:rsidRPr="00EB6D36" w:rsidR="00DD718B">
        <w:rPr>
          <w:rFonts w:cstheme="minorHAnsi"/>
          <w:b/>
          <w:bCs/>
        </w:rPr>
        <w:t>Respondent Activities</w:t>
      </w:r>
      <w:bookmarkStart w:id="19" w:name="_Toc156593385"/>
      <w:bookmarkEnd w:id="18"/>
    </w:p>
    <w:p w:rsidR="00DE3B54" w:rsidRPr="00EB6D36" w:rsidP="00DE3B54" w14:paraId="2E01966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General Facility Operating Requirements</w:t>
      </w:r>
    </w:p>
    <w:p w:rsidR="00DE3B54" w:rsidRPr="00EB6D36" w:rsidP="00DE3B54" w14:paraId="05D58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The reporting requirements outlined in the regulations will vary according to individual facility circumstances (e.g., when receiving hazardous waste from a foreign source).</w:t>
      </w:r>
    </w:p>
    <w:p w:rsidR="00DE3B54" w:rsidRPr="00EB6D36" w:rsidP="00DE3B54" w14:paraId="2BA7AF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Recordkeeping Requirements</w:t>
      </w:r>
    </w:p>
    <w:p w:rsidR="00DE3B54" w:rsidRPr="00EB6D36" w:rsidP="00DE3B54" w14:paraId="70D3411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Since the operating record is maintained at the facility, discussion of a collection schedule is not applicable.  Copies of records of waste disposal are submitted to EPA upon closure of the facility. </w:t>
      </w:r>
    </w:p>
    <w:p w:rsidR="00DE3B54" w:rsidRPr="00EB6D36" w:rsidP="00DE3B54" w14:paraId="6E893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Contingency Plan and Emergency Procedures</w:t>
      </w:r>
    </w:p>
    <w:p w:rsidR="00DE3B54" w:rsidRPr="00EB6D36" w:rsidP="00DE3B54" w14:paraId="53DD02ED" w14:textId="14A02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contingency plan is collected when the permittee submits the Part B permit application.  A discussion of the contingency plan collection schedule for permitted facilities is included in the permit application and permit modification portion of this ICR.  </w:t>
      </w:r>
    </w:p>
    <w:p w:rsidR="00DE3B54" w:rsidRPr="00EB6D36" w:rsidP="00DE3B54" w14:paraId="2BE73479" w14:textId="4769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DE3B54" w:rsidRPr="00EB6D36" w:rsidP="00DE3B54" w14:paraId="00087B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 xml:space="preserve">Closure Requirements </w:t>
      </w:r>
    </w:p>
    <w:p w:rsidR="00DE3B54" w:rsidRPr="00EB6D36" w:rsidP="00DE3B54" w14:paraId="4AFD780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Permitted facilities submit their closure plans to EPA when submitting a Part B permit application.  A discussion addressing collection schedules for permitted facilities is included in the permit application and permit modification portion of this ICR.  </w:t>
      </w:r>
    </w:p>
    <w:p w:rsidR="00DE3B54" w:rsidRPr="00EB6D36" w:rsidP="004A48EE" w14:paraId="67568C0B" w14:textId="517F2A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Financial Requirements</w:t>
      </w:r>
    </w:p>
    <w:p w:rsidR="00DE3B54" w:rsidRPr="00EB6D36" w:rsidP="00DE3B54" w14:paraId="1635A8E7" w14:textId="45EC2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For closure cost estimates, owners or operators must prepare initial cost estimates for activities identified in the closure plans.  Thereafter, owners or operators must provide annual adjustments of these cost estimates to account for inflation.  Also, owners or operators may be required to prepare new cost </w:t>
      </w:r>
      <w:r w:rsidRPr="00EB6D36" w:rsidR="00707CC4">
        <w:rPr>
          <w:rFonts w:cstheme="minorHAnsi"/>
        </w:rPr>
        <w:t>estimates if</w:t>
      </w:r>
      <w:r w:rsidRPr="00EB6D36">
        <w:rPr>
          <w:rFonts w:cstheme="minorHAnsi"/>
        </w:rPr>
        <w:t xml:space="preserve"> changes in the closure plan increase closure costs.  This burden will vary from facility to facility.</w:t>
      </w:r>
    </w:p>
    <w:p w:rsidR="00DE3B54" w:rsidRPr="00EB6D36" w:rsidP="00DE3B54" w14:paraId="6966A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For closure care financial instruments, owners or operators must initially establish a financial instrument(s) assuring the cost of closure care.  Thereafter, owners or operators must annually check the amount covered by the instrument(s) to make sure it equals the adjusted cost estimate, and change the amount assured accordingly.  </w:t>
      </w:r>
    </w:p>
    <w:p w:rsidR="00DE3B54" w:rsidRPr="00EB6D36" w:rsidP="00DE3B54" w14:paraId="39D7574B" w14:textId="0BDCF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For liability coverage requirements, owners or operators of facilities identified in section 264.147 must initially demonstrate liability coverage for sudden and non</w:t>
      </w:r>
      <w:r w:rsidR="00707CC4">
        <w:rPr>
          <w:rFonts w:cstheme="minorHAnsi"/>
        </w:rPr>
        <w:t>-</w:t>
      </w:r>
      <w:r w:rsidRPr="00EB6D36">
        <w:rPr>
          <w:rFonts w:cstheme="minorHAnsi"/>
        </w:rPr>
        <w:t>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DE3B54" w:rsidRPr="00EB6D36" w:rsidP="00DE3B54" w14:paraId="532FD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Conditions Applicable to All Permits</w:t>
      </w:r>
    </w:p>
    <w:p w:rsidR="00DE3B54" w:rsidRPr="00EB6D36" w:rsidP="00DE3B54" w14:paraId="6FDA4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DE3B54" w:rsidRPr="00EB6D36" w:rsidP="00DE3B54" w14:paraId="4A599EA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i/>
        </w:rPr>
        <w:t>SPECIFIC UNIT REQUIREMENTS FOR BIFS</w:t>
      </w:r>
    </w:p>
    <w:p w:rsidR="00DE3B54" w:rsidRPr="00EB6D36" w:rsidP="00DE3B54" w14:paraId="22CCEE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Exemptions from the BIF Regulations</w:t>
      </w:r>
    </w:p>
    <w:p w:rsidR="00DE3B54" w:rsidRPr="00EB6D36" w:rsidP="00DE3B54" w14:paraId="6B8C379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266.100 exempts from BIF regulations certain furnaces engaged in metal or lead recovery, smelting, melting, and refining, and BIFs that burn small quantities of hazardous waste on site.  As the submittal of such a demonstration is optional, there is no specified time frame for submitting these demonstrations.</w:t>
      </w:r>
    </w:p>
    <w:p w:rsidR="00DE3B54" w:rsidRPr="00EB6D36" w:rsidP="00DE3B54" w14:paraId="5527C4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Standards</w:t>
      </w:r>
    </w:p>
    <w:p w:rsidR="00DE3B54" w:rsidRPr="00EB6D36" w:rsidP="00DE3B54" w14:paraId="694CCE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Monitoring and Inspections</w:t>
      </w:r>
    </w:p>
    <w:p w:rsidR="00DE3B54" w:rsidRPr="00EB6D36" w:rsidP="00DE3B54" w14:paraId="781B269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and the facility's permit.  There is no specified schedule for demonstrations submitted under Appendix IX, section 2.</w:t>
      </w:r>
    </w:p>
    <w:p w:rsidR="00DE3B54" w:rsidRPr="00EB6D36" w:rsidP="00DE3B54" w14:paraId="514B2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  There is no specified schedule for submittal of demonstrations performed under section 266.103(e)(8).  </w:t>
      </w:r>
    </w:p>
    <w:p w:rsidR="00DE3B54" w:rsidRPr="00EB6D36" w:rsidP="004A48EE" w14:paraId="53BE8336" w14:textId="43F1F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r>
      <w:r w:rsidRPr="00EB6D36">
        <w:rPr>
          <w:rFonts w:cstheme="minorHAnsi"/>
          <w:b/>
        </w:rPr>
        <w:t>Recordkeeping</w:t>
      </w:r>
    </w:p>
    <w:p w:rsidR="00DE3B54" w:rsidRPr="00EB6D36" w:rsidP="00DE3B54" w14:paraId="3435C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266.102(e)(10) requires owners and operators of BIFs to maintain all information and data collected under this section until closure of the facility.  While this data is not submitted to EPA, the Agency may review records during facility inspections.</w:t>
      </w:r>
    </w:p>
    <w:p w:rsidR="00DE3B54" w:rsidRPr="00EB6D36" w:rsidP="00DE3B54" w14:paraId="05662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Organic Emissions</w:t>
      </w:r>
    </w:p>
    <w:p w:rsidR="00DE3B54" w:rsidRPr="00EB6D36" w:rsidP="00DE3B54" w14:paraId="04BE89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266.104(a)(2) requires owners and operators that wish to use as a POHC a compound that is not listed in Appendix VIII to submit a demonstration and receive approval before using such a compound.  There is no specified submission schedule.</w:t>
      </w:r>
    </w:p>
    <w:p w:rsidR="00DE3B54" w:rsidRPr="00EB6D36" w:rsidP="00DE3B54" w14:paraId="151E3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Standards to Control Metal Emissions</w:t>
      </w:r>
    </w:p>
    <w:p w:rsidR="00DE3B54" w:rsidRPr="00EB6D36" w:rsidP="00DE3B54" w14:paraId="78340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266.106(f) requires owners and operators that wish to use an alternative implementation approach for metals to submit a demonstration.  There is no specified submission schedule.</w:t>
      </w:r>
    </w:p>
    <w:p w:rsidR="00DE3B54" w:rsidRPr="00EB6D36" w:rsidP="00DE3B54" w14:paraId="2C703AC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Regulation of Residues</w:t>
      </w:r>
    </w:p>
    <w:p w:rsidR="00DE3B54" w:rsidRPr="00EB6D36" w:rsidP="00DE3B54" w14:paraId="7E7B872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 266.112 allows owners and operators to obtain a hazardous waste exemption for residue derived from burning or processing hazardous waste by submitting a demonstration and receiving approval.  There is no specified submission schedule.</w:t>
      </w:r>
    </w:p>
    <w:p w:rsidR="00DE3B54" w:rsidRPr="00EB6D36" w:rsidP="00DE3B54" w14:paraId="0E48C0C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i/>
        </w:rPr>
        <w:t>PART B PERMIT APPLICATION AND PERMIT MODIFICATION REQUIREMENTS FOR BIFS</w:t>
      </w:r>
    </w:p>
    <w:p w:rsidR="00DE3B54" w:rsidRPr="00EB6D36" w:rsidP="00DE3B54" w14:paraId="17B246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EB6D36">
        <w:rPr>
          <w:rFonts w:cstheme="minorHAnsi"/>
          <w:b/>
        </w:rPr>
        <w:t>General Part B Information Requirements for BIFs</w:t>
      </w:r>
    </w:p>
    <w:p w:rsidR="00DE3B54" w:rsidRPr="00EB6D36" w:rsidP="00DE3B54" w14:paraId="6A296C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of existing facilities may be required to submit a Part B application for their BIF unit(s) at any time during the period covered by this ICR.  Owners and operators also may voluntarily submit their Part B application at any time.  Owners and operators of new BIF units must submit their Part B application at least 180 days before physical construction is expected to commence.</w:t>
      </w:r>
    </w:p>
    <w:p w:rsidR="00DE3B54" w:rsidRPr="00EB6D36" w:rsidP="00DE3B54" w14:paraId="7EC05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This ICR assumes that all information required under section 270.10 (Contents of the Permit Application), section 270.14(a) (General Requirements), section 270.14(b)(1)-(14) (General Facility Standards), section 270.14(b)(15)-(16) (Financial Assurance), section 270.14(b)(19) (Topographical Map), and section 270.33 (Schedules of Compliance) is submitted with the Part B application, with the exception of the following financial assurance requirements:</w:t>
      </w:r>
    </w:p>
    <w:p w:rsidR="00DE3B54" w:rsidRPr="00EB6D36" w:rsidP="00DE3B54" w14:paraId="4E7E4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 xml:space="preserve">Cost estimates for closure (§270.14(b)(15) and §264.142).  Cost estimates and documentation of financial instruments for closure care must be submitted to EPA at least 60 days prior to the initial receipt of hazardous waste for treatment, storage, or </w:t>
      </w:r>
      <w:r w:rsidRPr="00EB6D36">
        <w:rPr>
          <w:rFonts w:cstheme="minorHAnsi"/>
        </w:rPr>
        <w:t>disposal.  Insurance documentation must be submitted within the same time frame.  Respondents must also submit any requested information and permit modifications to EPA within a reasonable time, if EPA decides that an adjustment is necessary.</w:t>
      </w:r>
    </w:p>
    <w:p w:rsidR="00DE3B54" w:rsidRPr="00EB6D36" w:rsidP="00DE3B54" w14:paraId="769D3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Coverage by a State Financial Mechanism (§270.14(b)(15) and §264.147(b)(18)).  Owners and 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care or liability requirements, the owner or operator must submit evidence of this to EPA within a reasonable time.</w:t>
      </w:r>
    </w:p>
    <w:p w:rsidR="00DE3B54" w:rsidRPr="00EB6D36" w:rsidP="00DE3B54" w14:paraId="32170D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Specific Part B Information Requirements For BIFs</w:t>
      </w:r>
    </w:p>
    <w:p w:rsidR="00DE3B54" w:rsidRPr="00EB6D36" w:rsidP="00DE3B54" w14:paraId="54B34C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Fugitive Emissions and Part B Information Requirements for the Pre-Trial Burn, Trial Burn, and Post-Trial Burn Periods</w:t>
      </w:r>
    </w:p>
    <w:p w:rsidR="00DE3B54" w:rsidRPr="00EB6D36" w:rsidP="00DE3B54" w14:paraId="27A8A1E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Sections 270.66, 270.22, 266.102, and 266.104 - .107 specify information that must be submitted in the Part B permit application.  EPA expects that all Part B applications will be called in and submitted during the period covered by this ICR.</w:t>
      </w:r>
    </w:p>
    <w:p w:rsidR="00DE3B54" w:rsidRPr="00EB6D36" w:rsidP="00DE3B54" w14:paraId="29F8E5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Waivers of the Trial Burn</w:t>
      </w:r>
    </w:p>
    <w:p w:rsidR="00DE3B54" w:rsidRPr="00EB6D36" w:rsidP="00DE3B54" w14:paraId="43F36F1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obtain a waiver for certain trial burn requirements under section 270.22(a) must submit information to the Agency in the Part B permit application.</w:t>
      </w:r>
    </w:p>
    <w:p w:rsidR="00DE3B54" w:rsidRPr="00EB6D36" w:rsidP="00DE3B54" w14:paraId="5B4151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HC Limit for Industrial Furnaces With Organic Matter in Raw Materials</w:t>
      </w:r>
    </w:p>
    <w:p w:rsidR="00DE3B54" w:rsidRPr="00EB6D36" w:rsidP="00DE3B54" w14:paraId="0A225EF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establish an alternative HC limit must submit information with the Part B permit application.</w:t>
      </w:r>
    </w:p>
    <w:p w:rsidR="00DE3B54" w:rsidRPr="00EB6D36" w:rsidP="00DE3B54" w14:paraId="7E38A2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Alternative Metals Implementation Approach</w:t>
      </w:r>
    </w:p>
    <w:p w:rsidR="00DE3B54" w:rsidRPr="00EB6D36" w:rsidP="00DE3B54" w14:paraId="5909B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wishing to establish an alternative metals implementation approach must submit information with the Part B permit application.</w:t>
      </w:r>
    </w:p>
    <w:p w:rsidR="00DE3B54" w:rsidRPr="00EB6D36" w:rsidP="00DE3B54" w14:paraId="7F1B1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Automatic Hazardous Waste Feed Cutoff System</w:t>
      </w:r>
    </w:p>
    <w:p w:rsidR="00DE3B54" w:rsidRPr="00EB6D36" w:rsidP="00DE3B54" w14:paraId="438E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operators must submit information concerning the automatic waste feed cutoff system with the Part B permit application.</w:t>
      </w:r>
    </w:p>
    <w:p w:rsidR="00DE3B54" w:rsidRPr="00EB6D36" w:rsidP="00DE3B54" w14:paraId="157CFC5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Direct Transfer Requirements</w:t>
      </w:r>
    </w:p>
    <w:p w:rsidR="00DE3B54" w:rsidRPr="00EB6D36" w:rsidP="00DE3B54" w14:paraId="7C723D5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DE3B54" w:rsidRPr="00EB6D36" w:rsidP="00DE3B54" w14:paraId="7782F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Regulation of Residues</w:t>
      </w:r>
    </w:p>
    <w:p w:rsidR="00DE3B54" w:rsidRPr="00EB6D36" w:rsidP="00DE3B54" w14:paraId="4AC7F7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Owners and operators wishing to obtain a hazardous waste exemption for residue derived from burning or processing hazardous waste may submit a demonstration with the Part B permit application. </w:t>
      </w:r>
      <w:r w:rsidRPr="00EB6D36">
        <w:rPr>
          <w:rFonts w:cstheme="minorHAnsi"/>
        </w:rPr>
        <w:tab/>
      </w:r>
    </w:p>
    <w:p w:rsidR="00DE3B54" w:rsidRPr="00EB6D36" w:rsidP="00DE3B54" w14:paraId="7476A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DE3B54" w:rsidRPr="00EB6D36" w:rsidP="00DE3B54" w14:paraId="05F89F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Permit Modifications for BIFs</w:t>
      </w:r>
    </w:p>
    <w:p w:rsidR="00DE3B54" w:rsidRPr="00EB6D36" w:rsidP="00DE3B54" w14:paraId="5EFF4BF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Transfer of Permits</w:t>
      </w:r>
    </w:p>
    <w:p w:rsidR="00DE3B54" w:rsidRPr="00EB6D36" w:rsidP="00DE3B54" w14:paraId="6EBB5B3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Upon a change of ownership or operational control of a facility, the new owner or operator must submit a revised permit application to EPA no later than 90 days prior to the scheduled change.  When a transfer of ownership or operational control occurs, the old owner or operator will comply with the requirements of 40 </w:t>
      </w:r>
      <w:r w:rsidRPr="00EB6D36">
        <w:rPr>
          <w:rFonts w:cstheme="minorHAnsi"/>
          <w:u w:val="single"/>
        </w:rPr>
        <w:t>CFR</w:t>
      </w:r>
      <w:r w:rsidRPr="00EB6D36">
        <w:rPr>
          <w:rFonts w:cstheme="minorHAnsi"/>
        </w:rPr>
        <w:t xml:space="preserve"> Part 264, Subpart H until the new owner or operator has demonstrated that he or she is complying with the requirements of that Subpart.  The new owner or operator must demonstrate compliance with Subpart H requirements within six months of the date of the change of ownership or operational control of the facility.</w:t>
      </w:r>
    </w:p>
    <w:p w:rsidR="00DE3B54" w:rsidRPr="00EB6D36" w:rsidP="00DE3B54" w14:paraId="29CB7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 at the Request of the Agency</w:t>
      </w:r>
    </w:p>
    <w:p w:rsidR="00DE3B54" w:rsidRPr="00EB6D36" w:rsidP="00DE3B54" w14:paraId="5E4D0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Permit modifications made at the request of the Agency are submitted according to the time frame discussed below for permit modifications made at the request of the permittee.</w:t>
      </w:r>
    </w:p>
    <w:p w:rsidR="00DE3B54" w:rsidRPr="00EB6D36" w:rsidP="00DE3B54" w14:paraId="5D19536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EB6D36">
        <w:rPr>
          <w:rFonts w:cstheme="minorHAnsi"/>
          <w:b/>
        </w:rPr>
        <w:tab/>
        <w:t>Permit Modification at the Request of the Permittee</w:t>
      </w:r>
    </w:p>
    <w:p w:rsidR="00DE3B54" w:rsidRPr="00EB6D36" w:rsidP="00DE3B54" w14:paraId="5410A7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(1)</w:t>
      </w:r>
      <w:r w:rsidRPr="00EB6D36">
        <w:rPr>
          <w:rFonts w:cstheme="minorHAnsi"/>
          <w:b/>
        </w:rPr>
        <w:tab/>
        <w:t>Class 1 Modifications</w:t>
      </w:r>
    </w:p>
    <w:p w:rsidR="00DE3B54" w:rsidRPr="00EB6D36" w:rsidP="00DE3B54" w14:paraId="0C8AD0E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  </w:t>
      </w:r>
    </w:p>
    <w:p w:rsidR="00DE3B54" w:rsidRPr="00EB6D36" w:rsidP="00DE3B54" w14:paraId="11426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(2)</w:t>
      </w:r>
      <w:r w:rsidRPr="00EB6D36">
        <w:rPr>
          <w:rFonts w:cstheme="minorHAnsi"/>
          <w:b/>
        </w:rPr>
        <w:tab/>
        <w:t>Class 2 and 3 Modifications</w:t>
      </w:r>
    </w:p>
    <w:p w:rsidR="00DE3B54" w:rsidRPr="00EB6D36" w:rsidP="00DE3B54" w14:paraId="4F393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send a notice of the Class 2 or 3 modification request to all persons on the facility mailing list and publish the notice in a major newspaper of general circulation within seven days before or after the date of submission of the modification request.  </w:t>
      </w:r>
    </w:p>
    <w:p w:rsidR="00DE3B54" w:rsidRPr="00EB6D36" w:rsidP="00DE3B54" w14:paraId="1731C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EB6D36">
        <w:rPr>
          <w:rFonts w:cstheme="minorHAnsi"/>
          <w:b/>
        </w:rPr>
        <w:tab/>
        <w:t>(3)</w:t>
      </w:r>
      <w:r w:rsidRPr="00EB6D36">
        <w:rPr>
          <w:rFonts w:cstheme="minorHAnsi"/>
          <w:b/>
        </w:rPr>
        <w:tab/>
        <w:t>Requests for Classification of a Permit Modification</w:t>
      </w:r>
    </w:p>
    <w:p w:rsidR="00DE3B54" w:rsidRPr="00EB6D36" w:rsidP="00DE3B54" w14:paraId="3153C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rsidR="00DE3B54" w:rsidRPr="00EB6D36" w:rsidP="00DE3B54" w14:paraId="05A504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b/>
        </w:rPr>
        <w:tab/>
        <w:t>Temporary Authorizations</w:t>
      </w:r>
    </w:p>
    <w:p w:rsidR="00DE3B54" w:rsidRPr="00EB6D36" w:rsidP="00DE3B54" w14:paraId="2EA18D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The permittee must send a notice regarding the temporary authorization request to all persons on the facility mailing list.  This notification must be made within seven days of the submission of the authorization request.  </w:t>
      </w:r>
    </w:p>
    <w:p w:rsidR="00DE3B54" w:rsidRPr="00EB6D36" w:rsidP="003A78D2" w14:paraId="42263FE5" w14:textId="77777777">
      <w:pPr>
        <w:spacing w:before="60"/>
        <w:rPr>
          <w:rFonts w:cstheme="minorHAnsi"/>
          <w:b/>
          <w:bCs/>
        </w:rPr>
      </w:pPr>
    </w:p>
    <w:p w:rsidR="003F68E1" w:rsidRPr="00EB6D36" w:rsidP="003A78D2" w14:paraId="09409D46" w14:textId="52E9B3AC">
      <w:pPr>
        <w:spacing w:before="60"/>
        <w:rPr>
          <w:rFonts w:cstheme="minorHAnsi"/>
          <w:b/>
          <w:bCs/>
        </w:rPr>
      </w:pPr>
      <w:r w:rsidRPr="00EB6D36">
        <w:rPr>
          <w:rFonts w:cstheme="minorHAnsi"/>
          <w:b/>
          <w:bCs/>
        </w:rPr>
        <w:t xml:space="preserve">12d. Respondent </w:t>
      </w:r>
      <w:r w:rsidRPr="00EB6D36" w:rsidR="00BB2B15">
        <w:rPr>
          <w:rFonts w:cstheme="minorHAnsi"/>
          <w:b/>
          <w:bCs/>
        </w:rPr>
        <w:t xml:space="preserve">Burden </w:t>
      </w:r>
      <w:r w:rsidRPr="00EB6D36" w:rsidR="00B666CD">
        <w:rPr>
          <w:rFonts w:cstheme="minorHAnsi"/>
          <w:b/>
          <w:bCs/>
        </w:rPr>
        <w:t>Hour</w:t>
      </w:r>
      <w:r w:rsidRPr="00EB6D36" w:rsidR="00BB2B15">
        <w:rPr>
          <w:rFonts w:cstheme="minorHAnsi"/>
          <w:b/>
          <w:bCs/>
        </w:rPr>
        <w:t>s</w:t>
      </w:r>
      <w:r w:rsidRPr="00EB6D36" w:rsidR="00B666CD">
        <w:rPr>
          <w:rFonts w:cstheme="minorHAnsi"/>
          <w:b/>
          <w:bCs/>
        </w:rPr>
        <w:t xml:space="preserve"> and Labor </w:t>
      </w:r>
      <w:bookmarkEnd w:id="19"/>
      <w:r w:rsidRPr="00EB6D36" w:rsidR="00BB2B15">
        <w:rPr>
          <w:rFonts w:cstheme="minorHAnsi"/>
          <w:b/>
          <w:bCs/>
        </w:rPr>
        <w:t>Costs</w:t>
      </w:r>
    </w:p>
    <w:p w:rsidR="005B057E" w:rsidRPr="00EB6D36" w:rsidP="00C028B9" w14:paraId="39FF471D" w14:textId="2E123C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20" w:name="_Toc156593386"/>
      <w:r w:rsidRPr="00EB6D36">
        <w:rPr>
          <w:rFonts w:cstheme="minorHAnsi"/>
        </w:rPr>
        <w:tab/>
        <w:t>For purposes of this analysis, EPA estimates an average hourly respondent labor cost of $164.90 for legal staff, $97.45 for managerial staff, $72.61 for technical staff, and $43.67 for clerical staff.  These wage rates are based on salaries, overhead and fringe benefits for the industries listed the table above titled “Respondent NAICS Codes”, according to the Bureau of Labor Statistics labor rates for 2023.</w:t>
      </w:r>
      <w:r w:rsidRPr="00EB6D36" w:rsidR="00C028B9">
        <w:rPr>
          <w:rFonts w:cstheme="minorHAnsi"/>
        </w:rPr>
        <w:tab/>
      </w:r>
    </w:p>
    <w:p w:rsidR="00C028B9" w:rsidRPr="00EB6D36" w:rsidP="00C028B9" w14:paraId="10655A8C" w14:textId="76DAC7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EPA estimates respondent burden hours associated with all of the information collection requirements covered in this ICR in Exhibits 1 through </w:t>
      </w:r>
      <w:r w:rsidRPr="00EB6D36" w:rsidR="00F34B16">
        <w:rPr>
          <w:rFonts w:cstheme="minorHAnsi"/>
        </w:rPr>
        <w:t>4</w:t>
      </w:r>
      <w:r w:rsidR="00652096">
        <w:rPr>
          <w:rFonts w:cstheme="minorHAnsi"/>
        </w:rPr>
        <w:t xml:space="preserve"> in the</w:t>
      </w:r>
      <w:r w:rsidRPr="00EB6D36">
        <w:rPr>
          <w:rFonts w:cstheme="minorHAnsi"/>
        </w:rPr>
        <w:t xml:space="preserve"> attached</w:t>
      </w:r>
      <w:r w:rsidR="00652096">
        <w:rPr>
          <w:rFonts w:cstheme="minorHAnsi"/>
        </w:rPr>
        <w:t xml:space="preserve"> Excel sheets</w:t>
      </w:r>
      <w:r w:rsidRPr="00EB6D36">
        <w:rPr>
          <w:rFonts w:cstheme="minorHAnsi"/>
        </w:rPr>
        <w:t xml:space="preserve">.  These exhibits show the average number of hours required to conduct the information collection activity and the average cost associated with each requirement.  Table 2 below summarizes the total respondent burden and costs and provides annual bottom-line burden and costs associated with all information collection requirements applicable to facilities with BIF units. </w:t>
      </w:r>
    </w:p>
    <w:p w:rsidR="00F34B16" w:rsidRPr="00EB6D36" w:rsidP="00F34B16" w14:paraId="08519715" w14:textId="4D084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rPr>
      </w:pPr>
      <w:r w:rsidRPr="00EB6D36">
        <w:rPr>
          <w:rFonts w:cstheme="minorHAnsi"/>
          <w:b/>
          <w:bCs/>
        </w:rPr>
        <w:t>Table 1 – Total Annual Respondent Burden Hours and Cost</w:t>
      </w:r>
    </w:p>
    <w:tbl>
      <w:tblPr>
        <w:tblStyle w:val="TableGrid"/>
        <w:tblW w:w="0" w:type="auto"/>
        <w:tblLook w:val="04A0"/>
      </w:tblPr>
      <w:tblGrid>
        <w:gridCol w:w="2680"/>
        <w:gridCol w:w="1493"/>
        <w:gridCol w:w="1086"/>
        <w:gridCol w:w="1493"/>
        <w:gridCol w:w="1105"/>
        <w:gridCol w:w="1493"/>
      </w:tblGrid>
      <w:tr w14:paraId="4BDE3105" w14:textId="77777777" w:rsidTr="00F34B16">
        <w:tblPrEx>
          <w:tblW w:w="0" w:type="auto"/>
          <w:tblLook w:val="04A0"/>
        </w:tblPrEx>
        <w:trPr>
          <w:trHeight w:val="240"/>
        </w:trPr>
        <w:tc>
          <w:tcPr>
            <w:tcW w:w="2680" w:type="dxa"/>
            <w:noWrap/>
            <w:hideMark/>
          </w:tcPr>
          <w:p w:rsidR="00F34B16" w:rsidRPr="00AF0447" w:rsidP="00F34B16" w14:paraId="2BA6C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p>
        </w:tc>
        <w:tc>
          <w:tcPr>
            <w:tcW w:w="1493" w:type="dxa"/>
            <w:noWrap/>
            <w:hideMark/>
          </w:tcPr>
          <w:p w:rsidR="00F34B16" w:rsidRPr="00AF0447" w:rsidP="00F34B16" w14:paraId="3770DF99" w14:textId="77F3A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Labor Cost/Year</w:t>
            </w:r>
          </w:p>
        </w:tc>
        <w:tc>
          <w:tcPr>
            <w:tcW w:w="1086" w:type="dxa"/>
            <w:noWrap/>
            <w:hideMark/>
          </w:tcPr>
          <w:p w:rsidR="00F34B16" w:rsidRPr="00AF0447" w:rsidP="00F34B16" w14:paraId="003EB200" w14:textId="637F0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Capital Cost/Year</w:t>
            </w:r>
          </w:p>
        </w:tc>
        <w:tc>
          <w:tcPr>
            <w:tcW w:w="1493" w:type="dxa"/>
            <w:noWrap/>
            <w:hideMark/>
          </w:tcPr>
          <w:p w:rsidR="00F34B16" w:rsidRPr="00AF0447" w:rsidP="00F34B16" w14:paraId="003F4D12" w14:textId="07074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O&amp;M Cost/Year</w:t>
            </w:r>
          </w:p>
        </w:tc>
        <w:tc>
          <w:tcPr>
            <w:tcW w:w="1105" w:type="dxa"/>
            <w:noWrap/>
            <w:hideMark/>
          </w:tcPr>
          <w:p w:rsidR="00F34B16" w:rsidRPr="00AF0447" w:rsidP="00F34B16" w14:paraId="177C5F52" w14:textId="04281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Hours</w:t>
            </w:r>
          </w:p>
        </w:tc>
        <w:tc>
          <w:tcPr>
            <w:tcW w:w="1493" w:type="dxa"/>
            <w:noWrap/>
            <w:hideMark/>
          </w:tcPr>
          <w:p w:rsidR="00F34B16" w:rsidRPr="00AF0447" w:rsidP="00F34B16" w14:paraId="19617BFC" w14:textId="1B9CE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Cost</w:t>
            </w:r>
          </w:p>
        </w:tc>
      </w:tr>
      <w:tr w14:paraId="133DF70A" w14:textId="77777777" w:rsidTr="00F34B16">
        <w:tblPrEx>
          <w:tblW w:w="0" w:type="auto"/>
          <w:tblLook w:val="04A0"/>
        </w:tblPrEx>
        <w:trPr>
          <w:trHeight w:val="240"/>
        </w:trPr>
        <w:tc>
          <w:tcPr>
            <w:tcW w:w="2680" w:type="dxa"/>
            <w:noWrap/>
            <w:hideMark/>
          </w:tcPr>
          <w:p w:rsidR="00F34B16" w:rsidRPr="00AF0447" w:rsidP="00F34B16" w14:paraId="260B5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1</w:t>
            </w:r>
          </w:p>
        </w:tc>
        <w:tc>
          <w:tcPr>
            <w:tcW w:w="1493" w:type="dxa"/>
            <w:noWrap/>
            <w:hideMark/>
          </w:tcPr>
          <w:p w:rsidR="00F34B16" w:rsidRPr="00AF0447" w:rsidP="00F34B16" w14:paraId="1CAA0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422A5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6E02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7D777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6C54FB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2FC712DE" w14:textId="77777777" w:rsidTr="00F34B16">
        <w:tblPrEx>
          <w:tblW w:w="0" w:type="auto"/>
          <w:tblLook w:val="04A0"/>
        </w:tblPrEx>
        <w:trPr>
          <w:trHeight w:val="240"/>
        </w:trPr>
        <w:tc>
          <w:tcPr>
            <w:tcW w:w="2680" w:type="dxa"/>
            <w:noWrap/>
            <w:hideMark/>
          </w:tcPr>
          <w:p w:rsidR="00F34B16" w:rsidRPr="00AF0447" w:rsidP="00F34B16" w14:paraId="4B3AF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(A)  General Facility Operating Requirements</w:t>
            </w:r>
          </w:p>
        </w:tc>
        <w:tc>
          <w:tcPr>
            <w:tcW w:w="1493" w:type="dxa"/>
            <w:noWrap/>
            <w:hideMark/>
          </w:tcPr>
          <w:p w:rsidR="00F34B16" w:rsidRPr="00AF0447" w:rsidP="00F34B16" w14:paraId="2F857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$417,439.95 </w:t>
            </w:r>
          </w:p>
        </w:tc>
        <w:tc>
          <w:tcPr>
            <w:tcW w:w="1086" w:type="dxa"/>
            <w:noWrap/>
            <w:hideMark/>
          </w:tcPr>
          <w:p w:rsidR="00F34B16" w:rsidRPr="00AF0447" w:rsidP="00F34B16" w14:paraId="2D62A5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C81C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$224,596.00 </w:t>
            </w:r>
          </w:p>
        </w:tc>
        <w:tc>
          <w:tcPr>
            <w:tcW w:w="1105" w:type="dxa"/>
            <w:noWrap/>
            <w:hideMark/>
          </w:tcPr>
          <w:p w:rsidR="00F34B16" w:rsidRPr="00AF0447" w:rsidP="00F34B16" w14:paraId="5AF3C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5,870.75</w:t>
            </w:r>
          </w:p>
        </w:tc>
        <w:tc>
          <w:tcPr>
            <w:tcW w:w="1493" w:type="dxa"/>
            <w:noWrap/>
            <w:hideMark/>
          </w:tcPr>
          <w:p w:rsidR="00F34B16" w:rsidRPr="00AF0447" w:rsidP="00F34B16" w14:paraId="565FA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$642,035.95 </w:t>
            </w:r>
          </w:p>
        </w:tc>
      </w:tr>
      <w:tr w14:paraId="1B1FD216" w14:textId="77777777" w:rsidTr="00F34B16">
        <w:tblPrEx>
          <w:tblW w:w="0" w:type="auto"/>
          <w:tblLook w:val="04A0"/>
        </w:tblPrEx>
        <w:trPr>
          <w:trHeight w:val="240"/>
        </w:trPr>
        <w:tc>
          <w:tcPr>
            <w:tcW w:w="2680" w:type="dxa"/>
            <w:noWrap/>
            <w:hideMark/>
          </w:tcPr>
          <w:p w:rsidR="00F34B16" w:rsidRPr="00AF0447" w:rsidP="00F34B16" w14:paraId="032B94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(B)  Recordkeeping Requirements</w:t>
            </w:r>
          </w:p>
        </w:tc>
        <w:tc>
          <w:tcPr>
            <w:tcW w:w="1493" w:type="dxa"/>
            <w:noWrap/>
            <w:hideMark/>
          </w:tcPr>
          <w:p w:rsidR="00F34B16" w:rsidRPr="00AF0447" w:rsidP="00F34B16" w14:paraId="39F79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$259,870.12 </w:t>
            </w:r>
          </w:p>
        </w:tc>
        <w:tc>
          <w:tcPr>
            <w:tcW w:w="1086" w:type="dxa"/>
            <w:noWrap/>
            <w:hideMark/>
          </w:tcPr>
          <w:p w:rsidR="00F34B16" w:rsidRPr="00AF0447" w:rsidP="00F34B16" w14:paraId="6A6C56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5949D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$240.00 </w:t>
            </w:r>
          </w:p>
        </w:tc>
        <w:tc>
          <w:tcPr>
            <w:tcW w:w="1105" w:type="dxa"/>
            <w:noWrap/>
            <w:hideMark/>
          </w:tcPr>
          <w:p w:rsidR="00F34B16" w:rsidRPr="00AF0447" w:rsidP="00F34B16" w14:paraId="02185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4,536.00</w:t>
            </w:r>
          </w:p>
        </w:tc>
        <w:tc>
          <w:tcPr>
            <w:tcW w:w="1493" w:type="dxa"/>
            <w:noWrap/>
            <w:hideMark/>
          </w:tcPr>
          <w:p w:rsidR="00F34B16" w:rsidRPr="00AF0447" w:rsidP="00F34B16" w14:paraId="7BDAF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$260,110.12 </w:t>
            </w:r>
          </w:p>
        </w:tc>
      </w:tr>
      <w:tr w14:paraId="4863B459" w14:textId="77777777" w:rsidTr="00F34B16">
        <w:tblPrEx>
          <w:tblW w:w="0" w:type="auto"/>
          <w:tblLook w:val="04A0"/>
        </w:tblPrEx>
        <w:trPr>
          <w:trHeight w:val="240"/>
        </w:trPr>
        <w:tc>
          <w:tcPr>
            <w:tcW w:w="2680" w:type="dxa"/>
            <w:noWrap/>
            <w:hideMark/>
          </w:tcPr>
          <w:p w:rsidR="00F34B16" w:rsidRPr="00AF0447" w:rsidP="00F34B16" w14:paraId="2ECB4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  Contingency Plan and Emergency Procedures</w:t>
            </w:r>
          </w:p>
        </w:tc>
        <w:tc>
          <w:tcPr>
            <w:tcW w:w="1493" w:type="dxa"/>
            <w:noWrap/>
            <w:hideMark/>
          </w:tcPr>
          <w:p w:rsidR="00F34B16" w:rsidRPr="00AF0447" w:rsidP="00F34B16" w14:paraId="47C2D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$13,759.96 </w:t>
            </w:r>
          </w:p>
        </w:tc>
        <w:tc>
          <w:tcPr>
            <w:tcW w:w="1086" w:type="dxa"/>
            <w:noWrap/>
            <w:hideMark/>
          </w:tcPr>
          <w:p w:rsidR="00F34B16" w:rsidRPr="00AF0447" w:rsidP="00F34B16" w14:paraId="181D2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2422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$84.80 </w:t>
            </w:r>
          </w:p>
        </w:tc>
        <w:tc>
          <w:tcPr>
            <w:tcW w:w="1105" w:type="dxa"/>
            <w:noWrap/>
            <w:hideMark/>
          </w:tcPr>
          <w:p w:rsidR="00F34B16" w:rsidRPr="00AF0447" w:rsidP="00F34B16" w14:paraId="2F573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218.00</w:t>
            </w:r>
          </w:p>
        </w:tc>
        <w:tc>
          <w:tcPr>
            <w:tcW w:w="1493" w:type="dxa"/>
            <w:noWrap/>
            <w:hideMark/>
          </w:tcPr>
          <w:p w:rsidR="00F34B16" w:rsidRPr="00AF0447" w:rsidP="00F34B16" w14:paraId="3F7A0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$13,844.76 </w:t>
            </w:r>
          </w:p>
        </w:tc>
      </w:tr>
      <w:tr w14:paraId="5E8AE89A" w14:textId="77777777" w:rsidTr="00F34B16">
        <w:tblPrEx>
          <w:tblW w:w="0" w:type="auto"/>
          <w:tblLook w:val="04A0"/>
        </w:tblPrEx>
        <w:trPr>
          <w:trHeight w:val="240"/>
        </w:trPr>
        <w:tc>
          <w:tcPr>
            <w:tcW w:w="2680" w:type="dxa"/>
            <w:noWrap/>
            <w:hideMark/>
          </w:tcPr>
          <w:p w:rsidR="00F34B16" w:rsidRPr="00AF0447" w:rsidP="00F34B16" w14:paraId="340A8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(D)  Closure Requirements</w:t>
            </w:r>
          </w:p>
        </w:tc>
        <w:tc>
          <w:tcPr>
            <w:tcW w:w="1493" w:type="dxa"/>
            <w:noWrap/>
            <w:hideMark/>
          </w:tcPr>
          <w:p w:rsidR="00F34B16" w:rsidRPr="00AF0447" w:rsidP="00F34B16" w14:paraId="1325A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$9,596.16 </w:t>
            </w:r>
          </w:p>
        </w:tc>
        <w:tc>
          <w:tcPr>
            <w:tcW w:w="1086" w:type="dxa"/>
            <w:noWrap/>
            <w:hideMark/>
          </w:tcPr>
          <w:p w:rsidR="00F34B16" w:rsidRPr="00AF0447" w:rsidP="00F34B16" w14:paraId="25B94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4F33F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105" w:type="dxa"/>
            <w:noWrap/>
            <w:hideMark/>
          </w:tcPr>
          <w:p w:rsidR="00F34B16" w:rsidRPr="00AF0447" w:rsidP="00F34B16" w14:paraId="16B294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126.00</w:t>
            </w:r>
          </w:p>
        </w:tc>
        <w:tc>
          <w:tcPr>
            <w:tcW w:w="1493" w:type="dxa"/>
            <w:noWrap/>
            <w:hideMark/>
          </w:tcPr>
          <w:p w:rsidR="00F34B16" w:rsidRPr="00AF0447" w:rsidP="00F34B16" w14:paraId="5BF4E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$9,596.16 </w:t>
            </w:r>
          </w:p>
        </w:tc>
      </w:tr>
      <w:tr w14:paraId="2AABCCE9" w14:textId="77777777" w:rsidTr="00F34B16">
        <w:tblPrEx>
          <w:tblW w:w="0" w:type="auto"/>
          <w:tblLook w:val="04A0"/>
        </w:tblPrEx>
        <w:trPr>
          <w:trHeight w:val="240"/>
        </w:trPr>
        <w:tc>
          <w:tcPr>
            <w:tcW w:w="2680" w:type="dxa"/>
            <w:noWrap/>
            <w:hideMark/>
          </w:tcPr>
          <w:p w:rsidR="00F34B16" w:rsidRPr="00AF0447" w:rsidP="00F34B16" w14:paraId="120A3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(E)  Financial Requirements</w:t>
            </w:r>
          </w:p>
        </w:tc>
        <w:tc>
          <w:tcPr>
            <w:tcW w:w="1493" w:type="dxa"/>
            <w:noWrap/>
            <w:hideMark/>
          </w:tcPr>
          <w:p w:rsidR="00F34B16" w:rsidRPr="00AF0447" w:rsidP="00F34B16" w14:paraId="2CC3F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$44,397.96 </w:t>
            </w:r>
          </w:p>
        </w:tc>
        <w:tc>
          <w:tcPr>
            <w:tcW w:w="1086" w:type="dxa"/>
            <w:noWrap/>
            <w:hideMark/>
          </w:tcPr>
          <w:p w:rsidR="00F34B16" w:rsidRPr="00AF0447" w:rsidP="00F34B16" w14:paraId="74120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71A8F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$268.40 </w:t>
            </w:r>
          </w:p>
        </w:tc>
        <w:tc>
          <w:tcPr>
            <w:tcW w:w="1105" w:type="dxa"/>
            <w:noWrap/>
            <w:hideMark/>
          </w:tcPr>
          <w:p w:rsidR="00F34B16" w:rsidRPr="00AF0447" w:rsidP="00F34B16" w14:paraId="792F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655.00</w:t>
            </w:r>
          </w:p>
        </w:tc>
        <w:tc>
          <w:tcPr>
            <w:tcW w:w="1493" w:type="dxa"/>
            <w:noWrap/>
            <w:hideMark/>
          </w:tcPr>
          <w:p w:rsidR="00F34B16" w:rsidRPr="00AF0447" w:rsidP="00F34B16" w14:paraId="38BFA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$44,666.36 </w:t>
            </w:r>
          </w:p>
        </w:tc>
      </w:tr>
      <w:tr w14:paraId="2E23F74B" w14:textId="77777777" w:rsidTr="00F34B16">
        <w:tblPrEx>
          <w:tblW w:w="0" w:type="auto"/>
          <w:tblLook w:val="04A0"/>
        </w:tblPrEx>
        <w:trPr>
          <w:trHeight w:val="240"/>
        </w:trPr>
        <w:tc>
          <w:tcPr>
            <w:tcW w:w="2680" w:type="dxa"/>
            <w:noWrap/>
            <w:hideMark/>
          </w:tcPr>
          <w:p w:rsidR="00F34B16" w:rsidRPr="00AF0447" w:rsidP="00F34B16" w14:paraId="1BE0E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(F)  Conditions Applicable to All Permits</w:t>
            </w:r>
          </w:p>
        </w:tc>
        <w:tc>
          <w:tcPr>
            <w:tcW w:w="1493" w:type="dxa"/>
            <w:noWrap/>
            <w:hideMark/>
          </w:tcPr>
          <w:p w:rsidR="00F34B16" w:rsidRPr="00AF0447" w:rsidP="00F34B16" w14:paraId="1D476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$30,499.69 </w:t>
            </w:r>
          </w:p>
        </w:tc>
        <w:tc>
          <w:tcPr>
            <w:tcW w:w="1086" w:type="dxa"/>
            <w:noWrap/>
            <w:hideMark/>
          </w:tcPr>
          <w:p w:rsidR="00F34B16" w:rsidRPr="00AF0447" w:rsidP="00F34B16" w14:paraId="56DE36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25D07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$325.60 </w:t>
            </w:r>
          </w:p>
        </w:tc>
        <w:tc>
          <w:tcPr>
            <w:tcW w:w="1105" w:type="dxa"/>
            <w:noWrap/>
            <w:hideMark/>
          </w:tcPr>
          <w:p w:rsidR="00F34B16" w:rsidRPr="00AF0447" w:rsidP="00F34B16" w14:paraId="48AD7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422.50</w:t>
            </w:r>
          </w:p>
        </w:tc>
        <w:tc>
          <w:tcPr>
            <w:tcW w:w="1493" w:type="dxa"/>
            <w:noWrap/>
            <w:hideMark/>
          </w:tcPr>
          <w:p w:rsidR="00F34B16" w:rsidRPr="00AF0447" w:rsidP="00F34B16" w14:paraId="4145C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$30,825.29 </w:t>
            </w:r>
          </w:p>
        </w:tc>
      </w:tr>
      <w:tr w14:paraId="40DF286F" w14:textId="77777777" w:rsidTr="00F34B16">
        <w:tblPrEx>
          <w:tblW w:w="0" w:type="auto"/>
          <w:tblLook w:val="04A0"/>
        </w:tblPrEx>
        <w:trPr>
          <w:trHeight w:val="240"/>
        </w:trPr>
        <w:tc>
          <w:tcPr>
            <w:tcW w:w="2680" w:type="dxa"/>
            <w:noWrap/>
            <w:hideMark/>
          </w:tcPr>
          <w:p w:rsidR="00F34B16" w:rsidRPr="00AF0447" w:rsidP="00F34B16" w14:paraId="34D2B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2</w:t>
            </w:r>
          </w:p>
        </w:tc>
        <w:tc>
          <w:tcPr>
            <w:tcW w:w="1493" w:type="dxa"/>
            <w:noWrap/>
            <w:hideMark/>
          </w:tcPr>
          <w:p w:rsidR="00F34B16" w:rsidRPr="00AF0447" w:rsidP="00F34B16" w14:paraId="11E1A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17D9B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764A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0C4682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08019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45130DE3" w14:textId="77777777" w:rsidTr="00F34B16">
        <w:tblPrEx>
          <w:tblW w:w="0" w:type="auto"/>
          <w:tblLook w:val="04A0"/>
        </w:tblPrEx>
        <w:trPr>
          <w:trHeight w:val="240"/>
        </w:trPr>
        <w:tc>
          <w:tcPr>
            <w:tcW w:w="2680" w:type="dxa"/>
            <w:noWrap/>
            <w:hideMark/>
          </w:tcPr>
          <w:p w:rsidR="00F34B16" w:rsidRPr="00AF0447" w:rsidP="00F34B16" w14:paraId="4C1EFD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Specific Unit Requirements for BIFs</w:t>
            </w:r>
          </w:p>
        </w:tc>
        <w:tc>
          <w:tcPr>
            <w:tcW w:w="1493" w:type="dxa"/>
            <w:noWrap/>
            <w:hideMark/>
          </w:tcPr>
          <w:p w:rsidR="00F34B16" w:rsidRPr="00AF0447" w:rsidP="00F34B16" w14:paraId="5BDE7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$1,838,978.02 </w:t>
            </w:r>
          </w:p>
        </w:tc>
        <w:tc>
          <w:tcPr>
            <w:tcW w:w="1086" w:type="dxa"/>
            <w:noWrap/>
            <w:hideMark/>
          </w:tcPr>
          <w:p w:rsidR="00F34B16" w:rsidRPr="00AF0447" w:rsidP="00F34B16" w14:paraId="017688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B555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$2,212,086.88 </w:t>
            </w:r>
          </w:p>
        </w:tc>
        <w:tc>
          <w:tcPr>
            <w:tcW w:w="1105" w:type="dxa"/>
            <w:noWrap/>
            <w:hideMark/>
          </w:tcPr>
          <w:p w:rsidR="00F34B16" w:rsidRPr="00AF0447" w:rsidP="00F34B16" w14:paraId="54E3A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26,129.66</w:t>
            </w:r>
          </w:p>
        </w:tc>
        <w:tc>
          <w:tcPr>
            <w:tcW w:w="1493" w:type="dxa"/>
            <w:noWrap/>
            <w:hideMark/>
          </w:tcPr>
          <w:p w:rsidR="00F34B16" w:rsidRPr="00AF0447" w:rsidP="00F34B16" w14:paraId="3DBAD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$4,051,064.90 </w:t>
            </w:r>
          </w:p>
        </w:tc>
      </w:tr>
      <w:tr w14:paraId="5056712E" w14:textId="77777777" w:rsidTr="00F34B16">
        <w:tblPrEx>
          <w:tblW w:w="0" w:type="auto"/>
          <w:tblLook w:val="04A0"/>
        </w:tblPrEx>
        <w:trPr>
          <w:trHeight w:val="240"/>
        </w:trPr>
        <w:tc>
          <w:tcPr>
            <w:tcW w:w="2680" w:type="dxa"/>
            <w:noWrap/>
            <w:hideMark/>
          </w:tcPr>
          <w:p w:rsidR="00F34B16" w:rsidRPr="00AF0447" w:rsidP="00F34B16" w14:paraId="07089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3</w:t>
            </w:r>
          </w:p>
        </w:tc>
        <w:tc>
          <w:tcPr>
            <w:tcW w:w="1493" w:type="dxa"/>
            <w:noWrap/>
            <w:hideMark/>
          </w:tcPr>
          <w:p w:rsidR="00F34B16" w:rsidRPr="00AF0447" w:rsidP="00F34B16" w14:paraId="6FCC7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129A2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3E4FD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1764D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26F3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35D1772A" w14:textId="77777777" w:rsidTr="00F34B16">
        <w:tblPrEx>
          <w:tblW w:w="0" w:type="auto"/>
          <w:tblLook w:val="04A0"/>
        </w:tblPrEx>
        <w:trPr>
          <w:trHeight w:val="240"/>
        </w:trPr>
        <w:tc>
          <w:tcPr>
            <w:tcW w:w="2680" w:type="dxa"/>
            <w:noWrap/>
            <w:hideMark/>
          </w:tcPr>
          <w:p w:rsidR="00F34B16" w:rsidRPr="00AF0447" w:rsidP="00F34B16" w14:paraId="1F40C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(A)  General Part B Information Requirements</w:t>
            </w:r>
          </w:p>
        </w:tc>
        <w:tc>
          <w:tcPr>
            <w:tcW w:w="1493" w:type="dxa"/>
            <w:noWrap/>
            <w:hideMark/>
          </w:tcPr>
          <w:p w:rsidR="00F34B16" w:rsidRPr="00AF0447" w:rsidP="00F34B16" w14:paraId="13AB3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086" w:type="dxa"/>
            <w:noWrap/>
            <w:hideMark/>
          </w:tcPr>
          <w:p w:rsidR="00F34B16" w:rsidRPr="00AF0447" w:rsidP="00F34B16" w14:paraId="29E18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4B1A9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105" w:type="dxa"/>
            <w:noWrap/>
            <w:hideMark/>
          </w:tcPr>
          <w:p w:rsidR="00F34B16" w:rsidRPr="00AF0447" w:rsidP="00F34B16" w14:paraId="56B61F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23DECF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r>
      <w:tr w14:paraId="5A2AA8F1" w14:textId="77777777" w:rsidTr="00F34B16">
        <w:tblPrEx>
          <w:tblW w:w="0" w:type="auto"/>
          <w:tblLook w:val="04A0"/>
        </w:tblPrEx>
        <w:trPr>
          <w:trHeight w:val="240"/>
        </w:trPr>
        <w:tc>
          <w:tcPr>
            <w:tcW w:w="2680" w:type="dxa"/>
            <w:noWrap/>
            <w:hideMark/>
          </w:tcPr>
          <w:p w:rsidR="00F34B16" w:rsidRPr="00AF0447" w:rsidP="00F34B16" w14:paraId="3FD54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(B)  Specific Part B Information Requirements</w:t>
            </w:r>
          </w:p>
        </w:tc>
        <w:tc>
          <w:tcPr>
            <w:tcW w:w="1493" w:type="dxa"/>
            <w:noWrap/>
            <w:hideMark/>
          </w:tcPr>
          <w:p w:rsidR="00F34B16" w:rsidRPr="00AF0447" w:rsidP="00F34B16" w14:paraId="7433F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$9,157.56 </w:t>
            </w:r>
          </w:p>
        </w:tc>
        <w:tc>
          <w:tcPr>
            <w:tcW w:w="1086" w:type="dxa"/>
            <w:noWrap/>
            <w:hideMark/>
          </w:tcPr>
          <w:p w:rsidR="00F34B16" w:rsidRPr="00AF0447" w:rsidP="00F34B16" w14:paraId="091ED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7FBD7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$14,800.00 </w:t>
            </w:r>
          </w:p>
        </w:tc>
        <w:tc>
          <w:tcPr>
            <w:tcW w:w="1105" w:type="dxa"/>
            <w:noWrap/>
            <w:hideMark/>
          </w:tcPr>
          <w:p w:rsidR="00F34B16" w:rsidRPr="00AF0447" w:rsidP="00F34B16" w14:paraId="21E7D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126.00</w:t>
            </w:r>
          </w:p>
        </w:tc>
        <w:tc>
          <w:tcPr>
            <w:tcW w:w="1493" w:type="dxa"/>
            <w:noWrap/>
            <w:hideMark/>
          </w:tcPr>
          <w:p w:rsidR="00F34B16" w:rsidRPr="00AF0447" w:rsidP="00F34B16" w14:paraId="55FCB1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$23,957.56 </w:t>
            </w:r>
          </w:p>
        </w:tc>
      </w:tr>
      <w:tr w14:paraId="5A92F18B" w14:textId="77777777" w:rsidTr="00F34B16">
        <w:tblPrEx>
          <w:tblW w:w="0" w:type="auto"/>
          <w:tblLook w:val="04A0"/>
        </w:tblPrEx>
        <w:trPr>
          <w:trHeight w:val="240"/>
        </w:trPr>
        <w:tc>
          <w:tcPr>
            <w:tcW w:w="2680" w:type="dxa"/>
            <w:noWrap/>
            <w:hideMark/>
          </w:tcPr>
          <w:p w:rsidR="00F34B16" w:rsidRPr="00AF0447" w:rsidP="00F34B16" w14:paraId="31A01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  Part B Modification Requirements</w:t>
            </w:r>
          </w:p>
        </w:tc>
        <w:tc>
          <w:tcPr>
            <w:tcW w:w="1493" w:type="dxa"/>
            <w:noWrap/>
            <w:hideMark/>
          </w:tcPr>
          <w:p w:rsidR="00F34B16" w:rsidRPr="00AF0447" w:rsidP="00F34B16" w14:paraId="66318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$131,666.07 </w:t>
            </w:r>
          </w:p>
        </w:tc>
        <w:tc>
          <w:tcPr>
            <w:tcW w:w="1086" w:type="dxa"/>
            <w:noWrap/>
            <w:hideMark/>
          </w:tcPr>
          <w:p w:rsidR="00F34B16" w:rsidRPr="00AF0447" w:rsidP="00F34B16" w14:paraId="14484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$0.00 </w:t>
            </w:r>
          </w:p>
        </w:tc>
        <w:tc>
          <w:tcPr>
            <w:tcW w:w="1493" w:type="dxa"/>
            <w:noWrap/>
            <w:hideMark/>
          </w:tcPr>
          <w:p w:rsidR="00F34B16" w:rsidRPr="00AF0447" w:rsidP="00F34B16" w14:paraId="345A0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$369,938.80 </w:t>
            </w:r>
          </w:p>
        </w:tc>
        <w:tc>
          <w:tcPr>
            <w:tcW w:w="1105" w:type="dxa"/>
            <w:noWrap/>
            <w:hideMark/>
          </w:tcPr>
          <w:p w:rsidR="00F34B16" w:rsidRPr="00AF0447" w:rsidP="00F34B16" w14:paraId="7C28F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1,673.85</w:t>
            </w:r>
          </w:p>
        </w:tc>
        <w:tc>
          <w:tcPr>
            <w:tcW w:w="1493" w:type="dxa"/>
            <w:noWrap/>
            <w:hideMark/>
          </w:tcPr>
          <w:p w:rsidR="00F34B16" w:rsidRPr="00AF0447" w:rsidP="00F34B16" w14:paraId="4A347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$501,604.87 </w:t>
            </w:r>
          </w:p>
        </w:tc>
      </w:tr>
      <w:tr w14:paraId="3EDF537F" w14:textId="77777777" w:rsidTr="00F34B16">
        <w:tblPrEx>
          <w:tblW w:w="0" w:type="auto"/>
          <w:tblLook w:val="04A0"/>
        </w:tblPrEx>
        <w:trPr>
          <w:trHeight w:val="240"/>
        </w:trPr>
        <w:tc>
          <w:tcPr>
            <w:tcW w:w="2680" w:type="dxa"/>
            <w:noWrap/>
            <w:hideMark/>
          </w:tcPr>
          <w:p w:rsidR="00F34B16" w:rsidRPr="00AF0447" w:rsidP="00F34B16" w14:paraId="52493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Exhibit 4</w:t>
            </w:r>
          </w:p>
        </w:tc>
        <w:tc>
          <w:tcPr>
            <w:tcW w:w="1493" w:type="dxa"/>
            <w:noWrap/>
            <w:hideMark/>
          </w:tcPr>
          <w:p w:rsidR="00F34B16" w:rsidRPr="00AF0447" w:rsidP="00F34B16" w14:paraId="5DBB4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086" w:type="dxa"/>
            <w:noWrap/>
            <w:hideMark/>
          </w:tcPr>
          <w:p w:rsidR="00F34B16" w:rsidRPr="00AF0447" w:rsidP="00F34B16" w14:paraId="756BB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4178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105" w:type="dxa"/>
            <w:noWrap/>
            <w:hideMark/>
          </w:tcPr>
          <w:p w:rsidR="00F34B16" w:rsidRPr="00AF0447" w:rsidP="00F34B16" w14:paraId="3BE6A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c>
          <w:tcPr>
            <w:tcW w:w="1493" w:type="dxa"/>
            <w:noWrap/>
            <w:hideMark/>
          </w:tcPr>
          <w:p w:rsidR="00F34B16" w:rsidRPr="00AF0447" w:rsidP="00F34B16" w14:paraId="1B3AE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w:t>
            </w:r>
          </w:p>
        </w:tc>
      </w:tr>
      <w:tr w14:paraId="521EB169" w14:textId="77777777" w:rsidTr="00F34B16">
        <w:tblPrEx>
          <w:tblW w:w="0" w:type="auto"/>
          <w:tblLook w:val="04A0"/>
        </w:tblPrEx>
        <w:trPr>
          <w:trHeight w:val="435"/>
        </w:trPr>
        <w:tc>
          <w:tcPr>
            <w:tcW w:w="2680" w:type="dxa"/>
            <w:hideMark/>
          </w:tcPr>
          <w:p w:rsidR="00F34B16" w:rsidRPr="00AF0447" w:rsidP="00F34B16" w14:paraId="1892F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Operating and Maintenance Costs for Maintaining All Records</w:t>
            </w:r>
          </w:p>
        </w:tc>
        <w:tc>
          <w:tcPr>
            <w:tcW w:w="1493" w:type="dxa"/>
            <w:noWrap/>
            <w:hideMark/>
          </w:tcPr>
          <w:p w:rsidR="00F34B16" w:rsidRPr="00AF0447" w:rsidP="00F34B16" w14:paraId="5A1A2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086" w:type="dxa"/>
            <w:noWrap/>
            <w:hideMark/>
          </w:tcPr>
          <w:p w:rsidR="00F34B16" w:rsidRPr="00AF0447" w:rsidP="00F34B16" w14:paraId="37E4B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5C1A6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$780.12</w:t>
            </w:r>
          </w:p>
        </w:tc>
        <w:tc>
          <w:tcPr>
            <w:tcW w:w="1105" w:type="dxa"/>
            <w:noWrap/>
            <w:hideMark/>
          </w:tcPr>
          <w:p w:rsidR="00F34B16" w:rsidRPr="00AF0447" w:rsidP="00F34B16" w14:paraId="7C5C30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0.00</w:t>
            </w:r>
          </w:p>
        </w:tc>
        <w:tc>
          <w:tcPr>
            <w:tcW w:w="1493" w:type="dxa"/>
            <w:noWrap/>
            <w:hideMark/>
          </w:tcPr>
          <w:p w:rsidR="00F34B16" w:rsidRPr="00AF0447" w:rsidP="00F34B16" w14:paraId="77AD6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 xml:space="preserve">$780.12 </w:t>
            </w:r>
          </w:p>
        </w:tc>
      </w:tr>
      <w:tr w14:paraId="14659D45" w14:textId="77777777" w:rsidTr="00F34B16">
        <w:tblPrEx>
          <w:tblW w:w="0" w:type="auto"/>
          <w:tblLook w:val="04A0"/>
        </w:tblPrEx>
        <w:trPr>
          <w:trHeight w:val="240"/>
        </w:trPr>
        <w:tc>
          <w:tcPr>
            <w:tcW w:w="2680" w:type="dxa"/>
            <w:noWrap/>
            <w:hideMark/>
          </w:tcPr>
          <w:p w:rsidR="00F34B16" w:rsidRPr="00AF0447" w:rsidP="00F34B16" w14:paraId="7E88F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TOTAL</w:t>
            </w:r>
          </w:p>
        </w:tc>
        <w:tc>
          <w:tcPr>
            <w:tcW w:w="1493" w:type="dxa"/>
            <w:noWrap/>
            <w:hideMark/>
          </w:tcPr>
          <w:p w:rsidR="00F34B16" w:rsidRPr="00AF0447" w:rsidP="00F34B16" w14:paraId="667E1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$2,755,365.49</w:t>
            </w:r>
          </w:p>
        </w:tc>
        <w:tc>
          <w:tcPr>
            <w:tcW w:w="1086" w:type="dxa"/>
            <w:noWrap/>
            <w:hideMark/>
          </w:tcPr>
          <w:p w:rsidR="00F34B16" w:rsidRPr="00AF0447" w:rsidP="00F34B16" w14:paraId="0E694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$0.00 </w:t>
            </w:r>
          </w:p>
        </w:tc>
        <w:tc>
          <w:tcPr>
            <w:tcW w:w="1493" w:type="dxa"/>
            <w:noWrap/>
            <w:hideMark/>
          </w:tcPr>
          <w:p w:rsidR="00F34B16" w:rsidRPr="00AF0447" w:rsidP="00F34B16" w14:paraId="7790AE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$2,823,120.60 </w:t>
            </w:r>
          </w:p>
        </w:tc>
        <w:tc>
          <w:tcPr>
            <w:tcW w:w="1105" w:type="dxa"/>
            <w:noWrap/>
            <w:hideMark/>
          </w:tcPr>
          <w:p w:rsidR="00F34B16" w:rsidRPr="00AF0447" w:rsidP="00F34B16" w14:paraId="048D4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39,757.76</w:t>
            </w:r>
          </w:p>
        </w:tc>
        <w:tc>
          <w:tcPr>
            <w:tcW w:w="1493" w:type="dxa"/>
            <w:noWrap/>
            <w:hideMark/>
          </w:tcPr>
          <w:p w:rsidR="00F34B16" w:rsidRPr="00AF0447" w:rsidP="00F34B16" w14:paraId="3A8ED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AF0447">
              <w:rPr>
                <w:rFonts w:cstheme="minorHAnsi"/>
                <w:b/>
                <w:bCs/>
                <w:sz w:val="20"/>
                <w:szCs w:val="20"/>
              </w:rPr>
              <w:t xml:space="preserve">$5,578,486.09 </w:t>
            </w:r>
          </w:p>
        </w:tc>
      </w:tr>
    </w:tbl>
    <w:p w:rsidR="00C028B9" w:rsidP="00C028B9" w14:paraId="21E9F6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8545D4" w:rsidRPr="00AD7EDE" w:rsidP="008545D4" w14:paraId="33334D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AD7EDE">
        <w:rPr>
          <w:rFonts w:cstheme="minorHAnsi"/>
          <w:b/>
          <w:bCs/>
        </w:rPr>
        <w:t xml:space="preserve">Summary Table – Total Average Annual </w:t>
      </w:r>
      <w:r w:rsidRPr="006C1494">
        <w:rPr>
          <w:rFonts w:cstheme="minorHAnsi"/>
          <w:b/>
          <w:bCs/>
        </w:rPr>
        <w:t>Burden Hours and Cost</w:t>
      </w:r>
      <w:r>
        <w:rPr>
          <w:rFonts w:cstheme="minorHAnsi"/>
          <w:b/>
          <w:bCs/>
        </w:rPr>
        <w:t xml:space="preserve"> – All Respondents</w:t>
      </w:r>
    </w:p>
    <w:tbl>
      <w:tblPr>
        <w:tblStyle w:val="TableGrid"/>
        <w:tblW w:w="0" w:type="auto"/>
        <w:tblLook w:val="04A0"/>
      </w:tblPr>
      <w:tblGrid>
        <w:gridCol w:w="2649"/>
        <w:gridCol w:w="1379"/>
        <w:gridCol w:w="1339"/>
        <w:gridCol w:w="1219"/>
        <w:gridCol w:w="1330"/>
        <w:gridCol w:w="1434"/>
      </w:tblGrid>
      <w:tr w14:paraId="7305D1C0" w14:textId="77777777" w:rsidTr="008545D4">
        <w:tblPrEx>
          <w:tblW w:w="0" w:type="auto"/>
          <w:tblLook w:val="04A0"/>
        </w:tblPrEx>
        <w:tc>
          <w:tcPr>
            <w:tcW w:w="2649" w:type="dxa"/>
            <w:shd w:val="clear" w:color="auto" w:fill="F2F2F2" w:themeFill="background1" w:themeFillShade="F2"/>
            <w:vAlign w:val="center"/>
          </w:tcPr>
          <w:p w:rsidR="008545D4" w:rsidP="00A4021E" w14:paraId="52370DCE"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eastAsiaTheme="minorEastAsia" w:cstheme="minorHAnsi"/>
              </w:rPr>
              <w:t>IC</w:t>
            </w:r>
          </w:p>
        </w:tc>
        <w:tc>
          <w:tcPr>
            <w:tcW w:w="1379" w:type="dxa"/>
            <w:shd w:val="clear" w:color="auto" w:fill="F2F2F2" w:themeFill="background1" w:themeFillShade="F2"/>
            <w:vAlign w:val="center"/>
          </w:tcPr>
          <w:p w:rsidR="008545D4" w:rsidP="00A4021E" w14:paraId="251987A2"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Respondents</w:t>
            </w:r>
          </w:p>
        </w:tc>
        <w:tc>
          <w:tcPr>
            <w:tcW w:w="1339" w:type="dxa"/>
            <w:shd w:val="clear" w:color="auto" w:fill="F2F2F2" w:themeFill="background1" w:themeFillShade="F2"/>
            <w:vAlign w:val="center"/>
          </w:tcPr>
          <w:p w:rsidR="008545D4" w:rsidP="00A4021E" w14:paraId="5F7505A0"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Responses</w:t>
            </w:r>
          </w:p>
        </w:tc>
        <w:tc>
          <w:tcPr>
            <w:tcW w:w="1219" w:type="dxa"/>
            <w:shd w:val="clear" w:color="auto" w:fill="F2F2F2" w:themeFill="background1" w:themeFillShade="F2"/>
            <w:vAlign w:val="center"/>
          </w:tcPr>
          <w:p w:rsidR="008545D4" w:rsidP="00A4021E" w14:paraId="2765B8AC"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Burden Hours</w:t>
            </w:r>
          </w:p>
        </w:tc>
        <w:tc>
          <w:tcPr>
            <w:tcW w:w="1330" w:type="dxa"/>
            <w:shd w:val="clear" w:color="auto" w:fill="F2F2F2" w:themeFill="background1" w:themeFillShade="F2"/>
            <w:vAlign w:val="center"/>
          </w:tcPr>
          <w:p w:rsidR="008545D4" w:rsidP="00A4021E" w14:paraId="046A6765"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Non-Labor Costs</w:t>
            </w:r>
          </w:p>
        </w:tc>
        <w:tc>
          <w:tcPr>
            <w:tcW w:w="1434" w:type="dxa"/>
            <w:shd w:val="clear" w:color="auto" w:fill="F2F2F2" w:themeFill="background1" w:themeFillShade="F2"/>
            <w:vAlign w:val="center"/>
          </w:tcPr>
          <w:p w:rsidR="008545D4" w:rsidP="00A4021E" w14:paraId="010D370E"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center"/>
              <w:rPr>
                <w:rFonts w:cstheme="minorHAnsi"/>
              </w:rPr>
            </w:pPr>
            <w:r>
              <w:rPr>
                <w:rFonts w:cstheme="minorHAnsi"/>
              </w:rPr>
              <w:t>Total Costs</w:t>
            </w:r>
          </w:p>
        </w:tc>
      </w:tr>
      <w:tr w14:paraId="57D7195A" w14:textId="77777777" w:rsidTr="008545D4">
        <w:tblPrEx>
          <w:tblW w:w="0" w:type="auto"/>
          <w:tblLook w:val="04A0"/>
        </w:tblPrEx>
        <w:tc>
          <w:tcPr>
            <w:tcW w:w="2649" w:type="dxa"/>
          </w:tcPr>
          <w:p w:rsidR="008545D4" w:rsidP="00A4021E" w14:paraId="414C9F66" w14:textId="545D5E2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 xml:space="preserve">IC 1 – </w:t>
            </w:r>
            <w:r w:rsidRPr="008545D4">
              <w:rPr>
                <w:rFonts w:cstheme="minorHAnsi"/>
              </w:rPr>
              <w:t>Existing Burden - Requirements for Boilers and Furnaces: General Hazardous Waste Facility Standards, Specific Unit Requirements and Part B Permit Application and Modification Requirements</w:t>
            </w:r>
          </w:p>
        </w:tc>
        <w:tc>
          <w:tcPr>
            <w:tcW w:w="1379" w:type="dxa"/>
            <w:vAlign w:val="bottom"/>
          </w:tcPr>
          <w:p w:rsidR="008545D4" w:rsidP="00A4021E" w14:paraId="338BD99B" w14:textId="1FF2DF50">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36</w:t>
            </w:r>
          </w:p>
        </w:tc>
        <w:tc>
          <w:tcPr>
            <w:tcW w:w="1339" w:type="dxa"/>
            <w:vAlign w:val="bottom"/>
          </w:tcPr>
          <w:p w:rsidR="008545D4" w:rsidP="00A4021E" w14:paraId="1727E913" w14:textId="2AF6198E">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900</w:t>
            </w:r>
          </w:p>
        </w:tc>
        <w:tc>
          <w:tcPr>
            <w:tcW w:w="1219" w:type="dxa"/>
            <w:vAlign w:val="bottom"/>
          </w:tcPr>
          <w:p w:rsidR="008545D4" w:rsidP="00A4021E" w14:paraId="7125489A" w14:textId="12411E3C">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Pr>
                <w:rFonts w:cstheme="minorHAnsi"/>
              </w:rPr>
              <w:t>39,758</w:t>
            </w:r>
          </w:p>
        </w:tc>
        <w:tc>
          <w:tcPr>
            <w:tcW w:w="1330" w:type="dxa"/>
            <w:vAlign w:val="bottom"/>
          </w:tcPr>
          <w:p w:rsidR="008545D4" w:rsidP="00A4021E" w14:paraId="3E5F3FD2" w14:textId="153A4A7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sidRPr="008545D4">
              <w:rPr>
                <w:rFonts w:cstheme="minorHAnsi"/>
              </w:rPr>
              <w:t>$2,823,12</w:t>
            </w:r>
            <w:r w:rsidRPr="008545D4">
              <w:rPr>
                <w:rFonts w:cstheme="minorHAnsi"/>
              </w:rPr>
              <w:t>1</w:t>
            </w:r>
          </w:p>
        </w:tc>
        <w:tc>
          <w:tcPr>
            <w:tcW w:w="1434" w:type="dxa"/>
            <w:vAlign w:val="bottom"/>
          </w:tcPr>
          <w:p w:rsidR="008545D4" w:rsidP="00A4021E" w14:paraId="67202923" w14:textId="37E71C99">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rPr>
            </w:pPr>
            <w:r w:rsidRPr="008545D4">
              <w:rPr>
                <w:rFonts w:cstheme="minorHAnsi"/>
              </w:rPr>
              <w:t>$5,578,486</w:t>
            </w:r>
          </w:p>
        </w:tc>
      </w:tr>
      <w:tr w14:paraId="79EF6660" w14:textId="77777777" w:rsidTr="008545D4">
        <w:tblPrEx>
          <w:tblW w:w="0" w:type="auto"/>
          <w:tblLook w:val="04A0"/>
        </w:tblPrEx>
        <w:tc>
          <w:tcPr>
            <w:tcW w:w="2649" w:type="dxa"/>
          </w:tcPr>
          <w:p w:rsidR="008545D4" w:rsidRPr="003E5A92" w:rsidP="008545D4" w14:paraId="3FC7B221"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3E5A92">
              <w:rPr>
                <w:rFonts w:cstheme="minorHAnsi"/>
                <w:b/>
                <w:bCs/>
              </w:rPr>
              <w:t>TOTAL</w:t>
            </w:r>
          </w:p>
        </w:tc>
        <w:tc>
          <w:tcPr>
            <w:tcW w:w="1379" w:type="dxa"/>
            <w:vAlign w:val="bottom"/>
          </w:tcPr>
          <w:p w:rsidR="008545D4" w:rsidRPr="008545D4" w:rsidP="008545D4" w14:paraId="6B097620" w14:textId="4CD7289C">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8545D4">
              <w:rPr>
                <w:rFonts w:cstheme="minorHAnsi"/>
                <w:b/>
                <w:bCs/>
              </w:rPr>
              <w:t>36</w:t>
            </w:r>
          </w:p>
        </w:tc>
        <w:tc>
          <w:tcPr>
            <w:tcW w:w="1339" w:type="dxa"/>
            <w:vAlign w:val="bottom"/>
          </w:tcPr>
          <w:p w:rsidR="008545D4" w:rsidRPr="008545D4" w:rsidP="008545D4" w14:paraId="6505972B" w14:textId="5CF1920C">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8545D4">
              <w:rPr>
                <w:rFonts w:cstheme="minorHAnsi"/>
                <w:b/>
                <w:bCs/>
              </w:rPr>
              <w:t>900</w:t>
            </w:r>
          </w:p>
        </w:tc>
        <w:tc>
          <w:tcPr>
            <w:tcW w:w="1219" w:type="dxa"/>
            <w:vAlign w:val="bottom"/>
          </w:tcPr>
          <w:p w:rsidR="008545D4" w:rsidRPr="008545D4" w:rsidP="008545D4" w14:paraId="22853C0B" w14:textId="5C4CA88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8545D4">
              <w:rPr>
                <w:rFonts w:cstheme="minorHAnsi"/>
                <w:b/>
                <w:bCs/>
              </w:rPr>
              <w:t>39,758</w:t>
            </w:r>
          </w:p>
        </w:tc>
        <w:tc>
          <w:tcPr>
            <w:tcW w:w="1330" w:type="dxa"/>
            <w:vAlign w:val="bottom"/>
          </w:tcPr>
          <w:p w:rsidR="008545D4" w:rsidRPr="008545D4" w:rsidP="008545D4" w14:paraId="6C5D294A" w14:textId="46EFE0F2">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8545D4">
              <w:rPr>
                <w:rFonts w:cstheme="minorHAnsi"/>
                <w:b/>
                <w:bCs/>
              </w:rPr>
              <w:t>$2,823,121</w:t>
            </w:r>
          </w:p>
        </w:tc>
        <w:tc>
          <w:tcPr>
            <w:tcW w:w="1434" w:type="dxa"/>
            <w:vAlign w:val="bottom"/>
          </w:tcPr>
          <w:p w:rsidR="008545D4" w:rsidRPr="008545D4" w:rsidP="008545D4" w14:paraId="4D05FE08" w14:textId="32A9D3E8">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rFonts w:cstheme="minorHAnsi"/>
                <w:b/>
                <w:bCs/>
              </w:rPr>
            </w:pPr>
            <w:r w:rsidRPr="008545D4">
              <w:rPr>
                <w:rFonts w:cstheme="minorHAnsi"/>
                <w:b/>
                <w:bCs/>
              </w:rPr>
              <w:t>$5,578,486</w:t>
            </w:r>
          </w:p>
        </w:tc>
      </w:tr>
    </w:tbl>
    <w:p w:rsidR="008545D4" w:rsidRPr="00EB6D36" w:rsidP="00C028B9" w14:paraId="61CDE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BB2B15" w:rsidRPr="00EB6D36" w:rsidP="00854AAE" w14:paraId="2DFB848E" w14:textId="77777777">
      <w:pPr>
        <w:pStyle w:val="ListParagraph"/>
        <w:numPr>
          <w:ilvl w:val="0"/>
          <w:numId w:val="25"/>
        </w:numPr>
        <w:spacing w:before="240" w:after="0"/>
        <w:rPr>
          <w:rFonts w:cstheme="minorHAnsi"/>
          <w:b/>
          <w:bCs/>
          <w:caps/>
        </w:rPr>
      </w:pPr>
      <w:r w:rsidRPr="00EB6D36">
        <w:rPr>
          <w:rFonts w:cstheme="minorHAnsi"/>
          <w:b/>
          <w:bCs/>
          <w:caps/>
        </w:rPr>
        <w:t>Respondent</w:t>
      </w:r>
      <w:r w:rsidRPr="00EB6D36" w:rsidR="009A09EC">
        <w:rPr>
          <w:rFonts w:cstheme="minorHAnsi"/>
          <w:b/>
          <w:bCs/>
          <w:caps/>
        </w:rPr>
        <w:t xml:space="preserve"> </w:t>
      </w:r>
      <w:r w:rsidRPr="00EB6D36" w:rsidR="00D17BB9">
        <w:rPr>
          <w:rFonts w:cstheme="minorHAnsi"/>
          <w:b/>
          <w:bCs/>
          <w:caps/>
        </w:rPr>
        <w:t xml:space="preserve">CAPITAL AND O&amp;m </w:t>
      </w:r>
      <w:r w:rsidRPr="00EB6D36" w:rsidR="004E3CB0">
        <w:rPr>
          <w:rFonts w:cstheme="minorHAnsi"/>
          <w:b/>
          <w:bCs/>
          <w:caps/>
        </w:rPr>
        <w:t>Cost</w:t>
      </w:r>
      <w:r w:rsidRPr="00EB6D36" w:rsidR="00D17BB9">
        <w:rPr>
          <w:rFonts w:cstheme="minorHAnsi"/>
          <w:b/>
          <w:bCs/>
          <w:caps/>
        </w:rPr>
        <w:t>S</w:t>
      </w:r>
      <w:bookmarkEnd w:id="20"/>
      <w:r w:rsidRPr="00EB6D36" w:rsidR="004E3CB0">
        <w:rPr>
          <w:rFonts w:cstheme="minorHAnsi"/>
          <w:b/>
          <w:bCs/>
          <w:caps/>
        </w:rPr>
        <w:t xml:space="preserve"> </w:t>
      </w:r>
    </w:p>
    <w:p w:rsidR="00F92596" w:rsidRPr="00EB6D36" w:rsidP="00F92596" w14:paraId="2518FF66" w14:textId="77777777">
      <w:pPr>
        <w:spacing w:after="0" w:line="240" w:lineRule="auto"/>
        <w:rPr>
          <w:rFonts w:cstheme="minorHAnsi"/>
          <w:i/>
          <w:iCs/>
        </w:rPr>
      </w:pPr>
      <w:r w:rsidRPr="00EB6D3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EB6D36" w:rsidP="00163C69" w14:paraId="4B0AAE4A" w14:textId="77777777">
      <w:pPr>
        <w:spacing w:before="120" w:after="0" w:line="240" w:lineRule="auto"/>
        <w:rPr>
          <w:rFonts w:cstheme="minorHAnsi"/>
          <w:i/>
          <w:iCs/>
        </w:rPr>
      </w:pPr>
      <w:r w:rsidRPr="00EB6D36">
        <w:rPr>
          <w:rFonts w:cstheme="minorHAnsi"/>
          <w:i/>
          <w:iCs/>
        </w:rPr>
        <w:t>The cost estimate should be split into two components: (a) a total capital and start-up cost</w:t>
      </w:r>
    </w:p>
    <w:p w:rsidR="00F92596" w:rsidRPr="00EB6D36" w:rsidP="00F92596" w14:paraId="73CD3C99" w14:textId="77777777">
      <w:pPr>
        <w:spacing w:after="0" w:line="240" w:lineRule="auto"/>
        <w:rPr>
          <w:rFonts w:cstheme="minorHAnsi"/>
          <w:i/>
          <w:iCs/>
        </w:rPr>
      </w:pPr>
      <w:r w:rsidRPr="00EB6D3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EB6D36" w:rsidP="00163C69" w14:paraId="239AB31E" w14:textId="77777777">
      <w:pPr>
        <w:spacing w:line="240" w:lineRule="auto"/>
        <w:rPr>
          <w:rFonts w:cstheme="minorHAnsi"/>
          <w:i/>
          <w:iCs/>
        </w:rPr>
      </w:pPr>
      <w:r w:rsidRPr="00EB6D3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EB6D36" w:rsidP="00163C69" w14:paraId="00D6515B" w14:textId="77777777">
      <w:pPr>
        <w:pBdr>
          <w:bottom w:val="single" w:sz="4" w:space="1" w:color="auto"/>
        </w:pBdr>
        <w:spacing w:line="240" w:lineRule="auto"/>
        <w:rPr>
          <w:rFonts w:cstheme="minorHAnsi"/>
          <w:i/>
          <w:iCs/>
        </w:rPr>
      </w:pPr>
      <w:r w:rsidRPr="00EB6D3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4425" w:rsidRPr="00EB6D36" w:rsidP="003B4425" w14:paraId="73A3622F" w14:textId="02EFA84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21" w:name="_Toc156593387"/>
      <w:r w:rsidRPr="00EB6D36">
        <w:rPr>
          <w:rFonts w:cstheme="minorHAnsi"/>
        </w:rPr>
        <w:tab/>
        <w:t xml:space="preserve">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w:t>
      </w:r>
    </w:p>
    <w:p w:rsidR="003B4425" w:rsidRPr="00EB6D36" w:rsidP="003B4425" w14:paraId="70C66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rsidR="003B4425" w:rsidRPr="00EB6D36" w:rsidP="003B4425" w14:paraId="41B30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Mailing or long-distance phone call (estimated at $4.40 per response);</w:t>
      </w:r>
    </w:p>
    <w:p w:rsidR="003B4425" w:rsidRPr="00EB6D36" w:rsidP="003B4425" w14:paraId="0CA40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Photocopying and document storage overhead (estimated at $.15 per page); and</w:t>
      </w:r>
    </w:p>
    <w:p w:rsidR="003B4425" w:rsidRPr="00EB6D36" w:rsidP="003B4425" w14:paraId="0BB94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EB6D36">
        <w:rPr>
          <w:rFonts w:cstheme="minorHAnsi"/>
        </w:rPr>
        <w:t>•</w:t>
      </w:r>
      <w:r w:rsidRPr="00EB6D36">
        <w:rPr>
          <w:rFonts w:cstheme="minorHAnsi"/>
        </w:rPr>
        <w:tab/>
        <w:t>Laboratory analysis (varies).</w:t>
      </w:r>
    </w:p>
    <w:p w:rsidR="003B4425" w:rsidRPr="00EB6D36" w:rsidP="003B4425" w14:paraId="5F133D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r w:rsidRPr="00BE43EC">
        <w:rPr>
          <w:rStyle w:val="footnoteref0"/>
          <w:rFonts w:cstheme="minorHAnsi"/>
          <w:b/>
          <w:bCs/>
          <w:sz w:val="22"/>
          <w:vertAlign w:val="baseline"/>
        </w:rPr>
        <w:t>The total annualized capital/start-up cost is $0 and the O&amp;M is $2,823,121.</w:t>
      </w:r>
      <w:r w:rsidRPr="00EB6D36">
        <w:rPr>
          <w:rStyle w:val="footnoteref0"/>
          <w:rFonts w:cstheme="minorHAnsi"/>
          <w:sz w:val="22"/>
          <w:vertAlign w:val="baseline"/>
        </w:rPr>
        <w:t xml:space="preserve">  For additional information please see the excel sheet for calculations and a detailed breakdown.</w:t>
      </w:r>
    </w:p>
    <w:p w:rsidR="00023EFE" w:rsidRPr="00EB6D36" w:rsidP="00854AAE" w14:paraId="2D07D644" w14:textId="77777777">
      <w:pPr>
        <w:pStyle w:val="ListParagraph"/>
        <w:numPr>
          <w:ilvl w:val="0"/>
          <w:numId w:val="25"/>
        </w:numPr>
        <w:pBdr>
          <w:bottom w:val="single" w:sz="4" w:space="1" w:color="auto"/>
        </w:pBdr>
        <w:spacing w:before="240" w:after="0"/>
        <w:rPr>
          <w:rFonts w:cstheme="minorHAnsi"/>
          <w:b/>
          <w:bCs/>
        </w:rPr>
      </w:pPr>
      <w:r w:rsidRPr="00EB6D36">
        <w:rPr>
          <w:rFonts w:cstheme="minorHAnsi"/>
          <w:b/>
          <w:bCs/>
        </w:rPr>
        <w:t xml:space="preserve">AGENCY </w:t>
      </w:r>
      <w:bookmarkStart w:id="22" w:name="_Toc156593388"/>
      <w:bookmarkEnd w:id="21"/>
      <w:r w:rsidRPr="00EB6D36" w:rsidR="00BB2B15">
        <w:rPr>
          <w:rFonts w:cstheme="minorHAnsi"/>
          <w:b/>
          <w:bCs/>
        </w:rPr>
        <w:t>COSTS</w:t>
      </w:r>
    </w:p>
    <w:p w:rsidR="001F0834" w:rsidRPr="00EB6D36" w:rsidP="00854AAE" w14:paraId="20B3A6D4" w14:textId="77777777">
      <w:pPr>
        <w:pBdr>
          <w:bottom w:val="single" w:sz="4" w:space="1" w:color="auto"/>
        </w:pBdr>
        <w:rPr>
          <w:rFonts w:cstheme="minorHAnsi"/>
          <w:bCs/>
          <w:i/>
          <w:iCs/>
        </w:rPr>
      </w:pPr>
      <w:r w:rsidRPr="00EB6D36">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EB6D36" w:rsidP="00854AAE" w14:paraId="2713C85E" w14:textId="77777777">
      <w:pPr>
        <w:spacing w:before="120" w:after="0"/>
        <w:rPr>
          <w:rFonts w:cstheme="minorHAnsi"/>
          <w:b/>
          <w:bCs/>
        </w:rPr>
      </w:pPr>
      <w:r w:rsidRPr="00EB6D36">
        <w:rPr>
          <w:rFonts w:eastAsiaTheme="majorEastAsia" w:cstheme="minorHAnsi"/>
          <w:b/>
          <w:bCs/>
        </w:rPr>
        <w:t xml:space="preserve">14a. </w:t>
      </w:r>
      <w:r w:rsidRPr="00EB6D36" w:rsidR="00BB2B15">
        <w:rPr>
          <w:rFonts w:eastAsiaTheme="majorEastAsia" w:cstheme="minorHAnsi"/>
          <w:b/>
          <w:bCs/>
        </w:rPr>
        <w:t>Agency Activities</w:t>
      </w:r>
    </w:p>
    <w:p w:rsidR="009A0379" w:rsidP="009A0379" w14:paraId="678FDB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9A0379" w:rsidRPr="00317BAA" w:rsidP="009A0379" w14:paraId="2A6C9E85" w14:textId="23C56A6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General Facility Operating Requirements</w:t>
      </w:r>
    </w:p>
    <w:p w:rsidR="009A0379" w:rsidRPr="00317BAA" w:rsidP="009A0379" w14:paraId="353D8A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The requirements for the foreign shipment import report state that owners or operators must notify the Regional Administrator of the anticipated collection of hazardous waste.  In turn, the Agency must review the information included in the notification.  EPA also performs on-site review of facility inspection records.</w:t>
      </w:r>
    </w:p>
    <w:p w:rsidR="009A0379" w:rsidRPr="00317BAA" w:rsidP="009A0379" w14:paraId="7FDD5B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Recordkeeping Requirements</w:t>
      </w:r>
    </w:p>
    <w:p w:rsidR="009A0379" w:rsidRPr="00317BAA" w:rsidP="009A0379" w14:paraId="2F15B3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Only one Agency activity is associated with the operating record requirements:  on-site review of the record.  </w:t>
      </w:r>
    </w:p>
    <w:p w:rsidR="009A0379" w:rsidRPr="00317BAA" w:rsidP="009A0379" w14:paraId="7B551B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Contingency Plan and Emergency Procedures</w:t>
      </w:r>
    </w:p>
    <w:p w:rsidR="009A0379" w:rsidRPr="00317BAA" w:rsidP="009A0379" w14:paraId="5F60C6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Contingency Plan</w:t>
      </w:r>
    </w:p>
    <w:p w:rsidR="009A0379" w:rsidRPr="00317BAA" w:rsidP="009A0379" w14:paraId="2C43473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One Agency activity is associated with the development and amendment of the contingency plan:  reviewing the contingency plan during on-site inspections.</w:t>
      </w:r>
    </w:p>
    <w:p w:rsidR="009A0379" w:rsidRPr="00317BAA" w:rsidP="009A0379" w14:paraId="0AB6B2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Emergency Reporting Requirements</w:t>
      </w:r>
    </w:p>
    <w:p w:rsidR="009A0379" w:rsidRPr="00317BAA" w:rsidP="009A0379" w14:paraId="4F9732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emergency reporting requirements include reviewing documents in the owners' or operators' and emergency coordinators' emergency reports. </w:t>
      </w:r>
    </w:p>
    <w:p w:rsidR="009A0379" w:rsidRPr="00317BAA" w:rsidP="009A0379" w14:paraId="4FB156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Closure Requirements</w:t>
      </w:r>
    </w:p>
    <w:p w:rsidR="009A0379" w:rsidRPr="00317BAA" w:rsidP="009A0379" w14:paraId="49A0C4B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regulations promulgated in 40 </w:t>
      </w:r>
      <w:r w:rsidRPr="00317BAA">
        <w:rPr>
          <w:rFonts w:cstheme="minorHAnsi"/>
          <w:u w:val="single"/>
        </w:rPr>
        <w:t>CFR</w:t>
      </w:r>
      <w:r w:rsidRPr="00317BAA">
        <w:rPr>
          <w:rFonts w:cstheme="minorHAnsi"/>
        </w:rPr>
        <w:t>, Parts 264 and 265, Subpart G, include reviewing the following data items:</w:t>
      </w:r>
    </w:p>
    <w:p w:rsidR="009A0379" w:rsidRPr="00317BAA" w:rsidP="009A0379" w14:paraId="18DC6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plans;</w:t>
      </w:r>
    </w:p>
    <w:p w:rsidR="009A0379" w:rsidRPr="00317BAA" w:rsidP="009A0379" w14:paraId="5B4EC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plan amendment notifications;</w:t>
      </w:r>
    </w:p>
    <w:p w:rsidR="009A0379" w:rsidRPr="00317BAA" w:rsidP="009A0379" w14:paraId="788D9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Partial/final closure notifications;</w:t>
      </w:r>
    </w:p>
    <w:p w:rsidR="009A0379" w:rsidRPr="00317BAA" w:rsidP="009A0379" w14:paraId="6C07C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Demonstrations for closure extensions and allowances; and</w:t>
      </w:r>
    </w:p>
    <w:p w:rsidR="009A0379" w:rsidRPr="00317BAA" w:rsidP="009A0379" w14:paraId="01A3F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317BAA">
        <w:rPr>
          <w:rFonts w:cstheme="minorHAnsi"/>
        </w:rPr>
        <w:t>•</w:t>
      </w:r>
      <w:r w:rsidRPr="00317BAA">
        <w:rPr>
          <w:rFonts w:cstheme="minorHAnsi"/>
        </w:rPr>
        <w:tab/>
        <w:t>Closure certifications.</w:t>
      </w:r>
    </w:p>
    <w:p w:rsidR="009A0379" w:rsidRPr="00317BAA" w:rsidP="009A0379" w14:paraId="71B70D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Financial Requirements</w:t>
      </w:r>
    </w:p>
    <w:p w:rsidR="009A0379" w:rsidRPr="00317BAA" w:rsidP="009A0379" w14:paraId="4F9FD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EPA uses the cost estimates and financial assurance mechanisms to ensure compliance with Subpart H.  In the event that an owner or operator is unable or unwilling to perform closure activities or to pay third-party damages, EPA will draw upon the mechanisms.  The cost estimates are normally retained by the owner or operator during interim status; they are submitted to the Region or authorized State as part of the permit process.</w:t>
      </w:r>
    </w:p>
    <w:p w:rsidR="009A0379" w:rsidRPr="00317BAA" w:rsidP="009A0379" w14:paraId="0F0F854E" w14:textId="1EF98A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The financial assurance instruments for closure care and liability coverage, with standard wording, are submitted by the owner or operator (or the third-party financial entity) to the Region or authorized State that serves the area where the facility is located.  These submissions must be made by the effective date of the regulations for existing facilities -- </w:t>
      </w:r>
      <w:smartTag w:uri="urn:schemas-microsoft-com:office:smarttags" w:element="date">
        <w:smartTagPr>
          <w:attr w:name="Day" w:val="6"/>
          <w:attr w:name="Month" w:val="7"/>
          <w:attr w:name="Year" w:val="1982"/>
        </w:smartTagPr>
        <w:r w:rsidRPr="00317BAA">
          <w:rPr>
            <w:rFonts w:cstheme="minorHAnsi"/>
          </w:rPr>
          <w:t>July 6, 1982</w:t>
        </w:r>
      </w:smartTag>
      <w:r w:rsidRPr="00317BAA">
        <w:rPr>
          <w:rFonts w:cstheme="minorHAnsi"/>
        </w:rPr>
        <w:t xml:space="preserve"> (Assurance) and </w:t>
      </w:r>
      <w:smartTag w:uri="urn:schemas-microsoft-com:office:smarttags" w:element="date">
        <w:smartTagPr>
          <w:attr w:name="Day" w:val="15"/>
          <w:attr w:name="Month" w:val="7"/>
          <w:attr w:name="Year" w:val="1982"/>
        </w:smartTagPr>
        <w:r w:rsidRPr="00317BAA">
          <w:rPr>
            <w:rFonts w:cstheme="minorHAnsi"/>
          </w:rPr>
          <w:t>July 15, 1982</w:t>
        </w:r>
      </w:smartTag>
      <w:r w:rsidRPr="00317BAA">
        <w:rPr>
          <w:rFonts w:cstheme="minorHAnsi"/>
        </w:rPr>
        <w:t xml:space="preserve"> (Liability) -- and sixty days before the initial receipt of hazardous wastes at new facilities.  There was a phase-in period for non</w:t>
      </w:r>
      <w:r w:rsidR="00707CC4">
        <w:rPr>
          <w:rFonts w:cstheme="minorHAnsi"/>
        </w:rPr>
        <w:t>-</w:t>
      </w:r>
      <w:r w:rsidRPr="00317BAA">
        <w:rPr>
          <w:rFonts w:cstheme="minorHAnsi"/>
        </w:rPr>
        <w:t xml:space="preserve">sudden coverage for existing facilities.  January 16, </w:t>
      </w:r>
      <w:r w:rsidRPr="00317BAA" w:rsidR="00707CC4">
        <w:rPr>
          <w:rFonts w:cstheme="minorHAnsi"/>
        </w:rPr>
        <w:t>1985,</w:t>
      </w:r>
      <w:r w:rsidRPr="00317BAA">
        <w:rPr>
          <w:rFonts w:cstheme="minorHAnsi"/>
        </w:rPr>
        <w:t xml:space="preserve"> was the final phase-in date.</w:t>
      </w:r>
    </w:p>
    <w:p w:rsidR="009A0379" w:rsidRPr="00317BAA" w:rsidP="009A0379" w14:paraId="161FF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When financial assurance information is submitted, EPA conducts a review for completeness, then enters the information into the RCRAInfo database.  The EPA Regional or State offices establish a file for each applicant that contains the submissions.  The financial instruments are maintained in a secure area.</w:t>
      </w:r>
    </w:p>
    <w:p w:rsidR="009A0379" w:rsidRPr="00317BAA" w:rsidP="009A0379" w14:paraId="4660C6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9A0379" w:rsidRPr="00317BAA" w:rsidP="009A0379" w14:paraId="6D8AE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Conditions Applicable to All Permits</w:t>
      </w:r>
    </w:p>
    <w:p w:rsidR="009A0379" w:rsidRPr="00317BAA" w:rsidP="009A0379" w14:paraId="4E4AA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9A0379" w:rsidRPr="00317BAA" w:rsidP="009A0379" w14:paraId="79F8C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i/>
        </w:rPr>
        <w:t>SPECIFIC UNIT REQUIREMENTS FOR BIFs</w:t>
      </w:r>
    </w:p>
    <w:p w:rsidR="009A0379" w:rsidRPr="00317BAA" w:rsidP="009A0379" w14:paraId="1E930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Exemptions from the BIF Regulations</w:t>
      </w:r>
    </w:p>
    <w:p w:rsidR="009A0379" w:rsidRPr="00317BAA" w:rsidP="009A0379" w14:paraId="3EF75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Exemptions for Metal Recovery Furnaces</w:t>
      </w:r>
    </w:p>
    <w:p w:rsidR="009A0379" w:rsidRPr="00317BAA" w:rsidP="009A0379" w14:paraId="5D15C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demonstrations for exemptions from the boiler and industrial furnace regulations for metal recovery furnaces include reviewing and evaluating both the one-time notice submitted under section 266.100(c)(1)(i) and the one-time notice required by section 266.100(c)(3) submitted for a lead or nickel-chromium recovery furnace, or a metal recovery furnace </w:t>
      </w:r>
      <w:r w:rsidRPr="00317BAA">
        <w:rPr>
          <w:rFonts w:cstheme="minorHAnsi"/>
        </w:rPr>
        <w:t>that burns baghouse bags used to capture metallic dusts emitted by steel manufacturing.  In addition, the Agency must enter this information into a database.</w:t>
      </w:r>
    </w:p>
    <w:p w:rsidR="009A0379" w:rsidRPr="00317BAA" w:rsidP="009A0379" w14:paraId="64490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cstheme="minorHAnsi"/>
          <w:b/>
        </w:rPr>
      </w:pPr>
      <w:r w:rsidRPr="00317BAA">
        <w:rPr>
          <w:rFonts w:cstheme="minorHAnsi"/>
        </w:rPr>
        <w:tab/>
      </w:r>
      <w:r w:rsidRPr="00317BAA">
        <w:rPr>
          <w:rFonts w:cstheme="minorHAnsi"/>
          <w:b/>
        </w:rPr>
        <w:t>Exemptions For Lead Recovery Furnaces</w:t>
      </w:r>
      <w:r w:rsidRPr="00317BAA">
        <w:rPr>
          <w:rFonts w:cstheme="minorHAnsi"/>
        </w:rPr>
        <w:tab/>
      </w:r>
    </w:p>
    <w:p w:rsidR="009A0379" w:rsidRPr="00317BAA" w:rsidP="009A0379" w14:paraId="3F51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ab/>
      </w:r>
      <w:r w:rsidRPr="00317BAA">
        <w:rPr>
          <w:rFonts w:cstheme="minorHAnsi"/>
        </w:rPr>
        <w:t>Agency activities associated with demonstrations from the boiler and industrial furnace regulations for lead recovery furnaces include reviewing the one-time notice required by section 266.100(h).  In addition, the Agency must enter this information into a database.</w:t>
      </w:r>
    </w:p>
    <w:p w:rsidR="009A0379" w:rsidRPr="00317BAA" w:rsidP="009A0379" w14:paraId="19D0C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Exemptions For Smelting, Melting, and Refining Furnaces</w:t>
      </w:r>
    </w:p>
    <w:p w:rsidR="009A0379" w:rsidRPr="00317BAA" w:rsidP="009A0379" w14:paraId="59367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demonstrations for exemptions from the boiler and industrial furnace regulations for smelting, melting, and refining furnaces include reviewing and evaluating the one-time notice submitted under section 266.100(f) and entering this information into a database.</w:t>
      </w:r>
    </w:p>
    <w:p w:rsidR="009A0379" w:rsidRPr="00317BAA" w:rsidP="009A0379" w14:paraId="2F666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Small Quantity On-Site Burner Exemption</w:t>
      </w:r>
    </w:p>
    <w:p w:rsidR="009A0379" w:rsidRPr="00317BAA" w:rsidP="009A0379" w14:paraId="749825F9" w14:textId="3C14D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demonstrations for exemptions from the boiler and industrial furnace regulations for small quantity on-site burners include reviewing and evaluating the notification of qualification for the exemption provided by section </w:t>
      </w:r>
      <w:r w:rsidRPr="00317BAA" w:rsidR="00707CC4">
        <w:rPr>
          <w:rFonts w:cstheme="minorHAnsi"/>
        </w:rPr>
        <w:t>266.108(d) and</w:t>
      </w:r>
      <w:r w:rsidRPr="00317BAA">
        <w:rPr>
          <w:rFonts w:cstheme="minorHAnsi"/>
        </w:rPr>
        <w:t xml:space="preserve"> entering the information into a database.</w:t>
      </w:r>
    </w:p>
    <w:p w:rsidR="009A0379" w:rsidRPr="00317BAA" w:rsidP="009A0379" w14:paraId="6AC068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Permit Standards</w:t>
      </w:r>
    </w:p>
    <w:p w:rsidR="009A0379" w:rsidRPr="00317BAA" w:rsidP="009A0379" w14:paraId="399AB9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Monitoring and Inspections</w:t>
      </w:r>
    </w:p>
    <w:p w:rsidR="009A0379" w:rsidRPr="00317BAA" w:rsidP="009A0379" w14:paraId="445CB56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monitoring and inspections requirements for permitted burners, as specified in section 266.102(e)(8) and Appendix IX, sections 2 and 3, include reviewing data and results of tests and methods, reviewing requests for an alternative relative accuracy procedure, and evaluating the demonstration that weekly inspections of the hazardous waste feed cutoff system will unduly restrict or upset operations. In addition, EPA must enter this information into a database.  While other information collected as part of monitoring and inspections is not submitted to EPA, EPA may review such records during facility inspections.</w:t>
      </w:r>
    </w:p>
    <w:p w:rsidR="009A0379" w:rsidRPr="00317BAA" w:rsidP="009A0379" w14:paraId="459D566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Interim Status Standards</w:t>
      </w:r>
    </w:p>
    <w:p w:rsidR="009A0379" w:rsidRPr="00317BAA" w:rsidP="009A0379" w14:paraId="0CBBF82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Purpose, Scope, and Applicability</w:t>
      </w:r>
    </w:p>
    <w:p w:rsidR="009A0379" w:rsidRPr="00317BAA" w:rsidP="009A0379" w14:paraId="2AD9CBC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requirements specified in section 266.103(a) for interim status burners include reviewing and evaluating the documentation supporting an allowance for burning hazardous waste that has a heating value of less than 5,000 Btu/lb.  In addition, the Agency must enter this information into a database.</w:t>
      </w:r>
    </w:p>
    <w:p w:rsidR="009A0379" w:rsidRPr="00317BAA" w:rsidP="009A0379" w14:paraId="4CE16A2E" w14:textId="2EF68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Certification of Pre</w:t>
      </w:r>
      <w:r w:rsidR="00707CC4">
        <w:rPr>
          <w:rFonts w:cstheme="minorHAnsi"/>
          <w:b/>
        </w:rPr>
        <w:t>-</w:t>
      </w:r>
      <w:r w:rsidRPr="00317BAA">
        <w:rPr>
          <w:rFonts w:cstheme="minorHAnsi"/>
          <w:b/>
        </w:rPr>
        <w:t>compliance</w:t>
      </w:r>
    </w:p>
    <w:p w:rsidR="009A0379" w:rsidRPr="00317BAA" w:rsidP="009A0379" w14:paraId="3C2DD077" w14:textId="5F1F8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requirements for a certification of pre</w:t>
      </w:r>
      <w:r w:rsidR="00707CC4">
        <w:rPr>
          <w:rFonts w:cstheme="minorHAnsi"/>
        </w:rPr>
        <w:t>-</w:t>
      </w:r>
      <w:r w:rsidRPr="00317BAA">
        <w:rPr>
          <w:rFonts w:cstheme="minorHAnsi"/>
        </w:rPr>
        <w:t>compliance for interim status burners, as specified in section 266.103(b) and Appendix IX, section 9.4, include reviewing a record of all assumptions and calculations necessary to justify the air pollution control system removal efficiency used, and reviewing and evaluating the information associated with the certification of pre</w:t>
      </w:r>
      <w:r w:rsidR="00707CC4">
        <w:rPr>
          <w:rFonts w:cstheme="minorHAnsi"/>
        </w:rPr>
        <w:t>-</w:t>
      </w:r>
      <w:r w:rsidRPr="00317BAA">
        <w:rPr>
          <w:rFonts w:cstheme="minorHAnsi"/>
        </w:rPr>
        <w:t>compliance.  The Agency must also review and evaluate the limits and certification on operating conditions, the evidence of submittal of the public notice, the revised certification of pre</w:t>
      </w:r>
      <w:r w:rsidR="00707CC4">
        <w:rPr>
          <w:rFonts w:cstheme="minorHAnsi"/>
        </w:rPr>
        <w:t>-</w:t>
      </w:r>
      <w:r w:rsidRPr="00317BAA">
        <w:rPr>
          <w:rFonts w:cstheme="minorHAnsi"/>
        </w:rPr>
        <w:t>compliance, and the certification of pre</w:t>
      </w:r>
      <w:r w:rsidR="00707CC4">
        <w:rPr>
          <w:rFonts w:cstheme="minorHAnsi"/>
        </w:rPr>
        <w:t>-</w:t>
      </w:r>
      <w:r w:rsidRPr="00317BAA">
        <w:rPr>
          <w:rFonts w:cstheme="minorHAnsi"/>
        </w:rPr>
        <w:t xml:space="preserve">compliance statement.  In addition, the Agency must enter this information into a database. </w:t>
      </w:r>
    </w:p>
    <w:p w:rsidR="009A0379" w:rsidRPr="00317BAA" w:rsidP="009A0379" w14:paraId="44AEF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Certification of Compliance</w:t>
      </w:r>
    </w:p>
    <w:p w:rsidR="009A0379" w:rsidRPr="00317BAA" w:rsidP="009A0379" w14:paraId="5B0CB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requirements for a certification of compliance as specified in section 266.103(c) include reviewing and evaluating the limits on operating conditions, the notice of compliance testing, the information required in the certification of compliance, and the notification that the facility is operating under restricted interim status.  The Agency must also review and evaluate information supporting the use of compliance test data from a similar unit in lieu of performing compliance testing, demonstrations that the owner or operator made a good faith effort to operate a heated monitoring system, requests for a case-by-case extension, and revised certifications of compliance.  In addition, the Agency must enter this information into a database.</w:t>
      </w:r>
    </w:p>
    <w:p w:rsidR="009A0379" w:rsidRPr="00317BAA" w:rsidP="009A0379" w14:paraId="364A85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Periodic Recertifications</w:t>
      </w:r>
    </w:p>
    <w:p w:rsidR="009A0379" w:rsidRPr="00317BAA" w:rsidP="009A0379" w14:paraId="4D28C2F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periodic recertification for interim status burners as specified in section 266.103(d) include reviewing and evaluating the periodic recertification and entering this information into a database.</w:t>
      </w:r>
    </w:p>
    <w:p w:rsidR="009A0379" w:rsidRPr="00317BAA" w:rsidP="009A0379" w14:paraId="418F54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Fugitive Emissions</w:t>
      </w:r>
    </w:p>
    <w:p w:rsidR="009A0379" w:rsidRPr="00317BAA" w:rsidP="009A0379" w14:paraId="7BB3EDC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fugitive emissions requirements for interim status burners as specified in section 266.103(h) include reviewing and evaluating demonstrations for an alternate means of fugitive emissions control and entering this information into a database.</w:t>
      </w:r>
    </w:p>
    <w:p w:rsidR="009A0379" w:rsidRPr="00317BAA" w:rsidP="009A0379" w14:paraId="040B6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Monitoring and Inspections</w:t>
      </w:r>
    </w:p>
    <w:p w:rsidR="009A0379" w:rsidRPr="00317BAA" w:rsidP="009A0379" w14:paraId="5212A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monitoring and inspection requirements for interim status burners, as specified in section 266.103(j) and Appendix IX, sections 2 and 3, include reviewing data and results of tests and methods, reviewing requests for an alternative relative accuracy procedure, and reviewing and evaluating demonstrations that weekly inspections of the hazardous waste feed cutoff system will unduly restrict or upset operations.  In addition, this information must be entered into a database.  While other information collected as part of monitoring and inspections is not submitted to EPA, EPA may review such records during facility inspections.</w:t>
      </w:r>
    </w:p>
    <w:p w:rsidR="009A0379" w:rsidRPr="00317BAA" w:rsidP="009A0379" w14:paraId="15ECB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Standards to Control Organic Emissions</w:t>
      </w:r>
    </w:p>
    <w:p w:rsidR="009A0379" w:rsidRPr="00317BAA" w:rsidP="009A0379" w14:paraId="200E5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standards to control organic emissions as specified in section 266.104 include reviewing and evaluating demonstrations for an alternate POHC designation and entering this information into a database.</w:t>
      </w:r>
    </w:p>
    <w:p w:rsidR="009A0379" w:rsidRPr="00317BAA" w:rsidP="009A0379" w14:paraId="6FEA9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Standards to Control Metal Emissions</w:t>
      </w:r>
    </w:p>
    <w:p w:rsidR="009A0379" w:rsidRPr="00317BAA" w:rsidP="009A0379" w14:paraId="6314C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standards to control metal emissions include reviewing and evaluating information submitted in support of an alternative implementation approach, as provided by section 266.106(f).  In addition, the Agency must enter this information into a database.</w:t>
      </w:r>
    </w:p>
    <w:p w:rsidR="009A0379" w:rsidRPr="00317BAA" w:rsidP="009A0379" w14:paraId="4C44E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Direct Transfer Requirements</w:t>
      </w:r>
    </w:p>
    <w:p w:rsidR="009A0379" w:rsidRPr="00317BAA" w:rsidP="009A0379" w14:paraId="1E164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9A0379" w:rsidRPr="00317BAA" w:rsidP="009A0379" w14:paraId="7142F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Regulation of Residues</w:t>
      </w:r>
    </w:p>
    <w:p w:rsidR="009A0379" w:rsidRPr="00317BAA" w:rsidP="009A0379" w14:paraId="31B76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634D6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regulation of residues as specified in section 266.112 include reviewing, evaluating, and entering into a database, demonstrations that hazardous waste does not significantly affect the residue. </w:t>
      </w:r>
    </w:p>
    <w:p w:rsidR="009A0379" w:rsidRPr="00317BAA" w:rsidP="009A0379" w14:paraId="11B30D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i/>
        </w:rPr>
        <w:t>PART B PERMIT APPLICATION AND PERMIT MODIFICATION REQUIREMENTS FOR BIFs</w:t>
      </w:r>
    </w:p>
    <w:p w:rsidR="009A0379" w:rsidRPr="00317BAA" w:rsidP="009A0379" w14:paraId="533CE1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General Part B Information Requirements for BIFs</w:t>
      </w:r>
    </w:p>
    <w:p w:rsidR="009A0379" w:rsidRPr="00317BAA" w:rsidP="009A0379" w14:paraId="40E0512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General Requirements</w:t>
      </w:r>
      <w:r w:rsidRPr="00317BAA">
        <w:rPr>
          <w:rFonts w:cstheme="minorHAnsi"/>
        </w:rPr>
        <w:t xml:space="preserve"> </w:t>
      </w:r>
    </w:p>
    <w:p w:rsidR="009A0379" w:rsidRPr="00317BAA" w:rsidP="009A0379" w14:paraId="50D4E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demonstrations by owners and operators to obtain allowance from Regional Administrators to submit information prescribed in Part B on a case-by-case basis include reviewing and approving demonstration and entering the information into a database.</w:t>
      </w:r>
    </w:p>
    <w:p w:rsidR="009A0379" w:rsidRPr="00317BAA" w:rsidP="009A0379" w14:paraId="48813FD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General Facility Standards</w:t>
      </w:r>
    </w:p>
    <w:p w:rsidR="009A0379" w:rsidRPr="00317BAA" w:rsidP="009A0379" w14:paraId="21E3AD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of hazardous waste management facilities submit in their Part B permit applications information on compliance with general facility standards include reviewing the required information and entering it into a database.</w:t>
      </w:r>
    </w:p>
    <w:p w:rsidR="009A0379" w:rsidRPr="00317BAA" w:rsidP="009A0379" w14:paraId="5752FCA0" w14:textId="5B7C8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Financial Assurance</w:t>
      </w:r>
    </w:p>
    <w:p w:rsidR="009A0379" w:rsidRPr="00317BAA" w:rsidP="009A0379" w14:paraId="47911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Cost Estimates for Closure Care</w:t>
      </w:r>
    </w:p>
    <w:p w:rsidR="009A0379" w:rsidRPr="00317BAA" w:rsidP="009A0379" w14:paraId="24BC3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cost estimates for closure care include reviewing written cost estimates and entering the information into a database.  </w:t>
      </w:r>
    </w:p>
    <w:p w:rsidR="009A0379" w:rsidRPr="00317BAA" w:rsidP="009A0379" w14:paraId="13A12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Financial Assurance for Closure Care</w:t>
      </w:r>
    </w:p>
    <w:p w:rsidR="009A0379" w:rsidRPr="00317BAA" w:rsidP="009A0379" w14:paraId="5841A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the requirements for financial assurance for closure care include reviewing the documentation of financial assurance submitted by the respondent and entering the information into a database.  </w:t>
      </w:r>
    </w:p>
    <w:p w:rsidR="009A0379" w:rsidRPr="00317BAA" w:rsidP="009A0379" w14:paraId="791E6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Use of a Financial Mechanism for Multiple Facilities</w:t>
      </w:r>
    </w:p>
    <w:p w:rsidR="009A0379" w:rsidRPr="00317BAA" w:rsidP="009A0379" w14:paraId="697A6E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The information required under this section will be submitted with the information provided by the owner or operator to establish financial assurance mechanisms.  Therefore, this ICR assumes that </w:t>
      </w:r>
      <w:r w:rsidRPr="00317BAA">
        <w:rPr>
          <w:rFonts w:cstheme="minorHAnsi"/>
        </w:rPr>
        <w:t>any Agency activities related to the requirements of this section are already covered under the previous sections.</w:t>
      </w:r>
    </w:p>
    <w:p w:rsidR="009A0379" w:rsidRPr="00317BAA" w:rsidP="009A0379" w14:paraId="33D10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(4)</w:t>
      </w:r>
      <w:r w:rsidRPr="00317BAA">
        <w:rPr>
          <w:rFonts w:cstheme="minorHAnsi"/>
          <w:b/>
        </w:rPr>
        <w:tab/>
        <w:t>Liability Requirements</w:t>
      </w:r>
    </w:p>
    <w:p w:rsidR="009A0379" w:rsidRPr="00317BAA" w:rsidP="009A0379" w14:paraId="325EED01" w14:textId="4083C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(a)</w:t>
      </w:r>
      <w:r w:rsidRPr="00317BAA">
        <w:rPr>
          <w:rFonts w:cstheme="minorHAnsi"/>
          <w:b/>
        </w:rPr>
        <w:tab/>
        <w:t>Coverage for Sudden or Non</w:t>
      </w:r>
      <w:r w:rsidR="00707CC4">
        <w:rPr>
          <w:rFonts w:cstheme="minorHAnsi"/>
          <w:b/>
        </w:rPr>
        <w:t>-</w:t>
      </w:r>
      <w:r w:rsidRPr="00317BAA">
        <w:rPr>
          <w:rFonts w:cstheme="minorHAnsi"/>
          <w:b/>
        </w:rPr>
        <w:t>sudden Accidental Occurrences</w:t>
      </w:r>
    </w:p>
    <w:p w:rsidR="009A0379" w:rsidRPr="00317BAA" w:rsidP="009A0379" w14:paraId="51C1AC64" w14:textId="21B57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establishment of liability coverage for sudden or non</w:t>
      </w:r>
      <w:r w:rsidR="00707CC4">
        <w:rPr>
          <w:rFonts w:cstheme="minorHAnsi"/>
        </w:rPr>
        <w:t>-</w:t>
      </w:r>
      <w:r w:rsidRPr="00317BAA">
        <w:rPr>
          <w:rFonts w:cstheme="minorHAnsi"/>
        </w:rPr>
        <w:t xml:space="preserve">sudden accidental occurrences include reviewing the information submitted and entering information into a database. </w:t>
      </w:r>
    </w:p>
    <w:p w:rsidR="009A0379" w:rsidRPr="00317BAA" w:rsidP="009A0379" w14:paraId="153FA1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Fonts w:cstheme="minorHAnsi"/>
        </w:rPr>
      </w:pPr>
      <w:r w:rsidRPr="00317BAA">
        <w:rPr>
          <w:rFonts w:cstheme="minorHAnsi"/>
          <w:b/>
        </w:rPr>
        <w:tab/>
      </w:r>
      <w:r w:rsidRPr="00317BAA">
        <w:rPr>
          <w:rFonts w:cstheme="minorHAnsi"/>
          <w:b/>
        </w:rPr>
        <w:tab/>
        <w:t>(b)</w:t>
      </w:r>
      <w:r w:rsidRPr="00317BAA">
        <w:rPr>
          <w:rFonts w:cstheme="minorHAnsi"/>
          <w:b/>
        </w:rPr>
        <w:tab/>
        <w:t>Request for Variance</w:t>
      </w:r>
    </w:p>
    <w:p w:rsidR="009A0379" w:rsidRPr="00317BAA" w:rsidP="009A0379" w14:paraId="4F4B8E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allowing owners and operators to obtain a variance from EPA include reviewing requests for variance, including any technical or engineering information required by EPA.</w:t>
      </w:r>
    </w:p>
    <w:p w:rsidR="009A0379" w:rsidRPr="00317BAA" w:rsidP="009A0379" w14:paraId="78FBD56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Fonts w:cstheme="minorHAnsi"/>
        </w:rPr>
      </w:pPr>
      <w:r w:rsidRPr="00317BAA">
        <w:rPr>
          <w:rFonts w:cstheme="minorHAnsi"/>
          <w:b/>
        </w:rPr>
        <w:tab/>
      </w:r>
      <w:r w:rsidRPr="00317BAA">
        <w:rPr>
          <w:rFonts w:cstheme="minorHAnsi"/>
          <w:b/>
        </w:rPr>
        <w:tab/>
        <w:t>(c)</w:t>
      </w:r>
      <w:r w:rsidRPr="00317BAA">
        <w:rPr>
          <w:rFonts w:cstheme="minorHAnsi"/>
          <w:b/>
        </w:rPr>
        <w:tab/>
        <w:t>Adjustments by the Regional Administrator</w:t>
      </w:r>
    </w:p>
    <w:p w:rsidR="009A0379" w:rsidRPr="00317BAA" w:rsidP="009A0379" w14:paraId="052FD00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allowing the Agency to adjust the level of financial responsibility required under section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009A0379" w:rsidRPr="00317BAA" w:rsidP="009A0379" w14:paraId="6C04A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(5)</w:t>
      </w:r>
      <w:r w:rsidRPr="00317BAA">
        <w:rPr>
          <w:rFonts w:cstheme="minorHAnsi"/>
          <w:b/>
        </w:rPr>
        <w:tab/>
        <w:t>Coverage by a State Financial Mechanism</w:t>
      </w:r>
    </w:p>
    <w:p w:rsidR="009A0379" w:rsidRPr="00317BAA" w:rsidP="009A0379" w14:paraId="3A26C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establishing coverage by State financial mechanisms include reviewing letters from owners and operators, written evidence of the establishment of State-required financial assurance mechanisms, or letters from the State describing the State's assumption of responsibility and including the information specified above, and any additional information requested by EPA. </w:t>
      </w:r>
    </w:p>
    <w:p w:rsidR="009A0379" w:rsidRPr="00317BAA" w:rsidP="009A0379" w14:paraId="78D3A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Topographical Map</w:t>
      </w:r>
    </w:p>
    <w:p w:rsidR="009A0379" w:rsidRPr="00317BAA" w:rsidP="009A0379" w14:paraId="62E38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must provide a topographical map include reviewing the topographical map and entering the information into a database.</w:t>
      </w:r>
    </w:p>
    <w:p w:rsidR="009A0379" w:rsidRPr="00317BAA" w:rsidP="009A0379" w14:paraId="2F1EF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Schedules of Compliance</w:t>
      </w:r>
    </w:p>
    <w:p w:rsidR="009A0379" w:rsidRPr="00317BAA" w:rsidP="009A0379" w14:paraId="22974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requirement that owners and operators specify in permits a schedule of compliance leading to compliance with the Act and regulations, where appropriate, include reviewing the following information: schedules of compliance, alternative schedules of compliance under section 270.33(b)(2), applications for two schedules of compliance, and evidence of firm public commitment to cease conducting regulated activities.  The Agency will also enter the information into a database.</w:t>
      </w:r>
    </w:p>
    <w:p w:rsidR="009A0379" w:rsidRPr="00317BAA" w:rsidP="009A0379" w14:paraId="2024A3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38A626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Specific Part B Information Requirements for BIFs</w:t>
      </w:r>
    </w:p>
    <w:p w:rsidR="009A0379" w:rsidRPr="00317BAA" w:rsidP="009A0379" w14:paraId="142CCD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Fugitive Emissions</w:t>
      </w:r>
    </w:p>
    <w:p w:rsidR="009A0379" w:rsidRPr="00317BAA" w:rsidP="009A0379" w14:paraId="59066FF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fugitive emissions demonstrations include reviewing and evaluating information supporting a demonstration for an alternate means of fugitive emissions control and entering this information into a database.</w:t>
      </w:r>
    </w:p>
    <w:p w:rsidR="009A0379" w:rsidRPr="00317BAA" w:rsidP="009A0379" w14:paraId="7881C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Part B Information Requirements for the Pre-Trial Burn, Trial Burn, and Post-Trial Burn Periods</w:t>
      </w:r>
    </w:p>
    <w:p w:rsidR="009A0379" w:rsidRPr="00317BAA" w:rsidP="009A0379" w14:paraId="5FF1E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specific Part B information requirements for boilers and industrial furnaces burning hazardous waste requests for an extension of the 720-hour operational period, and statements suggesting the conditions necessary to operate in compliance with sections 266.104 through 266.107 during the pre-trial and post-trial burn periods.  In addition, the Agency must review and evaluate trial burn plans, the data collected during trial burns, the certifications of submissions, and the determinations based on the trial burn.  The Agency must also review and evaluate certifications that the trial burn has been carried out in accordance with the approved plan and submit the results of its determinations.  The Agency must enter all of this information into a database.</w:t>
      </w:r>
    </w:p>
    <w:p w:rsidR="009A0379" w:rsidRPr="00317BAA" w:rsidP="009A0379" w14:paraId="54E558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rPr>
      </w:pPr>
      <w:r w:rsidRPr="00317BAA">
        <w:rPr>
          <w:rFonts w:cstheme="minorHAnsi"/>
          <w:b/>
        </w:rPr>
        <w:tab/>
        <w:t>Waivers of the Trial Burn</w:t>
      </w:r>
    </w:p>
    <w:p w:rsidR="009A0379" w:rsidRPr="00317BAA" w:rsidP="009A0379" w14:paraId="59CBF6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Waiver of the Trial Burn for Boilers Operating Under Special Operating Requirements</w:t>
      </w:r>
    </w:p>
    <w:p w:rsidR="009A0379" w:rsidRPr="00317BAA" w:rsidP="009A0379" w14:paraId="286285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boilers operating under special operating requirements include reviewing and evaluating the documentation that the boiler operates under the special operating requirements provided by section 266.110 and entering this information into a database.</w:t>
      </w:r>
    </w:p>
    <w:p w:rsidR="009A0379" w:rsidRPr="00317BAA" w:rsidP="009A0379" w14:paraId="41C64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Waiver of the Trial Burn For Boilers and Industrial Furnaces Burning Low-Risk Waste</w:t>
      </w:r>
    </w:p>
    <w:p w:rsidR="009A0379" w:rsidRPr="00317BAA" w:rsidP="009A0379" w14:paraId="503C1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boilers and industrial furnaces burning low-risk waste as specified in sections 266.109(a)(2) and 270.22(a)(2)(ii) include reviewing and evaluating information in support of a waiver of the DRE trial burn and entering this information into a database.</w:t>
      </w:r>
    </w:p>
    <w:p w:rsidR="009A0379" w:rsidRPr="00317BAA" w:rsidP="009A0379" w14:paraId="0EBB7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Waiver of the Trial Burn for Metals</w:t>
      </w:r>
    </w:p>
    <w:p w:rsidR="009A0379" w:rsidRPr="00317BAA" w:rsidP="009A0379" w14:paraId="3C105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metals as specified in sections 270.22(a)(3) and 266.106 include reviewing and evaluating the information supporting the waiver and entering this information into a database.</w:t>
      </w:r>
    </w:p>
    <w:p w:rsidR="009A0379" w:rsidRPr="00317BAA" w:rsidP="009A0379" w14:paraId="19558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(4)</w:t>
      </w:r>
      <w:r w:rsidRPr="00317BAA">
        <w:rPr>
          <w:rFonts w:cstheme="minorHAnsi"/>
          <w:b/>
        </w:rPr>
        <w:tab/>
        <w:t>Waiver of the Trial Burn for Particulate Matter</w:t>
      </w:r>
    </w:p>
    <w:p w:rsidR="009A0379" w:rsidRPr="00317BAA" w:rsidP="009A0379" w14:paraId="77E825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particulate matter as specified in sections 270.22(a)(4) and 266.105 include reviewing and evaluating the information supporting the waiver and entering the information into a database.</w:t>
      </w:r>
    </w:p>
    <w:p w:rsidR="009A0379" w:rsidRPr="00317BAA" w:rsidP="009A0379" w14:paraId="0544EF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(5)</w:t>
      </w:r>
      <w:r w:rsidRPr="00317BAA">
        <w:rPr>
          <w:rFonts w:cstheme="minorHAnsi"/>
          <w:b/>
        </w:rPr>
        <w:tab/>
        <w:t>Waiver of the Trial Burn for HCl and Cl Emissions</w:t>
      </w:r>
    </w:p>
    <w:p w:rsidR="009A0379" w:rsidRPr="00317BAA" w:rsidP="009A0379" w14:paraId="173AB37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waiver of the trial burn for HCl and Cl emissions as specified in sections 270.22(a)(5) and 266.107 include reviewing and evaluating the information supporting the waiver and entering this information into a database.</w:t>
      </w:r>
    </w:p>
    <w:p w:rsidR="009A0379" w:rsidRPr="00317BAA" w:rsidP="009A0379" w14:paraId="4386D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(6)</w:t>
      </w:r>
      <w:r w:rsidRPr="00317BAA">
        <w:rPr>
          <w:rFonts w:cstheme="minorHAnsi"/>
          <w:b/>
        </w:rPr>
        <w:tab/>
        <w:t>Data in Lieu of a Trial Burn</w:t>
      </w:r>
    </w:p>
    <w:p w:rsidR="009A0379" w:rsidRPr="00317BAA" w:rsidP="009A0379" w14:paraId="44978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submission of data in lieu of a trial burn as specified in sections 270.22(a)(6), 270.66, and 266.103(c)(3) include reviewing and evaluating information supporting the use of compliance test data, or trial burn data from a similar unit, in lieu of conducting a trial burn, and entering this information into a database.  In addition, the Agency must review, evaluate, and enter into a database the data from the similar unit that is operating under similar conditions.</w:t>
      </w:r>
    </w:p>
    <w:p w:rsidR="009A0379" w:rsidRPr="00317BAA" w:rsidP="009A0379" w14:paraId="14C9F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Alternative HC Limit for Industrial Furnaces With Organic Matter in Raw Materials</w:t>
      </w:r>
    </w:p>
    <w:p w:rsidR="009A0379" w:rsidRPr="00317BAA" w:rsidP="009A0379" w14:paraId="1C7DD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alternative HC limit for industrial furnaces with organic matter in raw materials include reviewing and evaluating information supporting an alternative HC limit, as provided in sections 270.22(b) and 266.104(f), and entering this information into a database.</w:t>
      </w:r>
    </w:p>
    <w:p w:rsidR="009A0379" w:rsidRPr="00317BAA" w:rsidP="009A0379" w14:paraId="78037E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Alternative Metals Implementation Approach</w:t>
      </w:r>
    </w:p>
    <w:p w:rsidR="009A0379" w:rsidRPr="00317BAA" w:rsidP="009A0379" w14:paraId="7820400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alternative metals implementation approach include reviewing and evaluating information supporting the approach as provided by sections 270.22(c) and 266.106(f) and entering this information into a database.</w:t>
      </w:r>
    </w:p>
    <w:p w:rsidR="009A0379" w:rsidRPr="00317BAA" w:rsidP="009A0379" w14:paraId="58C2C1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Automatic Hazardous Waste Feed Cutoff System</w:t>
      </w:r>
    </w:p>
    <w:p w:rsidR="009A0379" w:rsidRPr="00317BAA" w:rsidP="009A0379" w14:paraId="75240E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automatic hazardous waste feed cutoff system as specified in sections 270.22(d) include reviewing and evaluating the information describing the system and entering this information into a database.</w:t>
      </w:r>
    </w:p>
    <w:p w:rsidR="009A0379" w:rsidRPr="00317BAA" w:rsidP="009A0379" w14:paraId="4E92B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Direct Transfer Requirements</w:t>
      </w:r>
    </w:p>
    <w:p w:rsidR="009A0379" w:rsidRPr="00317BAA" w:rsidP="009A0379" w14:paraId="1DDB7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to EPA relating to their direct transfer operations.  EPA may review information on a facility's direct transfer system during facility inspections.</w:t>
      </w:r>
    </w:p>
    <w:p w:rsidR="009A0379" w:rsidRPr="00317BAA" w:rsidP="009A0379" w14:paraId="0EA255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Regulation of Residues</w:t>
      </w:r>
    </w:p>
    <w:p w:rsidR="009A0379" w:rsidRPr="00317BAA" w:rsidP="009A0379" w14:paraId="6EE73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Owners and operator of BIFs are not required to submit any information in their Part B Permit Applications relating to their claim of exemption for their residues from classification as hazardous waste.  EPA may review this information, however, during facility inspections.</w:t>
      </w:r>
    </w:p>
    <w:p w:rsidR="009A0379" w:rsidRPr="00317BAA" w:rsidP="009A0379" w14:paraId="52AE36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317BAA">
        <w:rPr>
          <w:rFonts w:cstheme="minorHAnsi"/>
          <w:b/>
        </w:rPr>
        <w:t>Permit Modifications for BIFs</w:t>
      </w:r>
    </w:p>
    <w:p w:rsidR="009A0379" w:rsidRPr="00317BAA" w:rsidP="009A0379" w14:paraId="13C6D60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Transfer of Permits</w:t>
      </w:r>
    </w:p>
    <w:p w:rsidR="009A0379" w:rsidRPr="00317BAA" w:rsidP="009A0379" w14:paraId="079FBF9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the transfer of permits include reviewing written agreements and entering the information into a database.</w:t>
      </w:r>
    </w:p>
    <w:p w:rsidR="009A0379" w:rsidRPr="00317BAA" w:rsidP="009A0379" w14:paraId="16856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9A0379" w:rsidRPr="00317BAA" w:rsidP="009A0379" w14:paraId="17AAEA3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Permit Modification at the Request of the Agency</w:t>
      </w:r>
    </w:p>
    <w:p w:rsidR="009A0379" w:rsidRPr="00317BAA" w:rsidP="009A0379" w14:paraId="03777E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Agency-initiated permit modifications include reviewing the modification request and entering the information into a database.</w:t>
      </w:r>
    </w:p>
    <w:p w:rsidR="009A0379" w:rsidRPr="00317BAA" w:rsidP="009A0379" w14:paraId="35190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b/>
        </w:rPr>
        <w:tab/>
        <w:t>Permit Modification at the Request of the Permittee</w:t>
      </w:r>
    </w:p>
    <w:p w:rsidR="009A0379" w:rsidRPr="00317BAA" w:rsidP="009A0379" w14:paraId="000E5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(1)</w:t>
      </w:r>
      <w:r w:rsidRPr="00317BAA">
        <w:rPr>
          <w:rFonts w:cstheme="minorHAnsi"/>
          <w:b/>
        </w:rPr>
        <w:tab/>
        <w:t>Class 1 Modifications</w:t>
      </w:r>
    </w:p>
    <w:p w:rsidR="009A0379" w:rsidRPr="00317BAA" w:rsidP="009A0379" w14:paraId="005E9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applications for Class 1 permit modifications include reviewing notifications required under section 270.42(a)(i), and applicable information required by sections 270.13 through 270.21, 270.62, and 270.63, and entering the information into a database.</w:t>
      </w:r>
    </w:p>
    <w:p w:rsidR="009A0379" w:rsidRPr="00317BAA" w:rsidP="009A0379" w14:paraId="39EDAB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(2)</w:t>
      </w:r>
      <w:r w:rsidRPr="00317BAA">
        <w:rPr>
          <w:rFonts w:cstheme="minorHAnsi"/>
          <w:b/>
        </w:rPr>
        <w:tab/>
        <w:t>Class 2 and 3 Modifications</w:t>
      </w:r>
    </w:p>
    <w:p w:rsidR="009A0379" w:rsidRPr="00317BAA" w:rsidP="009A0379" w14:paraId="460994EB" w14:textId="62AA7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applications for Class 2 or 3 permit modifications include reviewing modifications requests and written </w:t>
      </w:r>
      <w:r w:rsidRPr="00317BAA" w:rsidR="00707CC4">
        <w:rPr>
          <w:rFonts w:cstheme="minorHAnsi"/>
        </w:rPr>
        <w:t>notifications and</w:t>
      </w:r>
      <w:r w:rsidRPr="00317BAA">
        <w:rPr>
          <w:rFonts w:cstheme="minorHAnsi"/>
        </w:rPr>
        <w:t xml:space="preserve"> entering the information into a database.</w:t>
      </w:r>
    </w:p>
    <w:p w:rsidR="009A0379" w:rsidRPr="00317BAA" w:rsidP="009A0379" w14:paraId="1A6A03D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Fonts w:cstheme="minorHAnsi"/>
        </w:rPr>
      </w:pPr>
      <w:r w:rsidRPr="00317BAA">
        <w:rPr>
          <w:rFonts w:cstheme="minorHAnsi"/>
          <w:b/>
        </w:rPr>
        <w:tab/>
        <w:t>(3)</w:t>
      </w:r>
      <w:r w:rsidRPr="00317BAA">
        <w:rPr>
          <w:rFonts w:cstheme="minorHAnsi"/>
          <w:b/>
        </w:rPr>
        <w:tab/>
        <w:t>Request for Classification of a Permit Modification</w:t>
      </w:r>
    </w:p>
    <w:p w:rsidR="009A0379" w:rsidRPr="00317BAA" w:rsidP="009A0379" w14:paraId="50573FC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requests for classification of a permit modification include reviewing the information submitted in support of a request, making a determination on the request, and entering the information into a database.</w:t>
      </w:r>
    </w:p>
    <w:p w:rsidR="009A0379" w:rsidRPr="00317BAA" w:rsidP="009A0379" w14:paraId="6561D10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rPr>
      </w:pPr>
      <w:r w:rsidRPr="00317BAA">
        <w:rPr>
          <w:rFonts w:cstheme="minorHAnsi"/>
          <w:b/>
        </w:rPr>
        <w:tab/>
        <w:t xml:space="preserve">Temporary Authorizations </w:t>
      </w:r>
    </w:p>
    <w:p w:rsidR="009A0379" w:rsidRPr="00317BAA" w:rsidP="009A0379" w14:paraId="6FBFBB6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Agency activities associated with applications for temporary authorization include reviewing temporary authorization requests and entering the information into a database.</w:t>
      </w:r>
    </w:p>
    <w:p w:rsidR="009A0379" w:rsidRPr="00317BAA" w:rsidP="009A0379" w14:paraId="6DC4F5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rPr>
      </w:pPr>
      <w:r w:rsidRPr="00317BAA">
        <w:rPr>
          <w:rFonts w:cstheme="minorHAnsi"/>
          <w:b/>
        </w:rPr>
        <w:tab/>
        <w:t>Expiration and Continuation of Permits</w:t>
      </w:r>
    </w:p>
    <w:p w:rsidR="009A0379" w:rsidRPr="00317BAA" w:rsidP="009A0379" w14:paraId="42BB6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b/>
        <w:t xml:space="preserve">Agency activities associated with renewing existing permits include conducting the same </w:t>
      </w:r>
    </w:p>
    <w:p w:rsidR="009A0379" w:rsidRPr="00317BAA" w:rsidP="009A0379" w14:paraId="2B277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17BAA">
        <w:rPr>
          <w:rFonts w:cstheme="minorHAnsi"/>
        </w:rPr>
        <w:t>activities as they would for initial permit applications.</w:t>
      </w:r>
    </w:p>
    <w:p w:rsidR="00023EFE" w:rsidRPr="00EB6D36" w:rsidP="00854AAE" w14:paraId="70C8C311" w14:textId="77777777">
      <w:pPr>
        <w:spacing w:before="120" w:after="0"/>
        <w:rPr>
          <w:rFonts w:cstheme="minorHAnsi"/>
          <w:b/>
          <w:bCs/>
        </w:rPr>
      </w:pPr>
      <w:r w:rsidRPr="00EB6D36">
        <w:rPr>
          <w:rFonts w:eastAsiaTheme="majorEastAsia" w:cstheme="minorHAnsi"/>
          <w:b/>
          <w:bCs/>
        </w:rPr>
        <w:t xml:space="preserve">14b. </w:t>
      </w:r>
      <w:r w:rsidRPr="00EB6D36" w:rsidR="00BB2B15">
        <w:rPr>
          <w:rFonts w:eastAsiaTheme="majorEastAsia" w:cstheme="minorHAnsi"/>
          <w:b/>
          <w:bCs/>
        </w:rPr>
        <w:t>Agency Labor Cost</w:t>
      </w:r>
    </w:p>
    <w:p w:rsidR="009A0379" w:rsidP="003B4425" w14:paraId="244EF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p>
    <w:p w:rsidR="003B4425" w:rsidRPr="00EB6D36" w:rsidP="003B4425" w14:paraId="124E26F3" w14:textId="1346F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EB6D36">
        <w:rPr>
          <w:rFonts w:cstheme="minorHAnsi"/>
        </w:rPr>
        <w:t>EPA estimates an average hourly Agency labor cost of $</w:t>
      </w:r>
      <w:r w:rsidRPr="00EB6D36" w:rsidR="00EB6D36">
        <w:rPr>
          <w:rFonts w:cstheme="minorHAnsi"/>
        </w:rPr>
        <w:t>94.3</w:t>
      </w:r>
      <w:r w:rsidRPr="00EB6D36">
        <w:rPr>
          <w:rFonts w:cstheme="minorHAnsi"/>
        </w:rPr>
        <w:t>4 for legal staff, $</w:t>
      </w:r>
      <w:r w:rsidRPr="00EB6D36" w:rsidR="00EB6D36">
        <w:rPr>
          <w:rFonts w:cstheme="minorHAnsi"/>
        </w:rPr>
        <w:t>67.86</w:t>
      </w:r>
      <w:r w:rsidRPr="00EB6D36">
        <w:rPr>
          <w:rFonts w:cstheme="minorHAnsi"/>
        </w:rPr>
        <w:t xml:space="preserve"> for managerial staff, $</w:t>
      </w:r>
      <w:r w:rsidRPr="00EB6D36" w:rsidR="00EB6D36">
        <w:rPr>
          <w:rFonts w:cstheme="minorHAnsi"/>
        </w:rPr>
        <w:t>47.62</w:t>
      </w:r>
      <w:r w:rsidRPr="00EB6D36">
        <w:rPr>
          <w:rFonts w:cstheme="minorHAnsi"/>
        </w:rPr>
        <w:t xml:space="preserve"> for technical staff, and $</w:t>
      </w:r>
      <w:r w:rsidRPr="00EB6D36" w:rsidR="00EB6D36">
        <w:rPr>
          <w:rFonts w:cstheme="minorHAnsi"/>
        </w:rPr>
        <w:t>28.96</w:t>
      </w:r>
      <w:r w:rsidRPr="00EB6D36">
        <w:rPr>
          <w:rFonts w:cstheme="minorHAnsi"/>
        </w:rPr>
        <w:t xml:space="preserve"> for clerical staff.  EPA used the 202</w:t>
      </w:r>
      <w:r w:rsidRPr="00EB6D36" w:rsidR="00EB6D36">
        <w:rPr>
          <w:rFonts w:cstheme="minorHAnsi"/>
        </w:rPr>
        <w:t>4</w:t>
      </w:r>
      <w:r w:rsidRPr="00EB6D36">
        <w:rPr>
          <w:rFonts w:cstheme="minorHAnsi"/>
        </w:rPr>
        <w:t xml:space="preserve"> Federal Pay Schedule salary figures, adjusted by 1.6 for overhead, to estimate annual compensation of Regional legal, managerial, technical, and clerical staff.  For purposes of this ICR, EPA assigned Regional staff the following government service levels:</w:t>
      </w:r>
    </w:p>
    <w:p w:rsidR="003B4425" w:rsidRPr="00EB6D36" w:rsidP="003B4425" w14:paraId="328AF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cstheme="minorHAnsi"/>
        </w:rPr>
      </w:pPr>
      <w:r w:rsidRPr="00EB6D36">
        <w:rPr>
          <w:rFonts w:cstheme="minorHAnsi"/>
        </w:rPr>
        <w:t>Legal staff</w:t>
      </w:r>
      <w:r w:rsidRPr="00EB6D36">
        <w:rPr>
          <w:rFonts w:cstheme="minorHAnsi"/>
        </w:rPr>
        <w:tab/>
      </w:r>
      <w:r w:rsidRPr="00EB6D36">
        <w:rPr>
          <w:rFonts w:cstheme="minorHAnsi"/>
        </w:rPr>
        <w:tab/>
        <w:t>GS-15, Step 1</w:t>
      </w:r>
    </w:p>
    <w:p w:rsidR="003B4425" w:rsidRPr="00EB6D36" w:rsidP="003B4425" w14:paraId="17A65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Managerial staff</w:t>
      </w:r>
      <w:r w:rsidRPr="00EB6D36">
        <w:rPr>
          <w:rFonts w:cstheme="minorHAnsi"/>
        </w:rPr>
        <w:tab/>
        <w:t>GS-13, Step 1</w:t>
      </w:r>
    </w:p>
    <w:p w:rsidR="003B4425" w:rsidRPr="00EB6D36" w:rsidP="003B4425" w14:paraId="634E7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Technical staff</w:t>
      </w:r>
      <w:r w:rsidRPr="00EB6D36">
        <w:rPr>
          <w:rFonts w:cstheme="minorHAnsi"/>
        </w:rPr>
        <w:tab/>
      </w:r>
      <w:r w:rsidRPr="00EB6D36">
        <w:rPr>
          <w:rFonts w:cstheme="minorHAnsi"/>
        </w:rPr>
        <w:tab/>
        <w:t>GS-11, Step 1</w:t>
      </w:r>
    </w:p>
    <w:p w:rsidR="003B4425" w:rsidRPr="00EB6D36" w:rsidP="003B4425" w14:paraId="5524D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EB6D36">
        <w:rPr>
          <w:rFonts w:cstheme="minorHAnsi"/>
        </w:rPr>
        <w:t>Clerical staff</w:t>
      </w:r>
      <w:r w:rsidRPr="00EB6D36">
        <w:rPr>
          <w:rFonts w:cstheme="minorHAnsi"/>
        </w:rPr>
        <w:tab/>
      </w:r>
      <w:r w:rsidRPr="00EB6D36">
        <w:rPr>
          <w:rFonts w:cstheme="minorHAnsi"/>
        </w:rPr>
        <w:tab/>
        <w:t>GS-06, Step 1</w:t>
      </w:r>
    </w:p>
    <w:p w:rsidR="003B4425" w:rsidRPr="00EB6D36" w:rsidP="003B4425" w14:paraId="1B58738C" w14:textId="19B14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rPr>
      </w:pPr>
      <w:r w:rsidRPr="00EB6D36">
        <w:rPr>
          <w:rFonts w:cstheme="minorHAnsi"/>
        </w:rPr>
        <w:tab/>
        <w:t xml:space="preserve">In the attached </w:t>
      </w:r>
      <w:r w:rsidR="00652096">
        <w:rPr>
          <w:rFonts w:cstheme="minorHAnsi"/>
        </w:rPr>
        <w:t>E</w:t>
      </w:r>
      <w:r w:rsidRPr="00EB6D36">
        <w:rPr>
          <w:rFonts w:cstheme="minorHAnsi"/>
        </w:rPr>
        <w:t xml:space="preserve">xcel file, exhibits 5 – 7 provide a detailed breakdown of the Agency burden hours and cost associated with all of the information collections requirements covered this ICR. Table 3 below is a summary table of the </w:t>
      </w:r>
      <w:r w:rsidRPr="00EB6D36" w:rsidR="00707CC4">
        <w:rPr>
          <w:rFonts w:cstheme="minorHAnsi"/>
        </w:rPr>
        <w:t>bottom-line</w:t>
      </w:r>
      <w:r w:rsidRPr="00EB6D36">
        <w:rPr>
          <w:rFonts w:cstheme="minorHAnsi"/>
        </w:rPr>
        <w:t xml:space="preserve"> Agency burden and cost.</w:t>
      </w:r>
    </w:p>
    <w:p w:rsidR="00652096" w:rsidRPr="00652096" w:rsidP="00652096" w14:paraId="7CCE70B4" w14:textId="5126D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0"/>
          <w:rFonts w:cstheme="minorHAnsi"/>
          <w:b/>
          <w:bCs/>
          <w:sz w:val="22"/>
          <w:vertAlign w:val="baseline"/>
        </w:rPr>
      </w:pPr>
      <w:r w:rsidRPr="00652096">
        <w:rPr>
          <w:rStyle w:val="footnoteref0"/>
          <w:rFonts w:cstheme="minorHAnsi"/>
          <w:b/>
          <w:bCs/>
          <w:sz w:val="22"/>
          <w:vertAlign w:val="baseline"/>
        </w:rPr>
        <w:t xml:space="preserve">Table 2 – </w:t>
      </w:r>
      <w:r w:rsidRPr="00652096">
        <w:rPr>
          <w:rFonts w:cstheme="minorHAnsi"/>
          <w:b/>
          <w:bCs/>
        </w:rPr>
        <w:t>Total Annual Agency Burden Hours and Cost</w:t>
      </w:r>
    </w:p>
    <w:tbl>
      <w:tblPr>
        <w:tblStyle w:val="TableGrid"/>
        <w:tblW w:w="9535" w:type="dxa"/>
        <w:tblLook w:val="04A0"/>
      </w:tblPr>
      <w:tblGrid>
        <w:gridCol w:w="3107"/>
        <w:gridCol w:w="1234"/>
        <w:gridCol w:w="1240"/>
        <w:gridCol w:w="1302"/>
        <w:gridCol w:w="1135"/>
        <w:gridCol w:w="1518"/>
      </w:tblGrid>
      <w:tr w14:paraId="7A4BEC47" w14:textId="77777777" w:rsidTr="00F57A22">
        <w:tblPrEx>
          <w:tblW w:w="9535" w:type="dxa"/>
          <w:tblLook w:val="04A0"/>
        </w:tblPrEx>
        <w:trPr>
          <w:trHeight w:val="240"/>
        </w:trPr>
        <w:tc>
          <w:tcPr>
            <w:tcW w:w="3107" w:type="dxa"/>
            <w:noWrap/>
            <w:hideMark/>
          </w:tcPr>
          <w:p w:rsidR="00652096" w:rsidRPr="00652096" w:rsidP="00652096" w14:paraId="2801D6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p>
        </w:tc>
        <w:tc>
          <w:tcPr>
            <w:tcW w:w="1233" w:type="dxa"/>
            <w:noWrap/>
            <w:hideMark/>
          </w:tcPr>
          <w:p w:rsidR="00652096" w:rsidRPr="00652096" w:rsidP="00652096" w14:paraId="69865DB9" w14:textId="6D3D0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Labor Cost/Year</w:t>
            </w:r>
          </w:p>
        </w:tc>
        <w:tc>
          <w:tcPr>
            <w:tcW w:w="1240" w:type="dxa"/>
            <w:noWrap/>
            <w:hideMark/>
          </w:tcPr>
          <w:p w:rsidR="00652096" w:rsidRPr="00652096" w:rsidP="00652096" w14:paraId="62C66CAE" w14:textId="39E72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Capital Cost/Year</w:t>
            </w:r>
          </w:p>
        </w:tc>
        <w:tc>
          <w:tcPr>
            <w:tcW w:w="1302" w:type="dxa"/>
            <w:noWrap/>
            <w:hideMark/>
          </w:tcPr>
          <w:p w:rsidR="00652096" w:rsidRPr="00652096" w:rsidP="00652096" w14:paraId="71442D51" w14:textId="7CA74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O&amp;M Cost/Year</w:t>
            </w:r>
          </w:p>
        </w:tc>
        <w:tc>
          <w:tcPr>
            <w:tcW w:w="1135" w:type="dxa"/>
            <w:noWrap/>
            <w:hideMark/>
          </w:tcPr>
          <w:p w:rsidR="00652096" w:rsidRPr="00652096" w:rsidP="00652096" w14:paraId="5F8B8205" w14:textId="78834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Hours</w:t>
            </w:r>
          </w:p>
        </w:tc>
        <w:tc>
          <w:tcPr>
            <w:tcW w:w="1518" w:type="dxa"/>
            <w:noWrap/>
            <w:hideMark/>
          </w:tcPr>
          <w:p w:rsidR="00652096" w:rsidRPr="00652096" w:rsidP="00652096" w14:paraId="0607F4ED" w14:textId="1537D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AF0447">
              <w:rPr>
                <w:rFonts w:cstheme="minorHAnsi"/>
                <w:sz w:val="20"/>
                <w:szCs w:val="20"/>
              </w:rPr>
              <w:t>Total Annual Cost</w:t>
            </w:r>
          </w:p>
        </w:tc>
      </w:tr>
      <w:tr w14:paraId="4A79724C" w14:textId="77777777" w:rsidTr="00F57A22">
        <w:tblPrEx>
          <w:tblW w:w="9535" w:type="dxa"/>
          <w:tblLook w:val="04A0"/>
        </w:tblPrEx>
        <w:trPr>
          <w:trHeight w:val="240"/>
        </w:trPr>
        <w:tc>
          <w:tcPr>
            <w:tcW w:w="3107" w:type="dxa"/>
            <w:noWrap/>
            <w:hideMark/>
          </w:tcPr>
          <w:p w:rsidR="00652096" w:rsidRPr="00652096" w:rsidP="00652096" w14:paraId="4DB46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5</w:t>
            </w:r>
          </w:p>
        </w:tc>
        <w:tc>
          <w:tcPr>
            <w:tcW w:w="1233" w:type="dxa"/>
            <w:noWrap/>
            <w:hideMark/>
          </w:tcPr>
          <w:p w:rsidR="00652096" w:rsidRPr="00652096" w:rsidP="00652096" w14:paraId="1D82B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3AD91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35DCB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7020C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34B623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323A5C9" w14:textId="77777777" w:rsidTr="00F57A22">
        <w:tblPrEx>
          <w:tblW w:w="9535" w:type="dxa"/>
          <w:tblLook w:val="04A0"/>
        </w:tblPrEx>
        <w:trPr>
          <w:trHeight w:val="240"/>
        </w:trPr>
        <w:tc>
          <w:tcPr>
            <w:tcW w:w="3107" w:type="dxa"/>
            <w:noWrap/>
            <w:hideMark/>
          </w:tcPr>
          <w:p w:rsidR="00652096" w:rsidRPr="00652096" w:rsidP="00652096" w14:paraId="3022B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(A)  General Facility Operating Requirements</w:t>
            </w:r>
          </w:p>
        </w:tc>
        <w:tc>
          <w:tcPr>
            <w:tcW w:w="1233" w:type="dxa"/>
            <w:noWrap/>
            <w:hideMark/>
          </w:tcPr>
          <w:p w:rsidR="00652096" w:rsidRPr="00652096" w:rsidP="00652096" w14:paraId="3DE608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$11,905.00 </w:t>
            </w:r>
          </w:p>
        </w:tc>
        <w:tc>
          <w:tcPr>
            <w:tcW w:w="1240" w:type="dxa"/>
            <w:noWrap/>
            <w:hideMark/>
          </w:tcPr>
          <w:p w:rsidR="00652096" w:rsidRPr="00652096" w:rsidP="00652096" w14:paraId="3CD8A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302" w:type="dxa"/>
            <w:noWrap/>
            <w:hideMark/>
          </w:tcPr>
          <w:p w:rsidR="00652096" w:rsidRPr="00652096" w:rsidP="00652096" w14:paraId="5DB88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135" w:type="dxa"/>
            <w:noWrap/>
            <w:hideMark/>
          </w:tcPr>
          <w:p w:rsidR="00652096" w:rsidRPr="00652096" w:rsidP="00652096" w14:paraId="0A677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250</w:t>
            </w:r>
          </w:p>
        </w:tc>
        <w:tc>
          <w:tcPr>
            <w:tcW w:w="1518" w:type="dxa"/>
            <w:noWrap/>
            <w:hideMark/>
          </w:tcPr>
          <w:p w:rsidR="00652096" w:rsidRPr="00652096" w:rsidP="00652096" w14:paraId="3D821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$11,905.00 </w:t>
            </w:r>
          </w:p>
        </w:tc>
      </w:tr>
      <w:tr w14:paraId="656B468A" w14:textId="77777777" w:rsidTr="00F57A22">
        <w:tblPrEx>
          <w:tblW w:w="9535" w:type="dxa"/>
          <w:tblLook w:val="04A0"/>
        </w:tblPrEx>
        <w:trPr>
          <w:trHeight w:val="240"/>
        </w:trPr>
        <w:tc>
          <w:tcPr>
            <w:tcW w:w="3107" w:type="dxa"/>
            <w:noWrap/>
            <w:hideMark/>
          </w:tcPr>
          <w:p w:rsidR="00652096" w:rsidRPr="00652096" w:rsidP="00652096" w14:paraId="499B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(B)  Recordkeeping Requirements</w:t>
            </w:r>
          </w:p>
        </w:tc>
        <w:tc>
          <w:tcPr>
            <w:tcW w:w="1233" w:type="dxa"/>
            <w:noWrap/>
            <w:hideMark/>
          </w:tcPr>
          <w:p w:rsidR="00652096" w:rsidRPr="00652096" w:rsidP="00652096" w14:paraId="7A765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$2,952.44 </w:t>
            </w:r>
          </w:p>
        </w:tc>
        <w:tc>
          <w:tcPr>
            <w:tcW w:w="1240" w:type="dxa"/>
            <w:noWrap/>
            <w:hideMark/>
          </w:tcPr>
          <w:p w:rsidR="00652096" w:rsidRPr="00652096" w:rsidP="00652096" w14:paraId="27FA3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302" w:type="dxa"/>
            <w:noWrap/>
            <w:hideMark/>
          </w:tcPr>
          <w:p w:rsidR="00652096" w:rsidRPr="00652096" w:rsidP="00652096" w14:paraId="45269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varies</w:t>
            </w:r>
          </w:p>
        </w:tc>
        <w:tc>
          <w:tcPr>
            <w:tcW w:w="1135" w:type="dxa"/>
            <w:noWrap/>
            <w:hideMark/>
          </w:tcPr>
          <w:p w:rsidR="00652096" w:rsidRPr="00652096" w:rsidP="00652096" w14:paraId="749C34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62</w:t>
            </w:r>
          </w:p>
        </w:tc>
        <w:tc>
          <w:tcPr>
            <w:tcW w:w="1518" w:type="dxa"/>
            <w:noWrap/>
            <w:hideMark/>
          </w:tcPr>
          <w:p w:rsidR="00652096" w:rsidRPr="00652096" w:rsidP="00652096" w14:paraId="2796F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$2,952.44 </w:t>
            </w:r>
          </w:p>
        </w:tc>
      </w:tr>
      <w:tr w14:paraId="7DB93813" w14:textId="77777777" w:rsidTr="00F57A22">
        <w:tblPrEx>
          <w:tblW w:w="9535" w:type="dxa"/>
          <w:tblLook w:val="04A0"/>
        </w:tblPrEx>
        <w:trPr>
          <w:trHeight w:val="240"/>
        </w:trPr>
        <w:tc>
          <w:tcPr>
            <w:tcW w:w="3107" w:type="dxa"/>
            <w:noWrap/>
            <w:hideMark/>
          </w:tcPr>
          <w:p w:rsidR="00652096" w:rsidRPr="00652096" w:rsidP="00652096" w14:paraId="5F7DF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(C)  Contingency Plan and Emergency Procedures</w:t>
            </w:r>
          </w:p>
        </w:tc>
        <w:tc>
          <w:tcPr>
            <w:tcW w:w="1233" w:type="dxa"/>
            <w:noWrap/>
            <w:hideMark/>
          </w:tcPr>
          <w:p w:rsidR="00652096" w:rsidRPr="00652096" w:rsidP="00652096" w14:paraId="7F7FF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$857.16 </w:t>
            </w:r>
          </w:p>
        </w:tc>
        <w:tc>
          <w:tcPr>
            <w:tcW w:w="1240" w:type="dxa"/>
            <w:noWrap/>
            <w:hideMark/>
          </w:tcPr>
          <w:p w:rsidR="00652096" w:rsidRPr="00652096" w:rsidP="00652096" w14:paraId="6AFBF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5E5576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0FBF6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18</w:t>
            </w:r>
          </w:p>
        </w:tc>
        <w:tc>
          <w:tcPr>
            <w:tcW w:w="1518" w:type="dxa"/>
            <w:noWrap/>
            <w:hideMark/>
          </w:tcPr>
          <w:p w:rsidR="00652096" w:rsidRPr="00652096" w:rsidP="00652096" w14:paraId="3C5AA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$857.16 </w:t>
            </w:r>
          </w:p>
        </w:tc>
      </w:tr>
      <w:tr w14:paraId="72475BE0" w14:textId="77777777" w:rsidTr="00F57A22">
        <w:tblPrEx>
          <w:tblW w:w="9535" w:type="dxa"/>
          <w:tblLook w:val="04A0"/>
        </w:tblPrEx>
        <w:trPr>
          <w:trHeight w:val="240"/>
        </w:trPr>
        <w:tc>
          <w:tcPr>
            <w:tcW w:w="3107" w:type="dxa"/>
            <w:noWrap/>
            <w:hideMark/>
          </w:tcPr>
          <w:p w:rsidR="00652096" w:rsidRPr="00652096" w:rsidP="00652096" w14:paraId="45A91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(D)  Closure Requirements</w:t>
            </w:r>
          </w:p>
        </w:tc>
        <w:tc>
          <w:tcPr>
            <w:tcW w:w="1233" w:type="dxa"/>
            <w:noWrap/>
            <w:hideMark/>
          </w:tcPr>
          <w:p w:rsidR="00652096" w:rsidRPr="00652096" w:rsidP="00652096" w14:paraId="03E52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240" w:type="dxa"/>
            <w:noWrap/>
            <w:hideMark/>
          </w:tcPr>
          <w:p w:rsidR="00652096" w:rsidRPr="00652096" w:rsidP="00652096" w14:paraId="09D4E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47E42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165D5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0</w:t>
            </w:r>
          </w:p>
        </w:tc>
        <w:tc>
          <w:tcPr>
            <w:tcW w:w="1518" w:type="dxa"/>
            <w:noWrap/>
            <w:hideMark/>
          </w:tcPr>
          <w:p w:rsidR="00652096" w:rsidRPr="00652096" w:rsidP="00652096" w14:paraId="16F28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r>
      <w:tr w14:paraId="7C04A4E8" w14:textId="77777777" w:rsidTr="00F57A22">
        <w:tblPrEx>
          <w:tblW w:w="9535" w:type="dxa"/>
          <w:tblLook w:val="04A0"/>
        </w:tblPrEx>
        <w:trPr>
          <w:trHeight w:val="240"/>
        </w:trPr>
        <w:tc>
          <w:tcPr>
            <w:tcW w:w="3107" w:type="dxa"/>
            <w:noWrap/>
            <w:hideMark/>
          </w:tcPr>
          <w:p w:rsidR="00652096" w:rsidRPr="00652096" w:rsidP="00652096" w14:paraId="369C9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(E)  Financial Requirements</w:t>
            </w:r>
          </w:p>
        </w:tc>
        <w:tc>
          <w:tcPr>
            <w:tcW w:w="1233" w:type="dxa"/>
            <w:noWrap/>
            <w:hideMark/>
          </w:tcPr>
          <w:p w:rsidR="00652096" w:rsidRPr="00652096" w:rsidP="00652096" w14:paraId="3047F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$8,071.59 </w:t>
            </w:r>
          </w:p>
        </w:tc>
        <w:tc>
          <w:tcPr>
            <w:tcW w:w="1240" w:type="dxa"/>
            <w:noWrap/>
            <w:hideMark/>
          </w:tcPr>
          <w:p w:rsidR="00652096" w:rsidRPr="00652096" w:rsidP="00652096" w14:paraId="52EF5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43006D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026A8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170</w:t>
            </w:r>
          </w:p>
        </w:tc>
        <w:tc>
          <w:tcPr>
            <w:tcW w:w="1518" w:type="dxa"/>
            <w:noWrap/>
            <w:hideMark/>
          </w:tcPr>
          <w:p w:rsidR="00652096" w:rsidRPr="00652096" w:rsidP="00652096" w14:paraId="4BFB1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$8,071.59 </w:t>
            </w:r>
          </w:p>
        </w:tc>
      </w:tr>
      <w:tr w14:paraId="10E94A41" w14:textId="77777777" w:rsidTr="00F57A22">
        <w:tblPrEx>
          <w:tblW w:w="9535" w:type="dxa"/>
          <w:tblLook w:val="04A0"/>
        </w:tblPrEx>
        <w:trPr>
          <w:trHeight w:val="240"/>
        </w:trPr>
        <w:tc>
          <w:tcPr>
            <w:tcW w:w="3107" w:type="dxa"/>
            <w:noWrap/>
            <w:hideMark/>
          </w:tcPr>
          <w:p w:rsidR="00652096" w:rsidRPr="00652096" w:rsidP="00652096" w14:paraId="593759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(F)  Conditions Applicable to All Permits</w:t>
            </w:r>
          </w:p>
        </w:tc>
        <w:tc>
          <w:tcPr>
            <w:tcW w:w="1233" w:type="dxa"/>
            <w:noWrap/>
            <w:hideMark/>
          </w:tcPr>
          <w:p w:rsidR="00652096" w:rsidRPr="00652096" w:rsidP="00652096" w14:paraId="3B5E7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$11,110.16 </w:t>
            </w:r>
          </w:p>
        </w:tc>
        <w:tc>
          <w:tcPr>
            <w:tcW w:w="1240" w:type="dxa"/>
            <w:noWrap/>
            <w:hideMark/>
          </w:tcPr>
          <w:p w:rsidR="00652096" w:rsidRPr="00652096" w:rsidP="00652096" w14:paraId="33133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0339D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5D9BF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234</w:t>
            </w:r>
          </w:p>
        </w:tc>
        <w:tc>
          <w:tcPr>
            <w:tcW w:w="1518" w:type="dxa"/>
            <w:noWrap/>
            <w:hideMark/>
          </w:tcPr>
          <w:p w:rsidR="00652096" w:rsidRPr="00652096" w:rsidP="00652096" w14:paraId="42E97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$11,110.16 </w:t>
            </w:r>
          </w:p>
        </w:tc>
      </w:tr>
      <w:tr w14:paraId="34CEFD6F" w14:textId="77777777" w:rsidTr="00F57A22">
        <w:tblPrEx>
          <w:tblW w:w="9535" w:type="dxa"/>
          <w:tblLook w:val="04A0"/>
        </w:tblPrEx>
        <w:trPr>
          <w:trHeight w:val="240"/>
        </w:trPr>
        <w:tc>
          <w:tcPr>
            <w:tcW w:w="3107" w:type="dxa"/>
            <w:noWrap/>
            <w:hideMark/>
          </w:tcPr>
          <w:p w:rsidR="00652096" w:rsidRPr="00652096" w:rsidP="00652096" w14:paraId="60D266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6</w:t>
            </w:r>
          </w:p>
        </w:tc>
        <w:tc>
          <w:tcPr>
            <w:tcW w:w="1233" w:type="dxa"/>
            <w:noWrap/>
            <w:hideMark/>
          </w:tcPr>
          <w:p w:rsidR="00652096" w:rsidRPr="00652096" w:rsidP="00652096" w14:paraId="02B8A9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0142B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77F59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23D40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196E3A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CED5E68" w14:textId="77777777" w:rsidTr="00F57A22">
        <w:tblPrEx>
          <w:tblW w:w="9535" w:type="dxa"/>
          <w:tblLook w:val="04A0"/>
        </w:tblPrEx>
        <w:trPr>
          <w:trHeight w:val="240"/>
        </w:trPr>
        <w:tc>
          <w:tcPr>
            <w:tcW w:w="3107" w:type="dxa"/>
            <w:noWrap/>
            <w:hideMark/>
          </w:tcPr>
          <w:p w:rsidR="00652096" w:rsidRPr="00652096" w:rsidP="00652096" w14:paraId="03DD5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Specific Unit Requirements for BIFs</w:t>
            </w:r>
          </w:p>
        </w:tc>
        <w:tc>
          <w:tcPr>
            <w:tcW w:w="1233" w:type="dxa"/>
            <w:noWrap/>
            <w:hideMark/>
          </w:tcPr>
          <w:p w:rsidR="00652096" w:rsidRPr="00652096" w:rsidP="00652096" w14:paraId="5C5FB1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$52,798.43 </w:t>
            </w:r>
          </w:p>
        </w:tc>
        <w:tc>
          <w:tcPr>
            <w:tcW w:w="1240" w:type="dxa"/>
            <w:noWrap/>
            <w:hideMark/>
          </w:tcPr>
          <w:p w:rsidR="00652096" w:rsidRPr="00652096" w:rsidP="00652096" w14:paraId="5E37F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2547E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535DE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1,076</w:t>
            </w:r>
          </w:p>
        </w:tc>
        <w:tc>
          <w:tcPr>
            <w:tcW w:w="1518" w:type="dxa"/>
            <w:noWrap/>
            <w:hideMark/>
          </w:tcPr>
          <w:p w:rsidR="00652096" w:rsidRPr="00652096" w:rsidP="00652096" w14:paraId="551CC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$52,798.43 </w:t>
            </w:r>
          </w:p>
        </w:tc>
      </w:tr>
      <w:tr w14:paraId="296D3912" w14:textId="77777777" w:rsidTr="00F57A22">
        <w:tblPrEx>
          <w:tblW w:w="9535" w:type="dxa"/>
          <w:tblLook w:val="04A0"/>
        </w:tblPrEx>
        <w:trPr>
          <w:trHeight w:val="240"/>
        </w:trPr>
        <w:tc>
          <w:tcPr>
            <w:tcW w:w="3107" w:type="dxa"/>
            <w:noWrap/>
            <w:hideMark/>
          </w:tcPr>
          <w:p w:rsidR="00652096" w:rsidRPr="00652096" w:rsidP="00652096" w14:paraId="494BA7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Exhibit 7</w:t>
            </w:r>
          </w:p>
        </w:tc>
        <w:tc>
          <w:tcPr>
            <w:tcW w:w="1233" w:type="dxa"/>
            <w:noWrap/>
            <w:hideMark/>
          </w:tcPr>
          <w:p w:rsidR="00652096" w:rsidRPr="00652096" w:rsidP="00652096" w14:paraId="765B4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240" w:type="dxa"/>
            <w:noWrap/>
            <w:hideMark/>
          </w:tcPr>
          <w:p w:rsidR="00652096" w:rsidRPr="00652096" w:rsidP="00652096" w14:paraId="26E79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302" w:type="dxa"/>
            <w:noWrap/>
            <w:hideMark/>
          </w:tcPr>
          <w:p w:rsidR="00652096" w:rsidRPr="00652096" w:rsidP="00652096" w14:paraId="1EA5F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135" w:type="dxa"/>
            <w:noWrap/>
            <w:hideMark/>
          </w:tcPr>
          <w:p w:rsidR="00652096" w:rsidRPr="00652096" w:rsidP="00652096" w14:paraId="614222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c>
          <w:tcPr>
            <w:tcW w:w="1518" w:type="dxa"/>
            <w:noWrap/>
            <w:hideMark/>
          </w:tcPr>
          <w:p w:rsidR="00652096" w:rsidRPr="00652096" w:rsidP="00652096" w14:paraId="4127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w:t>
            </w:r>
          </w:p>
        </w:tc>
      </w:tr>
      <w:tr w14:paraId="4AA48AEC" w14:textId="77777777" w:rsidTr="00F57A22">
        <w:tblPrEx>
          <w:tblW w:w="9535" w:type="dxa"/>
          <w:tblLook w:val="04A0"/>
        </w:tblPrEx>
        <w:trPr>
          <w:trHeight w:val="240"/>
        </w:trPr>
        <w:tc>
          <w:tcPr>
            <w:tcW w:w="3107" w:type="dxa"/>
            <w:noWrap/>
            <w:hideMark/>
          </w:tcPr>
          <w:p w:rsidR="00652096" w:rsidRPr="00652096" w:rsidP="00652096" w14:paraId="5E334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(A)  General Part B Information Requirements</w:t>
            </w:r>
          </w:p>
        </w:tc>
        <w:tc>
          <w:tcPr>
            <w:tcW w:w="1233" w:type="dxa"/>
            <w:noWrap/>
            <w:hideMark/>
          </w:tcPr>
          <w:p w:rsidR="00652096" w:rsidRPr="00652096" w:rsidP="00652096" w14:paraId="6F5FF7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240" w:type="dxa"/>
            <w:noWrap/>
            <w:hideMark/>
          </w:tcPr>
          <w:p w:rsidR="00652096" w:rsidRPr="00652096" w:rsidP="00652096" w14:paraId="4FB67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27344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1C1D9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0</w:t>
            </w:r>
          </w:p>
        </w:tc>
        <w:tc>
          <w:tcPr>
            <w:tcW w:w="1518" w:type="dxa"/>
            <w:noWrap/>
            <w:hideMark/>
          </w:tcPr>
          <w:p w:rsidR="00652096" w:rsidRPr="00652096" w:rsidP="00652096" w14:paraId="360721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r>
      <w:tr w14:paraId="2E93A560" w14:textId="77777777" w:rsidTr="00F57A22">
        <w:tblPrEx>
          <w:tblW w:w="9535" w:type="dxa"/>
          <w:tblLook w:val="04A0"/>
        </w:tblPrEx>
        <w:trPr>
          <w:trHeight w:val="240"/>
        </w:trPr>
        <w:tc>
          <w:tcPr>
            <w:tcW w:w="3107" w:type="dxa"/>
            <w:noWrap/>
            <w:hideMark/>
          </w:tcPr>
          <w:p w:rsidR="00652096" w:rsidRPr="00652096" w:rsidP="00652096" w14:paraId="25725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(B)  Specific Part B Information Requirements</w:t>
            </w:r>
          </w:p>
        </w:tc>
        <w:tc>
          <w:tcPr>
            <w:tcW w:w="1233" w:type="dxa"/>
            <w:noWrap/>
            <w:hideMark/>
          </w:tcPr>
          <w:p w:rsidR="00652096" w:rsidRPr="00652096" w:rsidP="00652096" w14:paraId="2D8FFD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$1,824.24 </w:t>
            </w:r>
          </w:p>
        </w:tc>
        <w:tc>
          <w:tcPr>
            <w:tcW w:w="1240" w:type="dxa"/>
            <w:noWrap/>
            <w:hideMark/>
          </w:tcPr>
          <w:p w:rsidR="00652096" w:rsidRPr="00652096" w:rsidP="00652096" w14:paraId="07F69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1A5FDB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6A764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37</w:t>
            </w:r>
          </w:p>
        </w:tc>
        <w:tc>
          <w:tcPr>
            <w:tcW w:w="1518" w:type="dxa"/>
            <w:noWrap/>
            <w:hideMark/>
          </w:tcPr>
          <w:p w:rsidR="00652096" w:rsidRPr="00652096" w:rsidP="00652096" w14:paraId="57C7F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$1,824.24 </w:t>
            </w:r>
          </w:p>
        </w:tc>
      </w:tr>
      <w:tr w14:paraId="0473280F" w14:textId="77777777" w:rsidTr="00F57A22">
        <w:tblPrEx>
          <w:tblW w:w="9535" w:type="dxa"/>
          <w:tblLook w:val="04A0"/>
        </w:tblPrEx>
        <w:trPr>
          <w:trHeight w:val="240"/>
        </w:trPr>
        <w:tc>
          <w:tcPr>
            <w:tcW w:w="3107" w:type="dxa"/>
            <w:noWrap/>
            <w:hideMark/>
          </w:tcPr>
          <w:p w:rsidR="00652096" w:rsidRPr="00652096" w:rsidP="00652096" w14:paraId="713C2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(C)  Part B Modification Requirements</w:t>
            </w:r>
          </w:p>
        </w:tc>
        <w:tc>
          <w:tcPr>
            <w:tcW w:w="1233" w:type="dxa"/>
            <w:noWrap/>
            <w:hideMark/>
          </w:tcPr>
          <w:p w:rsidR="00652096" w:rsidRPr="00652096" w:rsidP="00652096" w14:paraId="2CD23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$64,214.10 </w:t>
            </w:r>
          </w:p>
        </w:tc>
        <w:tc>
          <w:tcPr>
            <w:tcW w:w="1240" w:type="dxa"/>
            <w:noWrap/>
            <w:hideMark/>
          </w:tcPr>
          <w:p w:rsidR="00652096" w:rsidRPr="00652096" w:rsidP="00652096" w14:paraId="176419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302" w:type="dxa"/>
            <w:noWrap/>
            <w:hideMark/>
          </w:tcPr>
          <w:p w:rsidR="00652096" w:rsidRPr="00652096" w:rsidP="00652096" w14:paraId="76306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$0.00 </w:t>
            </w:r>
          </w:p>
        </w:tc>
        <w:tc>
          <w:tcPr>
            <w:tcW w:w="1135" w:type="dxa"/>
            <w:noWrap/>
            <w:hideMark/>
          </w:tcPr>
          <w:p w:rsidR="00652096" w:rsidRPr="00652096" w:rsidP="00652096" w14:paraId="3A69E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1,026</w:t>
            </w:r>
          </w:p>
        </w:tc>
        <w:tc>
          <w:tcPr>
            <w:tcW w:w="1518" w:type="dxa"/>
            <w:noWrap/>
            <w:hideMark/>
          </w:tcPr>
          <w:p w:rsidR="00652096" w:rsidRPr="00652096" w:rsidP="00652096" w14:paraId="0CB7D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52096">
              <w:rPr>
                <w:rFonts w:cstheme="minorHAnsi"/>
                <w:sz w:val="20"/>
                <w:szCs w:val="20"/>
              </w:rPr>
              <w:t xml:space="preserve">$64,214.10 </w:t>
            </w:r>
          </w:p>
        </w:tc>
      </w:tr>
      <w:tr w14:paraId="4690068B" w14:textId="77777777" w:rsidTr="00F57A22">
        <w:tblPrEx>
          <w:tblW w:w="9535" w:type="dxa"/>
          <w:tblLook w:val="04A0"/>
        </w:tblPrEx>
        <w:trPr>
          <w:trHeight w:val="240"/>
        </w:trPr>
        <w:tc>
          <w:tcPr>
            <w:tcW w:w="3107" w:type="dxa"/>
            <w:noWrap/>
            <w:hideMark/>
          </w:tcPr>
          <w:p w:rsidR="00652096" w:rsidRPr="00652096" w:rsidP="00652096" w14:paraId="50D48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TOTAL</w:t>
            </w:r>
          </w:p>
        </w:tc>
        <w:tc>
          <w:tcPr>
            <w:tcW w:w="1233" w:type="dxa"/>
            <w:noWrap/>
            <w:hideMark/>
          </w:tcPr>
          <w:p w:rsidR="00652096" w:rsidRPr="00652096" w:rsidP="00652096" w14:paraId="0373D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$153,733.12 </w:t>
            </w:r>
          </w:p>
        </w:tc>
        <w:tc>
          <w:tcPr>
            <w:tcW w:w="1240" w:type="dxa"/>
            <w:noWrap/>
            <w:hideMark/>
          </w:tcPr>
          <w:p w:rsidR="00652096" w:rsidRPr="00652096" w:rsidP="00652096" w14:paraId="0EE49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$0.00 </w:t>
            </w:r>
          </w:p>
        </w:tc>
        <w:tc>
          <w:tcPr>
            <w:tcW w:w="1302" w:type="dxa"/>
            <w:noWrap/>
            <w:hideMark/>
          </w:tcPr>
          <w:p w:rsidR="00652096" w:rsidRPr="00652096" w:rsidP="00652096" w14:paraId="7356B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$0.00 </w:t>
            </w:r>
          </w:p>
        </w:tc>
        <w:tc>
          <w:tcPr>
            <w:tcW w:w="1135" w:type="dxa"/>
            <w:noWrap/>
            <w:hideMark/>
          </w:tcPr>
          <w:p w:rsidR="00652096" w:rsidRPr="00652096" w:rsidP="00652096" w14:paraId="616A5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2,872 </w:t>
            </w:r>
          </w:p>
        </w:tc>
        <w:tc>
          <w:tcPr>
            <w:tcW w:w="1518" w:type="dxa"/>
            <w:noWrap/>
            <w:hideMark/>
          </w:tcPr>
          <w:p w:rsidR="00652096" w:rsidRPr="00652096" w:rsidP="00652096" w14:paraId="48C84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52096">
              <w:rPr>
                <w:rFonts w:cstheme="minorHAnsi"/>
                <w:b/>
                <w:bCs/>
                <w:sz w:val="20"/>
                <w:szCs w:val="20"/>
              </w:rPr>
              <w:t xml:space="preserve">$153,733.12 </w:t>
            </w:r>
          </w:p>
        </w:tc>
      </w:tr>
    </w:tbl>
    <w:p w:rsidR="003B4425" w:rsidRPr="00EB6D36" w:rsidP="003B4425" w14:paraId="2B5594C5" w14:textId="736EC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p>
    <w:p w:rsidR="00D17BB9" w:rsidRPr="00EB6D36" w:rsidP="00854AAE" w14:paraId="00CB15DE" w14:textId="77777777">
      <w:pPr>
        <w:spacing w:before="120" w:after="0"/>
        <w:rPr>
          <w:rFonts w:cstheme="minorHAnsi"/>
          <w:b/>
          <w:bCs/>
        </w:rPr>
      </w:pPr>
      <w:r w:rsidRPr="00EB6D36">
        <w:rPr>
          <w:rFonts w:eastAsiaTheme="majorEastAsia" w:cstheme="minorHAnsi"/>
          <w:b/>
          <w:bCs/>
        </w:rPr>
        <w:t>14c. Agency Non-Labor Costs</w:t>
      </w:r>
    </w:p>
    <w:p w:rsidR="00C955D6" w:rsidRPr="00EB6D36" w:rsidP="00C955D6" w14:paraId="035618FC" w14:textId="27552BD5">
      <w:pPr>
        <w:pStyle w:val="pf0"/>
        <w:rPr>
          <w:rFonts w:asciiTheme="minorHAnsi" w:hAnsiTheme="minorHAnsi" w:cstheme="minorHAnsi"/>
          <w:sz w:val="22"/>
          <w:szCs w:val="22"/>
        </w:rPr>
      </w:pPr>
      <w:r w:rsidRPr="00EB6D36">
        <w:rPr>
          <w:rFonts w:asciiTheme="minorHAnsi" w:hAnsiTheme="minorHAnsi" w:cstheme="minorHAnsi"/>
          <w:sz w:val="22"/>
          <w:szCs w:val="22"/>
        </w:rPr>
        <w:tab/>
        <w:t>There are no Agency non-labor costs associated with this ICR.</w:t>
      </w:r>
    </w:p>
    <w:p w:rsidR="004620CA" w:rsidRPr="00EB6D36" w:rsidP="4BDBF0A0" w14:paraId="08CAF84F" w14:textId="77777777">
      <w:pPr>
        <w:pStyle w:val="ListParagraph"/>
        <w:numPr>
          <w:ilvl w:val="0"/>
          <w:numId w:val="27"/>
        </w:numPr>
        <w:spacing w:before="240" w:after="0"/>
        <w:rPr>
          <w:rFonts w:cstheme="minorHAnsi"/>
          <w:b/>
          <w:bCs/>
        </w:rPr>
      </w:pPr>
      <w:r w:rsidRPr="00EB6D36">
        <w:rPr>
          <w:rFonts w:cstheme="minorHAnsi"/>
          <w:b/>
          <w:bCs/>
        </w:rPr>
        <w:t xml:space="preserve">REASONS FOR </w:t>
      </w:r>
      <w:r w:rsidRPr="00EB6D36" w:rsidR="00AD46F7">
        <w:rPr>
          <w:rFonts w:cstheme="minorHAnsi"/>
          <w:b/>
          <w:bCs/>
        </w:rPr>
        <w:t>CHANGE IN BURDEN</w:t>
      </w:r>
      <w:bookmarkEnd w:id="22"/>
    </w:p>
    <w:p w:rsidR="001F0834" w:rsidRPr="00EB6D36" w:rsidP="00854AAE" w14:paraId="6DA49685" w14:textId="77777777">
      <w:pPr>
        <w:pBdr>
          <w:bottom w:val="single" w:sz="12" w:space="1" w:color="auto"/>
        </w:pBdr>
        <w:spacing w:before="60"/>
        <w:rPr>
          <w:rFonts w:cstheme="minorHAnsi"/>
          <w:bCs/>
          <w:i/>
          <w:iCs/>
        </w:rPr>
      </w:pPr>
      <w:r w:rsidRPr="00EB6D36">
        <w:rPr>
          <w:rFonts w:cstheme="minorHAnsi"/>
          <w:bCs/>
          <w:i/>
          <w:iCs/>
        </w:rPr>
        <w:t>Explain the reasons for any program changes or adjustments reported in the burden or capital/O&amp;M cost estimates.</w:t>
      </w:r>
    </w:p>
    <w:p w:rsidR="000A4005" w:rsidRPr="00B87CF1" w:rsidP="00C03FE4" w14:paraId="0B46630F" w14:textId="5A516B8E">
      <w:pPr>
        <w:ind w:firstLine="360"/>
        <w:rPr>
          <w:rFonts w:cstheme="minorHAnsi"/>
          <w:b/>
          <w:bCs/>
        </w:rPr>
      </w:pPr>
      <w:bookmarkStart w:id="23" w:name="_Toc156593389"/>
      <w:r>
        <w:rPr>
          <w:rStyle w:val="cf01"/>
          <w:rFonts w:asciiTheme="minorHAnsi" w:hAnsiTheme="minorHAnsi" w:cstheme="minorHAnsi"/>
          <w:b w:val="0"/>
          <w:bCs w:val="0"/>
          <w:sz w:val="22"/>
          <w:szCs w:val="22"/>
        </w:rPr>
        <w:t xml:space="preserve">There is no change in burden hours </w:t>
      </w:r>
      <w:r w:rsidR="00EF519E">
        <w:rPr>
          <w:rStyle w:val="cf01"/>
          <w:rFonts w:asciiTheme="minorHAnsi" w:hAnsiTheme="minorHAnsi" w:cstheme="minorHAnsi"/>
          <w:b w:val="0"/>
          <w:bCs w:val="0"/>
          <w:sz w:val="22"/>
          <w:szCs w:val="22"/>
        </w:rPr>
        <w:t>or</w:t>
      </w:r>
      <w:r>
        <w:rPr>
          <w:rStyle w:val="cf01"/>
          <w:rFonts w:asciiTheme="minorHAnsi" w:hAnsiTheme="minorHAnsi" w:cstheme="minorHAnsi"/>
          <w:b w:val="0"/>
          <w:bCs w:val="0"/>
          <w:sz w:val="22"/>
          <w:szCs w:val="22"/>
        </w:rPr>
        <w:t xml:space="preserve"> capital/O&amp;M cost.</w:t>
      </w:r>
    </w:p>
    <w:p w:rsidR="005D140B" w:rsidRPr="00EB6D36" w:rsidP="4BDBF0A0" w14:paraId="5CA0C952" w14:textId="77777777">
      <w:pPr>
        <w:pStyle w:val="ListParagraph"/>
        <w:numPr>
          <w:ilvl w:val="0"/>
          <w:numId w:val="27"/>
        </w:numPr>
        <w:spacing w:before="240" w:after="0"/>
        <w:rPr>
          <w:rFonts w:cstheme="minorHAnsi"/>
          <w:b/>
          <w:bCs/>
        </w:rPr>
      </w:pPr>
      <w:r w:rsidRPr="00EB6D36">
        <w:rPr>
          <w:rFonts w:cstheme="minorHAnsi"/>
          <w:b/>
          <w:bCs/>
        </w:rPr>
        <w:t xml:space="preserve">PUBLICATION OF </w:t>
      </w:r>
      <w:bookmarkStart w:id="24" w:name="_Toc156593390"/>
      <w:bookmarkEnd w:id="23"/>
      <w:r w:rsidRPr="00EB6D36" w:rsidR="00E73E81">
        <w:rPr>
          <w:rFonts w:cstheme="minorHAnsi"/>
          <w:b/>
          <w:bCs/>
        </w:rPr>
        <w:t>DATA</w:t>
      </w:r>
    </w:p>
    <w:p w:rsidR="001F0834" w:rsidRPr="00EB6D36" w:rsidP="00854AAE" w14:paraId="1F5826C2" w14:textId="77777777">
      <w:pPr>
        <w:pBdr>
          <w:bottom w:val="single" w:sz="12" w:space="1" w:color="auto"/>
        </w:pBdr>
        <w:spacing w:before="60"/>
        <w:rPr>
          <w:rFonts w:cstheme="minorHAnsi"/>
          <w:bCs/>
          <w:i/>
          <w:iCs/>
        </w:rPr>
      </w:pPr>
      <w:r w:rsidRPr="00EB6D36">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EB6D36" w:rsidP="00854AAE" w14:paraId="13D39D65" w14:textId="519698C8">
      <w:pPr>
        <w:pBdr>
          <w:top w:val="single" w:sz="6" w:space="0" w:color="FFFFFF"/>
          <w:left w:val="single" w:sz="6" w:space="0" w:color="FFFFFF"/>
          <w:bottom w:val="single" w:sz="6" w:space="0" w:color="FFFFFF"/>
          <w:right w:val="single" w:sz="6" w:space="0" w:color="FFFFFF"/>
        </w:pBdr>
        <w:rPr>
          <w:rFonts w:cstheme="minorHAnsi"/>
        </w:rPr>
      </w:pPr>
      <w:r w:rsidRPr="00EB6D36">
        <w:rPr>
          <w:rFonts w:cstheme="minorHAnsi"/>
        </w:rPr>
        <w:tab/>
      </w:r>
      <w:r w:rsidRPr="00AF28F1" w:rsidR="00AF28F1">
        <w:rPr>
          <w:rFonts w:cstheme="minorHAnsi"/>
        </w:rPr>
        <w:t>Results from this ICR are not published formally. They are used to calculate agency-level accomplishments and site-specific impacts on publicly available EPA websites.</w:t>
      </w:r>
    </w:p>
    <w:p w:rsidR="00627768" w:rsidRPr="00EB6D36" w:rsidP="4BDBF0A0" w14:paraId="3849F905" w14:textId="77777777">
      <w:pPr>
        <w:pStyle w:val="ListParagraph"/>
        <w:numPr>
          <w:ilvl w:val="0"/>
          <w:numId w:val="27"/>
        </w:numPr>
        <w:spacing w:before="240" w:after="0"/>
        <w:rPr>
          <w:rFonts w:cstheme="minorHAnsi"/>
          <w:b/>
          <w:bCs/>
        </w:rPr>
      </w:pPr>
      <w:r w:rsidRPr="00EB6D36">
        <w:rPr>
          <w:rFonts w:cstheme="minorHAnsi"/>
          <w:b/>
          <w:bCs/>
        </w:rPr>
        <w:t xml:space="preserve">DISPLAY </w:t>
      </w:r>
      <w:r w:rsidRPr="00EB6D36" w:rsidR="00644EBE">
        <w:rPr>
          <w:rFonts w:cstheme="minorHAnsi"/>
          <w:b/>
          <w:bCs/>
        </w:rPr>
        <w:t xml:space="preserve">OF </w:t>
      </w:r>
      <w:r w:rsidRPr="00EB6D36" w:rsidR="000D5863">
        <w:rPr>
          <w:rFonts w:cstheme="minorHAnsi"/>
          <w:b/>
          <w:bCs/>
        </w:rPr>
        <w:t>EXPIRATION DATE</w:t>
      </w:r>
      <w:bookmarkEnd w:id="24"/>
      <w:r w:rsidRPr="00EB6D36" w:rsidR="00644EBE">
        <w:rPr>
          <w:rFonts w:cstheme="minorHAnsi"/>
          <w:b/>
          <w:bCs/>
        </w:rPr>
        <w:t xml:space="preserve"> </w:t>
      </w:r>
    </w:p>
    <w:p w:rsidR="001F0834" w:rsidRPr="00EB6D36" w:rsidP="00854AAE" w14:paraId="08E2F9AE" w14:textId="77777777">
      <w:pPr>
        <w:pBdr>
          <w:bottom w:val="single" w:sz="12" w:space="1" w:color="auto"/>
        </w:pBdr>
        <w:spacing w:before="60"/>
        <w:rPr>
          <w:rFonts w:cstheme="minorHAnsi"/>
          <w:i/>
          <w:iCs/>
        </w:rPr>
      </w:pPr>
      <w:r w:rsidRPr="00EB6D36">
        <w:rPr>
          <w:rFonts w:cstheme="minorHAnsi"/>
          <w:i/>
          <w:iCs/>
        </w:rPr>
        <w:t>If seeking approval to not display the expiration date for OMB approval of the information collection, explain the reasons that display would be inappropriate.</w:t>
      </w:r>
    </w:p>
    <w:p w:rsidR="000A4005" w:rsidRPr="00EB6D36" w:rsidP="008B5109" w14:paraId="32072173" w14:textId="041B39CB">
      <w:pPr>
        <w:pBdr>
          <w:top w:val="single" w:sz="6" w:space="0" w:color="FFFFFF"/>
          <w:left w:val="single" w:sz="6" w:space="0" w:color="FFFFFF"/>
          <w:bottom w:val="single" w:sz="6" w:space="0" w:color="FFFFFF"/>
          <w:right w:val="single" w:sz="6" w:space="0" w:color="FFFFFF"/>
        </w:pBdr>
        <w:ind w:firstLine="720"/>
        <w:rPr>
          <w:rFonts w:cstheme="minorHAnsi"/>
        </w:rPr>
      </w:pPr>
      <w:bookmarkStart w:id="25" w:name="_Toc156593391"/>
      <w:r w:rsidRPr="00AF28F1">
        <w:rPr>
          <w:rFonts w:cstheme="minorHAnsi"/>
        </w:rPr>
        <w:t>The agency plans to display the expiration date for OMB approval of the information collection on all instruments.</w:t>
      </w:r>
    </w:p>
    <w:p w:rsidR="00691828" w:rsidRPr="00EB6D36" w:rsidP="00854AAE" w14:paraId="0C414566" w14:textId="77777777">
      <w:pPr>
        <w:pStyle w:val="ListParagraph"/>
        <w:numPr>
          <w:ilvl w:val="0"/>
          <w:numId w:val="27"/>
        </w:numPr>
        <w:spacing w:before="240" w:after="0"/>
        <w:rPr>
          <w:rFonts w:cstheme="minorHAnsi"/>
          <w:b/>
          <w:bCs/>
        </w:rPr>
      </w:pPr>
      <w:r w:rsidRPr="00EB6D36">
        <w:rPr>
          <w:rFonts w:cstheme="minorHAnsi"/>
          <w:b/>
          <w:bCs/>
        </w:rPr>
        <w:t>CERTIFICATION STATEMENT</w:t>
      </w:r>
      <w:bookmarkEnd w:id="25"/>
    </w:p>
    <w:p w:rsidR="001F0834" w:rsidRPr="00EB6D36" w:rsidP="00854AAE" w14:paraId="3F100C1B" w14:textId="77777777">
      <w:pPr>
        <w:pBdr>
          <w:bottom w:val="single" w:sz="12" w:space="1" w:color="auto"/>
        </w:pBdr>
        <w:spacing w:before="60"/>
        <w:rPr>
          <w:rFonts w:cstheme="minorHAnsi"/>
          <w:i/>
          <w:iCs/>
        </w:rPr>
      </w:pPr>
      <w:r w:rsidRPr="00EB6D36">
        <w:rPr>
          <w:rFonts w:cstheme="minorHAnsi"/>
          <w:i/>
          <w:iCs/>
        </w:rPr>
        <w:t>Explain each exception to the topics of the certification statement identified in “Certification for Paperwork Reduction Act Submissions.”</w:t>
      </w:r>
    </w:p>
    <w:p w:rsidR="000A4005" w:rsidRPr="00EB6D36" w:rsidP="008B5109" w14:paraId="184D4944" w14:textId="0CF91F68">
      <w:pPr>
        <w:pBdr>
          <w:top w:val="single" w:sz="6" w:space="0" w:color="FFFFFF"/>
          <w:left w:val="single" w:sz="6" w:space="0" w:color="FFFFFF"/>
          <w:bottom w:val="single" w:sz="6" w:space="0" w:color="FFFFFF"/>
          <w:right w:val="single" w:sz="6" w:space="0" w:color="FFFFFF"/>
        </w:pBdr>
        <w:ind w:firstLine="720"/>
        <w:rPr>
          <w:rFonts w:cstheme="minorHAnsi"/>
        </w:rPr>
      </w:pPr>
      <w:r w:rsidRPr="00AF28F1">
        <w:rPr>
          <w:rFonts w:cstheme="minorHAnsi"/>
        </w:rPr>
        <w:t>This information collection complies with all provisions of the Certification for Paperwork Reduction Act Submissions.</w:t>
      </w:r>
    </w:p>
    <w:p w:rsidR="00BB3410" w:rsidRPr="00DE7D97" w:rsidP="000A4005" w14:paraId="65AD4E89" w14:textId="5E3E54EF">
      <w:pPr>
        <w:pBdr>
          <w:top w:val="single" w:sz="6" w:space="0" w:color="FFFFFF"/>
          <w:left w:val="single" w:sz="6" w:space="0" w:color="FFFFFF"/>
          <w:bottom w:val="single" w:sz="6" w:space="0" w:color="FFFFFF"/>
          <w:right w:val="single" w:sz="6" w:space="0" w:color="FFFFFF"/>
        </w:pBdr>
      </w:pPr>
    </w:p>
    <w:sectPr w:rsidSect="00DE7D97">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117386">
    <w:abstractNumId w:val="11"/>
  </w:num>
  <w:num w:numId="2" w16cid:durableId="1302268783">
    <w:abstractNumId w:val="4"/>
  </w:num>
  <w:num w:numId="3" w16cid:durableId="229655113">
    <w:abstractNumId w:val="2"/>
  </w:num>
  <w:num w:numId="4" w16cid:durableId="1534926436">
    <w:abstractNumId w:val="26"/>
  </w:num>
  <w:num w:numId="5" w16cid:durableId="882794447">
    <w:abstractNumId w:val="17"/>
  </w:num>
  <w:num w:numId="6" w16cid:durableId="99033897">
    <w:abstractNumId w:val="24"/>
  </w:num>
  <w:num w:numId="7" w16cid:durableId="240993441">
    <w:abstractNumId w:val="14"/>
  </w:num>
  <w:num w:numId="8" w16cid:durableId="1385522969">
    <w:abstractNumId w:val="20"/>
  </w:num>
  <w:num w:numId="9" w16cid:durableId="1973976722">
    <w:abstractNumId w:val="7"/>
  </w:num>
  <w:num w:numId="10" w16cid:durableId="466630074">
    <w:abstractNumId w:val="3"/>
  </w:num>
  <w:num w:numId="11" w16cid:durableId="2132967092">
    <w:abstractNumId w:val="6"/>
  </w:num>
  <w:num w:numId="12" w16cid:durableId="1939561481">
    <w:abstractNumId w:val="9"/>
  </w:num>
  <w:num w:numId="13" w16cid:durableId="139613781">
    <w:abstractNumId w:val="27"/>
  </w:num>
  <w:num w:numId="14" w16cid:durableId="520821123">
    <w:abstractNumId w:val="5"/>
  </w:num>
  <w:num w:numId="15" w16cid:durableId="1133207072">
    <w:abstractNumId w:val="8"/>
  </w:num>
  <w:num w:numId="16" w16cid:durableId="1410226067">
    <w:abstractNumId w:val="12"/>
  </w:num>
  <w:num w:numId="17" w16cid:durableId="67264762">
    <w:abstractNumId w:val="21"/>
  </w:num>
  <w:num w:numId="18" w16cid:durableId="1889801609">
    <w:abstractNumId w:val="19"/>
  </w:num>
  <w:num w:numId="19" w16cid:durableId="1750620033">
    <w:abstractNumId w:val="23"/>
  </w:num>
  <w:num w:numId="20" w16cid:durableId="1432429237">
    <w:abstractNumId w:val="10"/>
  </w:num>
  <w:num w:numId="21" w16cid:durableId="1757437174">
    <w:abstractNumId w:val="1"/>
  </w:num>
  <w:num w:numId="22" w16cid:durableId="571081125">
    <w:abstractNumId w:val="13"/>
  </w:num>
  <w:num w:numId="23" w16cid:durableId="789402184">
    <w:abstractNumId w:val="25"/>
  </w:num>
  <w:num w:numId="24" w16cid:durableId="341513666">
    <w:abstractNumId w:val="0"/>
  </w:num>
  <w:num w:numId="25" w16cid:durableId="1991591705">
    <w:abstractNumId w:val="15"/>
  </w:num>
  <w:num w:numId="26" w16cid:durableId="179245215">
    <w:abstractNumId w:val="18"/>
  </w:num>
  <w:num w:numId="27" w16cid:durableId="1647465064">
    <w:abstractNumId w:val="22"/>
  </w:num>
  <w:num w:numId="28" w16cid:durableId="70236471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005"/>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4696"/>
    <w:rsid w:val="00165275"/>
    <w:rsid w:val="00166B27"/>
    <w:rsid w:val="00170329"/>
    <w:rsid w:val="00170689"/>
    <w:rsid w:val="00170EB8"/>
    <w:rsid w:val="0017193B"/>
    <w:rsid w:val="00171DC0"/>
    <w:rsid w:val="00173422"/>
    <w:rsid w:val="00173E50"/>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E74FA"/>
    <w:rsid w:val="001F0834"/>
    <w:rsid w:val="001F0D3B"/>
    <w:rsid w:val="001F1A52"/>
    <w:rsid w:val="001F1F14"/>
    <w:rsid w:val="001F34A5"/>
    <w:rsid w:val="001F370A"/>
    <w:rsid w:val="001F5541"/>
    <w:rsid w:val="001F75D9"/>
    <w:rsid w:val="001F78F0"/>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16B1"/>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BAA"/>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92"/>
    <w:rsid w:val="003E5AAE"/>
    <w:rsid w:val="003E5D61"/>
    <w:rsid w:val="003E7E56"/>
    <w:rsid w:val="003F0A11"/>
    <w:rsid w:val="003F36DC"/>
    <w:rsid w:val="003F5429"/>
    <w:rsid w:val="003F639F"/>
    <w:rsid w:val="003F6664"/>
    <w:rsid w:val="003F68E1"/>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06627"/>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693"/>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494"/>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74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F41"/>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481"/>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5D4"/>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109"/>
    <w:rsid w:val="008B57B0"/>
    <w:rsid w:val="008C06CB"/>
    <w:rsid w:val="008C0C83"/>
    <w:rsid w:val="008C3C44"/>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4AE"/>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1EC"/>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17DA"/>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021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5BFC"/>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7EDE"/>
    <w:rsid w:val="00AE026A"/>
    <w:rsid w:val="00AE1346"/>
    <w:rsid w:val="00AE2594"/>
    <w:rsid w:val="00AE274D"/>
    <w:rsid w:val="00AE3624"/>
    <w:rsid w:val="00AE3760"/>
    <w:rsid w:val="00AE3F7E"/>
    <w:rsid w:val="00AE63B1"/>
    <w:rsid w:val="00AE79C5"/>
    <w:rsid w:val="00AE7BE7"/>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0D06"/>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28B9"/>
    <w:rsid w:val="00C02D9A"/>
    <w:rsid w:val="00C033E9"/>
    <w:rsid w:val="00C0389F"/>
    <w:rsid w:val="00C03FE4"/>
    <w:rsid w:val="00C04326"/>
    <w:rsid w:val="00C046AD"/>
    <w:rsid w:val="00C054E3"/>
    <w:rsid w:val="00C066B7"/>
    <w:rsid w:val="00C07AAE"/>
    <w:rsid w:val="00C07D74"/>
    <w:rsid w:val="00C10FED"/>
    <w:rsid w:val="00C11ED5"/>
    <w:rsid w:val="00C13401"/>
    <w:rsid w:val="00C13B84"/>
    <w:rsid w:val="00C14B7B"/>
    <w:rsid w:val="00C14D9D"/>
    <w:rsid w:val="00C1628D"/>
    <w:rsid w:val="00C20372"/>
    <w:rsid w:val="00C2356F"/>
    <w:rsid w:val="00C24C6C"/>
    <w:rsid w:val="00C25A7A"/>
    <w:rsid w:val="00C27150"/>
    <w:rsid w:val="00C30469"/>
    <w:rsid w:val="00C3183C"/>
    <w:rsid w:val="00C3230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3AD3"/>
    <w:rsid w:val="00CD4100"/>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D97"/>
    <w:rsid w:val="00DF0955"/>
    <w:rsid w:val="00DF3AA1"/>
    <w:rsid w:val="00DF4973"/>
    <w:rsid w:val="00DF6030"/>
    <w:rsid w:val="00DF6B59"/>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19E"/>
    <w:rsid w:val="00EF71E8"/>
    <w:rsid w:val="00EF7A31"/>
    <w:rsid w:val="00EF7B2E"/>
    <w:rsid w:val="00F0015C"/>
    <w:rsid w:val="00F02003"/>
    <w:rsid w:val="00F0705E"/>
    <w:rsid w:val="00F071BE"/>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821"/>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11155</Words>
  <Characters>63700</Characters>
  <Application>Microsoft Office Word</Application>
  <DocSecurity>0</DocSecurity>
  <Lines>1447</Lines>
  <Paragraphs>841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74014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Schultz, Eric</cp:lastModifiedBy>
  <cp:revision>3</cp:revision>
  <cp:lastPrinted>2024-12-19T21:01:00Z</cp:lastPrinted>
  <dcterms:created xsi:type="dcterms:W3CDTF">2026-06-30T18:07:00Z</dcterms:created>
  <dcterms:modified xsi:type="dcterms:W3CDTF">2026-06-30T18:44:00Z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