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63B366FE" w:rsidRPr="000C0B5F" w:rsidP="003D1FCB" w14:paraId="46692DEB" w14:textId="18E8CE09">
      <w:pPr>
        <w:jc w:val="center"/>
      </w:pPr>
      <w:bookmarkStart w:id="0" w:name="_Toc49148152"/>
      <w:r w:rsidRPr="000C0B5F">
        <w:t>U.S. Environmental Protection Agency</w:t>
      </w:r>
    </w:p>
    <w:p w:rsidR="002C57D1" w:rsidRPr="000C0B5F" w:rsidP="003D1FCB" w14:paraId="12485FB6" w14:textId="17CC9166">
      <w:pPr>
        <w:jc w:val="center"/>
      </w:pPr>
      <w:r w:rsidRPr="000C0B5F">
        <w:t>Information Collection Request</w:t>
      </w:r>
    </w:p>
    <w:p w:rsidR="00052926" w:rsidRPr="000C0B5F" w:rsidP="000F6DEE" w14:paraId="0CA0107B" w14:textId="1D0BC6C2">
      <w:pPr>
        <w:pStyle w:val="Heading1"/>
      </w:pPr>
      <w:r w:rsidRPr="000C0B5F">
        <w:t xml:space="preserve">TITLE: </w:t>
      </w:r>
      <w:r w:rsidRPr="000C0B5F" w:rsidR="008A24DF">
        <w:t>NESHAP for Radionuclides (40 CFR part 61, subparts B, K, R and W) (Renewal)</w:t>
      </w:r>
    </w:p>
    <w:p w:rsidR="00EE2403" w:rsidRPr="000C0B5F" w:rsidP="000F6DEE" w14:paraId="71D5121E" w14:textId="5D42E42D">
      <w:pPr>
        <w:pStyle w:val="Heading1"/>
      </w:pPr>
      <w:r w:rsidRPr="000C0B5F">
        <w:t xml:space="preserve">OMB CONTROL NUMBER: </w:t>
      </w:r>
      <w:r w:rsidRPr="000C0B5F" w:rsidR="008A24DF">
        <w:t>2060-0191</w:t>
      </w:r>
    </w:p>
    <w:p w:rsidR="00EE2403" w:rsidRPr="000C0B5F" w:rsidP="000F6DEE" w14:paraId="4FB77BCA" w14:textId="49154ADC">
      <w:pPr>
        <w:pStyle w:val="Heading1"/>
      </w:pPr>
      <w:r w:rsidRPr="000C0B5F">
        <w:t xml:space="preserve">EPA ICR NUMBER: </w:t>
      </w:r>
      <w:r w:rsidRPr="000C0B5F" w:rsidR="008A24DF">
        <w:t>1100.1</w:t>
      </w:r>
      <w:r w:rsidRPr="000C0B5F" w:rsidR="002843FE">
        <w:t>8</w:t>
      </w:r>
    </w:p>
    <w:p w:rsidR="0011244C" w:rsidRPr="000C0B5F" w:rsidP="001A7CD2" w14:paraId="671E1787" w14:textId="24E1E647">
      <w:pPr>
        <w:pStyle w:val="Heading1"/>
        <w:spacing w:after="120"/>
      </w:pPr>
      <w:r w:rsidRPr="000C0B5F">
        <w:t>ABSTRACT:</w:t>
      </w:r>
      <w:r w:rsidRPr="000C0B5F" w:rsidR="00E4794D">
        <w:t xml:space="preserve"> </w:t>
      </w:r>
    </w:p>
    <w:p w:rsidR="008A24DF" w:rsidRPr="000C0B5F" w:rsidP="000675A6" w14:paraId="13AB6478" w14:textId="6EB0DA35">
      <w:pPr>
        <w:spacing w:line="276" w:lineRule="auto"/>
      </w:pPr>
      <w:r w:rsidRPr="000C0B5F">
        <w:t xml:space="preserve">On December 15, 1989, pursuant to Section 112 of the Clean Air Act, as amended in 1977 (42 USC 1857), </w:t>
      </w:r>
      <w:r w:rsidRPr="000C0B5F">
        <w:t>the EPA</w:t>
      </w:r>
      <w:r w:rsidRPr="000C0B5F">
        <w:t xml:space="preserve"> promulgated National Emission Standards for Hazardous Air Pollutants (NESHAPs) to control radionuclide emissions from several source categories. The regulations were published </w:t>
      </w:r>
      <w:r w:rsidRPr="000C0B5F">
        <w:t>in</w:t>
      </w:r>
      <w:r w:rsidRPr="000C0B5F">
        <w:t xml:space="preserve"> 54 FR 51653 and are codified at 40 CFR part 61. Of the subparts included in the 1989 rule, as currently amended, four apply to privately-operated facilities. In addition to requiring operational practices that limit emissions, subparts B, K, R, and W impose radionuclide dose and emission limits on source categories as listed in Table 1</w:t>
      </w:r>
      <w:r w:rsidRPr="000C0B5F" w:rsidR="001A7CD2">
        <w:t>.</w:t>
      </w:r>
    </w:p>
    <w:p w:rsidR="008A24DF" w:rsidRPr="000C0B5F" w:rsidP="00454889" w14:paraId="5123BA9B" w14:textId="77777777">
      <w:pPr>
        <w:rPr>
          <w:b/>
          <w:bCs/>
        </w:rPr>
      </w:pPr>
      <w:r w:rsidRPr="000C0B5F">
        <w:rPr>
          <w:b/>
          <w:bCs/>
        </w:rPr>
        <w:t>Table 1: Dose and Emissions Limits by Subpart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773"/>
        <w:gridCol w:w="3692"/>
        <w:gridCol w:w="3865"/>
      </w:tblGrid>
      <w:tr w14:paraId="66FC1A6E" w14:textId="77777777" w:rsidTr="00AB6141">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c>
          <w:tcPr>
            <w:tcW w:w="1776" w:type="dxa"/>
          </w:tcPr>
          <w:p w:rsidR="008A24DF" w:rsidRPr="000C0B5F" w:rsidP="00454889" w14:paraId="588AB764" w14:textId="77777777">
            <w:pPr>
              <w:rPr>
                <w:b/>
                <w:bCs/>
              </w:rPr>
            </w:pPr>
            <w:r w:rsidRPr="000C0B5F">
              <w:rPr>
                <w:b/>
                <w:bCs/>
              </w:rPr>
              <w:t>Subpart</w:t>
            </w:r>
          </w:p>
        </w:tc>
        <w:tc>
          <w:tcPr>
            <w:tcW w:w="3699" w:type="dxa"/>
          </w:tcPr>
          <w:p w:rsidR="008A24DF" w:rsidRPr="000C0B5F" w:rsidP="00454889" w14:paraId="5CAA4D32" w14:textId="77777777">
            <w:pPr>
              <w:rPr>
                <w:b/>
                <w:bCs/>
              </w:rPr>
            </w:pPr>
            <w:r w:rsidRPr="000C0B5F">
              <w:rPr>
                <w:b/>
                <w:bCs/>
              </w:rPr>
              <w:t>Source Category</w:t>
            </w:r>
          </w:p>
        </w:tc>
        <w:tc>
          <w:tcPr>
            <w:tcW w:w="3875" w:type="dxa"/>
          </w:tcPr>
          <w:p w:rsidR="008A24DF" w:rsidRPr="000C0B5F" w:rsidP="00454889" w14:paraId="0C605727" w14:textId="77777777">
            <w:pPr>
              <w:rPr>
                <w:b/>
                <w:bCs/>
              </w:rPr>
            </w:pPr>
            <w:r w:rsidRPr="000C0B5F">
              <w:rPr>
                <w:b/>
                <w:bCs/>
              </w:rPr>
              <w:t>Dose or Release Limit</w:t>
            </w:r>
          </w:p>
        </w:tc>
      </w:tr>
      <w:tr w14:paraId="0E78DD01" w14:textId="77777777" w:rsidTr="00AB6141">
        <w:tblPrEx>
          <w:tblW w:w="0" w:type="auto"/>
          <w:tblLook w:val="04A0"/>
        </w:tblPrEx>
        <w:tc>
          <w:tcPr>
            <w:tcW w:w="1776" w:type="dxa"/>
          </w:tcPr>
          <w:p w:rsidR="008A24DF" w:rsidRPr="000C0B5F" w:rsidP="00454889" w14:paraId="708ECEB1" w14:textId="77777777">
            <w:r w:rsidRPr="000C0B5F">
              <w:t>B</w:t>
            </w:r>
          </w:p>
        </w:tc>
        <w:tc>
          <w:tcPr>
            <w:tcW w:w="3699" w:type="dxa"/>
          </w:tcPr>
          <w:p w:rsidR="008A24DF" w:rsidRPr="000C0B5F" w:rsidP="00454889" w14:paraId="319C493F" w14:textId="77777777">
            <w:r w:rsidRPr="000C0B5F">
              <w:t>Underground Uranium Mines</w:t>
            </w:r>
          </w:p>
        </w:tc>
        <w:tc>
          <w:tcPr>
            <w:tcW w:w="3875" w:type="dxa"/>
          </w:tcPr>
          <w:p w:rsidR="008A24DF" w:rsidRPr="000C0B5F" w:rsidP="00454889" w14:paraId="53B2D3EC" w14:textId="77777777">
            <w:r w:rsidRPr="000C0B5F">
              <w:t>10 mrem/yr due to Radon-222</w:t>
            </w:r>
          </w:p>
        </w:tc>
      </w:tr>
      <w:tr w14:paraId="6B3D7EF5" w14:textId="77777777" w:rsidTr="00AB6141">
        <w:tblPrEx>
          <w:tblW w:w="0" w:type="auto"/>
          <w:tblLook w:val="04A0"/>
        </w:tblPrEx>
        <w:tc>
          <w:tcPr>
            <w:tcW w:w="1776" w:type="dxa"/>
          </w:tcPr>
          <w:p w:rsidR="008A24DF" w:rsidRPr="000C0B5F" w:rsidP="00454889" w14:paraId="4DC321CA" w14:textId="77777777">
            <w:r w:rsidRPr="000C0B5F">
              <w:t>K</w:t>
            </w:r>
          </w:p>
        </w:tc>
        <w:tc>
          <w:tcPr>
            <w:tcW w:w="3699" w:type="dxa"/>
          </w:tcPr>
          <w:p w:rsidR="008A24DF" w:rsidRPr="000C0B5F" w:rsidP="00454889" w14:paraId="51F42596" w14:textId="77777777">
            <w:r w:rsidRPr="000C0B5F">
              <w:t>Elemental Phosphorous Plants</w:t>
            </w:r>
          </w:p>
        </w:tc>
        <w:tc>
          <w:tcPr>
            <w:tcW w:w="3875" w:type="dxa"/>
          </w:tcPr>
          <w:p w:rsidR="008A24DF" w:rsidRPr="000C0B5F" w:rsidP="00454889" w14:paraId="1E52D837" w14:textId="77777777">
            <w:r w:rsidRPr="000C0B5F">
              <w:t>2 curies/yr of Polonium-210</w:t>
            </w:r>
          </w:p>
        </w:tc>
      </w:tr>
      <w:tr w14:paraId="209D5703" w14:textId="77777777" w:rsidTr="00AB6141">
        <w:tblPrEx>
          <w:tblW w:w="0" w:type="auto"/>
          <w:tblLook w:val="04A0"/>
        </w:tblPrEx>
        <w:tc>
          <w:tcPr>
            <w:tcW w:w="1776" w:type="dxa"/>
          </w:tcPr>
          <w:p w:rsidR="008A24DF" w:rsidRPr="000C0B5F" w:rsidP="00454889" w14:paraId="313C7A0F" w14:textId="77777777">
            <w:r w:rsidRPr="000C0B5F">
              <w:t>R</w:t>
            </w:r>
          </w:p>
        </w:tc>
        <w:tc>
          <w:tcPr>
            <w:tcW w:w="3699" w:type="dxa"/>
          </w:tcPr>
          <w:p w:rsidR="008A24DF" w:rsidRPr="000C0B5F" w:rsidP="00454889" w14:paraId="7823716E" w14:textId="77777777">
            <w:r w:rsidRPr="000C0B5F">
              <w:t>Phosphogypsum Stacks</w:t>
            </w:r>
          </w:p>
        </w:tc>
        <w:tc>
          <w:tcPr>
            <w:tcW w:w="3875" w:type="dxa"/>
          </w:tcPr>
          <w:p w:rsidR="008A24DF" w:rsidRPr="000C0B5F" w:rsidP="00454889" w14:paraId="02C37CF4" w14:textId="77777777">
            <w:r w:rsidRPr="000C0B5F">
              <w:t xml:space="preserve">20 </w:t>
            </w:r>
            <w:r w:rsidRPr="000C0B5F">
              <w:t>pCi</w:t>
            </w:r>
            <w:r w:rsidRPr="000C0B5F">
              <w:t>/m</w:t>
            </w:r>
            <w:r w:rsidRPr="000C0B5F">
              <w:rPr>
                <w:vertAlign w:val="superscript"/>
              </w:rPr>
              <w:t>2</w:t>
            </w:r>
            <w:r w:rsidRPr="000C0B5F">
              <w:t>/s of Radon-222</w:t>
            </w:r>
          </w:p>
        </w:tc>
      </w:tr>
      <w:tr w14:paraId="0EFD2B93" w14:textId="77777777" w:rsidTr="00AB6141">
        <w:tblPrEx>
          <w:tblW w:w="0" w:type="auto"/>
          <w:tblLook w:val="04A0"/>
        </w:tblPrEx>
        <w:trPr>
          <w:trHeight w:val="323"/>
        </w:trPr>
        <w:tc>
          <w:tcPr>
            <w:tcW w:w="1776" w:type="dxa"/>
          </w:tcPr>
          <w:p w:rsidR="008A24DF" w:rsidRPr="000C0B5F" w:rsidP="00454889" w14:paraId="4F1FD4AD" w14:textId="77777777">
            <w:r w:rsidRPr="000C0B5F">
              <w:t>W</w:t>
            </w:r>
          </w:p>
        </w:tc>
        <w:tc>
          <w:tcPr>
            <w:tcW w:w="3699" w:type="dxa"/>
          </w:tcPr>
          <w:p w:rsidR="008A24DF" w:rsidRPr="000C0B5F" w:rsidP="00454889" w14:paraId="132EBF60" w14:textId="77777777">
            <w:r w:rsidRPr="000C0B5F">
              <w:t>Uranium Mill Tailings</w:t>
            </w:r>
          </w:p>
        </w:tc>
        <w:tc>
          <w:tcPr>
            <w:tcW w:w="3875" w:type="dxa"/>
          </w:tcPr>
          <w:p w:rsidR="008A24DF" w:rsidRPr="000C0B5F" w:rsidP="00454889" w14:paraId="03708724" w14:textId="77777777">
            <w:r w:rsidRPr="000C0B5F">
              <w:t xml:space="preserve">20 </w:t>
            </w:r>
            <w:r w:rsidRPr="000C0B5F">
              <w:t>pCi</w:t>
            </w:r>
            <w:r w:rsidRPr="000C0B5F">
              <w:t>/m</w:t>
            </w:r>
            <w:r w:rsidRPr="000C0B5F">
              <w:rPr>
                <w:vertAlign w:val="superscript"/>
              </w:rPr>
              <w:t>2</w:t>
            </w:r>
            <w:r w:rsidRPr="000C0B5F">
              <w:t>/s of Radon-222</w:t>
            </w:r>
          </w:p>
        </w:tc>
      </w:tr>
    </w:tbl>
    <w:p w:rsidR="00872792" w:rsidRPr="000C0B5F" w:rsidP="003D1FCB" w14:paraId="056571B9" w14:textId="3921D88F">
      <w:pPr>
        <w:spacing w:before="240" w:line="276" w:lineRule="auto"/>
        <w:rPr>
          <w:b/>
          <w:bCs/>
          <w:u w:val="single"/>
        </w:rPr>
      </w:pPr>
      <w:r w:rsidRPr="000C0B5F">
        <w:t xml:space="preserve">Information collected is used by the EPA to ensure that public health continues to be protected from the hazards of airborne radionuclides through compliance with these standards. Compliance is demonstrated through emissions testing and dose calculation when appropriate. Facilities are required to generate and maintain applicable records for 5 years, and to report results to the EPA. </w:t>
      </w:r>
    </w:p>
    <w:p w:rsidR="00872792" w:rsidRPr="000C0B5F" w:rsidP="000F6DEE" w14:paraId="49043A12" w14:textId="348899DD">
      <w:pPr>
        <w:pStyle w:val="Heading1"/>
      </w:pPr>
      <w:r w:rsidRPr="000C0B5F">
        <w:t>Supporting Statement A</w:t>
      </w:r>
    </w:p>
    <w:p w:rsidR="00D47CB3" w:rsidRPr="000C0B5F" w:rsidP="00792764" w14:paraId="73FF37C3" w14:textId="7444A290">
      <w:pPr>
        <w:pStyle w:val="Heading1"/>
        <w:numPr>
          <w:ilvl w:val="0"/>
          <w:numId w:val="28"/>
        </w:numPr>
        <w:spacing w:after="120"/>
      </w:pPr>
      <w:bookmarkStart w:id="1" w:name="_Toc156593368"/>
      <w:bookmarkEnd w:id="0"/>
      <w:r w:rsidRPr="000C0B5F">
        <w:t>NEED AND AUTHORITY FOR THE COLLECTION</w:t>
      </w:r>
      <w:bookmarkEnd w:id="1"/>
      <w:r w:rsidRPr="000C0B5F" w:rsidR="00EF65DF">
        <w:t>:</w:t>
      </w:r>
    </w:p>
    <w:p w:rsidR="00BB432F" w:rsidRPr="000C0B5F" w:rsidP="006B41DF" w14:paraId="61662F16" w14:textId="093B8F68">
      <w:pPr>
        <w:spacing w:line="276" w:lineRule="auto"/>
      </w:pPr>
      <w:r w:rsidRPr="000C0B5F">
        <w:t>The Clean Air Act (42 USC 1857), Section 114 authorizes the Administrator of the EPA to require any person who owns or operates any emission source or who is subject to any requirements of the Act to establish and maintain records; make reports, install, use, and maintain monitoring equipment or methods; sample emissions in accordance with EPA prescribed locations, intervals and methods; and provide information as requested by the EPA Administrator or authorized representative.</w:t>
      </w:r>
    </w:p>
    <w:p w:rsidR="00D47CB3" w:rsidRPr="000C0B5F" w:rsidP="006041E5" w14:paraId="24F38A28" w14:textId="081D5EDC">
      <w:pPr>
        <w:pStyle w:val="Heading1"/>
        <w:numPr>
          <w:ilvl w:val="0"/>
          <w:numId w:val="28"/>
        </w:numPr>
        <w:spacing w:after="120"/>
      </w:pPr>
      <w:bookmarkStart w:id="2" w:name="_Toc156593369"/>
      <w:r w:rsidRPr="000C0B5F">
        <w:t>PRACTICAL UTILITY/USERS OF THE DATA</w:t>
      </w:r>
      <w:bookmarkEnd w:id="2"/>
      <w:r w:rsidRPr="000C0B5F" w:rsidR="00EF65DF">
        <w:t>:</w:t>
      </w:r>
    </w:p>
    <w:p w:rsidR="00DB1C54" w:rsidRPr="000C0B5F" w:rsidP="006B41DF" w14:paraId="3A997617" w14:textId="77777777">
      <w:pPr>
        <w:spacing w:line="276" w:lineRule="auto"/>
      </w:pPr>
      <w:r w:rsidRPr="000C0B5F">
        <w:t xml:space="preserve">The EPA uses the information collected to determine that public health continues to be protected through compliance with the health-based standards set by the radionuclide NESHAPs. </w:t>
      </w:r>
    </w:p>
    <w:p w:rsidR="00BB432F" w:rsidRPr="000C0B5F" w:rsidP="006B41DF" w14:paraId="1E879A61" w14:textId="41F65583">
      <w:pPr>
        <w:spacing w:after="120" w:line="276" w:lineRule="auto"/>
      </w:pPr>
      <w:r w:rsidRPr="000C0B5F">
        <w:t xml:space="preserve">The </w:t>
      </w:r>
      <w:r w:rsidRPr="000C0B5F" w:rsidR="00DB1C54">
        <w:t xml:space="preserve">EPA's compliance monitoring activities vary widely. </w:t>
      </w:r>
      <w:r w:rsidRPr="000C0B5F">
        <w:t xml:space="preserve">The </w:t>
      </w:r>
      <w:r w:rsidRPr="000C0B5F" w:rsidR="00DB1C54">
        <w:t xml:space="preserve">EPA could issue a letter requesting information about compliance or could conduct a full-scale investigation if a compliance problem is identified, including onsite inspections. When </w:t>
      </w:r>
      <w:r w:rsidRPr="000C0B5F" w:rsidR="00231973">
        <w:t>t</w:t>
      </w:r>
      <w:r w:rsidRPr="000C0B5F">
        <w:t xml:space="preserve">he </w:t>
      </w:r>
      <w:r w:rsidRPr="000C0B5F" w:rsidR="00DB1C54">
        <w:t xml:space="preserve">EPA first learns of a compliance problem, </w:t>
      </w:r>
      <w:r w:rsidRPr="000C0B5F">
        <w:t xml:space="preserve">the </w:t>
      </w:r>
      <w:r w:rsidRPr="000C0B5F" w:rsidR="00DB1C54">
        <w:t xml:space="preserve">EPA attempts to work with the owner/operator to remedy the problem by holding informal discussions. If it is not possible to remedy the problem informally, formal action is taken. </w:t>
      </w:r>
      <w:r w:rsidRPr="000C0B5F">
        <w:t xml:space="preserve">The </w:t>
      </w:r>
      <w:r w:rsidRPr="000C0B5F" w:rsidR="00DB1C54">
        <w:t>EPA's Clean Air Act Compliance Enforcement Guidance Manual identifies the Agency's informal and formal enforcement operating procedures.</w:t>
      </w:r>
    </w:p>
    <w:p w:rsidR="00074917" w:rsidRPr="000C0B5F" w:rsidP="006041E5" w14:paraId="1522D565" w14:textId="1EBC9A1E">
      <w:pPr>
        <w:pStyle w:val="Heading1"/>
        <w:numPr>
          <w:ilvl w:val="0"/>
          <w:numId w:val="28"/>
        </w:numPr>
        <w:spacing w:after="120"/>
      </w:pPr>
      <w:bookmarkStart w:id="3" w:name="_Toc156593370"/>
      <w:r w:rsidRPr="000C0B5F">
        <w:t>USE OF TECHNOLOGY</w:t>
      </w:r>
      <w:bookmarkEnd w:id="3"/>
      <w:r w:rsidRPr="000C0B5F" w:rsidR="00EF65DF">
        <w:t>:</w:t>
      </w:r>
    </w:p>
    <w:p w:rsidR="009F1E00" w:rsidRPr="000C0B5F" w:rsidP="006B41DF" w14:paraId="7B30150C" w14:textId="206A9C5F">
      <w:pPr>
        <w:spacing w:line="276" w:lineRule="auto"/>
      </w:pPr>
      <w:r w:rsidRPr="000C0B5F">
        <w:t xml:space="preserve">The EPA Regional Offices review facility reports to determine compliance with the regulatory standards. The EPA may recalculate reported doses using computer models, conduct site inspections, or witness emission tests, as deemed necessary. The Office of Radiation and Indoor Air and the EPA Regional Offices have planned and allocated resources for the efficient and effective management and use of this information. </w:t>
      </w:r>
      <w:r w:rsidRPr="000C0B5F" w:rsidR="0018262E">
        <w:t xml:space="preserve">The </w:t>
      </w:r>
      <w:r w:rsidRPr="000C0B5F">
        <w:t>EPA may perform periodic on-site inspections to determine if compliance with the regulatory standards is being maintained, including review of records.</w:t>
      </w:r>
    </w:p>
    <w:p w:rsidR="005263EC" w:rsidRPr="000C0B5F" w:rsidP="006041E5" w14:paraId="2CB3B868" w14:textId="708D131B">
      <w:pPr>
        <w:pStyle w:val="Heading1"/>
        <w:numPr>
          <w:ilvl w:val="0"/>
          <w:numId w:val="28"/>
        </w:numPr>
        <w:spacing w:after="120"/>
      </w:pPr>
      <w:bookmarkStart w:id="4" w:name="_Toc156593371"/>
      <w:r w:rsidRPr="000C0B5F">
        <w:t>EFFORTS TO IDENTIFY DUPLICATION</w:t>
      </w:r>
      <w:bookmarkEnd w:id="4"/>
      <w:r w:rsidRPr="000C0B5F" w:rsidR="00EF65DF">
        <w:t>:</w:t>
      </w:r>
    </w:p>
    <w:p w:rsidR="00ED57A4" w:rsidRPr="000C0B5F" w:rsidP="006B41DF" w14:paraId="0E470EF3" w14:textId="5CFBDA12">
      <w:pPr>
        <w:spacing w:line="276" w:lineRule="auto"/>
      </w:pPr>
      <w:r w:rsidRPr="000C0B5F">
        <w:t>The specific information collected under this ICR is not currently collected by any other office within the EPA or any other governmental agency.</w:t>
      </w:r>
    </w:p>
    <w:p w:rsidR="00ED57A4" w:rsidRPr="000C0B5F" w:rsidP="006041E5" w14:paraId="617ED97B" w14:textId="28F8F943">
      <w:pPr>
        <w:pStyle w:val="Heading1"/>
        <w:numPr>
          <w:ilvl w:val="0"/>
          <w:numId w:val="28"/>
        </w:numPr>
        <w:spacing w:after="120"/>
      </w:pPr>
      <w:bookmarkStart w:id="5" w:name="_Toc156593372"/>
      <w:r w:rsidRPr="000C0B5F">
        <w:t>MINIMIZING BURDEN ON SMALL ENTITIES</w:t>
      </w:r>
      <w:bookmarkEnd w:id="5"/>
      <w:r w:rsidRPr="000C0B5F" w:rsidR="00EF65DF">
        <w:t>:</w:t>
      </w:r>
    </w:p>
    <w:p w:rsidR="000C10CF" w:rsidRPr="000C0B5F" w:rsidP="006B41DF" w14:paraId="5642703A" w14:textId="502C5F30">
      <w:pPr>
        <w:spacing w:line="276" w:lineRule="auto"/>
      </w:pPr>
      <w:r w:rsidRPr="000C0B5F">
        <w:t>Of nine facilities identified in the 2023 ICR</w:t>
      </w:r>
      <w:r w:rsidRPr="000C0B5F" w:rsidR="004E7A85">
        <w:t xml:space="preserve"> that are subject to subpart W</w:t>
      </w:r>
      <w:r w:rsidRPr="000C0B5F">
        <w:t xml:space="preserve">, five </w:t>
      </w:r>
      <w:r w:rsidRPr="000C0B5F" w:rsidR="00516129">
        <w:t xml:space="preserve">were </w:t>
      </w:r>
      <w:r w:rsidRPr="000C0B5F">
        <w:t xml:space="preserve">owned by small businesses. </w:t>
      </w:r>
      <w:r w:rsidRPr="000C0B5F" w:rsidR="0003387B">
        <w:t xml:space="preserve">Of those five facilities, </w:t>
      </w:r>
      <w:r w:rsidRPr="000C0B5F" w:rsidR="0003387B">
        <w:t>t</w:t>
      </w:r>
      <w:r w:rsidRPr="000C0B5F">
        <w:t>hree</w:t>
      </w:r>
      <w:r w:rsidRPr="000C0B5F">
        <w:t xml:space="preserve"> </w:t>
      </w:r>
      <w:r w:rsidRPr="000C0B5F" w:rsidR="0003387B">
        <w:t>are</w:t>
      </w:r>
      <w:r w:rsidRPr="000C0B5F" w:rsidR="00230B46">
        <w:t xml:space="preserve"> non-conventional</w:t>
      </w:r>
      <w:r w:rsidRPr="000C0B5F">
        <w:t xml:space="preserve"> facilities that have been documenting the liquid level in non-conventional impoundment</w:t>
      </w:r>
      <w:r w:rsidRPr="000C0B5F" w:rsidR="00A62CD8">
        <w:t>s</w:t>
      </w:r>
      <w:r w:rsidRPr="000C0B5F">
        <w:t>. Regulated entities create and store records of inspections to determine the liquid retention requirement for non-conventional impoundments during the daily inspections of the tailings and waste retention systems already required by the Nuclear Regulatory Commission (and Agreement States) under 10 CFR 40, Appendix A, Criterion 8A, resulting in a small additional burden.</w:t>
      </w:r>
    </w:p>
    <w:p w:rsidR="00ED57A4" w:rsidRPr="000C0B5F" w:rsidP="006B41DF" w14:paraId="518B46AB" w14:textId="41C2DBFA">
      <w:pPr>
        <w:spacing w:line="276" w:lineRule="auto"/>
      </w:pPr>
      <w:r w:rsidRPr="000C0B5F">
        <w:t>There is the potential for a</w:t>
      </w:r>
      <w:r w:rsidRPr="000C0B5F" w:rsidR="008E6B0E">
        <w:t xml:space="preserve"> large </w:t>
      </w:r>
      <w:r w:rsidRPr="000C0B5F">
        <w:t xml:space="preserve">increase in regulated subpart W </w:t>
      </w:r>
      <w:r w:rsidRPr="000C0B5F" w:rsidR="008E6B0E">
        <w:t>facilities</w:t>
      </w:r>
      <w:r w:rsidRPr="000C0B5F">
        <w:t xml:space="preserve"> </w:t>
      </w:r>
      <w:r w:rsidRPr="000C0B5F" w:rsidR="008E6B0E">
        <w:t xml:space="preserve">coming online </w:t>
      </w:r>
      <w:r w:rsidRPr="000C0B5F">
        <w:t>during the proposed ICR period</w:t>
      </w:r>
      <w:r w:rsidRPr="000C0B5F" w:rsidR="008E6B0E">
        <w:t xml:space="preserve"> starting in 2026. However, even if the same proportion of those new facilities are operated by small </w:t>
      </w:r>
      <w:r w:rsidRPr="000C0B5F" w:rsidR="004A02F0">
        <w:t>businesses</w:t>
      </w:r>
      <w:r w:rsidRPr="000C0B5F" w:rsidR="008E6B0E">
        <w:t xml:space="preserve">, </w:t>
      </w:r>
      <w:r w:rsidRPr="000C0B5F" w:rsidR="004A02F0">
        <w:t>the additional burden would still be small.</w:t>
      </w:r>
      <w:r w:rsidRPr="000C0B5F" w:rsidR="02F783D9">
        <w:t xml:space="preserve"> Therefore, no small organizations or small governmental entities have been identified that would be adversely impacted by the information collection requirements under subpart W.</w:t>
      </w:r>
    </w:p>
    <w:p w:rsidR="004252C1" w:rsidRPr="000C0B5F" w:rsidP="006041E5" w14:paraId="1FF5A778" w14:textId="279B70D3">
      <w:pPr>
        <w:pStyle w:val="Heading1"/>
        <w:numPr>
          <w:ilvl w:val="0"/>
          <w:numId w:val="28"/>
        </w:numPr>
        <w:spacing w:after="120"/>
      </w:pPr>
      <w:bookmarkStart w:id="6" w:name="_Toc156593373"/>
      <w:r w:rsidRPr="000C0B5F">
        <w:t>EFFECTS OF LESS FREQUENT COLLECTION</w:t>
      </w:r>
      <w:bookmarkEnd w:id="6"/>
      <w:r w:rsidRPr="000C0B5F" w:rsidR="00EF65DF">
        <w:t>:</w:t>
      </w:r>
    </w:p>
    <w:p w:rsidR="00ED57A4" w:rsidRPr="000C0B5F" w:rsidP="006B41DF" w14:paraId="5934FB28" w14:textId="0375B8DA">
      <w:pPr>
        <w:spacing w:line="276" w:lineRule="auto"/>
      </w:pPr>
      <w:r w:rsidRPr="000C0B5F">
        <w:t>Generally, reporting under the radionuclide NESHAPs addressed in subparts B, K and R is required annually or less frequently than annually. Under subpart W, respondents are required to collect digital photographs of liquid levels in impoundments at least weekly and submit them to the Agency at least monthly. Extended periods of exposed uranium byproduct material could result in excessive emissions of radon to the atmosphere. In each case, the frequency of reporting is sufficient for the Agency to ensure that compliance is maintained, or that corrective actions can be taken in a timely manner.</w:t>
      </w:r>
    </w:p>
    <w:p w:rsidR="00A233E0" w:rsidRPr="000C0B5F" w:rsidP="006041E5" w14:paraId="27596CC0" w14:textId="23DC9015">
      <w:pPr>
        <w:pStyle w:val="Heading1"/>
        <w:numPr>
          <w:ilvl w:val="0"/>
          <w:numId w:val="28"/>
        </w:numPr>
        <w:spacing w:after="120"/>
      </w:pPr>
      <w:bookmarkStart w:id="7" w:name="_Toc156593374"/>
      <w:r w:rsidRPr="000C0B5F">
        <w:t>GENERAL GUIDELINES</w:t>
      </w:r>
      <w:bookmarkEnd w:id="7"/>
      <w:r w:rsidRPr="000C0B5F" w:rsidR="00EF65DF">
        <w:t>:</w:t>
      </w:r>
    </w:p>
    <w:p w:rsidR="00111663" w:rsidRPr="000C0B5F" w:rsidP="006B41DF" w14:paraId="775EDF16" w14:textId="5AA8502A">
      <w:pPr>
        <w:spacing w:line="276" w:lineRule="auto"/>
      </w:pPr>
      <w:r w:rsidRPr="003D1FCB">
        <w:t>With the following exceptions</w:t>
      </w:r>
      <w:r w:rsidRPr="000C0B5F" w:rsidR="004B3BB4">
        <w:t>, the proposed collection does not create special circumstances requiring justification under 5 CFR 1320.5</w:t>
      </w:r>
      <w:r w:rsidRPr="003D1FCB" w:rsidR="00513D58">
        <w:t>(d)(2)</w:t>
      </w:r>
      <w:r w:rsidRPr="000C0B5F" w:rsidR="02F783D9">
        <w:t>.</w:t>
      </w:r>
    </w:p>
    <w:p w:rsidR="002B46F7" w:rsidRPr="000C0B5F" w:rsidP="003D1FCB" w14:paraId="1CCE97DB" w14:textId="75F6622F">
      <w:pPr>
        <w:pStyle w:val="ListParagraph"/>
        <w:numPr>
          <w:ilvl w:val="0"/>
          <w:numId w:val="38"/>
        </w:numPr>
        <w:spacing w:line="276" w:lineRule="auto"/>
      </w:pPr>
      <w:r w:rsidRPr="003D1FCB">
        <w:rPr>
          <w:u w:val="single"/>
        </w:rPr>
        <w:t xml:space="preserve">Some respondents are required to </w:t>
      </w:r>
      <w:r w:rsidRPr="003D1FCB" w:rsidR="00140841">
        <w:rPr>
          <w:u w:val="single"/>
        </w:rPr>
        <w:t>report information to the agency more often than quarterly</w:t>
      </w:r>
      <w:r w:rsidRPr="003D1FCB" w:rsidR="000C0B5F">
        <w:rPr>
          <w:u w:val="single"/>
        </w:rPr>
        <w:t>:</w:t>
      </w:r>
      <w:r w:rsidRPr="000C0B5F">
        <w:t xml:space="preserve"> </w:t>
      </w:r>
      <w:r w:rsidRPr="003D1FCB" w:rsidR="00140841">
        <w:t>Under subpart W, respondents are required to collect digital photographs of liquid levels in impoundments at least weekly and submit them to the Agency at least monthly</w:t>
      </w:r>
    </w:p>
    <w:p w:rsidR="0020342B" w:rsidRPr="000C0B5F" w:rsidP="003D1FCB" w14:paraId="42B95BB2" w14:textId="6B050A73">
      <w:pPr>
        <w:pStyle w:val="ListParagraph"/>
        <w:numPr>
          <w:ilvl w:val="0"/>
          <w:numId w:val="38"/>
        </w:numPr>
        <w:spacing w:line="276" w:lineRule="auto"/>
      </w:pPr>
      <w:r w:rsidRPr="003D1FCB">
        <w:rPr>
          <w:u w:val="single"/>
        </w:rPr>
        <w:t xml:space="preserve">Respondents </w:t>
      </w:r>
      <w:r w:rsidRPr="003D1FCB" w:rsidR="00107CE4">
        <w:rPr>
          <w:u w:val="single"/>
        </w:rPr>
        <w:t>are</w:t>
      </w:r>
      <w:r w:rsidRPr="003D1FCB">
        <w:rPr>
          <w:u w:val="single"/>
        </w:rPr>
        <w:t xml:space="preserve"> required to retain records, other than health, medical, government contract, grant-in-aid, or tax records, for more than three years</w:t>
      </w:r>
      <w:r w:rsidRPr="003D1FCB" w:rsidR="000C0B5F">
        <w:rPr>
          <w:u w:val="single"/>
        </w:rPr>
        <w:t>:</w:t>
      </w:r>
      <w:r w:rsidRPr="000C0B5F" w:rsidR="000C0B5F">
        <w:t xml:space="preserve"> </w:t>
      </w:r>
      <w:r w:rsidRPr="000C0B5F">
        <w:t xml:space="preserve">The owner or operator of the facility must maintain records documenting the results of all measurements, the calculations and/or analytical methods used to derive values for input parameters, and the procedures used to determine compliance. In the case of uranium recovery facilities, the owner or operator must maintain records that confirm the approved design and operating procedures for conventional impoundments, non-conventional impoundments and heap leach piles, including the results of liner compatibility tests, and written and digital photographic records confirming that liquid has been maintained in non-conventional impoundments such that no solid material is visible above the liquid level. This documentation should be sufficient to allow an independent auditor to verify the accuracy of the determination made concerning the facility's compliance with the standard. </w:t>
      </w:r>
      <w:r w:rsidRPr="003D1FCB">
        <w:t>Records must be kept at the facility for the lifetime of the facility</w:t>
      </w:r>
      <w:r w:rsidRPr="000C0B5F">
        <w:t xml:space="preserve"> and, upon request, be made available for inspection by the EPA Administrator, or his/her authorized representative.</w:t>
      </w:r>
    </w:p>
    <w:p w:rsidR="006036CD" w:rsidRPr="000C0B5F" w:rsidP="006041E5" w14:paraId="02EE9B8D" w14:textId="1B5702A5">
      <w:pPr>
        <w:pStyle w:val="Heading1"/>
        <w:numPr>
          <w:ilvl w:val="0"/>
          <w:numId w:val="28"/>
        </w:numPr>
        <w:spacing w:after="120"/>
      </w:pPr>
      <w:bookmarkStart w:id="8" w:name="_Toc156593375"/>
      <w:r w:rsidRPr="000C0B5F">
        <w:t>PUBLIC COMMENT AND CONSULTATIONS</w:t>
      </w:r>
      <w:bookmarkStart w:id="9" w:name="_Toc156593376"/>
      <w:bookmarkEnd w:id="8"/>
      <w:r w:rsidRPr="000C0B5F" w:rsidR="00262421">
        <w:t>:</w:t>
      </w:r>
    </w:p>
    <w:p w:rsidR="00DD2682" w:rsidRPr="000C0B5F" w:rsidP="00AE306C" w14:paraId="4922639E" w14:textId="53488742">
      <w:pPr>
        <w:pStyle w:val="Heading2"/>
        <w:spacing w:after="120"/>
      </w:pPr>
      <w:r w:rsidRPr="000C0B5F">
        <w:t xml:space="preserve">8a. </w:t>
      </w:r>
      <w:r w:rsidRPr="000C0B5F" w:rsidR="00A82647">
        <w:t>Public Comment</w:t>
      </w:r>
      <w:bookmarkStart w:id="10" w:name="_Toc156593377"/>
      <w:bookmarkEnd w:id="9"/>
    </w:p>
    <w:p w:rsidR="007C2F44" w:rsidRPr="000C0B5F" w:rsidP="006B41DF" w14:paraId="48416764" w14:textId="77777777">
      <w:pPr>
        <w:spacing w:line="276" w:lineRule="auto"/>
      </w:pPr>
      <w:r w:rsidRPr="000C0B5F">
        <w:t xml:space="preserve">EPA on November 24, 2025, published an FR Notice 90 FR 52952 stating that the Agency plans to submit an ICR, “NESHAP for Radionuclides (40 CFR part 61, subparts B, K, R, and W) (Renewal)” to the OMB for review and approval. </w:t>
      </w:r>
    </w:p>
    <w:p w:rsidR="00ED57A4" w:rsidRPr="000C0B5F" w:rsidP="006B41DF" w14:paraId="102C4D0F" w14:textId="64FCAB0D">
      <w:pPr>
        <w:spacing w:line="276" w:lineRule="auto"/>
      </w:pPr>
      <w:r w:rsidRPr="000C0B5F">
        <w:t xml:space="preserve">The EPA </w:t>
      </w:r>
      <w:r w:rsidRPr="000C0B5F" w:rsidR="006F2BE5">
        <w:t>requested comments</w:t>
      </w:r>
      <w:r w:rsidRPr="000C0B5F">
        <w:t xml:space="preserve"> on specific aspects of this ICR with a 60-day comment period</w:t>
      </w:r>
      <w:r w:rsidRPr="000C0B5F" w:rsidR="00140B66">
        <w:t xml:space="preserve"> published in the Federal Register</w:t>
      </w:r>
      <w:r w:rsidRPr="000C0B5F" w:rsidR="007C2F44">
        <w:t>, comments closed on January 23, 2026</w:t>
      </w:r>
      <w:r w:rsidRPr="000C0B5F">
        <w:t xml:space="preserve">. </w:t>
      </w:r>
      <w:r w:rsidRPr="000C0B5F" w:rsidR="009B4660">
        <w:t xml:space="preserve">The Agency did not receive any comments </w:t>
      </w:r>
      <w:r w:rsidRPr="000C0B5F" w:rsidR="00826C37">
        <w:t xml:space="preserve">within the comment period, and so did not revise </w:t>
      </w:r>
      <w:r w:rsidRPr="000C0B5F" w:rsidR="00B87787">
        <w:t xml:space="preserve">the burden estimates based on public </w:t>
      </w:r>
      <w:r w:rsidRPr="000C0B5F" w:rsidR="00B87787">
        <w:t>comment</w:t>
      </w:r>
      <w:r w:rsidRPr="000C0B5F" w:rsidR="00B87787">
        <w:t>.</w:t>
      </w:r>
    </w:p>
    <w:p w:rsidR="00DB7775" w:rsidRPr="000C0B5F" w:rsidP="00FC6893" w14:paraId="71A9B3CC" w14:textId="17FCE860">
      <w:pPr>
        <w:pStyle w:val="Heading2"/>
        <w:spacing w:before="240" w:after="120"/>
      </w:pPr>
      <w:r w:rsidRPr="000C0B5F">
        <w:t xml:space="preserve">8b. </w:t>
      </w:r>
      <w:r w:rsidRPr="000C0B5F" w:rsidR="0061689C">
        <w:t>C</w:t>
      </w:r>
      <w:bookmarkEnd w:id="10"/>
      <w:r w:rsidRPr="000C0B5F" w:rsidR="005D140B">
        <w:t>onsultations</w:t>
      </w:r>
    </w:p>
    <w:p w:rsidR="00940939" w:rsidRPr="000C0B5F" w:rsidP="002711B6" w14:paraId="09E7F150" w14:textId="6CA8F7C3">
      <w:pPr>
        <w:spacing w:line="276" w:lineRule="auto"/>
      </w:pPr>
      <w:r w:rsidRPr="000C0B5F">
        <w:t>In the preparation of this ICR renewal, the EPA contacted representatives in each of its Regional Offices to update information on the operating and reporting status of affected facilities and updated the number of affected facilities based on this information. In the case of subpart B and subpart W, the Agency pulled data from several sources, including interagency working groups, company websites, and regional EPA counterparts, to determine how many facilities had the potential to monitor emissions and submit reports between 2026 and 2029. Following the publication of the notice in the Federal Register, the EPA</w:t>
      </w:r>
      <w:r w:rsidRPr="000C0B5F" w:rsidR="00CA2B73">
        <w:t xml:space="preserve"> reached out directly </w:t>
      </w:r>
      <w:r w:rsidRPr="000C0B5F" w:rsidR="00527E76">
        <w:t>t</w:t>
      </w:r>
      <w:r w:rsidRPr="000C0B5F">
        <w:t>o respondents and request</w:t>
      </w:r>
      <w:r w:rsidRPr="000C0B5F" w:rsidR="00D22852">
        <w:t>ed</w:t>
      </w:r>
      <w:r w:rsidRPr="000C0B5F">
        <w:t xml:space="preserve"> that they submit comments on the proposed ICR.</w:t>
      </w:r>
      <w:r w:rsidRPr="000C0B5F" w:rsidR="00D22852">
        <w:t xml:space="preserve"> No comments were ultimately submitted by </w:t>
      </w:r>
      <w:r w:rsidRPr="000C0B5F" w:rsidR="007D7E55">
        <w:t>respondents.</w:t>
      </w:r>
    </w:p>
    <w:p w:rsidR="00A233E0" w:rsidRPr="000C0B5F" w:rsidP="006041E5" w14:paraId="191560B2" w14:textId="13F9808D">
      <w:pPr>
        <w:pStyle w:val="Heading1"/>
        <w:numPr>
          <w:ilvl w:val="0"/>
          <w:numId w:val="28"/>
        </w:numPr>
        <w:spacing w:after="120"/>
      </w:pPr>
      <w:bookmarkStart w:id="11" w:name="_Toc156593378"/>
      <w:r w:rsidRPr="000C0B5F">
        <w:t>PAYMENTS OR GIFTS TO RESPONDENTS</w:t>
      </w:r>
      <w:bookmarkEnd w:id="11"/>
      <w:r w:rsidRPr="000C0B5F" w:rsidR="0042474D">
        <w:rPr>
          <w:color w:val="000000" w:themeColor="text1"/>
        </w:rPr>
        <w:t>:</w:t>
      </w:r>
    </w:p>
    <w:p w:rsidR="00ED57A4" w:rsidRPr="000C0B5F" w:rsidP="00454889" w14:paraId="0D75D3D3" w14:textId="1BA9A605">
      <w:r w:rsidRPr="000C0B5F">
        <w:t>The Agency does not intend to provide payments or gifts to respondents as part of this collection.</w:t>
      </w:r>
    </w:p>
    <w:p w:rsidR="00A233E0" w:rsidRPr="000C0B5F" w:rsidP="00FC6893" w14:paraId="4B3579E2" w14:textId="60182DAC">
      <w:pPr>
        <w:pStyle w:val="Heading1"/>
        <w:numPr>
          <w:ilvl w:val="0"/>
          <w:numId w:val="28"/>
        </w:numPr>
        <w:spacing w:after="120"/>
      </w:pPr>
      <w:bookmarkStart w:id="12" w:name="_Toc156593379"/>
      <w:r w:rsidRPr="000C0B5F">
        <w:t>PROVISIONS FOR PROTECTION OF INFORMATION</w:t>
      </w:r>
      <w:bookmarkEnd w:id="12"/>
      <w:r w:rsidRPr="000C0B5F" w:rsidR="0042474D">
        <w:t>:</w:t>
      </w:r>
    </w:p>
    <w:p w:rsidR="009F1E00" w:rsidRPr="000C0B5F" w:rsidP="00454889" w14:paraId="3676EBC5" w14:textId="34E5B042">
      <w:r w:rsidRPr="000C0B5F">
        <w:t xml:space="preserve">This section </w:t>
      </w:r>
      <w:r w:rsidRPr="000C0B5F" w:rsidR="54EB1ECD">
        <w:t xml:space="preserve">is not applicable </w:t>
      </w:r>
      <w:r w:rsidRPr="000C0B5F">
        <w:t>because this ICR does not request information of confidential nature.</w:t>
      </w:r>
    </w:p>
    <w:p w:rsidR="00A233E0" w:rsidRPr="000C0B5F" w:rsidP="00792764" w14:paraId="36FBAEFB" w14:textId="1A9CFDF9">
      <w:pPr>
        <w:pStyle w:val="Heading1"/>
        <w:numPr>
          <w:ilvl w:val="0"/>
          <w:numId w:val="28"/>
        </w:numPr>
        <w:spacing w:after="120"/>
      </w:pPr>
      <w:bookmarkStart w:id="13" w:name="_Toc156593380"/>
      <w:r w:rsidRPr="000C0B5F">
        <w:t>JUSTIFICATION FOR SENSITIVE QUESTIONS</w:t>
      </w:r>
      <w:bookmarkEnd w:id="13"/>
      <w:r w:rsidRPr="000C0B5F" w:rsidR="0042474D">
        <w:t>:</w:t>
      </w:r>
    </w:p>
    <w:p w:rsidR="009F1E00" w:rsidRPr="000C0B5F" w:rsidP="00454889" w14:paraId="77467D05" w14:textId="110E6182">
      <w:r w:rsidRPr="000C0B5F">
        <w:t>This section is not applicable because this ICR does not request sensitive information.</w:t>
      </w:r>
    </w:p>
    <w:p w:rsidR="001172FE" w:rsidRPr="000C0B5F" w:rsidP="00792764" w14:paraId="637A8E82" w14:textId="7CF57FC5">
      <w:pPr>
        <w:pStyle w:val="Heading1"/>
        <w:numPr>
          <w:ilvl w:val="0"/>
          <w:numId w:val="28"/>
        </w:numPr>
        <w:spacing w:after="120"/>
      </w:pPr>
      <w:bookmarkStart w:id="14" w:name="_Toc156593381"/>
      <w:r w:rsidRPr="000C0B5F">
        <w:t>RESPONDENT BURDEN HOURS AND LABOR COSTS</w:t>
      </w:r>
      <w:bookmarkStart w:id="15" w:name="_Toc156593382"/>
      <w:bookmarkEnd w:id="14"/>
      <w:r w:rsidRPr="000C0B5F" w:rsidR="0042474D">
        <w:t>:</w:t>
      </w:r>
    </w:p>
    <w:p w:rsidR="00A233E0" w:rsidRPr="000C0B5F" w:rsidP="006B41DF" w14:paraId="71F2FC12" w14:textId="001F03FD">
      <w:pPr>
        <w:pStyle w:val="ListParagraph"/>
        <w:spacing w:line="276" w:lineRule="auto"/>
      </w:pPr>
      <w:r w:rsidRPr="000C0B5F">
        <w:t>This section p</w:t>
      </w:r>
      <w:r w:rsidRPr="000C0B5F">
        <w:t>rovide</w:t>
      </w:r>
      <w:r w:rsidRPr="000C0B5F">
        <w:t>s</w:t>
      </w:r>
      <w:r w:rsidRPr="000C0B5F">
        <w:t xml:space="preserve"> estimates of the hour burden of the collection of information. The statement </w:t>
      </w:r>
      <w:r w:rsidRPr="000C0B5F" w:rsidR="00DA695F">
        <w:t>below</w:t>
      </w:r>
      <w:r w:rsidRPr="000C0B5F">
        <w:t>:</w:t>
      </w:r>
    </w:p>
    <w:p w:rsidR="008F2B76" w:rsidRPr="000C0B5F" w:rsidP="006B41DF" w14:paraId="3A12D4C3" w14:textId="230A38AA">
      <w:pPr>
        <w:pStyle w:val="ListParagraph"/>
        <w:numPr>
          <w:ilvl w:val="0"/>
          <w:numId w:val="14"/>
        </w:numPr>
        <w:spacing w:line="276" w:lineRule="auto"/>
      </w:pPr>
      <w:r w:rsidRPr="000C0B5F">
        <w:t>Indicate</w:t>
      </w:r>
      <w:r w:rsidRPr="000C0B5F" w:rsidR="00DA695F">
        <w:t>s</w:t>
      </w:r>
      <w:r w:rsidRPr="000C0B5F">
        <w:t xml:space="preserve"> the number of respondents, frequency of response, annual hour burden, and an explanation of how the burden was estimated. </w:t>
      </w:r>
    </w:p>
    <w:p w:rsidR="004C4034" w:rsidRPr="000C0B5F" w:rsidP="006B41DF" w14:paraId="59AAB936" w14:textId="6BA67D89">
      <w:pPr>
        <w:pStyle w:val="ListParagraph"/>
        <w:numPr>
          <w:ilvl w:val="0"/>
          <w:numId w:val="14"/>
        </w:numPr>
        <w:spacing w:line="276" w:lineRule="auto"/>
      </w:pPr>
      <w:r w:rsidRPr="000C0B5F">
        <w:t>Provide</w:t>
      </w:r>
      <w:r w:rsidRPr="000C0B5F" w:rsidR="00DA695F">
        <w:t>s</w:t>
      </w:r>
      <w:r w:rsidRPr="000C0B5F">
        <w:t xml:space="preserve"> estimates of annualized cost to respondents for the hour burdens for collections of information, identifying and using appropriate wage rate categories. The cost of contracting out or paying outside parties for information collection activities </w:t>
      </w:r>
      <w:r w:rsidRPr="000C0B5F" w:rsidR="009508DF">
        <w:t xml:space="preserve">is </w:t>
      </w:r>
      <w:r w:rsidRPr="000C0B5F">
        <w:t>not</w:t>
      </w:r>
      <w:r w:rsidRPr="000C0B5F">
        <w:t xml:space="preserve"> </w:t>
      </w:r>
      <w:r w:rsidRPr="000C0B5F">
        <w:t xml:space="preserve">included here. Instead, this cost </w:t>
      </w:r>
      <w:r w:rsidRPr="000C0B5F" w:rsidR="009508DF">
        <w:t>is</w:t>
      </w:r>
      <w:r w:rsidRPr="000C0B5F">
        <w:t xml:space="preserve"> included as O&amp;M costs under non-labor costs covered under question 13</w:t>
      </w:r>
      <w:r w:rsidRPr="000C0B5F" w:rsidR="497C1FB8">
        <w:t>.</w:t>
      </w:r>
      <w:r w:rsidRPr="000C0B5F" w:rsidR="00FD4DD1">
        <w:rPr>
          <w:noProof/>
        </w:rPr>
        <w:t xml:space="preserve"> </w:t>
      </w:r>
    </w:p>
    <w:p w:rsidR="007519CF" w:rsidRPr="000C0B5F" w:rsidP="007519CF" w14:paraId="3B621791" w14:textId="1F96F456">
      <w:pPr>
        <w:rPr>
          <w:b/>
          <w:bCs/>
        </w:rPr>
      </w:pPr>
      <w:r w:rsidRPr="000C0B5F">
        <w:rPr>
          <w:b/>
          <w:bCs/>
        </w:rPr>
        <w:t xml:space="preserve">Table </w:t>
      </w:r>
      <w:r w:rsidRPr="000C0B5F" w:rsidR="0080597F">
        <w:rPr>
          <w:b/>
          <w:bCs/>
        </w:rPr>
        <w:t>2</w:t>
      </w:r>
      <w:r w:rsidRPr="000C0B5F">
        <w:rPr>
          <w:b/>
          <w:bCs/>
        </w:rPr>
        <w:t xml:space="preserve">: </w:t>
      </w:r>
      <w:r w:rsidRPr="000C0B5F" w:rsidR="45640C1E">
        <w:rPr>
          <w:b/>
          <w:bCs/>
        </w:rPr>
        <w:t xml:space="preserve">Summary of </w:t>
      </w:r>
      <w:r w:rsidRPr="000C0B5F">
        <w:rPr>
          <w:b/>
          <w:bCs/>
        </w:rPr>
        <w:t xml:space="preserve">Burden and </w:t>
      </w:r>
      <w:r w:rsidRPr="000C0B5F" w:rsidR="45640C1E">
        <w:rPr>
          <w:b/>
          <w:bCs/>
        </w:rPr>
        <w:t xml:space="preserve">Labor </w:t>
      </w:r>
      <w:r w:rsidRPr="000C0B5F">
        <w:rPr>
          <w:b/>
          <w:bCs/>
        </w:rPr>
        <w:t xml:space="preserve">Cost for </w:t>
      </w:r>
      <w:r w:rsidRPr="000C0B5F" w:rsidR="45640C1E">
        <w:rPr>
          <w:b/>
          <w:bCs/>
        </w:rPr>
        <w:t xml:space="preserve">all </w:t>
      </w:r>
      <w:r w:rsidRPr="000C0B5F">
        <w:rPr>
          <w:b/>
          <w:bCs/>
        </w:rPr>
        <w:t>Subpart</w:t>
      </w:r>
      <w:r w:rsidRPr="000C0B5F" w:rsidR="45640C1E">
        <w:rPr>
          <w:b/>
          <w:bCs/>
        </w:rPr>
        <w:t>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6A0"/>
      </w:tblPr>
      <w:tblGrid>
        <w:gridCol w:w="2340"/>
        <w:gridCol w:w="2340"/>
        <w:gridCol w:w="2340"/>
        <w:gridCol w:w="2340"/>
      </w:tblGrid>
      <w:tr w14:paraId="43DB2111" w14:textId="77777777" w:rsidTr="00C11AB8">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6A0"/>
        </w:tblPrEx>
        <w:trPr>
          <w:trHeight w:val="300"/>
        </w:trPr>
        <w:tc>
          <w:tcPr>
            <w:tcW w:w="2340" w:type="dxa"/>
            <w:tcBorders>
              <w:bottom w:val="single" w:sz="12" w:space="0" w:color="auto"/>
            </w:tcBorders>
          </w:tcPr>
          <w:p w:rsidR="06AD5A6D" w:rsidRPr="000C0B5F" w:rsidP="06AD5A6D" w14:paraId="4DC9714A" w14:textId="3095B689">
            <w:r w:rsidRPr="000C0B5F">
              <w:rPr>
                <w:rFonts w:ascii="Calibri" w:eastAsia="Calibri" w:hAnsi="Calibri" w:cs="Calibri"/>
                <w:b/>
                <w:bCs/>
              </w:rPr>
              <w:t>Subpart</w:t>
            </w:r>
          </w:p>
        </w:tc>
        <w:tc>
          <w:tcPr>
            <w:tcW w:w="2340" w:type="dxa"/>
            <w:tcBorders>
              <w:bottom w:val="single" w:sz="12" w:space="0" w:color="auto"/>
            </w:tcBorders>
          </w:tcPr>
          <w:p w:rsidR="06AD5A6D" w:rsidRPr="000C0B5F" w:rsidP="06AD5A6D" w14:paraId="5A23A4DC" w14:textId="63091239">
            <w:pPr>
              <w:jc w:val="center"/>
            </w:pPr>
            <w:r w:rsidRPr="000C0B5F">
              <w:rPr>
                <w:rFonts w:ascii="Calibri" w:eastAsia="Calibri" w:hAnsi="Calibri" w:cs="Calibri"/>
                <w:b/>
                <w:bCs/>
              </w:rPr>
              <w:t>No of</w:t>
            </w:r>
            <w:r w:rsidRPr="000C0B5F">
              <w:rPr>
                <w:rFonts w:ascii="Calibri" w:eastAsia="Calibri" w:hAnsi="Calibri" w:cs="Calibri"/>
                <w:b/>
                <w:bCs/>
              </w:rPr>
              <w:t xml:space="preserve"> Respondents (Facilities)</w:t>
            </w:r>
          </w:p>
        </w:tc>
        <w:tc>
          <w:tcPr>
            <w:tcW w:w="2340" w:type="dxa"/>
            <w:tcBorders>
              <w:bottom w:val="single" w:sz="12" w:space="0" w:color="auto"/>
            </w:tcBorders>
          </w:tcPr>
          <w:p w:rsidR="06AD5A6D" w:rsidRPr="000C0B5F" w:rsidP="06AD5A6D" w14:paraId="2FDE48C7" w14:textId="2EB3DA34">
            <w:pPr>
              <w:jc w:val="center"/>
            </w:pPr>
            <w:r w:rsidRPr="000C0B5F">
              <w:rPr>
                <w:rFonts w:ascii="Calibri" w:eastAsia="Calibri" w:hAnsi="Calibri" w:cs="Calibri"/>
                <w:b/>
                <w:bCs/>
              </w:rPr>
              <w:t>Annual Burden Hours</w:t>
            </w:r>
          </w:p>
        </w:tc>
        <w:tc>
          <w:tcPr>
            <w:tcW w:w="2340" w:type="dxa"/>
            <w:tcBorders>
              <w:bottom w:val="single" w:sz="12" w:space="0" w:color="auto"/>
            </w:tcBorders>
          </w:tcPr>
          <w:p w:rsidR="06AD5A6D" w:rsidRPr="000C0B5F" w:rsidP="06AD5A6D" w14:paraId="5CD30365" w14:textId="4ECA3238">
            <w:pPr>
              <w:jc w:val="center"/>
            </w:pPr>
            <w:r w:rsidRPr="000C0B5F">
              <w:rPr>
                <w:rFonts w:ascii="Calibri" w:eastAsia="Calibri" w:hAnsi="Calibri" w:cs="Calibri"/>
                <w:b/>
                <w:bCs/>
              </w:rPr>
              <w:t>Annual Labor Cost</w:t>
            </w:r>
          </w:p>
        </w:tc>
      </w:tr>
      <w:tr w14:paraId="326131F8" w14:textId="77777777" w:rsidTr="00AB6141">
        <w:tblPrEx>
          <w:tblW w:w="0" w:type="auto"/>
          <w:tblLayout w:type="fixed"/>
          <w:tblLook w:val="06A0"/>
        </w:tblPrEx>
        <w:trPr>
          <w:trHeight w:val="300"/>
        </w:trPr>
        <w:tc>
          <w:tcPr>
            <w:tcW w:w="2340" w:type="dxa"/>
            <w:tcBorders>
              <w:bottom w:val="single" w:sz="8" w:space="0" w:color="auto"/>
              <w:right w:val="single" w:sz="12" w:space="0" w:color="auto"/>
            </w:tcBorders>
          </w:tcPr>
          <w:p w:rsidR="06AD5A6D" w:rsidRPr="000C0B5F" w:rsidP="06AD5A6D" w14:paraId="211E8A6B" w14:textId="4B5C8AAA">
            <w:r w:rsidRPr="000C0B5F">
              <w:rPr>
                <w:rFonts w:ascii="Calibri" w:eastAsia="Calibri" w:hAnsi="Calibri" w:cs="Calibri"/>
              </w:rPr>
              <w:t>B</w:t>
            </w:r>
          </w:p>
        </w:tc>
        <w:tc>
          <w:tcPr>
            <w:tcW w:w="2340" w:type="dxa"/>
            <w:tcBorders>
              <w:left w:val="single" w:sz="12" w:space="0" w:color="auto"/>
              <w:bottom w:val="single" w:sz="8" w:space="0" w:color="auto"/>
              <w:right w:val="single" w:sz="8" w:space="0" w:color="auto"/>
            </w:tcBorders>
          </w:tcPr>
          <w:p w:rsidR="06AD5A6D" w:rsidRPr="000C0B5F" w:rsidP="06AD5A6D" w14:paraId="4642F3F5" w14:textId="1FD51191">
            <w:pPr>
              <w:jc w:val="center"/>
            </w:pPr>
            <w:r w:rsidRPr="000C0B5F">
              <w:rPr>
                <w:rFonts w:ascii="Calibri" w:eastAsia="Calibri" w:hAnsi="Calibri" w:cs="Calibri"/>
              </w:rPr>
              <w:t>14</w:t>
            </w:r>
          </w:p>
        </w:tc>
        <w:tc>
          <w:tcPr>
            <w:tcW w:w="2340" w:type="dxa"/>
            <w:tcBorders>
              <w:left w:val="single" w:sz="8" w:space="0" w:color="auto"/>
              <w:bottom w:val="single" w:sz="8" w:space="0" w:color="auto"/>
              <w:right w:val="single" w:sz="8" w:space="0" w:color="auto"/>
            </w:tcBorders>
          </w:tcPr>
          <w:p w:rsidR="06AD5A6D" w:rsidRPr="000C0B5F" w:rsidP="06AD5A6D" w14:paraId="2F12C6B9" w14:textId="1EBE2A2E">
            <w:pPr>
              <w:jc w:val="center"/>
            </w:pPr>
            <w:r w:rsidRPr="000C0B5F">
              <w:rPr>
                <w:rFonts w:ascii="Calibri" w:eastAsia="Calibri" w:hAnsi="Calibri" w:cs="Calibri"/>
              </w:rPr>
              <w:t>3220</w:t>
            </w:r>
          </w:p>
        </w:tc>
        <w:tc>
          <w:tcPr>
            <w:tcW w:w="2340" w:type="dxa"/>
            <w:tcBorders>
              <w:left w:val="single" w:sz="8" w:space="0" w:color="auto"/>
              <w:bottom w:val="single" w:sz="8" w:space="0" w:color="auto"/>
            </w:tcBorders>
          </w:tcPr>
          <w:p w:rsidR="06AD5A6D" w:rsidRPr="000C0B5F" w:rsidP="06AD5A6D" w14:paraId="71E3859C" w14:textId="154FE961">
            <w:pPr>
              <w:jc w:val="center"/>
            </w:pPr>
            <w:r w:rsidRPr="000C0B5F">
              <w:rPr>
                <w:rFonts w:ascii="Calibri" w:eastAsia="Calibri" w:hAnsi="Calibri" w:cs="Calibri"/>
              </w:rPr>
              <w:t xml:space="preserve">$297,500 </w:t>
            </w:r>
          </w:p>
        </w:tc>
      </w:tr>
      <w:tr w14:paraId="59FDC250" w14:textId="77777777" w:rsidTr="00AB6141">
        <w:tblPrEx>
          <w:tblW w:w="0" w:type="auto"/>
          <w:tblLayout w:type="fixed"/>
          <w:tblLook w:val="06A0"/>
        </w:tblPrEx>
        <w:trPr>
          <w:trHeight w:val="300"/>
        </w:trPr>
        <w:tc>
          <w:tcPr>
            <w:tcW w:w="2340" w:type="dxa"/>
            <w:tcBorders>
              <w:top w:val="single" w:sz="8" w:space="0" w:color="auto"/>
              <w:bottom w:val="single" w:sz="8" w:space="0" w:color="auto"/>
              <w:right w:val="single" w:sz="12" w:space="0" w:color="auto"/>
            </w:tcBorders>
          </w:tcPr>
          <w:p w:rsidR="06AD5A6D" w:rsidRPr="000C0B5F" w:rsidP="06AD5A6D" w14:paraId="285692FA" w14:textId="79EAD8C1">
            <w:r w:rsidRPr="000C0B5F">
              <w:rPr>
                <w:rFonts w:ascii="Calibri" w:eastAsia="Calibri" w:hAnsi="Calibri" w:cs="Calibri"/>
              </w:rPr>
              <w:t>K</w:t>
            </w:r>
          </w:p>
        </w:tc>
        <w:tc>
          <w:tcPr>
            <w:tcW w:w="2340" w:type="dxa"/>
            <w:tcBorders>
              <w:top w:val="single" w:sz="8" w:space="0" w:color="auto"/>
              <w:left w:val="single" w:sz="12" w:space="0" w:color="auto"/>
              <w:bottom w:val="single" w:sz="8" w:space="0" w:color="auto"/>
              <w:right w:val="single" w:sz="8" w:space="0" w:color="auto"/>
            </w:tcBorders>
          </w:tcPr>
          <w:p w:rsidR="06AD5A6D" w:rsidRPr="000C0B5F" w:rsidP="06AD5A6D" w14:paraId="78BA13D7" w14:textId="56615638">
            <w:pPr>
              <w:jc w:val="center"/>
            </w:pPr>
            <w:r w:rsidRPr="000C0B5F">
              <w:rPr>
                <w:rFonts w:ascii="Calibri" w:eastAsia="Calibri" w:hAnsi="Calibri" w:cs="Calibri"/>
              </w:rPr>
              <w:t>1</w:t>
            </w:r>
          </w:p>
        </w:tc>
        <w:tc>
          <w:tcPr>
            <w:tcW w:w="2340" w:type="dxa"/>
            <w:tcBorders>
              <w:top w:val="single" w:sz="8" w:space="0" w:color="auto"/>
              <w:left w:val="single" w:sz="8" w:space="0" w:color="auto"/>
              <w:bottom w:val="single" w:sz="8" w:space="0" w:color="auto"/>
              <w:right w:val="single" w:sz="8" w:space="0" w:color="auto"/>
            </w:tcBorders>
          </w:tcPr>
          <w:p w:rsidR="06AD5A6D" w:rsidRPr="000C0B5F" w:rsidP="06AD5A6D" w14:paraId="57E79F3B" w14:textId="07DF6204">
            <w:pPr>
              <w:jc w:val="center"/>
            </w:pPr>
            <w:r w:rsidRPr="000C0B5F">
              <w:rPr>
                <w:rFonts w:ascii="Calibri" w:eastAsia="Calibri" w:hAnsi="Calibri" w:cs="Calibri"/>
              </w:rPr>
              <w:t>20</w:t>
            </w:r>
          </w:p>
        </w:tc>
        <w:tc>
          <w:tcPr>
            <w:tcW w:w="2340" w:type="dxa"/>
            <w:tcBorders>
              <w:top w:val="single" w:sz="8" w:space="0" w:color="auto"/>
              <w:left w:val="single" w:sz="8" w:space="0" w:color="auto"/>
              <w:bottom w:val="single" w:sz="8" w:space="0" w:color="auto"/>
            </w:tcBorders>
          </w:tcPr>
          <w:p w:rsidR="06AD5A6D" w:rsidRPr="000C0B5F" w:rsidP="06AD5A6D" w14:paraId="5E41B16E" w14:textId="5CCF3D5C">
            <w:pPr>
              <w:jc w:val="center"/>
            </w:pPr>
            <w:r w:rsidRPr="000C0B5F">
              <w:rPr>
                <w:rFonts w:ascii="Calibri" w:eastAsia="Calibri" w:hAnsi="Calibri" w:cs="Calibri"/>
              </w:rPr>
              <w:t xml:space="preserve">$1,715 </w:t>
            </w:r>
          </w:p>
        </w:tc>
      </w:tr>
      <w:tr w14:paraId="354B41BE" w14:textId="77777777" w:rsidTr="00AB6141">
        <w:tblPrEx>
          <w:tblW w:w="0" w:type="auto"/>
          <w:tblLayout w:type="fixed"/>
          <w:tblLook w:val="06A0"/>
        </w:tblPrEx>
        <w:trPr>
          <w:trHeight w:val="300"/>
        </w:trPr>
        <w:tc>
          <w:tcPr>
            <w:tcW w:w="2340" w:type="dxa"/>
            <w:tcBorders>
              <w:top w:val="single" w:sz="8" w:space="0" w:color="auto"/>
              <w:bottom w:val="single" w:sz="8" w:space="0" w:color="auto"/>
              <w:right w:val="single" w:sz="12" w:space="0" w:color="auto"/>
            </w:tcBorders>
          </w:tcPr>
          <w:p w:rsidR="06AD5A6D" w:rsidRPr="000C0B5F" w:rsidP="06AD5A6D" w14:paraId="316A2D44" w14:textId="45E93AC3">
            <w:r w:rsidRPr="000C0B5F">
              <w:rPr>
                <w:rFonts w:ascii="Calibri" w:eastAsia="Calibri" w:hAnsi="Calibri" w:cs="Calibri"/>
              </w:rPr>
              <w:t>R (Open)</w:t>
            </w:r>
          </w:p>
        </w:tc>
        <w:tc>
          <w:tcPr>
            <w:tcW w:w="2340" w:type="dxa"/>
            <w:tcBorders>
              <w:top w:val="single" w:sz="8" w:space="0" w:color="auto"/>
              <w:left w:val="single" w:sz="12" w:space="0" w:color="auto"/>
              <w:bottom w:val="single" w:sz="8" w:space="0" w:color="auto"/>
              <w:right w:val="single" w:sz="8" w:space="0" w:color="auto"/>
            </w:tcBorders>
          </w:tcPr>
          <w:p w:rsidR="06AD5A6D" w:rsidRPr="000C0B5F" w:rsidP="06AD5A6D" w14:paraId="36C4C1F4" w14:textId="1A95E902">
            <w:pPr>
              <w:jc w:val="center"/>
            </w:pPr>
            <w:r w:rsidRPr="000C0B5F">
              <w:rPr>
                <w:rFonts w:ascii="Calibri" w:eastAsia="Calibri" w:hAnsi="Calibri" w:cs="Calibri"/>
              </w:rPr>
              <w:t>13</w:t>
            </w:r>
          </w:p>
        </w:tc>
        <w:tc>
          <w:tcPr>
            <w:tcW w:w="2340" w:type="dxa"/>
            <w:tcBorders>
              <w:top w:val="single" w:sz="8" w:space="0" w:color="auto"/>
              <w:left w:val="single" w:sz="8" w:space="0" w:color="auto"/>
              <w:bottom w:val="single" w:sz="8" w:space="0" w:color="auto"/>
              <w:right w:val="single" w:sz="8" w:space="0" w:color="auto"/>
            </w:tcBorders>
          </w:tcPr>
          <w:p w:rsidR="06AD5A6D" w:rsidRPr="000C0B5F" w:rsidP="06AD5A6D" w14:paraId="430A12D1" w14:textId="6BCE50EE">
            <w:pPr>
              <w:jc w:val="center"/>
            </w:pPr>
            <w:r w:rsidRPr="000C0B5F">
              <w:rPr>
                <w:rFonts w:ascii="Calibri" w:eastAsia="Calibri" w:hAnsi="Calibri" w:cs="Calibri"/>
              </w:rPr>
              <w:t>1,638</w:t>
            </w:r>
          </w:p>
        </w:tc>
        <w:tc>
          <w:tcPr>
            <w:tcW w:w="2340" w:type="dxa"/>
            <w:tcBorders>
              <w:top w:val="single" w:sz="8" w:space="0" w:color="auto"/>
              <w:left w:val="single" w:sz="8" w:space="0" w:color="auto"/>
              <w:bottom w:val="single" w:sz="8" w:space="0" w:color="auto"/>
            </w:tcBorders>
          </w:tcPr>
          <w:p w:rsidR="06AD5A6D" w:rsidRPr="000C0B5F" w:rsidP="06AD5A6D" w14:paraId="599893D5" w14:textId="147D3E47">
            <w:pPr>
              <w:jc w:val="center"/>
            </w:pPr>
            <w:r w:rsidRPr="000C0B5F">
              <w:rPr>
                <w:rFonts w:ascii="Calibri" w:eastAsia="Calibri" w:hAnsi="Calibri" w:cs="Calibri"/>
              </w:rPr>
              <w:t xml:space="preserve">$129,558 </w:t>
            </w:r>
          </w:p>
        </w:tc>
      </w:tr>
      <w:tr w14:paraId="1DA6DEE2" w14:textId="77777777" w:rsidTr="00AB6141">
        <w:tblPrEx>
          <w:tblW w:w="0" w:type="auto"/>
          <w:tblLayout w:type="fixed"/>
          <w:tblLook w:val="06A0"/>
        </w:tblPrEx>
        <w:trPr>
          <w:trHeight w:val="300"/>
        </w:trPr>
        <w:tc>
          <w:tcPr>
            <w:tcW w:w="2340" w:type="dxa"/>
            <w:tcBorders>
              <w:top w:val="single" w:sz="8" w:space="0" w:color="auto"/>
              <w:bottom w:val="single" w:sz="8" w:space="0" w:color="auto"/>
              <w:right w:val="single" w:sz="12" w:space="0" w:color="auto"/>
            </w:tcBorders>
          </w:tcPr>
          <w:p w:rsidR="06AD5A6D" w:rsidRPr="000C0B5F" w:rsidP="06AD5A6D" w14:paraId="594A1E67" w14:textId="1FBD6DA6">
            <w:r w:rsidRPr="000C0B5F">
              <w:rPr>
                <w:rFonts w:ascii="Calibri" w:eastAsia="Calibri" w:hAnsi="Calibri" w:cs="Calibri"/>
              </w:rPr>
              <w:t>W - liquid inspections</w:t>
            </w:r>
          </w:p>
        </w:tc>
        <w:tc>
          <w:tcPr>
            <w:tcW w:w="2340" w:type="dxa"/>
            <w:tcBorders>
              <w:top w:val="single" w:sz="8" w:space="0" w:color="auto"/>
              <w:left w:val="single" w:sz="12" w:space="0" w:color="auto"/>
              <w:bottom w:val="single" w:sz="8" w:space="0" w:color="auto"/>
              <w:right w:val="single" w:sz="8" w:space="0" w:color="auto"/>
            </w:tcBorders>
          </w:tcPr>
          <w:p w:rsidR="06AD5A6D" w:rsidRPr="000C0B5F" w:rsidP="06AD5A6D" w14:paraId="3C875357" w14:textId="6FA7FE4D">
            <w:pPr>
              <w:jc w:val="center"/>
            </w:pPr>
            <w:r w:rsidRPr="000C0B5F">
              <w:rPr>
                <w:rFonts w:ascii="Calibri" w:eastAsia="Calibri" w:hAnsi="Calibri" w:cs="Calibri"/>
              </w:rPr>
              <w:t>21</w:t>
            </w:r>
          </w:p>
        </w:tc>
        <w:tc>
          <w:tcPr>
            <w:tcW w:w="2340" w:type="dxa"/>
            <w:tcBorders>
              <w:top w:val="single" w:sz="8" w:space="0" w:color="auto"/>
              <w:left w:val="single" w:sz="8" w:space="0" w:color="auto"/>
              <w:bottom w:val="single" w:sz="8" w:space="0" w:color="auto"/>
              <w:right w:val="single" w:sz="8" w:space="0" w:color="auto"/>
            </w:tcBorders>
          </w:tcPr>
          <w:p w:rsidR="06AD5A6D" w:rsidRPr="000C0B5F" w:rsidP="06AD5A6D" w14:paraId="702C6432" w14:textId="5EA21FE2">
            <w:pPr>
              <w:jc w:val="center"/>
            </w:pPr>
            <w:r w:rsidRPr="000C0B5F">
              <w:rPr>
                <w:rFonts w:ascii="Calibri" w:eastAsia="Calibri" w:hAnsi="Calibri" w:cs="Calibri"/>
              </w:rPr>
              <w:t>5913</w:t>
            </w:r>
          </w:p>
        </w:tc>
        <w:tc>
          <w:tcPr>
            <w:tcW w:w="2340" w:type="dxa"/>
            <w:tcBorders>
              <w:top w:val="single" w:sz="8" w:space="0" w:color="auto"/>
              <w:left w:val="single" w:sz="8" w:space="0" w:color="auto"/>
              <w:bottom w:val="single" w:sz="8" w:space="0" w:color="auto"/>
            </w:tcBorders>
          </w:tcPr>
          <w:p w:rsidR="06AD5A6D" w:rsidRPr="000C0B5F" w:rsidP="06AD5A6D" w14:paraId="723C31B4" w14:textId="479552FC">
            <w:pPr>
              <w:jc w:val="center"/>
            </w:pPr>
            <w:r w:rsidRPr="000C0B5F">
              <w:rPr>
                <w:rFonts w:ascii="Calibri" w:eastAsia="Calibri" w:hAnsi="Calibri" w:cs="Calibri"/>
              </w:rPr>
              <w:t xml:space="preserve">$539,066 </w:t>
            </w:r>
          </w:p>
        </w:tc>
      </w:tr>
      <w:tr w14:paraId="5FA817EE" w14:textId="77777777" w:rsidTr="00AB6141">
        <w:tblPrEx>
          <w:tblW w:w="0" w:type="auto"/>
          <w:tblLayout w:type="fixed"/>
          <w:tblLook w:val="06A0"/>
        </w:tblPrEx>
        <w:trPr>
          <w:trHeight w:val="300"/>
        </w:trPr>
        <w:tc>
          <w:tcPr>
            <w:tcW w:w="2340" w:type="dxa"/>
            <w:tcBorders>
              <w:top w:val="single" w:sz="8" w:space="0" w:color="auto"/>
              <w:bottom w:val="single" w:sz="8" w:space="0" w:color="auto"/>
              <w:right w:val="single" w:sz="12" w:space="0" w:color="auto"/>
            </w:tcBorders>
          </w:tcPr>
          <w:p w:rsidR="06AD5A6D" w:rsidRPr="000C0B5F" w:rsidP="06AD5A6D" w14:paraId="15423325" w14:textId="21381783">
            <w:r w:rsidRPr="000C0B5F">
              <w:rPr>
                <w:rFonts w:ascii="Calibri" w:eastAsia="Calibri" w:hAnsi="Calibri" w:cs="Calibri"/>
              </w:rPr>
              <w:t>W - record keeping</w:t>
            </w:r>
          </w:p>
        </w:tc>
        <w:tc>
          <w:tcPr>
            <w:tcW w:w="2340" w:type="dxa"/>
            <w:tcBorders>
              <w:top w:val="single" w:sz="8" w:space="0" w:color="auto"/>
              <w:left w:val="single" w:sz="12" w:space="0" w:color="auto"/>
              <w:bottom w:val="single" w:sz="8" w:space="0" w:color="auto"/>
              <w:right w:val="single" w:sz="8" w:space="0" w:color="auto"/>
            </w:tcBorders>
          </w:tcPr>
          <w:p w:rsidR="06AD5A6D" w:rsidRPr="000C0B5F" w:rsidP="06AD5A6D" w14:paraId="1F7BE394" w14:textId="5AF9C814">
            <w:pPr>
              <w:jc w:val="center"/>
            </w:pPr>
            <w:r w:rsidRPr="000C0B5F">
              <w:rPr>
                <w:rFonts w:ascii="Calibri" w:eastAsia="Calibri" w:hAnsi="Calibri" w:cs="Calibri"/>
              </w:rPr>
              <w:t>24</w:t>
            </w:r>
          </w:p>
        </w:tc>
        <w:tc>
          <w:tcPr>
            <w:tcW w:w="2340" w:type="dxa"/>
            <w:tcBorders>
              <w:top w:val="single" w:sz="8" w:space="0" w:color="auto"/>
              <w:left w:val="single" w:sz="8" w:space="0" w:color="auto"/>
              <w:bottom w:val="single" w:sz="8" w:space="0" w:color="auto"/>
              <w:right w:val="single" w:sz="8" w:space="0" w:color="auto"/>
            </w:tcBorders>
          </w:tcPr>
          <w:p w:rsidR="06AD5A6D" w:rsidRPr="000C0B5F" w:rsidP="06AD5A6D" w14:paraId="5AD01340" w14:textId="098BE3FF">
            <w:pPr>
              <w:jc w:val="center"/>
            </w:pPr>
            <w:r w:rsidRPr="000C0B5F">
              <w:rPr>
                <w:rFonts w:ascii="Calibri" w:eastAsia="Calibri" w:hAnsi="Calibri" w:cs="Calibri"/>
              </w:rPr>
              <w:t>288</w:t>
            </w:r>
          </w:p>
        </w:tc>
        <w:tc>
          <w:tcPr>
            <w:tcW w:w="2340" w:type="dxa"/>
            <w:tcBorders>
              <w:top w:val="single" w:sz="8" w:space="0" w:color="auto"/>
              <w:left w:val="single" w:sz="8" w:space="0" w:color="auto"/>
              <w:bottom w:val="single" w:sz="8" w:space="0" w:color="auto"/>
            </w:tcBorders>
          </w:tcPr>
          <w:p w:rsidR="06AD5A6D" w:rsidRPr="000C0B5F" w:rsidP="06AD5A6D" w14:paraId="72305C1A" w14:textId="777147C5">
            <w:pPr>
              <w:jc w:val="center"/>
            </w:pPr>
            <w:r w:rsidRPr="000C0B5F">
              <w:rPr>
                <w:rFonts w:ascii="Calibri" w:eastAsia="Calibri" w:hAnsi="Calibri" w:cs="Calibri"/>
              </w:rPr>
              <w:t xml:space="preserve">$15,528 </w:t>
            </w:r>
          </w:p>
        </w:tc>
      </w:tr>
      <w:tr w14:paraId="78905A75" w14:textId="77777777" w:rsidTr="00D01B40">
        <w:tblPrEx>
          <w:tblW w:w="0" w:type="auto"/>
          <w:tblLayout w:type="fixed"/>
          <w:tblLook w:val="06A0"/>
        </w:tblPrEx>
        <w:trPr>
          <w:trHeight w:val="300"/>
        </w:trPr>
        <w:tc>
          <w:tcPr>
            <w:tcW w:w="2340" w:type="dxa"/>
            <w:tcBorders>
              <w:top w:val="single" w:sz="8" w:space="0" w:color="auto"/>
              <w:bottom w:val="single" w:sz="18" w:space="0" w:color="auto"/>
              <w:right w:val="single" w:sz="12" w:space="0" w:color="auto"/>
            </w:tcBorders>
          </w:tcPr>
          <w:p w:rsidR="06AD5A6D" w:rsidRPr="000C0B5F" w:rsidP="06AD5A6D" w14:paraId="0D2AFF06" w14:textId="5838C446">
            <w:r w:rsidRPr="000C0B5F">
              <w:rPr>
                <w:rFonts w:ascii="Calibri" w:eastAsia="Calibri" w:hAnsi="Calibri" w:cs="Calibri"/>
              </w:rPr>
              <w:t>W - radon testing</w:t>
            </w:r>
          </w:p>
        </w:tc>
        <w:tc>
          <w:tcPr>
            <w:tcW w:w="2340" w:type="dxa"/>
            <w:tcBorders>
              <w:top w:val="single" w:sz="8" w:space="0" w:color="auto"/>
              <w:left w:val="single" w:sz="12" w:space="0" w:color="auto"/>
              <w:bottom w:val="single" w:sz="18" w:space="0" w:color="auto"/>
              <w:right w:val="single" w:sz="8" w:space="0" w:color="auto"/>
            </w:tcBorders>
          </w:tcPr>
          <w:p w:rsidR="06AD5A6D" w:rsidRPr="000C0B5F" w:rsidP="06AD5A6D" w14:paraId="47702D96" w14:textId="6D5CFBE8">
            <w:pPr>
              <w:jc w:val="center"/>
            </w:pPr>
            <w:r w:rsidRPr="000C0B5F">
              <w:rPr>
                <w:rFonts w:ascii="Calibri" w:eastAsia="Calibri" w:hAnsi="Calibri" w:cs="Calibri"/>
              </w:rPr>
              <w:t>3</w:t>
            </w:r>
          </w:p>
        </w:tc>
        <w:tc>
          <w:tcPr>
            <w:tcW w:w="2340" w:type="dxa"/>
            <w:tcBorders>
              <w:top w:val="single" w:sz="8" w:space="0" w:color="auto"/>
              <w:left w:val="single" w:sz="8" w:space="0" w:color="auto"/>
              <w:bottom w:val="single" w:sz="18" w:space="0" w:color="auto"/>
              <w:right w:val="single" w:sz="8" w:space="0" w:color="auto"/>
            </w:tcBorders>
          </w:tcPr>
          <w:p w:rsidR="06AD5A6D" w:rsidRPr="000C0B5F" w:rsidP="06AD5A6D" w14:paraId="26C29CBD" w14:textId="79A263CF">
            <w:pPr>
              <w:jc w:val="center"/>
            </w:pPr>
            <w:r w:rsidRPr="000C0B5F">
              <w:rPr>
                <w:rFonts w:ascii="Calibri" w:eastAsia="Calibri" w:hAnsi="Calibri" w:cs="Calibri"/>
              </w:rPr>
              <w:t>222</w:t>
            </w:r>
          </w:p>
        </w:tc>
        <w:tc>
          <w:tcPr>
            <w:tcW w:w="2340" w:type="dxa"/>
            <w:tcBorders>
              <w:top w:val="single" w:sz="8" w:space="0" w:color="auto"/>
              <w:left w:val="single" w:sz="8" w:space="0" w:color="auto"/>
              <w:bottom w:val="single" w:sz="18" w:space="0" w:color="auto"/>
            </w:tcBorders>
          </w:tcPr>
          <w:p w:rsidR="06AD5A6D" w:rsidRPr="000C0B5F" w:rsidP="06AD5A6D" w14:paraId="61FDDC70" w14:textId="72746EA6">
            <w:pPr>
              <w:jc w:val="center"/>
            </w:pPr>
            <w:r w:rsidRPr="000C0B5F">
              <w:rPr>
                <w:rFonts w:ascii="Calibri" w:eastAsia="Calibri" w:hAnsi="Calibri" w:cs="Calibri"/>
              </w:rPr>
              <w:t xml:space="preserve">$21,161 </w:t>
            </w:r>
          </w:p>
        </w:tc>
      </w:tr>
      <w:tr w14:paraId="6FCDFD92" w14:textId="77777777" w:rsidTr="00D01B40">
        <w:tblPrEx>
          <w:tblW w:w="0" w:type="auto"/>
          <w:tblLayout w:type="fixed"/>
          <w:tblLook w:val="06A0"/>
        </w:tblPrEx>
        <w:trPr>
          <w:trHeight w:val="300"/>
        </w:trPr>
        <w:tc>
          <w:tcPr>
            <w:tcW w:w="2340" w:type="dxa"/>
            <w:tcBorders>
              <w:top w:val="single" w:sz="18" w:space="0" w:color="auto"/>
              <w:left w:val="single" w:sz="18" w:space="0" w:color="auto"/>
              <w:bottom w:val="single" w:sz="18" w:space="0" w:color="auto"/>
              <w:right w:val="single" w:sz="18" w:space="0" w:color="auto"/>
            </w:tcBorders>
          </w:tcPr>
          <w:p w:rsidR="06AD5A6D" w:rsidRPr="000C0B5F" w:rsidP="06AD5A6D" w14:paraId="36D0DAB7" w14:textId="41183BFA">
            <w:r w:rsidRPr="000C0B5F">
              <w:rPr>
                <w:rFonts w:ascii="Calibri" w:eastAsia="Calibri" w:hAnsi="Calibri" w:cs="Calibri"/>
                <w:b/>
                <w:bCs/>
              </w:rPr>
              <w:t>TOTALS</w:t>
            </w:r>
          </w:p>
        </w:tc>
        <w:tc>
          <w:tcPr>
            <w:tcW w:w="2340" w:type="dxa"/>
            <w:tcBorders>
              <w:top w:val="single" w:sz="18" w:space="0" w:color="auto"/>
              <w:left w:val="single" w:sz="18" w:space="0" w:color="auto"/>
              <w:bottom w:val="single" w:sz="18" w:space="0" w:color="auto"/>
              <w:right w:val="single" w:sz="18" w:space="0" w:color="auto"/>
            </w:tcBorders>
          </w:tcPr>
          <w:p w:rsidR="06AD5A6D" w:rsidRPr="000C0B5F" w:rsidP="06AD5A6D" w14:paraId="6C2688FC" w14:textId="2D9DD1C6">
            <w:pPr>
              <w:jc w:val="center"/>
            </w:pPr>
            <w:r w:rsidRPr="000C0B5F">
              <w:rPr>
                <w:rFonts w:ascii="Calibri" w:eastAsia="Calibri" w:hAnsi="Calibri" w:cs="Calibri"/>
                <w:b/>
                <w:bCs/>
              </w:rPr>
              <w:t>52</w:t>
            </w:r>
          </w:p>
        </w:tc>
        <w:tc>
          <w:tcPr>
            <w:tcW w:w="2340" w:type="dxa"/>
            <w:tcBorders>
              <w:top w:val="single" w:sz="18" w:space="0" w:color="auto"/>
              <w:left w:val="single" w:sz="18" w:space="0" w:color="auto"/>
              <w:bottom w:val="single" w:sz="18" w:space="0" w:color="auto"/>
              <w:right w:val="single" w:sz="18" w:space="0" w:color="auto"/>
            </w:tcBorders>
          </w:tcPr>
          <w:p w:rsidR="06AD5A6D" w:rsidRPr="000C0B5F" w:rsidP="06AD5A6D" w14:paraId="6B18EBF2" w14:textId="65E1D433">
            <w:pPr>
              <w:jc w:val="center"/>
            </w:pPr>
            <w:r w:rsidRPr="000C0B5F">
              <w:rPr>
                <w:rFonts w:ascii="Calibri" w:eastAsia="Calibri" w:hAnsi="Calibri" w:cs="Calibri"/>
                <w:b/>
                <w:bCs/>
              </w:rPr>
              <w:t>11,301</w:t>
            </w:r>
          </w:p>
        </w:tc>
        <w:tc>
          <w:tcPr>
            <w:tcW w:w="2340" w:type="dxa"/>
            <w:tcBorders>
              <w:top w:val="single" w:sz="18" w:space="0" w:color="auto"/>
              <w:left w:val="single" w:sz="18" w:space="0" w:color="auto"/>
              <w:bottom w:val="single" w:sz="18" w:space="0" w:color="auto"/>
              <w:right w:val="single" w:sz="18" w:space="0" w:color="auto"/>
            </w:tcBorders>
          </w:tcPr>
          <w:p w:rsidR="06AD5A6D" w:rsidRPr="000C0B5F" w:rsidP="06AD5A6D" w14:paraId="79DE1141" w14:textId="6C9C4DB0">
            <w:pPr>
              <w:jc w:val="center"/>
            </w:pPr>
            <w:r w:rsidRPr="000C0B5F">
              <w:rPr>
                <w:rFonts w:ascii="Calibri" w:eastAsia="Calibri" w:hAnsi="Calibri" w:cs="Calibri"/>
                <w:b/>
                <w:bCs/>
              </w:rPr>
              <w:t>$1,004,527</w:t>
            </w:r>
          </w:p>
        </w:tc>
      </w:tr>
    </w:tbl>
    <w:p w:rsidR="00940B32" w:rsidRPr="000C0B5F" w:rsidP="00AF7541" w14:paraId="6A2E3F14" w14:textId="77777777">
      <w:pPr>
        <w:spacing w:before="240"/>
        <w:sectPr w:rsidSect="00621249">
          <w:headerReference w:type="default" r:id="rId9"/>
          <w:footerReference w:type="default" r:id="rId10"/>
          <w:pgSz w:w="12240" w:h="15840"/>
          <w:pgMar w:top="1440" w:right="1440" w:bottom="1440" w:left="1440" w:header="720" w:footer="720" w:gutter="0"/>
          <w:cols w:space="720"/>
          <w:docGrid w:linePitch="360"/>
        </w:sectPr>
      </w:pPr>
      <w:r w:rsidRPr="000C0B5F">
        <w:t xml:space="preserve"> </w:t>
      </w:r>
    </w:p>
    <w:p w:rsidR="001172FE" w:rsidRPr="000C0B5F" w:rsidP="00FC6893" w14:paraId="571186E5" w14:textId="5F352812">
      <w:pPr>
        <w:spacing w:after="120"/>
        <w:rPr>
          <w:b/>
          <w:bCs/>
        </w:rPr>
      </w:pPr>
      <w:r w:rsidRPr="000C0B5F">
        <w:rPr>
          <w:b/>
          <w:bCs/>
        </w:rPr>
        <w:t xml:space="preserve">12a. </w:t>
      </w:r>
      <w:r w:rsidRPr="000C0B5F" w:rsidR="0042474D">
        <w:rPr>
          <w:b/>
          <w:bCs/>
        </w:rPr>
        <w:t>RESPONDENTS/NAICS CODES</w:t>
      </w:r>
      <w:bookmarkStart w:id="16" w:name="_Toc156593383"/>
      <w:bookmarkEnd w:id="15"/>
    </w:p>
    <w:p w:rsidR="00BB3410" w:rsidRPr="000C0B5F" w:rsidP="006B41DF" w14:paraId="0DA69975" w14:textId="7C1DB19D">
      <w:pPr>
        <w:spacing w:line="276" w:lineRule="auto"/>
      </w:pPr>
      <w:r w:rsidRPr="000C0B5F">
        <w:t xml:space="preserve">The North American Industry Classification System (NAICS) codes associated with the activities of the respondents are included in Table </w:t>
      </w:r>
      <w:r w:rsidRPr="000C0B5F" w:rsidR="00027C0A">
        <w:t>3</w:t>
      </w:r>
      <w:r w:rsidRPr="000C0B5F">
        <w:t>.</w:t>
      </w:r>
    </w:p>
    <w:p w:rsidR="008716F5" w:rsidRPr="000C0B5F" w:rsidP="00454889" w14:paraId="0A4E33B2" w14:textId="532B056B">
      <w:pPr>
        <w:rPr>
          <w:b/>
          <w:bCs/>
        </w:rPr>
      </w:pPr>
      <w:r w:rsidRPr="000C0B5F">
        <w:rPr>
          <w:b/>
          <w:bCs/>
        </w:rPr>
        <w:t xml:space="preserve">Table </w:t>
      </w:r>
      <w:r w:rsidRPr="000C0B5F" w:rsidR="00027C0A">
        <w:rPr>
          <w:b/>
          <w:bCs/>
        </w:rPr>
        <w:t>3</w:t>
      </w:r>
      <w:r w:rsidRPr="000C0B5F">
        <w:rPr>
          <w:b/>
          <w:bCs/>
        </w:rPr>
        <w:t>: NAICS Codes of Respondents by Subpart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090"/>
        <w:gridCol w:w="3174"/>
        <w:gridCol w:w="5066"/>
      </w:tblGrid>
      <w:tr w14:paraId="15AD9069" w14:textId="77777777" w:rsidTr="00FC6893">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cantSplit/>
          <w:tblHeader/>
        </w:trPr>
        <w:tc>
          <w:tcPr>
            <w:tcW w:w="1090" w:type="dxa"/>
          </w:tcPr>
          <w:p w:rsidR="00F74C8D" w:rsidRPr="000C0B5F" w:rsidP="00454889" w14:paraId="0B16517B" w14:textId="77777777">
            <w:pPr>
              <w:rPr>
                <w:b/>
                <w:bCs/>
              </w:rPr>
            </w:pPr>
            <w:r w:rsidRPr="000C0B5F">
              <w:rPr>
                <w:b/>
                <w:bCs/>
              </w:rPr>
              <w:t>Subpart</w:t>
            </w:r>
          </w:p>
        </w:tc>
        <w:tc>
          <w:tcPr>
            <w:tcW w:w="3180" w:type="dxa"/>
          </w:tcPr>
          <w:p w:rsidR="00F74C8D" w:rsidRPr="000C0B5F" w:rsidP="00454889" w14:paraId="72409108" w14:textId="77777777">
            <w:pPr>
              <w:rPr>
                <w:b/>
                <w:bCs/>
              </w:rPr>
            </w:pPr>
            <w:r w:rsidRPr="000C0B5F">
              <w:rPr>
                <w:b/>
                <w:bCs/>
              </w:rPr>
              <w:t>Source Category</w:t>
            </w:r>
          </w:p>
        </w:tc>
        <w:tc>
          <w:tcPr>
            <w:tcW w:w="5080" w:type="dxa"/>
          </w:tcPr>
          <w:p w:rsidR="00F74C8D" w:rsidRPr="000C0B5F" w:rsidP="00454889" w14:paraId="3208C656" w14:textId="77777777">
            <w:pPr>
              <w:rPr>
                <w:b/>
                <w:bCs/>
              </w:rPr>
            </w:pPr>
            <w:r w:rsidRPr="000C0B5F">
              <w:rPr>
                <w:b/>
                <w:bCs/>
              </w:rPr>
              <w:t>NAICS Code</w:t>
            </w:r>
          </w:p>
        </w:tc>
      </w:tr>
      <w:tr w14:paraId="6066EE7A" w14:textId="77777777" w:rsidTr="00FC6893">
        <w:tblPrEx>
          <w:tblW w:w="0" w:type="auto"/>
          <w:tblLook w:val="04A0"/>
        </w:tblPrEx>
        <w:trPr>
          <w:cantSplit/>
        </w:trPr>
        <w:tc>
          <w:tcPr>
            <w:tcW w:w="1090" w:type="dxa"/>
          </w:tcPr>
          <w:p w:rsidR="00F74C8D" w:rsidRPr="000C0B5F" w:rsidP="00454889" w14:paraId="3E89C457" w14:textId="77777777">
            <w:r w:rsidRPr="000C0B5F">
              <w:t>B</w:t>
            </w:r>
          </w:p>
        </w:tc>
        <w:tc>
          <w:tcPr>
            <w:tcW w:w="3180" w:type="dxa"/>
          </w:tcPr>
          <w:p w:rsidR="00F74C8D" w:rsidRPr="000C0B5F" w:rsidP="00454889" w14:paraId="463E2049" w14:textId="77777777">
            <w:r w:rsidRPr="000C0B5F">
              <w:t>Underground Uranium Mines</w:t>
            </w:r>
            <w:r w:rsidRPr="000C0B5F">
              <w:tab/>
            </w:r>
          </w:p>
        </w:tc>
        <w:tc>
          <w:tcPr>
            <w:tcW w:w="5080" w:type="dxa"/>
          </w:tcPr>
          <w:p w:rsidR="00F74C8D" w:rsidRPr="000C0B5F" w:rsidP="00454889" w14:paraId="586972D3" w14:textId="77777777">
            <w:r w:rsidRPr="000C0B5F">
              <w:t>212290 (previously 212291) Other Metal Ore Mining</w:t>
            </w:r>
          </w:p>
        </w:tc>
      </w:tr>
      <w:tr w14:paraId="3CBA849B" w14:textId="77777777" w:rsidTr="00FC6893">
        <w:tblPrEx>
          <w:tblW w:w="0" w:type="auto"/>
          <w:tblLook w:val="04A0"/>
        </w:tblPrEx>
        <w:trPr>
          <w:cantSplit/>
        </w:trPr>
        <w:tc>
          <w:tcPr>
            <w:tcW w:w="1090" w:type="dxa"/>
          </w:tcPr>
          <w:p w:rsidR="00F74C8D" w:rsidRPr="000C0B5F" w:rsidP="00454889" w14:paraId="67D7B8C0" w14:textId="77777777">
            <w:r w:rsidRPr="000C0B5F">
              <w:t>K</w:t>
            </w:r>
          </w:p>
        </w:tc>
        <w:tc>
          <w:tcPr>
            <w:tcW w:w="3180" w:type="dxa"/>
          </w:tcPr>
          <w:p w:rsidR="00F74C8D" w:rsidRPr="000C0B5F" w:rsidP="00454889" w14:paraId="59D7964F" w14:textId="77777777">
            <w:r w:rsidRPr="000C0B5F">
              <w:t>Elemental Phosphorous</w:t>
            </w:r>
          </w:p>
        </w:tc>
        <w:tc>
          <w:tcPr>
            <w:tcW w:w="5080" w:type="dxa"/>
          </w:tcPr>
          <w:p w:rsidR="00F74C8D" w:rsidRPr="000C0B5F" w:rsidP="00454889" w14:paraId="3EAE3881" w14:textId="77777777">
            <w:r w:rsidRPr="000C0B5F">
              <w:t>325180: Other Basic Inorganic Chemical Manufacturing</w:t>
            </w:r>
          </w:p>
        </w:tc>
      </w:tr>
      <w:tr w14:paraId="17B72552" w14:textId="77777777" w:rsidTr="00FC6893">
        <w:tblPrEx>
          <w:tblW w:w="0" w:type="auto"/>
          <w:tblLook w:val="04A0"/>
        </w:tblPrEx>
        <w:trPr>
          <w:cantSplit/>
        </w:trPr>
        <w:tc>
          <w:tcPr>
            <w:tcW w:w="1090" w:type="dxa"/>
          </w:tcPr>
          <w:p w:rsidR="00F74C8D" w:rsidRPr="000C0B5F" w:rsidP="00454889" w14:paraId="5A7DFCAF" w14:textId="77777777">
            <w:r w:rsidRPr="000C0B5F">
              <w:t>R</w:t>
            </w:r>
          </w:p>
        </w:tc>
        <w:tc>
          <w:tcPr>
            <w:tcW w:w="3180" w:type="dxa"/>
          </w:tcPr>
          <w:p w:rsidR="00F74C8D" w:rsidRPr="000C0B5F" w:rsidP="00454889" w14:paraId="2E539F44" w14:textId="77777777">
            <w:r w:rsidRPr="000C0B5F">
              <w:t>Phosphogypsum Stacks</w:t>
            </w:r>
          </w:p>
        </w:tc>
        <w:tc>
          <w:tcPr>
            <w:tcW w:w="5080" w:type="dxa"/>
          </w:tcPr>
          <w:p w:rsidR="00F74C8D" w:rsidRPr="000C0B5F" w:rsidP="00454889" w14:paraId="5911B770" w14:textId="77777777">
            <w:r w:rsidRPr="000C0B5F">
              <w:t>212390 (previously 212392): Other Nonmetallic Mineral Mining and Quarrying</w:t>
            </w:r>
          </w:p>
        </w:tc>
      </w:tr>
      <w:tr w14:paraId="776C3949" w14:textId="77777777" w:rsidTr="00FC6893">
        <w:tblPrEx>
          <w:tblW w:w="0" w:type="auto"/>
          <w:tblLook w:val="04A0"/>
        </w:tblPrEx>
        <w:trPr>
          <w:cantSplit/>
        </w:trPr>
        <w:tc>
          <w:tcPr>
            <w:tcW w:w="1090" w:type="dxa"/>
          </w:tcPr>
          <w:p w:rsidR="00F74C8D" w:rsidRPr="000C0B5F" w:rsidP="00454889" w14:paraId="681F8843" w14:textId="77777777">
            <w:r w:rsidRPr="000C0B5F">
              <w:t>W</w:t>
            </w:r>
          </w:p>
        </w:tc>
        <w:tc>
          <w:tcPr>
            <w:tcW w:w="3180" w:type="dxa"/>
          </w:tcPr>
          <w:p w:rsidR="00F74C8D" w:rsidRPr="000C0B5F" w:rsidP="00454889" w14:paraId="1CBB6B80" w14:textId="77777777">
            <w:r w:rsidRPr="000C0B5F">
              <w:t>Uranium Mill Tailings</w:t>
            </w:r>
          </w:p>
        </w:tc>
        <w:tc>
          <w:tcPr>
            <w:tcW w:w="5080" w:type="dxa"/>
          </w:tcPr>
          <w:p w:rsidR="00F74C8D" w:rsidRPr="000C0B5F" w:rsidP="00454889" w14:paraId="5D17DC53" w14:textId="77777777">
            <w:r w:rsidRPr="000C0B5F">
              <w:t>212290 (previously 212291): Other Metal Ore Mining</w:t>
            </w:r>
          </w:p>
        </w:tc>
      </w:tr>
    </w:tbl>
    <w:p w:rsidR="00ED57A4" w:rsidRPr="000C0B5F" w:rsidP="00FC6893" w14:paraId="24D360E5" w14:textId="226DCC14">
      <w:pPr>
        <w:pStyle w:val="Heading2"/>
        <w:spacing w:before="240" w:after="120"/>
      </w:pPr>
      <w:r w:rsidRPr="000C0B5F">
        <w:t xml:space="preserve">12b. </w:t>
      </w:r>
      <w:r w:rsidRPr="000C0B5F" w:rsidR="0042474D">
        <w:t>INFORMATION REQUESTED</w:t>
      </w:r>
      <w:bookmarkStart w:id="17" w:name="_Toc156593384"/>
      <w:bookmarkEnd w:id="16"/>
    </w:p>
    <w:p w:rsidR="00C55CA6" w:rsidRPr="000C0B5F" w:rsidP="00454889" w14:paraId="0F71EE69" w14:textId="77777777">
      <w:r w:rsidRPr="000C0B5F">
        <w:t>Descriptions of the reporting requirements are listed separately below for each subpart.</w:t>
      </w:r>
    </w:p>
    <w:p w:rsidR="00C55CA6" w:rsidRPr="000C0B5F" w:rsidP="00FC6893" w14:paraId="20D3E1BA" w14:textId="77777777">
      <w:pPr>
        <w:spacing w:before="240" w:after="120"/>
        <w:rPr>
          <w:b/>
          <w:bCs/>
        </w:rPr>
      </w:pPr>
      <w:r w:rsidRPr="000C0B5F">
        <w:rPr>
          <w:b/>
          <w:bCs/>
        </w:rPr>
        <w:t>Subpart B: Underground Uranium Mines</w:t>
      </w:r>
    </w:p>
    <w:p w:rsidR="00C55CA6" w:rsidRPr="000C0B5F" w:rsidP="006B41DF" w14:paraId="7B875D28" w14:textId="77777777">
      <w:pPr>
        <w:spacing w:line="276" w:lineRule="auto"/>
      </w:pPr>
      <w:r w:rsidRPr="000C0B5F">
        <w:t>Subpart B requires mines that are being actively ventilated to perform annual radon emissions measurements and public dose calculations using Appendix B, Method 115 of 40 CFR part 61 and the EPA computer program COMPLY-R, and to report the results to the EPA. The specific reporting requirements are found in Section 61.24(a):</w:t>
      </w:r>
    </w:p>
    <w:p w:rsidR="00C55CA6" w:rsidRPr="000C0B5F" w:rsidP="003D1FCB" w14:paraId="130DB767" w14:textId="77777777">
      <w:pPr>
        <w:spacing w:line="276" w:lineRule="auto"/>
        <w:ind w:left="720"/>
      </w:pPr>
      <w:r w:rsidRPr="000C0B5F">
        <w:t xml:space="preserve">“The mine owner or operator shall annually calculate and report the results of the compliance calculations and the input parameters used in making the calculation. This report shall cover the emissions </w:t>
      </w:r>
      <w:r w:rsidRPr="000C0B5F">
        <w:t>of</w:t>
      </w:r>
      <w:r w:rsidRPr="000C0B5F">
        <w:t xml:space="preserve"> a calendar year and be sent to EPA by March 31 of the following year. Each report </w:t>
      </w:r>
      <w:r w:rsidRPr="000C0B5F">
        <w:t>shall</w:t>
      </w:r>
      <w:r w:rsidRPr="000C0B5F">
        <w:t xml:space="preserve"> also include the following information:</w:t>
      </w:r>
    </w:p>
    <w:p w:rsidR="00C55CA6" w:rsidRPr="000C0B5F" w:rsidP="003D1FCB" w14:paraId="416CDF31" w14:textId="77777777">
      <w:pPr>
        <w:spacing w:line="276" w:lineRule="auto"/>
        <w:ind w:left="720"/>
      </w:pPr>
      <w:r w:rsidRPr="000C0B5F">
        <w:t xml:space="preserve">(1) The name and location of the mine (including latitude and longitude). </w:t>
      </w:r>
    </w:p>
    <w:p w:rsidR="00C55CA6" w:rsidRPr="000C0B5F" w:rsidP="003D1FCB" w14:paraId="08BB1FF7" w14:textId="77777777">
      <w:pPr>
        <w:spacing w:line="276" w:lineRule="auto"/>
        <w:ind w:left="720"/>
      </w:pPr>
      <w:r w:rsidRPr="000C0B5F">
        <w:t xml:space="preserve">(2) The name of the person responsible for the operation of the facility and the name of the person preparing the report (if different). </w:t>
      </w:r>
    </w:p>
    <w:p w:rsidR="00C55CA6" w:rsidRPr="000C0B5F" w:rsidP="003D1FCB" w14:paraId="0DC5ECF3" w14:textId="44186E7F">
      <w:pPr>
        <w:spacing w:line="276" w:lineRule="auto"/>
        <w:ind w:left="720"/>
      </w:pPr>
      <w:r w:rsidRPr="000C0B5F">
        <w:t xml:space="preserve">(3) The results of the emissions testing </w:t>
      </w:r>
      <w:r w:rsidRPr="000C0B5F" w:rsidR="5695040C">
        <w:t>conducted</w:t>
      </w:r>
      <w:r w:rsidRPr="000C0B5F">
        <w:t xml:space="preserve"> and the dose calculated using the procedures in Section 61.23.</w:t>
      </w:r>
    </w:p>
    <w:p w:rsidR="00C55CA6" w:rsidRPr="000C0B5F" w:rsidP="003D1FCB" w14:paraId="7D1FCBD0" w14:textId="77777777">
      <w:pPr>
        <w:spacing w:line="276" w:lineRule="auto"/>
        <w:ind w:left="720"/>
      </w:pPr>
      <w:r w:rsidRPr="000C0B5F">
        <w:t>(4) A list of the stacks or vents or other points where radioactive materials are released to the atmosphere, including their location, diameter, flow rate, effluent temperature and release height.</w:t>
      </w:r>
    </w:p>
    <w:p w:rsidR="00C55CA6" w:rsidRPr="000C0B5F" w:rsidP="003D1FCB" w14:paraId="47DAEAD7" w14:textId="77777777">
      <w:pPr>
        <w:spacing w:line="276" w:lineRule="auto"/>
        <w:ind w:left="720"/>
      </w:pPr>
      <w:r w:rsidRPr="000C0B5F">
        <w:t>(5) A description of the effluent controls that are used on each stack, vent, or other release point and the effluent controls used inside the mine, and an estimate of the efficiency of each control method or device.</w:t>
      </w:r>
    </w:p>
    <w:p w:rsidR="00C55CA6" w:rsidRPr="000C0B5F" w:rsidP="003D1FCB" w14:paraId="347012BF" w14:textId="77777777">
      <w:pPr>
        <w:spacing w:line="276" w:lineRule="auto"/>
        <w:ind w:left="720"/>
      </w:pPr>
      <w:r w:rsidRPr="000C0B5F">
        <w:t xml:space="preserve">(6) Distances from the points of release to the nearest residence, school, business or office and the nearest farms producing vegetables, milk and meat. </w:t>
      </w:r>
    </w:p>
    <w:p w:rsidR="00C55CA6" w:rsidRPr="000C0B5F" w:rsidP="003D1FCB" w14:paraId="4A8BFEA8" w14:textId="77777777">
      <w:pPr>
        <w:spacing w:line="276" w:lineRule="auto"/>
        <w:ind w:left="720"/>
      </w:pPr>
      <w:r w:rsidRPr="000C0B5F">
        <w:t>(7) The values used for all other user-supplied input parameters for the computer model (e.g., meteorological data) and the source of these data.</w:t>
      </w:r>
    </w:p>
    <w:p w:rsidR="00C55CA6" w:rsidRPr="000C0B5F" w:rsidP="003D1FCB" w14:paraId="77B541A1" w14:textId="77777777">
      <w:pPr>
        <w:spacing w:before="120" w:after="120" w:line="276" w:lineRule="auto"/>
        <w:ind w:left="720"/>
      </w:pPr>
      <w:r w:rsidRPr="000C0B5F">
        <w:t xml:space="preserve">(8) Each report shall be signed and dated by a corporate officer in charge of the facility and contain the following declaration immediately above the signature line: ‘I certify under penalty of law that I have personally examined and am familiar with the information submitted herein and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 See 18 U.S.C. 1001.’" </w:t>
      </w:r>
    </w:p>
    <w:p w:rsidR="00C55CA6" w:rsidRPr="000C0B5F" w:rsidP="00FC6893" w14:paraId="7FA3AC14" w14:textId="398F7648">
      <w:pPr>
        <w:spacing w:before="240" w:after="120"/>
        <w:rPr>
          <w:b/>
          <w:bCs/>
        </w:rPr>
      </w:pPr>
      <w:r w:rsidRPr="000C0B5F">
        <w:rPr>
          <w:b/>
          <w:bCs/>
        </w:rPr>
        <w:t>Subpart K: Elemental Phosphorus Plants</w:t>
      </w:r>
    </w:p>
    <w:p w:rsidR="00C55CA6" w:rsidRPr="000C0B5F" w:rsidP="006B41DF" w14:paraId="450D7F5D" w14:textId="77777777">
      <w:pPr>
        <w:spacing w:line="276" w:lineRule="auto"/>
      </w:pPr>
      <w:r w:rsidRPr="000C0B5F">
        <w:t>Subpart K sets an annual emissions limit for polonium-210. Each owner or operator of an elemental phosphorus plant shall test emissions of polonium-210 from the plant annually according to the procedures in Section 61.123 and using the test methods in Section 61.125. The EPA requires that these results be reported annually. Specific compliance reporting requirements are included in Section 61.123(f):</w:t>
      </w:r>
    </w:p>
    <w:p w:rsidR="00C55CA6" w:rsidRPr="000C0B5F" w:rsidP="003D1FCB" w14:paraId="31DBF59E" w14:textId="77777777">
      <w:pPr>
        <w:spacing w:line="276" w:lineRule="auto"/>
        <w:ind w:left="720"/>
      </w:pPr>
      <w:r w:rsidRPr="000C0B5F">
        <w:t xml:space="preserve">“Each owner or operator of an elemental phosphorus plant shall furnish the EPA Administrator with a written report on the results of the emission test within 60 days of conducting the test. The report must provide the following information: </w:t>
      </w:r>
    </w:p>
    <w:p w:rsidR="00C55CA6" w:rsidRPr="000C0B5F" w:rsidP="003D1FCB" w14:paraId="5E6A7847" w14:textId="77777777">
      <w:pPr>
        <w:spacing w:line="276" w:lineRule="auto"/>
        <w:ind w:left="720"/>
      </w:pPr>
      <w:r w:rsidRPr="000C0B5F">
        <w:t xml:space="preserve">(1) The name and location of the facility (including latitude and longitude). </w:t>
      </w:r>
    </w:p>
    <w:p w:rsidR="00C55CA6" w:rsidRPr="000C0B5F" w:rsidP="003D1FCB" w14:paraId="35951961" w14:textId="77777777">
      <w:pPr>
        <w:spacing w:line="276" w:lineRule="auto"/>
        <w:ind w:left="720"/>
      </w:pPr>
      <w:r w:rsidRPr="000C0B5F">
        <w:t>(2) The name of the person responsible for the operation of the facility and the name of the person preparing the report (if different).</w:t>
      </w:r>
    </w:p>
    <w:p w:rsidR="00C55CA6" w:rsidRPr="000C0B5F" w:rsidP="003D1FCB" w14:paraId="33FB730F" w14:textId="77777777">
      <w:pPr>
        <w:spacing w:line="276" w:lineRule="auto"/>
        <w:ind w:left="720"/>
      </w:pPr>
      <w:r w:rsidRPr="000C0B5F">
        <w:t>(3) A description of the effluent controls that are used on each stack, vent or other release point and an estimate of the efficiency of each device.</w:t>
      </w:r>
    </w:p>
    <w:p w:rsidR="00C55CA6" w:rsidRPr="000C0B5F" w:rsidP="003D1FCB" w14:paraId="6C6AE1E6" w14:textId="28564887">
      <w:pPr>
        <w:spacing w:line="276" w:lineRule="auto"/>
        <w:ind w:left="720"/>
      </w:pPr>
      <w:r w:rsidRPr="000C0B5F">
        <w:t xml:space="preserve">(4) The results of the testing, including the results of each sampling </w:t>
      </w:r>
      <w:r w:rsidRPr="000C0B5F">
        <w:t>run</w:t>
      </w:r>
      <w:r w:rsidRPr="000C0B5F">
        <w:t xml:space="preserve"> completed.</w:t>
      </w:r>
    </w:p>
    <w:p w:rsidR="00C55CA6" w:rsidRPr="000C0B5F" w:rsidP="003D1FCB" w14:paraId="5B693667" w14:textId="77777777">
      <w:pPr>
        <w:spacing w:line="276" w:lineRule="auto"/>
        <w:ind w:left="720"/>
      </w:pPr>
      <w:r w:rsidRPr="000C0B5F">
        <w:t xml:space="preserve">(5) The values used in calculating </w:t>
      </w:r>
      <w:r w:rsidRPr="000C0B5F">
        <w:t>the emissions</w:t>
      </w:r>
      <w:r w:rsidRPr="000C0B5F">
        <w:t xml:space="preserve"> and the source of these data.</w:t>
      </w:r>
    </w:p>
    <w:p w:rsidR="00432D54" w:rsidRPr="000C0B5F" w:rsidP="003D1FCB" w14:paraId="2C3996BF" w14:textId="385536B8">
      <w:pPr>
        <w:spacing w:after="120" w:line="276" w:lineRule="auto"/>
        <w:ind w:left="720"/>
      </w:pPr>
      <w:r w:rsidRPr="000C0B5F">
        <w:t xml:space="preserve">(6) Each report shall be signed and dated by a corporate officer in charge of the facility and contain the following declaration immediately above the signature line: ‘I certify under penalty of law that I have personally examined and am familiar with the information submitted herein and based on my inquiry of those individuals immediately responsible for obtaining the information, I believe that the submitted information is true, accurate and complete. I am aware </w:t>
      </w:r>
      <w:r w:rsidRPr="000C0B5F">
        <w:t>that there are significant penalties for submitting false information including the possibility of fine and imprisonment. See, 18 U.S.C. 1001.’"</w:t>
      </w:r>
    </w:p>
    <w:p w:rsidR="00C55CA6" w:rsidRPr="000C0B5F" w:rsidP="00432D54" w14:paraId="68302CA8" w14:textId="77777777">
      <w:pPr>
        <w:spacing w:before="240" w:after="120"/>
        <w:rPr>
          <w:b/>
          <w:bCs/>
        </w:rPr>
      </w:pPr>
      <w:r w:rsidRPr="000C0B5F">
        <w:rPr>
          <w:b/>
          <w:bCs/>
        </w:rPr>
        <w:t>Subpart R: Phosphogypsum Stacks</w:t>
      </w:r>
    </w:p>
    <w:p w:rsidR="00C55CA6" w:rsidRPr="000C0B5F" w:rsidP="006B41DF" w14:paraId="1B2E21BE" w14:textId="77777777">
      <w:pPr>
        <w:spacing w:line="276" w:lineRule="auto"/>
      </w:pPr>
      <w:r w:rsidRPr="000C0B5F">
        <w:t>Subpart R sets a limit for radon emissions from inactive stacks, defined in the rule as any stack which for two years has neither had phosphogypsum added nor has been used for water management. When a stack becomes inactive, testing and reporting is required, which is described in Section 61.203:</w:t>
      </w:r>
    </w:p>
    <w:p w:rsidR="00C55CA6" w:rsidRPr="000C0B5F" w:rsidP="003D1FCB" w14:paraId="53D14167" w14:textId="77777777">
      <w:pPr>
        <w:spacing w:line="276" w:lineRule="auto"/>
        <w:ind w:left="720"/>
      </w:pPr>
      <w:r w:rsidRPr="000C0B5F">
        <w:t>“(a)Within sixty days of the date on which a stack becomes an inactive stack…the owners or operators of the inactive phosphogypsum stack shall test the stack for radon-222 flux in accordance with the procedures described in 40 CFR part 61, appendix B, Method 115. EPA shall be notified at least 30 days prior to each such emission test so that EPA may, at its option, observe the test. If meteorological conditions are such that test cannot be properly conducted, then the owner of operator should notify EPA and test as soon as conditions permit.</w:t>
      </w:r>
    </w:p>
    <w:p w:rsidR="00C55CA6" w:rsidRPr="000C0B5F" w:rsidP="003D1FCB" w14:paraId="1DC6DBEB" w14:textId="77777777">
      <w:pPr>
        <w:spacing w:line="276" w:lineRule="auto"/>
        <w:ind w:left="720"/>
      </w:pPr>
      <w:r w:rsidRPr="000C0B5F">
        <w:t>(b)(1) Within</w:t>
      </w:r>
      <w:r w:rsidRPr="000C0B5F">
        <w:t xml:space="preserve"> ninety days after the testing is required, the owner or operator shall provide EPA with a report detailing the actions taken and the results of the radon-222 flux testing. Each report </w:t>
      </w:r>
      <w:r w:rsidRPr="000C0B5F">
        <w:t>shall</w:t>
      </w:r>
      <w:r w:rsidRPr="000C0B5F">
        <w:t xml:space="preserve"> also include the following information:</w:t>
      </w:r>
    </w:p>
    <w:p w:rsidR="00C55CA6" w:rsidRPr="000C0B5F" w:rsidP="003D1FCB" w14:paraId="70EF957E" w14:textId="77777777">
      <w:pPr>
        <w:spacing w:line="276" w:lineRule="auto"/>
        <w:ind w:left="1440"/>
      </w:pPr>
      <w:r w:rsidRPr="000C0B5F">
        <w:t>(</w:t>
      </w:r>
      <w:r w:rsidRPr="000C0B5F">
        <w:t>i</w:t>
      </w:r>
      <w:r w:rsidRPr="000C0B5F">
        <w:t xml:space="preserve">) The name and location of the facility; </w:t>
      </w:r>
    </w:p>
    <w:p w:rsidR="00C55CA6" w:rsidRPr="000C0B5F" w:rsidP="003D1FCB" w14:paraId="3246FBC9" w14:textId="77777777">
      <w:pPr>
        <w:spacing w:line="276" w:lineRule="auto"/>
        <w:ind w:left="1440"/>
      </w:pPr>
      <w:r w:rsidRPr="000C0B5F">
        <w:t xml:space="preserve">(ii) A list of the stacks at the facility including the size and dimensions of the stack; </w:t>
      </w:r>
    </w:p>
    <w:p w:rsidR="00C55CA6" w:rsidRPr="000C0B5F" w:rsidP="003D1FCB" w14:paraId="68360EFB" w14:textId="77777777">
      <w:pPr>
        <w:spacing w:line="276" w:lineRule="auto"/>
        <w:ind w:left="1440"/>
      </w:pPr>
      <w:r w:rsidRPr="000C0B5F">
        <w:t xml:space="preserve">(iii) The name of the person responsible for the operation of the facility and the name of the person preparing the report (if different); </w:t>
      </w:r>
    </w:p>
    <w:p w:rsidR="00C55CA6" w:rsidRPr="000C0B5F" w:rsidP="003D1FCB" w14:paraId="7CE99F87" w14:textId="77777777">
      <w:pPr>
        <w:spacing w:line="276" w:lineRule="auto"/>
        <w:ind w:left="1440"/>
      </w:pPr>
      <w:r w:rsidRPr="000C0B5F">
        <w:t xml:space="preserve">(iv) A description of the control measures taken to decrease the radon flux from the source and any actions taken to </w:t>
      </w:r>
      <w:r w:rsidRPr="000C0B5F">
        <w:t>insure</w:t>
      </w:r>
      <w:r w:rsidRPr="000C0B5F">
        <w:t xml:space="preserve"> the long-term effectiveness of the control measures; and </w:t>
      </w:r>
    </w:p>
    <w:p w:rsidR="00C55CA6" w:rsidRPr="000C0B5F" w:rsidP="003D1FCB" w14:paraId="2999F0E9" w14:textId="77777777">
      <w:pPr>
        <w:spacing w:line="276" w:lineRule="auto"/>
        <w:ind w:left="1440"/>
      </w:pPr>
      <w:r w:rsidRPr="000C0B5F">
        <w:t xml:space="preserve">(v) The results of the testing conducted, including the results of each measurement. </w:t>
      </w:r>
    </w:p>
    <w:p w:rsidR="00C55CA6" w:rsidRPr="000C0B5F" w:rsidP="003D1FCB" w14:paraId="11BBDFA8" w14:textId="77777777">
      <w:pPr>
        <w:spacing w:line="276" w:lineRule="auto"/>
        <w:ind w:left="720"/>
      </w:pPr>
      <w:r w:rsidRPr="000C0B5F">
        <w:t>(2) Each report shall be signed and dated by a corporate officer in charge of the facility and contain the following declaration immediately above the signature line: ‘I certify under penalty of law that I have personally examined and am familiar with the information submitted herein and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 See 18 U.S.C. 1001.’"</w:t>
      </w:r>
    </w:p>
    <w:p w:rsidR="00C55CA6" w:rsidRPr="000C0B5F" w:rsidP="006B41DF" w14:paraId="6F7FEEAB" w14:textId="77777777">
      <w:pPr>
        <w:spacing w:line="276" w:lineRule="auto"/>
      </w:pPr>
      <w:r w:rsidRPr="000C0B5F">
        <w:t>If a stack remains inactive, testing and reporting is only required once. Should the stack become active again for the purposes of phosphogypsum disposal or water management, the facility owner or operator must notify EPA, and radon flux measurement and reporting must be repeated when the stack again becomes inactive (see Section 61.203(d)).</w:t>
      </w:r>
    </w:p>
    <w:p w:rsidR="00C55CA6" w:rsidRPr="000C0B5F" w:rsidP="006B41DF" w14:paraId="19F410A2" w14:textId="77777777">
      <w:pPr>
        <w:spacing w:line="276" w:lineRule="auto"/>
      </w:pPr>
      <w:r w:rsidRPr="000C0B5F">
        <w:t>Subpart R additionally defines certain scenarios in which removal of phosphogypsum from stacks is permitted. Within ninety days of phosphogypsum removal from an inactive stack, and at least once within each calendar year during which removal occurs, radon flux measurements and reporting must be repeated. Radon flux testing is not required for the removal of phosphogypsum from an active stack. Additionally, Section 61.207 sets forth requirements for measuring the radium-226 concentration at the location in the stack from which phosphogypsum is removed. The results of these analyses must be included in certification documents for the removed phosphogypsum required by Section 61.208(a)(1):</w:t>
      </w:r>
    </w:p>
    <w:p w:rsidR="00C55CA6" w:rsidRPr="000C0B5F" w:rsidP="003D1FCB" w14:paraId="432EC9BA" w14:textId="77777777">
      <w:pPr>
        <w:spacing w:line="276" w:lineRule="auto"/>
        <w:ind w:left="720"/>
      </w:pPr>
      <w:r w:rsidRPr="000C0B5F">
        <w:t>“The owner or operator of a stack from which phosphogypsum will be removed and distributed in commerce pursuant to Section 61.204, Section 61.205, or Section 61.206 shall prepare a certification document for each quantity of phosphogypsum distributed in commerce which includes:</w:t>
      </w:r>
    </w:p>
    <w:p w:rsidR="00C55CA6" w:rsidRPr="000C0B5F" w:rsidP="003D1FCB" w14:paraId="74FDCB38" w14:textId="77777777">
      <w:pPr>
        <w:spacing w:line="276" w:lineRule="auto"/>
        <w:ind w:left="1440"/>
      </w:pPr>
      <w:r w:rsidRPr="000C0B5F">
        <w:t>(</w:t>
      </w:r>
      <w:r w:rsidRPr="000C0B5F">
        <w:t>i</w:t>
      </w:r>
      <w:r w:rsidRPr="000C0B5F">
        <w:t>) The name and address of the owner or operator;</w:t>
      </w:r>
    </w:p>
    <w:p w:rsidR="00C55CA6" w:rsidRPr="000C0B5F" w:rsidP="003D1FCB" w14:paraId="476A1DB4" w14:textId="77777777">
      <w:pPr>
        <w:spacing w:line="276" w:lineRule="auto"/>
        <w:ind w:left="1440"/>
      </w:pPr>
      <w:r w:rsidRPr="000C0B5F">
        <w:t>(ii) The name and address of the purchaser or recipient of the phosphogypsum;</w:t>
      </w:r>
    </w:p>
    <w:p w:rsidR="00C55CA6" w:rsidRPr="000C0B5F" w:rsidP="003D1FCB" w14:paraId="4D024DB1" w14:textId="77777777">
      <w:pPr>
        <w:spacing w:line="276" w:lineRule="auto"/>
        <w:ind w:left="1440"/>
      </w:pPr>
      <w:r w:rsidRPr="000C0B5F">
        <w:t>(iii) The quantity of phosphogypsum, in kilograms or pounds sold or transferred;</w:t>
      </w:r>
    </w:p>
    <w:p w:rsidR="00C55CA6" w:rsidRPr="000C0B5F" w:rsidP="003D1FCB" w14:paraId="6C6B6E31" w14:textId="77777777">
      <w:pPr>
        <w:spacing w:line="276" w:lineRule="auto"/>
        <w:ind w:left="1440"/>
      </w:pPr>
      <w:r w:rsidRPr="000C0B5F">
        <w:t>(iv) The date of sale or transfer;</w:t>
      </w:r>
    </w:p>
    <w:p w:rsidR="00C55CA6" w:rsidRPr="000C0B5F" w:rsidP="003D1FCB" w14:paraId="706F4768" w14:textId="77777777">
      <w:pPr>
        <w:spacing w:line="276" w:lineRule="auto"/>
        <w:ind w:left="1440"/>
      </w:pPr>
      <w:r w:rsidRPr="000C0B5F">
        <w:t>(v) A description of the intended use for the phosphogypsum;</w:t>
      </w:r>
    </w:p>
    <w:p w:rsidR="00C55CA6" w:rsidRPr="000C0B5F" w:rsidP="003D1FCB" w14:paraId="7813597D" w14:textId="77777777">
      <w:pPr>
        <w:spacing w:line="276" w:lineRule="auto"/>
        <w:ind w:left="1440"/>
      </w:pPr>
      <w:r w:rsidRPr="000C0B5F">
        <w:t xml:space="preserve">(vi) The average radium-226 concentration, in </w:t>
      </w:r>
      <w:r w:rsidRPr="000C0B5F">
        <w:t>pCi</w:t>
      </w:r>
      <w:r w:rsidRPr="000C0B5F">
        <w:t>/g (</w:t>
      </w:r>
      <w:r w:rsidRPr="000C0B5F">
        <w:t>pCi</w:t>
      </w:r>
      <w:r w:rsidRPr="000C0B5F">
        <w:t>/</w:t>
      </w:r>
      <w:r w:rsidRPr="000C0B5F">
        <w:t>lb</w:t>
      </w:r>
      <w:r w:rsidRPr="000C0B5F">
        <w:t xml:space="preserve">), of the phosphogypsum, as determined pursuant to §61.207; and </w:t>
      </w:r>
    </w:p>
    <w:p w:rsidR="00C55CA6" w:rsidRPr="000C0B5F" w:rsidP="003D1FCB" w14:paraId="195D023B" w14:textId="77777777">
      <w:pPr>
        <w:spacing w:line="276" w:lineRule="auto"/>
        <w:ind w:left="1440"/>
      </w:pPr>
      <w:r w:rsidRPr="000C0B5F">
        <w:t>(vii) The signature of the person who prepared the certification.”</w:t>
      </w:r>
    </w:p>
    <w:p w:rsidR="00C55CA6" w:rsidRPr="000C0B5F" w:rsidP="006B41DF" w14:paraId="202B419D" w14:textId="77777777">
      <w:pPr>
        <w:spacing w:after="120" w:line="276" w:lineRule="auto"/>
      </w:pPr>
      <w:r w:rsidRPr="000C0B5F">
        <w:t>Section 61.208 (b) requires a certification document with the same content to be prepared by “each distributor, retailer, or reseller who purchases or receives phosphogypsum for subsequent resale or transfer.” Submission of certification documents to EPA is not a requirement, but the documents must be retained according to recordkeeping requirements as discussed below.</w:t>
      </w:r>
    </w:p>
    <w:p w:rsidR="00C55CA6" w:rsidRPr="000C0B5F" w:rsidP="00FC6893" w14:paraId="3680F602" w14:textId="77777777">
      <w:pPr>
        <w:spacing w:before="240" w:after="120"/>
        <w:rPr>
          <w:b/>
          <w:bCs/>
        </w:rPr>
      </w:pPr>
      <w:r w:rsidRPr="000C0B5F">
        <w:rPr>
          <w:b/>
          <w:bCs/>
        </w:rPr>
        <w:t>Subpart W: Uranium Mill Tailings</w:t>
      </w:r>
    </w:p>
    <w:p w:rsidR="00C55CA6" w:rsidRPr="000C0B5F" w:rsidP="006B41DF" w14:paraId="0C6A79A1" w14:textId="77777777">
      <w:pPr>
        <w:spacing w:line="276" w:lineRule="auto"/>
      </w:pPr>
      <w:r w:rsidRPr="000C0B5F">
        <w:t xml:space="preserve">Subpart W limits radon flux from operating uranium mill tailing impoundments. Conventional impoundments are used to manage the </w:t>
      </w:r>
      <w:r w:rsidRPr="000C0B5F">
        <w:t>mostly</w:t>
      </w:r>
      <w:r w:rsidRPr="000C0B5F">
        <w:t xml:space="preserve"> solid </w:t>
      </w:r>
      <w:r w:rsidRPr="000C0B5F">
        <w:t>wastes</w:t>
      </w:r>
      <w:r w:rsidRPr="000C0B5F">
        <w:t xml:space="preserve"> from uranium milling, and non-conventional impoundments are used to manage liquid process effluents. Non-conventional impoundments are also known as evaporation or holding ponds. </w:t>
      </w:r>
    </w:p>
    <w:p w:rsidR="00C55CA6" w:rsidRPr="000C0B5F" w:rsidP="006B41DF" w14:paraId="6BC8D33A" w14:textId="77777777">
      <w:pPr>
        <w:spacing w:line="276" w:lineRule="auto"/>
      </w:pPr>
      <w:r w:rsidRPr="000C0B5F">
        <w:t>For conventional impoundments, the EPA requires reports to be submitted annually. The requirements for those reports are included in Section 61.254:</w:t>
      </w:r>
    </w:p>
    <w:p w:rsidR="00C55CA6" w:rsidRPr="000C0B5F" w:rsidP="003D1FCB" w14:paraId="125C4BB0" w14:textId="77777777">
      <w:pPr>
        <w:spacing w:line="276" w:lineRule="auto"/>
        <w:ind w:left="720"/>
      </w:pPr>
      <w:r w:rsidRPr="000C0B5F">
        <w:t xml:space="preserve">“The owners or operators of operating existing mill impoundments shall perform radon measurements and compliance calculations as required in §61.253. The input parameters and results of the calculation for each calendar year shall be sent to EPA by March 31 of the following year. Each report </w:t>
      </w:r>
      <w:r w:rsidRPr="000C0B5F">
        <w:t>shall</w:t>
      </w:r>
      <w:r w:rsidRPr="000C0B5F">
        <w:t xml:space="preserve"> also include the following information: </w:t>
      </w:r>
    </w:p>
    <w:p w:rsidR="00C55CA6" w:rsidRPr="000C0B5F" w:rsidP="003D1FCB" w14:paraId="79D05CE6" w14:textId="77777777">
      <w:pPr>
        <w:spacing w:line="276" w:lineRule="auto"/>
        <w:ind w:left="720"/>
      </w:pPr>
      <w:r w:rsidRPr="000C0B5F">
        <w:t xml:space="preserve">(1) The name and location of the mill. </w:t>
      </w:r>
    </w:p>
    <w:p w:rsidR="00C55CA6" w:rsidRPr="000C0B5F" w:rsidP="003D1FCB" w14:paraId="4988EC13" w14:textId="77777777">
      <w:pPr>
        <w:spacing w:line="276" w:lineRule="auto"/>
        <w:ind w:left="720"/>
      </w:pPr>
      <w:r w:rsidRPr="000C0B5F">
        <w:t>(2) The name of the person responsible for the operation of the facility and the name of the person preparing the report (if different).</w:t>
      </w:r>
    </w:p>
    <w:p w:rsidR="00C55CA6" w:rsidRPr="000C0B5F" w:rsidP="003D1FCB" w14:paraId="24D56CF2" w14:textId="77777777">
      <w:pPr>
        <w:spacing w:line="276" w:lineRule="auto"/>
        <w:ind w:left="720"/>
      </w:pPr>
      <w:r w:rsidRPr="000C0B5F">
        <w:t xml:space="preserve">(3) The results of the testing conducted, including the results of each measurement. </w:t>
      </w:r>
    </w:p>
    <w:p w:rsidR="00C55CA6" w:rsidRPr="000C0B5F" w:rsidP="003D1FCB" w14:paraId="2AC143CD" w14:textId="77777777">
      <w:pPr>
        <w:spacing w:line="276" w:lineRule="auto"/>
        <w:ind w:left="720"/>
      </w:pPr>
      <w:r w:rsidRPr="000C0B5F">
        <w:t>(4) Each report shall be signed and dated by a corporate officer in charge of the facility and contain the following declaration immediately above the signature line: ‘I certify under penalty of law that I have personally examined and am familiar with the information submitted herein and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 See 18 U.S.C. 1001.’"</w:t>
      </w:r>
    </w:p>
    <w:p w:rsidR="00BB3410" w:rsidRPr="000C0B5F" w:rsidP="006B41DF" w14:paraId="42074A5E" w14:textId="5352D8AD">
      <w:pPr>
        <w:spacing w:line="276" w:lineRule="auto"/>
      </w:pPr>
      <w:r w:rsidRPr="000C0B5F">
        <w:t>The owners or operators of operating non-conventional impoundments are required to submit digital photographs collected during compliance inspections to the Subpart W Impoundment Photographic Reporting system (SWIPR) under Section 61.255. Digital photographs documenting the presence of liquids in non-conventional impoundments such that solid materials are not visible above the liquid level are to be collected at least weekly and uploaded to SWIPR at least monthly. Daily inspections of impoundments are required by the Nuclear Regulatory Commission. Written observations and digital photographs documenting liquid levels can be collected in conjunction with these customary and usual business practices.</w:t>
      </w:r>
    </w:p>
    <w:p w:rsidR="001172FE" w:rsidRPr="000C0B5F" w:rsidP="00FC6893" w14:paraId="7B8A0ACD" w14:textId="41024AE1">
      <w:pPr>
        <w:pStyle w:val="Heading2"/>
        <w:spacing w:before="240" w:after="120"/>
      </w:pPr>
      <w:r w:rsidRPr="000C0B5F">
        <w:t xml:space="preserve">12c. </w:t>
      </w:r>
      <w:r w:rsidRPr="000C0B5F" w:rsidR="0042474D">
        <w:t>RESPONDENT ACTIVITIES</w:t>
      </w:r>
      <w:bookmarkStart w:id="18" w:name="_Toc156593385"/>
      <w:bookmarkEnd w:id="17"/>
      <w:r w:rsidRPr="000C0B5F" w:rsidR="00AC289A">
        <w:t xml:space="preserve"> AND FREQUENC</w:t>
      </w:r>
      <w:r w:rsidRPr="000C0B5F" w:rsidR="005B429D">
        <w:t>Y</w:t>
      </w:r>
    </w:p>
    <w:p w:rsidR="009F1E00" w:rsidRPr="000C0B5F" w:rsidP="006B41DF" w14:paraId="3C4B52CA" w14:textId="640B1E15">
      <w:pPr>
        <w:spacing w:line="276" w:lineRule="auto"/>
      </w:pPr>
      <w:r w:rsidRPr="000C0B5F">
        <w:t>The record keeping requirements of all the subparts are similar. The owner or operator of the facility must maintain records documenting the results of all measurements, the calculations and/or analytical methods used to derive values for input parameters, and the procedures used to determine compliance. In the case of uranium recovery facilities, the owner or operator must maintain records that confirm the approved design and operating procedures for conventional impoundments, non-conventional impoundments and heap leach piles, including the results of liner compatibility tests, and written and digital photographic records confirming that liquid has been maintained in non-conventional impoundments such that no solid material is visible above the liquid level. This documentation should be sufficient to allow an independent auditor to verify the accuracy of the determination made concerning the facility's compliance with the standard. Records must be kept at the facility for the lifetime of the facility and, upon request, be made available for inspection by the EPA Administrator, or his/her authorized representative.</w:t>
      </w:r>
    </w:p>
    <w:p w:rsidR="00FB3B98" w:rsidRPr="000C0B5F" w:rsidP="006B41DF" w14:paraId="7F3F178F" w14:textId="137AF4D5">
      <w:pPr>
        <w:spacing w:line="276" w:lineRule="auto"/>
      </w:pPr>
      <w:r w:rsidRPr="000C0B5F">
        <w:t xml:space="preserve">The reporting schedule is set by the regulation. Collection of the information required will begin when the facility enters operational status, with the documentation of design and construction of impoundments. Under subparts B, K and conventional impoundments under subpart W, annual reports are required to provide yearly certification of compliance with a health-based emissions standard, unless the EPA has granted a waiver. For subpart R, it was determined during rulemaking that less frequent reports are adequate to protect public health. For non-conventional impoundments under </w:t>
      </w:r>
      <w:r w:rsidRPr="000C0B5F">
        <w:t>subpart W, inspections and recordkeeping of impoundment liquid levels shall begin when non-conventional impoundments are first used to manage uranium byproduct material or tailings and shall be performed daily during the inspections required by 10 CFR Part 40, Appendix A, Criterion 8A. Digital photographs to document the liquid level in non-conventional impoundments are to be taken at least weekly. Monthly submission of digital photographs to the SWIPR system is required; if the SWIPR system is not available, photographs must be maintained at the facility and made available upon request.</w:t>
      </w:r>
    </w:p>
    <w:p w:rsidR="00D92ED6" w:rsidRPr="000C0B5F" w:rsidP="006B41DF" w14:paraId="0B6BE1C2" w14:textId="30D424E1">
      <w:pPr>
        <w:pStyle w:val="Heading2"/>
        <w:spacing w:before="240" w:after="120" w:line="276" w:lineRule="auto"/>
      </w:pPr>
      <w:r w:rsidRPr="000C0B5F">
        <w:t>12d.</w:t>
      </w:r>
      <w:r w:rsidRPr="000C0B5F" w:rsidR="00BB104E">
        <w:t xml:space="preserve"> </w:t>
      </w:r>
      <w:r w:rsidRPr="000C0B5F" w:rsidR="0042474D">
        <w:t xml:space="preserve">RESPONDENT BURDEN HOURS AND LABOR </w:t>
      </w:r>
      <w:bookmarkEnd w:id="18"/>
      <w:r w:rsidRPr="000C0B5F" w:rsidR="0042474D">
        <w:t>COSTS</w:t>
      </w:r>
    </w:p>
    <w:p w:rsidR="006B024F" w:rsidRPr="000C0B5F" w:rsidP="006B41DF" w14:paraId="2AF9164D" w14:textId="597C5CA0">
      <w:pPr>
        <w:spacing w:line="276" w:lineRule="auto"/>
      </w:pPr>
      <w:r w:rsidRPr="000C0B5F">
        <w:t xml:space="preserve">First, the EPA updated the number of facilities that are currently active, and therefore subject to monitoring and reporting requirements under 40 CFR part 61. In July 2023, when this ICR was last reviewed, there were two active subpart B facilities, one active subpart K facility, and thirteen active subpart R facilities. </w:t>
      </w:r>
      <w:bookmarkStart w:id="19" w:name="_Hlk83656020"/>
      <w:r w:rsidRPr="000C0B5F">
        <w:t xml:space="preserve">The EPA identified nine total facilities which were affected by the general record keeping requirements for subpart W, and six facilities with </w:t>
      </w:r>
      <w:r w:rsidRPr="000C0B5F" w:rsidR="00020595">
        <w:t>non-</w:t>
      </w:r>
      <w:r w:rsidRPr="000C0B5F">
        <w:t>conventional impoundments which were required to inspect and report on water levels in the impoundments. The subpart K facility had been granted a permanent waiver from radionuclide testing and reporting from EPA Region 10 in 2017.</w:t>
      </w:r>
      <w:bookmarkEnd w:id="19"/>
      <w:r w:rsidRPr="000C0B5F">
        <w:t xml:space="preserve"> Based on the prior ICR and outreach efforts to regional EPA staff, the EPA has learned that two subpart B uranium mines are currently producing ore and are likely to vent for maintenance operations in 2025, which would require them to monitor emissions and submit a report. For subpart W, based on information gathered from intergovernmental working groups, company websites, and </w:t>
      </w:r>
      <w:r w:rsidRPr="000C0B5F" w:rsidR="00CB6A1C">
        <w:t>discussions</w:t>
      </w:r>
      <w:r w:rsidRPr="000C0B5F">
        <w:t xml:space="preserve"> with regional EPA staff, there may be an additional 15 non-conventional facilities coming online by 2029. The EPA also confirmed that there </w:t>
      </w:r>
      <w:r w:rsidRPr="000C0B5F">
        <w:t>were</w:t>
      </w:r>
      <w:r w:rsidRPr="000C0B5F">
        <w:t xml:space="preserve"> no changes in the number of facilities or operating status for subparts K and R since the last renewals. </w:t>
      </w:r>
    </w:p>
    <w:p w:rsidR="00E31784" w:rsidRPr="000C0B5F" w:rsidP="006B41DF" w14:paraId="02DE548C" w14:textId="3C1FCC9A">
      <w:pPr>
        <w:spacing w:line="276" w:lineRule="auto"/>
      </w:pPr>
      <w:r w:rsidRPr="000C0B5F">
        <w:t xml:space="preserve">Total estimated respondent hours increased from 4,146 hours of the previous approved version of this ICR to 11,301 hours. This is primarily a result of the additional subpart B and W facilities being activated and potentially coming online </w:t>
      </w:r>
      <w:r w:rsidRPr="000C0B5F" w:rsidR="00783590">
        <w:t>by</w:t>
      </w:r>
      <w:r w:rsidRPr="000C0B5F">
        <w:t xml:space="preserve"> 2029. </w:t>
      </w:r>
      <w:r w:rsidRPr="000C0B5F">
        <w:t xml:space="preserve">Finally, burden and costs estimates were recalculated for each subpart using updated labor rates obtained from the U.S. Department of Labor, Bureau of Labor Statistics (BLS), following the same process as in past renewals. The mean hourly rates for three labor categories -- management, technical, and clerical -- were obtained from the published 2024 Occupational Employment Statistics for NAICS codes 212200 (Mining [except Oil and Gas]) and 325100 (Basic Chemical Manufacturing). Management rates were given. Technical rates were based on the mean salary for “all production operations” in the mining sector which includes mining engineers, environmental engineers and geologists. Clerical rates were based on the hourly labor rates for secretary and information clerk in the mining sector in the 2024 BLS data. Loaded hourly labor rates were calculated by multiplying the base salary rates by a factor of 1.5 to account for overhead expenses. Finally, the loaded hourly labor rate for 2025 </w:t>
      </w:r>
      <w:r w:rsidRPr="000C0B5F">
        <w:t>then was</w:t>
      </w:r>
      <w:r w:rsidRPr="000C0B5F">
        <w:t xml:space="preserve"> increased by a factor of 1.035 to account for inflation between June 2024 and June 2025. In previous renewals, this information was obtained from the Consumer Price Index Inflation Calculator. In this renewal, the BLS Employment Cost Index Summary was consulted, which showed private industry wages to have risen by 3.5% during the period from June 2024 to June 2025 (</w:t>
      </w:r>
      <w:hyperlink r:id="rId11">
        <w:r w:rsidRPr="000C0B5F">
          <w:rPr>
            <w:rStyle w:val="Hyperlink"/>
            <w:rFonts w:ascii="Calibri" w:hAnsi="Calibri" w:cs="Calibri"/>
          </w:rPr>
          <w:t>https://www.bls.gov/news.release/eci.nr0.htm</w:t>
        </w:r>
      </w:hyperlink>
      <w:r w:rsidRPr="000C0B5F">
        <w:t xml:space="preserve">). The resulting loaded labor rates were $133.50 per hour for management, $91.00 per hour for technical, and $38.00 per hour for clerical labor. The compliance and reporting activities anticipated are listed below for each subpart. </w:t>
      </w:r>
    </w:p>
    <w:p w:rsidR="00003CF7" w:rsidRPr="000C0B5F" w:rsidP="00454889" w14:paraId="2F3BB3CC" w14:textId="77777777">
      <w:pPr>
        <w:rPr>
          <w:b/>
          <w:bCs/>
        </w:rPr>
        <w:sectPr w:rsidSect="00621249">
          <w:pgSz w:w="12240" w:h="15840"/>
          <w:pgMar w:top="1440" w:right="1440" w:bottom="1440" w:left="1440" w:header="720" w:footer="720" w:gutter="0"/>
          <w:cols w:space="720"/>
          <w:docGrid w:linePitch="360"/>
        </w:sectPr>
      </w:pPr>
    </w:p>
    <w:p w:rsidR="00E31784" w:rsidRPr="000C0B5F" w:rsidP="00454889" w14:paraId="265E30FD" w14:textId="77777777">
      <w:pPr>
        <w:rPr>
          <w:b/>
          <w:bCs/>
        </w:rPr>
      </w:pPr>
      <w:r w:rsidRPr="000C0B5F">
        <w:rPr>
          <w:b/>
          <w:bCs/>
        </w:rPr>
        <w:t>Subpart B: Underground Uranium Mines</w:t>
      </w:r>
    </w:p>
    <w:p w:rsidR="00E31784" w:rsidRPr="000C0B5F" w:rsidP="006B41DF" w14:paraId="068A2140" w14:textId="77777777">
      <w:pPr>
        <w:spacing w:line="276" w:lineRule="auto"/>
      </w:pPr>
      <w:r w:rsidRPr="000C0B5F">
        <w:t>To meet reporting requirements for subpart B, respondents are expected to:</w:t>
      </w:r>
    </w:p>
    <w:p w:rsidR="00E31784" w:rsidRPr="000C0B5F" w:rsidP="006B41DF" w14:paraId="7C2A355D" w14:textId="77777777">
      <w:pPr>
        <w:pStyle w:val="ListParagraph"/>
        <w:numPr>
          <w:ilvl w:val="0"/>
          <w:numId w:val="30"/>
        </w:numPr>
        <w:spacing w:line="276" w:lineRule="auto"/>
      </w:pPr>
      <w:r w:rsidRPr="000C0B5F">
        <w:t>read and understand the regulatory provision,</w:t>
      </w:r>
    </w:p>
    <w:p w:rsidR="00E31784" w:rsidRPr="000C0B5F" w:rsidP="006B41DF" w14:paraId="7A4E3BEC" w14:textId="77777777">
      <w:pPr>
        <w:pStyle w:val="ListParagraph"/>
        <w:numPr>
          <w:ilvl w:val="0"/>
          <w:numId w:val="30"/>
        </w:numPr>
        <w:spacing w:line="276" w:lineRule="auto"/>
      </w:pPr>
      <w:r w:rsidRPr="000C0B5F">
        <w:t>perform radon-222 emission measurements as required in 40 CFR part 61, Appendix B, Method 115,</w:t>
      </w:r>
    </w:p>
    <w:p w:rsidR="00E31784" w:rsidRPr="000C0B5F" w:rsidP="006B41DF" w14:paraId="265DD8C7" w14:textId="77777777">
      <w:pPr>
        <w:pStyle w:val="ListParagraph"/>
        <w:numPr>
          <w:ilvl w:val="0"/>
          <w:numId w:val="30"/>
        </w:numPr>
        <w:spacing w:line="276" w:lineRule="auto"/>
      </w:pPr>
      <w:r w:rsidRPr="000C0B5F">
        <w:t xml:space="preserve">perform data analysis, including Method 115 source term calculations and dose </w:t>
      </w:r>
      <w:r w:rsidRPr="000C0B5F">
        <w:t>calculation</w:t>
      </w:r>
      <w:r w:rsidRPr="000C0B5F">
        <w:t xml:space="preserve"> using an approved model for concentration calculations,</w:t>
      </w:r>
    </w:p>
    <w:p w:rsidR="00E31784" w:rsidRPr="000C0B5F" w:rsidP="006B41DF" w14:paraId="7952107F" w14:textId="77777777">
      <w:pPr>
        <w:pStyle w:val="ListParagraph"/>
        <w:numPr>
          <w:ilvl w:val="0"/>
          <w:numId w:val="30"/>
        </w:numPr>
        <w:spacing w:line="276" w:lineRule="auto"/>
      </w:pPr>
      <w:r w:rsidRPr="000C0B5F">
        <w:t>prepare and submit the report.</w:t>
      </w:r>
    </w:p>
    <w:p w:rsidR="00640E8B" w:rsidRPr="000C0B5F" w:rsidP="006B41DF" w14:paraId="1933C0D7" w14:textId="77777777">
      <w:pPr>
        <w:spacing w:line="276" w:lineRule="auto"/>
      </w:pPr>
      <w:r w:rsidRPr="000C0B5F">
        <w:t xml:space="preserve">Table </w:t>
      </w:r>
      <w:r w:rsidRPr="000C0B5F" w:rsidR="00027C0A">
        <w:t>4</w:t>
      </w:r>
      <w:r w:rsidRPr="000C0B5F">
        <w:t xml:space="preserve"> includes the estimated annual burden to understand regulatory provisions, perform Method 115 radon testing, perform data analysis, prepare a report, and manage records. Two mines submitted an annual report in 2025 for calendar year 2024. Based on conversations with interagency mining groups and regional EPA staff, up to 14 mines are likely to vent in 2026 through 2029 and submit a report the following year.</w:t>
      </w:r>
      <w:r w:rsidRPr="000C0B5F" w:rsidR="00003CF7">
        <w:t xml:space="preserve"> </w:t>
      </w:r>
    </w:p>
    <w:p w:rsidR="00E31784" w:rsidRPr="000C0B5F" w:rsidP="00454889" w14:paraId="7F4DA636" w14:textId="19D19AFE">
      <w:pPr>
        <w:rPr>
          <w:b/>
          <w:bCs/>
        </w:rPr>
      </w:pPr>
      <w:r w:rsidRPr="000C0B5F">
        <w:rPr>
          <w:b/>
          <w:bCs/>
        </w:rPr>
        <w:t xml:space="preserve">Table </w:t>
      </w:r>
      <w:r w:rsidRPr="000C0B5F" w:rsidR="00027C0A">
        <w:rPr>
          <w:b/>
          <w:bCs/>
        </w:rPr>
        <w:t>4</w:t>
      </w:r>
      <w:r w:rsidRPr="000C0B5F">
        <w:rPr>
          <w:b/>
          <w:bCs/>
        </w:rPr>
        <w:t>: Burden and Cost for Subpart B Uranium Mines</w:t>
      </w:r>
    </w:p>
    <w:tbl>
      <w:tblPr>
        <w:tblStyle w:val="TableGrid"/>
        <w:tblW w:w="93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6A0"/>
      </w:tblPr>
      <w:tblGrid>
        <w:gridCol w:w="1365"/>
        <w:gridCol w:w="1140"/>
        <w:gridCol w:w="1005"/>
        <w:gridCol w:w="1170"/>
        <w:gridCol w:w="1170"/>
        <w:gridCol w:w="1170"/>
        <w:gridCol w:w="1170"/>
        <w:gridCol w:w="1170"/>
      </w:tblGrid>
      <w:tr w14:paraId="69D56959" w14:textId="77777777" w:rsidTr="00AE6C21">
        <w:tblPrEx>
          <w:tblW w:w="93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6A0"/>
        </w:tblPrEx>
        <w:trPr>
          <w:trHeight w:val="300"/>
        </w:trPr>
        <w:tc>
          <w:tcPr>
            <w:tcW w:w="1365" w:type="dxa"/>
            <w:tcBorders>
              <w:top w:val="single" w:sz="12" w:space="0" w:color="auto"/>
              <w:left w:val="single" w:sz="12" w:space="0" w:color="auto"/>
              <w:bottom w:val="single" w:sz="12" w:space="0" w:color="auto"/>
              <w:right w:val="single" w:sz="12" w:space="0" w:color="auto"/>
            </w:tcBorders>
          </w:tcPr>
          <w:p w:rsidR="06AD5A6D" w:rsidRPr="000C0B5F" w:rsidP="06AD5A6D" w14:paraId="7DF3791C" w14:textId="4A539A59">
            <w:pPr>
              <w:rPr>
                <w:rFonts w:eastAsiaTheme="minorEastAsia" w:cstheme="minorBidi"/>
                <w:b/>
                <w:bCs/>
                <w:sz w:val="20"/>
                <w:szCs w:val="20"/>
              </w:rPr>
            </w:pPr>
            <w:r w:rsidRPr="000C0B5F">
              <w:rPr>
                <w:rFonts w:eastAsiaTheme="minorEastAsia" w:cstheme="minorBidi"/>
                <w:b/>
                <w:bCs/>
                <w:sz w:val="20"/>
                <w:szCs w:val="20"/>
              </w:rPr>
              <w:t>Reporting Burden</w:t>
            </w:r>
          </w:p>
        </w:tc>
        <w:tc>
          <w:tcPr>
            <w:tcW w:w="5655" w:type="dxa"/>
            <w:gridSpan w:val="5"/>
            <w:tcBorders>
              <w:top w:val="single" w:sz="12" w:space="0" w:color="auto"/>
              <w:left w:val="single" w:sz="12" w:space="0" w:color="auto"/>
              <w:bottom w:val="single" w:sz="12" w:space="0" w:color="auto"/>
              <w:right w:val="single" w:sz="12" w:space="0" w:color="auto"/>
            </w:tcBorders>
          </w:tcPr>
          <w:p w:rsidR="06AD5A6D" w:rsidRPr="000C0B5F" w:rsidP="06AD5A6D" w14:paraId="3916EE23" w14:textId="157C232F">
            <w:pPr>
              <w:jc w:val="center"/>
              <w:rPr>
                <w:rFonts w:eastAsiaTheme="minorEastAsia" w:cstheme="minorBidi"/>
                <w:b/>
                <w:bCs/>
                <w:sz w:val="20"/>
                <w:szCs w:val="20"/>
              </w:rPr>
            </w:pPr>
            <w:r w:rsidRPr="000C0B5F">
              <w:rPr>
                <w:rFonts w:eastAsiaTheme="minorEastAsia" w:cstheme="minorBidi"/>
                <w:b/>
                <w:bCs/>
                <w:sz w:val="20"/>
                <w:szCs w:val="20"/>
              </w:rPr>
              <w:t xml:space="preserve"> (hours)</w:t>
            </w:r>
          </w:p>
        </w:tc>
        <w:tc>
          <w:tcPr>
            <w:tcW w:w="2340" w:type="dxa"/>
            <w:gridSpan w:val="2"/>
            <w:tcBorders>
              <w:top w:val="single" w:sz="12" w:space="0" w:color="auto"/>
              <w:left w:val="single" w:sz="12" w:space="0" w:color="auto"/>
              <w:bottom w:val="single" w:sz="12" w:space="0" w:color="auto"/>
              <w:right w:val="single" w:sz="12" w:space="0" w:color="auto"/>
            </w:tcBorders>
          </w:tcPr>
          <w:p w:rsidR="06AD5A6D" w:rsidRPr="000C0B5F" w:rsidP="06AD5A6D" w14:paraId="198E7A6D" w14:textId="33DD780C">
            <w:pPr>
              <w:jc w:val="center"/>
              <w:rPr>
                <w:rFonts w:eastAsiaTheme="minorEastAsia" w:cstheme="minorBidi"/>
                <w:b/>
                <w:bCs/>
                <w:sz w:val="20"/>
                <w:szCs w:val="20"/>
              </w:rPr>
            </w:pPr>
            <w:r w:rsidRPr="000C0B5F">
              <w:rPr>
                <w:rFonts w:eastAsiaTheme="minorEastAsia" w:cstheme="minorBidi"/>
                <w:b/>
                <w:bCs/>
                <w:sz w:val="20"/>
                <w:szCs w:val="20"/>
              </w:rPr>
              <w:t>(costs)</w:t>
            </w:r>
          </w:p>
        </w:tc>
      </w:tr>
      <w:tr w14:paraId="730DE057" w14:textId="77777777" w:rsidTr="00AB6141">
        <w:tblPrEx>
          <w:tblW w:w="9360" w:type="dxa"/>
          <w:tblLayout w:type="fixed"/>
          <w:tblLook w:val="06A0"/>
        </w:tblPrEx>
        <w:trPr>
          <w:trHeight w:val="300"/>
        </w:trPr>
        <w:tc>
          <w:tcPr>
            <w:tcW w:w="1365" w:type="dxa"/>
            <w:tcBorders>
              <w:top w:val="single" w:sz="12" w:space="0" w:color="auto"/>
              <w:left w:val="single" w:sz="12" w:space="0" w:color="auto"/>
              <w:bottom w:val="single" w:sz="12" w:space="0" w:color="auto"/>
              <w:right w:val="single" w:sz="12" w:space="0" w:color="auto"/>
            </w:tcBorders>
          </w:tcPr>
          <w:p w:rsidR="06AD5A6D" w:rsidRPr="000C0B5F" w:rsidP="06AD5A6D" w14:paraId="1E6F2081" w14:textId="6C17FFC8">
            <w:pPr>
              <w:rPr>
                <w:rFonts w:eastAsiaTheme="minorEastAsia" w:cstheme="minorBidi"/>
                <w:b/>
                <w:bCs/>
                <w:sz w:val="20"/>
                <w:szCs w:val="20"/>
              </w:rPr>
            </w:pPr>
            <w:r w:rsidRPr="000C0B5F">
              <w:rPr>
                <w:rFonts w:eastAsiaTheme="minorEastAsia" w:cstheme="minorBidi"/>
                <w:b/>
                <w:bCs/>
                <w:sz w:val="20"/>
                <w:szCs w:val="20"/>
              </w:rPr>
              <w:t>Reporting Burden Task</w:t>
            </w:r>
          </w:p>
        </w:tc>
        <w:tc>
          <w:tcPr>
            <w:tcW w:w="1140" w:type="dxa"/>
            <w:tcBorders>
              <w:top w:val="single" w:sz="12" w:space="0" w:color="auto"/>
              <w:left w:val="single" w:sz="12" w:space="0" w:color="auto"/>
              <w:bottom w:val="single" w:sz="12" w:space="0" w:color="auto"/>
              <w:right w:val="single" w:sz="12" w:space="0" w:color="auto"/>
            </w:tcBorders>
          </w:tcPr>
          <w:p w:rsidR="06AD5A6D" w:rsidRPr="000C0B5F" w:rsidP="06AD5A6D" w14:paraId="0AA5078E" w14:textId="0E0F1A54">
            <w:pPr>
              <w:rPr>
                <w:rFonts w:eastAsiaTheme="minorEastAsia" w:cstheme="minorBidi"/>
                <w:b/>
                <w:bCs/>
                <w:sz w:val="20"/>
                <w:szCs w:val="20"/>
              </w:rPr>
            </w:pPr>
            <w:r w:rsidRPr="000C0B5F">
              <w:rPr>
                <w:rFonts w:eastAsiaTheme="minorEastAsia" w:cstheme="minorBidi"/>
                <w:b/>
                <w:bCs/>
                <w:sz w:val="20"/>
                <w:szCs w:val="20"/>
              </w:rPr>
              <w:t>Burden Manager Level</w:t>
            </w:r>
            <w:r w:rsidRPr="000C0B5F">
              <w:rPr>
                <w:rFonts w:eastAsiaTheme="minorEastAsia" w:cstheme="minorBidi"/>
                <w:b/>
                <w:bCs/>
                <w:sz w:val="20"/>
                <w:szCs w:val="20"/>
              </w:rPr>
              <w:t xml:space="preserve"> (</w:t>
            </w:r>
            <w:r w:rsidRPr="000C0B5F">
              <w:rPr>
                <w:rFonts w:eastAsiaTheme="minorEastAsia" w:cstheme="minorBidi"/>
                <w:b/>
                <w:bCs/>
                <w:sz w:val="20"/>
                <w:szCs w:val="20"/>
              </w:rPr>
              <w:t>hr</w:t>
            </w:r>
            <w:r w:rsidRPr="000C0B5F">
              <w:rPr>
                <w:rFonts w:eastAsiaTheme="minorEastAsia" w:cstheme="minorBidi"/>
                <w:b/>
                <w:bCs/>
                <w:sz w:val="20"/>
                <w:szCs w:val="20"/>
              </w:rPr>
              <w:t>/year)</w:t>
            </w:r>
          </w:p>
        </w:tc>
        <w:tc>
          <w:tcPr>
            <w:tcW w:w="1005" w:type="dxa"/>
            <w:tcBorders>
              <w:top w:val="single" w:sz="12" w:space="0" w:color="auto"/>
              <w:left w:val="single" w:sz="12" w:space="0" w:color="auto"/>
              <w:bottom w:val="single" w:sz="12" w:space="0" w:color="auto"/>
              <w:right w:val="single" w:sz="12" w:space="0" w:color="auto"/>
            </w:tcBorders>
          </w:tcPr>
          <w:p w:rsidR="06AD5A6D" w:rsidRPr="000C0B5F" w:rsidP="06AD5A6D" w14:paraId="58FDC3FF" w14:textId="18D29CD3">
            <w:pPr>
              <w:rPr>
                <w:rFonts w:eastAsiaTheme="minorEastAsia" w:cstheme="minorBidi"/>
                <w:b/>
                <w:bCs/>
                <w:sz w:val="20"/>
                <w:szCs w:val="20"/>
              </w:rPr>
            </w:pPr>
            <w:r w:rsidRPr="000C0B5F">
              <w:rPr>
                <w:rFonts w:eastAsiaTheme="minorEastAsia" w:cstheme="minorBidi"/>
                <w:b/>
                <w:bCs/>
                <w:sz w:val="20"/>
                <w:szCs w:val="20"/>
              </w:rPr>
              <w:t>Burden Technical Level (</w:t>
            </w:r>
            <w:r w:rsidRPr="000C0B5F">
              <w:rPr>
                <w:rFonts w:eastAsiaTheme="minorEastAsia" w:cstheme="minorBidi"/>
                <w:b/>
                <w:bCs/>
                <w:sz w:val="20"/>
                <w:szCs w:val="20"/>
              </w:rPr>
              <w:t>hr</w:t>
            </w:r>
            <w:r w:rsidRPr="000C0B5F">
              <w:rPr>
                <w:rFonts w:eastAsiaTheme="minorEastAsia" w:cstheme="minorBidi"/>
                <w:b/>
                <w:bCs/>
                <w:sz w:val="20"/>
                <w:szCs w:val="20"/>
              </w:rPr>
              <w:t>/year)</w:t>
            </w:r>
          </w:p>
        </w:tc>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59D1C0FF" w14:textId="5F90DACE">
            <w:pPr>
              <w:rPr>
                <w:rFonts w:eastAsiaTheme="minorEastAsia" w:cstheme="minorBidi"/>
                <w:b/>
                <w:bCs/>
                <w:sz w:val="20"/>
                <w:szCs w:val="20"/>
              </w:rPr>
            </w:pPr>
            <w:r w:rsidRPr="000C0B5F">
              <w:rPr>
                <w:rFonts w:eastAsiaTheme="minorEastAsia" w:cstheme="minorBidi"/>
                <w:b/>
                <w:bCs/>
                <w:sz w:val="20"/>
                <w:szCs w:val="20"/>
              </w:rPr>
              <w:t>Burden Clerical Level (</w:t>
            </w:r>
            <w:r w:rsidRPr="000C0B5F">
              <w:rPr>
                <w:rFonts w:eastAsiaTheme="minorEastAsia" w:cstheme="minorBidi"/>
                <w:b/>
                <w:bCs/>
                <w:sz w:val="20"/>
                <w:szCs w:val="20"/>
              </w:rPr>
              <w:t>hr</w:t>
            </w:r>
            <w:r w:rsidRPr="000C0B5F">
              <w:rPr>
                <w:rFonts w:eastAsiaTheme="minorEastAsia" w:cstheme="minorBidi"/>
                <w:b/>
                <w:bCs/>
                <w:sz w:val="20"/>
                <w:szCs w:val="20"/>
              </w:rPr>
              <w:t>/year)</w:t>
            </w:r>
          </w:p>
        </w:tc>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077FB953" w14:textId="00CAC1BB">
            <w:pPr>
              <w:rPr>
                <w:rFonts w:eastAsiaTheme="minorEastAsia" w:cstheme="minorBidi"/>
                <w:b/>
                <w:bCs/>
                <w:sz w:val="20"/>
                <w:szCs w:val="20"/>
              </w:rPr>
            </w:pPr>
            <w:r w:rsidRPr="000C0B5F">
              <w:rPr>
                <w:rFonts w:eastAsiaTheme="minorEastAsia" w:cstheme="minorBidi"/>
                <w:b/>
                <w:bCs/>
                <w:sz w:val="20"/>
                <w:szCs w:val="20"/>
              </w:rPr>
              <w:t>Task Burden per Facility (hr/year)</w:t>
            </w:r>
          </w:p>
        </w:tc>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62D3C4AF" w14:textId="6B69EABC">
            <w:pPr>
              <w:rPr>
                <w:rFonts w:eastAsiaTheme="minorEastAsia" w:cstheme="minorBidi"/>
                <w:b/>
                <w:bCs/>
                <w:sz w:val="20"/>
                <w:szCs w:val="20"/>
              </w:rPr>
            </w:pPr>
            <w:r w:rsidRPr="000C0B5F">
              <w:rPr>
                <w:rFonts w:eastAsiaTheme="minorEastAsia" w:cstheme="minorBidi"/>
                <w:b/>
                <w:bCs/>
                <w:sz w:val="20"/>
                <w:szCs w:val="20"/>
              </w:rPr>
              <w:t>Task Burden for all Facilities (hr/year)</w:t>
            </w:r>
          </w:p>
        </w:tc>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68BB6BFF" w14:textId="05A35DC1">
            <w:pPr>
              <w:rPr>
                <w:rFonts w:eastAsiaTheme="minorEastAsia" w:cstheme="minorBidi"/>
                <w:b/>
                <w:bCs/>
                <w:sz w:val="20"/>
                <w:szCs w:val="20"/>
              </w:rPr>
            </w:pPr>
            <w:r w:rsidRPr="000C0B5F">
              <w:rPr>
                <w:rFonts w:eastAsiaTheme="minorEastAsia" w:cstheme="minorBidi"/>
                <w:b/>
                <w:bCs/>
                <w:sz w:val="20"/>
                <w:szCs w:val="20"/>
              </w:rPr>
              <w:t>Facility Labor ($/yr)</w:t>
            </w:r>
          </w:p>
        </w:tc>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1A9D35A4" w14:textId="245BFBEE">
            <w:pPr>
              <w:rPr>
                <w:rFonts w:eastAsiaTheme="minorEastAsia" w:cstheme="minorBidi"/>
                <w:b/>
                <w:bCs/>
                <w:sz w:val="20"/>
                <w:szCs w:val="20"/>
              </w:rPr>
            </w:pPr>
            <w:r w:rsidRPr="000C0B5F">
              <w:rPr>
                <w:rFonts w:eastAsiaTheme="minorEastAsia" w:cstheme="minorBidi"/>
                <w:b/>
                <w:bCs/>
                <w:sz w:val="20"/>
                <w:szCs w:val="20"/>
              </w:rPr>
              <w:t>All Facilities Total Labor ($/yr)</w:t>
            </w:r>
          </w:p>
        </w:tc>
      </w:tr>
      <w:tr w14:paraId="715B56D7" w14:textId="77777777" w:rsidTr="00AB6141">
        <w:tblPrEx>
          <w:tblW w:w="9360" w:type="dxa"/>
          <w:tblLayout w:type="fixed"/>
          <w:tblLook w:val="06A0"/>
        </w:tblPrEx>
        <w:trPr>
          <w:trHeight w:val="300"/>
        </w:trPr>
        <w:tc>
          <w:tcPr>
            <w:tcW w:w="1365" w:type="dxa"/>
            <w:tcBorders>
              <w:top w:val="single" w:sz="12" w:space="0" w:color="auto"/>
              <w:left w:val="single" w:sz="12" w:space="0" w:color="auto"/>
              <w:bottom w:val="single" w:sz="4" w:space="0" w:color="auto"/>
              <w:right w:val="single" w:sz="12" w:space="0" w:color="auto"/>
            </w:tcBorders>
          </w:tcPr>
          <w:p w:rsidR="06AD5A6D" w:rsidRPr="000C0B5F" w:rsidP="06AD5A6D" w14:paraId="197C12B6" w14:textId="4192316B">
            <w:pPr>
              <w:rPr>
                <w:rFonts w:eastAsiaTheme="minorEastAsia" w:cstheme="minorBidi"/>
                <w:sz w:val="20"/>
                <w:szCs w:val="20"/>
              </w:rPr>
            </w:pPr>
            <w:r w:rsidRPr="000C0B5F">
              <w:rPr>
                <w:rFonts w:eastAsiaTheme="minorEastAsia" w:cstheme="minorBidi"/>
                <w:sz w:val="20"/>
                <w:szCs w:val="20"/>
              </w:rPr>
              <w:t>Read and understand the regulatory provision</w:t>
            </w:r>
          </w:p>
        </w:tc>
        <w:tc>
          <w:tcPr>
            <w:tcW w:w="1140" w:type="dxa"/>
            <w:tcBorders>
              <w:top w:val="single" w:sz="12" w:space="0" w:color="auto"/>
              <w:left w:val="single" w:sz="12" w:space="0" w:color="auto"/>
              <w:bottom w:val="single" w:sz="4" w:space="0" w:color="auto"/>
            </w:tcBorders>
          </w:tcPr>
          <w:p w:rsidR="06AD5A6D" w:rsidRPr="000C0B5F" w:rsidP="06AD5A6D" w14:paraId="59738F33" w14:textId="5508FF0B">
            <w:pPr>
              <w:jc w:val="center"/>
              <w:rPr>
                <w:rFonts w:eastAsiaTheme="minorEastAsia" w:cstheme="minorBidi"/>
                <w:sz w:val="20"/>
                <w:szCs w:val="20"/>
              </w:rPr>
            </w:pPr>
            <w:r w:rsidRPr="000C0B5F">
              <w:rPr>
                <w:rFonts w:eastAsiaTheme="minorEastAsia" w:cstheme="minorBidi"/>
                <w:sz w:val="20"/>
                <w:szCs w:val="20"/>
              </w:rPr>
              <w:t>10</w:t>
            </w:r>
          </w:p>
        </w:tc>
        <w:tc>
          <w:tcPr>
            <w:tcW w:w="1005" w:type="dxa"/>
            <w:tcBorders>
              <w:top w:val="single" w:sz="12" w:space="0" w:color="auto"/>
              <w:bottom w:val="single" w:sz="4" w:space="0" w:color="auto"/>
            </w:tcBorders>
          </w:tcPr>
          <w:p w:rsidR="06AD5A6D" w:rsidRPr="000C0B5F" w:rsidP="06AD5A6D" w14:paraId="59488B34" w14:textId="642A0466">
            <w:pPr>
              <w:jc w:val="center"/>
              <w:rPr>
                <w:rFonts w:eastAsiaTheme="minorEastAsia" w:cstheme="minorBidi"/>
                <w:sz w:val="20"/>
                <w:szCs w:val="20"/>
              </w:rPr>
            </w:pPr>
            <w:r w:rsidRPr="000C0B5F">
              <w:rPr>
                <w:rFonts w:eastAsiaTheme="minorEastAsia" w:cstheme="minorBidi"/>
                <w:sz w:val="20"/>
                <w:szCs w:val="20"/>
              </w:rPr>
              <w:t>0</w:t>
            </w:r>
          </w:p>
        </w:tc>
        <w:tc>
          <w:tcPr>
            <w:tcW w:w="1170" w:type="dxa"/>
            <w:tcBorders>
              <w:top w:val="single" w:sz="12" w:space="0" w:color="auto"/>
              <w:bottom w:val="single" w:sz="4" w:space="0" w:color="auto"/>
            </w:tcBorders>
          </w:tcPr>
          <w:p w:rsidR="06AD5A6D" w:rsidRPr="000C0B5F" w:rsidP="06AD5A6D" w14:paraId="039AB234" w14:textId="0029E4DF">
            <w:pPr>
              <w:jc w:val="center"/>
              <w:rPr>
                <w:rFonts w:eastAsiaTheme="minorEastAsia" w:cstheme="minorBidi"/>
                <w:sz w:val="20"/>
                <w:szCs w:val="20"/>
              </w:rPr>
            </w:pPr>
            <w:r w:rsidRPr="000C0B5F">
              <w:rPr>
                <w:rFonts w:eastAsiaTheme="minorEastAsia" w:cstheme="minorBidi"/>
                <w:sz w:val="20"/>
                <w:szCs w:val="20"/>
              </w:rPr>
              <w:t>0</w:t>
            </w:r>
          </w:p>
        </w:tc>
        <w:tc>
          <w:tcPr>
            <w:tcW w:w="1170" w:type="dxa"/>
            <w:tcBorders>
              <w:top w:val="single" w:sz="12" w:space="0" w:color="auto"/>
              <w:bottom w:val="single" w:sz="4" w:space="0" w:color="auto"/>
            </w:tcBorders>
          </w:tcPr>
          <w:p w:rsidR="06AD5A6D" w:rsidRPr="000C0B5F" w:rsidP="06AD5A6D" w14:paraId="0750E25B" w14:textId="12FB10DF">
            <w:pPr>
              <w:jc w:val="center"/>
              <w:rPr>
                <w:rFonts w:eastAsiaTheme="minorEastAsia" w:cstheme="minorBidi"/>
                <w:sz w:val="20"/>
                <w:szCs w:val="20"/>
              </w:rPr>
            </w:pPr>
            <w:r w:rsidRPr="000C0B5F">
              <w:rPr>
                <w:rFonts w:eastAsiaTheme="minorEastAsia" w:cstheme="minorBidi"/>
                <w:sz w:val="20"/>
                <w:szCs w:val="20"/>
              </w:rPr>
              <w:t>10</w:t>
            </w:r>
          </w:p>
        </w:tc>
        <w:tc>
          <w:tcPr>
            <w:tcW w:w="1170" w:type="dxa"/>
            <w:tcBorders>
              <w:top w:val="single" w:sz="12" w:space="0" w:color="auto"/>
              <w:bottom w:val="single" w:sz="4" w:space="0" w:color="auto"/>
              <w:right w:val="single" w:sz="12" w:space="0" w:color="auto"/>
            </w:tcBorders>
          </w:tcPr>
          <w:p w:rsidR="06AD5A6D" w:rsidRPr="000C0B5F" w:rsidP="06AD5A6D" w14:paraId="31C1493E" w14:textId="1FDE7930">
            <w:pPr>
              <w:jc w:val="center"/>
              <w:rPr>
                <w:rFonts w:eastAsiaTheme="minorEastAsia" w:cstheme="minorBidi"/>
                <w:sz w:val="20"/>
                <w:szCs w:val="20"/>
              </w:rPr>
            </w:pPr>
            <w:r w:rsidRPr="000C0B5F">
              <w:rPr>
                <w:rFonts w:eastAsiaTheme="minorEastAsia" w:cstheme="minorBidi"/>
                <w:sz w:val="20"/>
                <w:szCs w:val="20"/>
              </w:rPr>
              <w:t>140</w:t>
            </w:r>
          </w:p>
        </w:tc>
        <w:tc>
          <w:tcPr>
            <w:tcW w:w="1170" w:type="dxa"/>
            <w:tcBorders>
              <w:top w:val="single" w:sz="12" w:space="0" w:color="auto"/>
              <w:left w:val="single" w:sz="12" w:space="0" w:color="auto"/>
              <w:bottom w:val="single" w:sz="4" w:space="0" w:color="auto"/>
            </w:tcBorders>
          </w:tcPr>
          <w:p w:rsidR="06AD5A6D" w:rsidRPr="000C0B5F" w:rsidP="06AD5A6D" w14:paraId="28ADC1DE" w14:textId="26852D46">
            <w:pPr>
              <w:jc w:val="center"/>
              <w:rPr>
                <w:rFonts w:eastAsiaTheme="minorEastAsia" w:cstheme="minorBidi"/>
                <w:sz w:val="20"/>
                <w:szCs w:val="20"/>
              </w:rPr>
            </w:pPr>
            <w:r w:rsidRPr="000C0B5F">
              <w:rPr>
                <w:rFonts w:eastAsiaTheme="minorEastAsia" w:cstheme="minorBidi"/>
                <w:sz w:val="20"/>
                <w:szCs w:val="20"/>
              </w:rPr>
              <w:t>$1,335</w:t>
            </w:r>
          </w:p>
        </w:tc>
        <w:tc>
          <w:tcPr>
            <w:tcW w:w="1170" w:type="dxa"/>
            <w:tcBorders>
              <w:top w:val="single" w:sz="12" w:space="0" w:color="auto"/>
              <w:bottom w:val="single" w:sz="4" w:space="0" w:color="auto"/>
              <w:right w:val="single" w:sz="12" w:space="0" w:color="auto"/>
            </w:tcBorders>
          </w:tcPr>
          <w:p w:rsidR="06AD5A6D" w:rsidRPr="000C0B5F" w:rsidP="06AD5A6D" w14:paraId="3750227C" w14:textId="76373FD8">
            <w:pPr>
              <w:jc w:val="center"/>
              <w:rPr>
                <w:rFonts w:eastAsiaTheme="minorEastAsia" w:cstheme="minorBidi"/>
                <w:sz w:val="20"/>
                <w:szCs w:val="20"/>
              </w:rPr>
            </w:pPr>
            <w:r w:rsidRPr="000C0B5F">
              <w:rPr>
                <w:rFonts w:eastAsiaTheme="minorEastAsia" w:cstheme="minorBidi"/>
                <w:sz w:val="20"/>
                <w:szCs w:val="20"/>
              </w:rPr>
              <w:t>$18,690</w:t>
            </w:r>
          </w:p>
        </w:tc>
      </w:tr>
      <w:tr w14:paraId="0CCD341E" w14:textId="77777777" w:rsidTr="00AB6141">
        <w:tblPrEx>
          <w:tblW w:w="9360" w:type="dxa"/>
          <w:tblLayout w:type="fixed"/>
          <w:tblLook w:val="06A0"/>
        </w:tblPrEx>
        <w:trPr>
          <w:trHeight w:val="300"/>
        </w:trPr>
        <w:tc>
          <w:tcPr>
            <w:tcW w:w="1365" w:type="dxa"/>
            <w:tcBorders>
              <w:top w:val="single" w:sz="4" w:space="0" w:color="auto"/>
              <w:left w:val="single" w:sz="12" w:space="0" w:color="auto"/>
              <w:bottom w:val="single" w:sz="4" w:space="0" w:color="auto"/>
              <w:right w:val="single" w:sz="12" w:space="0" w:color="auto"/>
            </w:tcBorders>
          </w:tcPr>
          <w:p w:rsidR="06AD5A6D" w:rsidRPr="000C0B5F" w:rsidP="06AD5A6D" w14:paraId="1F0AA62B" w14:textId="2ED81581">
            <w:pPr>
              <w:rPr>
                <w:rFonts w:eastAsiaTheme="minorEastAsia" w:cstheme="minorBidi"/>
                <w:sz w:val="20"/>
                <w:szCs w:val="20"/>
              </w:rPr>
            </w:pPr>
            <w:r w:rsidRPr="000C0B5F">
              <w:rPr>
                <w:rFonts w:eastAsiaTheme="minorEastAsia" w:cstheme="minorBidi"/>
                <w:sz w:val="20"/>
                <w:szCs w:val="20"/>
              </w:rPr>
              <w:t>Perform emission monitoring</w:t>
            </w:r>
          </w:p>
        </w:tc>
        <w:tc>
          <w:tcPr>
            <w:tcW w:w="1140" w:type="dxa"/>
            <w:tcBorders>
              <w:top w:val="single" w:sz="4" w:space="0" w:color="auto"/>
              <w:left w:val="single" w:sz="12" w:space="0" w:color="auto"/>
              <w:bottom w:val="single" w:sz="4" w:space="0" w:color="auto"/>
            </w:tcBorders>
          </w:tcPr>
          <w:p w:rsidR="06AD5A6D" w:rsidRPr="000C0B5F" w:rsidP="06AD5A6D" w14:paraId="60D3F621" w14:textId="2EAC1F2D">
            <w:pPr>
              <w:jc w:val="center"/>
              <w:rPr>
                <w:rFonts w:eastAsiaTheme="minorEastAsia" w:cstheme="minorBidi"/>
                <w:sz w:val="20"/>
                <w:szCs w:val="20"/>
              </w:rPr>
            </w:pPr>
            <w:r w:rsidRPr="000C0B5F">
              <w:rPr>
                <w:rFonts w:eastAsiaTheme="minorEastAsia" w:cstheme="minorBidi"/>
                <w:sz w:val="20"/>
                <w:szCs w:val="20"/>
              </w:rPr>
              <w:t>0</w:t>
            </w:r>
          </w:p>
        </w:tc>
        <w:tc>
          <w:tcPr>
            <w:tcW w:w="1005" w:type="dxa"/>
            <w:tcBorders>
              <w:top w:val="single" w:sz="4" w:space="0" w:color="auto"/>
              <w:bottom w:val="single" w:sz="4" w:space="0" w:color="auto"/>
            </w:tcBorders>
          </w:tcPr>
          <w:p w:rsidR="06AD5A6D" w:rsidRPr="000C0B5F" w:rsidP="06AD5A6D" w14:paraId="32F66553" w14:textId="690D7430">
            <w:pPr>
              <w:jc w:val="center"/>
              <w:rPr>
                <w:rFonts w:eastAsiaTheme="minorEastAsia" w:cstheme="minorBidi"/>
                <w:sz w:val="20"/>
                <w:szCs w:val="20"/>
              </w:rPr>
            </w:pPr>
            <w:r w:rsidRPr="000C0B5F">
              <w:rPr>
                <w:rFonts w:eastAsiaTheme="minorEastAsia" w:cstheme="minorBidi"/>
                <w:sz w:val="20"/>
                <w:szCs w:val="20"/>
              </w:rPr>
              <w:t>160</w:t>
            </w:r>
          </w:p>
        </w:tc>
        <w:tc>
          <w:tcPr>
            <w:tcW w:w="1170" w:type="dxa"/>
            <w:tcBorders>
              <w:top w:val="single" w:sz="4" w:space="0" w:color="auto"/>
              <w:bottom w:val="single" w:sz="4" w:space="0" w:color="auto"/>
            </w:tcBorders>
          </w:tcPr>
          <w:p w:rsidR="06AD5A6D" w:rsidRPr="000C0B5F" w:rsidP="06AD5A6D" w14:paraId="73A2D784" w14:textId="0E5C16F2">
            <w:pPr>
              <w:jc w:val="center"/>
              <w:rPr>
                <w:rFonts w:eastAsiaTheme="minorEastAsia" w:cstheme="minorBidi"/>
                <w:sz w:val="20"/>
                <w:szCs w:val="20"/>
              </w:rPr>
            </w:pPr>
            <w:r w:rsidRPr="000C0B5F">
              <w:rPr>
                <w:rFonts w:eastAsiaTheme="minorEastAsia" w:cstheme="minorBidi"/>
                <w:sz w:val="20"/>
                <w:szCs w:val="20"/>
              </w:rPr>
              <w:t>0</w:t>
            </w:r>
          </w:p>
        </w:tc>
        <w:tc>
          <w:tcPr>
            <w:tcW w:w="1170" w:type="dxa"/>
            <w:tcBorders>
              <w:top w:val="single" w:sz="4" w:space="0" w:color="auto"/>
              <w:bottom w:val="single" w:sz="4" w:space="0" w:color="auto"/>
            </w:tcBorders>
          </w:tcPr>
          <w:p w:rsidR="06AD5A6D" w:rsidRPr="000C0B5F" w:rsidP="06AD5A6D" w14:paraId="3A5753C5" w14:textId="0CA56B7B">
            <w:pPr>
              <w:jc w:val="center"/>
              <w:rPr>
                <w:rFonts w:eastAsiaTheme="minorEastAsia" w:cstheme="minorBidi"/>
                <w:sz w:val="20"/>
                <w:szCs w:val="20"/>
              </w:rPr>
            </w:pPr>
            <w:r w:rsidRPr="000C0B5F">
              <w:rPr>
                <w:rFonts w:eastAsiaTheme="minorEastAsia" w:cstheme="minorBidi"/>
                <w:sz w:val="20"/>
                <w:szCs w:val="20"/>
              </w:rPr>
              <w:t>160</w:t>
            </w:r>
          </w:p>
        </w:tc>
        <w:tc>
          <w:tcPr>
            <w:tcW w:w="1170" w:type="dxa"/>
            <w:tcBorders>
              <w:top w:val="single" w:sz="4" w:space="0" w:color="auto"/>
              <w:bottom w:val="single" w:sz="4" w:space="0" w:color="auto"/>
              <w:right w:val="single" w:sz="12" w:space="0" w:color="auto"/>
            </w:tcBorders>
          </w:tcPr>
          <w:p w:rsidR="06AD5A6D" w:rsidRPr="000C0B5F" w:rsidP="06AD5A6D" w14:paraId="70E4A0D9" w14:textId="377235A6">
            <w:pPr>
              <w:jc w:val="center"/>
              <w:rPr>
                <w:rFonts w:eastAsiaTheme="minorEastAsia" w:cstheme="minorBidi"/>
                <w:sz w:val="20"/>
                <w:szCs w:val="20"/>
              </w:rPr>
            </w:pPr>
            <w:r w:rsidRPr="000C0B5F">
              <w:rPr>
                <w:rFonts w:eastAsiaTheme="minorEastAsia" w:cstheme="minorBidi"/>
                <w:sz w:val="20"/>
                <w:szCs w:val="20"/>
              </w:rPr>
              <w:t>2240</w:t>
            </w:r>
          </w:p>
        </w:tc>
        <w:tc>
          <w:tcPr>
            <w:tcW w:w="1170" w:type="dxa"/>
            <w:tcBorders>
              <w:top w:val="single" w:sz="4" w:space="0" w:color="auto"/>
              <w:left w:val="single" w:sz="12" w:space="0" w:color="auto"/>
              <w:bottom w:val="single" w:sz="4" w:space="0" w:color="auto"/>
            </w:tcBorders>
          </w:tcPr>
          <w:p w:rsidR="06AD5A6D" w:rsidRPr="000C0B5F" w:rsidP="06AD5A6D" w14:paraId="58DDAF8F" w14:textId="32867348">
            <w:pPr>
              <w:jc w:val="center"/>
              <w:rPr>
                <w:rFonts w:eastAsiaTheme="minorEastAsia" w:cstheme="minorBidi"/>
                <w:sz w:val="20"/>
                <w:szCs w:val="20"/>
              </w:rPr>
            </w:pPr>
            <w:r w:rsidRPr="000C0B5F">
              <w:rPr>
                <w:rFonts w:eastAsiaTheme="minorEastAsia" w:cstheme="minorBidi"/>
                <w:sz w:val="20"/>
                <w:szCs w:val="20"/>
              </w:rPr>
              <w:t>$14,560</w:t>
            </w:r>
          </w:p>
        </w:tc>
        <w:tc>
          <w:tcPr>
            <w:tcW w:w="1170" w:type="dxa"/>
            <w:tcBorders>
              <w:top w:val="single" w:sz="4" w:space="0" w:color="auto"/>
              <w:bottom w:val="single" w:sz="4" w:space="0" w:color="auto"/>
              <w:right w:val="single" w:sz="12" w:space="0" w:color="auto"/>
            </w:tcBorders>
          </w:tcPr>
          <w:p w:rsidR="06AD5A6D" w:rsidRPr="000C0B5F" w:rsidP="06AD5A6D" w14:paraId="7B1B5B31" w14:textId="6BE59C91">
            <w:pPr>
              <w:jc w:val="center"/>
              <w:rPr>
                <w:rFonts w:eastAsiaTheme="minorEastAsia" w:cstheme="minorBidi"/>
                <w:sz w:val="20"/>
                <w:szCs w:val="20"/>
              </w:rPr>
            </w:pPr>
            <w:r w:rsidRPr="000C0B5F">
              <w:rPr>
                <w:rFonts w:eastAsiaTheme="minorEastAsia" w:cstheme="minorBidi"/>
                <w:sz w:val="20"/>
                <w:szCs w:val="20"/>
              </w:rPr>
              <w:t>$203,840</w:t>
            </w:r>
          </w:p>
        </w:tc>
      </w:tr>
      <w:tr w14:paraId="797DEB09" w14:textId="77777777" w:rsidTr="00AB6141">
        <w:tblPrEx>
          <w:tblW w:w="9360" w:type="dxa"/>
          <w:tblLayout w:type="fixed"/>
          <w:tblLook w:val="06A0"/>
        </w:tblPrEx>
        <w:trPr>
          <w:trHeight w:val="300"/>
        </w:trPr>
        <w:tc>
          <w:tcPr>
            <w:tcW w:w="1365" w:type="dxa"/>
            <w:tcBorders>
              <w:top w:val="single" w:sz="4" w:space="0" w:color="auto"/>
              <w:left w:val="single" w:sz="12" w:space="0" w:color="auto"/>
              <w:bottom w:val="single" w:sz="4" w:space="0" w:color="auto"/>
              <w:right w:val="single" w:sz="12" w:space="0" w:color="auto"/>
            </w:tcBorders>
          </w:tcPr>
          <w:p w:rsidR="06AD5A6D" w:rsidRPr="000C0B5F" w:rsidP="06AD5A6D" w14:paraId="6CFAFFB2" w14:textId="041D5A89">
            <w:pPr>
              <w:rPr>
                <w:rFonts w:eastAsiaTheme="minorEastAsia" w:cstheme="minorBidi"/>
                <w:sz w:val="20"/>
                <w:szCs w:val="20"/>
              </w:rPr>
            </w:pPr>
            <w:r w:rsidRPr="000C0B5F">
              <w:rPr>
                <w:rFonts w:eastAsiaTheme="minorEastAsia" w:cstheme="minorBidi"/>
                <w:sz w:val="20"/>
                <w:szCs w:val="20"/>
              </w:rPr>
              <w:t>Perform data analysis</w:t>
            </w:r>
          </w:p>
        </w:tc>
        <w:tc>
          <w:tcPr>
            <w:tcW w:w="1140" w:type="dxa"/>
            <w:tcBorders>
              <w:top w:val="single" w:sz="4" w:space="0" w:color="auto"/>
              <w:left w:val="single" w:sz="12" w:space="0" w:color="auto"/>
              <w:bottom w:val="single" w:sz="4" w:space="0" w:color="auto"/>
            </w:tcBorders>
          </w:tcPr>
          <w:p w:rsidR="06AD5A6D" w:rsidRPr="000C0B5F" w:rsidP="06AD5A6D" w14:paraId="2F895BE3" w14:textId="375CE0D5">
            <w:pPr>
              <w:jc w:val="center"/>
              <w:rPr>
                <w:rFonts w:eastAsiaTheme="minorEastAsia" w:cstheme="minorBidi"/>
                <w:sz w:val="20"/>
                <w:szCs w:val="20"/>
              </w:rPr>
            </w:pPr>
            <w:r w:rsidRPr="000C0B5F">
              <w:rPr>
                <w:rFonts w:eastAsiaTheme="minorEastAsia" w:cstheme="minorBidi"/>
                <w:sz w:val="20"/>
                <w:szCs w:val="20"/>
              </w:rPr>
              <w:t>0</w:t>
            </w:r>
          </w:p>
        </w:tc>
        <w:tc>
          <w:tcPr>
            <w:tcW w:w="1005" w:type="dxa"/>
            <w:tcBorders>
              <w:top w:val="single" w:sz="4" w:space="0" w:color="auto"/>
              <w:bottom w:val="single" w:sz="4" w:space="0" w:color="auto"/>
            </w:tcBorders>
          </w:tcPr>
          <w:p w:rsidR="06AD5A6D" w:rsidRPr="000C0B5F" w:rsidP="06AD5A6D" w14:paraId="19EF5D1A" w14:textId="5288EA40">
            <w:pPr>
              <w:jc w:val="center"/>
              <w:rPr>
                <w:rFonts w:eastAsiaTheme="minorEastAsia" w:cstheme="minorBidi"/>
                <w:sz w:val="20"/>
                <w:szCs w:val="20"/>
              </w:rPr>
            </w:pPr>
            <w:r w:rsidRPr="000C0B5F">
              <w:rPr>
                <w:rFonts w:eastAsiaTheme="minorEastAsia" w:cstheme="minorBidi"/>
                <w:sz w:val="20"/>
                <w:szCs w:val="20"/>
              </w:rPr>
              <w:t>40</w:t>
            </w:r>
          </w:p>
        </w:tc>
        <w:tc>
          <w:tcPr>
            <w:tcW w:w="1170" w:type="dxa"/>
            <w:tcBorders>
              <w:top w:val="single" w:sz="4" w:space="0" w:color="auto"/>
              <w:bottom w:val="single" w:sz="4" w:space="0" w:color="auto"/>
            </w:tcBorders>
          </w:tcPr>
          <w:p w:rsidR="06AD5A6D" w:rsidRPr="000C0B5F" w:rsidP="06AD5A6D" w14:paraId="7DCA20D0" w14:textId="3C4358C6">
            <w:pPr>
              <w:jc w:val="center"/>
              <w:rPr>
                <w:rFonts w:eastAsiaTheme="minorEastAsia" w:cstheme="minorBidi"/>
                <w:sz w:val="20"/>
                <w:szCs w:val="20"/>
              </w:rPr>
            </w:pPr>
            <w:r w:rsidRPr="000C0B5F">
              <w:rPr>
                <w:rFonts w:eastAsiaTheme="minorEastAsia" w:cstheme="minorBidi"/>
                <w:sz w:val="20"/>
                <w:szCs w:val="20"/>
              </w:rPr>
              <w:t>0</w:t>
            </w:r>
          </w:p>
        </w:tc>
        <w:tc>
          <w:tcPr>
            <w:tcW w:w="1170" w:type="dxa"/>
            <w:tcBorders>
              <w:top w:val="single" w:sz="4" w:space="0" w:color="auto"/>
              <w:bottom w:val="single" w:sz="4" w:space="0" w:color="auto"/>
            </w:tcBorders>
          </w:tcPr>
          <w:p w:rsidR="06AD5A6D" w:rsidRPr="000C0B5F" w:rsidP="06AD5A6D" w14:paraId="18849058" w14:textId="50C715AF">
            <w:pPr>
              <w:jc w:val="center"/>
              <w:rPr>
                <w:rFonts w:eastAsiaTheme="minorEastAsia" w:cstheme="minorBidi"/>
                <w:sz w:val="20"/>
                <w:szCs w:val="20"/>
              </w:rPr>
            </w:pPr>
            <w:r w:rsidRPr="000C0B5F">
              <w:rPr>
                <w:rFonts w:eastAsiaTheme="minorEastAsia" w:cstheme="minorBidi"/>
                <w:sz w:val="20"/>
                <w:szCs w:val="20"/>
              </w:rPr>
              <w:t>40</w:t>
            </w:r>
          </w:p>
        </w:tc>
        <w:tc>
          <w:tcPr>
            <w:tcW w:w="1170" w:type="dxa"/>
            <w:tcBorders>
              <w:top w:val="single" w:sz="4" w:space="0" w:color="auto"/>
              <w:bottom w:val="single" w:sz="4" w:space="0" w:color="auto"/>
              <w:right w:val="single" w:sz="12" w:space="0" w:color="auto"/>
            </w:tcBorders>
          </w:tcPr>
          <w:p w:rsidR="06AD5A6D" w:rsidRPr="000C0B5F" w:rsidP="06AD5A6D" w14:paraId="732F5744" w14:textId="75BB33BA">
            <w:pPr>
              <w:jc w:val="center"/>
              <w:rPr>
                <w:rFonts w:eastAsiaTheme="minorEastAsia" w:cstheme="minorBidi"/>
                <w:sz w:val="20"/>
                <w:szCs w:val="20"/>
              </w:rPr>
            </w:pPr>
            <w:r w:rsidRPr="000C0B5F">
              <w:rPr>
                <w:rFonts w:eastAsiaTheme="minorEastAsia" w:cstheme="minorBidi"/>
                <w:sz w:val="20"/>
                <w:szCs w:val="20"/>
              </w:rPr>
              <w:t>560</w:t>
            </w:r>
          </w:p>
        </w:tc>
        <w:tc>
          <w:tcPr>
            <w:tcW w:w="1170" w:type="dxa"/>
            <w:tcBorders>
              <w:top w:val="single" w:sz="4" w:space="0" w:color="auto"/>
              <w:left w:val="single" w:sz="12" w:space="0" w:color="auto"/>
              <w:bottom w:val="single" w:sz="4" w:space="0" w:color="auto"/>
            </w:tcBorders>
          </w:tcPr>
          <w:p w:rsidR="06AD5A6D" w:rsidRPr="000C0B5F" w:rsidP="06AD5A6D" w14:paraId="552992EE" w14:textId="4A26ED50">
            <w:pPr>
              <w:jc w:val="center"/>
              <w:rPr>
                <w:rFonts w:eastAsiaTheme="minorEastAsia" w:cstheme="minorBidi"/>
                <w:sz w:val="20"/>
                <w:szCs w:val="20"/>
              </w:rPr>
            </w:pPr>
            <w:r w:rsidRPr="000C0B5F">
              <w:rPr>
                <w:rFonts w:eastAsiaTheme="minorEastAsia" w:cstheme="minorBidi"/>
                <w:sz w:val="20"/>
                <w:szCs w:val="20"/>
              </w:rPr>
              <w:t>$3,640</w:t>
            </w:r>
          </w:p>
        </w:tc>
        <w:tc>
          <w:tcPr>
            <w:tcW w:w="1170" w:type="dxa"/>
            <w:tcBorders>
              <w:top w:val="single" w:sz="4" w:space="0" w:color="auto"/>
              <w:bottom w:val="single" w:sz="4" w:space="0" w:color="auto"/>
              <w:right w:val="single" w:sz="12" w:space="0" w:color="auto"/>
            </w:tcBorders>
          </w:tcPr>
          <w:p w:rsidR="06AD5A6D" w:rsidRPr="000C0B5F" w:rsidP="06AD5A6D" w14:paraId="656ECB42" w14:textId="5FB68985">
            <w:pPr>
              <w:jc w:val="center"/>
              <w:rPr>
                <w:rFonts w:eastAsiaTheme="minorEastAsia" w:cstheme="minorBidi"/>
                <w:sz w:val="20"/>
                <w:szCs w:val="20"/>
              </w:rPr>
            </w:pPr>
            <w:r w:rsidRPr="000C0B5F">
              <w:rPr>
                <w:rFonts w:eastAsiaTheme="minorEastAsia" w:cstheme="minorBidi"/>
                <w:sz w:val="20"/>
                <w:szCs w:val="20"/>
              </w:rPr>
              <w:t>$50,960</w:t>
            </w:r>
          </w:p>
        </w:tc>
      </w:tr>
      <w:tr w14:paraId="251F58A2" w14:textId="77777777" w:rsidTr="00AB6141">
        <w:tblPrEx>
          <w:tblW w:w="9360" w:type="dxa"/>
          <w:tblLayout w:type="fixed"/>
          <w:tblLook w:val="06A0"/>
        </w:tblPrEx>
        <w:trPr>
          <w:trHeight w:val="300"/>
        </w:trPr>
        <w:tc>
          <w:tcPr>
            <w:tcW w:w="1365" w:type="dxa"/>
            <w:tcBorders>
              <w:top w:val="single" w:sz="4" w:space="0" w:color="auto"/>
              <w:left w:val="single" w:sz="12" w:space="0" w:color="auto"/>
              <w:bottom w:val="single" w:sz="12" w:space="0" w:color="auto"/>
              <w:right w:val="single" w:sz="12" w:space="0" w:color="auto"/>
            </w:tcBorders>
          </w:tcPr>
          <w:p w:rsidR="06AD5A6D" w:rsidRPr="000C0B5F" w:rsidP="06AD5A6D" w14:paraId="114F5800" w14:textId="6850F178">
            <w:pPr>
              <w:rPr>
                <w:rFonts w:eastAsiaTheme="minorEastAsia" w:cstheme="minorBidi"/>
                <w:sz w:val="20"/>
                <w:szCs w:val="20"/>
              </w:rPr>
            </w:pPr>
            <w:r w:rsidRPr="000C0B5F">
              <w:rPr>
                <w:rFonts w:eastAsiaTheme="minorEastAsia" w:cstheme="minorBidi"/>
                <w:sz w:val="20"/>
                <w:szCs w:val="20"/>
              </w:rPr>
              <w:t>Prepare report</w:t>
            </w:r>
          </w:p>
        </w:tc>
        <w:tc>
          <w:tcPr>
            <w:tcW w:w="1140" w:type="dxa"/>
            <w:tcBorders>
              <w:top w:val="single" w:sz="4" w:space="0" w:color="auto"/>
              <w:left w:val="single" w:sz="12" w:space="0" w:color="auto"/>
              <w:bottom w:val="single" w:sz="12" w:space="0" w:color="auto"/>
            </w:tcBorders>
          </w:tcPr>
          <w:p w:rsidR="06AD5A6D" w:rsidRPr="000C0B5F" w:rsidP="06AD5A6D" w14:paraId="2F72F9EE" w14:textId="057AA6BC">
            <w:pPr>
              <w:jc w:val="center"/>
              <w:rPr>
                <w:rFonts w:eastAsiaTheme="minorEastAsia" w:cstheme="minorBidi"/>
                <w:sz w:val="20"/>
                <w:szCs w:val="20"/>
              </w:rPr>
            </w:pPr>
            <w:r w:rsidRPr="000C0B5F">
              <w:rPr>
                <w:rFonts w:eastAsiaTheme="minorEastAsia" w:cstheme="minorBidi"/>
                <w:sz w:val="20"/>
                <w:szCs w:val="20"/>
              </w:rPr>
              <w:t>10</w:t>
            </w:r>
          </w:p>
        </w:tc>
        <w:tc>
          <w:tcPr>
            <w:tcW w:w="1005" w:type="dxa"/>
            <w:tcBorders>
              <w:top w:val="single" w:sz="4" w:space="0" w:color="auto"/>
              <w:bottom w:val="single" w:sz="12" w:space="0" w:color="auto"/>
            </w:tcBorders>
          </w:tcPr>
          <w:p w:rsidR="06AD5A6D" w:rsidRPr="000C0B5F" w:rsidP="06AD5A6D" w14:paraId="371161E8" w14:textId="4EA29B37">
            <w:pPr>
              <w:jc w:val="center"/>
              <w:rPr>
                <w:rFonts w:eastAsiaTheme="minorEastAsia" w:cstheme="minorBidi"/>
                <w:sz w:val="20"/>
                <w:szCs w:val="20"/>
              </w:rPr>
            </w:pPr>
            <w:r w:rsidRPr="000C0B5F">
              <w:rPr>
                <w:rFonts w:eastAsiaTheme="minorEastAsia" w:cstheme="minorBidi"/>
                <w:sz w:val="20"/>
                <w:szCs w:val="20"/>
              </w:rPr>
              <w:t>0</w:t>
            </w:r>
          </w:p>
        </w:tc>
        <w:tc>
          <w:tcPr>
            <w:tcW w:w="1170" w:type="dxa"/>
            <w:tcBorders>
              <w:top w:val="single" w:sz="4" w:space="0" w:color="auto"/>
              <w:bottom w:val="single" w:sz="12" w:space="0" w:color="auto"/>
            </w:tcBorders>
          </w:tcPr>
          <w:p w:rsidR="06AD5A6D" w:rsidRPr="000C0B5F" w:rsidP="06AD5A6D" w14:paraId="4996DCEE" w14:textId="380DCC2A">
            <w:pPr>
              <w:jc w:val="center"/>
              <w:rPr>
                <w:rFonts w:eastAsiaTheme="minorEastAsia" w:cstheme="minorBidi"/>
                <w:sz w:val="20"/>
                <w:szCs w:val="20"/>
              </w:rPr>
            </w:pPr>
            <w:r w:rsidRPr="000C0B5F">
              <w:rPr>
                <w:rFonts w:eastAsiaTheme="minorEastAsia" w:cstheme="minorBidi"/>
                <w:sz w:val="20"/>
                <w:szCs w:val="20"/>
              </w:rPr>
              <w:t>0</w:t>
            </w:r>
          </w:p>
        </w:tc>
        <w:tc>
          <w:tcPr>
            <w:tcW w:w="1170" w:type="dxa"/>
            <w:tcBorders>
              <w:top w:val="single" w:sz="4" w:space="0" w:color="auto"/>
              <w:bottom w:val="single" w:sz="12" w:space="0" w:color="auto"/>
            </w:tcBorders>
          </w:tcPr>
          <w:p w:rsidR="06AD5A6D" w:rsidRPr="000C0B5F" w:rsidP="06AD5A6D" w14:paraId="4BBA433B" w14:textId="3760905A">
            <w:pPr>
              <w:jc w:val="center"/>
              <w:rPr>
                <w:rFonts w:eastAsiaTheme="minorEastAsia" w:cstheme="minorBidi"/>
                <w:sz w:val="20"/>
                <w:szCs w:val="20"/>
              </w:rPr>
            </w:pPr>
            <w:r w:rsidRPr="000C0B5F">
              <w:rPr>
                <w:rFonts w:eastAsiaTheme="minorEastAsia" w:cstheme="minorBidi"/>
                <w:sz w:val="20"/>
                <w:szCs w:val="20"/>
              </w:rPr>
              <w:t>10</w:t>
            </w:r>
          </w:p>
        </w:tc>
        <w:tc>
          <w:tcPr>
            <w:tcW w:w="1170" w:type="dxa"/>
            <w:tcBorders>
              <w:top w:val="single" w:sz="4" w:space="0" w:color="auto"/>
              <w:bottom w:val="single" w:sz="12" w:space="0" w:color="auto"/>
              <w:right w:val="single" w:sz="12" w:space="0" w:color="auto"/>
            </w:tcBorders>
          </w:tcPr>
          <w:p w:rsidR="06AD5A6D" w:rsidRPr="000C0B5F" w:rsidP="06AD5A6D" w14:paraId="792F6DC3" w14:textId="2108BE75">
            <w:pPr>
              <w:jc w:val="center"/>
              <w:rPr>
                <w:rFonts w:eastAsiaTheme="minorEastAsia" w:cstheme="minorBidi"/>
                <w:sz w:val="20"/>
                <w:szCs w:val="20"/>
              </w:rPr>
            </w:pPr>
            <w:r w:rsidRPr="000C0B5F">
              <w:rPr>
                <w:rFonts w:eastAsiaTheme="minorEastAsia" w:cstheme="minorBidi"/>
                <w:sz w:val="20"/>
                <w:szCs w:val="20"/>
              </w:rPr>
              <w:t>140</w:t>
            </w:r>
          </w:p>
        </w:tc>
        <w:tc>
          <w:tcPr>
            <w:tcW w:w="1170" w:type="dxa"/>
            <w:tcBorders>
              <w:top w:val="single" w:sz="4" w:space="0" w:color="auto"/>
              <w:left w:val="single" w:sz="12" w:space="0" w:color="auto"/>
              <w:bottom w:val="single" w:sz="12" w:space="0" w:color="auto"/>
            </w:tcBorders>
          </w:tcPr>
          <w:p w:rsidR="06AD5A6D" w:rsidRPr="000C0B5F" w:rsidP="06AD5A6D" w14:paraId="2E3623AC" w14:textId="4574C70C">
            <w:pPr>
              <w:jc w:val="center"/>
              <w:rPr>
                <w:rFonts w:eastAsiaTheme="minorEastAsia" w:cstheme="minorBidi"/>
                <w:sz w:val="20"/>
                <w:szCs w:val="20"/>
              </w:rPr>
            </w:pPr>
            <w:r w:rsidRPr="000C0B5F">
              <w:rPr>
                <w:rFonts w:eastAsiaTheme="minorEastAsia" w:cstheme="minorBidi"/>
                <w:sz w:val="20"/>
                <w:szCs w:val="20"/>
              </w:rPr>
              <w:t>$1,335</w:t>
            </w:r>
          </w:p>
        </w:tc>
        <w:tc>
          <w:tcPr>
            <w:tcW w:w="1170" w:type="dxa"/>
            <w:tcBorders>
              <w:top w:val="single" w:sz="4" w:space="0" w:color="auto"/>
              <w:bottom w:val="single" w:sz="12" w:space="0" w:color="auto"/>
              <w:right w:val="single" w:sz="12" w:space="0" w:color="auto"/>
            </w:tcBorders>
          </w:tcPr>
          <w:p w:rsidR="06AD5A6D" w:rsidRPr="000C0B5F" w:rsidP="06AD5A6D" w14:paraId="6BFCA0FE" w14:textId="16AEFA37">
            <w:pPr>
              <w:jc w:val="center"/>
              <w:rPr>
                <w:rFonts w:eastAsiaTheme="minorEastAsia" w:cstheme="minorBidi"/>
                <w:sz w:val="20"/>
                <w:szCs w:val="20"/>
              </w:rPr>
            </w:pPr>
            <w:r w:rsidRPr="000C0B5F">
              <w:rPr>
                <w:rFonts w:eastAsiaTheme="minorEastAsia" w:cstheme="minorBidi"/>
                <w:sz w:val="20"/>
                <w:szCs w:val="20"/>
              </w:rPr>
              <w:t>$18,690</w:t>
            </w:r>
          </w:p>
        </w:tc>
      </w:tr>
      <w:tr w14:paraId="3222B8DD" w14:textId="77777777" w:rsidTr="00AB6141">
        <w:tblPrEx>
          <w:tblW w:w="9360" w:type="dxa"/>
          <w:tblLayout w:type="fixed"/>
          <w:tblLook w:val="06A0"/>
        </w:tblPrEx>
        <w:trPr>
          <w:trHeight w:val="300"/>
        </w:trPr>
        <w:tc>
          <w:tcPr>
            <w:tcW w:w="1365" w:type="dxa"/>
            <w:tcBorders>
              <w:top w:val="single" w:sz="12" w:space="0" w:color="auto"/>
              <w:left w:val="single" w:sz="12" w:space="0" w:color="auto"/>
              <w:bottom w:val="single" w:sz="12" w:space="0" w:color="auto"/>
              <w:right w:val="single" w:sz="12" w:space="0" w:color="auto"/>
            </w:tcBorders>
          </w:tcPr>
          <w:p w:rsidR="007F224F" w:rsidRPr="000C0B5F" w:rsidP="06AD5A6D" w14:paraId="6A626B39" w14:textId="643129B7">
            <w:pPr>
              <w:rPr>
                <w:rFonts w:eastAsiaTheme="minorEastAsia" w:cstheme="minorBidi"/>
                <w:b/>
                <w:bCs/>
                <w:sz w:val="20"/>
                <w:szCs w:val="20"/>
              </w:rPr>
            </w:pPr>
            <w:r w:rsidRPr="000C0B5F">
              <w:rPr>
                <w:rFonts w:eastAsiaTheme="minorEastAsia" w:cstheme="minorBidi"/>
                <w:b/>
                <w:bCs/>
                <w:sz w:val="20"/>
                <w:szCs w:val="20"/>
              </w:rPr>
              <w:t>Record Keeping Burden</w:t>
            </w:r>
          </w:p>
        </w:tc>
        <w:tc>
          <w:tcPr>
            <w:tcW w:w="5655" w:type="dxa"/>
            <w:gridSpan w:val="5"/>
            <w:tcBorders>
              <w:top w:val="single" w:sz="12" w:space="0" w:color="auto"/>
              <w:left w:val="single" w:sz="12" w:space="0" w:color="auto"/>
              <w:bottom w:val="single" w:sz="12" w:space="0" w:color="auto"/>
              <w:right w:val="single" w:sz="12" w:space="0" w:color="auto"/>
            </w:tcBorders>
          </w:tcPr>
          <w:p w:rsidR="007F224F" w:rsidRPr="000C0B5F" w:rsidP="007F224F" w14:paraId="1F8C2EDB" w14:textId="7CAA0D7F">
            <w:pPr>
              <w:jc w:val="center"/>
              <w:rPr>
                <w:rFonts w:eastAsiaTheme="minorEastAsia" w:cstheme="minorBidi"/>
                <w:sz w:val="20"/>
                <w:szCs w:val="20"/>
              </w:rPr>
            </w:pPr>
            <w:r w:rsidRPr="000C0B5F">
              <w:rPr>
                <w:rFonts w:eastAsiaTheme="minorEastAsia" w:cstheme="minorBidi"/>
                <w:b/>
                <w:bCs/>
                <w:sz w:val="20"/>
                <w:szCs w:val="20"/>
              </w:rPr>
              <w:t>(hours)</w:t>
            </w:r>
          </w:p>
        </w:tc>
        <w:tc>
          <w:tcPr>
            <w:tcW w:w="2340" w:type="dxa"/>
            <w:gridSpan w:val="2"/>
            <w:tcBorders>
              <w:top w:val="single" w:sz="12" w:space="0" w:color="auto"/>
              <w:left w:val="single" w:sz="12" w:space="0" w:color="auto"/>
              <w:bottom w:val="single" w:sz="12" w:space="0" w:color="auto"/>
              <w:right w:val="single" w:sz="12" w:space="0" w:color="auto"/>
            </w:tcBorders>
          </w:tcPr>
          <w:p w:rsidR="007F224F" w:rsidRPr="000C0B5F" w:rsidP="007F224F" w14:paraId="260B5F66" w14:textId="2EBA9DFC">
            <w:pPr>
              <w:jc w:val="center"/>
              <w:rPr>
                <w:rFonts w:eastAsiaTheme="minorEastAsia" w:cstheme="minorBidi"/>
                <w:sz w:val="20"/>
                <w:szCs w:val="20"/>
              </w:rPr>
            </w:pPr>
            <w:r w:rsidRPr="000C0B5F">
              <w:rPr>
                <w:rFonts w:eastAsiaTheme="minorEastAsia" w:cstheme="minorBidi"/>
                <w:b/>
                <w:bCs/>
                <w:sz w:val="20"/>
                <w:szCs w:val="20"/>
              </w:rPr>
              <w:t>(costs)</w:t>
            </w:r>
          </w:p>
        </w:tc>
      </w:tr>
      <w:tr w14:paraId="06A01F24" w14:textId="77777777" w:rsidTr="00AB6141">
        <w:tblPrEx>
          <w:tblW w:w="9360" w:type="dxa"/>
          <w:tblLayout w:type="fixed"/>
          <w:tblLook w:val="06A0"/>
        </w:tblPrEx>
        <w:trPr>
          <w:trHeight w:val="855"/>
        </w:trPr>
        <w:tc>
          <w:tcPr>
            <w:tcW w:w="1365" w:type="dxa"/>
            <w:tcBorders>
              <w:top w:val="single" w:sz="12" w:space="0" w:color="auto"/>
              <w:left w:val="single" w:sz="12" w:space="0" w:color="auto"/>
              <w:bottom w:val="single" w:sz="12" w:space="0" w:color="auto"/>
              <w:right w:val="single" w:sz="12" w:space="0" w:color="auto"/>
            </w:tcBorders>
          </w:tcPr>
          <w:p w:rsidR="06AD5A6D" w:rsidRPr="000C0B5F" w:rsidP="06AD5A6D" w14:paraId="6DCBCA4C" w14:textId="5FC48954">
            <w:pPr>
              <w:rPr>
                <w:rFonts w:eastAsiaTheme="minorEastAsia" w:cstheme="minorBidi"/>
                <w:sz w:val="20"/>
                <w:szCs w:val="20"/>
              </w:rPr>
            </w:pPr>
            <w:r w:rsidRPr="000C0B5F">
              <w:rPr>
                <w:rFonts w:eastAsiaTheme="minorEastAsia" w:cstheme="minorBidi"/>
                <w:sz w:val="20"/>
                <w:szCs w:val="20"/>
              </w:rPr>
              <w:t>File and maintain data</w:t>
            </w:r>
          </w:p>
        </w:tc>
        <w:tc>
          <w:tcPr>
            <w:tcW w:w="1140" w:type="dxa"/>
            <w:tcBorders>
              <w:top w:val="single" w:sz="12" w:space="0" w:color="auto"/>
              <w:left w:val="single" w:sz="12" w:space="0" w:color="auto"/>
              <w:bottom w:val="single" w:sz="12" w:space="0" w:color="auto"/>
            </w:tcBorders>
          </w:tcPr>
          <w:p w:rsidR="06AD5A6D" w:rsidRPr="000C0B5F" w:rsidP="06AD5A6D" w14:paraId="6C4A41ED" w14:textId="440882B3">
            <w:pPr>
              <w:jc w:val="center"/>
              <w:rPr>
                <w:rFonts w:eastAsiaTheme="minorEastAsia" w:cstheme="minorBidi"/>
                <w:sz w:val="20"/>
                <w:szCs w:val="20"/>
              </w:rPr>
            </w:pPr>
            <w:r w:rsidRPr="000C0B5F">
              <w:rPr>
                <w:rFonts w:eastAsiaTheme="minorEastAsia" w:cstheme="minorBidi"/>
                <w:sz w:val="20"/>
                <w:szCs w:val="20"/>
              </w:rPr>
              <w:t>0</w:t>
            </w:r>
          </w:p>
        </w:tc>
        <w:tc>
          <w:tcPr>
            <w:tcW w:w="1005" w:type="dxa"/>
            <w:tcBorders>
              <w:top w:val="single" w:sz="12" w:space="0" w:color="auto"/>
              <w:bottom w:val="single" w:sz="12" w:space="0" w:color="auto"/>
            </w:tcBorders>
          </w:tcPr>
          <w:p w:rsidR="06AD5A6D" w:rsidRPr="000C0B5F" w:rsidP="06AD5A6D" w14:paraId="51B0CCD0" w14:textId="7C885C1F">
            <w:pPr>
              <w:jc w:val="center"/>
              <w:rPr>
                <w:rFonts w:eastAsiaTheme="minorEastAsia" w:cstheme="minorBidi"/>
                <w:sz w:val="20"/>
                <w:szCs w:val="20"/>
              </w:rPr>
            </w:pPr>
            <w:r w:rsidRPr="000C0B5F">
              <w:rPr>
                <w:rFonts w:eastAsiaTheme="minorEastAsia" w:cstheme="minorBidi"/>
                <w:sz w:val="20"/>
                <w:szCs w:val="20"/>
              </w:rPr>
              <w:t>0</w:t>
            </w:r>
          </w:p>
        </w:tc>
        <w:tc>
          <w:tcPr>
            <w:tcW w:w="1170" w:type="dxa"/>
            <w:tcBorders>
              <w:top w:val="single" w:sz="12" w:space="0" w:color="auto"/>
              <w:bottom w:val="single" w:sz="12" w:space="0" w:color="auto"/>
            </w:tcBorders>
          </w:tcPr>
          <w:p w:rsidR="06AD5A6D" w:rsidRPr="000C0B5F" w:rsidP="06AD5A6D" w14:paraId="242F92D9" w14:textId="77DABDCF">
            <w:pPr>
              <w:jc w:val="center"/>
              <w:rPr>
                <w:rFonts w:eastAsiaTheme="minorEastAsia" w:cstheme="minorBidi"/>
                <w:sz w:val="20"/>
                <w:szCs w:val="20"/>
              </w:rPr>
            </w:pPr>
            <w:r w:rsidRPr="000C0B5F">
              <w:rPr>
                <w:rFonts w:eastAsiaTheme="minorEastAsia" w:cstheme="minorBidi"/>
                <w:sz w:val="20"/>
                <w:szCs w:val="20"/>
              </w:rPr>
              <w:t>10</w:t>
            </w:r>
          </w:p>
        </w:tc>
        <w:tc>
          <w:tcPr>
            <w:tcW w:w="1170" w:type="dxa"/>
            <w:tcBorders>
              <w:top w:val="single" w:sz="12" w:space="0" w:color="auto"/>
              <w:bottom w:val="single" w:sz="12" w:space="0" w:color="auto"/>
            </w:tcBorders>
          </w:tcPr>
          <w:p w:rsidR="06AD5A6D" w:rsidRPr="000C0B5F" w:rsidP="06AD5A6D" w14:paraId="5A56AFDF" w14:textId="1BAE5734">
            <w:pPr>
              <w:jc w:val="center"/>
              <w:rPr>
                <w:rFonts w:eastAsiaTheme="minorEastAsia" w:cstheme="minorBidi"/>
                <w:sz w:val="20"/>
                <w:szCs w:val="20"/>
              </w:rPr>
            </w:pPr>
            <w:r w:rsidRPr="000C0B5F">
              <w:rPr>
                <w:rFonts w:eastAsiaTheme="minorEastAsia" w:cstheme="minorBidi"/>
                <w:sz w:val="20"/>
                <w:szCs w:val="20"/>
              </w:rPr>
              <w:t>10</w:t>
            </w:r>
          </w:p>
        </w:tc>
        <w:tc>
          <w:tcPr>
            <w:tcW w:w="1170" w:type="dxa"/>
            <w:tcBorders>
              <w:top w:val="single" w:sz="12" w:space="0" w:color="auto"/>
              <w:bottom w:val="single" w:sz="12" w:space="0" w:color="auto"/>
              <w:right w:val="single" w:sz="12" w:space="0" w:color="auto"/>
            </w:tcBorders>
          </w:tcPr>
          <w:p w:rsidR="06AD5A6D" w:rsidRPr="000C0B5F" w:rsidP="06AD5A6D" w14:paraId="7DCB7C8C" w14:textId="0DD027D1">
            <w:pPr>
              <w:jc w:val="center"/>
              <w:rPr>
                <w:rFonts w:eastAsiaTheme="minorEastAsia" w:cstheme="minorBidi"/>
                <w:sz w:val="20"/>
                <w:szCs w:val="20"/>
              </w:rPr>
            </w:pPr>
            <w:r w:rsidRPr="000C0B5F">
              <w:rPr>
                <w:rFonts w:eastAsiaTheme="minorEastAsia" w:cstheme="minorBidi"/>
                <w:sz w:val="20"/>
                <w:szCs w:val="20"/>
              </w:rPr>
              <w:t>140</w:t>
            </w:r>
          </w:p>
        </w:tc>
        <w:tc>
          <w:tcPr>
            <w:tcW w:w="1170" w:type="dxa"/>
            <w:tcBorders>
              <w:top w:val="single" w:sz="12" w:space="0" w:color="auto"/>
              <w:left w:val="single" w:sz="12" w:space="0" w:color="auto"/>
              <w:bottom w:val="single" w:sz="12" w:space="0" w:color="auto"/>
            </w:tcBorders>
          </w:tcPr>
          <w:p w:rsidR="06AD5A6D" w:rsidRPr="000C0B5F" w:rsidP="06AD5A6D" w14:paraId="701B652F" w14:textId="3F5109C2">
            <w:pPr>
              <w:jc w:val="center"/>
              <w:rPr>
                <w:rFonts w:eastAsiaTheme="minorEastAsia" w:cstheme="minorBidi"/>
                <w:sz w:val="20"/>
                <w:szCs w:val="20"/>
              </w:rPr>
            </w:pPr>
            <w:r w:rsidRPr="000C0B5F">
              <w:rPr>
                <w:rFonts w:eastAsiaTheme="minorEastAsia" w:cstheme="minorBidi"/>
                <w:sz w:val="20"/>
                <w:szCs w:val="20"/>
              </w:rPr>
              <w:t>$380</w:t>
            </w:r>
          </w:p>
        </w:tc>
        <w:tc>
          <w:tcPr>
            <w:tcW w:w="1170" w:type="dxa"/>
            <w:tcBorders>
              <w:top w:val="single" w:sz="12" w:space="0" w:color="auto"/>
              <w:bottom w:val="single" w:sz="12" w:space="0" w:color="auto"/>
            </w:tcBorders>
          </w:tcPr>
          <w:p w:rsidR="06AD5A6D" w:rsidRPr="000C0B5F" w:rsidP="06AD5A6D" w14:paraId="3F19A489" w14:textId="15D00A43">
            <w:pPr>
              <w:jc w:val="center"/>
              <w:rPr>
                <w:rFonts w:eastAsiaTheme="minorEastAsia" w:cstheme="minorBidi"/>
                <w:sz w:val="20"/>
                <w:szCs w:val="20"/>
              </w:rPr>
            </w:pPr>
            <w:r w:rsidRPr="000C0B5F">
              <w:rPr>
                <w:rFonts w:eastAsiaTheme="minorEastAsia" w:cstheme="minorBidi"/>
                <w:sz w:val="20"/>
                <w:szCs w:val="20"/>
              </w:rPr>
              <w:t>$5,320</w:t>
            </w:r>
          </w:p>
        </w:tc>
      </w:tr>
      <w:tr w14:paraId="1AA3925B" w14:textId="77777777" w:rsidTr="00AB6141">
        <w:tblPrEx>
          <w:tblW w:w="9360" w:type="dxa"/>
          <w:tblLayout w:type="fixed"/>
          <w:tblLook w:val="06A0"/>
        </w:tblPrEx>
        <w:trPr>
          <w:trHeight w:val="315"/>
        </w:trPr>
        <w:tc>
          <w:tcPr>
            <w:tcW w:w="1365" w:type="dxa"/>
            <w:tcBorders>
              <w:top w:val="single" w:sz="12" w:space="0" w:color="auto"/>
              <w:left w:val="single" w:sz="12" w:space="0" w:color="auto"/>
              <w:bottom w:val="single" w:sz="12" w:space="0" w:color="auto"/>
              <w:right w:val="single" w:sz="12" w:space="0" w:color="auto"/>
            </w:tcBorders>
          </w:tcPr>
          <w:p w:rsidR="06AD5A6D" w:rsidRPr="000C0B5F" w:rsidP="06AD5A6D" w14:paraId="3EC58E57" w14:textId="467FA8A4">
            <w:pPr>
              <w:rPr>
                <w:rFonts w:eastAsiaTheme="minorEastAsia" w:cstheme="minorBidi"/>
                <w:b/>
                <w:bCs/>
                <w:sz w:val="20"/>
                <w:szCs w:val="20"/>
              </w:rPr>
            </w:pPr>
            <w:r w:rsidRPr="000C0B5F">
              <w:rPr>
                <w:rFonts w:eastAsiaTheme="minorEastAsia" w:cstheme="minorBidi"/>
                <w:b/>
                <w:bCs/>
                <w:sz w:val="20"/>
                <w:szCs w:val="20"/>
              </w:rPr>
              <w:t>TOTAL</w:t>
            </w:r>
          </w:p>
        </w:tc>
        <w:tc>
          <w:tcPr>
            <w:tcW w:w="1140" w:type="dxa"/>
            <w:tcBorders>
              <w:top w:val="single" w:sz="12" w:space="0" w:color="auto"/>
              <w:left w:val="single" w:sz="12" w:space="0" w:color="auto"/>
              <w:bottom w:val="single" w:sz="12" w:space="0" w:color="auto"/>
              <w:right w:val="single" w:sz="12" w:space="0" w:color="auto"/>
            </w:tcBorders>
          </w:tcPr>
          <w:p w:rsidR="06AD5A6D" w:rsidRPr="000C0B5F" w:rsidP="06AD5A6D" w14:paraId="002C1C47" w14:textId="0CC86980">
            <w:pPr>
              <w:jc w:val="center"/>
              <w:rPr>
                <w:rFonts w:eastAsiaTheme="minorEastAsia" w:cstheme="minorBidi"/>
                <w:b/>
                <w:bCs/>
                <w:sz w:val="20"/>
                <w:szCs w:val="20"/>
              </w:rPr>
            </w:pPr>
            <w:r w:rsidRPr="000C0B5F">
              <w:rPr>
                <w:rFonts w:eastAsiaTheme="minorEastAsia" w:cstheme="minorBidi"/>
                <w:b/>
                <w:bCs/>
                <w:sz w:val="20"/>
                <w:szCs w:val="20"/>
              </w:rPr>
              <w:t>20</w:t>
            </w:r>
          </w:p>
        </w:tc>
        <w:tc>
          <w:tcPr>
            <w:tcW w:w="1005" w:type="dxa"/>
            <w:tcBorders>
              <w:top w:val="single" w:sz="12" w:space="0" w:color="auto"/>
              <w:left w:val="single" w:sz="12" w:space="0" w:color="auto"/>
              <w:bottom w:val="single" w:sz="12" w:space="0" w:color="auto"/>
              <w:right w:val="single" w:sz="12" w:space="0" w:color="auto"/>
            </w:tcBorders>
          </w:tcPr>
          <w:p w:rsidR="06AD5A6D" w:rsidRPr="000C0B5F" w:rsidP="06AD5A6D" w14:paraId="6704E6DD" w14:textId="1D89870C">
            <w:pPr>
              <w:jc w:val="center"/>
              <w:rPr>
                <w:rFonts w:eastAsiaTheme="minorEastAsia" w:cstheme="minorBidi"/>
                <w:b/>
                <w:bCs/>
                <w:sz w:val="20"/>
                <w:szCs w:val="20"/>
              </w:rPr>
            </w:pPr>
            <w:r w:rsidRPr="000C0B5F">
              <w:rPr>
                <w:rFonts w:eastAsiaTheme="minorEastAsia" w:cstheme="minorBidi"/>
                <w:b/>
                <w:bCs/>
                <w:sz w:val="20"/>
                <w:szCs w:val="20"/>
              </w:rPr>
              <w:t>200</w:t>
            </w:r>
          </w:p>
        </w:tc>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5D5EAADE" w14:textId="1A8C1F01">
            <w:pPr>
              <w:jc w:val="center"/>
              <w:rPr>
                <w:rFonts w:eastAsiaTheme="minorEastAsia" w:cstheme="minorBidi"/>
                <w:b/>
                <w:bCs/>
                <w:sz w:val="20"/>
                <w:szCs w:val="20"/>
              </w:rPr>
            </w:pPr>
            <w:r w:rsidRPr="000C0B5F">
              <w:rPr>
                <w:rFonts w:eastAsiaTheme="minorEastAsia" w:cstheme="minorBidi"/>
                <w:b/>
                <w:bCs/>
                <w:sz w:val="20"/>
                <w:szCs w:val="20"/>
              </w:rPr>
              <w:t>10</w:t>
            </w:r>
          </w:p>
        </w:tc>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40147AC6" w14:textId="5EAF2CDC">
            <w:pPr>
              <w:jc w:val="center"/>
              <w:rPr>
                <w:rFonts w:eastAsiaTheme="minorEastAsia" w:cstheme="minorBidi"/>
                <w:b/>
                <w:bCs/>
                <w:sz w:val="20"/>
                <w:szCs w:val="20"/>
              </w:rPr>
            </w:pPr>
            <w:r w:rsidRPr="000C0B5F">
              <w:rPr>
                <w:rFonts w:eastAsiaTheme="minorEastAsia" w:cstheme="minorBidi"/>
                <w:b/>
                <w:bCs/>
                <w:sz w:val="20"/>
                <w:szCs w:val="20"/>
              </w:rPr>
              <w:t>230</w:t>
            </w:r>
          </w:p>
        </w:tc>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27A0BFAE" w14:textId="6C7BBBD2">
            <w:pPr>
              <w:jc w:val="center"/>
              <w:rPr>
                <w:rFonts w:eastAsiaTheme="minorEastAsia" w:cstheme="minorBidi"/>
                <w:b/>
                <w:bCs/>
                <w:sz w:val="20"/>
                <w:szCs w:val="20"/>
              </w:rPr>
            </w:pPr>
            <w:r w:rsidRPr="000C0B5F">
              <w:rPr>
                <w:rFonts w:eastAsiaTheme="minorEastAsia" w:cstheme="minorBidi"/>
                <w:b/>
                <w:bCs/>
                <w:sz w:val="20"/>
                <w:szCs w:val="20"/>
              </w:rPr>
              <w:t>3220</w:t>
            </w:r>
          </w:p>
        </w:tc>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1D524522" w14:textId="0E3BC9DA">
            <w:pPr>
              <w:jc w:val="center"/>
              <w:rPr>
                <w:rFonts w:eastAsiaTheme="minorEastAsia" w:cstheme="minorBidi"/>
                <w:b/>
                <w:bCs/>
                <w:sz w:val="20"/>
                <w:szCs w:val="20"/>
              </w:rPr>
            </w:pPr>
            <w:r w:rsidRPr="000C0B5F">
              <w:rPr>
                <w:rFonts w:eastAsiaTheme="minorEastAsia" w:cstheme="minorBidi"/>
                <w:b/>
                <w:bCs/>
                <w:sz w:val="20"/>
                <w:szCs w:val="20"/>
              </w:rPr>
              <w:t>$21,250</w:t>
            </w:r>
          </w:p>
        </w:tc>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262FD5D3" w14:textId="125996B9">
            <w:pPr>
              <w:jc w:val="center"/>
              <w:rPr>
                <w:rFonts w:eastAsiaTheme="minorEastAsia" w:cstheme="minorBidi"/>
                <w:b/>
                <w:bCs/>
                <w:sz w:val="20"/>
                <w:szCs w:val="20"/>
              </w:rPr>
            </w:pPr>
            <w:r w:rsidRPr="000C0B5F">
              <w:rPr>
                <w:rFonts w:eastAsiaTheme="minorEastAsia" w:cstheme="minorBidi"/>
                <w:b/>
                <w:bCs/>
                <w:sz w:val="20"/>
                <w:szCs w:val="20"/>
              </w:rPr>
              <w:t>$297,500</w:t>
            </w:r>
          </w:p>
        </w:tc>
      </w:tr>
    </w:tbl>
    <w:p w:rsidR="00641D4C" w:rsidRPr="000C0B5F" w:rsidP="00454889" w14:paraId="75B1E20F" w14:textId="77777777">
      <w:pPr>
        <w:rPr>
          <w:b/>
          <w:bCs/>
        </w:rPr>
      </w:pPr>
    </w:p>
    <w:p w:rsidR="00003CF7" w:rsidRPr="000C0B5F" w:rsidP="00454889" w14:paraId="46C892D2" w14:textId="77777777">
      <w:pPr>
        <w:rPr>
          <w:b/>
          <w:bCs/>
        </w:rPr>
        <w:sectPr w:rsidSect="00621249">
          <w:pgSz w:w="12240" w:h="15840"/>
          <w:pgMar w:top="1440" w:right="1440" w:bottom="1440" w:left="1440" w:header="720" w:footer="720" w:gutter="0"/>
          <w:cols w:space="720"/>
          <w:docGrid w:linePitch="360"/>
        </w:sectPr>
      </w:pPr>
    </w:p>
    <w:p w:rsidR="00E31784" w:rsidRPr="000C0B5F" w:rsidP="00454889" w14:paraId="359111EE" w14:textId="1E6722E1">
      <w:pPr>
        <w:rPr>
          <w:b/>
          <w:bCs/>
        </w:rPr>
      </w:pPr>
      <w:r w:rsidRPr="000C0B5F">
        <w:rPr>
          <w:b/>
          <w:bCs/>
        </w:rPr>
        <w:t>Subpart K: Elemental Phosphorus Plants</w:t>
      </w:r>
    </w:p>
    <w:p w:rsidR="00E31784" w:rsidRPr="000C0B5F" w:rsidP="006B41DF" w14:paraId="1969A6BD" w14:textId="77777777">
      <w:pPr>
        <w:spacing w:line="276" w:lineRule="auto"/>
      </w:pPr>
      <w:r w:rsidRPr="000C0B5F">
        <w:t xml:space="preserve"> To meet reporting requirements for subpart K, respondents are expected to:</w:t>
      </w:r>
    </w:p>
    <w:p w:rsidR="00E31784" w:rsidRPr="000C0B5F" w:rsidP="006B41DF" w14:paraId="052E5AE2" w14:textId="77777777">
      <w:pPr>
        <w:pStyle w:val="ListParagraph"/>
        <w:numPr>
          <w:ilvl w:val="0"/>
          <w:numId w:val="31"/>
        </w:numPr>
        <w:spacing w:line="276" w:lineRule="auto"/>
      </w:pPr>
      <w:r w:rsidRPr="000C0B5F">
        <w:t>read and understand the regulatory provision,</w:t>
      </w:r>
    </w:p>
    <w:p w:rsidR="00E31784" w:rsidRPr="000C0B5F" w:rsidP="006B41DF" w14:paraId="5E6148BF" w14:textId="77777777">
      <w:pPr>
        <w:pStyle w:val="ListParagraph"/>
        <w:numPr>
          <w:ilvl w:val="0"/>
          <w:numId w:val="31"/>
        </w:numPr>
        <w:spacing w:line="276" w:lineRule="auto"/>
      </w:pPr>
      <w:r w:rsidRPr="000C0B5F">
        <w:t>perform the emission monitoring and test procedures in Section 61.125,</w:t>
      </w:r>
    </w:p>
    <w:p w:rsidR="00E31784" w:rsidRPr="000C0B5F" w:rsidP="006B41DF" w14:paraId="5530AD83" w14:textId="77777777">
      <w:pPr>
        <w:pStyle w:val="ListParagraph"/>
        <w:numPr>
          <w:ilvl w:val="0"/>
          <w:numId w:val="31"/>
        </w:numPr>
        <w:spacing w:line="276" w:lineRule="auto"/>
      </w:pPr>
      <w:r w:rsidRPr="000C0B5F">
        <w:t xml:space="preserve">perform data analysis, including calculation of annual emission rate, </w:t>
      </w:r>
    </w:p>
    <w:p w:rsidR="00E31784" w:rsidRPr="000C0B5F" w:rsidP="006B41DF" w14:paraId="477D6A88" w14:textId="77777777">
      <w:pPr>
        <w:pStyle w:val="ListParagraph"/>
        <w:numPr>
          <w:ilvl w:val="0"/>
          <w:numId w:val="31"/>
        </w:numPr>
        <w:spacing w:line="276" w:lineRule="auto"/>
      </w:pPr>
      <w:r w:rsidRPr="000C0B5F">
        <w:t>prepare and submit the report to EPA.</w:t>
      </w:r>
    </w:p>
    <w:p w:rsidR="00E31784" w:rsidRPr="000C0B5F" w:rsidP="006B41DF" w14:paraId="316CCB7C" w14:textId="7E2FD4A3">
      <w:pPr>
        <w:spacing w:line="276" w:lineRule="auto"/>
      </w:pPr>
      <w:r w:rsidRPr="000C0B5F">
        <w:t xml:space="preserve">The only operating subpart K facility sought and obtained a waiver from EPA for testing and reporting and is therefore exempt from reporting requirements. Twenty hours of burden per year are assumed for the facility to remain cognizant of the regulatory requirements and conditions of the waiver. This burden and the associated costs are reflected in Table </w:t>
      </w:r>
      <w:r w:rsidRPr="000C0B5F" w:rsidR="00027C0A">
        <w:t>5</w:t>
      </w:r>
      <w:r w:rsidRPr="000C0B5F" w:rsidR="00340DFE">
        <w:t>.</w:t>
      </w:r>
    </w:p>
    <w:p w:rsidR="00E31784" w:rsidRPr="000C0B5F" w:rsidP="00454889" w14:paraId="35C712FD" w14:textId="739ACD93">
      <w:pPr>
        <w:rPr>
          <w:b/>
          <w:bCs/>
        </w:rPr>
      </w:pPr>
      <w:r w:rsidRPr="000C0B5F">
        <w:rPr>
          <w:b/>
          <w:bCs/>
        </w:rPr>
        <w:t xml:space="preserve">Table </w:t>
      </w:r>
      <w:r w:rsidRPr="000C0B5F" w:rsidR="00027C0A">
        <w:rPr>
          <w:b/>
          <w:bCs/>
        </w:rPr>
        <w:t>5</w:t>
      </w:r>
      <w:r w:rsidRPr="000C0B5F">
        <w:rPr>
          <w:b/>
          <w:bCs/>
        </w:rPr>
        <w:t>: Burden and Cost for Subpart K Elemental Phosphorus Plants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A0"/>
      </w:tblPr>
      <w:tblGrid>
        <w:gridCol w:w="1260"/>
        <w:gridCol w:w="1305"/>
        <w:gridCol w:w="1230"/>
        <w:gridCol w:w="975"/>
        <w:gridCol w:w="1080"/>
        <w:gridCol w:w="1170"/>
        <w:gridCol w:w="1395"/>
        <w:gridCol w:w="945"/>
      </w:tblGrid>
      <w:tr w14:paraId="124DE303" w14:textId="77777777" w:rsidTr="00AB6141">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A0"/>
        </w:tblPrEx>
        <w:trPr>
          <w:trHeight w:val="360"/>
        </w:trPr>
        <w:tc>
          <w:tcPr>
            <w:tcW w:w="7020" w:type="dxa"/>
            <w:gridSpan w:val="6"/>
            <w:tcBorders>
              <w:top w:val="single" w:sz="12" w:space="0" w:color="auto"/>
              <w:left w:val="single" w:sz="12" w:space="0" w:color="auto"/>
              <w:bottom w:val="single" w:sz="12" w:space="0" w:color="auto"/>
              <w:right w:val="single" w:sz="12" w:space="0" w:color="auto"/>
            </w:tcBorders>
          </w:tcPr>
          <w:p w:rsidR="06AD5A6D" w:rsidRPr="000C0B5F" w:rsidP="06AD5A6D" w14:paraId="5E8F2F58" w14:textId="19C3A293">
            <w:pPr>
              <w:jc w:val="center"/>
              <w:rPr>
                <w:rFonts w:eastAsiaTheme="minorEastAsia" w:cstheme="minorBidi"/>
                <w:b/>
                <w:bCs/>
                <w:sz w:val="20"/>
                <w:szCs w:val="20"/>
              </w:rPr>
            </w:pPr>
            <w:r w:rsidRPr="000C0B5F">
              <w:rPr>
                <w:rFonts w:eastAsiaTheme="minorEastAsia" w:cstheme="minorBidi"/>
                <w:b/>
                <w:bCs/>
                <w:sz w:val="20"/>
                <w:szCs w:val="20"/>
              </w:rPr>
              <w:t>Reporting Burden (hours)</w:t>
            </w:r>
          </w:p>
        </w:tc>
        <w:tc>
          <w:tcPr>
            <w:tcW w:w="2340" w:type="dxa"/>
            <w:gridSpan w:val="2"/>
            <w:tcBorders>
              <w:top w:val="single" w:sz="12" w:space="0" w:color="auto"/>
              <w:left w:val="single" w:sz="12" w:space="0" w:color="auto"/>
              <w:bottom w:val="single" w:sz="12" w:space="0" w:color="auto"/>
              <w:right w:val="single" w:sz="12" w:space="0" w:color="auto"/>
            </w:tcBorders>
          </w:tcPr>
          <w:p w:rsidR="06AD5A6D" w:rsidRPr="000C0B5F" w:rsidP="06AD5A6D" w14:paraId="10322565" w14:textId="324E63A4">
            <w:pPr>
              <w:jc w:val="center"/>
              <w:rPr>
                <w:rFonts w:eastAsiaTheme="minorEastAsia" w:cstheme="minorBidi"/>
                <w:b/>
                <w:bCs/>
                <w:sz w:val="20"/>
                <w:szCs w:val="20"/>
              </w:rPr>
            </w:pPr>
            <w:r w:rsidRPr="000C0B5F">
              <w:rPr>
                <w:rFonts w:eastAsiaTheme="minorEastAsia" w:cstheme="minorBidi"/>
                <w:b/>
                <w:bCs/>
                <w:sz w:val="20"/>
                <w:szCs w:val="20"/>
              </w:rPr>
              <w:t>Reporting Burden (costs)</w:t>
            </w:r>
          </w:p>
        </w:tc>
      </w:tr>
      <w:tr w14:paraId="7D07D6AE" w14:textId="77777777" w:rsidTr="00AB6141">
        <w:tblPrEx>
          <w:tblW w:w="0" w:type="auto"/>
          <w:tblLayout w:type="fixed"/>
          <w:tblLook w:val="06A0"/>
        </w:tblPrEx>
        <w:trPr>
          <w:trHeight w:val="300"/>
        </w:trPr>
        <w:tc>
          <w:tcPr>
            <w:tcW w:w="1260" w:type="dxa"/>
            <w:tcBorders>
              <w:top w:val="single" w:sz="12" w:space="0" w:color="auto"/>
              <w:left w:val="single" w:sz="12" w:space="0" w:color="auto"/>
              <w:bottom w:val="single" w:sz="12" w:space="0" w:color="auto"/>
              <w:right w:val="single" w:sz="12" w:space="0" w:color="auto"/>
            </w:tcBorders>
          </w:tcPr>
          <w:p w:rsidR="06AD5A6D" w:rsidRPr="000C0B5F" w:rsidP="06AD5A6D" w14:paraId="7611ABBC" w14:textId="46E378C4">
            <w:pPr>
              <w:rPr>
                <w:rFonts w:eastAsiaTheme="minorEastAsia" w:cstheme="minorBidi"/>
                <w:b/>
                <w:bCs/>
                <w:sz w:val="20"/>
                <w:szCs w:val="20"/>
              </w:rPr>
            </w:pPr>
            <w:r w:rsidRPr="000C0B5F">
              <w:rPr>
                <w:rFonts w:eastAsiaTheme="minorEastAsia" w:cstheme="minorBidi"/>
                <w:b/>
                <w:bCs/>
                <w:sz w:val="20"/>
                <w:szCs w:val="20"/>
              </w:rPr>
              <w:t>Reporting Burden Task</w:t>
            </w:r>
          </w:p>
        </w:tc>
        <w:tc>
          <w:tcPr>
            <w:tcW w:w="1305" w:type="dxa"/>
            <w:tcBorders>
              <w:top w:val="single" w:sz="12" w:space="0" w:color="auto"/>
              <w:left w:val="single" w:sz="12" w:space="0" w:color="auto"/>
              <w:bottom w:val="single" w:sz="12" w:space="0" w:color="auto"/>
              <w:right w:val="single" w:sz="12" w:space="0" w:color="auto"/>
            </w:tcBorders>
          </w:tcPr>
          <w:p w:rsidR="06AD5A6D" w:rsidRPr="000C0B5F" w:rsidP="06AD5A6D" w14:paraId="68941D22" w14:textId="7632CE11">
            <w:pPr>
              <w:rPr>
                <w:rFonts w:eastAsiaTheme="minorEastAsia" w:cstheme="minorBidi"/>
                <w:b/>
                <w:bCs/>
                <w:sz w:val="20"/>
                <w:szCs w:val="20"/>
              </w:rPr>
            </w:pPr>
            <w:r w:rsidRPr="000C0B5F">
              <w:rPr>
                <w:rFonts w:eastAsiaTheme="minorEastAsia" w:cstheme="minorBidi"/>
                <w:b/>
                <w:bCs/>
                <w:sz w:val="20"/>
                <w:szCs w:val="20"/>
              </w:rPr>
              <w:t>Burden Manager Level</w:t>
            </w:r>
            <w:r w:rsidRPr="000C0B5F">
              <w:rPr>
                <w:rFonts w:eastAsiaTheme="minorEastAsia" w:cstheme="minorBidi"/>
                <w:b/>
                <w:bCs/>
                <w:sz w:val="20"/>
                <w:szCs w:val="20"/>
              </w:rPr>
              <w:t xml:space="preserve"> (hr/year)</w:t>
            </w:r>
          </w:p>
        </w:tc>
        <w:tc>
          <w:tcPr>
            <w:tcW w:w="1230" w:type="dxa"/>
            <w:tcBorders>
              <w:top w:val="single" w:sz="12" w:space="0" w:color="auto"/>
              <w:left w:val="single" w:sz="12" w:space="0" w:color="auto"/>
              <w:bottom w:val="single" w:sz="12" w:space="0" w:color="auto"/>
              <w:right w:val="single" w:sz="12" w:space="0" w:color="auto"/>
            </w:tcBorders>
          </w:tcPr>
          <w:p w:rsidR="06AD5A6D" w:rsidRPr="000C0B5F" w:rsidP="06AD5A6D" w14:paraId="65BE523B" w14:textId="3595265D">
            <w:pPr>
              <w:rPr>
                <w:rFonts w:eastAsiaTheme="minorEastAsia" w:cstheme="minorBidi"/>
                <w:b/>
                <w:bCs/>
                <w:sz w:val="20"/>
                <w:szCs w:val="20"/>
              </w:rPr>
            </w:pPr>
            <w:r w:rsidRPr="000C0B5F">
              <w:rPr>
                <w:rFonts w:eastAsiaTheme="minorEastAsia" w:cstheme="minorBidi"/>
                <w:b/>
                <w:bCs/>
                <w:sz w:val="20"/>
                <w:szCs w:val="20"/>
              </w:rPr>
              <w:t>Burden Technical Level (hr/year)</w:t>
            </w:r>
          </w:p>
        </w:tc>
        <w:tc>
          <w:tcPr>
            <w:tcW w:w="975" w:type="dxa"/>
            <w:tcBorders>
              <w:top w:val="single" w:sz="12" w:space="0" w:color="auto"/>
              <w:left w:val="single" w:sz="12" w:space="0" w:color="auto"/>
              <w:bottom w:val="single" w:sz="12" w:space="0" w:color="auto"/>
              <w:right w:val="single" w:sz="12" w:space="0" w:color="auto"/>
            </w:tcBorders>
          </w:tcPr>
          <w:p w:rsidR="06AD5A6D" w:rsidRPr="000C0B5F" w:rsidP="06AD5A6D" w14:paraId="3D7E5125" w14:textId="37F29886">
            <w:pPr>
              <w:rPr>
                <w:rFonts w:eastAsiaTheme="minorEastAsia" w:cstheme="minorBidi"/>
                <w:b/>
                <w:bCs/>
                <w:sz w:val="20"/>
                <w:szCs w:val="20"/>
              </w:rPr>
            </w:pPr>
            <w:r w:rsidRPr="000C0B5F">
              <w:rPr>
                <w:rFonts w:eastAsiaTheme="minorEastAsia" w:cstheme="minorBidi"/>
                <w:b/>
                <w:bCs/>
                <w:sz w:val="20"/>
                <w:szCs w:val="20"/>
              </w:rPr>
              <w:t>Burden Clerical Level (hr/year)</w:t>
            </w:r>
          </w:p>
        </w:tc>
        <w:tc>
          <w:tcPr>
            <w:tcW w:w="1080" w:type="dxa"/>
            <w:tcBorders>
              <w:top w:val="single" w:sz="12" w:space="0" w:color="auto"/>
              <w:left w:val="single" w:sz="12" w:space="0" w:color="auto"/>
              <w:bottom w:val="single" w:sz="12" w:space="0" w:color="auto"/>
              <w:right w:val="single" w:sz="12" w:space="0" w:color="auto"/>
            </w:tcBorders>
          </w:tcPr>
          <w:p w:rsidR="06AD5A6D" w:rsidRPr="000C0B5F" w:rsidP="06AD5A6D" w14:paraId="72A43401" w14:textId="72B77FC3">
            <w:pPr>
              <w:rPr>
                <w:rFonts w:eastAsiaTheme="minorEastAsia" w:cstheme="minorBidi"/>
                <w:b/>
                <w:bCs/>
                <w:sz w:val="20"/>
                <w:szCs w:val="20"/>
              </w:rPr>
            </w:pPr>
            <w:r w:rsidRPr="000C0B5F">
              <w:rPr>
                <w:rFonts w:eastAsiaTheme="minorEastAsia" w:cstheme="minorBidi"/>
                <w:b/>
                <w:bCs/>
                <w:sz w:val="20"/>
                <w:szCs w:val="20"/>
              </w:rPr>
              <w:t>Task Burden per Facility (hr/year)</w:t>
            </w:r>
          </w:p>
        </w:tc>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66E47747" w14:textId="7B12156F">
            <w:pPr>
              <w:rPr>
                <w:rFonts w:eastAsiaTheme="minorEastAsia" w:cstheme="minorBidi"/>
                <w:b/>
                <w:bCs/>
                <w:sz w:val="20"/>
                <w:szCs w:val="20"/>
              </w:rPr>
            </w:pPr>
            <w:r w:rsidRPr="000C0B5F">
              <w:rPr>
                <w:rFonts w:eastAsiaTheme="minorEastAsia" w:cstheme="minorBidi"/>
                <w:b/>
                <w:bCs/>
                <w:sz w:val="20"/>
                <w:szCs w:val="20"/>
              </w:rPr>
              <w:t>Task Burden for all Facilities (hr/year)</w:t>
            </w:r>
          </w:p>
        </w:tc>
        <w:tc>
          <w:tcPr>
            <w:tcW w:w="1395" w:type="dxa"/>
            <w:tcBorders>
              <w:top w:val="single" w:sz="12" w:space="0" w:color="auto"/>
              <w:left w:val="single" w:sz="12" w:space="0" w:color="auto"/>
              <w:bottom w:val="single" w:sz="12" w:space="0" w:color="auto"/>
              <w:right w:val="single" w:sz="12" w:space="0" w:color="auto"/>
            </w:tcBorders>
          </w:tcPr>
          <w:p w:rsidR="06AD5A6D" w:rsidRPr="000C0B5F" w:rsidP="06AD5A6D" w14:paraId="5DF5FB1D" w14:textId="363B9A76">
            <w:pPr>
              <w:rPr>
                <w:rFonts w:eastAsiaTheme="minorEastAsia" w:cstheme="minorBidi"/>
                <w:b/>
                <w:bCs/>
                <w:sz w:val="20"/>
                <w:szCs w:val="20"/>
              </w:rPr>
            </w:pPr>
            <w:r w:rsidRPr="000C0B5F">
              <w:rPr>
                <w:rFonts w:eastAsiaTheme="minorEastAsia" w:cstheme="minorBidi"/>
                <w:b/>
                <w:bCs/>
                <w:sz w:val="20"/>
                <w:szCs w:val="20"/>
              </w:rPr>
              <w:t>Facility Labor ($/yr)</w:t>
            </w:r>
          </w:p>
        </w:tc>
        <w:tc>
          <w:tcPr>
            <w:tcW w:w="945" w:type="dxa"/>
            <w:tcBorders>
              <w:top w:val="single" w:sz="12" w:space="0" w:color="auto"/>
              <w:left w:val="single" w:sz="12" w:space="0" w:color="auto"/>
              <w:bottom w:val="single" w:sz="12" w:space="0" w:color="auto"/>
              <w:right w:val="single" w:sz="12" w:space="0" w:color="auto"/>
            </w:tcBorders>
          </w:tcPr>
          <w:p w:rsidR="06AD5A6D" w:rsidRPr="000C0B5F" w:rsidP="06AD5A6D" w14:paraId="06BF05F9" w14:textId="496053A6">
            <w:pPr>
              <w:rPr>
                <w:rFonts w:eastAsiaTheme="minorEastAsia" w:cstheme="minorBidi"/>
                <w:b/>
                <w:bCs/>
                <w:sz w:val="20"/>
                <w:szCs w:val="20"/>
              </w:rPr>
            </w:pPr>
            <w:r w:rsidRPr="000C0B5F">
              <w:rPr>
                <w:rFonts w:eastAsiaTheme="minorEastAsia" w:cstheme="minorBidi"/>
                <w:b/>
                <w:bCs/>
                <w:sz w:val="20"/>
                <w:szCs w:val="20"/>
              </w:rPr>
              <w:t>All Facilities Total Labor ($/yr)</w:t>
            </w:r>
          </w:p>
        </w:tc>
      </w:tr>
      <w:tr w14:paraId="77E0B188" w14:textId="77777777" w:rsidTr="00AB6141">
        <w:tblPrEx>
          <w:tblW w:w="0" w:type="auto"/>
          <w:tblLayout w:type="fixed"/>
          <w:tblLook w:val="06A0"/>
        </w:tblPrEx>
        <w:trPr>
          <w:trHeight w:val="300"/>
        </w:trPr>
        <w:tc>
          <w:tcPr>
            <w:tcW w:w="1260" w:type="dxa"/>
            <w:tcBorders>
              <w:top w:val="single" w:sz="12" w:space="0" w:color="auto"/>
              <w:left w:val="single" w:sz="12" w:space="0" w:color="auto"/>
              <w:bottom w:val="single" w:sz="4" w:space="0" w:color="auto"/>
              <w:right w:val="single" w:sz="12" w:space="0" w:color="auto"/>
            </w:tcBorders>
          </w:tcPr>
          <w:p w:rsidR="06AD5A6D" w:rsidRPr="000C0B5F" w:rsidP="06AD5A6D" w14:paraId="054BD52F" w14:textId="4DE4AD77">
            <w:pPr>
              <w:rPr>
                <w:rFonts w:eastAsiaTheme="minorEastAsia" w:cstheme="minorBidi"/>
                <w:sz w:val="20"/>
                <w:szCs w:val="20"/>
              </w:rPr>
            </w:pPr>
            <w:r w:rsidRPr="000C0B5F">
              <w:rPr>
                <w:rFonts w:eastAsiaTheme="minorEastAsia" w:cstheme="minorBidi"/>
                <w:sz w:val="20"/>
                <w:szCs w:val="20"/>
              </w:rPr>
              <w:t>Read and understand the regulatory provision</w:t>
            </w:r>
          </w:p>
        </w:tc>
        <w:tc>
          <w:tcPr>
            <w:tcW w:w="1305" w:type="dxa"/>
            <w:tcBorders>
              <w:top w:val="single" w:sz="12" w:space="0" w:color="auto"/>
              <w:left w:val="single" w:sz="12" w:space="0" w:color="auto"/>
              <w:bottom w:val="single" w:sz="4" w:space="0" w:color="auto"/>
              <w:right w:val="single" w:sz="4" w:space="0" w:color="auto"/>
            </w:tcBorders>
          </w:tcPr>
          <w:p w:rsidR="06AD5A6D" w:rsidRPr="000C0B5F" w:rsidP="06AD5A6D" w14:paraId="0D94A131" w14:textId="27936968">
            <w:pPr>
              <w:jc w:val="center"/>
              <w:rPr>
                <w:rFonts w:eastAsiaTheme="minorEastAsia" w:cstheme="minorBidi"/>
                <w:sz w:val="20"/>
                <w:szCs w:val="20"/>
              </w:rPr>
            </w:pPr>
            <w:r w:rsidRPr="000C0B5F">
              <w:rPr>
                <w:rFonts w:eastAsiaTheme="minorEastAsia" w:cstheme="minorBidi"/>
                <w:sz w:val="20"/>
                <w:szCs w:val="20"/>
              </w:rPr>
              <w:t>10</w:t>
            </w:r>
          </w:p>
        </w:tc>
        <w:tc>
          <w:tcPr>
            <w:tcW w:w="1230" w:type="dxa"/>
            <w:tcBorders>
              <w:top w:val="single" w:sz="12" w:space="0" w:color="auto"/>
              <w:left w:val="single" w:sz="4" w:space="0" w:color="auto"/>
              <w:bottom w:val="single" w:sz="4" w:space="0" w:color="auto"/>
              <w:right w:val="single" w:sz="4" w:space="0" w:color="auto"/>
            </w:tcBorders>
          </w:tcPr>
          <w:p w:rsidR="06AD5A6D" w:rsidRPr="000C0B5F" w:rsidP="06AD5A6D" w14:paraId="58F45819" w14:textId="0A02F9B6">
            <w:pPr>
              <w:jc w:val="center"/>
              <w:rPr>
                <w:rFonts w:eastAsiaTheme="minorEastAsia" w:cstheme="minorBidi"/>
                <w:sz w:val="20"/>
                <w:szCs w:val="20"/>
              </w:rPr>
            </w:pPr>
            <w:r w:rsidRPr="000C0B5F">
              <w:rPr>
                <w:rFonts w:eastAsiaTheme="minorEastAsia" w:cstheme="minorBidi"/>
                <w:sz w:val="20"/>
                <w:szCs w:val="20"/>
              </w:rPr>
              <w:t>0</w:t>
            </w:r>
          </w:p>
        </w:tc>
        <w:tc>
          <w:tcPr>
            <w:tcW w:w="975" w:type="dxa"/>
            <w:tcBorders>
              <w:top w:val="single" w:sz="12" w:space="0" w:color="auto"/>
              <w:left w:val="single" w:sz="4" w:space="0" w:color="auto"/>
              <w:bottom w:val="single" w:sz="4" w:space="0" w:color="auto"/>
              <w:right w:val="single" w:sz="4" w:space="0" w:color="auto"/>
            </w:tcBorders>
          </w:tcPr>
          <w:p w:rsidR="06AD5A6D" w:rsidRPr="000C0B5F" w:rsidP="06AD5A6D" w14:paraId="6B1E10DB" w14:textId="7375BAAE">
            <w:pPr>
              <w:jc w:val="center"/>
              <w:rPr>
                <w:rFonts w:eastAsiaTheme="minorEastAsia" w:cstheme="minorBidi"/>
                <w:sz w:val="20"/>
                <w:szCs w:val="20"/>
              </w:rPr>
            </w:pPr>
            <w:r w:rsidRPr="000C0B5F">
              <w:rPr>
                <w:rFonts w:eastAsiaTheme="minorEastAsia" w:cstheme="minorBidi"/>
                <w:sz w:val="20"/>
                <w:szCs w:val="20"/>
              </w:rPr>
              <w:t>0</w:t>
            </w:r>
          </w:p>
        </w:tc>
        <w:tc>
          <w:tcPr>
            <w:tcW w:w="1080" w:type="dxa"/>
            <w:tcBorders>
              <w:top w:val="single" w:sz="12" w:space="0" w:color="auto"/>
              <w:left w:val="single" w:sz="4" w:space="0" w:color="auto"/>
              <w:bottom w:val="single" w:sz="4" w:space="0" w:color="auto"/>
              <w:right w:val="single" w:sz="4" w:space="0" w:color="auto"/>
            </w:tcBorders>
          </w:tcPr>
          <w:p w:rsidR="06AD5A6D" w:rsidRPr="000C0B5F" w:rsidP="06AD5A6D" w14:paraId="1E304D8A" w14:textId="34718A8E">
            <w:pPr>
              <w:jc w:val="center"/>
              <w:rPr>
                <w:rFonts w:eastAsiaTheme="minorEastAsia" w:cstheme="minorBidi"/>
                <w:sz w:val="20"/>
                <w:szCs w:val="20"/>
              </w:rPr>
            </w:pPr>
            <w:r w:rsidRPr="000C0B5F">
              <w:rPr>
                <w:rFonts w:eastAsiaTheme="minorEastAsia" w:cstheme="minorBidi"/>
                <w:sz w:val="20"/>
                <w:szCs w:val="20"/>
              </w:rPr>
              <w:t>10</w:t>
            </w:r>
          </w:p>
        </w:tc>
        <w:tc>
          <w:tcPr>
            <w:tcW w:w="1170" w:type="dxa"/>
            <w:tcBorders>
              <w:top w:val="single" w:sz="12" w:space="0" w:color="auto"/>
              <w:left w:val="single" w:sz="4" w:space="0" w:color="auto"/>
              <w:bottom w:val="single" w:sz="4" w:space="0" w:color="auto"/>
              <w:right w:val="single" w:sz="12" w:space="0" w:color="auto"/>
            </w:tcBorders>
          </w:tcPr>
          <w:p w:rsidR="06AD5A6D" w:rsidRPr="000C0B5F" w:rsidP="06AD5A6D" w14:paraId="018C70E4" w14:textId="4EB6FAF7">
            <w:pPr>
              <w:jc w:val="center"/>
              <w:rPr>
                <w:rFonts w:eastAsiaTheme="minorEastAsia" w:cstheme="minorBidi"/>
                <w:sz w:val="20"/>
                <w:szCs w:val="20"/>
              </w:rPr>
            </w:pPr>
            <w:r w:rsidRPr="000C0B5F">
              <w:rPr>
                <w:rFonts w:eastAsiaTheme="minorEastAsia" w:cstheme="minorBidi"/>
                <w:sz w:val="20"/>
                <w:szCs w:val="20"/>
              </w:rPr>
              <w:t>10</w:t>
            </w:r>
          </w:p>
        </w:tc>
        <w:tc>
          <w:tcPr>
            <w:tcW w:w="1395" w:type="dxa"/>
            <w:tcBorders>
              <w:top w:val="single" w:sz="12" w:space="0" w:color="auto"/>
              <w:left w:val="single" w:sz="12" w:space="0" w:color="auto"/>
              <w:bottom w:val="single" w:sz="4" w:space="0" w:color="auto"/>
              <w:right w:val="single" w:sz="4" w:space="0" w:color="auto"/>
            </w:tcBorders>
          </w:tcPr>
          <w:p w:rsidR="06AD5A6D" w:rsidRPr="000C0B5F" w:rsidP="06AD5A6D" w14:paraId="5F75B4A1" w14:textId="72CAF488">
            <w:pPr>
              <w:jc w:val="center"/>
              <w:rPr>
                <w:rFonts w:eastAsiaTheme="minorEastAsia" w:cstheme="minorBidi"/>
                <w:sz w:val="20"/>
                <w:szCs w:val="20"/>
              </w:rPr>
            </w:pPr>
            <w:r w:rsidRPr="000C0B5F">
              <w:rPr>
                <w:rFonts w:eastAsiaTheme="minorEastAsia" w:cstheme="minorBidi"/>
                <w:sz w:val="20"/>
                <w:szCs w:val="20"/>
              </w:rPr>
              <w:t>$1,335</w:t>
            </w:r>
          </w:p>
        </w:tc>
        <w:tc>
          <w:tcPr>
            <w:tcW w:w="945" w:type="dxa"/>
            <w:tcBorders>
              <w:top w:val="single" w:sz="12" w:space="0" w:color="auto"/>
              <w:left w:val="single" w:sz="4" w:space="0" w:color="auto"/>
              <w:bottom w:val="single" w:sz="4" w:space="0" w:color="auto"/>
              <w:right w:val="single" w:sz="12" w:space="0" w:color="auto"/>
            </w:tcBorders>
          </w:tcPr>
          <w:p w:rsidR="06AD5A6D" w:rsidRPr="000C0B5F" w:rsidP="06AD5A6D" w14:paraId="0AE848D5" w14:textId="40575DDA">
            <w:pPr>
              <w:jc w:val="center"/>
              <w:rPr>
                <w:rFonts w:eastAsiaTheme="minorEastAsia" w:cstheme="minorBidi"/>
                <w:sz w:val="20"/>
                <w:szCs w:val="20"/>
              </w:rPr>
            </w:pPr>
            <w:r w:rsidRPr="000C0B5F">
              <w:rPr>
                <w:rFonts w:eastAsiaTheme="minorEastAsia" w:cstheme="minorBidi"/>
                <w:sz w:val="20"/>
                <w:szCs w:val="20"/>
              </w:rPr>
              <w:t>$1,335</w:t>
            </w:r>
          </w:p>
        </w:tc>
      </w:tr>
      <w:tr w14:paraId="0815B9DC" w14:textId="77777777" w:rsidTr="00AB6141">
        <w:tblPrEx>
          <w:tblW w:w="0" w:type="auto"/>
          <w:tblLayout w:type="fixed"/>
          <w:tblLook w:val="06A0"/>
        </w:tblPrEx>
        <w:trPr>
          <w:trHeight w:val="300"/>
        </w:trPr>
        <w:tc>
          <w:tcPr>
            <w:tcW w:w="1260" w:type="dxa"/>
            <w:tcBorders>
              <w:top w:val="single" w:sz="4" w:space="0" w:color="auto"/>
              <w:left w:val="single" w:sz="12" w:space="0" w:color="auto"/>
              <w:bottom w:val="single" w:sz="4" w:space="0" w:color="auto"/>
              <w:right w:val="single" w:sz="12" w:space="0" w:color="auto"/>
            </w:tcBorders>
          </w:tcPr>
          <w:p w:rsidR="06AD5A6D" w:rsidRPr="000C0B5F" w:rsidP="06AD5A6D" w14:paraId="115A1518" w14:textId="6E7A1FCF">
            <w:pPr>
              <w:rPr>
                <w:rFonts w:eastAsiaTheme="minorEastAsia" w:cstheme="minorBidi"/>
                <w:sz w:val="20"/>
                <w:szCs w:val="20"/>
              </w:rPr>
            </w:pPr>
            <w:r w:rsidRPr="000C0B5F">
              <w:rPr>
                <w:rFonts w:eastAsiaTheme="minorEastAsia" w:cstheme="minorBidi"/>
                <w:sz w:val="20"/>
                <w:szCs w:val="20"/>
              </w:rPr>
              <w:t>Perform emission monitoring</w:t>
            </w:r>
          </w:p>
        </w:tc>
        <w:tc>
          <w:tcPr>
            <w:tcW w:w="1305" w:type="dxa"/>
            <w:tcBorders>
              <w:top w:val="single" w:sz="4" w:space="0" w:color="auto"/>
              <w:left w:val="single" w:sz="12" w:space="0" w:color="auto"/>
              <w:bottom w:val="single" w:sz="4" w:space="0" w:color="auto"/>
              <w:right w:val="single" w:sz="4" w:space="0" w:color="auto"/>
            </w:tcBorders>
          </w:tcPr>
          <w:p w:rsidR="06AD5A6D" w:rsidRPr="000C0B5F" w:rsidP="06AD5A6D" w14:paraId="65B8257B" w14:textId="2D2E025A">
            <w:pPr>
              <w:jc w:val="center"/>
              <w:rPr>
                <w:rFonts w:eastAsiaTheme="minorEastAsia" w:cstheme="minorBidi"/>
                <w:sz w:val="20"/>
                <w:szCs w:val="20"/>
              </w:rPr>
            </w:pPr>
            <w:r w:rsidRPr="000C0B5F">
              <w:rPr>
                <w:rFonts w:eastAsiaTheme="minorEastAsia" w:cstheme="minorBidi"/>
                <w:sz w:val="20"/>
                <w:szCs w:val="20"/>
              </w:rPr>
              <w:t>0</w:t>
            </w:r>
          </w:p>
        </w:tc>
        <w:tc>
          <w:tcPr>
            <w:tcW w:w="1230" w:type="dxa"/>
            <w:tcBorders>
              <w:top w:val="single" w:sz="4" w:space="0" w:color="auto"/>
              <w:left w:val="single" w:sz="4" w:space="0" w:color="auto"/>
              <w:bottom w:val="single" w:sz="4" w:space="0" w:color="auto"/>
              <w:right w:val="single" w:sz="4" w:space="0" w:color="auto"/>
            </w:tcBorders>
          </w:tcPr>
          <w:p w:rsidR="06AD5A6D" w:rsidRPr="000C0B5F" w:rsidP="06AD5A6D" w14:paraId="7C9BD81B" w14:textId="57D35CC2">
            <w:pPr>
              <w:jc w:val="center"/>
              <w:rPr>
                <w:rFonts w:eastAsiaTheme="minorEastAsia" w:cstheme="minorBidi"/>
                <w:sz w:val="20"/>
                <w:szCs w:val="20"/>
              </w:rPr>
            </w:pPr>
            <w:r w:rsidRPr="000C0B5F">
              <w:rPr>
                <w:rFonts w:eastAsiaTheme="minorEastAsia" w:cstheme="minorBidi"/>
                <w:sz w:val="20"/>
                <w:szCs w:val="20"/>
              </w:rPr>
              <w:t>0</w:t>
            </w:r>
          </w:p>
        </w:tc>
        <w:tc>
          <w:tcPr>
            <w:tcW w:w="975" w:type="dxa"/>
            <w:tcBorders>
              <w:top w:val="single" w:sz="4" w:space="0" w:color="auto"/>
              <w:left w:val="single" w:sz="4" w:space="0" w:color="auto"/>
              <w:bottom w:val="single" w:sz="4" w:space="0" w:color="auto"/>
              <w:right w:val="single" w:sz="4" w:space="0" w:color="auto"/>
            </w:tcBorders>
          </w:tcPr>
          <w:p w:rsidR="06AD5A6D" w:rsidRPr="000C0B5F" w:rsidP="06AD5A6D" w14:paraId="37DAEB8F" w14:textId="0C7C20D1">
            <w:pPr>
              <w:jc w:val="center"/>
              <w:rPr>
                <w:rFonts w:eastAsiaTheme="minorEastAsia" w:cstheme="minorBidi"/>
                <w:sz w:val="20"/>
                <w:szCs w:val="20"/>
              </w:rPr>
            </w:pPr>
            <w:r w:rsidRPr="000C0B5F">
              <w:rPr>
                <w:rFonts w:eastAsiaTheme="minorEastAsia" w:cstheme="minorBidi"/>
                <w:sz w:val="20"/>
                <w:szCs w:val="20"/>
              </w:rPr>
              <w:t>0</w:t>
            </w:r>
          </w:p>
        </w:tc>
        <w:tc>
          <w:tcPr>
            <w:tcW w:w="1080" w:type="dxa"/>
            <w:tcBorders>
              <w:top w:val="single" w:sz="4" w:space="0" w:color="auto"/>
              <w:left w:val="single" w:sz="4" w:space="0" w:color="auto"/>
              <w:bottom w:val="single" w:sz="4" w:space="0" w:color="auto"/>
              <w:right w:val="single" w:sz="4" w:space="0" w:color="auto"/>
            </w:tcBorders>
          </w:tcPr>
          <w:p w:rsidR="06AD5A6D" w:rsidRPr="000C0B5F" w:rsidP="06AD5A6D" w14:paraId="56C49DD3" w14:textId="0DFF79A7">
            <w:pPr>
              <w:jc w:val="center"/>
              <w:rPr>
                <w:rFonts w:eastAsiaTheme="minorEastAsia" w:cstheme="minorBidi"/>
                <w:sz w:val="20"/>
                <w:szCs w:val="20"/>
              </w:rPr>
            </w:pPr>
            <w:r w:rsidRPr="000C0B5F">
              <w:rPr>
                <w:rFonts w:eastAsiaTheme="minorEastAsia" w:cstheme="minorBidi"/>
                <w:sz w:val="20"/>
                <w:szCs w:val="20"/>
              </w:rPr>
              <w:t>0</w:t>
            </w:r>
          </w:p>
        </w:tc>
        <w:tc>
          <w:tcPr>
            <w:tcW w:w="1170" w:type="dxa"/>
            <w:tcBorders>
              <w:top w:val="single" w:sz="4" w:space="0" w:color="auto"/>
              <w:left w:val="single" w:sz="4" w:space="0" w:color="auto"/>
              <w:bottom w:val="single" w:sz="4" w:space="0" w:color="auto"/>
              <w:right w:val="single" w:sz="12" w:space="0" w:color="auto"/>
            </w:tcBorders>
          </w:tcPr>
          <w:p w:rsidR="06AD5A6D" w:rsidRPr="000C0B5F" w:rsidP="06AD5A6D" w14:paraId="747D949B" w14:textId="3019E90C">
            <w:pPr>
              <w:jc w:val="center"/>
              <w:rPr>
                <w:rFonts w:eastAsiaTheme="minorEastAsia" w:cstheme="minorBidi"/>
                <w:sz w:val="20"/>
                <w:szCs w:val="20"/>
              </w:rPr>
            </w:pPr>
            <w:r w:rsidRPr="000C0B5F">
              <w:rPr>
                <w:rFonts w:eastAsiaTheme="minorEastAsia" w:cstheme="minorBidi"/>
                <w:sz w:val="20"/>
                <w:szCs w:val="20"/>
              </w:rPr>
              <w:t>0</w:t>
            </w:r>
          </w:p>
        </w:tc>
        <w:tc>
          <w:tcPr>
            <w:tcW w:w="1395" w:type="dxa"/>
            <w:tcBorders>
              <w:top w:val="single" w:sz="4" w:space="0" w:color="auto"/>
              <w:left w:val="single" w:sz="12" w:space="0" w:color="auto"/>
              <w:bottom w:val="single" w:sz="4" w:space="0" w:color="auto"/>
              <w:right w:val="single" w:sz="4" w:space="0" w:color="auto"/>
            </w:tcBorders>
          </w:tcPr>
          <w:p w:rsidR="06AD5A6D" w:rsidRPr="000C0B5F" w:rsidP="06AD5A6D" w14:paraId="2AAFA2F7" w14:textId="17C83B8B">
            <w:pPr>
              <w:jc w:val="center"/>
              <w:rPr>
                <w:rFonts w:eastAsiaTheme="minorEastAsia" w:cstheme="minorBidi"/>
                <w:sz w:val="20"/>
                <w:szCs w:val="20"/>
              </w:rPr>
            </w:pPr>
            <w:r w:rsidRPr="000C0B5F">
              <w:rPr>
                <w:rFonts w:eastAsiaTheme="minorEastAsia" w:cstheme="minorBidi"/>
                <w:sz w:val="20"/>
                <w:szCs w:val="20"/>
              </w:rPr>
              <w:t>$0</w:t>
            </w:r>
          </w:p>
        </w:tc>
        <w:tc>
          <w:tcPr>
            <w:tcW w:w="945" w:type="dxa"/>
            <w:tcBorders>
              <w:top w:val="single" w:sz="4" w:space="0" w:color="auto"/>
              <w:left w:val="single" w:sz="4" w:space="0" w:color="auto"/>
              <w:bottom w:val="single" w:sz="4" w:space="0" w:color="auto"/>
              <w:right w:val="single" w:sz="12" w:space="0" w:color="auto"/>
            </w:tcBorders>
          </w:tcPr>
          <w:p w:rsidR="06AD5A6D" w:rsidRPr="000C0B5F" w:rsidP="06AD5A6D" w14:paraId="5A03D278" w14:textId="6DE79B52">
            <w:pPr>
              <w:jc w:val="center"/>
              <w:rPr>
                <w:rFonts w:eastAsiaTheme="minorEastAsia" w:cstheme="minorBidi"/>
                <w:sz w:val="20"/>
                <w:szCs w:val="20"/>
              </w:rPr>
            </w:pPr>
            <w:r w:rsidRPr="000C0B5F">
              <w:rPr>
                <w:rFonts w:eastAsiaTheme="minorEastAsia" w:cstheme="minorBidi"/>
                <w:sz w:val="20"/>
                <w:szCs w:val="20"/>
              </w:rPr>
              <w:t>$0</w:t>
            </w:r>
          </w:p>
        </w:tc>
      </w:tr>
      <w:tr w14:paraId="4D0BFC66" w14:textId="77777777" w:rsidTr="00AB6141">
        <w:tblPrEx>
          <w:tblW w:w="0" w:type="auto"/>
          <w:tblLayout w:type="fixed"/>
          <w:tblLook w:val="06A0"/>
        </w:tblPrEx>
        <w:trPr>
          <w:trHeight w:val="300"/>
        </w:trPr>
        <w:tc>
          <w:tcPr>
            <w:tcW w:w="1260" w:type="dxa"/>
            <w:tcBorders>
              <w:top w:val="single" w:sz="4" w:space="0" w:color="auto"/>
              <w:left w:val="single" w:sz="12" w:space="0" w:color="auto"/>
              <w:bottom w:val="single" w:sz="4" w:space="0" w:color="auto"/>
              <w:right w:val="single" w:sz="12" w:space="0" w:color="auto"/>
            </w:tcBorders>
          </w:tcPr>
          <w:p w:rsidR="06AD5A6D" w:rsidRPr="000C0B5F" w:rsidP="06AD5A6D" w14:paraId="12166A8F" w14:textId="7EFF0BF6">
            <w:pPr>
              <w:rPr>
                <w:rFonts w:eastAsiaTheme="minorEastAsia" w:cstheme="minorBidi"/>
                <w:sz w:val="20"/>
                <w:szCs w:val="20"/>
              </w:rPr>
            </w:pPr>
            <w:r w:rsidRPr="000C0B5F">
              <w:rPr>
                <w:rFonts w:eastAsiaTheme="minorEastAsia" w:cstheme="minorBidi"/>
                <w:sz w:val="20"/>
                <w:szCs w:val="20"/>
              </w:rPr>
              <w:t>Perform data analysis</w:t>
            </w:r>
          </w:p>
        </w:tc>
        <w:tc>
          <w:tcPr>
            <w:tcW w:w="1305" w:type="dxa"/>
            <w:tcBorders>
              <w:top w:val="single" w:sz="4" w:space="0" w:color="auto"/>
              <w:left w:val="single" w:sz="12" w:space="0" w:color="auto"/>
              <w:bottom w:val="single" w:sz="4" w:space="0" w:color="auto"/>
              <w:right w:val="single" w:sz="4" w:space="0" w:color="auto"/>
            </w:tcBorders>
          </w:tcPr>
          <w:p w:rsidR="06AD5A6D" w:rsidRPr="000C0B5F" w:rsidP="06AD5A6D" w14:paraId="34D9470A" w14:textId="08D1F8D3">
            <w:pPr>
              <w:jc w:val="center"/>
              <w:rPr>
                <w:rFonts w:eastAsiaTheme="minorEastAsia" w:cstheme="minorBidi"/>
                <w:sz w:val="20"/>
                <w:szCs w:val="20"/>
              </w:rPr>
            </w:pPr>
            <w:r w:rsidRPr="000C0B5F">
              <w:rPr>
                <w:rFonts w:eastAsiaTheme="minorEastAsia" w:cstheme="minorBidi"/>
                <w:sz w:val="20"/>
                <w:szCs w:val="20"/>
              </w:rPr>
              <w:t>0</w:t>
            </w:r>
          </w:p>
        </w:tc>
        <w:tc>
          <w:tcPr>
            <w:tcW w:w="1230" w:type="dxa"/>
            <w:tcBorders>
              <w:top w:val="single" w:sz="4" w:space="0" w:color="auto"/>
              <w:left w:val="single" w:sz="4" w:space="0" w:color="auto"/>
              <w:bottom w:val="single" w:sz="4" w:space="0" w:color="auto"/>
              <w:right w:val="single" w:sz="4" w:space="0" w:color="auto"/>
            </w:tcBorders>
          </w:tcPr>
          <w:p w:rsidR="06AD5A6D" w:rsidRPr="000C0B5F" w:rsidP="06AD5A6D" w14:paraId="253D95F3" w14:textId="63356015">
            <w:pPr>
              <w:jc w:val="center"/>
              <w:rPr>
                <w:rFonts w:eastAsiaTheme="minorEastAsia" w:cstheme="minorBidi"/>
                <w:sz w:val="20"/>
                <w:szCs w:val="20"/>
              </w:rPr>
            </w:pPr>
            <w:r w:rsidRPr="000C0B5F">
              <w:rPr>
                <w:rFonts w:eastAsiaTheme="minorEastAsia" w:cstheme="minorBidi"/>
                <w:sz w:val="20"/>
                <w:szCs w:val="20"/>
              </w:rPr>
              <w:t>0</w:t>
            </w:r>
          </w:p>
        </w:tc>
        <w:tc>
          <w:tcPr>
            <w:tcW w:w="975" w:type="dxa"/>
            <w:tcBorders>
              <w:top w:val="single" w:sz="4" w:space="0" w:color="auto"/>
              <w:left w:val="single" w:sz="4" w:space="0" w:color="auto"/>
              <w:bottom w:val="single" w:sz="4" w:space="0" w:color="auto"/>
              <w:right w:val="single" w:sz="4" w:space="0" w:color="auto"/>
            </w:tcBorders>
          </w:tcPr>
          <w:p w:rsidR="06AD5A6D" w:rsidRPr="000C0B5F" w:rsidP="06AD5A6D" w14:paraId="2B86AA49" w14:textId="216444E8">
            <w:pPr>
              <w:jc w:val="center"/>
              <w:rPr>
                <w:rFonts w:eastAsiaTheme="minorEastAsia" w:cstheme="minorBidi"/>
                <w:sz w:val="20"/>
                <w:szCs w:val="20"/>
              </w:rPr>
            </w:pPr>
            <w:r w:rsidRPr="000C0B5F">
              <w:rPr>
                <w:rFonts w:eastAsiaTheme="minorEastAsia" w:cstheme="minorBidi"/>
                <w:sz w:val="20"/>
                <w:szCs w:val="20"/>
              </w:rPr>
              <w:t>0</w:t>
            </w:r>
          </w:p>
        </w:tc>
        <w:tc>
          <w:tcPr>
            <w:tcW w:w="1080" w:type="dxa"/>
            <w:tcBorders>
              <w:top w:val="single" w:sz="4" w:space="0" w:color="auto"/>
              <w:left w:val="single" w:sz="4" w:space="0" w:color="auto"/>
              <w:bottom w:val="single" w:sz="4" w:space="0" w:color="auto"/>
              <w:right w:val="single" w:sz="4" w:space="0" w:color="auto"/>
            </w:tcBorders>
          </w:tcPr>
          <w:p w:rsidR="06AD5A6D" w:rsidRPr="000C0B5F" w:rsidP="06AD5A6D" w14:paraId="1FB2DA88" w14:textId="30026925">
            <w:pPr>
              <w:jc w:val="center"/>
              <w:rPr>
                <w:rFonts w:eastAsiaTheme="minorEastAsia" w:cstheme="minorBidi"/>
                <w:sz w:val="20"/>
                <w:szCs w:val="20"/>
              </w:rPr>
            </w:pPr>
            <w:r w:rsidRPr="000C0B5F">
              <w:rPr>
                <w:rFonts w:eastAsiaTheme="minorEastAsia" w:cstheme="minorBidi"/>
                <w:sz w:val="20"/>
                <w:szCs w:val="20"/>
              </w:rPr>
              <w:t>0</w:t>
            </w:r>
          </w:p>
        </w:tc>
        <w:tc>
          <w:tcPr>
            <w:tcW w:w="1170" w:type="dxa"/>
            <w:tcBorders>
              <w:top w:val="single" w:sz="4" w:space="0" w:color="auto"/>
              <w:left w:val="single" w:sz="4" w:space="0" w:color="auto"/>
              <w:bottom w:val="single" w:sz="4" w:space="0" w:color="auto"/>
              <w:right w:val="single" w:sz="12" w:space="0" w:color="auto"/>
            </w:tcBorders>
          </w:tcPr>
          <w:p w:rsidR="06AD5A6D" w:rsidRPr="000C0B5F" w:rsidP="06AD5A6D" w14:paraId="3BB78C82" w14:textId="7BCD1EE6">
            <w:pPr>
              <w:jc w:val="center"/>
              <w:rPr>
                <w:rFonts w:eastAsiaTheme="minorEastAsia" w:cstheme="minorBidi"/>
                <w:sz w:val="20"/>
                <w:szCs w:val="20"/>
              </w:rPr>
            </w:pPr>
            <w:r w:rsidRPr="000C0B5F">
              <w:rPr>
                <w:rFonts w:eastAsiaTheme="minorEastAsia" w:cstheme="minorBidi"/>
                <w:sz w:val="20"/>
                <w:szCs w:val="20"/>
              </w:rPr>
              <w:t>0</w:t>
            </w:r>
          </w:p>
        </w:tc>
        <w:tc>
          <w:tcPr>
            <w:tcW w:w="1395" w:type="dxa"/>
            <w:tcBorders>
              <w:top w:val="single" w:sz="4" w:space="0" w:color="auto"/>
              <w:left w:val="single" w:sz="12" w:space="0" w:color="auto"/>
              <w:bottom w:val="single" w:sz="4" w:space="0" w:color="auto"/>
              <w:right w:val="single" w:sz="4" w:space="0" w:color="auto"/>
            </w:tcBorders>
          </w:tcPr>
          <w:p w:rsidR="06AD5A6D" w:rsidRPr="000C0B5F" w:rsidP="06AD5A6D" w14:paraId="5322BACF" w14:textId="4DC84ED0">
            <w:pPr>
              <w:jc w:val="center"/>
              <w:rPr>
                <w:rFonts w:eastAsiaTheme="minorEastAsia" w:cstheme="minorBidi"/>
                <w:sz w:val="20"/>
                <w:szCs w:val="20"/>
              </w:rPr>
            </w:pPr>
            <w:r w:rsidRPr="000C0B5F">
              <w:rPr>
                <w:rFonts w:eastAsiaTheme="minorEastAsia" w:cstheme="minorBidi"/>
                <w:sz w:val="20"/>
                <w:szCs w:val="20"/>
              </w:rPr>
              <w:t>$0</w:t>
            </w:r>
          </w:p>
        </w:tc>
        <w:tc>
          <w:tcPr>
            <w:tcW w:w="945" w:type="dxa"/>
            <w:tcBorders>
              <w:top w:val="single" w:sz="4" w:space="0" w:color="auto"/>
              <w:left w:val="single" w:sz="4" w:space="0" w:color="auto"/>
              <w:bottom w:val="single" w:sz="4" w:space="0" w:color="auto"/>
              <w:right w:val="single" w:sz="12" w:space="0" w:color="auto"/>
            </w:tcBorders>
          </w:tcPr>
          <w:p w:rsidR="06AD5A6D" w:rsidRPr="000C0B5F" w:rsidP="06AD5A6D" w14:paraId="68A182B5" w14:textId="3D78672D">
            <w:pPr>
              <w:jc w:val="center"/>
              <w:rPr>
                <w:rFonts w:eastAsiaTheme="minorEastAsia" w:cstheme="minorBidi"/>
                <w:sz w:val="20"/>
                <w:szCs w:val="20"/>
              </w:rPr>
            </w:pPr>
            <w:r w:rsidRPr="000C0B5F">
              <w:rPr>
                <w:rFonts w:eastAsiaTheme="minorEastAsia" w:cstheme="minorBidi"/>
                <w:sz w:val="20"/>
                <w:szCs w:val="20"/>
              </w:rPr>
              <w:t>$0</w:t>
            </w:r>
          </w:p>
        </w:tc>
      </w:tr>
      <w:tr w14:paraId="67C6A245" w14:textId="77777777" w:rsidTr="00AB6141">
        <w:tblPrEx>
          <w:tblW w:w="0" w:type="auto"/>
          <w:tblLayout w:type="fixed"/>
          <w:tblLook w:val="06A0"/>
        </w:tblPrEx>
        <w:trPr>
          <w:trHeight w:val="300"/>
        </w:trPr>
        <w:tc>
          <w:tcPr>
            <w:tcW w:w="1260" w:type="dxa"/>
            <w:tcBorders>
              <w:top w:val="single" w:sz="4" w:space="0" w:color="auto"/>
              <w:left w:val="single" w:sz="12" w:space="0" w:color="auto"/>
              <w:bottom w:val="single" w:sz="12" w:space="0" w:color="auto"/>
              <w:right w:val="single" w:sz="12" w:space="0" w:color="auto"/>
            </w:tcBorders>
          </w:tcPr>
          <w:p w:rsidR="06AD5A6D" w:rsidRPr="000C0B5F" w:rsidP="06AD5A6D" w14:paraId="13E63B85" w14:textId="62AF882C">
            <w:pPr>
              <w:rPr>
                <w:rFonts w:eastAsiaTheme="minorEastAsia" w:cstheme="minorBidi"/>
                <w:sz w:val="20"/>
                <w:szCs w:val="20"/>
              </w:rPr>
            </w:pPr>
            <w:r w:rsidRPr="000C0B5F">
              <w:rPr>
                <w:rFonts w:eastAsiaTheme="minorEastAsia" w:cstheme="minorBidi"/>
                <w:sz w:val="20"/>
                <w:szCs w:val="20"/>
              </w:rPr>
              <w:t>Prepare report</w:t>
            </w:r>
          </w:p>
        </w:tc>
        <w:tc>
          <w:tcPr>
            <w:tcW w:w="1305" w:type="dxa"/>
            <w:tcBorders>
              <w:top w:val="single" w:sz="4" w:space="0" w:color="auto"/>
              <w:left w:val="single" w:sz="12" w:space="0" w:color="auto"/>
              <w:bottom w:val="single" w:sz="12" w:space="0" w:color="auto"/>
              <w:right w:val="single" w:sz="4" w:space="0" w:color="auto"/>
            </w:tcBorders>
          </w:tcPr>
          <w:p w:rsidR="06AD5A6D" w:rsidRPr="000C0B5F" w:rsidP="06AD5A6D" w14:paraId="21FE5F4C" w14:textId="1E1FC3D4">
            <w:pPr>
              <w:jc w:val="center"/>
              <w:rPr>
                <w:rFonts w:eastAsiaTheme="minorEastAsia" w:cstheme="minorBidi"/>
                <w:sz w:val="20"/>
                <w:szCs w:val="20"/>
              </w:rPr>
            </w:pPr>
            <w:r w:rsidRPr="000C0B5F">
              <w:rPr>
                <w:rFonts w:eastAsiaTheme="minorEastAsia" w:cstheme="minorBidi"/>
                <w:sz w:val="20"/>
                <w:szCs w:val="20"/>
              </w:rPr>
              <w:t>0</w:t>
            </w:r>
          </w:p>
        </w:tc>
        <w:tc>
          <w:tcPr>
            <w:tcW w:w="1230" w:type="dxa"/>
            <w:tcBorders>
              <w:top w:val="single" w:sz="4" w:space="0" w:color="auto"/>
              <w:left w:val="single" w:sz="4" w:space="0" w:color="auto"/>
              <w:bottom w:val="single" w:sz="12" w:space="0" w:color="auto"/>
              <w:right w:val="single" w:sz="4" w:space="0" w:color="auto"/>
            </w:tcBorders>
          </w:tcPr>
          <w:p w:rsidR="06AD5A6D" w:rsidRPr="000C0B5F" w:rsidP="06AD5A6D" w14:paraId="35D97BAD" w14:textId="4B177759">
            <w:pPr>
              <w:jc w:val="center"/>
              <w:rPr>
                <w:rFonts w:eastAsiaTheme="minorEastAsia" w:cstheme="minorBidi"/>
                <w:sz w:val="20"/>
                <w:szCs w:val="20"/>
              </w:rPr>
            </w:pPr>
            <w:r w:rsidRPr="000C0B5F">
              <w:rPr>
                <w:rFonts w:eastAsiaTheme="minorEastAsia" w:cstheme="minorBidi"/>
                <w:sz w:val="20"/>
                <w:szCs w:val="20"/>
              </w:rPr>
              <w:t>0</w:t>
            </w:r>
          </w:p>
        </w:tc>
        <w:tc>
          <w:tcPr>
            <w:tcW w:w="975" w:type="dxa"/>
            <w:tcBorders>
              <w:top w:val="single" w:sz="4" w:space="0" w:color="auto"/>
              <w:left w:val="single" w:sz="4" w:space="0" w:color="auto"/>
              <w:bottom w:val="single" w:sz="12" w:space="0" w:color="auto"/>
              <w:right w:val="single" w:sz="4" w:space="0" w:color="auto"/>
            </w:tcBorders>
          </w:tcPr>
          <w:p w:rsidR="06AD5A6D" w:rsidRPr="000C0B5F" w:rsidP="06AD5A6D" w14:paraId="334281C0" w14:textId="4CE83C21">
            <w:pPr>
              <w:jc w:val="center"/>
              <w:rPr>
                <w:rFonts w:eastAsiaTheme="minorEastAsia" w:cstheme="minorBidi"/>
                <w:sz w:val="20"/>
                <w:szCs w:val="20"/>
              </w:rPr>
            </w:pPr>
            <w:r w:rsidRPr="000C0B5F">
              <w:rPr>
                <w:rFonts w:eastAsiaTheme="minorEastAsia" w:cstheme="minorBidi"/>
                <w:sz w:val="20"/>
                <w:szCs w:val="20"/>
              </w:rPr>
              <w:t>0</w:t>
            </w:r>
          </w:p>
        </w:tc>
        <w:tc>
          <w:tcPr>
            <w:tcW w:w="1080" w:type="dxa"/>
            <w:tcBorders>
              <w:top w:val="single" w:sz="4" w:space="0" w:color="auto"/>
              <w:left w:val="single" w:sz="4" w:space="0" w:color="auto"/>
              <w:bottom w:val="single" w:sz="12" w:space="0" w:color="auto"/>
              <w:right w:val="single" w:sz="4" w:space="0" w:color="auto"/>
            </w:tcBorders>
          </w:tcPr>
          <w:p w:rsidR="06AD5A6D" w:rsidRPr="000C0B5F" w:rsidP="06AD5A6D" w14:paraId="6C4D9655" w14:textId="6E0424CB">
            <w:pPr>
              <w:jc w:val="center"/>
              <w:rPr>
                <w:rFonts w:eastAsiaTheme="minorEastAsia" w:cstheme="minorBidi"/>
                <w:sz w:val="20"/>
                <w:szCs w:val="20"/>
              </w:rPr>
            </w:pPr>
            <w:r w:rsidRPr="000C0B5F">
              <w:rPr>
                <w:rFonts w:eastAsiaTheme="minorEastAsia" w:cstheme="minorBidi"/>
                <w:sz w:val="20"/>
                <w:szCs w:val="20"/>
              </w:rPr>
              <w:t>0</w:t>
            </w:r>
          </w:p>
        </w:tc>
        <w:tc>
          <w:tcPr>
            <w:tcW w:w="1170" w:type="dxa"/>
            <w:tcBorders>
              <w:top w:val="single" w:sz="4" w:space="0" w:color="auto"/>
              <w:left w:val="single" w:sz="4" w:space="0" w:color="auto"/>
              <w:bottom w:val="single" w:sz="12" w:space="0" w:color="auto"/>
              <w:right w:val="single" w:sz="12" w:space="0" w:color="auto"/>
            </w:tcBorders>
          </w:tcPr>
          <w:p w:rsidR="06AD5A6D" w:rsidRPr="000C0B5F" w:rsidP="06AD5A6D" w14:paraId="188F0A75" w14:textId="0C55CA5C">
            <w:pPr>
              <w:jc w:val="center"/>
              <w:rPr>
                <w:rFonts w:eastAsiaTheme="minorEastAsia" w:cstheme="minorBidi"/>
                <w:sz w:val="20"/>
                <w:szCs w:val="20"/>
              </w:rPr>
            </w:pPr>
            <w:r w:rsidRPr="000C0B5F">
              <w:rPr>
                <w:rFonts w:eastAsiaTheme="minorEastAsia" w:cstheme="minorBidi"/>
                <w:sz w:val="20"/>
                <w:szCs w:val="20"/>
              </w:rPr>
              <w:t>0</w:t>
            </w:r>
          </w:p>
        </w:tc>
        <w:tc>
          <w:tcPr>
            <w:tcW w:w="1395" w:type="dxa"/>
            <w:tcBorders>
              <w:top w:val="single" w:sz="4" w:space="0" w:color="auto"/>
              <w:left w:val="single" w:sz="12" w:space="0" w:color="auto"/>
              <w:bottom w:val="single" w:sz="12" w:space="0" w:color="auto"/>
              <w:right w:val="single" w:sz="4" w:space="0" w:color="auto"/>
            </w:tcBorders>
          </w:tcPr>
          <w:p w:rsidR="06AD5A6D" w:rsidRPr="000C0B5F" w:rsidP="06AD5A6D" w14:paraId="666DCCD4" w14:textId="75DA9073">
            <w:pPr>
              <w:jc w:val="center"/>
              <w:rPr>
                <w:rFonts w:eastAsiaTheme="minorEastAsia" w:cstheme="minorBidi"/>
                <w:sz w:val="20"/>
                <w:szCs w:val="20"/>
              </w:rPr>
            </w:pPr>
            <w:r w:rsidRPr="000C0B5F">
              <w:rPr>
                <w:rFonts w:eastAsiaTheme="minorEastAsia" w:cstheme="minorBidi"/>
                <w:sz w:val="20"/>
                <w:szCs w:val="20"/>
              </w:rPr>
              <w:t>$0</w:t>
            </w:r>
          </w:p>
        </w:tc>
        <w:tc>
          <w:tcPr>
            <w:tcW w:w="945" w:type="dxa"/>
            <w:tcBorders>
              <w:top w:val="single" w:sz="4" w:space="0" w:color="auto"/>
              <w:left w:val="single" w:sz="4" w:space="0" w:color="auto"/>
              <w:bottom w:val="single" w:sz="12" w:space="0" w:color="auto"/>
              <w:right w:val="single" w:sz="12" w:space="0" w:color="auto"/>
            </w:tcBorders>
          </w:tcPr>
          <w:p w:rsidR="06AD5A6D" w:rsidRPr="000C0B5F" w:rsidP="06AD5A6D" w14:paraId="16761C9F" w14:textId="2733C040">
            <w:pPr>
              <w:jc w:val="center"/>
              <w:rPr>
                <w:rFonts w:eastAsiaTheme="minorEastAsia" w:cstheme="minorBidi"/>
                <w:sz w:val="20"/>
                <w:szCs w:val="20"/>
              </w:rPr>
            </w:pPr>
            <w:r w:rsidRPr="000C0B5F">
              <w:rPr>
                <w:rFonts w:eastAsiaTheme="minorEastAsia" w:cstheme="minorBidi"/>
                <w:sz w:val="20"/>
                <w:szCs w:val="20"/>
              </w:rPr>
              <w:t>$0</w:t>
            </w:r>
          </w:p>
        </w:tc>
      </w:tr>
      <w:tr w14:paraId="16E7E679" w14:textId="77777777" w:rsidTr="00AE6C21">
        <w:tblPrEx>
          <w:tblW w:w="0" w:type="auto"/>
          <w:tblLayout w:type="fixed"/>
          <w:tblLook w:val="06A0"/>
        </w:tblPrEx>
        <w:trPr>
          <w:trHeight w:val="300"/>
        </w:trPr>
        <w:tc>
          <w:tcPr>
            <w:tcW w:w="7020" w:type="dxa"/>
            <w:gridSpan w:val="6"/>
            <w:tcBorders>
              <w:top w:val="single" w:sz="12" w:space="0" w:color="auto"/>
              <w:left w:val="single" w:sz="12" w:space="0" w:color="auto"/>
              <w:bottom w:val="single" w:sz="12" w:space="0" w:color="auto"/>
              <w:right w:val="single" w:sz="12" w:space="0" w:color="auto"/>
            </w:tcBorders>
          </w:tcPr>
          <w:p w:rsidR="06AD5A6D" w:rsidRPr="000C0B5F" w:rsidP="06AD5A6D" w14:paraId="01C43DEE" w14:textId="1AC66B2B">
            <w:pPr>
              <w:jc w:val="center"/>
              <w:rPr>
                <w:rFonts w:eastAsiaTheme="minorEastAsia" w:cstheme="minorBidi"/>
                <w:b/>
                <w:bCs/>
                <w:sz w:val="20"/>
                <w:szCs w:val="20"/>
              </w:rPr>
            </w:pPr>
            <w:r w:rsidRPr="000C0B5F">
              <w:rPr>
                <w:rFonts w:eastAsiaTheme="minorEastAsia" w:cstheme="minorBidi"/>
                <w:b/>
                <w:bCs/>
                <w:sz w:val="20"/>
                <w:szCs w:val="20"/>
              </w:rPr>
              <w:t>Record Keeping Burden (hours)</w:t>
            </w:r>
          </w:p>
        </w:tc>
        <w:tc>
          <w:tcPr>
            <w:tcW w:w="2340" w:type="dxa"/>
            <w:gridSpan w:val="2"/>
            <w:tcBorders>
              <w:top w:val="single" w:sz="12" w:space="0" w:color="auto"/>
              <w:left w:val="single" w:sz="12" w:space="0" w:color="auto"/>
              <w:bottom w:val="single" w:sz="12" w:space="0" w:color="auto"/>
              <w:right w:val="single" w:sz="12" w:space="0" w:color="auto"/>
            </w:tcBorders>
          </w:tcPr>
          <w:p w:rsidR="06AD5A6D" w:rsidRPr="000C0B5F" w:rsidP="06AD5A6D" w14:paraId="6B4DA5D9" w14:textId="41B069E3">
            <w:pPr>
              <w:jc w:val="center"/>
              <w:rPr>
                <w:rFonts w:eastAsiaTheme="minorEastAsia" w:cstheme="minorBidi"/>
                <w:b/>
                <w:bCs/>
                <w:sz w:val="20"/>
                <w:szCs w:val="20"/>
              </w:rPr>
            </w:pPr>
            <w:r w:rsidRPr="000C0B5F">
              <w:rPr>
                <w:rFonts w:eastAsiaTheme="minorEastAsia" w:cstheme="minorBidi"/>
                <w:b/>
                <w:bCs/>
                <w:sz w:val="20"/>
                <w:szCs w:val="20"/>
              </w:rPr>
              <w:t>Record Keeping Burden (costs)</w:t>
            </w:r>
          </w:p>
        </w:tc>
      </w:tr>
      <w:tr w14:paraId="7EBAE21F" w14:textId="77777777" w:rsidTr="00AB6141">
        <w:tblPrEx>
          <w:tblW w:w="0" w:type="auto"/>
          <w:tblLayout w:type="fixed"/>
          <w:tblLook w:val="06A0"/>
        </w:tblPrEx>
        <w:trPr>
          <w:trHeight w:val="300"/>
        </w:trPr>
        <w:tc>
          <w:tcPr>
            <w:tcW w:w="1260" w:type="dxa"/>
            <w:tcBorders>
              <w:top w:val="single" w:sz="12" w:space="0" w:color="auto"/>
              <w:left w:val="single" w:sz="12" w:space="0" w:color="auto"/>
              <w:bottom w:val="single" w:sz="12" w:space="0" w:color="auto"/>
              <w:right w:val="single" w:sz="12" w:space="0" w:color="auto"/>
            </w:tcBorders>
          </w:tcPr>
          <w:p w:rsidR="06AD5A6D" w:rsidRPr="000C0B5F" w:rsidP="06AD5A6D" w14:paraId="3C8FFC51" w14:textId="233B6209">
            <w:pPr>
              <w:rPr>
                <w:rFonts w:eastAsiaTheme="minorEastAsia" w:cstheme="minorBidi"/>
                <w:sz w:val="20"/>
                <w:szCs w:val="20"/>
              </w:rPr>
            </w:pPr>
            <w:r w:rsidRPr="000C0B5F">
              <w:rPr>
                <w:rFonts w:eastAsiaTheme="minorEastAsia" w:cstheme="minorBidi"/>
                <w:sz w:val="20"/>
                <w:szCs w:val="20"/>
              </w:rPr>
              <w:t>File and maintain data</w:t>
            </w:r>
          </w:p>
        </w:tc>
        <w:tc>
          <w:tcPr>
            <w:tcW w:w="1305" w:type="dxa"/>
            <w:tcBorders>
              <w:top w:val="single" w:sz="12" w:space="0" w:color="auto"/>
              <w:left w:val="single" w:sz="12" w:space="0" w:color="auto"/>
              <w:bottom w:val="single" w:sz="12" w:space="0" w:color="auto"/>
              <w:right w:val="single" w:sz="4" w:space="0" w:color="auto"/>
            </w:tcBorders>
          </w:tcPr>
          <w:p w:rsidR="06AD5A6D" w:rsidRPr="000C0B5F" w:rsidP="06AD5A6D" w14:paraId="2DDA18DF" w14:textId="3CF27702">
            <w:pPr>
              <w:jc w:val="center"/>
              <w:rPr>
                <w:rFonts w:eastAsiaTheme="minorEastAsia" w:cstheme="minorBidi"/>
                <w:sz w:val="20"/>
                <w:szCs w:val="20"/>
              </w:rPr>
            </w:pPr>
            <w:r w:rsidRPr="000C0B5F">
              <w:rPr>
                <w:rFonts w:eastAsiaTheme="minorEastAsia" w:cstheme="minorBidi"/>
                <w:sz w:val="20"/>
                <w:szCs w:val="20"/>
              </w:rPr>
              <w:t>0</w:t>
            </w:r>
          </w:p>
        </w:tc>
        <w:tc>
          <w:tcPr>
            <w:tcW w:w="1230" w:type="dxa"/>
            <w:tcBorders>
              <w:top w:val="single" w:sz="12" w:space="0" w:color="auto"/>
              <w:left w:val="single" w:sz="4" w:space="0" w:color="auto"/>
              <w:bottom w:val="single" w:sz="12" w:space="0" w:color="auto"/>
              <w:right w:val="single" w:sz="4" w:space="0" w:color="auto"/>
            </w:tcBorders>
          </w:tcPr>
          <w:p w:rsidR="06AD5A6D" w:rsidRPr="000C0B5F" w:rsidP="06AD5A6D" w14:paraId="5F06EA2C" w14:textId="5EFD7AE5">
            <w:pPr>
              <w:jc w:val="center"/>
              <w:rPr>
                <w:rFonts w:eastAsiaTheme="minorEastAsia" w:cstheme="minorBidi"/>
                <w:sz w:val="20"/>
                <w:szCs w:val="20"/>
              </w:rPr>
            </w:pPr>
            <w:r w:rsidRPr="000C0B5F">
              <w:rPr>
                <w:rFonts w:eastAsiaTheme="minorEastAsia" w:cstheme="minorBidi"/>
                <w:sz w:val="20"/>
                <w:szCs w:val="20"/>
              </w:rPr>
              <w:t>0</w:t>
            </w:r>
          </w:p>
        </w:tc>
        <w:tc>
          <w:tcPr>
            <w:tcW w:w="975" w:type="dxa"/>
            <w:tcBorders>
              <w:top w:val="single" w:sz="12" w:space="0" w:color="auto"/>
              <w:left w:val="single" w:sz="4" w:space="0" w:color="auto"/>
              <w:bottom w:val="single" w:sz="12" w:space="0" w:color="auto"/>
              <w:right w:val="single" w:sz="4" w:space="0" w:color="auto"/>
            </w:tcBorders>
          </w:tcPr>
          <w:p w:rsidR="06AD5A6D" w:rsidRPr="000C0B5F" w:rsidP="06AD5A6D" w14:paraId="6AC63B3C" w14:textId="0CDE78F4">
            <w:pPr>
              <w:jc w:val="center"/>
              <w:rPr>
                <w:rFonts w:eastAsiaTheme="minorEastAsia" w:cstheme="minorBidi"/>
                <w:sz w:val="20"/>
                <w:szCs w:val="20"/>
              </w:rPr>
            </w:pPr>
            <w:r w:rsidRPr="000C0B5F">
              <w:rPr>
                <w:rFonts w:eastAsiaTheme="minorEastAsia" w:cstheme="minorBidi"/>
                <w:sz w:val="20"/>
                <w:szCs w:val="20"/>
              </w:rPr>
              <w:t>10</w:t>
            </w:r>
          </w:p>
        </w:tc>
        <w:tc>
          <w:tcPr>
            <w:tcW w:w="1080" w:type="dxa"/>
            <w:tcBorders>
              <w:top w:val="single" w:sz="12" w:space="0" w:color="auto"/>
              <w:left w:val="single" w:sz="4" w:space="0" w:color="auto"/>
              <w:bottom w:val="single" w:sz="12" w:space="0" w:color="auto"/>
              <w:right w:val="single" w:sz="4" w:space="0" w:color="auto"/>
            </w:tcBorders>
          </w:tcPr>
          <w:p w:rsidR="06AD5A6D" w:rsidRPr="000C0B5F" w:rsidP="06AD5A6D" w14:paraId="2BC7F33D" w14:textId="6672DD83">
            <w:pPr>
              <w:jc w:val="center"/>
              <w:rPr>
                <w:rFonts w:eastAsiaTheme="minorEastAsia" w:cstheme="minorBidi"/>
                <w:sz w:val="20"/>
                <w:szCs w:val="20"/>
              </w:rPr>
            </w:pPr>
            <w:r w:rsidRPr="000C0B5F">
              <w:rPr>
                <w:rFonts w:eastAsiaTheme="minorEastAsia" w:cstheme="minorBidi"/>
                <w:sz w:val="20"/>
                <w:szCs w:val="20"/>
              </w:rPr>
              <w:t>10</w:t>
            </w:r>
          </w:p>
        </w:tc>
        <w:tc>
          <w:tcPr>
            <w:tcW w:w="1170" w:type="dxa"/>
            <w:tcBorders>
              <w:top w:val="single" w:sz="12" w:space="0" w:color="auto"/>
              <w:left w:val="single" w:sz="4" w:space="0" w:color="auto"/>
              <w:bottom w:val="single" w:sz="12" w:space="0" w:color="auto"/>
              <w:right w:val="single" w:sz="12" w:space="0" w:color="auto"/>
            </w:tcBorders>
          </w:tcPr>
          <w:p w:rsidR="06AD5A6D" w:rsidRPr="000C0B5F" w:rsidP="06AD5A6D" w14:paraId="1EA41A1D" w14:textId="32EE728D">
            <w:pPr>
              <w:jc w:val="center"/>
              <w:rPr>
                <w:rFonts w:eastAsiaTheme="minorEastAsia" w:cstheme="minorBidi"/>
                <w:sz w:val="20"/>
                <w:szCs w:val="20"/>
              </w:rPr>
            </w:pPr>
            <w:r w:rsidRPr="000C0B5F">
              <w:rPr>
                <w:rFonts w:eastAsiaTheme="minorEastAsia" w:cstheme="minorBidi"/>
                <w:sz w:val="20"/>
                <w:szCs w:val="20"/>
              </w:rPr>
              <w:t>10</w:t>
            </w:r>
          </w:p>
        </w:tc>
        <w:tc>
          <w:tcPr>
            <w:tcW w:w="1395" w:type="dxa"/>
            <w:tcBorders>
              <w:top w:val="single" w:sz="12" w:space="0" w:color="auto"/>
              <w:left w:val="single" w:sz="12" w:space="0" w:color="auto"/>
              <w:bottom w:val="single" w:sz="12" w:space="0" w:color="auto"/>
              <w:right w:val="single" w:sz="4" w:space="0" w:color="auto"/>
            </w:tcBorders>
          </w:tcPr>
          <w:p w:rsidR="06AD5A6D" w:rsidRPr="000C0B5F" w:rsidP="06AD5A6D" w14:paraId="01FFD565" w14:textId="3A3C3C49">
            <w:pPr>
              <w:jc w:val="center"/>
              <w:rPr>
                <w:rFonts w:eastAsiaTheme="minorEastAsia" w:cstheme="minorBidi"/>
                <w:sz w:val="20"/>
                <w:szCs w:val="20"/>
              </w:rPr>
            </w:pPr>
            <w:r w:rsidRPr="000C0B5F">
              <w:rPr>
                <w:rFonts w:eastAsiaTheme="minorEastAsia" w:cstheme="minorBidi"/>
                <w:sz w:val="20"/>
                <w:szCs w:val="20"/>
              </w:rPr>
              <w:t>$380</w:t>
            </w:r>
          </w:p>
        </w:tc>
        <w:tc>
          <w:tcPr>
            <w:tcW w:w="945" w:type="dxa"/>
            <w:tcBorders>
              <w:top w:val="single" w:sz="12" w:space="0" w:color="auto"/>
              <w:left w:val="single" w:sz="4" w:space="0" w:color="auto"/>
              <w:bottom w:val="single" w:sz="12" w:space="0" w:color="auto"/>
              <w:right w:val="single" w:sz="12" w:space="0" w:color="auto"/>
            </w:tcBorders>
          </w:tcPr>
          <w:p w:rsidR="06AD5A6D" w:rsidRPr="000C0B5F" w:rsidP="06AD5A6D" w14:paraId="1575E21C" w14:textId="15905E33">
            <w:pPr>
              <w:jc w:val="center"/>
              <w:rPr>
                <w:rFonts w:eastAsiaTheme="minorEastAsia" w:cstheme="minorBidi"/>
                <w:sz w:val="20"/>
                <w:szCs w:val="20"/>
              </w:rPr>
            </w:pPr>
            <w:r w:rsidRPr="000C0B5F">
              <w:rPr>
                <w:rFonts w:eastAsiaTheme="minorEastAsia" w:cstheme="minorBidi"/>
                <w:sz w:val="20"/>
                <w:szCs w:val="20"/>
              </w:rPr>
              <w:t>$380</w:t>
            </w:r>
          </w:p>
        </w:tc>
      </w:tr>
      <w:tr w14:paraId="60562A10" w14:textId="77777777" w:rsidTr="00AE6C21">
        <w:tblPrEx>
          <w:tblW w:w="0" w:type="auto"/>
          <w:tblLayout w:type="fixed"/>
          <w:tblLook w:val="06A0"/>
        </w:tblPrEx>
        <w:trPr>
          <w:trHeight w:val="300"/>
        </w:trPr>
        <w:tc>
          <w:tcPr>
            <w:tcW w:w="1260" w:type="dxa"/>
            <w:tcBorders>
              <w:top w:val="single" w:sz="12" w:space="0" w:color="auto"/>
              <w:left w:val="single" w:sz="12" w:space="0" w:color="auto"/>
              <w:bottom w:val="single" w:sz="12" w:space="0" w:color="auto"/>
              <w:right w:val="single" w:sz="12" w:space="0" w:color="auto"/>
            </w:tcBorders>
          </w:tcPr>
          <w:p w:rsidR="06AD5A6D" w:rsidRPr="000C0B5F" w:rsidP="06AD5A6D" w14:paraId="1798B73B" w14:textId="110A590C">
            <w:pPr>
              <w:rPr>
                <w:rFonts w:eastAsiaTheme="minorEastAsia" w:cstheme="minorBidi"/>
                <w:b/>
                <w:bCs/>
                <w:sz w:val="20"/>
                <w:szCs w:val="20"/>
              </w:rPr>
            </w:pPr>
            <w:r w:rsidRPr="000C0B5F">
              <w:rPr>
                <w:rFonts w:eastAsiaTheme="minorEastAsia" w:cstheme="minorBidi"/>
                <w:b/>
                <w:bCs/>
                <w:sz w:val="20"/>
                <w:szCs w:val="20"/>
              </w:rPr>
              <w:t>TOTAL</w:t>
            </w:r>
          </w:p>
        </w:tc>
        <w:tc>
          <w:tcPr>
            <w:tcW w:w="1305" w:type="dxa"/>
            <w:tcBorders>
              <w:top w:val="single" w:sz="12" w:space="0" w:color="auto"/>
              <w:left w:val="single" w:sz="12" w:space="0" w:color="auto"/>
              <w:bottom w:val="single" w:sz="12" w:space="0" w:color="auto"/>
              <w:right w:val="single" w:sz="12" w:space="0" w:color="auto"/>
            </w:tcBorders>
          </w:tcPr>
          <w:p w:rsidR="06AD5A6D" w:rsidRPr="000C0B5F" w:rsidP="06AD5A6D" w14:paraId="5321C566" w14:textId="06ECC1AD">
            <w:pPr>
              <w:jc w:val="center"/>
              <w:rPr>
                <w:rFonts w:eastAsiaTheme="minorEastAsia" w:cstheme="minorBidi"/>
                <w:b/>
                <w:bCs/>
                <w:sz w:val="20"/>
                <w:szCs w:val="20"/>
              </w:rPr>
            </w:pPr>
            <w:r w:rsidRPr="000C0B5F">
              <w:rPr>
                <w:rFonts w:eastAsiaTheme="minorEastAsia" w:cstheme="minorBidi"/>
                <w:b/>
                <w:bCs/>
                <w:sz w:val="20"/>
                <w:szCs w:val="20"/>
              </w:rPr>
              <w:t>10</w:t>
            </w:r>
          </w:p>
        </w:tc>
        <w:tc>
          <w:tcPr>
            <w:tcW w:w="1230" w:type="dxa"/>
            <w:tcBorders>
              <w:top w:val="single" w:sz="12" w:space="0" w:color="auto"/>
              <w:left w:val="single" w:sz="12" w:space="0" w:color="auto"/>
              <w:bottom w:val="single" w:sz="12" w:space="0" w:color="auto"/>
              <w:right w:val="single" w:sz="12" w:space="0" w:color="auto"/>
            </w:tcBorders>
          </w:tcPr>
          <w:p w:rsidR="06AD5A6D" w:rsidRPr="000C0B5F" w:rsidP="06AD5A6D" w14:paraId="14573C22" w14:textId="735F102E">
            <w:pPr>
              <w:jc w:val="center"/>
              <w:rPr>
                <w:rFonts w:eastAsiaTheme="minorEastAsia" w:cstheme="minorBidi"/>
                <w:b/>
                <w:bCs/>
                <w:sz w:val="20"/>
                <w:szCs w:val="20"/>
              </w:rPr>
            </w:pPr>
            <w:r w:rsidRPr="000C0B5F">
              <w:rPr>
                <w:rFonts w:eastAsiaTheme="minorEastAsia" w:cstheme="minorBidi"/>
                <w:b/>
                <w:bCs/>
                <w:sz w:val="20"/>
                <w:szCs w:val="20"/>
              </w:rPr>
              <w:t>0</w:t>
            </w:r>
          </w:p>
        </w:tc>
        <w:tc>
          <w:tcPr>
            <w:tcW w:w="975" w:type="dxa"/>
            <w:tcBorders>
              <w:top w:val="single" w:sz="12" w:space="0" w:color="auto"/>
              <w:left w:val="single" w:sz="12" w:space="0" w:color="auto"/>
              <w:bottom w:val="single" w:sz="12" w:space="0" w:color="auto"/>
              <w:right w:val="single" w:sz="12" w:space="0" w:color="auto"/>
            </w:tcBorders>
          </w:tcPr>
          <w:p w:rsidR="06AD5A6D" w:rsidRPr="000C0B5F" w:rsidP="06AD5A6D" w14:paraId="21573C7D" w14:textId="1A497487">
            <w:pPr>
              <w:jc w:val="center"/>
              <w:rPr>
                <w:rFonts w:eastAsiaTheme="minorEastAsia" w:cstheme="minorBidi"/>
                <w:b/>
                <w:bCs/>
                <w:sz w:val="20"/>
                <w:szCs w:val="20"/>
              </w:rPr>
            </w:pPr>
            <w:r w:rsidRPr="000C0B5F">
              <w:rPr>
                <w:rFonts w:eastAsiaTheme="minorEastAsia" w:cstheme="minorBidi"/>
                <w:b/>
                <w:bCs/>
                <w:sz w:val="20"/>
                <w:szCs w:val="20"/>
              </w:rPr>
              <w:t>10</w:t>
            </w:r>
          </w:p>
        </w:tc>
        <w:tc>
          <w:tcPr>
            <w:tcW w:w="1080" w:type="dxa"/>
            <w:tcBorders>
              <w:top w:val="single" w:sz="12" w:space="0" w:color="auto"/>
              <w:left w:val="single" w:sz="12" w:space="0" w:color="auto"/>
              <w:bottom w:val="single" w:sz="12" w:space="0" w:color="auto"/>
              <w:right w:val="single" w:sz="12" w:space="0" w:color="auto"/>
            </w:tcBorders>
          </w:tcPr>
          <w:p w:rsidR="06AD5A6D" w:rsidRPr="000C0B5F" w:rsidP="06AD5A6D" w14:paraId="0BDB53BC" w14:textId="577E3BCB">
            <w:pPr>
              <w:jc w:val="center"/>
              <w:rPr>
                <w:rFonts w:eastAsiaTheme="minorEastAsia" w:cstheme="minorBidi"/>
                <w:b/>
                <w:bCs/>
                <w:sz w:val="20"/>
                <w:szCs w:val="20"/>
              </w:rPr>
            </w:pPr>
            <w:r w:rsidRPr="000C0B5F">
              <w:rPr>
                <w:rFonts w:eastAsiaTheme="minorEastAsia" w:cstheme="minorBidi"/>
                <w:b/>
                <w:bCs/>
                <w:sz w:val="20"/>
                <w:szCs w:val="20"/>
              </w:rPr>
              <w:t>20</w:t>
            </w:r>
          </w:p>
        </w:tc>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122F865D" w14:textId="34D7BCE6">
            <w:pPr>
              <w:jc w:val="center"/>
              <w:rPr>
                <w:rFonts w:eastAsiaTheme="minorEastAsia" w:cstheme="minorBidi"/>
                <w:b/>
                <w:bCs/>
                <w:sz w:val="20"/>
                <w:szCs w:val="20"/>
              </w:rPr>
            </w:pPr>
            <w:r w:rsidRPr="000C0B5F">
              <w:rPr>
                <w:rFonts w:eastAsiaTheme="minorEastAsia" w:cstheme="minorBidi"/>
                <w:b/>
                <w:bCs/>
                <w:sz w:val="20"/>
                <w:szCs w:val="20"/>
              </w:rPr>
              <w:t>20</w:t>
            </w:r>
          </w:p>
        </w:tc>
        <w:tc>
          <w:tcPr>
            <w:tcW w:w="1395" w:type="dxa"/>
            <w:tcBorders>
              <w:top w:val="single" w:sz="12" w:space="0" w:color="auto"/>
              <w:left w:val="single" w:sz="12" w:space="0" w:color="auto"/>
              <w:bottom w:val="single" w:sz="12" w:space="0" w:color="auto"/>
              <w:right w:val="single" w:sz="12" w:space="0" w:color="auto"/>
            </w:tcBorders>
          </w:tcPr>
          <w:p w:rsidR="06AD5A6D" w:rsidRPr="000C0B5F" w:rsidP="06AD5A6D" w14:paraId="1C9188DD" w14:textId="5D0536B7">
            <w:pPr>
              <w:jc w:val="center"/>
              <w:rPr>
                <w:rFonts w:eastAsiaTheme="minorEastAsia" w:cstheme="minorBidi"/>
                <w:b/>
                <w:bCs/>
                <w:sz w:val="20"/>
                <w:szCs w:val="20"/>
              </w:rPr>
            </w:pPr>
            <w:r w:rsidRPr="000C0B5F">
              <w:rPr>
                <w:rFonts w:eastAsiaTheme="minorEastAsia" w:cstheme="minorBidi"/>
                <w:b/>
                <w:bCs/>
                <w:sz w:val="20"/>
                <w:szCs w:val="20"/>
              </w:rPr>
              <w:t>$1,715</w:t>
            </w:r>
          </w:p>
        </w:tc>
        <w:tc>
          <w:tcPr>
            <w:tcW w:w="945" w:type="dxa"/>
            <w:tcBorders>
              <w:top w:val="single" w:sz="12" w:space="0" w:color="auto"/>
              <w:left w:val="single" w:sz="12" w:space="0" w:color="auto"/>
              <w:bottom w:val="single" w:sz="12" w:space="0" w:color="auto"/>
              <w:right w:val="single" w:sz="12" w:space="0" w:color="auto"/>
            </w:tcBorders>
          </w:tcPr>
          <w:p w:rsidR="06AD5A6D" w:rsidRPr="000C0B5F" w:rsidP="06AD5A6D" w14:paraId="0AC6CA91" w14:textId="3C0898BF">
            <w:pPr>
              <w:jc w:val="center"/>
              <w:rPr>
                <w:rFonts w:eastAsiaTheme="minorEastAsia" w:cstheme="minorBidi"/>
                <w:b/>
                <w:bCs/>
                <w:sz w:val="20"/>
                <w:szCs w:val="20"/>
              </w:rPr>
            </w:pPr>
            <w:r w:rsidRPr="000C0B5F">
              <w:rPr>
                <w:rFonts w:eastAsiaTheme="minorEastAsia" w:cstheme="minorBidi"/>
                <w:b/>
                <w:bCs/>
                <w:sz w:val="20"/>
                <w:szCs w:val="20"/>
              </w:rPr>
              <w:t>$1,715</w:t>
            </w:r>
          </w:p>
        </w:tc>
      </w:tr>
    </w:tbl>
    <w:p w:rsidR="00641D4C" w:rsidRPr="000C0B5F" w:rsidP="00454889" w14:paraId="0BF0400B" w14:textId="77777777">
      <w:pPr>
        <w:rPr>
          <w:b/>
          <w:bCs/>
        </w:rPr>
      </w:pPr>
    </w:p>
    <w:p w:rsidR="00003CF7" w:rsidRPr="000C0B5F" w:rsidP="00454889" w14:paraId="550F3F08" w14:textId="77777777">
      <w:pPr>
        <w:rPr>
          <w:b/>
          <w:bCs/>
        </w:rPr>
        <w:sectPr w:rsidSect="00621249">
          <w:pgSz w:w="12240" w:h="15840"/>
          <w:pgMar w:top="1440" w:right="1440" w:bottom="1440" w:left="1440" w:header="720" w:footer="720" w:gutter="0"/>
          <w:cols w:space="720"/>
          <w:docGrid w:linePitch="360"/>
        </w:sectPr>
      </w:pPr>
    </w:p>
    <w:p w:rsidR="00E31784" w:rsidRPr="000C0B5F" w:rsidP="00792764" w14:paraId="22B6AC5C" w14:textId="443A4EDD">
      <w:pPr>
        <w:spacing w:after="120"/>
        <w:rPr>
          <w:b/>
          <w:bCs/>
        </w:rPr>
      </w:pPr>
      <w:r w:rsidRPr="000C0B5F">
        <w:rPr>
          <w:b/>
          <w:bCs/>
        </w:rPr>
        <w:t xml:space="preserve">Subpart R: Phosphogypsum Stacks </w:t>
      </w:r>
    </w:p>
    <w:p w:rsidR="00E31784" w:rsidRPr="000C0B5F" w:rsidP="001F7593" w14:paraId="54FF003D" w14:textId="53B7C5FE">
      <w:pPr>
        <w:spacing w:after="120" w:line="276" w:lineRule="auto"/>
      </w:pPr>
      <w:r w:rsidRPr="000C0B5F">
        <w:t>To meet reporting requirements for subpart R, respondents are expected to:</w:t>
      </w:r>
    </w:p>
    <w:p w:rsidR="00E31784" w:rsidRPr="000C0B5F" w:rsidP="006B41DF" w14:paraId="55B9148D" w14:textId="77777777">
      <w:pPr>
        <w:pStyle w:val="ListParagraph"/>
        <w:numPr>
          <w:ilvl w:val="1"/>
          <w:numId w:val="33"/>
        </w:numPr>
        <w:spacing w:line="276" w:lineRule="auto"/>
      </w:pPr>
      <w:r w:rsidRPr="000C0B5F">
        <w:t>read and understand the regulatory provision,</w:t>
      </w:r>
    </w:p>
    <w:p w:rsidR="00E31784" w:rsidRPr="000C0B5F" w:rsidP="006B41DF" w14:paraId="385650BF" w14:textId="77777777">
      <w:pPr>
        <w:pStyle w:val="ListParagraph"/>
        <w:numPr>
          <w:ilvl w:val="1"/>
          <w:numId w:val="33"/>
        </w:numPr>
        <w:spacing w:line="276" w:lineRule="auto"/>
      </w:pPr>
      <w:r w:rsidRPr="000C0B5F">
        <w:t>perform radon flux testing as directed in Section 61.203,</w:t>
      </w:r>
    </w:p>
    <w:p w:rsidR="00E31784" w:rsidRPr="000C0B5F" w:rsidP="006B41DF" w14:paraId="62647BF6" w14:textId="77777777">
      <w:pPr>
        <w:pStyle w:val="ListParagraph"/>
        <w:numPr>
          <w:ilvl w:val="1"/>
          <w:numId w:val="33"/>
        </w:numPr>
        <w:spacing w:line="276" w:lineRule="auto"/>
      </w:pPr>
      <w:r w:rsidRPr="000C0B5F">
        <w:t>perform radium-226 sampling and measurement procedures in Section 61.207 (if required),</w:t>
      </w:r>
    </w:p>
    <w:p w:rsidR="00E31784" w:rsidRPr="000C0B5F" w:rsidP="006B41DF" w14:paraId="15AAE6C5" w14:textId="77777777">
      <w:pPr>
        <w:pStyle w:val="ListParagraph"/>
        <w:numPr>
          <w:ilvl w:val="1"/>
          <w:numId w:val="33"/>
        </w:numPr>
        <w:spacing w:line="276" w:lineRule="auto"/>
      </w:pPr>
      <w:r w:rsidRPr="000C0B5F">
        <w:t>perform data analysis including Method 115 radon flux or radium-226,</w:t>
      </w:r>
    </w:p>
    <w:p w:rsidR="00E31784" w:rsidRPr="000C0B5F" w:rsidP="006B41DF" w14:paraId="5863C5D8" w14:textId="77777777">
      <w:pPr>
        <w:pStyle w:val="ListParagraph"/>
        <w:numPr>
          <w:ilvl w:val="1"/>
          <w:numId w:val="33"/>
        </w:numPr>
        <w:spacing w:line="276" w:lineRule="auto"/>
      </w:pPr>
      <w:r w:rsidRPr="000C0B5F">
        <w:t>prepare and submit the report and/or certification documents.</w:t>
      </w:r>
    </w:p>
    <w:p w:rsidR="00E31784" w:rsidRPr="000C0B5F" w:rsidP="001F7593" w14:paraId="7C16D747" w14:textId="61644AE6">
      <w:pPr>
        <w:spacing w:after="120" w:line="276" w:lineRule="auto"/>
      </w:pPr>
      <w:r w:rsidRPr="000C0B5F">
        <w:t>Testing and reporting under subpart R is required only when facilities close active stacks or remove phosphogypsum</w:t>
      </w:r>
      <w:r w:rsidRPr="000C0B5F" w:rsidR="00D45292">
        <w:t xml:space="preserve"> from inactive stacks</w:t>
      </w:r>
      <w:r w:rsidRPr="000C0B5F">
        <w:t xml:space="preserve">. Rather than predict the exact number of facilities per year that will undertake these activities, the EPA has chosen estimates which represent an upper bound of the potential burden due to testing and reporting. It is unlikely that in a given year all active stacks will take actions requiring testing and reporting, as is assumed, and </w:t>
      </w:r>
      <w:r w:rsidRPr="000C0B5F" w:rsidR="00A1101A">
        <w:t>it is possible</w:t>
      </w:r>
      <w:r w:rsidRPr="000C0B5F">
        <w:t xml:space="preserve"> that no stacks will take such actions. The Agency will continue to observe the actual activities of facilities to refine these estimates for future ICRs.</w:t>
      </w:r>
    </w:p>
    <w:p w:rsidR="00E31784" w:rsidRPr="000C0B5F" w:rsidP="006B41DF" w14:paraId="134DB15D" w14:textId="2AB1AD4C">
      <w:pPr>
        <w:spacing w:after="120"/>
        <w:rPr>
          <w:b/>
          <w:bCs/>
        </w:rPr>
      </w:pPr>
      <w:r w:rsidRPr="000C0B5F">
        <w:rPr>
          <w:b/>
          <w:bCs/>
        </w:rPr>
        <w:t xml:space="preserve">Table </w:t>
      </w:r>
      <w:r w:rsidRPr="000C0B5F" w:rsidR="00027C0A">
        <w:rPr>
          <w:b/>
          <w:bCs/>
        </w:rPr>
        <w:t>6</w:t>
      </w:r>
      <w:r w:rsidRPr="000C0B5F">
        <w:rPr>
          <w:b/>
          <w:bCs/>
        </w:rPr>
        <w:t>: Burden and Cost for Subpart R Phosphogypsum Stacks</w:t>
      </w:r>
    </w:p>
    <w:tbl>
      <w:tblPr>
        <w:tblStyle w:val="TableGrid"/>
        <w:tblW w:w="94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A0"/>
      </w:tblPr>
      <w:tblGrid>
        <w:gridCol w:w="1395"/>
        <w:gridCol w:w="1065"/>
        <w:gridCol w:w="1275"/>
        <w:gridCol w:w="1140"/>
        <w:gridCol w:w="1140"/>
        <w:gridCol w:w="1215"/>
        <w:gridCol w:w="1050"/>
        <w:gridCol w:w="1155"/>
      </w:tblGrid>
      <w:tr w14:paraId="03AB5BE9" w14:textId="77777777" w:rsidTr="00FC6893">
        <w:tblPrEx>
          <w:tblW w:w="94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A0"/>
        </w:tblPrEx>
        <w:trPr>
          <w:trHeight w:val="300"/>
        </w:trPr>
        <w:tc>
          <w:tcPr>
            <w:tcW w:w="7230" w:type="dxa"/>
            <w:gridSpan w:val="6"/>
            <w:tcBorders>
              <w:top w:val="single" w:sz="12" w:space="0" w:color="auto"/>
              <w:left w:val="single" w:sz="12" w:space="0" w:color="auto"/>
              <w:bottom w:val="single" w:sz="12" w:space="0" w:color="auto"/>
              <w:right w:val="single" w:sz="12" w:space="0" w:color="auto"/>
            </w:tcBorders>
          </w:tcPr>
          <w:p w:rsidR="06AD5A6D" w:rsidRPr="000C0B5F" w:rsidP="06AD5A6D" w14:paraId="6E466E8C" w14:textId="2325955B">
            <w:pPr>
              <w:jc w:val="center"/>
              <w:rPr>
                <w:rFonts w:eastAsiaTheme="minorEastAsia" w:cstheme="minorBidi"/>
                <w:b/>
                <w:bCs/>
                <w:sz w:val="20"/>
                <w:szCs w:val="20"/>
              </w:rPr>
            </w:pPr>
            <w:r w:rsidRPr="000C0B5F">
              <w:rPr>
                <w:rFonts w:eastAsiaTheme="minorEastAsia" w:cstheme="minorBidi"/>
                <w:b/>
                <w:bCs/>
                <w:sz w:val="20"/>
                <w:szCs w:val="20"/>
              </w:rPr>
              <w:t>Reporting Burden (hours)</w:t>
            </w:r>
          </w:p>
        </w:tc>
        <w:tc>
          <w:tcPr>
            <w:tcW w:w="2205" w:type="dxa"/>
            <w:gridSpan w:val="2"/>
            <w:tcBorders>
              <w:top w:val="single" w:sz="12" w:space="0" w:color="auto"/>
              <w:left w:val="single" w:sz="12" w:space="0" w:color="auto"/>
              <w:bottom w:val="single" w:sz="12" w:space="0" w:color="auto"/>
              <w:right w:val="single" w:sz="12" w:space="0" w:color="auto"/>
            </w:tcBorders>
          </w:tcPr>
          <w:p w:rsidR="06AD5A6D" w:rsidRPr="000C0B5F" w:rsidP="06AD5A6D" w14:paraId="131CB91F" w14:textId="37487615">
            <w:pPr>
              <w:jc w:val="center"/>
              <w:rPr>
                <w:rFonts w:eastAsiaTheme="minorEastAsia" w:cstheme="minorBidi"/>
                <w:b/>
                <w:bCs/>
                <w:sz w:val="20"/>
                <w:szCs w:val="20"/>
              </w:rPr>
            </w:pPr>
            <w:r w:rsidRPr="000C0B5F">
              <w:rPr>
                <w:rFonts w:eastAsiaTheme="minorEastAsia" w:cstheme="minorBidi"/>
                <w:b/>
                <w:bCs/>
                <w:sz w:val="20"/>
                <w:szCs w:val="20"/>
              </w:rPr>
              <w:t>(costs)</w:t>
            </w:r>
          </w:p>
        </w:tc>
      </w:tr>
      <w:tr w14:paraId="2A0BF29A" w14:textId="77777777" w:rsidTr="00FC6893">
        <w:tblPrEx>
          <w:tblW w:w="9435" w:type="dxa"/>
          <w:tblLayout w:type="fixed"/>
          <w:tblLook w:val="06A0"/>
        </w:tblPrEx>
        <w:trPr>
          <w:trHeight w:val="1122"/>
        </w:trPr>
        <w:tc>
          <w:tcPr>
            <w:tcW w:w="1395" w:type="dxa"/>
            <w:tcBorders>
              <w:top w:val="single" w:sz="12" w:space="0" w:color="auto"/>
              <w:left w:val="single" w:sz="12" w:space="0" w:color="auto"/>
              <w:bottom w:val="single" w:sz="12" w:space="0" w:color="auto"/>
              <w:right w:val="single" w:sz="12" w:space="0" w:color="auto"/>
            </w:tcBorders>
          </w:tcPr>
          <w:p w:rsidR="06AD5A6D" w:rsidRPr="000C0B5F" w:rsidP="06AD5A6D" w14:paraId="637A26BF" w14:textId="21F71092">
            <w:pPr>
              <w:rPr>
                <w:rFonts w:eastAsiaTheme="minorEastAsia" w:cstheme="minorBidi"/>
                <w:b/>
                <w:bCs/>
                <w:sz w:val="20"/>
                <w:szCs w:val="20"/>
              </w:rPr>
            </w:pPr>
            <w:r w:rsidRPr="000C0B5F">
              <w:rPr>
                <w:rFonts w:eastAsiaTheme="minorEastAsia" w:cstheme="minorBidi"/>
                <w:b/>
                <w:bCs/>
                <w:sz w:val="20"/>
                <w:szCs w:val="20"/>
              </w:rPr>
              <w:t>Reporting Burden Task</w:t>
            </w:r>
          </w:p>
        </w:tc>
        <w:tc>
          <w:tcPr>
            <w:tcW w:w="1065" w:type="dxa"/>
            <w:tcBorders>
              <w:top w:val="single" w:sz="12" w:space="0" w:color="auto"/>
              <w:left w:val="single" w:sz="12" w:space="0" w:color="auto"/>
              <w:bottom w:val="single" w:sz="12" w:space="0" w:color="auto"/>
              <w:right w:val="single" w:sz="12" w:space="0" w:color="auto"/>
            </w:tcBorders>
          </w:tcPr>
          <w:p w:rsidR="06AD5A6D" w:rsidRPr="000C0B5F" w:rsidP="06AD5A6D" w14:paraId="54F21B57" w14:textId="3341ED46">
            <w:pPr>
              <w:rPr>
                <w:rFonts w:eastAsiaTheme="minorEastAsia" w:cstheme="minorBidi"/>
                <w:b/>
                <w:bCs/>
                <w:sz w:val="20"/>
                <w:szCs w:val="20"/>
              </w:rPr>
            </w:pPr>
            <w:r w:rsidRPr="000C0B5F">
              <w:rPr>
                <w:rFonts w:eastAsiaTheme="minorEastAsia" w:cstheme="minorBidi"/>
                <w:b/>
                <w:bCs/>
                <w:sz w:val="20"/>
                <w:szCs w:val="20"/>
              </w:rPr>
              <w:t>Burden Manager Level (hr/year)</w:t>
            </w:r>
          </w:p>
        </w:tc>
        <w:tc>
          <w:tcPr>
            <w:tcW w:w="1275" w:type="dxa"/>
            <w:tcBorders>
              <w:top w:val="single" w:sz="12" w:space="0" w:color="auto"/>
              <w:left w:val="single" w:sz="12" w:space="0" w:color="auto"/>
              <w:bottom w:val="single" w:sz="12" w:space="0" w:color="auto"/>
              <w:right w:val="single" w:sz="12" w:space="0" w:color="auto"/>
            </w:tcBorders>
          </w:tcPr>
          <w:p w:rsidR="06AD5A6D" w:rsidRPr="000C0B5F" w:rsidP="06AD5A6D" w14:paraId="318D2ADF" w14:textId="17F4D0CB">
            <w:pPr>
              <w:rPr>
                <w:rFonts w:eastAsiaTheme="minorEastAsia" w:cstheme="minorBidi"/>
                <w:b/>
                <w:bCs/>
                <w:sz w:val="20"/>
                <w:szCs w:val="20"/>
              </w:rPr>
            </w:pPr>
            <w:r w:rsidRPr="000C0B5F">
              <w:rPr>
                <w:rFonts w:eastAsiaTheme="minorEastAsia" w:cstheme="minorBidi"/>
                <w:b/>
                <w:bCs/>
                <w:sz w:val="20"/>
                <w:szCs w:val="20"/>
              </w:rPr>
              <w:t>Burden Technical Level (hr/year)</w:t>
            </w:r>
          </w:p>
        </w:tc>
        <w:tc>
          <w:tcPr>
            <w:tcW w:w="1140" w:type="dxa"/>
            <w:tcBorders>
              <w:top w:val="single" w:sz="12" w:space="0" w:color="auto"/>
              <w:left w:val="single" w:sz="12" w:space="0" w:color="auto"/>
              <w:bottom w:val="single" w:sz="12" w:space="0" w:color="auto"/>
              <w:right w:val="single" w:sz="12" w:space="0" w:color="auto"/>
            </w:tcBorders>
          </w:tcPr>
          <w:p w:rsidR="06AD5A6D" w:rsidRPr="000C0B5F" w:rsidP="06AD5A6D" w14:paraId="742C461C" w14:textId="4175E58F">
            <w:pPr>
              <w:rPr>
                <w:rFonts w:eastAsiaTheme="minorEastAsia" w:cstheme="minorBidi"/>
                <w:b/>
                <w:bCs/>
                <w:sz w:val="20"/>
                <w:szCs w:val="20"/>
              </w:rPr>
            </w:pPr>
            <w:r w:rsidRPr="000C0B5F">
              <w:rPr>
                <w:rFonts w:eastAsiaTheme="minorEastAsia" w:cstheme="minorBidi"/>
                <w:b/>
                <w:bCs/>
                <w:sz w:val="20"/>
                <w:szCs w:val="20"/>
              </w:rPr>
              <w:t>Burden Clerical Level (hr/year)</w:t>
            </w:r>
          </w:p>
        </w:tc>
        <w:tc>
          <w:tcPr>
            <w:tcW w:w="1140" w:type="dxa"/>
            <w:tcBorders>
              <w:top w:val="single" w:sz="12" w:space="0" w:color="auto"/>
              <w:left w:val="single" w:sz="12" w:space="0" w:color="auto"/>
              <w:bottom w:val="single" w:sz="12" w:space="0" w:color="auto"/>
              <w:right w:val="single" w:sz="12" w:space="0" w:color="auto"/>
            </w:tcBorders>
          </w:tcPr>
          <w:p w:rsidR="06AD5A6D" w:rsidRPr="000C0B5F" w:rsidP="06AD5A6D" w14:paraId="7218A1CC" w14:textId="0F75F5CC">
            <w:pPr>
              <w:rPr>
                <w:rFonts w:eastAsiaTheme="minorEastAsia" w:cstheme="minorBidi"/>
                <w:b/>
                <w:bCs/>
                <w:sz w:val="20"/>
                <w:szCs w:val="20"/>
              </w:rPr>
            </w:pPr>
            <w:r w:rsidRPr="000C0B5F">
              <w:rPr>
                <w:rFonts w:eastAsiaTheme="minorEastAsia" w:cstheme="minorBidi"/>
                <w:b/>
                <w:bCs/>
                <w:sz w:val="20"/>
                <w:szCs w:val="20"/>
              </w:rPr>
              <w:t>Task Burden per Facility (hr/year)</w:t>
            </w:r>
          </w:p>
        </w:tc>
        <w:tc>
          <w:tcPr>
            <w:tcW w:w="1215" w:type="dxa"/>
            <w:tcBorders>
              <w:top w:val="single" w:sz="12" w:space="0" w:color="auto"/>
              <w:left w:val="single" w:sz="12" w:space="0" w:color="auto"/>
              <w:bottom w:val="single" w:sz="12" w:space="0" w:color="auto"/>
              <w:right w:val="single" w:sz="12" w:space="0" w:color="auto"/>
            </w:tcBorders>
          </w:tcPr>
          <w:p w:rsidR="06AD5A6D" w:rsidRPr="000C0B5F" w:rsidP="06AD5A6D" w14:paraId="7D9C6314" w14:textId="39351502">
            <w:pPr>
              <w:rPr>
                <w:rFonts w:eastAsiaTheme="minorEastAsia" w:cstheme="minorBidi"/>
                <w:b/>
                <w:bCs/>
                <w:sz w:val="20"/>
                <w:szCs w:val="20"/>
              </w:rPr>
            </w:pPr>
            <w:r w:rsidRPr="000C0B5F">
              <w:rPr>
                <w:rFonts w:eastAsiaTheme="minorEastAsia" w:cstheme="minorBidi"/>
                <w:b/>
                <w:bCs/>
                <w:sz w:val="20"/>
                <w:szCs w:val="20"/>
              </w:rPr>
              <w:t>Task Burden for all Facilities (hr/year)</w:t>
            </w:r>
          </w:p>
        </w:tc>
        <w:tc>
          <w:tcPr>
            <w:tcW w:w="1050" w:type="dxa"/>
            <w:tcBorders>
              <w:top w:val="single" w:sz="12" w:space="0" w:color="auto"/>
              <w:left w:val="single" w:sz="12" w:space="0" w:color="auto"/>
              <w:bottom w:val="single" w:sz="12" w:space="0" w:color="auto"/>
              <w:right w:val="single" w:sz="12" w:space="0" w:color="auto"/>
            </w:tcBorders>
          </w:tcPr>
          <w:p w:rsidR="06AD5A6D" w:rsidRPr="000C0B5F" w:rsidP="06AD5A6D" w14:paraId="62125327" w14:textId="1179A5BA">
            <w:pPr>
              <w:rPr>
                <w:rFonts w:eastAsiaTheme="minorEastAsia" w:cstheme="minorBidi"/>
                <w:b/>
                <w:bCs/>
                <w:sz w:val="20"/>
                <w:szCs w:val="20"/>
              </w:rPr>
            </w:pPr>
            <w:r w:rsidRPr="000C0B5F">
              <w:rPr>
                <w:rFonts w:eastAsiaTheme="minorEastAsia" w:cstheme="minorBidi"/>
                <w:b/>
                <w:bCs/>
                <w:sz w:val="20"/>
                <w:szCs w:val="20"/>
              </w:rPr>
              <w:t>Facility Labor ($/yr)</w:t>
            </w:r>
          </w:p>
        </w:tc>
        <w:tc>
          <w:tcPr>
            <w:tcW w:w="1155" w:type="dxa"/>
            <w:tcBorders>
              <w:top w:val="single" w:sz="12" w:space="0" w:color="auto"/>
              <w:left w:val="single" w:sz="12" w:space="0" w:color="auto"/>
              <w:bottom w:val="single" w:sz="12" w:space="0" w:color="auto"/>
              <w:right w:val="single" w:sz="12" w:space="0" w:color="auto"/>
            </w:tcBorders>
          </w:tcPr>
          <w:p w:rsidR="06AD5A6D" w:rsidRPr="000C0B5F" w:rsidP="06AD5A6D" w14:paraId="152F448F" w14:textId="52E7ABA7">
            <w:pPr>
              <w:rPr>
                <w:rFonts w:eastAsiaTheme="minorEastAsia" w:cstheme="minorBidi"/>
                <w:b/>
                <w:bCs/>
                <w:sz w:val="20"/>
                <w:szCs w:val="20"/>
              </w:rPr>
            </w:pPr>
            <w:r w:rsidRPr="000C0B5F">
              <w:rPr>
                <w:rFonts w:eastAsiaTheme="minorEastAsia" w:cstheme="minorBidi"/>
                <w:b/>
                <w:bCs/>
                <w:sz w:val="20"/>
                <w:szCs w:val="20"/>
              </w:rPr>
              <w:t>All Facilities Total Labor ($/yr)</w:t>
            </w:r>
          </w:p>
        </w:tc>
      </w:tr>
      <w:tr w14:paraId="017B994A" w14:textId="77777777" w:rsidTr="00FC6893">
        <w:tblPrEx>
          <w:tblW w:w="9435" w:type="dxa"/>
          <w:tblLayout w:type="fixed"/>
          <w:tblLook w:val="06A0"/>
        </w:tblPrEx>
        <w:trPr>
          <w:trHeight w:val="300"/>
        </w:trPr>
        <w:tc>
          <w:tcPr>
            <w:tcW w:w="1395" w:type="dxa"/>
            <w:tcBorders>
              <w:top w:val="single" w:sz="12" w:space="0" w:color="auto"/>
              <w:left w:val="single" w:sz="12" w:space="0" w:color="auto"/>
              <w:bottom w:val="single" w:sz="4" w:space="0" w:color="auto"/>
              <w:right w:val="single" w:sz="12" w:space="0" w:color="auto"/>
            </w:tcBorders>
          </w:tcPr>
          <w:p w:rsidR="06AD5A6D" w:rsidRPr="000C0B5F" w:rsidP="06AD5A6D" w14:paraId="20BA25F4" w14:textId="1AEC60F0">
            <w:pPr>
              <w:rPr>
                <w:rFonts w:eastAsiaTheme="minorEastAsia" w:cstheme="minorBidi"/>
                <w:sz w:val="20"/>
                <w:szCs w:val="20"/>
              </w:rPr>
            </w:pPr>
            <w:r w:rsidRPr="000C0B5F">
              <w:rPr>
                <w:rFonts w:eastAsiaTheme="minorEastAsia" w:cstheme="minorBidi"/>
                <w:sz w:val="20"/>
                <w:szCs w:val="20"/>
              </w:rPr>
              <w:t>Read and understand the regulatory provision</w:t>
            </w:r>
          </w:p>
        </w:tc>
        <w:tc>
          <w:tcPr>
            <w:tcW w:w="1065" w:type="dxa"/>
            <w:tcBorders>
              <w:top w:val="single" w:sz="12" w:space="0" w:color="auto"/>
              <w:left w:val="single" w:sz="12" w:space="0" w:color="auto"/>
              <w:bottom w:val="single" w:sz="4" w:space="0" w:color="auto"/>
              <w:right w:val="single" w:sz="4" w:space="0" w:color="auto"/>
            </w:tcBorders>
          </w:tcPr>
          <w:p w:rsidR="06AD5A6D" w:rsidRPr="000C0B5F" w:rsidP="06AD5A6D" w14:paraId="6F236873" w14:textId="07F8D552">
            <w:pPr>
              <w:jc w:val="center"/>
              <w:rPr>
                <w:rFonts w:eastAsiaTheme="minorEastAsia" w:cstheme="minorBidi"/>
                <w:sz w:val="20"/>
                <w:szCs w:val="20"/>
              </w:rPr>
            </w:pPr>
            <w:r w:rsidRPr="000C0B5F">
              <w:rPr>
                <w:rFonts w:eastAsiaTheme="minorEastAsia" w:cstheme="minorBidi"/>
                <w:sz w:val="20"/>
                <w:szCs w:val="20"/>
              </w:rPr>
              <w:t>10</w:t>
            </w:r>
          </w:p>
        </w:tc>
        <w:tc>
          <w:tcPr>
            <w:tcW w:w="1275" w:type="dxa"/>
            <w:tcBorders>
              <w:top w:val="single" w:sz="12" w:space="0" w:color="auto"/>
              <w:left w:val="single" w:sz="4" w:space="0" w:color="auto"/>
              <w:bottom w:val="single" w:sz="4" w:space="0" w:color="auto"/>
              <w:right w:val="single" w:sz="4" w:space="0" w:color="auto"/>
            </w:tcBorders>
          </w:tcPr>
          <w:p w:rsidR="06AD5A6D" w:rsidRPr="000C0B5F" w:rsidP="06AD5A6D" w14:paraId="2105B0A5" w14:textId="7CAC9CD3">
            <w:pPr>
              <w:jc w:val="center"/>
              <w:rPr>
                <w:rFonts w:eastAsiaTheme="minorEastAsia" w:cstheme="minorBidi"/>
                <w:sz w:val="20"/>
                <w:szCs w:val="20"/>
              </w:rPr>
            </w:pPr>
            <w:r w:rsidRPr="000C0B5F">
              <w:rPr>
                <w:rFonts w:eastAsiaTheme="minorEastAsia" w:cstheme="minorBidi"/>
                <w:sz w:val="20"/>
                <w:szCs w:val="20"/>
              </w:rPr>
              <w:t>0</w:t>
            </w:r>
          </w:p>
        </w:tc>
        <w:tc>
          <w:tcPr>
            <w:tcW w:w="1140" w:type="dxa"/>
            <w:tcBorders>
              <w:top w:val="single" w:sz="12" w:space="0" w:color="auto"/>
              <w:left w:val="single" w:sz="4" w:space="0" w:color="auto"/>
              <w:bottom w:val="single" w:sz="4" w:space="0" w:color="auto"/>
              <w:right w:val="single" w:sz="4" w:space="0" w:color="auto"/>
            </w:tcBorders>
          </w:tcPr>
          <w:p w:rsidR="06AD5A6D" w:rsidRPr="000C0B5F" w:rsidP="06AD5A6D" w14:paraId="21C6626F" w14:textId="5E4857D8">
            <w:pPr>
              <w:jc w:val="center"/>
              <w:rPr>
                <w:rFonts w:eastAsiaTheme="minorEastAsia" w:cstheme="minorBidi"/>
                <w:sz w:val="20"/>
                <w:szCs w:val="20"/>
              </w:rPr>
            </w:pPr>
            <w:r w:rsidRPr="000C0B5F">
              <w:rPr>
                <w:rFonts w:eastAsiaTheme="minorEastAsia" w:cstheme="minorBidi"/>
                <w:sz w:val="20"/>
                <w:szCs w:val="20"/>
              </w:rPr>
              <w:t>0</w:t>
            </w:r>
          </w:p>
        </w:tc>
        <w:tc>
          <w:tcPr>
            <w:tcW w:w="1140" w:type="dxa"/>
            <w:tcBorders>
              <w:top w:val="single" w:sz="12" w:space="0" w:color="auto"/>
              <w:left w:val="single" w:sz="4" w:space="0" w:color="auto"/>
              <w:bottom w:val="single" w:sz="4" w:space="0" w:color="auto"/>
              <w:right w:val="single" w:sz="4" w:space="0" w:color="auto"/>
            </w:tcBorders>
          </w:tcPr>
          <w:p w:rsidR="06AD5A6D" w:rsidRPr="000C0B5F" w:rsidP="06AD5A6D" w14:paraId="01BA0E08" w14:textId="420EC623">
            <w:pPr>
              <w:jc w:val="center"/>
              <w:rPr>
                <w:rFonts w:eastAsiaTheme="minorEastAsia" w:cstheme="minorBidi"/>
                <w:sz w:val="20"/>
                <w:szCs w:val="20"/>
              </w:rPr>
            </w:pPr>
            <w:r w:rsidRPr="000C0B5F">
              <w:rPr>
                <w:rFonts w:eastAsiaTheme="minorEastAsia" w:cstheme="minorBidi"/>
                <w:sz w:val="20"/>
                <w:szCs w:val="20"/>
              </w:rPr>
              <w:t>10</w:t>
            </w:r>
          </w:p>
        </w:tc>
        <w:tc>
          <w:tcPr>
            <w:tcW w:w="1215" w:type="dxa"/>
            <w:tcBorders>
              <w:top w:val="single" w:sz="12" w:space="0" w:color="auto"/>
              <w:left w:val="single" w:sz="4" w:space="0" w:color="auto"/>
              <w:bottom w:val="single" w:sz="4" w:space="0" w:color="auto"/>
              <w:right w:val="single" w:sz="12" w:space="0" w:color="auto"/>
            </w:tcBorders>
          </w:tcPr>
          <w:p w:rsidR="06AD5A6D" w:rsidRPr="000C0B5F" w:rsidP="06AD5A6D" w14:paraId="33561FD2" w14:textId="3E56B1AA">
            <w:pPr>
              <w:jc w:val="center"/>
              <w:rPr>
                <w:rFonts w:eastAsiaTheme="minorEastAsia" w:cstheme="minorBidi"/>
                <w:sz w:val="20"/>
                <w:szCs w:val="20"/>
              </w:rPr>
            </w:pPr>
            <w:r w:rsidRPr="000C0B5F">
              <w:rPr>
                <w:rFonts w:eastAsiaTheme="minorEastAsia" w:cstheme="minorBidi"/>
                <w:sz w:val="20"/>
                <w:szCs w:val="20"/>
              </w:rPr>
              <w:t>130</w:t>
            </w:r>
          </w:p>
        </w:tc>
        <w:tc>
          <w:tcPr>
            <w:tcW w:w="1050" w:type="dxa"/>
            <w:tcBorders>
              <w:top w:val="single" w:sz="12" w:space="0" w:color="auto"/>
              <w:left w:val="single" w:sz="12" w:space="0" w:color="auto"/>
              <w:bottom w:val="single" w:sz="4" w:space="0" w:color="auto"/>
              <w:right w:val="single" w:sz="4" w:space="0" w:color="auto"/>
            </w:tcBorders>
          </w:tcPr>
          <w:p w:rsidR="06AD5A6D" w:rsidRPr="000C0B5F" w:rsidP="06AD5A6D" w14:paraId="0F81C696" w14:textId="600FC49E">
            <w:pPr>
              <w:jc w:val="center"/>
              <w:rPr>
                <w:rFonts w:eastAsiaTheme="minorEastAsia" w:cstheme="minorBidi"/>
                <w:sz w:val="20"/>
                <w:szCs w:val="20"/>
              </w:rPr>
            </w:pPr>
            <w:r w:rsidRPr="000C0B5F">
              <w:rPr>
                <w:rFonts w:eastAsiaTheme="minorEastAsia" w:cstheme="minorBidi"/>
                <w:sz w:val="20"/>
                <w:szCs w:val="20"/>
              </w:rPr>
              <w:t>$1,335</w:t>
            </w:r>
          </w:p>
        </w:tc>
        <w:tc>
          <w:tcPr>
            <w:tcW w:w="1155" w:type="dxa"/>
            <w:tcBorders>
              <w:top w:val="single" w:sz="12" w:space="0" w:color="auto"/>
              <w:left w:val="single" w:sz="4" w:space="0" w:color="auto"/>
              <w:bottom w:val="single" w:sz="4" w:space="0" w:color="auto"/>
              <w:right w:val="single" w:sz="12" w:space="0" w:color="auto"/>
            </w:tcBorders>
          </w:tcPr>
          <w:p w:rsidR="06AD5A6D" w:rsidRPr="000C0B5F" w:rsidP="06AD5A6D" w14:paraId="16D3A26E" w14:textId="6764416B">
            <w:pPr>
              <w:jc w:val="center"/>
              <w:rPr>
                <w:rFonts w:eastAsiaTheme="minorEastAsia" w:cstheme="minorBidi"/>
                <w:sz w:val="20"/>
                <w:szCs w:val="20"/>
              </w:rPr>
            </w:pPr>
            <w:r w:rsidRPr="000C0B5F">
              <w:rPr>
                <w:rFonts w:eastAsiaTheme="minorEastAsia" w:cstheme="minorBidi"/>
                <w:sz w:val="20"/>
                <w:szCs w:val="20"/>
              </w:rPr>
              <w:t>$17,355</w:t>
            </w:r>
          </w:p>
        </w:tc>
      </w:tr>
      <w:tr w14:paraId="56007AFB" w14:textId="77777777" w:rsidTr="00FC6893">
        <w:tblPrEx>
          <w:tblW w:w="9435" w:type="dxa"/>
          <w:tblLayout w:type="fixed"/>
          <w:tblLook w:val="06A0"/>
        </w:tblPrEx>
        <w:trPr>
          <w:trHeight w:val="300"/>
        </w:trPr>
        <w:tc>
          <w:tcPr>
            <w:tcW w:w="1395" w:type="dxa"/>
            <w:tcBorders>
              <w:top w:val="single" w:sz="4" w:space="0" w:color="auto"/>
              <w:left w:val="single" w:sz="12" w:space="0" w:color="auto"/>
              <w:bottom w:val="single" w:sz="4" w:space="0" w:color="auto"/>
              <w:right w:val="single" w:sz="12" w:space="0" w:color="auto"/>
            </w:tcBorders>
          </w:tcPr>
          <w:p w:rsidR="06AD5A6D" w:rsidRPr="000C0B5F" w:rsidP="06AD5A6D" w14:paraId="7BF565F4" w14:textId="09EEA8B4">
            <w:pPr>
              <w:rPr>
                <w:rFonts w:eastAsiaTheme="minorEastAsia" w:cstheme="minorBidi"/>
                <w:sz w:val="20"/>
                <w:szCs w:val="20"/>
              </w:rPr>
            </w:pPr>
            <w:r w:rsidRPr="000C0B5F">
              <w:rPr>
                <w:rFonts w:eastAsiaTheme="minorEastAsia" w:cstheme="minorBidi"/>
                <w:sz w:val="20"/>
                <w:szCs w:val="20"/>
              </w:rPr>
              <w:t>Perform radon flux testing</w:t>
            </w:r>
          </w:p>
        </w:tc>
        <w:tc>
          <w:tcPr>
            <w:tcW w:w="1065" w:type="dxa"/>
            <w:tcBorders>
              <w:top w:val="single" w:sz="4" w:space="0" w:color="auto"/>
              <w:left w:val="single" w:sz="12" w:space="0" w:color="auto"/>
              <w:bottom w:val="single" w:sz="4" w:space="0" w:color="auto"/>
              <w:right w:val="single" w:sz="4" w:space="0" w:color="auto"/>
            </w:tcBorders>
          </w:tcPr>
          <w:p w:rsidR="06AD5A6D" w:rsidRPr="000C0B5F" w:rsidP="06AD5A6D" w14:paraId="1D618665" w14:textId="68EE327B">
            <w:pPr>
              <w:jc w:val="center"/>
              <w:rPr>
                <w:rFonts w:eastAsiaTheme="minorEastAsia" w:cstheme="minorBidi"/>
                <w:sz w:val="20"/>
                <w:szCs w:val="20"/>
              </w:rPr>
            </w:pPr>
            <w:r w:rsidRPr="000C0B5F">
              <w:rPr>
                <w:rFonts w:eastAsiaTheme="minorEastAsia" w:cstheme="minorBidi"/>
                <w:sz w:val="20"/>
                <w:szCs w:val="20"/>
              </w:rPr>
              <w:t>0</w:t>
            </w:r>
          </w:p>
        </w:tc>
        <w:tc>
          <w:tcPr>
            <w:tcW w:w="1275" w:type="dxa"/>
            <w:tcBorders>
              <w:top w:val="single" w:sz="4" w:space="0" w:color="auto"/>
              <w:left w:val="single" w:sz="4" w:space="0" w:color="auto"/>
              <w:bottom w:val="single" w:sz="4" w:space="0" w:color="auto"/>
              <w:right w:val="single" w:sz="4" w:space="0" w:color="auto"/>
            </w:tcBorders>
          </w:tcPr>
          <w:p w:rsidR="06AD5A6D" w:rsidRPr="000C0B5F" w:rsidP="06AD5A6D" w14:paraId="4CD55308" w14:textId="4D0A2C3B">
            <w:pPr>
              <w:jc w:val="center"/>
              <w:rPr>
                <w:rFonts w:eastAsiaTheme="minorEastAsia" w:cstheme="minorBidi"/>
                <w:sz w:val="20"/>
                <w:szCs w:val="20"/>
              </w:rPr>
            </w:pPr>
            <w:r w:rsidRPr="000C0B5F">
              <w:rPr>
                <w:rFonts w:eastAsiaTheme="minorEastAsia" w:cstheme="minorBidi"/>
                <w:sz w:val="20"/>
                <w:szCs w:val="20"/>
              </w:rPr>
              <w:t>64</w:t>
            </w:r>
          </w:p>
        </w:tc>
        <w:tc>
          <w:tcPr>
            <w:tcW w:w="1140" w:type="dxa"/>
            <w:tcBorders>
              <w:top w:val="single" w:sz="4" w:space="0" w:color="auto"/>
              <w:left w:val="single" w:sz="4" w:space="0" w:color="auto"/>
              <w:bottom w:val="single" w:sz="4" w:space="0" w:color="auto"/>
              <w:right w:val="single" w:sz="4" w:space="0" w:color="auto"/>
            </w:tcBorders>
          </w:tcPr>
          <w:p w:rsidR="06AD5A6D" w:rsidRPr="000C0B5F" w:rsidP="06AD5A6D" w14:paraId="13ACFCFF" w14:textId="22E3BAB5">
            <w:pPr>
              <w:jc w:val="center"/>
              <w:rPr>
                <w:rFonts w:eastAsiaTheme="minorEastAsia" w:cstheme="minorBidi"/>
                <w:sz w:val="20"/>
                <w:szCs w:val="20"/>
              </w:rPr>
            </w:pPr>
            <w:r w:rsidRPr="000C0B5F">
              <w:rPr>
                <w:rFonts w:eastAsiaTheme="minorEastAsia" w:cstheme="minorBidi"/>
                <w:sz w:val="20"/>
                <w:szCs w:val="20"/>
              </w:rPr>
              <w:t>0</w:t>
            </w:r>
          </w:p>
        </w:tc>
        <w:tc>
          <w:tcPr>
            <w:tcW w:w="1140" w:type="dxa"/>
            <w:tcBorders>
              <w:top w:val="single" w:sz="4" w:space="0" w:color="auto"/>
              <w:left w:val="single" w:sz="4" w:space="0" w:color="auto"/>
              <w:bottom w:val="single" w:sz="4" w:space="0" w:color="auto"/>
              <w:right w:val="single" w:sz="4" w:space="0" w:color="auto"/>
            </w:tcBorders>
          </w:tcPr>
          <w:p w:rsidR="06AD5A6D" w:rsidRPr="000C0B5F" w:rsidP="06AD5A6D" w14:paraId="09DB1CEF" w14:textId="78E6A78F">
            <w:pPr>
              <w:jc w:val="center"/>
              <w:rPr>
                <w:rFonts w:eastAsiaTheme="minorEastAsia" w:cstheme="minorBidi"/>
                <w:sz w:val="20"/>
                <w:szCs w:val="20"/>
              </w:rPr>
            </w:pPr>
            <w:r w:rsidRPr="000C0B5F">
              <w:rPr>
                <w:rFonts w:eastAsiaTheme="minorEastAsia" w:cstheme="minorBidi"/>
                <w:sz w:val="20"/>
                <w:szCs w:val="20"/>
              </w:rPr>
              <w:t>64</w:t>
            </w:r>
          </w:p>
        </w:tc>
        <w:tc>
          <w:tcPr>
            <w:tcW w:w="1215" w:type="dxa"/>
            <w:tcBorders>
              <w:top w:val="single" w:sz="4" w:space="0" w:color="auto"/>
              <w:left w:val="single" w:sz="4" w:space="0" w:color="auto"/>
              <w:bottom w:val="single" w:sz="4" w:space="0" w:color="auto"/>
              <w:right w:val="single" w:sz="12" w:space="0" w:color="auto"/>
            </w:tcBorders>
          </w:tcPr>
          <w:p w:rsidR="06AD5A6D" w:rsidRPr="000C0B5F" w:rsidP="06AD5A6D" w14:paraId="1FC001AD" w14:textId="5879ADDF">
            <w:pPr>
              <w:jc w:val="center"/>
              <w:rPr>
                <w:rFonts w:eastAsiaTheme="minorEastAsia" w:cstheme="minorBidi"/>
                <w:sz w:val="20"/>
                <w:szCs w:val="20"/>
              </w:rPr>
            </w:pPr>
            <w:r w:rsidRPr="000C0B5F">
              <w:rPr>
                <w:rFonts w:eastAsiaTheme="minorEastAsia" w:cstheme="minorBidi"/>
                <w:sz w:val="20"/>
                <w:szCs w:val="20"/>
              </w:rPr>
              <w:t>832</w:t>
            </w:r>
          </w:p>
        </w:tc>
        <w:tc>
          <w:tcPr>
            <w:tcW w:w="1050" w:type="dxa"/>
            <w:tcBorders>
              <w:top w:val="single" w:sz="4" w:space="0" w:color="auto"/>
              <w:left w:val="single" w:sz="12" w:space="0" w:color="auto"/>
              <w:bottom w:val="single" w:sz="4" w:space="0" w:color="auto"/>
              <w:right w:val="single" w:sz="4" w:space="0" w:color="auto"/>
            </w:tcBorders>
          </w:tcPr>
          <w:p w:rsidR="06AD5A6D" w:rsidRPr="000C0B5F" w:rsidP="06AD5A6D" w14:paraId="23A4889C" w14:textId="3EDC8BC4">
            <w:pPr>
              <w:jc w:val="center"/>
              <w:rPr>
                <w:rFonts w:eastAsiaTheme="minorEastAsia" w:cstheme="minorBidi"/>
                <w:sz w:val="20"/>
                <w:szCs w:val="20"/>
              </w:rPr>
            </w:pPr>
            <w:r w:rsidRPr="000C0B5F">
              <w:rPr>
                <w:rFonts w:eastAsiaTheme="minorEastAsia" w:cstheme="minorBidi"/>
                <w:sz w:val="20"/>
                <w:szCs w:val="20"/>
              </w:rPr>
              <w:t>$5,824</w:t>
            </w:r>
          </w:p>
        </w:tc>
        <w:tc>
          <w:tcPr>
            <w:tcW w:w="1155" w:type="dxa"/>
            <w:tcBorders>
              <w:top w:val="single" w:sz="4" w:space="0" w:color="auto"/>
              <w:left w:val="single" w:sz="4" w:space="0" w:color="auto"/>
              <w:bottom w:val="single" w:sz="4" w:space="0" w:color="auto"/>
              <w:right w:val="single" w:sz="12" w:space="0" w:color="auto"/>
            </w:tcBorders>
          </w:tcPr>
          <w:p w:rsidR="06AD5A6D" w:rsidRPr="000C0B5F" w:rsidP="06AD5A6D" w14:paraId="3D3411C6" w14:textId="617F9C8A">
            <w:pPr>
              <w:jc w:val="center"/>
              <w:rPr>
                <w:rFonts w:eastAsiaTheme="minorEastAsia" w:cstheme="minorBidi"/>
                <w:sz w:val="20"/>
                <w:szCs w:val="20"/>
              </w:rPr>
            </w:pPr>
            <w:r w:rsidRPr="000C0B5F">
              <w:rPr>
                <w:rFonts w:eastAsiaTheme="minorEastAsia" w:cstheme="minorBidi"/>
                <w:sz w:val="20"/>
                <w:szCs w:val="20"/>
              </w:rPr>
              <w:t>$75,712</w:t>
            </w:r>
          </w:p>
        </w:tc>
      </w:tr>
      <w:tr w14:paraId="1A64F49B" w14:textId="77777777" w:rsidTr="00FC6893">
        <w:tblPrEx>
          <w:tblW w:w="9435" w:type="dxa"/>
          <w:tblLayout w:type="fixed"/>
          <w:tblLook w:val="06A0"/>
        </w:tblPrEx>
        <w:trPr>
          <w:trHeight w:val="300"/>
        </w:trPr>
        <w:tc>
          <w:tcPr>
            <w:tcW w:w="1395" w:type="dxa"/>
            <w:tcBorders>
              <w:top w:val="single" w:sz="4" w:space="0" w:color="auto"/>
              <w:left w:val="single" w:sz="12" w:space="0" w:color="auto"/>
              <w:bottom w:val="single" w:sz="4" w:space="0" w:color="auto"/>
              <w:right w:val="single" w:sz="12" w:space="0" w:color="auto"/>
            </w:tcBorders>
          </w:tcPr>
          <w:p w:rsidR="06AD5A6D" w:rsidRPr="000C0B5F" w:rsidP="06AD5A6D" w14:paraId="6D17B3FF" w14:textId="6A203508">
            <w:pPr>
              <w:rPr>
                <w:rFonts w:eastAsiaTheme="minorEastAsia" w:cstheme="minorBidi"/>
                <w:sz w:val="20"/>
                <w:szCs w:val="20"/>
              </w:rPr>
            </w:pPr>
            <w:r w:rsidRPr="000C0B5F">
              <w:rPr>
                <w:rFonts w:eastAsiaTheme="minorEastAsia" w:cstheme="minorBidi"/>
                <w:sz w:val="20"/>
                <w:szCs w:val="20"/>
              </w:rPr>
              <w:t>Perform radium-226 sampling and measurement</w:t>
            </w:r>
          </w:p>
        </w:tc>
        <w:tc>
          <w:tcPr>
            <w:tcW w:w="1065" w:type="dxa"/>
            <w:tcBorders>
              <w:top w:val="single" w:sz="4" w:space="0" w:color="auto"/>
              <w:left w:val="single" w:sz="12" w:space="0" w:color="auto"/>
              <w:bottom w:val="single" w:sz="4" w:space="0" w:color="auto"/>
              <w:right w:val="single" w:sz="4" w:space="0" w:color="auto"/>
            </w:tcBorders>
          </w:tcPr>
          <w:p w:rsidR="06AD5A6D" w:rsidRPr="000C0B5F" w:rsidP="06AD5A6D" w14:paraId="0EA2725D" w14:textId="6077FF1F">
            <w:pPr>
              <w:jc w:val="center"/>
              <w:rPr>
                <w:rFonts w:eastAsiaTheme="minorEastAsia" w:cstheme="minorBidi"/>
                <w:sz w:val="20"/>
                <w:szCs w:val="20"/>
              </w:rPr>
            </w:pPr>
            <w:r w:rsidRPr="000C0B5F">
              <w:rPr>
                <w:rFonts w:eastAsiaTheme="minorEastAsia" w:cstheme="minorBidi"/>
                <w:sz w:val="20"/>
                <w:szCs w:val="20"/>
              </w:rPr>
              <w:t>0</w:t>
            </w:r>
          </w:p>
        </w:tc>
        <w:tc>
          <w:tcPr>
            <w:tcW w:w="1275" w:type="dxa"/>
            <w:tcBorders>
              <w:top w:val="single" w:sz="4" w:space="0" w:color="auto"/>
              <w:left w:val="single" w:sz="4" w:space="0" w:color="auto"/>
              <w:bottom w:val="single" w:sz="4" w:space="0" w:color="auto"/>
              <w:right w:val="single" w:sz="4" w:space="0" w:color="auto"/>
            </w:tcBorders>
          </w:tcPr>
          <w:p w:rsidR="06AD5A6D" w:rsidRPr="000C0B5F" w:rsidP="06AD5A6D" w14:paraId="261F1122" w14:textId="4623854F">
            <w:pPr>
              <w:jc w:val="center"/>
              <w:rPr>
                <w:rFonts w:eastAsiaTheme="minorEastAsia" w:cstheme="minorBidi"/>
                <w:sz w:val="20"/>
                <w:szCs w:val="20"/>
              </w:rPr>
            </w:pPr>
            <w:r w:rsidRPr="000C0B5F">
              <w:rPr>
                <w:rFonts w:eastAsiaTheme="minorEastAsia" w:cstheme="minorBidi"/>
                <w:sz w:val="20"/>
                <w:szCs w:val="20"/>
              </w:rPr>
              <w:t>20</w:t>
            </w:r>
          </w:p>
        </w:tc>
        <w:tc>
          <w:tcPr>
            <w:tcW w:w="1140" w:type="dxa"/>
            <w:tcBorders>
              <w:top w:val="single" w:sz="4" w:space="0" w:color="auto"/>
              <w:left w:val="single" w:sz="4" w:space="0" w:color="auto"/>
              <w:bottom w:val="single" w:sz="4" w:space="0" w:color="auto"/>
              <w:right w:val="single" w:sz="4" w:space="0" w:color="auto"/>
            </w:tcBorders>
          </w:tcPr>
          <w:p w:rsidR="06AD5A6D" w:rsidRPr="000C0B5F" w:rsidP="06AD5A6D" w14:paraId="2F35E8F3" w14:textId="688AD263">
            <w:pPr>
              <w:jc w:val="center"/>
              <w:rPr>
                <w:rFonts w:eastAsiaTheme="minorEastAsia" w:cstheme="minorBidi"/>
                <w:sz w:val="20"/>
                <w:szCs w:val="20"/>
              </w:rPr>
            </w:pPr>
            <w:r w:rsidRPr="000C0B5F">
              <w:rPr>
                <w:rFonts w:eastAsiaTheme="minorEastAsia" w:cstheme="minorBidi"/>
                <w:sz w:val="20"/>
                <w:szCs w:val="20"/>
              </w:rPr>
              <w:t>0</w:t>
            </w:r>
          </w:p>
        </w:tc>
        <w:tc>
          <w:tcPr>
            <w:tcW w:w="1140" w:type="dxa"/>
            <w:tcBorders>
              <w:top w:val="single" w:sz="4" w:space="0" w:color="auto"/>
              <w:left w:val="single" w:sz="4" w:space="0" w:color="auto"/>
              <w:bottom w:val="single" w:sz="4" w:space="0" w:color="auto"/>
              <w:right w:val="single" w:sz="4" w:space="0" w:color="auto"/>
            </w:tcBorders>
          </w:tcPr>
          <w:p w:rsidR="06AD5A6D" w:rsidRPr="000C0B5F" w:rsidP="06AD5A6D" w14:paraId="2564F2E4" w14:textId="60C678D0">
            <w:pPr>
              <w:jc w:val="center"/>
              <w:rPr>
                <w:rFonts w:eastAsiaTheme="minorEastAsia" w:cstheme="minorBidi"/>
                <w:sz w:val="20"/>
                <w:szCs w:val="20"/>
              </w:rPr>
            </w:pPr>
            <w:r w:rsidRPr="000C0B5F">
              <w:rPr>
                <w:rFonts w:eastAsiaTheme="minorEastAsia" w:cstheme="minorBidi"/>
                <w:sz w:val="20"/>
                <w:szCs w:val="20"/>
              </w:rPr>
              <w:t>20</w:t>
            </w:r>
          </w:p>
        </w:tc>
        <w:tc>
          <w:tcPr>
            <w:tcW w:w="1215" w:type="dxa"/>
            <w:tcBorders>
              <w:top w:val="single" w:sz="4" w:space="0" w:color="auto"/>
              <w:left w:val="single" w:sz="4" w:space="0" w:color="auto"/>
              <w:bottom w:val="single" w:sz="4" w:space="0" w:color="auto"/>
              <w:right w:val="single" w:sz="12" w:space="0" w:color="auto"/>
            </w:tcBorders>
          </w:tcPr>
          <w:p w:rsidR="06AD5A6D" w:rsidRPr="000C0B5F" w:rsidP="06AD5A6D" w14:paraId="0F842BE7" w14:textId="25F218B7">
            <w:pPr>
              <w:jc w:val="center"/>
              <w:rPr>
                <w:rFonts w:eastAsiaTheme="minorEastAsia" w:cstheme="minorBidi"/>
                <w:sz w:val="20"/>
                <w:szCs w:val="20"/>
              </w:rPr>
            </w:pPr>
            <w:r w:rsidRPr="000C0B5F">
              <w:rPr>
                <w:rFonts w:eastAsiaTheme="minorEastAsia" w:cstheme="minorBidi"/>
                <w:sz w:val="20"/>
                <w:szCs w:val="20"/>
              </w:rPr>
              <w:t>260</w:t>
            </w:r>
          </w:p>
        </w:tc>
        <w:tc>
          <w:tcPr>
            <w:tcW w:w="1050" w:type="dxa"/>
            <w:tcBorders>
              <w:top w:val="single" w:sz="4" w:space="0" w:color="auto"/>
              <w:left w:val="single" w:sz="12" w:space="0" w:color="auto"/>
              <w:bottom w:val="single" w:sz="4" w:space="0" w:color="auto"/>
              <w:right w:val="single" w:sz="4" w:space="0" w:color="auto"/>
            </w:tcBorders>
          </w:tcPr>
          <w:p w:rsidR="06AD5A6D" w:rsidRPr="000C0B5F" w:rsidP="06AD5A6D" w14:paraId="113BF9FD" w14:textId="2D7D00C0">
            <w:pPr>
              <w:jc w:val="center"/>
              <w:rPr>
                <w:rFonts w:eastAsiaTheme="minorEastAsia" w:cstheme="minorBidi"/>
                <w:sz w:val="20"/>
                <w:szCs w:val="20"/>
              </w:rPr>
            </w:pPr>
            <w:r w:rsidRPr="000C0B5F">
              <w:rPr>
                <w:rFonts w:eastAsiaTheme="minorEastAsia" w:cstheme="minorBidi"/>
                <w:sz w:val="20"/>
                <w:szCs w:val="20"/>
              </w:rPr>
              <w:t xml:space="preserve"> </w:t>
            </w:r>
          </w:p>
        </w:tc>
        <w:tc>
          <w:tcPr>
            <w:tcW w:w="1155" w:type="dxa"/>
            <w:tcBorders>
              <w:top w:val="single" w:sz="4" w:space="0" w:color="auto"/>
              <w:left w:val="single" w:sz="4" w:space="0" w:color="auto"/>
              <w:bottom w:val="single" w:sz="4" w:space="0" w:color="auto"/>
              <w:right w:val="single" w:sz="12" w:space="0" w:color="auto"/>
            </w:tcBorders>
          </w:tcPr>
          <w:p w:rsidR="06AD5A6D" w:rsidRPr="000C0B5F" w:rsidP="06AD5A6D" w14:paraId="3FB6C5A5" w14:textId="2DE82F3E">
            <w:pPr>
              <w:jc w:val="center"/>
              <w:rPr>
                <w:rFonts w:eastAsiaTheme="minorEastAsia" w:cstheme="minorBidi"/>
                <w:sz w:val="20"/>
                <w:szCs w:val="20"/>
              </w:rPr>
            </w:pPr>
            <w:r w:rsidRPr="000C0B5F">
              <w:rPr>
                <w:rFonts w:eastAsiaTheme="minorEastAsia" w:cstheme="minorBidi"/>
                <w:sz w:val="20"/>
                <w:szCs w:val="20"/>
              </w:rPr>
              <w:t xml:space="preserve"> </w:t>
            </w:r>
          </w:p>
        </w:tc>
      </w:tr>
      <w:tr w14:paraId="25A4FBD4" w14:textId="77777777" w:rsidTr="00FC6893">
        <w:tblPrEx>
          <w:tblW w:w="9435" w:type="dxa"/>
          <w:tblLayout w:type="fixed"/>
          <w:tblLook w:val="06A0"/>
        </w:tblPrEx>
        <w:trPr>
          <w:trHeight w:val="300"/>
        </w:trPr>
        <w:tc>
          <w:tcPr>
            <w:tcW w:w="1395" w:type="dxa"/>
            <w:tcBorders>
              <w:top w:val="single" w:sz="4" w:space="0" w:color="auto"/>
              <w:left w:val="single" w:sz="12" w:space="0" w:color="auto"/>
              <w:bottom w:val="single" w:sz="4" w:space="0" w:color="auto"/>
              <w:right w:val="single" w:sz="12" w:space="0" w:color="auto"/>
            </w:tcBorders>
          </w:tcPr>
          <w:p w:rsidR="06AD5A6D" w:rsidRPr="000C0B5F" w:rsidP="06AD5A6D" w14:paraId="156539A3" w14:textId="44CE4912">
            <w:pPr>
              <w:rPr>
                <w:rFonts w:eastAsiaTheme="minorEastAsia" w:cstheme="minorBidi"/>
                <w:sz w:val="20"/>
                <w:szCs w:val="20"/>
              </w:rPr>
            </w:pPr>
            <w:r w:rsidRPr="000C0B5F">
              <w:rPr>
                <w:rFonts w:eastAsiaTheme="minorEastAsia" w:cstheme="minorBidi"/>
                <w:sz w:val="20"/>
                <w:szCs w:val="20"/>
              </w:rPr>
              <w:t>Perform data analysis</w:t>
            </w:r>
          </w:p>
        </w:tc>
        <w:tc>
          <w:tcPr>
            <w:tcW w:w="1065" w:type="dxa"/>
            <w:tcBorders>
              <w:top w:val="single" w:sz="4" w:space="0" w:color="auto"/>
              <w:left w:val="single" w:sz="12" w:space="0" w:color="auto"/>
              <w:bottom w:val="single" w:sz="4" w:space="0" w:color="auto"/>
              <w:right w:val="single" w:sz="4" w:space="0" w:color="auto"/>
            </w:tcBorders>
          </w:tcPr>
          <w:p w:rsidR="06AD5A6D" w:rsidRPr="000C0B5F" w:rsidP="06AD5A6D" w14:paraId="671279D6" w14:textId="02A00F3A">
            <w:pPr>
              <w:jc w:val="center"/>
              <w:rPr>
                <w:rFonts w:eastAsiaTheme="minorEastAsia" w:cstheme="minorBidi"/>
                <w:sz w:val="20"/>
                <w:szCs w:val="20"/>
              </w:rPr>
            </w:pPr>
            <w:r w:rsidRPr="000C0B5F">
              <w:rPr>
                <w:rFonts w:eastAsiaTheme="minorEastAsia" w:cstheme="minorBidi"/>
                <w:sz w:val="20"/>
                <w:szCs w:val="20"/>
              </w:rPr>
              <w:t>0</w:t>
            </w:r>
          </w:p>
        </w:tc>
        <w:tc>
          <w:tcPr>
            <w:tcW w:w="1275" w:type="dxa"/>
            <w:tcBorders>
              <w:top w:val="single" w:sz="4" w:space="0" w:color="auto"/>
              <w:left w:val="single" w:sz="4" w:space="0" w:color="auto"/>
              <w:bottom w:val="single" w:sz="4" w:space="0" w:color="auto"/>
              <w:right w:val="single" w:sz="4" w:space="0" w:color="auto"/>
            </w:tcBorders>
          </w:tcPr>
          <w:p w:rsidR="06AD5A6D" w:rsidRPr="000C0B5F" w:rsidP="06AD5A6D" w14:paraId="08EBB1E4" w14:textId="120E0A77">
            <w:pPr>
              <w:jc w:val="center"/>
              <w:rPr>
                <w:rFonts w:eastAsiaTheme="minorEastAsia" w:cstheme="minorBidi"/>
                <w:sz w:val="20"/>
                <w:szCs w:val="20"/>
              </w:rPr>
            </w:pPr>
            <w:r w:rsidRPr="000C0B5F">
              <w:rPr>
                <w:rFonts w:eastAsiaTheme="minorEastAsia" w:cstheme="minorBidi"/>
                <w:sz w:val="20"/>
                <w:szCs w:val="20"/>
              </w:rPr>
              <w:t>12</w:t>
            </w:r>
          </w:p>
        </w:tc>
        <w:tc>
          <w:tcPr>
            <w:tcW w:w="1140" w:type="dxa"/>
            <w:tcBorders>
              <w:top w:val="single" w:sz="4" w:space="0" w:color="auto"/>
              <w:left w:val="single" w:sz="4" w:space="0" w:color="auto"/>
              <w:bottom w:val="single" w:sz="4" w:space="0" w:color="auto"/>
              <w:right w:val="single" w:sz="4" w:space="0" w:color="auto"/>
            </w:tcBorders>
          </w:tcPr>
          <w:p w:rsidR="06AD5A6D" w:rsidRPr="000C0B5F" w:rsidP="06AD5A6D" w14:paraId="04394D17" w14:textId="1A97A82D">
            <w:pPr>
              <w:jc w:val="center"/>
              <w:rPr>
                <w:rFonts w:eastAsiaTheme="minorEastAsia" w:cstheme="minorBidi"/>
                <w:sz w:val="20"/>
                <w:szCs w:val="20"/>
              </w:rPr>
            </w:pPr>
            <w:r w:rsidRPr="000C0B5F">
              <w:rPr>
                <w:rFonts w:eastAsiaTheme="minorEastAsia" w:cstheme="minorBidi"/>
                <w:sz w:val="20"/>
                <w:szCs w:val="20"/>
              </w:rPr>
              <w:t>0</w:t>
            </w:r>
          </w:p>
        </w:tc>
        <w:tc>
          <w:tcPr>
            <w:tcW w:w="1140" w:type="dxa"/>
            <w:tcBorders>
              <w:top w:val="single" w:sz="4" w:space="0" w:color="auto"/>
              <w:left w:val="single" w:sz="4" w:space="0" w:color="auto"/>
              <w:bottom w:val="single" w:sz="4" w:space="0" w:color="auto"/>
              <w:right w:val="single" w:sz="4" w:space="0" w:color="auto"/>
            </w:tcBorders>
          </w:tcPr>
          <w:p w:rsidR="06AD5A6D" w:rsidRPr="000C0B5F" w:rsidP="06AD5A6D" w14:paraId="36EDD76C" w14:textId="5A65642E">
            <w:pPr>
              <w:jc w:val="center"/>
              <w:rPr>
                <w:rFonts w:eastAsiaTheme="minorEastAsia" w:cstheme="minorBidi"/>
                <w:sz w:val="20"/>
                <w:szCs w:val="20"/>
              </w:rPr>
            </w:pPr>
            <w:r w:rsidRPr="000C0B5F">
              <w:rPr>
                <w:rFonts w:eastAsiaTheme="minorEastAsia" w:cstheme="minorBidi"/>
                <w:sz w:val="20"/>
                <w:szCs w:val="20"/>
              </w:rPr>
              <w:t>12</w:t>
            </w:r>
          </w:p>
        </w:tc>
        <w:tc>
          <w:tcPr>
            <w:tcW w:w="1215" w:type="dxa"/>
            <w:tcBorders>
              <w:top w:val="single" w:sz="4" w:space="0" w:color="auto"/>
              <w:left w:val="single" w:sz="4" w:space="0" w:color="auto"/>
              <w:bottom w:val="single" w:sz="4" w:space="0" w:color="auto"/>
              <w:right w:val="single" w:sz="12" w:space="0" w:color="auto"/>
            </w:tcBorders>
          </w:tcPr>
          <w:p w:rsidR="06AD5A6D" w:rsidRPr="000C0B5F" w:rsidP="06AD5A6D" w14:paraId="1DB7DFA0" w14:textId="70A076B2">
            <w:pPr>
              <w:jc w:val="center"/>
              <w:rPr>
                <w:rFonts w:eastAsiaTheme="minorEastAsia" w:cstheme="minorBidi"/>
                <w:sz w:val="20"/>
                <w:szCs w:val="20"/>
              </w:rPr>
            </w:pPr>
            <w:r w:rsidRPr="000C0B5F">
              <w:rPr>
                <w:rFonts w:eastAsiaTheme="minorEastAsia" w:cstheme="minorBidi"/>
                <w:sz w:val="20"/>
                <w:szCs w:val="20"/>
              </w:rPr>
              <w:t>156</w:t>
            </w:r>
          </w:p>
        </w:tc>
        <w:tc>
          <w:tcPr>
            <w:tcW w:w="1050" w:type="dxa"/>
            <w:tcBorders>
              <w:top w:val="single" w:sz="4" w:space="0" w:color="auto"/>
              <w:left w:val="single" w:sz="12" w:space="0" w:color="auto"/>
              <w:bottom w:val="single" w:sz="4" w:space="0" w:color="auto"/>
              <w:right w:val="single" w:sz="4" w:space="0" w:color="auto"/>
            </w:tcBorders>
          </w:tcPr>
          <w:p w:rsidR="06AD5A6D" w:rsidRPr="000C0B5F" w:rsidP="06AD5A6D" w14:paraId="7AF76C63" w14:textId="4A958AF3">
            <w:pPr>
              <w:jc w:val="center"/>
              <w:rPr>
                <w:rFonts w:eastAsiaTheme="minorEastAsia" w:cstheme="minorBidi"/>
                <w:sz w:val="20"/>
                <w:szCs w:val="20"/>
              </w:rPr>
            </w:pPr>
            <w:r w:rsidRPr="000C0B5F">
              <w:rPr>
                <w:rFonts w:eastAsiaTheme="minorEastAsia" w:cstheme="minorBidi"/>
                <w:sz w:val="20"/>
                <w:szCs w:val="20"/>
              </w:rPr>
              <w:t>$1,092</w:t>
            </w:r>
          </w:p>
        </w:tc>
        <w:tc>
          <w:tcPr>
            <w:tcW w:w="1155" w:type="dxa"/>
            <w:tcBorders>
              <w:top w:val="single" w:sz="4" w:space="0" w:color="auto"/>
              <w:left w:val="single" w:sz="4" w:space="0" w:color="auto"/>
              <w:bottom w:val="single" w:sz="4" w:space="0" w:color="auto"/>
              <w:right w:val="single" w:sz="12" w:space="0" w:color="auto"/>
            </w:tcBorders>
          </w:tcPr>
          <w:p w:rsidR="06AD5A6D" w:rsidRPr="000C0B5F" w:rsidP="06AD5A6D" w14:paraId="6340A6F5" w14:textId="0D921EB4">
            <w:pPr>
              <w:jc w:val="center"/>
              <w:rPr>
                <w:rFonts w:eastAsiaTheme="minorEastAsia" w:cstheme="minorBidi"/>
                <w:sz w:val="20"/>
                <w:szCs w:val="20"/>
              </w:rPr>
            </w:pPr>
            <w:r w:rsidRPr="000C0B5F">
              <w:rPr>
                <w:rFonts w:eastAsiaTheme="minorEastAsia" w:cstheme="minorBidi"/>
                <w:sz w:val="20"/>
                <w:szCs w:val="20"/>
              </w:rPr>
              <w:t>$14,196</w:t>
            </w:r>
          </w:p>
        </w:tc>
      </w:tr>
      <w:tr w14:paraId="0CD4F510" w14:textId="77777777" w:rsidTr="00FC6893">
        <w:tblPrEx>
          <w:tblW w:w="9435" w:type="dxa"/>
          <w:tblLayout w:type="fixed"/>
          <w:tblLook w:val="06A0"/>
        </w:tblPrEx>
        <w:trPr>
          <w:trHeight w:val="300"/>
        </w:trPr>
        <w:tc>
          <w:tcPr>
            <w:tcW w:w="1395" w:type="dxa"/>
            <w:tcBorders>
              <w:top w:val="single" w:sz="4" w:space="0" w:color="auto"/>
              <w:left w:val="single" w:sz="12" w:space="0" w:color="auto"/>
              <w:bottom w:val="single" w:sz="12" w:space="0" w:color="auto"/>
              <w:right w:val="single" w:sz="12" w:space="0" w:color="auto"/>
            </w:tcBorders>
          </w:tcPr>
          <w:p w:rsidR="06AD5A6D" w:rsidRPr="000C0B5F" w:rsidP="06AD5A6D" w14:paraId="0D9B3790" w14:textId="39E78DC4">
            <w:pPr>
              <w:rPr>
                <w:rFonts w:eastAsiaTheme="minorEastAsia" w:cstheme="minorBidi"/>
                <w:sz w:val="20"/>
                <w:szCs w:val="20"/>
              </w:rPr>
            </w:pPr>
            <w:r w:rsidRPr="000C0B5F">
              <w:rPr>
                <w:rFonts w:eastAsiaTheme="minorEastAsia" w:cstheme="minorBidi"/>
                <w:sz w:val="20"/>
                <w:szCs w:val="20"/>
              </w:rPr>
              <w:t xml:space="preserve">Prepare report and certification papers </w:t>
            </w:r>
          </w:p>
        </w:tc>
        <w:tc>
          <w:tcPr>
            <w:tcW w:w="1065" w:type="dxa"/>
            <w:tcBorders>
              <w:top w:val="single" w:sz="4" w:space="0" w:color="auto"/>
              <w:left w:val="single" w:sz="12" w:space="0" w:color="auto"/>
              <w:bottom w:val="single" w:sz="12" w:space="0" w:color="auto"/>
              <w:right w:val="single" w:sz="4" w:space="0" w:color="auto"/>
            </w:tcBorders>
          </w:tcPr>
          <w:p w:rsidR="06AD5A6D" w:rsidRPr="000C0B5F" w:rsidP="06AD5A6D" w14:paraId="132016F7" w14:textId="18DB1289">
            <w:pPr>
              <w:jc w:val="center"/>
              <w:rPr>
                <w:rFonts w:eastAsiaTheme="minorEastAsia" w:cstheme="minorBidi"/>
                <w:sz w:val="20"/>
                <w:szCs w:val="20"/>
              </w:rPr>
            </w:pPr>
            <w:r w:rsidRPr="000C0B5F">
              <w:rPr>
                <w:rFonts w:eastAsiaTheme="minorEastAsia" w:cstheme="minorBidi"/>
                <w:sz w:val="20"/>
                <w:szCs w:val="20"/>
              </w:rPr>
              <w:t>10</w:t>
            </w:r>
          </w:p>
        </w:tc>
        <w:tc>
          <w:tcPr>
            <w:tcW w:w="1275" w:type="dxa"/>
            <w:tcBorders>
              <w:top w:val="single" w:sz="4" w:space="0" w:color="auto"/>
              <w:left w:val="single" w:sz="4" w:space="0" w:color="auto"/>
              <w:bottom w:val="single" w:sz="12" w:space="0" w:color="auto"/>
              <w:right w:val="single" w:sz="4" w:space="0" w:color="auto"/>
            </w:tcBorders>
          </w:tcPr>
          <w:p w:rsidR="06AD5A6D" w:rsidRPr="000C0B5F" w:rsidP="06AD5A6D" w14:paraId="0D7E58D5" w14:textId="2283513B">
            <w:pPr>
              <w:jc w:val="center"/>
              <w:rPr>
                <w:rFonts w:eastAsiaTheme="minorEastAsia" w:cstheme="minorBidi"/>
                <w:sz w:val="20"/>
                <w:szCs w:val="20"/>
              </w:rPr>
            </w:pPr>
            <w:r w:rsidRPr="000C0B5F">
              <w:rPr>
                <w:rFonts w:eastAsiaTheme="minorEastAsia" w:cstheme="minorBidi"/>
                <w:sz w:val="20"/>
                <w:szCs w:val="20"/>
              </w:rPr>
              <w:t>0</w:t>
            </w:r>
          </w:p>
        </w:tc>
        <w:tc>
          <w:tcPr>
            <w:tcW w:w="1140" w:type="dxa"/>
            <w:tcBorders>
              <w:top w:val="single" w:sz="4" w:space="0" w:color="auto"/>
              <w:left w:val="single" w:sz="4" w:space="0" w:color="auto"/>
              <w:bottom w:val="single" w:sz="12" w:space="0" w:color="auto"/>
              <w:right w:val="single" w:sz="4" w:space="0" w:color="auto"/>
            </w:tcBorders>
          </w:tcPr>
          <w:p w:rsidR="06AD5A6D" w:rsidRPr="000C0B5F" w:rsidP="06AD5A6D" w14:paraId="75DD721E" w14:textId="5C30EEEC">
            <w:pPr>
              <w:jc w:val="center"/>
              <w:rPr>
                <w:rFonts w:eastAsiaTheme="minorEastAsia" w:cstheme="minorBidi"/>
                <w:sz w:val="20"/>
                <w:szCs w:val="20"/>
              </w:rPr>
            </w:pPr>
            <w:r w:rsidRPr="000C0B5F">
              <w:rPr>
                <w:rFonts w:eastAsiaTheme="minorEastAsia" w:cstheme="minorBidi"/>
                <w:sz w:val="20"/>
                <w:szCs w:val="20"/>
              </w:rPr>
              <w:t>0</w:t>
            </w:r>
          </w:p>
        </w:tc>
        <w:tc>
          <w:tcPr>
            <w:tcW w:w="1140" w:type="dxa"/>
            <w:tcBorders>
              <w:top w:val="single" w:sz="4" w:space="0" w:color="auto"/>
              <w:left w:val="single" w:sz="4" w:space="0" w:color="auto"/>
              <w:bottom w:val="single" w:sz="12" w:space="0" w:color="auto"/>
              <w:right w:val="single" w:sz="4" w:space="0" w:color="auto"/>
            </w:tcBorders>
          </w:tcPr>
          <w:p w:rsidR="06AD5A6D" w:rsidRPr="000C0B5F" w:rsidP="06AD5A6D" w14:paraId="518579E3" w14:textId="68250F06">
            <w:pPr>
              <w:jc w:val="center"/>
              <w:rPr>
                <w:rFonts w:eastAsiaTheme="minorEastAsia" w:cstheme="minorBidi"/>
                <w:sz w:val="20"/>
                <w:szCs w:val="20"/>
              </w:rPr>
            </w:pPr>
            <w:r w:rsidRPr="000C0B5F">
              <w:rPr>
                <w:rFonts w:eastAsiaTheme="minorEastAsia" w:cstheme="minorBidi"/>
                <w:sz w:val="20"/>
                <w:szCs w:val="20"/>
              </w:rPr>
              <w:t>10</w:t>
            </w:r>
          </w:p>
        </w:tc>
        <w:tc>
          <w:tcPr>
            <w:tcW w:w="1215" w:type="dxa"/>
            <w:tcBorders>
              <w:top w:val="single" w:sz="4" w:space="0" w:color="auto"/>
              <w:left w:val="single" w:sz="4" w:space="0" w:color="auto"/>
              <w:bottom w:val="single" w:sz="12" w:space="0" w:color="auto"/>
              <w:right w:val="single" w:sz="12" w:space="0" w:color="auto"/>
            </w:tcBorders>
          </w:tcPr>
          <w:p w:rsidR="06AD5A6D" w:rsidRPr="000C0B5F" w:rsidP="06AD5A6D" w14:paraId="480475E9" w14:textId="731FB811">
            <w:pPr>
              <w:jc w:val="center"/>
              <w:rPr>
                <w:rFonts w:eastAsiaTheme="minorEastAsia" w:cstheme="minorBidi"/>
                <w:sz w:val="20"/>
                <w:szCs w:val="20"/>
              </w:rPr>
            </w:pPr>
            <w:r w:rsidRPr="000C0B5F">
              <w:rPr>
                <w:rFonts w:eastAsiaTheme="minorEastAsia" w:cstheme="minorBidi"/>
                <w:sz w:val="20"/>
                <w:szCs w:val="20"/>
              </w:rPr>
              <w:t>130</w:t>
            </w:r>
          </w:p>
        </w:tc>
        <w:tc>
          <w:tcPr>
            <w:tcW w:w="1050" w:type="dxa"/>
            <w:tcBorders>
              <w:top w:val="single" w:sz="4" w:space="0" w:color="auto"/>
              <w:left w:val="single" w:sz="12" w:space="0" w:color="auto"/>
              <w:bottom w:val="single" w:sz="12" w:space="0" w:color="auto"/>
              <w:right w:val="single" w:sz="4" w:space="0" w:color="auto"/>
            </w:tcBorders>
          </w:tcPr>
          <w:p w:rsidR="06AD5A6D" w:rsidRPr="000C0B5F" w:rsidP="06AD5A6D" w14:paraId="50E3F69F" w14:textId="3FCBF7AE">
            <w:pPr>
              <w:jc w:val="center"/>
              <w:rPr>
                <w:rFonts w:eastAsiaTheme="minorEastAsia" w:cstheme="minorBidi"/>
                <w:sz w:val="20"/>
                <w:szCs w:val="20"/>
              </w:rPr>
            </w:pPr>
            <w:r w:rsidRPr="000C0B5F">
              <w:rPr>
                <w:rFonts w:eastAsiaTheme="minorEastAsia" w:cstheme="minorBidi"/>
                <w:sz w:val="20"/>
                <w:szCs w:val="20"/>
              </w:rPr>
              <w:t>$1,335</w:t>
            </w:r>
          </w:p>
        </w:tc>
        <w:tc>
          <w:tcPr>
            <w:tcW w:w="1155" w:type="dxa"/>
            <w:tcBorders>
              <w:top w:val="single" w:sz="4" w:space="0" w:color="auto"/>
              <w:left w:val="single" w:sz="4" w:space="0" w:color="auto"/>
              <w:bottom w:val="single" w:sz="12" w:space="0" w:color="auto"/>
              <w:right w:val="single" w:sz="12" w:space="0" w:color="auto"/>
            </w:tcBorders>
          </w:tcPr>
          <w:p w:rsidR="06AD5A6D" w:rsidRPr="000C0B5F" w:rsidP="06AD5A6D" w14:paraId="124DE2F7" w14:textId="4F4DA494">
            <w:pPr>
              <w:jc w:val="center"/>
              <w:rPr>
                <w:rFonts w:eastAsiaTheme="minorEastAsia" w:cstheme="minorBidi"/>
                <w:sz w:val="20"/>
                <w:szCs w:val="20"/>
              </w:rPr>
            </w:pPr>
            <w:r w:rsidRPr="000C0B5F">
              <w:rPr>
                <w:rFonts w:eastAsiaTheme="minorEastAsia" w:cstheme="minorBidi"/>
                <w:sz w:val="20"/>
                <w:szCs w:val="20"/>
              </w:rPr>
              <w:t>$17,355</w:t>
            </w:r>
          </w:p>
        </w:tc>
      </w:tr>
      <w:tr w14:paraId="154353A6" w14:textId="77777777" w:rsidTr="00FC6893">
        <w:tblPrEx>
          <w:tblW w:w="9435" w:type="dxa"/>
          <w:tblLayout w:type="fixed"/>
          <w:tblLook w:val="06A0"/>
        </w:tblPrEx>
        <w:trPr>
          <w:trHeight w:val="300"/>
        </w:trPr>
        <w:tc>
          <w:tcPr>
            <w:tcW w:w="7230" w:type="dxa"/>
            <w:gridSpan w:val="6"/>
            <w:tcBorders>
              <w:top w:val="single" w:sz="12" w:space="0" w:color="auto"/>
              <w:left w:val="single" w:sz="12" w:space="0" w:color="auto"/>
              <w:bottom w:val="single" w:sz="12" w:space="0" w:color="auto"/>
              <w:right w:val="single" w:sz="12" w:space="0" w:color="auto"/>
            </w:tcBorders>
          </w:tcPr>
          <w:p w:rsidR="06AD5A6D" w:rsidRPr="000C0B5F" w:rsidP="06AD5A6D" w14:paraId="7249C713" w14:textId="4C54F6DE">
            <w:pPr>
              <w:jc w:val="center"/>
              <w:rPr>
                <w:rFonts w:eastAsiaTheme="minorEastAsia" w:cstheme="minorBidi"/>
                <w:b/>
                <w:bCs/>
                <w:sz w:val="20"/>
                <w:szCs w:val="20"/>
              </w:rPr>
            </w:pPr>
            <w:r w:rsidRPr="000C0B5F">
              <w:rPr>
                <w:rFonts w:eastAsiaTheme="minorEastAsia" w:cstheme="minorBidi"/>
                <w:b/>
                <w:bCs/>
                <w:sz w:val="20"/>
                <w:szCs w:val="20"/>
              </w:rPr>
              <w:t>Record Keeping Burden (hours)</w:t>
            </w:r>
          </w:p>
        </w:tc>
        <w:tc>
          <w:tcPr>
            <w:tcW w:w="2205" w:type="dxa"/>
            <w:gridSpan w:val="2"/>
            <w:tcBorders>
              <w:top w:val="single" w:sz="12" w:space="0" w:color="auto"/>
              <w:left w:val="single" w:sz="12" w:space="0" w:color="auto"/>
              <w:bottom w:val="single" w:sz="12" w:space="0" w:color="auto"/>
              <w:right w:val="single" w:sz="12" w:space="0" w:color="auto"/>
            </w:tcBorders>
          </w:tcPr>
          <w:p w:rsidR="06AD5A6D" w:rsidRPr="000C0B5F" w:rsidP="06AD5A6D" w14:paraId="16D6DBC1" w14:textId="1396A536">
            <w:pPr>
              <w:jc w:val="center"/>
              <w:rPr>
                <w:rFonts w:eastAsiaTheme="minorEastAsia" w:cstheme="minorBidi"/>
                <w:b/>
                <w:bCs/>
                <w:sz w:val="20"/>
                <w:szCs w:val="20"/>
              </w:rPr>
            </w:pPr>
            <w:r w:rsidRPr="000C0B5F">
              <w:rPr>
                <w:rFonts w:eastAsiaTheme="minorEastAsia" w:cstheme="minorBidi"/>
                <w:b/>
                <w:bCs/>
                <w:sz w:val="20"/>
                <w:szCs w:val="20"/>
              </w:rPr>
              <w:t>(costs)</w:t>
            </w:r>
          </w:p>
        </w:tc>
      </w:tr>
      <w:tr w14:paraId="4A3828EC" w14:textId="77777777" w:rsidTr="00FC6893">
        <w:tblPrEx>
          <w:tblW w:w="9435" w:type="dxa"/>
          <w:tblLayout w:type="fixed"/>
          <w:tblLook w:val="06A0"/>
        </w:tblPrEx>
        <w:trPr>
          <w:trHeight w:val="300"/>
        </w:trPr>
        <w:tc>
          <w:tcPr>
            <w:tcW w:w="1395" w:type="dxa"/>
            <w:tcBorders>
              <w:top w:val="single" w:sz="12" w:space="0" w:color="auto"/>
              <w:left w:val="single" w:sz="12" w:space="0" w:color="auto"/>
              <w:bottom w:val="single" w:sz="12" w:space="0" w:color="auto"/>
              <w:right w:val="single" w:sz="12" w:space="0" w:color="auto"/>
            </w:tcBorders>
          </w:tcPr>
          <w:p w:rsidR="06AD5A6D" w:rsidRPr="000C0B5F" w:rsidP="06AD5A6D" w14:paraId="5A9D1DBD" w14:textId="0182F381">
            <w:pPr>
              <w:rPr>
                <w:rFonts w:eastAsiaTheme="minorEastAsia" w:cstheme="minorBidi"/>
                <w:sz w:val="20"/>
                <w:szCs w:val="20"/>
              </w:rPr>
            </w:pPr>
            <w:r w:rsidRPr="000C0B5F">
              <w:rPr>
                <w:rFonts w:eastAsiaTheme="minorEastAsia" w:cstheme="minorBidi"/>
                <w:sz w:val="20"/>
                <w:szCs w:val="20"/>
              </w:rPr>
              <w:t>File and maintain data</w:t>
            </w:r>
          </w:p>
        </w:tc>
        <w:tc>
          <w:tcPr>
            <w:tcW w:w="1065" w:type="dxa"/>
            <w:tcBorders>
              <w:top w:val="single" w:sz="12" w:space="0" w:color="auto"/>
              <w:left w:val="single" w:sz="12" w:space="0" w:color="auto"/>
              <w:bottom w:val="single" w:sz="12" w:space="0" w:color="auto"/>
              <w:right w:val="single" w:sz="4" w:space="0" w:color="auto"/>
            </w:tcBorders>
          </w:tcPr>
          <w:p w:rsidR="06AD5A6D" w:rsidRPr="000C0B5F" w:rsidP="06AD5A6D" w14:paraId="317420D3" w14:textId="3BC723F1">
            <w:pPr>
              <w:jc w:val="center"/>
              <w:rPr>
                <w:rFonts w:eastAsiaTheme="minorEastAsia" w:cstheme="minorBidi"/>
                <w:sz w:val="20"/>
                <w:szCs w:val="20"/>
              </w:rPr>
            </w:pPr>
            <w:r w:rsidRPr="000C0B5F">
              <w:rPr>
                <w:rFonts w:eastAsiaTheme="minorEastAsia" w:cstheme="minorBidi"/>
                <w:sz w:val="20"/>
                <w:szCs w:val="20"/>
              </w:rPr>
              <w:t>0</w:t>
            </w:r>
          </w:p>
        </w:tc>
        <w:tc>
          <w:tcPr>
            <w:tcW w:w="1275" w:type="dxa"/>
            <w:tcBorders>
              <w:top w:val="single" w:sz="12" w:space="0" w:color="auto"/>
              <w:left w:val="single" w:sz="4" w:space="0" w:color="auto"/>
              <w:bottom w:val="single" w:sz="12" w:space="0" w:color="auto"/>
              <w:right w:val="single" w:sz="4" w:space="0" w:color="auto"/>
            </w:tcBorders>
          </w:tcPr>
          <w:p w:rsidR="06AD5A6D" w:rsidRPr="000C0B5F" w:rsidP="06AD5A6D" w14:paraId="2FB40023" w14:textId="42882B0C">
            <w:pPr>
              <w:jc w:val="center"/>
              <w:rPr>
                <w:rFonts w:eastAsiaTheme="minorEastAsia" w:cstheme="minorBidi"/>
                <w:sz w:val="20"/>
                <w:szCs w:val="20"/>
              </w:rPr>
            </w:pPr>
            <w:r w:rsidRPr="000C0B5F">
              <w:rPr>
                <w:rFonts w:eastAsiaTheme="minorEastAsia" w:cstheme="minorBidi"/>
                <w:sz w:val="20"/>
                <w:szCs w:val="20"/>
              </w:rPr>
              <w:t>0</w:t>
            </w:r>
          </w:p>
        </w:tc>
        <w:tc>
          <w:tcPr>
            <w:tcW w:w="1140" w:type="dxa"/>
            <w:tcBorders>
              <w:top w:val="single" w:sz="12" w:space="0" w:color="auto"/>
              <w:left w:val="single" w:sz="4" w:space="0" w:color="auto"/>
              <w:bottom w:val="single" w:sz="12" w:space="0" w:color="auto"/>
              <w:right w:val="single" w:sz="4" w:space="0" w:color="auto"/>
            </w:tcBorders>
          </w:tcPr>
          <w:p w:rsidR="06AD5A6D" w:rsidRPr="000C0B5F" w:rsidP="06AD5A6D" w14:paraId="51417E03" w14:textId="0734A6CA">
            <w:pPr>
              <w:jc w:val="center"/>
              <w:rPr>
                <w:rFonts w:eastAsiaTheme="minorEastAsia" w:cstheme="minorBidi"/>
                <w:sz w:val="20"/>
                <w:szCs w:val="20"/>
              </w:rPr>
            </w:pPr>
            <w:r w:rsidRPr="000C0B5F">
              <w:rPr>
                <w:rFonts w:eastAsiaTheme="minorEastAsia" w:cstheme="minorBidi"/>
                <w:sz w:val="20"/>
                <w:szCs w:val="20"/>
              </w:rPr>
              <w:t>10</w:t>
            </w:r>
          </w:p>
        </w:tc>
        <w:tc>
          <w:tcPr>
            <w:tcW w:w="1140" w:type="dxa"/>
            <w:tcBorders>
              <w:top w:val="single" w:sz="12" w:space="0" w:color="auto"/>
              <w:left w:val="single" w:sz="4" w:space="0" w:color="auto"/>
              <w:bottom w:val="single" w:sz="12" w:space="0" w:color="auto"/>
              <w:right w:val="single" w:sz="4" w:space="0" w:color="auto"/>
            </w:tcBorders>
          </w:tcPr>
          <w:p w:rsidR="06AD5A6D" w:rsidRPr="000C0B5F" w:rsidP="06AD5A6D" w14:paraId="79E2AA68" w14:textId="39C57958">
            <w:pPr>
              <w:jc w:val="center"/>
              <w:rPr>
                <w:rFonts w:eastAsiaTheme="minorEastAsia" w:cstheme="minorBidi"/>
                <w:sz w:val="20"/>
                <w:szCs w:val="20"/>
              </w:rPr>
            </w:pPr>
            <w:r w:rsidRPr="000C0B5F">
              <w:rPr>
                <w:rFonts w:eastAsiaTheme="minorEastAsia" w:cstheme="minorBidi"/>
                <w:sz w:val="20"/>
                <w:szCs w:val="20"/>
              </w:rPr>
              <w:t>10</w:t>
            </w:r>
          </w:p>
        </w:tc>
        <w:tc>
          <w:tcPr>
            <w:tcW w:w="1215" w:type="dxa"/>
            <w:tcBorders>
              <w:top w:val="single" w:sz="12" w:space="0" w:color="auto"/>
              <w:left w:val="single" w:sz="4" w:space="0" w:color="auto"/>
              <w:bottom w:val="single" w:sz="12" w:space="0" w:color="auto"/>
              <w:right w:val="single" w:sz="12" w:space="0" w:color="auto"/>
            </w:tcBorders>
          </w:tcPr>
          <w:p w:rsidR="06AD5A6D" w:rsidRPr="000C0B5F" w:rsidP="06AD5A6D" w14:paraId="36AA2B6C" w14:textId="7ECFF197">
            <w:pPr>
              <w:jc w:val="center"/>
              <w:rPr>
                <w:rFonts w:eastAsiaTheme="minorEastAsia" w:cstheme="minorBidi"/>
                <w:sz w:val="20"/>
                <w:szCs w:val="20"/>
              </w:rPr>
            </w:pPr>
            <w:r w:rsidRPr="000C0B5F">
              <w:rPr>
                <w:rFonts w:eastAsiaTheme="minorEastAsia" w:cstheme="minorBidi"/>
                <w:sz w:val="20"/>
                <w:szCs w:val="20"/>
              </w:rPr>
              <w:t>130</w:t>
            </w:r>
          </w:p>
        </w:tc>
        <w:tc>
          <w:tcPr>
            <w:tcW w:w="1050" w:type="dxa"/>
            <w:tcBorders>
              <w:top w:val="single" w:sz="12" w:space="0" w:color="auto"/>
              <w:left w:val="single" w:sz="12" w:space="0" w:color="auto"/>
              <w:bottom w:val="single" w:sz="12" w:space="0" w:color="auto"/>
              <w:right w:val="single" w:sz="4" w:space="0" w:color="auto"/>
            </w:tcBorders>
          </w:tcPr>
          <w:p w:rsidR="06AD5A6D" w:rsidRPr="000C0B5F" w:rsidP="06AD5A6D" w14:paraId="2E674EC9" w14:textId="3DF38F2C">
            <w:pPr>
              <w:jc w:val="center"/>
              <w:rPr>
                <w:rFonts w:eastAsiaTheme="minorEastAsia" w:cstheme="minorBidi"/>
                <w:sz w:val="20"/>
                <w:szCs w:val="20"/>
              </w:rPr>
            </w:pPr>
            <w:r w:rsidRPr="000C0B5F">
              <w:rPr>
                <w:rFonts w:eastAsiaTheme="minorEastAsia" w:cstheme="minorBidi"/>
                <w:sz w:val="20"/>
                <w:szCs w:val="20"/>
              </w:rPr>
              <w:t>$380</w:t>
            </w:r>
          </w:p>
        </w:tc>
        <w:tc>
          <w:tcPr>
            <w:tcW w:w="1155" w:type="dxa"/>
            <w:tcBorders>
              <w:top w:val="single" w:sz="12" w:space="0" w:color="auto"/>
              <w:left w:val="single" w:sz="4" w:space="0" w:color="auto"/>
              <w:bottom w:val="single" w:sz="12" w:space="0" w:color="auto"/>
              <w:right w:val="single" w:sz="12" w:space="0" w:color="auto"/>
            </w:tcBorders>
          </w:tcPr>
          <w:p w:rsidR="06AD5A6D" w:rsidRPr="000C0B5F" w:rsidP="06AD5A6D" w14:paraId="2ACC9861" w14:textId="61B5F4B4">
            <w:pPr>
              <w:jc w:val="center"/>
              <w:rPr>
                <w:rFonts w:eastAsiaTheme="minorEastAsia" w:cstheme="minorBidi"/>
                <w:sz w:val="20"/>
                <w:szCs w:val="20"/>
              </w:rPr>
            </w:pPr>
            <w:r w:rsidRPr="000C0B5F">
              <w:rPr>
                <w:rFonts w:eastAsiaTheme="minorEastAsia" w:cstheme="minorBidi"/>
                <w:sz w:val="20"/>
                <w:szCs w:val="20"/>
              </w:rPr>
              <w:t>$4,940</w:t>
            </w:r>
          </w:p>
        </w:tc>
      </w:tr>
      <w:tr w14:paraId="64AE5316" w14:textId="77777777" w:rsidTr="00FC6893">
        <w:tblPrEx>
          <w:tblW w:w="9435" w:type="dxa"/>
          <w:tblLayout w:type="fixed"/>
          <w:tblLook w:val="06A0"/>
        </w:tblPrEx>
        <w:trPr>
          <w:trHeight w:val="300"/>
        </w:trPr>
        <w:tc>
          <w:tcPr>
            <w:tcW w:w="1395" w:type="dxa"/>
            <w:tcBorders>
              <w:top w:val="single" w:sz="12" w:space="0" w:color="auto"/>
              <w:left w:val="single" w:sz="12" w:space="0" w:color="auto"/>
              <w:bottom w:val="single" w:sz="12" w:space="0" w:color="auto"/>
              <w:right w:val="single" w:sz="12" w:space="0" w:color="auto"/>
            </w:tcBorders>
          </w:tcPr>
          <w:p w:rsidR="06AD5A6D" w:rsidRPr="000C0B5F" w:rsidP="06AD5A6D" w14:paraId="712F03A3" w14:textId="788B3E06">
            <w:pPr>
              <w:rPr>
                <w:rFonts w:eastAsiaTheme="minorEastAsia" w:cstheme="minorBidi"/>
                <w:b/>
                <w:bCs/>
                <w:sz w:val="20"/>
                <w:szCs w:val="20"/>
              </w:rPr>
            </w:pPr>
            <w:r w:rsidRPr="000C0B5F">
              <w:rPr>
                <w:rFonts w:eastAsiaTheme="minorEastAsia" w:cstheme="minorBidi"/>
                <w:b/>
                <w:bCs/>
                <w:sz w:val="20"/>
                <w:szCs w:val="20"/>
              </w:rPr>
              <w:t>TOTAL</w:t>
            </w:r>
          </w:p>
        </w:tc>
        <w:tc>
          <w:tcPr>
            <w:tcW w:w="1065" w:type="dxa"/>
            <w:tcBorders>
              <w:top w:val="single" w:sz="12" w:space="0" w:color="auto"/>
              <w:left w:val="single" w:sz="12" w:space="0" w:color="auto"/>
              <w:bottom w:val="single" w:sz="12" w:space="0" w:color="auto"/>
              <w:right w:val="single" w:sz="12" w:space="0" w:color="auto"/>
            </w:tcBorders>
          </w:tcPr>
          <w:p w:rsidR="06AD5A6D" w:rsidRPr="000C0B5F" w:rsidP="06AD5A6D" w14:paraId="73283683" w14:textId="7DEF3D45">
            <w:pPr>
              <w:jc w:val="center"/>
              <w:rPr>
                <w:rFonts w:eastAsiaTheme="minorEastAsia" w:cstheme="minorBidi"/>
                <w:b/>
                <w:bCs/>
                <w:sz w:val="20"/>
                <w:szCs w:val="20"/>
              </w:rPr>
            </w:pPr>
            <w:r w:rsidRPr="000C0B5F">
              <w:rPr>
                <w:rFonts w:eastAsiaTheme="minorEastAsia" w:cstheme="minorBidi"/>
                <w:b/>
                <w:bCs/>
                <w:sz w:val="20"/>
                <w:szCs w:val="20"/>
              </w:rPr>
              <w:t>20</w:t>
            </w:r>
          </w:p>
        </w:tc>
        <w:tc>
          <w:tcPr>
            <w:tcW w:w="1275" w:type="dxa"/>
            <w:tcBorders>
              <w:top w:val="single" w:sz="12" w:space="0" w:color="auto"/>
              <w:left w:val="single" w:sz="12" w:space="0" w:color="auto"/>
              <w:bottom w:val="single" w:sz="12" w:space="0" w:color="auto"/>
              <w:right w:val="single" w:sz="12" w:space="0" w:color="auto"/>
            </w:tcBorders>
          </w:tcPr>
          <w:p w:rsidR="06AD5A6D" w:rsidRPr="000C0B5F" w:rsidP="06AD5A6D" w14:paraId="266517CA" w14:textId="0F5DCA4B">
            <w:pPr>
              <w:jc w:val="center"/>
              <w:rPr>
                <w:rFonts w:eastAsiaTheme="minorEastAsia" w:cstheme="minorBidi"/>
                <w:b/>
                <w:bCs/>
                <w:sz w:val="20"/>
                <w:szCs w:val="20"/>
              </w:rPr>
            </w:pPr>
            <w:r w:rsidRPr="000C0B5F">
              <w:rPr>
                <w:rFonts w:eastAsiaTheme="minorEastAsia" w:cstheme="minorBidi"/>
                <w:b/>
                <w:bCs/>
                <w:sz w:val="20"/>
                <w:szCs w:val="20"/>
              </w:rPr>
              <w:t>96</w:t>
            </w:r>
          </w:p>
        </w:tc>
        <w:tc>
          <w:tcPr>
            <w:tcW w:w="1140" w:type="dxa"/>
            <w:tcBorders>
              <w:top w:val="single" w:sz="12" w:space="0" w:color="auto"/>
              <w:left w:val="single" w:sz="12" w:space="0" w:color="auto"/>
              <w:bottom w:val="single" w:sz="12" w:space="0" w:color="auto"/>
              <w:right w:val="single" w:sz="12" w:space="0" w:color="auto"/>
            </w:tcBorders>
          </w:tcPr>
          <w:p w:rsidR="06AD5A6D" w:rsidRPr="000C0B5F" w:rsidP="06AD5A6D" w14:paraId="60B65B68" w14:textId="698AECDD">
            <w:pPr>
              <w:jc w:val="center"/>
              <w:rPr>
                <w:rFonts w:eastAsiaTheme="minorEastAsia" w:cstheme="minorBidi"/>
                <w:b/>
                <w:bCs/>
                <w:sz w:val="20"/>
                <w:szCs w:val="20"/>
              </w:rPr>
            </w:pPr>
            <w:r w:rsidRPr="000C0B5F">
              <w:rPr>
                <w:rFonts w:eastAsiaTheme="minorEastAsia" w:cstheme="minorBidi"/>
                <w:b/>
                <w:bCs/>
                <w:sz w:val="20"/>
                <w:szCs w:val="20"/>
              </w:rPr>
              <w:t>10</w:t>
            </w:r>
          </w:p>
        </w:tc>
        <w:tc>
          <w:tcPr>
            <w:tcW w:w="1140" w:type="dxa"/>
            <w:tcBorders>
              <w:top w:val="single" w:sz="12" w:space="0" w:color="auto"/>
              <w:left w:val="single" w:sz="12" w:space="0" w:color="auto"/>
              <w:bottom w:val="single" w:sz="12" w:space="0" w:color="auto"/>
              <w:right w:val="single" w:sz="12" w:space="0" w:color="auto"/>
            </w:tcBorders>
          </w:tcPr>
          <w:p w:rsidR="06AD5A6D" w:rsidRPr="000C0B5F" w:rsidP="06AD5A6D" w14:paraId="3843DC74" w14:textId="6C065F47">
            <w:pPr>
              <w:jc w:val="center"/>
              <w:rPr>
                <w:rFonts w:eastAsiaTheme="minorEastAsia" w:cstheme="minorBidi"/>
                <w:b/>
                <w:bCs/>
                <w:sz w:val="20"/>
                <w:szCs w:val="20"/>
              </w:rPr>
            </w:pPr>
            <w:r w:rsidRPr="000C0B5F">
              <w:rPr>
                <w:rFonts w:eastAsiaTheme="minorEastAsia" w:cstheme="minorBidi"/>
                <w:b/>
                <w:bCs/>
                <w:sz w:val="20"/>
                <w:szCs w:val="20"/>
              </w:rPr>
              <w:t>126</w:t>
            </w:r>
          </w:p>
        </w:tc>
        <w:tc>
          <w:tcPr>
            <w:tcW w:w="1215" w:type="dxa"/>
            <w:tcBorders>
              <w:top w:val="single" w:sz="12" w:space="0" w:color="auto"/>
              <w:left w:val="single" w:sz="12" w:space="0" w:color="auto"/>
              <w:bottom w:val="single" w:sz="12" w:space="0" w:color="auto"/>
              <w:right w:val="single" w:sz="12" w:space="0" w:color="auto"/>
            </w:tcBorders>
          </w:tcPr>
          <w:p w:rsidR="06AD5A6D" w:rsidRPr="000C0B5F" w:rsidP="06AD5A6D" w14:paraId="2D727E46" w14:textId="6589809D">
            <w:pPr>
              <w:jc w:val="center"/>
              <w:rPr>
                <w:rFonts w:eastAsiaTheme="minorEastAsia" w:cstheme="minorBidi"/>
                <w:b/>
                <w:bCs/>
                <w:sz w:val="20"/>
                <w:szCs w:val="20"/>
              </w:rPr>
            </w:pPr>
            <w:r w:rsidRPr="000C0B5F">
              <w:rPr>
                <w:rFonts w:eastAsiaTheme="minorEastAsia" w:cstheme="minorBidi"/>
                <w:b/>
                <w:bCs/>
                <w:sz w:val="20"/>
                <w:szCs w:val="20"/>
              </w:rPr>
              <w:t>1638</w:t>
            </w:r>
          </w:p>
        </w:tc>
        <w:tc>
          <w:tcPr>
            <w:tcW w:w="1050" w:type="dxa"/>
            <w:tcBorders>
              <w:top w:val="single" w:sz="12" w:space="0" w:color="auto"/>
              <w:left w:val="single" w:sz="12" w:space="0" w:color="auto"/>
              <w:bottom w:val="single" w:sz="12" w:space="0" w:color="auto"/>
              <w:right w:val="single" w:sz="12" w:space="0" w:color="auto"/>
            </w:tcBorders>
          </w:tcPr>
          <w:p w:rsidR="06AD5A6D" w:rsidRPr="000C0B5F" w:rsidP="06AD5A6D" w14:paraId="7BF707C2" w14:textId="340B7652">
            <w:pPr>
              <w:jc w:val="center"/>
              <w:rPr>
                <w:rFonts w:eastAsiaTheme="minorEastAsia" w:cstheme="minorBidi"/>
                <w:b/>
                <w:bCs/>
                <w:sz w:val="20"/>
                <w:szCs w:val="20"/>
              </w:rPr>
            </w:pPr>
            <w:r w:rsidRPr="000C0B5F">
              <w:rPr>
                <w:rFonts w:eastAsiaTheme="minorEastAsia" w:cstheme="minorBidi"/>
                <w:b/>
                <w:bCs/>
                <w:sz w:val="20"/>
                <w:szCs w:val="20"/>
              </w:rPr>
              <w:t>$9,966</w:t>
            </w:r>
          </w:p>
        </w:tc>
        <w:tc>
          <w:tcPr>
            <w:tcW w:w="1155" w:type="dxa"/>
            <w:tcBorders>
              <w:top w:val="single" w:sz="12" w:space="0" w:color="auto"/>
              <w:left w:val="single" w:sz="12" w:space="0" w:color="auto"/>
              <w:bottom w:val="single" w:sz="12" w:space="0" w:color="auto"/>
              <w:right w:val="single" w:sz="12" w:space="0" w:color="auto"/>
            </w:tcBorders>
          </w:tcPr>
          <w:p w:rsidR="06AD5A6D" w:rsidRPr="000C0B5F" w:rsidP="06AD5A6D" w14:paraId="5B1C91AD" w14:textId="34FF5E4D">
            <w:pPr>
              <w:jc w:val="center"/>
              <w:rPr>
                <w:rFonts w:eastAsiaTheme="minorEastAsia" w:cstheme="minorBidi"/>
                <w:b/>
                <w:bCs/>
                <w:sz w:val="20"/>
                <w:szCs w:val="20"/>
              </w:rPr>
            </w:pPr>
            <w:r w:rsidRPr="000C0B5F">
              <w:rPr>
                <w:rFonts w:eastAsiaTheme="minorEastAsia" w:cstheme="minorBidi"/>
                <w:b/>
                <w:bCs/>
                <w:sz w:val="20"/>
                <w:szCs w:val="20"/>
              </w:rPr>
              <w:t>$129,558</w:t>
            </w:r>
          </w:p>
        </w:tc>
      </w:tr>
    </w:tbl>
    <w:p w:rsidR="00E03889" w:rsidRPr="000C0B5F" w:rsidP="00454889" w14:paraId="1274E5A1" w14:textId="77777777">
      <w:pPr>
        <w:rPr>
          <w:b/>
          <w:bCs/>
        </w:rPr>
        <w:sectPr w:rsidSect="00621249">
          <w:pgSz w:w="12240" w:h="15840"/>
          <w:pgMar w:top="1440" w:right="1440" w:bottom="1440" w:left="1440" w:header="720" w:footer="720" w:gutter="0"/>
          <w:cols w:space="720"/>
          <w:docGrid w:linePitch="360"/>
        </w:sectPr>
      </w:pPr>
    </w:p>
    <w:p w:rsidR="00E31784" w:rsidRPr="000C0B5F" w:rsidP="00454889" w14:paraId="79165DDB" w14:textId="1AD58B9D">
      <w:pPr>
        <w:rPr>
          <w:b/>
          <w:bCs/>
        </w:rPr>
      </w:pPr>
      <w:r w:rsidRPr="000C0B5F">
        <w:rPr>
          <w:b/>
          <w:bCs/>
        </w:rPr>
        <w:t>Subpart W: Uranium Mill Tailings</w:t>
      </w:r>
    </w:p>
    <w:p w:rsidR="00E31784" w:rsidRPr="000C0B5F" w:rsidP="00454889" w14:paraId="6A1B9391" w14:textId="77777777">
      <w:pPr>
        <w:rPr>
          <w:u w:val="single"/>
        </w:rPr>
      </w:pPr>
      <w:r w:rsidRPr="000C0B5F">
        <w:rPr>
          <w:u w:val="single"/>
        </w:rPr>
        <w:t>Maintaining design/construction records</w:t>
      </w:r>
    </w:p>
    <w:p w:rsidR="00E31784" w:rsidRPr="000C0B5F" w:rsidP="008334C2" w14:paraId="3EF90901" w14:textId="76319D32">
      <w:pPr>
        <w:spacing w:line="276" w:lineRule="auto"/>
      </w:pPr>
      <w:r w:rsidRPr="000C0B5F">
        <w:t xml:space="preserve">To meet the requirements of subpart W, all facilities subject to subpart W must maintain design and construction documentation for all impoundments. Design and construction records are required as part of the application for construction/modification required under subpart A of 40 CFR part 61. It is estimated that two hours of management time per facility will be required annually to retain familiarity with the regulatory provision, and that ten hours of clerical time per facility per year will be sufficient to store and maintain the records at the facility so that they are accessible. All 24 facilities that are subject to subpart W will maintain these records. Burden and cost are shown in Table </w:t>
      </w:r>
      <w:r w:rsidRPr="000C0B5F" w:rsidR="00027C0A">
        <w:t>7</w:t>
      </w:r>
      <w:r w:rsidRPr="000C0B5F">
        <w:t>.</w:t>
      </w:r>
    </w:p>
    <w:p w:rsidR="00E31784" w:rsidRPr="000C0B5F" w:rsidP="00454889" w14:paraId="72DB3158" w14:textId="7B96E01A">
      <w:pPr>
        <w:rPr>
          <w:b/>
          <w:bCs/>
        </w:rPr>
      </w:pPr>
      <w:r w:rsidRPr="000C0B5F">
        <w:rPr>
          <w:b/>
          <w:bCs/>
        </w:rPr>
        <w:t xml:space="preserve">Table </w:t>
      </w:r>
      <w:r w:rsidRPr="000C0B5F" w:rsidR="00027C0A">
        <w:rPr>
          <w:b/>
          <w:bCs/>
        </w:rPr>
        <w:t>7</w:t>
      </w:r>
      <w:r w:rsidRPr="000C0B5F">
        <w:rPr>
          <w:b/>
          <w:bCs/>
        </w:rPr>
        <w:t xml:space="preserve">: Burden and Cost to Meet Design and Construction Record Requirements for All </w:t>
      </w:r>
      <w:r w:rsidRPr="000C0B5F" w:rsidR="00D7796D">
        <w:rPr>
          <w:b/>
          <w:bCs/>
        </w:rPr>
        <w:t xml:space="preserve">Subpart W </w:t>
      </w:r>
      <w:r w:rsidRPr="000C0B5F">
        <w:rPr>
          <w:b/>
          <w:bCs/>
        </w:rPr>
        <w:t xml:space="preserve">Impoundments </w:t>
      </w:r>
    </w:p>
    <w:tbl>
      <w:tblPr>
        <w:tblW w:w="0" w:type="auto"/>
        <w:jc w:val="center"/>
        <w:tblLayout w:type="fixed"/>
        <w:tblLook w:val="06A0"/>
      </w:tblPr>
      <w:tblGrid>
        <w:gridCol w:w="1230"/>
        <w:gridCol w:w="949"/>
        <w:gridCol w:w="885"/>
        <w:gridCol w:w="720"/>
        <w:gridCol w:w="795"/>
        <w:gridCol w:w="1290"/>
        <w:gridCol w:w="975"/>
        <w:gridCol w:w="810"/>
        <w:gridCol w:w="881"/>
      </w:tblGrid>
      <w:tr w14:paraId="2F08D4DD" w14:textId="77777777" w:rsidTr="00AB6141">
        <w:tblPrEx>
          <w:tblW w:w="0" w:type="auto"/>
          <w:jc w:val="center"/>
          <w:tblLayout w:type="fixed"/>
          <w:tblLook w:val="06A0"/>
        </w:tblPrEx>
        <w:trPr>
          <w:trHeight w:val="345"/>
          <w:jc w:val="center"/>
        </w:trPr>
        <w:tc>
          <w:tcPr>
            <w:tcW w:w="5869" w:type="dxa"/>
            <w:gridSpan w:val="6"/>
            <w:tcBorders>
              <w:top w:val="single" w:sz="12" w:space="0" w:color="auto"/>
              <w:left w:val="single" w:sz="12" w:space="0" w:color="auto"/>
              <w:bottom w:val="single" w:sz="12" w:space="0" w:color="auto"/>
              <w:right w:val="single" w:sz="12" w:space="0" w:color="auto"/>
            </w:tcBorders>
            <w:tcMar>
              <w:top w:w="15" w:type="dxa"/>
              <w:left w:w="15" w:type="dxa"/>
              <w:right w:w="15" w:type="dxa"/>
            </w:tcMar>
          </w:tcPr>
          <w:p w:rsidR="06AD5A6D" w:rsidRPr="000C0B5F" w:rsidP="06AD5A6D" w14:paraId="5A3D0AA5" w14:textId="4A7C924A">
            <w:pPr>
              <w:spacing w:after="0"/>
              <w:jc w:val="center"/>
              <w:rPr>
                <w:rFonts w:ascii="Calibri" w:eastAsia="Calibri" w:hAnsi="Calibri" w:cs="Calibri"/>
                <w:b/>
                <w:bCs/>
                <w:sz w:val="20"/>
                <w:szCs w:val="20"/>
              </w:rPr>
            </w:pPr>
            <w:r w:rsidRPr="000C0B5F">
              <w:rPr>
                <w:rFonts w:ascii="Calibri" w:eastAsia="Calibri" w:hAnsi="Calibri" w:cs="Calibri"/>
                <w:b/>
                <w:bCs/>
                <w:sz w:val="20"/>
                <w:szCs w:val="20"/>
              </w:rPr>
              <w:t>Reporting Burden (hours)</w:t>
            </w:r>
          </w:p>
        </w:tc>
        <w:tc>
          <w:tcPr>
            <w:tcW w:w="2666" w:type="dxa"/>
            <w:gridSpan w:val="3"/>
            <w:tcBorders>
              <w:top w:val="single" w:sz="12" w:space="0" w:color="auto"/>
              <w:left w:val="single" w:sz="12" w:space="0" w:color="auto"/>
              <w:bottom w:val="single" w:sz="12" w:space="0" w:color="auto"/>
              <w:right w:val="single" w:sz="12" w:space="0" w:color="auto"/>
            </w:tcBorders>
            <w:tcMar>
              <w:top w:w="15" w:type="dxa"/>
              <w:left w:w="15" w:type="dxa"/>
              <w:right w:w="15" w:type="dxa"/>
            </w:tcMar>
          </w:tcPr>
          <w:p w:rsidR="06AD5A6D" w:rsidRPr="000C0B5F" w:rsidP="06AD5A6D" w14:paraId="2CB18094" w14:textId="47D28FC4">
            <w:pPr>
              <w:spacing w:after="0"/>
              <w:jc w:val="center"/>
              <w:rPr>
                <w:rFonts w:ascii="Calibri" w:eastAsia="Calibri" w:hAnsi="Calibri" w:cs="Calibri"/>
                <w:b/>
                <w:bCs/>
                <w:sz w:val="20"/>
                <w:szCs w:val="20"/>
              </w:rPr>
            </w:pPr>
            <w:r w:rsidRPr="000C0B5F">
              <w:rPr>
                <w:rFonts w:ascii="Calibri" w:eastAsia="Calibri" w:hAnsi="Calibri" w:cs="Calibri"/>
                <w:b/>
                <w:bCs/>
                <w:sz w:val="20"/>
                <w:szCs w:val="20"/>
              </w:rPr>
              <w:t>Reporting Burden (cost)</w:t>
            </w:r>
          </w:p>
        </w:tc>
      </w:tr>
      <w:tr w14:paraId="60D055FD" w14:textId="77777777" w:rsidTr="00AB6141">
        <w:tblPrEx>
          <w:tblW w:w="0" w:type="auto"/>
          <w:jc w:val="center"/>
          <w:tblLayout w:type="fixed"/>
          <w:tblLook w:val="06A0"/>
        </w:tblPrEx>
        <w:trPr>
          <w:trHeight w:val="1245"/>
          <w:jc w:val="center"/>
        </w:trPr>
        <w:tc>
          <w:tcPr>
            <w:tcW w:w="1230" w:type="dxa"/>
            <w:tcBorders>
              <w:top w:val="single" w:sz="12" w:space="0" w:color="auto"/>
              <w:left w:val="single" w:sz="12" w:space="0" w:color="auto"/>
              <w:bottom w:val="nil"/>
              <w:right w:val="single" w:sz="12" w:space="0" w:color="auto"/>
            </w:tcBorders>
            <w:tcMar>
              <w:top w:w="15" w:type="dxa"/>
              <w:left w:w="15" w:type="dxa"/>
              <w:right w:w="15" w:type="dxa"/>
            </w:tcMar>
            <w:vAlign w:val="center"/>
          </w:tcPr>
          <w:p w:rsidR="06AD5A6D" w:rsidRPr="000C0B5F" w:rsidP="06AD5A6D" w14:paraId="74B80A42" w14:textId="16BB56E4">
            <w:pPr>
              <w:spacing w:after="0"/>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Reporting Burden Task</w:t>
            </w:r>
            <w:r w:rsidRPr="000C0B5F">
              <w:rPr>
                <w:rFonts w:ascii="Calibri" w:eastAsia="Calibri" w:hAnsi="Calibri" w:cs="Calibri"/>
                <w:b/>
                <w:bCs/>
                <w:color w:val="000000" w:themeColor="text1"/>
                <w:sz w:val="20"/>
                <w:szCs w:val="20"/>
              </w:rPr>
              <w:t xml:space="preserve"> </w:t>
            </w:r>
          </w:p>
        </w:tc>
        <w:tc>
          <w:tcPr>
            <w:tcW w:w="949" w:type="dxa"/>
            <w:tcBorders>
              <w:top w:val="nil"/>
              <w:left w:val="single" w:sz="12" w:space="0" w:color="auto"/>
              <w:bottom w:val="single" w:sz="4" w:space="0" w:color="auto"/>
              <w:right w:val="single" w:sz="4" w:space="0" w:color="auto"/>
            </w:tcBorders>
            <w:tcMar>
              <w:top w:w="15" w:type="dxa"/>
              <w:left w:w="15" w:type="dxa"/>
              <w:right w:w="15" w:type="dxa"/>
            </w:tcMar>
            <w:vAlign w:val="center"/>
          </w:tcPr>
          <w:p w:rsidR="06AD5A6D" w:rsidRPr="000C0B5F" w:rsidP="06AD5A6D" w14:paraId="6E8DBD91" w14:textId="5D2B4CCE">
            <w:pPr>
              <w:spacing w:after="0"/>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Manager ($/hr)</w:t>
            </w:r>
          </w:p>
        </w:tc>
        <w:tc>
          <w:tcPr>
            <w:tcW w:w="88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6AD5A6D" w:rsidRPr="000C0B5F" w:rsidP="06AD5A6D" w14:paraId="1B6CBBE6" w14:textId="41687547">
            <w:pPr>
              <w:spacing w:after="0"/>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Technical ($/hr)</w:t>
            </w:r>
          </w:p>
        </w:tc>
        <w:tc>
          <w:tcPr>
            <w:tcW w:w="720" w:type="dxa"/>
            <w:tcBorders>
              <w:top w:val="nil"/>
              <w:left w:val="single" w:sz="4" w:space="0" w:color="auto"/>
              <w:bottom w:val="single" w:sz="4" w:space="0" w:color="auto"/>
              <w:right w:val="nil"/>
            </w:tcBorders>
            <w:tcMar>
              <w:top w:w="15" w:type="dxa"/>
              <w:left w:w="15" w:type="dxa"/>
              <w:right w:w="15" w:type="dxa"/>
            </w:tcMar>
            <w:vAlign w:val="center"/>
          </w:tcPr>
          <w:p w:rsidR="06AD5A6D" w:rsidRPr="000C0B5F" w:rsidP="06AD5A6D" w14:paraId="7155C11C" w14:textId="11E5FAA1">
            <w:pPr>
              <w:spacing w:after="0"/>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Clerical ($/hr)</w:t>
            </w:r>
          </w:p>
        </w:tc>
        <w:tc>
          <w:tcPr>
            <w:tcW w:w="795" w:type="dxa"/>
            <w:tcBorders>
              <w:top w:val="nil"/>
              <w:left w:val="single" w:sz="4" w:space="0" w:color="auto"/>
              <w:bottom w:val="nil"/>
              <w:right w:val="single" w:sz="4" w:space="0" w:color="auto"/>
            </w:tcBorders>
            <w:tcMar>
              <w:top w:w="15" w:type="dxa"/>
              <w:left w:w="15" w:type="dxa"/>
              <w:right w:w="15" w:type="dxa"/>
            </w:tcMar>
            <w:vAlign w:val="center"/>
          </w:tcPr>
          <w:p w:rsidR="06AD5A6D" w:rsidRPr="000C0B5F" w:rsidP="06AD5A6D" w14:paraId="7A19073F" w14:textId="268C04B7">
            <w:pPr>
              <w:spacing w:after="0"/>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Respond (hrs/yr)</w:t>
            </w:r>
          </w:p>
        </w:tc>
        <w:tc>
          <w:tcPr>
            <w:tcW w:w="1290" w:type="dxa"/>
            <w:tcBorders>
              <w:top w:val="nil"/>
              <w:left w:val="single" w:sz="4" w:space="0" w:color="auto"/>
              <w:bottom w:val="nil"/>
              <w:right w:val="single" w:sz="12" w:space="0" w:color="auto"/>
            </w:tcBorders>
            <w:tcMar>
              <w:top w:w="15" w:type="dxa"/>
              <w:left w:w="15" w:type="dxa"/>
              <w:right w:w="15" w:type="dxa"/>
            </w:tcMar>
            <w:vAlign w:val="center"/>
          </w:tcPr>
          <w:p w:rsidR="06AD5A6D" w:rsidRPr="000C0B5F" w:rsidP="06AD5A6D" w14:paraId="4AFC23A3" w14:textId="1877FD34">
            <w:pPr>
              <w:spacing w:after="0"/>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Labor cost (year/respond)</w:t>
            </w:r>
          </w:p>
        </w:tc>
        <w:tc>
          <w:tcPr>
            <w:tcW w:w="975" w:type="dxa"/>
            <w:tcBorders>
              <w:top w:val="single" w:sz="12" w:space="0" w:color="auto"/>
              <w:left w:val="single" w:sz="12" w:space="0" w:color="auto"/>
              <w:bottom w:val="nil"/>
              <w:right w:val="single" w:sz="4" w:space="0" w:color="000000" w:themeColor="text1"/>
            </w:tcBorders>
            <w:tcMar>
              <w:top w:w="15" w:type="dxa"/>
              <w:left w:w="15" w:type="dxa"/>
              <w:right w:w="15" w:type="dxa"/>
            </w:tcMar>
            <w:vAlign w:val="center"/>
          </w:tcPr>
          <w:p w:rsidR="06AD5A6D" w:rsidRPr="000C0B5F" w:rsidP="06AD5A6D" w14:paraId="317CB111" w14:textId="4BAC62C7">
            <w:pPr>
              <w:spacing w:after="0"/>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Number of Respond</w:t>
            </w:r>
          </w:p>
        </w:tc>
        <w:tc>
          <w:tcPr>
            <w:tcW w:w="810" w:type="dxa"/>
            <w:tcBorders>
              <w:top w:val="nil"/>
              <w:left w:val="single" w:sz="4" w:space="0" w:color="auto"/>
              <w:bottom w:val="nil"/>
              <w:right w:val="single" w:sz="4" w:space="0" w:color="auto"/>
            </w:tcBorders>
            <w:tcMar>
              <w:top w:w="15" w:type="dxa"/>
              <w:left w:w="15" w:type="dxa"/>
              <w:right w:w="15" w:type="dxa"/>
            </w:tcMar>
            <w:vAlign w:val="center"/>
          </w:tcPr>
          <w:p w:rsidR="06AD5A6D" w:rsidRPr="000C0B5F" w:rsidP="06AD5A6D" w14:paraId="399DA812" w14:textId="3736C610">
            <w:pPr>
              <w:spacing w:after="0"/>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Total hours/yr</w:t>
            </w:r>
          </w:p>
        </w:tc>
        <w:tc>
          <w:tcPr>
            <w:tcW w:w="881" w:type="dxa"/>
            <w:tcBorders>
              <w:top w:val="nil"/>
              <w:left w:val="single" w:sz="4" w:space="0" w:color="auto"/>
              <w:bottom w:val="nil"/>
              <w:right w:val="single" w:sz="12" w:space="0" w:color="auto"/>
            </w:tcBorders>
            <w:tcMar>
              <w:top w:w="15" w:type="dxa"/>
              <w:left w:w="15" w:type="dxa"/>
              <w:right w:w="15" w:type="dxa"/>
            </w:tcMar>
            <w:vAlign w:val="center"/>
          </w:tcPr>
          <w:p w:rsidR="06AD5A6D" w:rsidRPr="000C0B5F" w:rsidP="06AD5A6D" w14:paraId="517054DE" w14:textId="55CB61B6">
            <w:pPr>
              <w:spacing w:after="0"/>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Total Labor cost/yr</w:t>
            </w:r>
          </w:p>
        </w:tc>
      </w:tr>
      <w:tr w14:paraId="4B8158ED" w14:textId="77777777" w:rsidTr="00AB6141">
        <w:tblPrEx>
          <w:tblW w:w="0" w:type="auto"/>
          <w:jc w:val="center"/>
          <w:tblLayout w:type="fixed"/>
          <w:tblLook w:val="06A0"/>
        </w:tblPrEx>
        <w:trPr>
          <w:trHeight w:val="1875"/>
          <w:jc w:val="center"/>
        </w:trPr>
        <w:tc>
          <w:tcPr>
            <w:tcW w:w="1230" w:type="dxa"/>
            <w:tcBorders>
              <w:top w:val="single" w:sz="4" w:space="0" w:color="auto"/>
              <w:left w:val="single" w:sz="12" w:space="0" w:color="auto"/>
              <w:bottom w:val="nil"/>
              <w:right w:val="single" w:sz="12" w:space="0" w:color="auto"/>
            </w:tcBorders>
            <w:tcMar>
              <w:top w:w="15" w:type="dxa"/>
              <w:left w:w="15" w:type="dxa"/>
              <w:right w:w="15" w:type="dxa"/>
            </w:tcMar>
            <w:vAlign w:val="center"/>
          </w:tcPr>
          <w:p w:rsidR="06AD5A6D" w:rsidRPr="000C0B5F" w:rsidP="06AD5A6D" w14:paraId="72A92E44" w14:textId="30F0DE25">
            <w:pPr>
              <w:spacing w:after="0"/>
              <w:rPr>
                <w:rFonts w:ascii="Calibri" w:eastAsia="Calibri" w:hAnsi="Calibri" w:cs="Calibri"/>
                <w:color w:val="000000" w:themeColor="text1"/>
                <w:sz w:val="20"/>
                <w:szCs w:val="20"/>
              </w:rPr>
            </w:pPr>
            <w:r w:rsidRPr="000C0B5F">
              <w:rPr>
                <w:rFonts w:ascii="Calibri" w:eastAsia="Calibri" w:hAnsi="Calibri" w:cs="Calibri"/>
                <w:color w:val="000000" w:themeColor="text1"/>
                <w:sz w:val="20"/>
                <w:szCs w:val="20"/>
              </w:rPr>
              <w:t>Read and understand the regulatory provision (Mgmt)</w:t>
            </w:r>
          </w:p>
        </w:tc>
        <w:tc>
          <w:tcPr>
            <w:tcW w:w="949" w:type="dxa"/>
            <w:tcBorders>
              <w:top w:val="single" w:sz="4" w:space="0" w:color="auto"/>
              <w:left w:val="single" w:sz="12" w:space="0" w:color="auto"/>
              <w:bottom w:val="nil"/>
              <w:right w:val="single" w:sz="4" w:space="0" w:color="auto"/>
            </w:tcBorders>
            <w:tcMar>
              <w:top w:w="15" w:type="dxa"/>
              <w:left w:w="15" w:type="dxa"/>
              <w:right w:w="15" w:type="dxa"/>
            </w:tcMar>
            <w:vAlign w:val="center"/>
          </w:tcPr>
          <w:p w:rsidR="06AD5A6D" w:rsidRPr="000C0B5F" w:rsidP="06AD5A6D" w14:paraId="4CF2C93F" w14:textId="45417FF3">
            <w:pPr>
              <w:spacing w:after="0"/>
              <w:jc w:val="center"/>
              <w:rPr>
                <w:rFonts w:ascii="Calibri" w:eastAsia="Calibri" w:hAnsi="Calibri" w:cs="Calibri"/>
                <w:color w:val="000000" w:themeColor="text1"/>
                <w:sz w:val="20"/>
                <w:szCs w:val="20"/>
              </w:rPr>
            </w:pPr>
            <w:r w:rsidRPr="000C0B5F">
              <w:rPr>
                <w:rFonts w:ascii="Calibri" w:eastAsia="Calibri" w:hAnsi="Calibri" w:cs="Calibri"/>
                <w:color w:val="000000" w:themeColor="text1"/>
                <w:sz w:val="20"/>
                <w:szCs w:val="20"/>
              </w:rPr>
              <w:t>2</w:t>
            </w:r>
          </w:p>
        </w:tc>
        <w:tc>
          <w:tcPr>
            <w:tcW w:w="885" w:type="dxa"/>
            <w:tcBorders>
              <w:top w:val="single" w:sz="4" w:space="0" w:color="auto"/>
              <w:left w:val="single" w:sz="4" w:space="0" w:color="auto"/>
              <w:bottom w:val="nil"/>
              <w:right w:val="single" w:sz="4" w:space="0" w:color="auto"/>
            </w:tcBorders>
            <w:tcMar>
              <w:top w:w="15" w:type="dxa"/>
              <w:left w:w="15" w:type="dxa"/>
              <w:right w:w="15" w:type="dxa"/>
            </w:tcMar>
            <w:vAlign w:val="center"/>
          </w:tcPr>
          <w:p w:rsidR="06AD5A6D" w:rsidRPr="000C0B5F" w:rsidP="06AD5A6D" w14:paraId="18B32679" w14:textId="415EAFD8">
            <w:pPr>
              <w:spacing w:after="0"/>
              <w:jc w:val="center"/>
              <w:rPr>
                <w:rFonts w:ascii="Calibri" w:eastAsia="Calibri" w:hAnsi="Calibri" w:cs="Calibri"/>
                <w:color w:val="000000" w:themeColor="text1"/>
                <w:sz w:val="20"/>
                <w:szCs w:val="20"/>
              </w:rPr>
            </w:pPr>
            <w:r w:rsidRPr="000C0B5F">
              <w:rPr>
                <w:rFonts w:ascii="Calibri" w:eastAsia="Calibri" w:hAnsi="Calibri" w:cs="Calibri"/>
                <w:color w:val="000000" w:themeColor="text1"/>
                <w:sz w:val="20"/>
                <w:szCs w:val="20"/>
              </w:rPr>
              <w:t xml:space="preserve"> </w:t>
            </w:r>
          </w:p>
        </w:tc>
        <w:tc>
          <w:tcPr>
            <w:tcW w:w="720" w:type="dxa"/>
            <w:tcBorders>
              <w:top w:val="single" w:sz="4" w:space="0" w:color="auto"/>
              <w:left w:val="single" w:sz="4" w:space="0" w:color="auto"/>
              <w:bottom w:val="nil"/>
              <w:right w:val="single" w:sz="4" w:space="0" w:color="auto"/>
            </w:tcBorders>
            <w:tcMar>
              <w:top w:w="15" w:type="dxa"/>
              <w:left w:w="15" w:type="dxa"/>
              <w:right w:w="15" w:type="dxa"/>
            </w:tcMar>
            <w:vAlign w:val="center"/>
          </w:tcPr>
          <w:p w:rsidR="06AD5A6D" w:rsidRPr="000C0B5F" w:rsidP="06AD5A6D" w14:paraId="604B2A18" w14:textId="7FDB6400">
            <w:pPr>
              <w:spacing w:after="0"/>
              <w:jc w:val="center"/>
              <w:rPr>
                <w:rFonts w:ascii="Calibri" w:eastAsia="Calibri" w:hAnsi="Calibri" w:cs="Calibri"/>
                <w:color w:val="000000" w:themeColor="text1"/>
                <w:sz w:val="20"/>
                <w:szCs w:val="20"/>
              </w:rPr>
            </w:pPr>
            <w:r w:rsidRPr="000C0B5F">
              <w:rPr>
                <w:rFonts w:ascii="Calibri" w:eastAsia="Calibri" w:hAnsi="Calibri" w:cs="Calibri"/>
                <w:color w:val="000000" w:themeColor="text1"/>
                <w:sz w:val="20"/>
                <w:szCs w:val="20"/>
              </w:rPr>
              <w:t xml:space="preserve"> </w:t>
            </w:r>
          </w:p>
        </w:tc>
        <w:tc>
          <w:tcPr>
            <w:tcW w:w="795" w:type="dxa"/>
            <w:tcBorders>
              <w:top w:val="single" w:sz="4" w:space="0" w:color="auto"/>
              <w:left w:val="single" w:sz="4" w:space="0" w:color="auto"/>
              <w:bottom w:val="nil"/>
              <w:right w:val="single" w:sz="4" w:space="0" w:color="auto"/>
            </w:tcBorders>
            <w:tcMar>
              <w:top w:w="15" w:type="dxa"/>
              <w:left w:w="15" w:type="dxa"/>
              <w:right w:w="15" w:type="dxa"/>
            </w:tcMar>
            <w:vAlign w:val="center"/>
          </w:tcPr>
          <w:p w:rsidR="06AD5A6D" w:rsidRPr="000C0B5F" w:rsidP="06AD5A6D" w14:paraId="7C7D6D2F" w14:textId="314111E5">
            <w:pPr>
              <w:spacing w:after="0"/>
              <w:jc w:val="center"/>
              <w:rPr>
                <w:rFonts w:ascii="Calibri" w:eastAsia="Calibri" w:hAnsi="Calibri" w:cs="Calibri"/>
                <w:color w:val="000000" w:themeColor="text1"/>
                <w:sz w:val="20"/>
                <w:szCs w:val="20"/>
              </w:rPr>
            </w:pPr>
            <w:r w:rsidRPr="000C0B5F">
              <w:rPr>
                <w:rFonts w:ascii="Calibri" w:eastAsia="Calibri" w:hAnsi="Calibri" w:cs="Calibri"/>
                <w:color w:val="000000" w:themeColor="text1"/>
                <w:sz w:val="20"/>
                <w:szCs w:val="20"/>
              </w:rPr>
              <w:t>2</w:t>
            </w:r>
          </w:p>
        </w:tc>
        <w:tc>
          <w:tcPr>
            <w:tcW w:w="1290" w:type="dxa"/>
            <w:tcBorders>
              <w:top w:val="single" w:sz="4" w:space="0" w:color="auto"/>
              <w:left w:val="single" w:sz="4" w:space="0" w:color="auto"/>
              <w:bottom w:val="nil"/>
              <w:right w:val="single" w:sz="12" w:space="0" w:color="auto"/>
            </w:tcBorders>
            <w:tcMar>
              <w:top w:w="15" w:type="dxa"/>
              <w:left w:w="15" w:type="dxa"/>
              <w:right w:w="15" w:type="dxa"/>
            </w:tcMar>
            <w:vAlign w:val="center"/>
          </w:tcPr>
          <w:p w:rsidR="06AD5A6D" w:rsidRPr="000C0B5F" w:rsidP="06AD5A6D" w14:paraId="4BBADD47" w14:textId="0E315F06">
            <w:pPr>
              <w:spacing w:after="0"/>
              <w:jc w:val="center"/>
              <w:rPr>
                <w:rFonts w:ascii="Calibri" w:eastAsia="Calibri" w:hAnsi="Calibri" w:cs="Calibri"/>
                <w:color w:val="000000" w:themeColor="text1"/>
                <w:sz w:val="20"/>
                <w:szCs w:val="20"/>
              </w:rPr>
            </w:pPr>
            <w:r w:rsidRPr="000C0B5F">
              <w:rPr>
                <w:rFonts w:ascii="Calibri" w:eastAsia="Calibri" w:hAnsi="Calibri" w:cs="Calibri"/>
                <w:color w:val="000000" w:themeColor="text1"/>
                <w:sz w:val="20"/>
                <w:szCs w:val="20"/>
              </w:rPr>
              <w:t xml:space="preserve">$267 </w:t>
            </w:r>
          </w:p>
        </w:tc>
        <w:tc>
          <w:tcPr>
            <w:tcW w:w="975" w:type="dxa"/>
            <w:tcBorders>
              <w:top w:val="single" w:sz="4" w:space="0" w:color="auto"/>
              <w:left w:val="single" w:sz="12" w:space="0" w:color="auto"/>
              <w:bottom w:val="nil"/>
              <w:right w:val="single" w:sz="4" w:space="0" w:color="auto"/>
            </w:tcBorders>
            <w:tcMar>
              <w:top w:w="15" w:type="dxa"/>
              <w:left w:w="15" w:type="dxa"/>
              <w:right w:w="15" w:type="dxa"/>
            </w:tcMar>
            <w:vAlign w:val="center"/>
          </w:tcPr>
          <w:p w:rsidR="06AD5A6D" w:rsidRPr="000C0B5F" w:rsidP="06AD5A6D" w14:paraId="3B744334" w14:textId="1E4D47C2">
            <w:pPr>
              <w:spacing w:after="0"/>
              <w:jc w:val="center"/>
              <w:rPr>
                <w:rFonts w:ascii="Calibri" w:eastAsia="Calibri" w:hAnsi="Calibri" w:cs="Calibri"/>
                <w:sz w:val="20"/>
                <w:szCs w:val="20"/>
              </w:rPr>
            </w:pPr>
            <w:r w:rsidRPr="000C0B5F">
              <w:rPr>
                <w:rFonts w:ascii="Calibri" w:eastAsia="Calibri" w:hAnsi="Calibri" w:cs="Calibri"/>
                <w:sz w:val="20"/>
                <w:szCs w:val="20"/>
              </w:rPr>
              <w:t>24</w:t>
            </w:r>
          </w:p>
        </w:tc>
        <w:tc>
          <w:tcPr>
            <w:tcW w:w="810" w:type="dxa"/>
            <w:tcBorders>
              <w:top w:val="single" w:sz="4" w:space="0" w:color="auto"/>
              <w:left w:val="single" w:sz="4" w:space="0" w:color="auto"/>
              <w:bottom w:val="nil"/>
              <w:right w:val="single" w:sz="4" w:space="0" w:color="auto"/>
            </w:tcBorders>
            <w:tcMar>
              <w:top w:w="15" w:type="dxa"/>
              <w:left w:w="15" w:type="dxa"/>
              <w:right w:w="15" w:type="dxa"/>
            </w:tcMar>
            <w:vAlign w:val="center"/>
          </w:tcPr>
          <w:p w:rsidR="06AD5A6D" w:rsidRPr="000C0B5F" w:rsidP="06AD5A6D" w14:paraId="664928A7" w14:textId="11D91700">
            <w:pPr>
              <w:spacing w:after="0"/>
              <w:jc w:val="center"/>
              <w:rPr>
                <w:rFonts w:ascii="Calibri" w:eastAsia="Calibri" w:hAnsi="Calibri" w:cs="Calibri"/>
                <w:color w:val="000000" w:themeColor="text1"/>
                <w:sz w:val="20"/>
                <w:szCs w:val="20"/>
              </w:rPr>
            </w:pPr>
            <w:r w:rsidRPr="000C0B5F">
              <w:rPr>
                <w:rFonts w:ascii="Calibri" w:eastAsia="Calibri" w:hAnsi="Calibri" w:cs="Calibri"/>
                <w:color w:val="000000" w:themeColor="text1"/>
                <w:sz w:val="20"/>
                <w:szCs w:val="20"/>
              </w:rPr>
              <w:t>48</w:t>
            </w:r>
          </w:p>
        </w:tc>
        <w:tc>
          <w:tcPr>
            <w:tcW w:w="881" w:type="dxa"/>
            <w:tcBorders>
              <w:top w:val="single" w:sz="4" w:space="0" w:color="auto"/>
              <w:left w:val="single" w:sz="4" w:space="0" w:color="auto"/>
              <w:bottom w:val="nil"/>
              <w:right w:val="single" w:sz="12" w:space="0" w:color="auto"/>
            </w:tcBorders>
            <w:tcMar>
              <w:top w:w="15" w:type="dxa"/>
              <w:left w:w="15" w:type="dxa"/>
              <w:right w:w="15" w:type="dxa"/>
            </w:tcMar>
            <w:vAlign w:val="center"/>
          </w:tcPr>
          <w:p w:rsidR="06AD5A6D" w:rsidRPr="000C0B5F" w:rsidP="06AD5A6D" w14:paraId="53A12E47" w14:textId="65173F16">
            <w:pPr>
              <w:spacing w:after="0"/>
              <w:jc w:val="center"/>
              <w:rPr>
                <w:rFonts w:ascii="Calibri" w:eastAsia="Calibri" w:hAnsi="Calibri" w:cs="Calibri"/>
                <w:color w:val="000000" w:themeColor="text1"/>
                <w:sz w:val="20"/>
                <w:szCs w:val="20"/>
              </w:rPr>
            </w:pPr>
            <w:r w:rsidRPr="000C0B5F">
              <w:rPr>
                <w:rFonts w:ascii="Calibri" w:eastAsia="Calibri" w:hAnsi="Calibri" w:cs="Calibri"/>
                <w:color w:val="000000" w:themeColor="text1"/>
                <w:sz w:val="20"/>
                <w:szCs w:val="20"/>
              </w:rPr>
              <w:t xml:space="preserve">$6,408 </w:t>
            </w:r>
          </w:p>
        </w:tc>
      </w:tr>
      <w:tr w14:paraId="5E0F86EB" w14:textId="77777777" w:rsidTr="00AE6C21">
        <w:tblPrEx>
          <w:tblW w:w="0" w:type="auto"/>
          <w:jc w:val="center"/>
          <w:tblLayout w:type="fixed"/>
          <w:tblLook w:val="06A0"/>
        </w:tblPrEx>
        <w:trPr>
          <w:trHeight w:val="345"/>
          <w:jc w:val="center"/>
        </w:trPr>
        <w:tc>
          <w:tcPr>
            <w:tcW w:w="5869" w:type="dxa"/>
            <w:gridSpan w:val="6"/>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1D559042" w14:textId="6AF2C26F">
            <w:pPr>
              <w:spacing w:after="0"/>
              <w:jc w:val="center"/>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Record Keeping Burden (hours)</w:t>
            </w:r>
          </w:p>
        </w:tc>
        <w:tc>
          <w:tcPr>
            <w:tcW w:w="2666" w:type="dxa"/>
            <w:gridSpan w:val="3"/>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46B7836A" w14:textId="6D16C259">
            <w:pPr>
              <w:spacing w:after="0"/>
              <w:jc w:val="center"/>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Record Keeping Burden (cost)</w:t>
            </w:r>
          </w:p>
        </w:tc>
      </w:tr>
      <w:tr w14:paraId="5F498095" w14:textId="77777777" w:rsidTr="00AB6141">
        <w:tblPrEx>
          <w:tblW w:w="0" w:type="auto"/>
          <w:jc w:val="center"/>
          <w:tblLayout w:type="fixed"/>
          <w:tblLook w:val="06A0"/>
        </w:tblPrEx>
        <w:trPr>
          <w:trHeight w:val="1245"/>
          <w:jc w:val="center"/>
        </w:trPr>
        <w:tc>
          <w:tcPr>
            <w:tcW w:w="1230"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089808C5" w14:textId="5E641548">
            <w:pPr>
              <w:spacing w:after="0"/>
              <w:rPr>
                <w:rFonts w:ascii="Calibri" w:eastAsia="Calibri" w:hAnsi="Calibri" w:cs="Calibri"/>
                <w:color w:val="000000" w:themeColor="text1"/>
                <w:sz w:val="20"/>
                <w:szCs w:val="20"/>
              </w:rPr>
            </w:pPr>
            <w:r w:rsidRPr="000C0B5F">
              <w:rPr>
                <w:rFonts w:ascii="Calibri" w:eastAsia="Calibri" w:hAnsi="Calibri" w:cs="Calibri"/>
                <w:color w:val="000000" w:themeColor="text1"/>
                <w:sz w:val="20"/>
                <w:szCs w:val="20"/>
              </w:rPr>
              <w:t>File and maintain data (Clerical)</w:t>
            </w:r>
          </w:p>
        </w:tc>
        <w:tc>
          <w:tcPr>
            <w:tcW w:w="949" w:type="dxa"/>
            <w:tcBorders>
              <w:top w:val="nil"/>
              <w:left w:val="single" w:sz="12" w:space="0" w:color="auto"/>
              <w:bottom w:val="single" w:sz="12" w:space="0" w:color="auto"/>
              <w:right w:val="single" w:sz="4" w:space="0" w:color="auto"/>
            </w:tcBorders>
            <w:tcMar>
              <w:top w:w="15" w:type="dxa"/>
              <w:left w:w="15" w:type="dxa"/>
              <w:right w:w="15" w:type="dxa"/>
            </w:tcMar>
            <w:vAlign w:val="center"/>
          </w:tcPr>
          <w:p w:rsidR="06AD5A6D" w:rsidRPr="000C0B5F" w:rsidP="06AD5A6D" w14:paraId="188C4E78" w14:textId="5ED918FD">
            <w:pPr>
              <w:spacing w:after="0"/>
              <w:jc w:val="center"/>
              <w:rPr>
                <w:rFonts w:ascii="Calibri" w:eastAsia="Calibri" w:hAnsi="Calibri" w:cs="Calibri"/>
                <w:color w:val="000000" w:themeColor="text1"/>
                <w:sz w:val="20"/>
                <w:szCs w:val="20"/>
              </w:rPr>
            </w:pPr>
            <w:r w:rsidRPr="000C0B5F">
              <w:rPr>
                <w:rFonts w:ascii="Calibri" w:eastAsia="Calibri" w:hAnsi="Calibri" w:cs="Calibri"/>
                <w:color w:val="000000" w:themeColor="text1"/>
                <w:sz w:val="20"/>
                <w:szCs w:val="20"/>
              </w:rPr>
              <w:t xml:space="preserve"> </w:t>
            </w:r>
          </w:p>
        </w:tc>
        <w:tc>
          <w:tcPr>
            <w:tcW w:w="885" w:type="dxa"/>
            <w:tcBorders>
              <w:top w:val="nil"/>
              <w:left w:val="single" w:sz="4" w:space="0" w:color="auto"/>
              <w:bottom w:val="single" w:sz="12" w:space="0" w:color="auto"/>
              <w:right w:val="single" w:sz="4" w:space="0" w:color="auto"/>
            </w:tcBorders>
            <w:tcMar>
              <w:top w:w="15" w:type="dxa"/>
              <w:left w:w="15" w:type="dxa"/>
              <w:right w:w="15" w:type="dxa"/>
            </w:tcMar>
            <w:vAlign w:val="center"/>
          </w:tcPr>
          <w:p w:rsidR="06AD5A6D" w:rsidRPr="000C0B5F" w:rsidP="06AD5A6D" w14:paraId="32B2205E" w14:textId="4F9605B4">
            <w:pPr>
              <w:spacing w:after="0"/>
              <w:jc w:val="center"/>
              <w:rPr>
                <w:rFonts w:ascii="Calibri" w:eastAsia="Calibri" w:hAnsi="Calibri" w:cs="Calibri"/>
                <w:color w:val="000000" w:themeColor="text1"/>
                <w:sz w:val="20"/>
                <w:szCs w:val="20"/>
              </w:rPr>
            </w:pPr>
            <w:r w:rsidRPr="000C0B5F">
              <w:rPr>
                <w:rFonts w:ascii="Calibri" w:eastAsia="Calibri" w:hAnsi="Calibri" w:cs="Calibri"/>
                <w:color w:val="000000" w:themeColor="text1"/>
                <w:sz w:val="20"/>
                <w:szCs w:val="20"/>
              </w:rPr>
              <w:t xml:space="preserve"> </w:t>
            </w:r>
          </w:p>
        </w:tc>
        <w:tc>
          <w:tcPr>
            <w:tcW w:w="720" w:type="dxa"/>
            <w:tcBorders>
              <w:top w:val="nil"/>
              <w:left w:val="single" w:sz="4" w:space="0" w:color="auto"/>
              <w:bottom w:val="single" w:sz="12" w:space="0" w:color="auto"/>
              <w:right w:val="single" w:sz="4" w:space="0" w:color="auto"/>
            </w:tcBorders>
            <w:tcMar>
              <w:top w:w="15" w:type="dxa"/>
              <w:left w:w="15" w:type="dxa"/>
              <w:right w:w="15" w:type="dxa"/>
            </w:tcMar>
            <w:vAlign w:val="center"/>
          </w:tcPr>
          <w:p w:rsidR="06AD5A6D" w:rsidRPr="000C0B5F" w:rsidP="06AD5A6D" w14:paraId="5544B13E" w14:textId="580C07B3">
            <w:pPr>
              <w:spacing w:after="0"/>
              <w:jc w:val="center"/>
              <w:rPr>
                <w:rFonts w:ascii="Calibri" w:eastAsia="Calibri" w:hAnsi="Calibri" w:cs="Calibri"/>
                <w:color w:val="000000" w:themeColor="text1"/>
                <w:sz w:val="20"/>
                <w:szCs w:val="20"/>
              </w:rPr>
            </w:pPr>
            <w:r w:rsidRPr="000C0B5F">
              <w:rPr>
                <w:rFonts w:ascii="Calibri" w:eastAsia="Calibri" w:hAnsi="Calibri" w:cs="Calibri"/>
                <w:color w:val="000000" w:themeColor="text1"/>
                <w:sz w:val="20"/>
                <w:szCs w:val="20"/>
              </w:rPr>
              <w:t>10</w:t>
            </w:r>
          </w:p>
        </w:tc>
        <w:tc>
          <w:tcPr>
            <w:tcW w:w="795" w:type="dxa"/>
            <w:tcBorders>
              <w:top w:val="nil"/>
              <w:left w:val="single" w:sz="4" w:space="0" w:color="auto"/>
              <w:bottom w:val="single" w:sz="12" w:space="0" w:color="auto"/>
              <w:right w:val="single" w:sz="4" w:space="0" w:color="auto"/>
            </w:tcBorders>
            <w:tcMar>
              <w:top w:w="15" w:type="dxa"/>
              <w:left w:w="15" w:type="dxa"/>
              <w:right w:w="15" w:type="dxa"/>
            </w:tcMar>
            <w:vAlign w:val="center"/>
          </w:tcPr>
          <w:p w:rsidR="06AD5A6D" w:rsidRPr="000C0B5F" w:rsidP="06AD5A6D" w14:paraId="51C41B4A" w14:textId="2F554638">
            <w:pPr>
              <w:spacing w:after="0"/>
              <w:jc w:val="center"/>
              <w:rPr>
                <w:rFonts w:ascii="Calibri" w:eastAsia="Calibri" w:hAnsi="Calibri" w:cs="Calibri"/>
                <w:color w:val="000000" w:themeColor="text1"/>
                <w:sz w:val="20"/>
                <w:szCs w:val="20"/>
              </w:rPr>
            </w:pPr>
            <w:r w:rsidRPr="000C0B5F">
              <w:rPr>
                <w:rFonts w:ascii="Calibri" w:eastAsia="Calibri" w:hAnsi="Calibri" w:cs="Calibri"/>
                <w:color w:val="000000" w:themeColor="text1"/>
                <w:sz w:val="20"/>
                <w:szCs w:val="20"/>
              </w:rPr>
              <w:t>10</w:t>
            </w:r>
          </w:p>
        </w:tc>
        <w:tc>
          <w:tcPr>
            <w:tcW w:w="1290" w:type="dxa"/>
            <w:tcBorders>
              <w:top w:val="nil"/>
              <w:left w:val="single" w:sz="4" w:space="0" w:color="auto"/>
              <w:bottom w:val="single" w:sz="12" w:space="0" w:color="auto"/>
              <w:right w:val="single" w:sz="12" w:space="0" w:color="auto"/>
            </w:tcBorders>
            <w:tcMar>
              <w:top w:w="15" w:type="dxa"/>
              <w:left w:w="15" w:type="dxa"/>
              <w:right w:w="15" w:type="dxa"/>
            </w:tcMar>
            <w:vAlign w:val="center"/>
          </w:tcPr>
          <w:p w:rsidR="06AD5A6D" w:rsidRPr="000C0B5F" w:rsidP="06AD5A6D" w14:paraId="22C0C3CE" w14:textId="2AFF5B9B">
            <w:pPr>
              <w:spacing w:after="0"/>
              <w:jc w:val="center"/>
              <w:rPr>
                <w:rFonts w:ascii="Calibri" w:eastAsia="Calibri" w:hAnsi="Calibri" w:cs="Calibri"/>
                <w:color w:val="000000" w:themeColor="text1"/>
                <w:sz w:val="20"/>
                <w:szCs w:val="20"/>
              </w:rPr>
            </w:pPr>
            <w:r w:rsidRPr="000C0B5F">
              <w:rPr>
                <w:rFonts w:ascii="Calibri" w:eastAsia="Calibri" w:hAnsi="Calibri" w:cs="Calibri"/>
                <w:color w:val="000000" w:themeColor="text1"/>
                <w:sz w:val="20"/>
                <w:szCs w:val="20"/>
              </w:rPr>
              <w:t xml:space="preserve">$380 </w:t>
            </w:r>
          </w:p>
        </w:tc>
        <w:tc>
          <w:tcPr>
            <w:tcW w:w="975" w:type="dxa"/>
            <w:tcBorders>
              <w:top w:val="single" w:sz="12" w:space="0" w:color="auto"/>
              <w:left w:val="single" w:sz="12" w:space="0" w:color="auto"/>
              <w:bottom w:val="single" w:sz="12" w:space="0" w:color="auto"/>
              <w:right w:val="single" w:sz="4" w:space="0" w:color="000000" w:themeColor="text1"/>
            </w:tcBorders>
            <w:tcMar>
              <w:top w:w="15" w:type="dxa"/>
              <w:left w:w="15" w:type="dxa"/>
              <w:right w:w="15" w:type="dxa"/>
            </w:tcMar>
            <w:vAlign w:val="center"/>
          </w:tcPr>
          <w:p w:rsidR="06AD5A6D" w:rsidRPr="000C0B5F" w:rsidP="06AD5A6D" w14:paraId="068F84EB" w14:textId="36D623B6">
            <w:pPr>
              <w:spacing w:after="0"/>
              <w:jc w:val="center"/>
              <w:rPr>
                <w:rFonts w:ascii="Calibri" w:eastAsia="Calibri" w:hAnsi="Calibri" w:cs="Calibri"/>
                <w:sz w:val="20"/>
                <w:szCs w:val="20"/>
              </w:rPr>
            </w:pPr>
            <w:r w:rsidRPr="000C0B5F">
              <w:rPr>
                <w:rFonts w:ascii="Calibri" w:eastAsia="Calibri" w:hAnsi="Calibri" w:cs="Calibri"/>
                <w:sz w:val="20"/>
                <w:szCs w:val="20"/>
              </w:rPr>
              <w:t>24</w:t>
            </w:r>
          </w:p>
        </w:tc>
        <w:tc>
          <w:tcPr>
            <w:tcW w:w="810" w:type="dxa"/>
            <w:tcBorders>
              <w:top w:val="nil"/>
              <w:left w:val="single" w:sz="4" w:space="0" w:color="auto"/>
              <w:bottom w:val="single" w:sz="12" w:space="0" w:color="auto"/>
              <w:right w:val="single" w:sz="4" w:space="0" w:color="auto"/>
            </w:tcBorders>
            <w:tcMar>
              <w:top w:w="15" w:type="dxa"/>
              <w:left w:w="15" w:type="dxa"/>
              <w:right w:w="15" w:type="dxa"/>
            </w:tcMar>
            <w:vAlign w:val="center"/>
          </w:tcPr>
          <w:p w:rsidR="06AD5A6D" w:rsidRPr="000C0B5F" w:rsidP="06AD5A6D" w14:paraId="69A57F34" w14:textId="594C4C85">
            <w:pPr>
              <w:spacing w:after="0"/>
              <w:jc w:val="center"/>
              <w:rPr>
                <w:rFonts w:ascii="Calibri" w:eastAsia="Calibri" w:hAnsi="Calibri" w:cs="Calibri"/>
                <w:color w:val="000000" w:themeColor="text1"/>
                <w:sz w:val="20"/>
                <w:szCs w:val="20"/>
              </w:rPr>
            </w:pPr>
            <w:r w:rsidRPr="000C0B5F">
              <w:rPr>
                <w:rFonts w:ascii="Calibri" w:eastAsia="Calibri" w:hAnsi="Calibri" w:cs="Calibri"/>
                <w:color w:val="000000" w:themeColor="text1"/>
                <w:sz w:val="20"/>
                <w:szCs w:val="20"/>
              </w:rPr>
              <w:t>240</w:t>
            </w:r>
          </w:p>
        </w:tc>
        <w:tc>
          <w:tcPr>
            <w:tcW w:w="881" w:type="dxa"/>
            <w:tcBorders>
              <w:top w:val="nil"/>
              <w:left w:val="single" w:sz="4" w:space="0" w:color="auto"/>
              <w:bottom w:val="single" w:sz="12" w:space="0" w:color="auto"/>
              <w:right w:val="single" w:sz="12" w:space="0" w:color="auto"/>
            </w:tcBorders>
            <w:tcMar>
              <w:top w:w="15" w:type="dxa"/>
              <w:left w:w="15" w:type="dxa"/>
              <w:right w:w="15" w:type="dxa"/>
            </w:tcMar>
            <w:vAlign w:val="center"/>
          </w:tcPr>
          <w:p w:rsidR="06AD5A6D" w:rsidRPr="000C0B5F" w:rsidP="06AD5A6D" w14:paraId="080E0688" w14:textId="31E5180F">
            <w:pPr>
              <w:spacing w:after="0"/>
              <w:jc w:val="center"/>
              <w:rPr>
                <w:rFonts w:ascii="Calibri" w:eastAsia="Calibri" w:hAnsi="Calibri" w:cs="Calibri"/>
                <w:color w:val="000000" w:themeColor="text1"/>
                <w:sz w:val="20"/>
                <w:szCs w:val="20"/>
              </w:rPr>
            </w:pPr>
            <w:r w:rsidRPr="000C0B5F">
              <w:rPr>
                <w:rFonts w:ascii="Calibri" w:eastAsia="Calibri" w:hAnsi="Calibri" w:cs="Calibri"/>
                <w:color w:val="000000" w:themeColor="text1"/>
                <w:sz w:val="20"/>
                <w:szCs w:val="20"/>
              </w:rPr>
              <w:t xml:space="preserve">$9,120 </w:t>
            </w:r>
          </w:p>
        </w:tc>
      </w:tr>
      <w:tr w14:paraId="10410E22" w14:textId="77777777" w:rsidTr="00AE6C21">
        <w:tblPrEx>
          <w:tblW w:w="0" w:type="auto"/>
          <w:jc w:val="center"/>
          <w:tblLayout w:type="fixed"/>
          <w:tblLook w:val="06A0"/>
        </w:tblPrEx>
        <w:trPr>
          <w:trHeight w:val="315"/>
          <w:jc w:val="center"/>
        </w:trPr>
        <w:tc>
          <w:tcPr>
            <w:tcW w:w="1230"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3A9440FD" w14:textId="7B6169CB">
            <w:pPr>
              <w:spacing w:after="0"/>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TOTAL</w:t>
            </w:r>
          </w:p>
        </w:tc>
        <w:tc>
          <w:tcPr>
            <w:tcW w:w="949"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1C33604D" w14:textId="6D658A82">
            <w:pPr>
              <w:spacing w:after="0"/>
              <w:jc w:val="center"/>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2</w:t>
            </w:r>
          </w:p>
        </w:tc>
        <w:tc>
          <w:tcPr>
            <w:tcW w:w="885"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3C7E67D2" w14:textId="1EABCC1E">
            <w:pPr>
              <w:spacing w:after="0"/>
              <w:jc w:val="center"/>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0</w:t>
            </w:r>
          </w:p>
        </w:tc>
        <w:tc>
          <w:tcPr>
            <w:tcW w:w="720"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1387A5A4" w14:textId="3F4C74C3">
            <w:pPr>
              <w:spacing w:after="0"/>
              <w:jc w:val="center"/>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10</w:t>
            </w:r>
          </w:p>
        </w:tc>
        <w:tc>
          <w:tcPr>
            <w:tcW w:w="795"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7FC5C715" w14:textId="402E206F">
            <w:pPr>
              <w:spacing w:after="0"/>
              <w:jc w:val="center"/>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12</w:t>
            </w:r>
          </w:p>
        </w:tc>
        <w:tc>
          <w:tcPr>
            <w:tcW w:w="1290"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5EE1188E" w14:textId="4F6DE7A0">
            <w:pPr>
              <w:spacing w:after="0"/>
              <w:jc w:val="center"/>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 xml:space="preserve">$647 </w:t>
            </w:r>
          </w:p>
        </w:tc>
        <w:tc>
          <w:tcPr>
            <w:tcW w:w="975"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6EA681F9" w14:textId="4B104436">
            <w:pPr>
              <w:spacing w:after="0"/>
              <w:jc w:val="center"/>
              <w:rPr>
                <w:rFonts w:ascii="Calibri" w:eastAsia="Calibri" w:hAnsi="Calibri" w:cs="Calibri"/>
                <w:b/>
                <w:bCs/>
                <w:sz w:val="20"/>
                <w:szCs w:val="20"/>
              </w:rPr>
            </w:pPr>
            <w:r w:rsidRPr="000C0B5F">
              <w:rPr>
                <w:rFonts w:ascii="Calibri" w:eastAsia="Calibri" w:hAnsi="Calibri" w:cs="Calibri"/>
                <w:b/>
                <w:bCs/>
                <w:sz w:val="20"/>
                <w:szCs w:val="20"/>
              </w:rPr>
              <w:t>24</w:t>
            </w:r>
          </w:p>
        </w:tc>
        <w:tc>
          <w:tcPr>
            <w:tcW w:w="810"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165A1E7E" w14:textId="0219BE41">
            <w:pPr>
              <w:spacing w:after="0"/>
              <w:jc w:val="center"/>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288</w:t>
            </w:r>
          </w:p>
        </w:tc>
        <w:tc>
          <w:tcPr>
            <w:tcW w:w="881"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4DC632C7" w14:textId="63CB180B">
            <w:pPr>
              <w:spacing w:after="0"/>
              <w:jc w:val="center"/>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 xml:space="preserve">$15,528 </w:t>
            </w:r>
          </w:p>
        </w:tc>
      </w:tr>
    </w:tbl>
    <w:p w:rsidR="00E31784" w:rsidRPr="000C0B5F" w:rsidP="00FC6893" w14:paraId="72660FC0" w14:textId="557C1DA0">
      <w:pPr>
        <w:spacing w:before="240" w:after="120"/>
        <w:rPr>
          <w:u w:val="single"/>
        </w:rPr>
      </w:pPr>
      <w:r w:rsidRPr="000C0B5F">
        <w:rPr>
          <w:u w:val="single"/>
        </w:rPr>
        <w:t>Measurements for conventional impoundments</w:t>
      </w:r>
    </w:p>
    <w:p w:rsidR="00E31784" w:rsidRPr="000C0B5F" w:rsidP="008334C2" w14:paraId="50773342" w14:textId="77777777">
      <w:pPr>
        <w:spacing w:line="276" w:lineRule="auto"/>
      </w:pPr>
      <w:r w:rsidRPr="000C0B5F">
        <w:t>To meet reporting requirements for conventional impoundments under subpart W, respondents are expected to:</w:t>
      </w:r>
    </w:p>
    <w:p w:rsidR="00E31784" w:rsidRPr="000C0B5F" w:rsidP="008334C2" w14:paraId="07F64438" w14:textId="77777777">
      <w:pPr>
        <w:pStyle w:val="ListParagraph"/>
        <w:numPr>
          <w:ilvl w:val="0"/>
          <w:numId w:val="32"/>
        </w:numPr>
        <w:spacing w:line="276" w:lineRule="auto"/>
      </w:pPr>
      <w:r w:rsidRPr="000C0B5F">
        <w:t>read and understand the regulatory provision,</w:t>
      </w:r>
    </w:p>
    <w:p w:rsidR="00E31784" w:rsidRPr="000C0B5F" w:rsidP="008334C2" w14:paraId="0DA3D8A3" w14:textId="77777777">
      <w:pPr>
        <w:pStyle w:val="ListParagraph"/>
        <w:numPr>
          <w:ilvl w:val="0"/>
          <w:numId w:val="32"/>
        </w:numPr>
        <w:spacing w:line="276" w:lineRule="auto"/>
      </w:pPr>
      <w:r w:rsidRPr="000C0B5F">
        <w:t>perform radon flux testing required in 40 CFR part 61, Appendix B, Method 115,</w:t>
      </w:r>
    </w:p>
    <w:p w:rsidR="00E31784" w:rsidRPr="000C0B5F" w:rsidP="008334C2" w14:paraId="61BA92D8" w14:textId="77777777">
      <w:pPr>
        <w:pStyle w:val="ListParagraph"/>
        <w:numPr>
          <w:ilvl w:val="0"/>
          <w:numId w:val="32"/>
        </w:numPr>
        <w:spacing w:line="276" w:lineRule="auto"/>
      </w:pPr>
      <w:r w:rsidRPr="000C0B5F">
        <w:t>perform data analysis including Method 115 radon flux calculations,</w:t>
      </w:r>
    </w:p>
    <w:p w:rsidR="00E31784" w:rsidRPr="000C0B5F" w:rsidP="008334C2" w14:paraId="4DA05A0F" w14:textId="77777777">
      <w:pPr>
        <w:pStyle w:val="ListParagraph"/>
        <w:numPr>
          <w:ilvl w:val="0"/>
          <w:numId w:val="32"/>
        </w:numPr>
        <w:spacing w:line="276" w:lineRule="auto"/>
      </w:pPr>
      <w:r w:rsidRPr="000C0B5F">
        <w:t>prepare and submit the report to EPA.</w:t>
      </w:r>
    </w:p>
    <w:p w:rsidR="00E31784" w:rsidRPr="000C0B5F" w:rsidP="008334C2" w14:paraId="1BABD961" w14:textId="3098361C">
      <w:pPr>
        <w:spacing w:line="276" w:lineRule="auto"/>
      </w:pPr>
      <w:r w:rsidRPr="000C0B5F">
        <w:t xml:space="preserve">Table </w:t>
      </w:r>
      <w:r w:rsidRPr="000C0B5F" w:rsidR="00263D29">
        <w:t>8</w:t>
      </w:r>
      <w:r w:rsidRPr="000C0B5F">
        <w:t xml:space="preserve"> includes the following expenses for respondents:</w:t>
      </w:r>
    </w:p>
    <w:p w:rsidR="00E31784" w:rsidRPr="000C0B5F" w:rsidP="008334C2" w14:paraId="2ABF0F3E" w14:textId="77777777">
      <w:pPr>
        <w:pStyle w:val="ListParagraph"/>
        <w:numPr>
          <w:ilvl w:val="0"/>
          <w:numId w:val="36"/>
        </w:numPr>
        <w:spacing w:line="276" w:lineRule="auto"/>
      </w:pPr>
      <w:r w:rsidRPr="000C0B5F">
        <w:t xml:space="preserve">It is estimated that the testing materials for 200 measurements and the analysis is obtained from a contract source at a cost of $44/measurement. </w:t>
      </w:r>
    </w:p>
    <w:p w:rsidR="00E31784" w:rsidRPr="000C0B5F" w:rsidP="008334C2" w14:paraId="0962EA2B" w14:textId="77777777">
      <w:pPr>
        <w:pStyle w:val="ListParagraph"/>
        <w:numPr>
          <w:ilvl w:val="1"/>
          <w:numId w:val="35"/>
        </w:numPr>
        <w:spacing w:line="276" w:lineRule="auto"/>
        <w:rPr>
          <w:b/>
        </w:rPr>
      </w:pPr>
      <w:r w:rsidRPr="000C0B5F">
        <w:t>It is estimated that 3 facilities will file a report annually.</w:t>
      </w:r>
      <w:r w:rsidRPr="000C0B5F">
        <w:t xml:space="preserve"> </w:t>
      </w:r>
    </w:p>
    <w:p w:rsidR="00E31784" w:rsidRPr="000C0B5F" w:rsidP="00454889" w14:paraId="32BE357C" w14:textId="5DFDF477">
      <w:pPr>
        <w:rPr>
          <w:b/>
          <w:bCs/>
        </w:rPr>
      </w:pPr>
      <w:r w:rsidRPr="000C0B5F">
        <w:rPr>
          <w:b/>
          <w:bCs/>
        </w:rPr>
        <w:t xml:space="preserve">Table </w:t>
      </w:r>
      <w:r w:rsidRPr="000C0B5F" w:rsidR="00A20BC1">
        <w:rPr>
          <w:b/>
          <w:bCs/>
        </w:rPr>
        <w:t>8</w:t>
      </w:r>
      <w:r w:rsidRPr="000C0B5F">
        <w:rPr>
          <w:b/>
          <w:bCs/>
        </w:rPr>
        <w:t>: Burden and Cost for Subpart W Uranium Mill Tailings</w:t>
      </w: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1170"/>
        <w:gridCol w:w="1170"/>
        <w:gridCol w:w="1170"/>
        <w:gridCol w:w="1170"/>
        <w:gridCol w:w="1170"/>
        <w:gridCol w:w="1170"/>
        <w:gridCol w:w="1170"/>
        <w:gridCol w:w="1170"/>
      </w:tblGrid>
      <w:tr w14:paraId="7F36B47A" w14:textId="77777777" w:rsidTr="004003E0">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Ex>
        <w:trPr>
          <w:trHeight w:val="300"/>
        </w:trPr>
        <w:tc>
          <w:tcPr>
            <w:tcW w:w="7020" w:type="dxa"/>
            <w:gridSpan w:val="6"/>
            <w:tcBorders>
              <w:top w:val="single" w:sz="12" w:space="0" w:color="auto"/>
              <w:left w:val="single" w:sz="12" w:space="0" w:color="auto"/>
              <w:bottom w:val="single" w:sz="12" w:space="0" w:color="auto"/>
              <w:right w:val="single" w:sz="12" w:space="0" w:color="auto"/>
            </w:tcBorders>
          </w:tcPr>
          <w:p w:rsidR="06AD5A6D" w:rsidRPr="000C0B5F" w:rsidP="06AD5A6D" w14:paraId="40AD2548" w14:textId="71F5A64B">
            <w:pPr>
              <w:jc w:val="center"/>
              <w:rPr>
                <w:rFonts w:ascii="Calibri" w:eastAsia="Calibri" w:hAnsi="Calibri" w:cs="Calibri"/>
                <w:b/>
                <w:bCs/>
                <w:sz w:val="18"/>
                <w:szCs w:val="18"/>
              </w:rPr>
            </w:pPr>
            <w:r w:rsidRPr="000C0B5F">
              <w:rPr>
                <w:rFonts w:ascii="Calibri" w:eastAsia="Calibri" w:hAnsi="Calibri" w:cs="Calibri"/>
                <w:b/>
                <w:bCs/>
                <w:sz w:val="18"/>
                <w:szCs w:val="18"/>
              </w:rPr>
              <w:t>Reporting Burden (hours)</w:t>
            </w:r>
          </w:p>
        </w:tc>
        <w:tc>
          <w:tcPr>
            <w:tcW w:w="2340" w:type="dxa"/>
            <w:gridSpan w:val="2"/>
            <w:tcBorders>
              <w:top w:val="single" w:sz="12" w:space="0" w:color="auto"/>
              <w:left w:val="single" w:sz="12" w:space="0" w:color="auto"/>
              <w:bottom w:val="single" w:sz="12" w:space="0" w:color="auto"/>
              <w:right w:val="single" w:sz="12" w:space="0" w:color="auto"/>
            </w:tcBorders>
          </w:tcPr>
          <w:p w:rsidR="06AD5A6D" w:rsidRPr="000C0B5F" w:rsidP="06AD5A6D" w14:paraId="6F71F98C" w14:textId="3255CE4C">
            <w:pPr>
              <w:jc w:val="center"/>
              <w:rPr>
                <w:rFonts w:ascii="Calibri" w:eastAsia="Calibri" w:hAnsi="Calibri" w:cs="Calibri"/>
                <w:b/>
                <w:bCs/>
                <w:sz w:val="18"/>
                <w:szCs w:val="18"/>
              </w:rPr>
            </w:pPr>
            <w:r w:rsidRPr="000C0B5F">
              <w:rPr>
                <w:rFonts w:ascii="Calibri" w:eastAsia="Calibri" w:hAnsi="Calibri" w:cs="Calibri"/>
                <w:b/>
                <w:bCs/>
                <w:sz w:val="18"/>
                <w:szCs w:val="18"/>
              </w:rPr>
              <w:t>Reporting Burden (costs)</w:t>
            </w:r>
          </w:p>
        </w:tc>
      </w:tr>
      <w:tr w14:paraId="4484640C" w14:textId="77777777" w:rsidTr="004003E0">
        <w:tblPrEx>
          <w:tblW w:w="9360" w:type="dxa"/>
          <w:tblLayout w:type="fixed"/>
          <w:tblLook w:val="06A0"/>
        </w:tblPrEx>
        <w:trPr>
          <w:trHeight w:val="300"/>
        </w:trPr>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2163CF79" w14:textId="47D05003">
            <w:pPr>
              <w:rPr>
                <w:rFonts w:ascii="Calibri" w:eastAsia="Calibri" w:hAnsi="Calibri" w:cs="Calibri"/>
                <w:b/>
                <w:bCs/>
                <w:sz w:val="18"/>
                <w:szCs w:val="18"/>
              </w:rPr>
            </w:pPr>
            <w:r w:rsidRPr="000C0B5F">
              <w:rPr>
                <w:rFonts w:ascii="Calibri" w:eastAsia="Calibri" w:hAnsi="Calibri" w:cs="Calibri"/>
                <w:b/>
                <w:bCs/>
                <w:sz w:val="18"/>
                <w:szCs w:val="18"/>
              </w:rPr>
              <w:t>Reporting Burden Task</w:t>
            </w:r>
          </w:p>
        </w:tc>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183DFF26" w14:textId="0414DB16">
            <w:pPr>
              <w:rPr>
                <w:rFonts w:ascii="Calibri" w:eastAsia="Calibri" w:hAnsi="Calibri" w:cs="Calibri"/>
                <w:b/>
                <w:bCs/>
                <w:sz w:val="18"/>
                <w:szCs w:val="18"/>
              </w:rPr>
            </w:pPr>
            <w:r w:rsidRPr="000C0B5F">
              <w:rPr>
                <w:rFonts w:ascii="Calibri" w:eastAsia="Calibri" w:hAnsi="Calibri" w:cs="Calibri"/>
                <w:b/>
                <w:bCs/>
                <w:sz w:val="18"/>
                <w:szCs w:val="18"/>
              </w:rPr>
              <w:t>Burden Manager Level (hr/year)</w:t>
            </w:r>
          </w:p>
        </w:tc>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5D5D8107" w14:textId="7D9FF795">
            <w:pPr>
              <w:rPr>
                <w:rFonts w:ascii="Calibri" w:eastAsia="Calibri" w:hAnsi="Calibri" w:cs="Calibri"/>
                <w:b/>
                <w:bCs/>
                <w:sz w:val="18"/>
                <w:szCs w:val="18"/>
              </w:rPr>
            </w:pPr>
            <w:r w:rsidRPr="000C0B5F">
              <w:rPr>
                <w:rFonts w:ascii="Calibri" w:eastAsia="Calibri" w:hAnsi="Calibri" w:cs="Calibri"/>
                <w:b/>
                <w:bCs/>
                <w:sz w:val="18"/>
                <w:szCs w:val="18"/>
              </w:rPr>
              <w:t>Burden Technical Level (hr/year)</w:t>
            </w:r>
          </w:p>
        </w:tc>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23C08B06" w14:textId="4EEDD49C">
            <w:pPr>
              <w:rPr>
                <w:rFonts w:ascii="Calibri" w:eastAsia="Calibri" w:hAnsi="Calibri" w:cs="Calibri"/>
                <w:b/>
                <w:bCs/>
                <w:sz w:val="18"/>
                <w:szCs w:val="18"/>
              </w:rPr>
            </w:pPr>
            <w:r w:rsidRPr="000C0B5F">
              <w:rPr>
                <w:rFonts w:ascii="Calibri" w:eastAsia="Calibri" w:hAnsi="Calibri" w:cs="Calibri"/>
                <w:b/>
                <w:bCs/>
                <w:sz w:val="18"/>
                <w:szCs w:val="18"/>
              </w:rPr>
              <w:t>Burden Clerical Level (hr/year)</w:t>
            </w:r>
          </w:p>
        </w:tc>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3A23E212" w14:textId="6D1AEA49">
            <w:pPr>
              <w:rPr>
                <w:rFonts w:ascii="Calibri" w:eastAsia="Calibri" w:hAnsi="Calibri" w:cs="Calibri"/>
                <w:b/>
                <w:bCs/>
                <w:sz w:val="18"/>
                <w:szCs w:val="18"/>
              </w:rPr>
            </w:pPr>
            <w:r w:rsidRPr="000C0B5F">
              <w:rPr>
                <w:rFonts w:ascii="Calibri" w:eastAsia="Calibri" w:hAnsi="Calibri" w:cs="Calibri"/>
                <w:b/>
                <w:bCs/>
                <w:sz w:val="18"/>
                <w:szCs w:val="18"/>
              </w:rPr>
              <w:t>Task Burden per Facility (hr/year)</w:t>
            </w:r>
          </w:p>
        </w:tc>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584CACE9" w14:textId="285760BD">
            <w:pPr>
              <w:rPr>
                <w:rFonts w:ascii="Calibri" w:eastAsia="Calibri" w:hAnsi="Calibri" w:cs="Calibri"/>
                <w:b/>
                <w:bCs/>
                <w:sz w:val="18"/>
                <w:szCs w:val="18"/>
              </w:rPr>
            </w:pPr>
            <w:r w:rsidRPr="000C0B5F">
              <w:rPr>
                <w:rFonts w:ascii="Calibri" w:eastAsia="Calibri" w:hAnsi="Calibri" w:cs="Calibri"/>
                <w:b/>
                <w:bCs/>
                <w:sz w:val="18"/>
                <w:szCs w:val="18"/>
              </w:rPr>
              <w:t>Task Burden for all Facilities (hr/year)</w:t>
            </w:r>
          </w:p>
        </w:tc>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292685FC" w14:textId="36429944">
            <w:pPr>
              <w:rPr>
                <w:rFonts w:ascii="Calibri" w:eastAsia="Calibri" w:hAnsi="Calibri" w:cs="Calibri"/>
                <w:b/>
                <w:bCs/>
                <w:sz w:val="18"/>
                <w:szCs w:val="18"/>
              </w:rPr>
            </w:pPr>
            <w:r w:rsidRPr="000C0B5F">
              <w:rPr>
                <w:rFonts w:ascii="Calibri" w:eastAsia="Calibri" w:hAnsi="Calibri" w:cs="Calibri"/>
                <w:b/>
                <w:bCs/>
                <w:sz w:val="18"/>
                <w:szCs w:val="18"/>
              </w:rPr>
              <w:t>Facility Labor ($/yr)</w:t>
            </w:r>
          </w:p>
        </w:tc>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616ED649" w14:textId="05303259">
            <w:pPr>
              <w:rPr>
                <w:rFonts w:ascii="Calibri" w:eastAsia="Calibri" w:hAnsi="Calibri" w:cs="Calibri"/>
                <w:b/>
                <w:bCs/>
                <w:sz w:val="18"/>
                <w:szCs w:val="18"/>
              </w:rPr>
            </w:pPr>
            <w:r w:rsidRPr="000C0B5F">
              <w:rPr>
                <w:rFonts w:ascii="Calibri" w:eastAsia="Calibri" w:hAnsi="Calibri" w:cs="Calibri"/>
                <w:b/>
                <w:bCs/>
                <w:sz w:val="18"/>
                <w:szCs w:val="18"/>
              </w:rPr>
              <w:t>All Facilities Total Labor ($/yr)</w:t>
            </w:r>
          </w:p>
        </w:tc>
      </w:tr>
      <w:tr w14:paraId="78FD8BE6" w14:textId="77777777" w:rsidTr="004003E0">
        <w:tblPrEx>
          <w:tblW w:w="9360" w:type="dxa"/>
          <w:tblLayout w:type="fixed"/>
          <w:tblLook w:val="06A0"/>
        </w:tblPrEx>
        <w:trPr>
          <w:trHeight w:val="300"/>
        </w:trPr>
        <w:tc>
          <w:tcPr>
            <w:tcW w:w="1170" w:type="dxa"/>
            <w:tcBorders>
              <w:top w:val="single" w:sz="12" w:space="0" w:color="auto"/>
              <w:left w:val="single" w:sz="12" w:space="0" w:color="auto"/>
              <w:right w:val="single" w:sz="12" w:space="0" w:color="auto"/>
            </w:tcBorders>
          </w:tcPr>
          <w:p w:rsidR="06AD5A6D" w:rsidRPr="000C0B5F" w:rsidP="06AD5A6D" w14:paraId="445344AE" w14:textId="7B527111">
            <w:pPr>
              <w:rPr>
                <w:rFonts w:ascii="Calibri" w:eastAsia="Calibri" w:hAnsi="Calibri" w:cs="Calibri"/>
                <w:sz w:val="18"/>
                <w:szCs w:val="18"/>
              </w:rPr>
            </w:pPr>
            <w:r w:rsidRPr="000C0B5F">
              <w:rPr>
                <w:rFonts w:ascii="Calibri" w:eastAsia="Calibri" w:hAnsi="Calibri" w:cs="Calibri"/>
                <w:sz w:val="18"/>
                <w:szCs w:val="18"/>
              </w:rPr>
              <w:t>Read and understand the regulatory provision</w:t>
            </w:r>
          </w:p>
        </w:tc>
        <w:tc>
          <w:tcPr>
            <w:tcW w:w="1170" w:type="dxa"/>
            <w:tcBorders>
              <w:top w:val="single" w:sz="12" w:space="0" w:color="auto"/>
              <w:left w:val="single" w:sz="12" w:space="0" w:color="auto"/>
            </w:tcBorders>
          </w:tcPr>
          <w:p w:rsidR="06AD5A6D" w:rsidRPr="000C0B5F" w:rsidP="06AD5A6D" w14:paraId="618AD674" w14:textId="1F2B568B">
            <w:pPr>
              <w:jc w:val="center"/>
              <w:rPr>
                <w:rFonts w:ascii="Calibri" w:eastAsia="Calibri" w:hAnsi="Calibri" w:cs="Calibri"/>
                <w:sz w:val="18"/>
                <w:szCs w:val="18"/>
              </w:rPr>
            </w:pPr>
            <w:r w:rsidRPr="000C0B5F">
              <w:rPr>
                <w:rFonts w:ascii="Calibri" w:eastAsia="Calibri" w:hAnsi="Calibri" w:cs="Calibri"/>
                <w:sz w:val="18"/>
                <w:szCs w:val="18"/>
              </w:rPr>
              <w:t>10</w:t>
            </w:r>
          </w:p>
        </w:tc>
        <w:tc>
          <w:tcPr>
            <w:tcW w:w="1170" w:type="dxa"/>
            <w:tcBorders>
              <w:top w:val="single" w:sz="12" w:space="0" w:color="auto"/>
            </w:tcBorders>
          </w:tcPr>
          <w:p w:rsidR="06AD5A6D" w:rsidRPr="000C0B5F" w:rsidP="06AD5A6D" w14:paraId="4A6228B4" w14:textId="7591DAA3">
            <w:pPr>
              <w:jc w:val="center"/>
              <w:rPr>
                <w:rFonts w:ascii="Calibri" w:eastAsia="Calibri" w:hAnsi="Calibri" w:cs="Calibri"/>
                <w:sz w:val="18"/>
                <w:szCs w:val="18"/>
              </w:rPr>
            </w:pPr>
            <w:r w:rsidRPr="000C0B5F">
              <w:rPr>
                <w:rFonts w:ascii="Calibri" w:eastAsia="Calibri" w:hAnsi="Calibri" w:cs="Calibri"/>
                <w:sz w:val="18"/>
                <w:szCs w:val="18"/>
              </w:rPr>
              <w:t>0</w:t>
            </w:r>
          </w:p>
        </w:tc>
        <w:tc>
          <w:tcPr>
            <w:tcW w:w="1170" w:type="dxa"/>
            <w:tcBorders>
              <w:top w:val="single" w:sz="12" w:space="0" w:color="auto"/>
            </w:tcBorders>
          </w:tcPr>
          <w:p w:rsidR="06AD5A6D" w:rsidRPr="000C0B5F" w:rsidP="06AD5A6D" w14:paraId="099C2BB4" w14:textId="478C5ADD">
            <w:pPr>
              <w:jc w:val="center"/>
              <w:rPr>
                <w:rFonts w:ascii="Calibri" w:eastAsia="Calibri" w:hAnsi="Calibri" w:cs="Calibri"/>
                <w:sz w:val="18"/>
                <w:szCs w:val="18"/>
              </w:rPr>
            </w:pPr>
            <w:r w:rsidRPr="000C0B5F">
              <w:rPr>
                <w:rFonts w:ascii="Calibri" w:eastAsia="Calibri" w:hAnsi="Calibri" w:cs="Calibri"/>
                <w:sz w:val="18"/>
                <w:szCs w:val="18"/>
              </w:rPr>
              <w:t>0</w:t>
            </w:r>
          </w:p>
        </w:tc>
        <w:tc>
          <w:tcPr>
            <w:tcW w:w="1170" w:type="dxa"/>
            <w:tcBorders>
              <w:top w:val="single" w:sz="12" w:space="0" w:color="auto"/>
            </w:tcBorders>
          </w:tcPr>
          <w:p w:rsidR="06AD5A6D" w:rsidRPr="000C0B5F" w:rsidP="06AD5A6D" w14:paraId="611EECC4" w14:textId="77EE1457">
            <w:pPr>
              <w:jc w:val="center"/>
              <w:rPr>
                <w:rFonts w:ascii="Calibri" w:eastAsia="Calibri" w:hAnsi="Calibri" w:cs="Calibri"/>
                <w:sz w:val="18"/>
                <w:szCs w:val="18"/>
              </w:rPr>
            </w:pPr>
            <w:r w:rsidRPr="000C0B5F">
              <w:rPr>
                <w:rFonts w:ascii="Calibri" w:eastAsia="Calibri" w:hAnsi="Calibri" w:cs="Calibri"/>
                <w:sz w:val="18"/>
                <w:szCs w:val="18"/>
              </w:rPr>
              <w:t>10</w:t>
            </w:r>
          </w:p>
        </w:tc>
        <w:tc>
          <w:tcPr>
            <w:tcW w:w="1170" w:type="dxa"/>
            <w:tcBorders>
              <w:top w:val="single" w:sz="12" w:space="0" w:color="auto"/>
              <w:right w:val="single" w:sz="12" w:space="0" w:color="auto"/>
            </w:tcBorders>
          </w:tcPr>
          <w:p w:rsidR="06AD5A6D" w:rsidRPr="000C0B5F" w:rsidP="06AD5A6D" w14:paraId="47E76009" w14:textId="2E27AE25">
            <w:pPr>
              <w:jc w:val="center"/>
              <w:rPr>
                <w:rFonts w:ascii="Calibri" w:eastAsia="Calibri" w:hAnsi="Calibri" w:cs="Calibri"/>
                <w:sz w:val="18"/>
                <w:szCs w:val="18"/>
              </w:rPr>
            </w:pPr>
            <w:r w:rsidRPr="000C0B5F">
              <w:rPr>
                <w:rFonts w:ascii="Calibri" w:eastAsia="Calibri" w:hAnsi="Calibri" w:cs="Calibri"/>
                <w:sz w:val="18"/>
                <w:szCs w:val="18"/>
              </w:rPr>
              <w:t>30</w:t>
            </w:r>
          </w:p>
        </w:tc>
        <w:tc>
          <w:tcPr>
            <w:tcW w:w="1170" w:type="dxa"/>
            <w:tcBorders>
              <w:top w:val="single" w:sz="12" w:space="0" w:color="auto"/>
              <w:left w:val="single" w:sz="12" w:space="0" w:color="auto"/>
            </w:tcBorders>
          </w:tcPr>
          <w:p w:rsidR="06AD5A6D" w:rsidRPr="000C0B5F" w:rsidP="06AD5A6D" w14:paraId="68E2075F" w14:textId="41B89159">
            <w:pPr>
              <w:jc w:val="center"/>
              <w:rPr>
                <w:rFonts w:ascii="Calibri" w:eastAsia="Calibri" w:hAnsi="Calibri" w:cs="Calibri"/>
                <w:sz w:val="18"/>
                <w:szCs w:val="18"/>
              </w:rPr>
            </w:pPr>
            <w:r w:rsidRPr="000C0B5F">
              <w:rPr>
                <w:rFonts w:ascii="Calibri" w:eastAsia="Calibri" w:hAnsi="Calibri" w:cs="Calibri"/>
                <w:sz w:val="18"/>
                <w:szCs w:val="18"/>
              </w:rPr>
              <w:t>$1,338</w:t>
            </w:r>
          </w:p>
        </w:tc>
        <w:tc>
          <w:tcPr>
            <w:tcW w:w="1170" w:type="dxa"/>
            <w:tcBorders>
              <w:top w:val="single" w:sz="12" w:space="0" w:color="auto"/>
              <w:right w:val="single" w:sz="12" w:space="0" w:color="auto"/>
            </w:tcBorders>
          </w:tcPr>
          <w:p w:rsidR="06AD5A6D" w:rsidRPr="000C0B5F" w:rsidP="06AD5A6D" w14:paraId="735AAE2F" w14:textId="5987C444">
            <w:pPr>
              <w:jc w:val="center"/>
              <w:rPr>
                <w:rFonts w:ascii="Calibri" w:eastAsia="Calibri" w:hAnsi="Calibri" w:cs="Calibri"/>
                <w:sz w:val="18"/>
                <w:szCs w:val="18"/>
              </w:rPr>
            </w:pPr>
            <w:r w:rsidRPr="000C0B5F">
              <w:rPr>
                <w:rFonts w:ascii="Calibri" w:eastAsia="Calibri" w:hAnsi="Calibri" w:cs="Calibri"/>
                <w:sz w:val="18"/>
                <w:szCs w:val="18"/>
              </w:rPr>
              <w:t>$4,015</w:t>
            </w:r>
          </w:p>
        </w:tc>
      </w:tr>
      <w:tr w14:paraId="29824C5D" w14:textId="77777777" w:rsidTr="004003E0">
        <w:tblPrEx>
          <w:tblW w:w="9360" w:type="dxa"/>
          <w:tblLayout w:type="fixed"/>
          <w:tblLook w:val="06A0"/>
        </w:tblPrEx>
        <w:trPr>
          <w:trHeight w:val="300"/>
        </w:trPr>
        <w:tc>
          <w:tcPr>
            <w:tcW w:w="1170" w:type="dxa"/>
            <w:tcBorders>
              <w:left w:val="single" w:sz="12" w:space="0" w:color="auto"/>
              <w:right w:val="single" w:sz="12" w:space="0" w:color="auto"/>
            </w:tcBorders>
          </w:tcPr>
          <w:p w:rsidR="06AD5A6D" w:rsidRPr="000C0B5F" w:rsidP="06AD5A6D" w14:paraId="3C97F0AE" w14:textId="77B7D7C1">
            <w:pPr>
              <w:rPr>
                <w:rFonts w:ascii="Calibri" w:eastAsia="Calibri" w:hAnsi="Calibri" w:cs="Calibri"/>
                <w:sz w:val="18"/>
                <w:szCs w:val="18"/>
              </w:rPr>
            </w:pPr>
            <w:r w:rsidRPr="000C0B5F">
              <w:rPr>
                <w:rFonts w:ascii="Calibri" w:eastAsia="Calibri" w:hAnsi="Calibri" w:cs="Calibri"/>
                <w:sz w:val="18"/>
                <w:szCs w:val="18"/>
              </w:rPr>
              <w:t>Perform radon flux testing</w:t>
            </w:r>
          </w:p>
        </w:tc>
        <w:tc>
          <w:tcPr>
            <w:tcW w:w="1170" w:type="dxa"/>
            <w:tcBorders>
              <w:left w:val="single" w:sz="12" w:space="0" w:color="auto"/>
            </w:tcBorders>
          </w:tcPr>
          <w:p w:rsidR="06AD5A6D" w:rsidRPr="000C0B5F" w:rsidP="06AD5A6D" w14:paraId="04E7E950" w14:textId="505D9A5B">
            <w:pPr>
              <w:jc w:val="center"/>
              <w:rPr>
                <w:rFonts w:ascii="Calibri" w:eastAsia="Calibri" w:hAnsi="Calibri" w:cs="Calibri"/>
                <w:sz w:val="18"/>
                <w:szCs w:val="18"/>
              </w:rPr>
            </w:pPr>
            <w:r w:rsidRPr="000C0B5F">
              <w:rPr>
                <w:rFonts w:ascii="Calibri" w:eastAsia="Calibri" w:hAnsi="Calibri" w:cs="Calibri"/>
                <w:sz w:val="18"/>
                <w:szCs w:val="18"/>
              </w:rPr>
              <w:t>0</w:t>
            </w:r>
          </w:p>
        </w:tc>
        <w:tc>
          <w:tcPr>
            <w:tcW w:w="1170" w:type="dxa"/>
          </w:tcPr>
          <w:p w:rsidR="06AD5A6D" w:rsidRPr="000C0B5F" w:rsidP="06AD5A6D" w14:paraId="1C9079B0" w14:textId="1CBEF8ED">
            <w:pPr>
              <w:jc w:val="center"/>
              <w:rPr>
                <w:rFonts w:ascii="Calibri" w:eastAsia="Calibri" w:hAnsi="Calibri" w:cs="Calibri"/>
                <w:sz w:val="18"/>
                <w:szCs w:val="18"/>
              </w:rPr>
            </w:pPr>
            <w:r w:rsidRPr="000C0B5F">
              <w:rPr>
                <w:rFonts w:ascii="Calibri" w:eastAsia="Calibri" w:hAnsi="Calibri" w:cs="Calibri"/>
                <w:sz w:val="18"/>
                <w:szCs w:val="18"/>
              </w:rPr>
              <w:t>32</w:t>
            </w:r>
          </w:p>
        </w:tc>
        <w:tc>
          <w:tcPr>
            <w:tcW w:w="1170" w:type="dxa"/>
          </w:tcPr>
          <w:p w:rsidR="06AD5A6D" w:rsidRPr="000C0B5F" w:rsidP="06AD5A6D" w14:paraId="66196A73" w14:textId="7E94308A">
            <w:pPr>
              <w:jc w:val="center"/>
              <w:rPr>
                <w:rFonts w:ascii="Calibri" w:eastAsia="Calibri" w:hAnsi="Calibri" w:cs="Calibri"/>
                <w:sz w:val="18"/>
                <w:szCs w:val="18"/>
              </w:rPr>
            </w:pPr>
            <w:r w:rsidRPr="000C0B5F">
              <w:rPr>
                <w:rFonts w:ascii="Calibri" w:eastAsia="Calibri" w:hAnsi="Calibri" w:cs="Calibri"/>
                <w:sz w:val="18"/>
                <w:szCs w:val="18"/>
              </w:rPr>
              <w:t>0</w:t>
            </w:r>
          </w:p>
        </w:tc>
        <w:tc>
          <w:tcPr>
            <w:tcW w:w="1170" w:type="dxa"/>
          </w:tcPr>
          <w:p w:rsidR="06AD5A6D" w:rsidRPr="000C0B5F" w:rsidP="06AD5A6D" w14:paraId="14EFBA4B" w14:textId="696ED2AB">
            <w:pPr>
              <w:jc w:val="center"/>
              <w:rPr>
                <w:rFonts w:ascii="Calibri" w:eastAsia="Calibri" w:hAnsi="Calibri" w:cs="Calibri"/>
                <w:sz w:val="18"/>
                <w:szCs w:val="18"/>
              </w:rPr>
            </w:pPr>
            <w:r w:rsidRPr="000C0B5F">
              <w:rPr>
                <w:rFonts w:ascii="Calibri" w:eastAsia="Calibri" w:hAnsi="Calibri" w:cs="Calibri"/>
                <w:sz w:val="18"/>
                <w:szCs w:val="18"/>
              </w:rPr>
              <w:t>32</w:t>
            </w:r>
          </w:p>
        </w:tc>
        <w:tc>
          <w:tcPr>
            <w:tcW w:w="1170" w:type="dxa"/>
            <w:tcBorders>
              <w:right w:val="single" w:sz="12" w:space="0" w:color="auto"/>
            </w:tcBorders>
          </w:tcPr>
          <w:p w:rsidR="06AD5A6D" w:rsidRPr="000C0B5F" w:rsidP="06AD5A6D" w14:paraId="5CCBE01F" w14:textId="7802886F">
            <w:pPr>
              <w:jc w:val="center"/>
              <w:rPr>
                <w:rFonts w:ascii="Calibri" w:eastAsia="Calibri" w:hAnsi="Calibri" w:cs="Calibri"/>
                <w:sz w:val="18"/>
                <w:szCs w:val="18"/>
              </w:rPr>
            </w:pPr>
            <w:r w:rsidRPr="000C0B5F">
              <w:rPr>
                <w:rFonts w:ascii="Calibri" w:eastAsia="Calibri" w:hAnsi="Calibri" w:cs="Calibri"/>
                <w:sz w:val="18"/>
                <w:szCs w:val="18"/>
              </w:rPr>
              <w:t>96</w:t>
            </w:r>
          </w:p>
        </w:tc>
        <w:tc>
          <w:tcPr>
            <w:tcW w:w="1170" w:type="dxa"/>
            <w:tcBorders>
              <w:left w:val="single" w:sz="12" w:space="0" w:color="auto"/>
            </w:tcBorders>
          </w:tcPr>
          <w:p w:rsidR="06AD5A6D" w:rsidRPr="000C0B5F" w:rsidP="06AD5A6D" w14:paraId="210CC25E" w14:textId="527BF5A6">
            <w:pPr>
              <w:jc w:val="center"/>
              <w:rPr>
                <w:rFonts w:ascii="Calibri" w:eastAsia="Calibri" w:hAnsi="Calibri" w:cs="Calibri"/>
                <w:sz w:val="18"/>
                <w:szCs w:val="18"/>
              </w:rPr>
            </w:pPr>
            <w:r w:rsidRPr="000C0B5F">
              <w:rPr>
                <w:rFonts w:ascii="Calibri" w:eastAsia="Calibri" w:hAnsi="Calibri" w:cs="Calibri"/>
                <w:sz w:val="18"/>
                <w:szCs w:val="18"/>
              </w:rPr>
              <w:t>$2,907</w:t>
            </w:r>
          </w:p>
        </w:tc>
        <w:tc>
          <w:tcPr>
            <w:tcW w:w="1170" w:type="dxa"/>
            <w:tcBorders>
              <w:right w:val="single" w:sz="12" w:space="0" w:color="auto"/>
            </w:tcBorders>
          </w:tcPr>
          <w:p w:rsidR="06AD5A6D" w:rsidRPr="000C0B5F" w:rsidP="06AD5A6D" w14:paraId="14EB05D6" w14:textId="16C97157">
            <w:pPr>
              <w:jc w:val="center"/>
              <w:rPr>
                <w:rFonts w:ascii="Calibri" w:eastAsia="Calibri" w:hAnsi="Calibri" w:cs="Calibri"/>
                <w:sz w:val="18"/>
                <w:szCs w:val="18"/>
              </w:rPr>
            </w:pPr>
            <w:r w:rsidRPr="000C0B5F">
              <w:rPr>
                <w:rFonts w:ascii="Calibri" w:eastAsia="Calibri" w:hAnsi="Calibri" w:cs="Calibri"/>
                <w:sz w:val="18"/>
                <w:szCs w:val="18"/>
              </w:rPr>
              <w:t>$8,721</w:t>
            </w:r>
          </w:p>
        </w:tc>
      </w:tr>
      <w:tr w14:paraId="12D2AB88" w14:textId="77777777" w:rsidTr="004003E0">
        <w:tblPrEx>
          <w:tblW w:w="9360" w:type="dxa"/>
          <w:tblLayout w:type="fixed"/>
          <w:tblLook w:val="06A0"/>
        </w:tblPrEx>
        <w:trPr>
          <w:trHeight w:val="300"/>
        </w:trPr>
        <w:tc>
          <w:tcPr>
            <w:tcW w:w="1170" w:type="dxa"/>
            <w:tcBorders>
              <w:left w:val="single" w:sz="12" w:space="0" w:color="auto"/>
              <w:right w:val="single" w:sz="12" w:space="0" w:color="auto"/>
            </w:tcBorders>
          </w:tcPr>
          <w:p w:rsidR="06AD5A6D" w:rsidRPr="000C0B5F" w:rsidP="06AD5A6D" w14:paraId="498FB7F3" w14:textId="066B6B97">
            <w:pPr>
              <w:rPr>
                <w:rFonts w:ascii="Calibri" w:eastAsia="Calibri" w:hAnsi="Calibri" w:cs="Calibri"/>
                <w:sz w:val="18"/>
                <w:szCs w:val="18"/>
              </w:rPr>
            </w:pPr>
            <w:r w:rsidRPr="000C0B5F">
              <w:rPr>
                <w:rFonts w:ascii="Calibri" w:eastAsia="Calibri" w:hAnsi="Calibri" w:cs="Calibri"/>
                <w:sz w:val="18"/>
                <w:szCs w:val="18"/>
              </w:rPr>
              <w:t>Perform data analysis</w:t>
            </w:r>
          </w:p>
        </w:tc>
        <w:tc>
          <w:tcPr>
            <w:tcW w:w="1170" w:type="dxa"/>
            <w:tcBorders>
              <w:left w:val="single" w:sz="12" w:space="0" w:color="auto"/>
            </w:tcBorders>
          </w:tcPr>
          <w:p w:rsidR="06AD5A6D" w:rsidRPr="000C0B5F" w:rsidP="06AD5A6D" w14:paraId="48AEB5B7" w14:textId="7FB6705F">
            <w:pPr>
              <w:jc w:val="center"/>
              <w:rPr>
                <w:rFonts w:ascii="Calibri" w:eastAsia="Calibri" w:hAnsi="Calibri" w:cs="Calibri"/>
                <w:sz w:val="18"/>
                <w:szCs w:val="18"/>
              </w:rPr>
            </w:pPr>
            <w:r w:rsidRPr="000C0B5F">
              <w:rPr>
                <w:rFonts w:ascii="Calibri" w:eastAsia="Calibri" w:hAnsi="Calibri" w:cs="Calibri"/>
                <w:sz w:val="18"/>
                <w:szCs w:val="18"/>
              </w:rPr>
              <w:t>0</w:t>
            </w:r>
          </w:p>
        </w:tc>
        <w:tc>
          <w:tcPr>
            <w:tcW w:w="1170" w:type="dxa"/>
          </w:tcPr>
          <w:p w:rsidR="06AD5A6D" w:rsidRPr="000C0B5F" w:rsidP="06AD5A6D" w14:paraId="2E6DFA28" w14:textId="050463F0">
            <w:pPr>
              <w:jc w:val="center"/>
              <w:rPr>
                <w:rFonts w:ascii="Calibri" w:eastAsia="Calibri" w:hAnsi="Calibri" w:cs="Calibri"/>
                <w:sz w:val="18"/>
                <w:szCs w:val="18"/>
              </w:rPr>
            </w:pPr>
            <w:r w:rsidRPr="000C0B5F">
              <w:rPr>
                <w:rFonts w:ascii="Calibri" w:eastAsia="Calibri" w:hAnsi="Calibri" w:cs="Calibri"/>
                <w:sz w:val="18"/>
                <w:szCs w:val="18"/>
              </w:rPr>
              <w:t>12</w:t>
            </w:r>
          </w:p>
        </w:tc>
        <w:tc>
          <w:tcPr>
            <w:tcW w:w="1170" w:type="dxa"/>
          </w:tcPr>
          <w:p w:rsidR="06AD5A6D" w:rsidRPr="000C0B5F" w:rsidP="06AD5A6D" w14:paraId="0339A936" w14:textId="3B276010">
            <w:pPr>
              <w:jc w:val="center"/>
              <w:rPr>
                <w:rFonts w:ascii="Calibri" w:eastAsia="Calibri" w:hAnsi="Calibri" w:cs="Calibri"/>
                <w:sz w:val="18"/>
                <w:szCs w:val="18"/>
              </w:rPr>
            </w:pPr>
            <w:r w:rsidRPr="000C0B5F">
              <w:rPr>
                <w:rFonts w:ascii="Calibri" w:eastAsia="Calibri" w:hAnsi="Calibri" w:cs="Calibri"/>
                <w:sz w:val="18"/>
                <w:szCs w:val="18"/>
              </w:rPr>
              <w:t>0</w:t>
            </w:r>
          </w:p>
        </w:tc>
        <w:tc>
          <w:tcPr>
            <w:tcW w:w="1170" w:type="dxa"/>
          </w:tcPr>
          <w:p w:rsidR="06AD5A6D" w:rsidRPr="000C0B5F" w:rsidP="06AD5A6D" w14:paraId="6087A79A" w14:textId="76614D3F">
            <w:pPr>
              <w:jc w:val="center"/>
              <w:rPr>
                <w:rFonts w:ascii="Calibri" w:eastAsia="Calibri" w:hAnsi="Calibri" w:cs="Calibri"/>
                <w:sz w:val="18"/>
                <w:szCs w:val="18"/>
              </w:rPr>
            </w:pPr>
            <w:r w:rsidRPr="000C0B5F">
              <w:rPr>
                <w:rFonts w:ascii="Calibri" w:eastAsia="Calibri" w:hAnsi="Calibri" w:cs="Calibri"/>
                <w:sz w:val="18"/>
                <w:szCs w:val="18"/>
              </w:rPr>
              <w:t>12</w:t>
            </w:r>
          </w:p>
        </w:tc>
        <w:tc>
          <w:tcPr>
            <w:tcW w:w="1170" w:type="dxa"/>
            <w:tcBorders>
              <w:right w:val="single" w:sz="12" w:space="0" w:color="auto"/>
            </w:tcBorders>
          </w:tcPr>
          <w:p w:rsidR="06AD5A6D" w:rsidRPr="000C0B5F" w:rsidP="06AD5A6D" w14:paraId="220C2F6F" w14:textId="56B67003">
            <w:pPr>
              <w:jc w:val="center"/>
              <w:rPr>
                <w:rFonts w:ascii="Calibri" w:eastAsia="Calibri" w:hAnsi="Calibri" w:cs="Calibri"/>
                <w:sz w:val="18"/>
                <w:szCs w:val="18"/>
              </w:rPr>
            </w:pPr>
            <w:r w:rsidRPr="000C0B5F">
              <w:rPr>
                <w:rFonts w:ascii="Calibri" w:eastAsia="Calibri" w:hAnsi="Calibri" w:cs="Calibri"/>
                <w:sz w:val="18"/>
                <w:szCs w:val="18"/>
              </w:rPr>
              <w:t>36</w:t>
            </w:r>
          </w:p>
        </w:tc>
        <w:tc>
          <w:tcPr>
            <w:tcW w:w="1170" w:type="dxa"/>
            <w:tcBorders>
              <w:left w:val="single" w:sz="12" w:space="0" w:color="auto"/>
            </w:tcBorders>
          </w:tcPr>
          <w:p w:rsidR="06AD5A6D" w:rsidRPr="000C0B5F" w:rsidP="06AD5A6D" w14:paraId="4992CECC" w14:textId="5736F5A6">
            <w:pPr>
              <w:jc w:val="center"/>
              <w:rPr>
                <w:rFonts w:ascii="Calibri" w:eastAsia="Calibri" w:hAnsi="Calibri" w:cs="Calibri"/>
                <w:sz w:val="18"/>
                <w:szCs w:val="18"/>
              </w:rPr>
            </w:pPr>
            <w:r w:rsidRPr="000C0B5F">
              <w:rPr>
                <w:rFonts w:ascii="Calibri" w:eastAsia="Calibri" w:hAnsi="Calibri" w:cs="Calibri"/>
                <w:sz w:val="18"/>
                <w:szCs w:val="18"/>
              </w:rPr>
              <w:t>$1,090</w:t>
            </w:r>
          </w:p>
        </w:tc>
        <w:tc>
          <w:tcPr>
            <w:tcW w:w="1170" w:type="dxa"/>
            <w:tcBorders>
              <w:right w:val="single" w:sz="12" w:space="0" w:color="auto"/>
            </w:tcBorders>
          </w:tcPr>
          <w:p w:rsidR="06AD5A6D" w:rsidRPr="000C0B5F" w:rsidP="06AD5A6D" w14:paraId="10126181" w14:textId="66BD60FA">
            <w:pPr>
              <w:jc w:val="center"/>
              <w:rPr>
                <w:rFonts w:ascii="Calibri" w:eastAsia="Calibri" w:hAnsi="Calibri" w:cs="Calibri"/>
                <w:sz w:val="18"/>
                <w:szCs w:val="18"/>
              </w:rPr>
            </w:pPr>
            <w:r w:rsidRPr="000C0B5F">
              <w:rPr>
                <w:rFonts w:ascii="Calibri" w:eastAsia="Calibri" w:hAnsi="Calibri" w:cs="Calibri"/>
                <w:sz w:val="18"/>
                <w:szCs w:val="18"/>
              </w:rPr>
              <w:t>$3,270</w:t>
            </w:r>
          </w:p>
        </w:tc>
      </w:tr>
      <w:tr w14:paraId="01692675" w14:textId="77777777" w:rsidTr="004003E0">
        <w:tblPrEx>
          <w:tblW w:w="9360" w:type="dxa"/>
          <w:tblLayout w:type="fixed"/>
          <w:tblLook w:val="06A0"/>
        </w:tblPrEx>
        <w:trPr>
          <w:trHeight w:val="300"/>
        </w:trPr>
        <w:tc>
          <w:tcPr>
            <w:tcW w:w="1170" w:type="dxa"/>
            <w:tcBorders>
              <w:left w:val="single" w:sz="12" w:space="0" w:color="auto"/>
              <w:bottom w:val="single" w:sz="12" w:space="0" w:color="auto"/>
              <w:right w:val="single" w:sz="12" w:space="0" w:color="auto"/>
            </w:tcBorders>
          </w:tcPr>
          <w:p w:rsidR="06AD5A6D" w:rsidRPr="000C0B5F" w:rsidP="06AD5A6D" w14:paraId="50EAC2FC" w14:textId="2D6442F2">
            <w:pPr>
              <w:rPr>
                <w:rFonts w:ascii="Calibri" w:eastAsia="Calibri" w:hAnsi="Calibri" w:cs="Calibri"/>
                <w:sz w:val="18"/>
                <w:szCs w:val="18"/>
              </w:rPr>
            </w:pPr>
            <w:r w:rsidRPr="000C0B5F">
              <w:rPr>
                <w:rFonts w:ascii="Calibri" w:eastAsia="Calibri" w:hAnsi="Calibri" w:cs="Calibri"/>
                <w:sz w:val="18"/>
                <w:szCs w:val="18"/>
              </w:rPr>
              <w:t>Prepare report</w:t>
            </w:r>
          </w:p>
        </w:tc>
        <w:tc>
          <w:tcPr>
            <w:tcW w:w="1170" w:type="dxa"/>
            <w:tcBorders>
              <w:left w:val="single" w:sz="12" w:space="0" w:color="auto"/>
              <w:bottom w:val="single" w:sz="12" w:space="0" w:color="auto"/>
            </w:tcBorders>
          </w:tcPr>
          <w:p w:rsidR="06AD5A6D" w:rsidRPr="000C0B5F" w:rsidP="06AD5A6D" w14:paraId="2CAA91AF" w14:textId="04E46D92">
            <w:pPr>
              <w:jc w:val="center"/>
              <w:rPr>
                <w:rFonts w:ascii="Calibri" w:eastAsia="Calibri" w:hAnsi="Calibri" w:cs="Calibri"/>
                <w:sz w:val="18"/>
                <w:szCs w:val="18"/>
              </w:rPr>
            </w:pPr>
            <w:r w:rsidRPr="000C0B5F">
              <w:rPr>
                <w:rFonts w:ascii="Calibri" w:eastAsia="Calibri" w:hAnsi="Calibri" w:cs="Calibri"/>
                <w:sz w:val="18"/>
                <w:szCs w:val="18"/>
              </w:rPr>
              <w:t>10</w:t>
            </w:r>
          </w:p>
        </w:tc>
        <w:tc>
          <w:tcPr>
            <w:tcW w:w="1170" w:type="dxa"/>
            <w:tcBorders>
              <w:bottom w:val="single" w:sz="12" w:space="0" w:color="auto"/>
            </w:tcBorders>
          </w:tcPr>
          <w:p w:rsidR="06AD5A6D" w:rsidRPr="000C0B5F" w:rsidP="06AD5A6D" w14:paraId="3283D7D4" w14:textId="5782A533">
            <w:pPr>
              <w:jc w:val="center"/>
              <w:rPr>
                <w:rFonts w:ascii="Calibri" w:eastAsia="Calibri" w:hAnsi="Calibri" w:cs="Calibri"/>
                <w:sz w:val="18"/>
                <w:szCs w:val="18"/>
              </w:rPr>
            </w:pPr>
            <w:r w:rsidRPr="000C0B5F">
              <w:rPr>
                <w:rFonts w:ascii="Calibri" w:eastAsia="Calibri" w:hAnsi="Calibri" w:cs="Calibri"/>
                <w:sz w:val="18"/>
                <w:szCs w:val="18"/>
              </w:rPr>
              <w:t>0</w:t>
            </w:r>
          </w:p>
        </w:tc>
        <w:tc>
          <w:tcPr>
            <w:tcW w:w="1170" w:type="dxa"/>
            <w:tcBorders>
              <w:bottom w:val="single" w:sz="12" w:space="0" w:color="auto"/>
            </w:tcBorders>
          </w:tcPr>
          <w:p w:rsidR="06AD5A6D" w:rsidRPr="000C0B5F" w:rsidP="06AD5A6D" w14:paraId="11EB9F8F" w14:textId="021AD364">
            <w:pPr>
              <w:jc w:val="center"/>
              <w:rPr>
                <w:rFonts w:ascii="Calibri" w:eastAsia="Calibri" w:hAnsi="Calibri" w:cs="Calibri"/>
                <w:sz w:val="18"/>
                <w:szCs w:val="18"/>
              </w:rPr>
            </w:pPr>
            <w:r w:rsidRPr="000C0B5F">
              <w:rPr>
                <w:rFonts w:ascii="Calibri" w:eastAsia="Calibri" w:hAnsi="Calibri" w:cs="Calibri"/>
                <w:sz w:val="18"/>
                <w:szCs w:val="18"/>
              </w:rPr>
              <w:t>0</w:t>
            </w:r>
          </w:p>
        </w:tc>
        <w:tc>
          <w:tcPr>
            <w:tcW w:w="1170" w:type="dxa"/>
            <w:tcBorders>
              <w:bottom w:val="single" w:sz="12" w:space="0" w:color="auto"/>
            </w:tcBorders>
          </w:tcPr>
          <w:p w:rsidR="06AD5A6D" w:rsidRPr="000C0B5F" w:rsidP="06AD5A6D" w14:paraId="684E141B" w14:textId="0E2E03FC">
            <w:pPr>
              <w:jc w:val="center"/>
              <w:rPr>
                <w:rFonts w:ascii="Calibri" w:eastAsia="Calibri" w:hAnsi="Calibri" w:cs="Calibri"/>
                <w:sz w:val="18"/>
                <w:szCs w:val="18"/>
              </w:rPr>
            </w:pPr>
            <w:r w:rsidRPr="000C0B5F">
              <w:rPr>
                <w:rFonts w:ascii="Calibri" w:eastAsia="Calibri" w:hAnsi="Calibri" w:cs="Calibri"/>
                <w:sz w:val="18"/>
                <w:szCs w:val="18"/>
              </w:rPr>
              <w:t>10</w:t>
            </w:r>
          </w:p>
        </w:tc>
        <w:tc>
          <w:tcPr>
            <w:tcW w:w="1170" w:type="dxa"/>
            <w:tcBorders>
              <w:bottom w:val="single" w:sz="12" w:space="0" w:color="auto"/>
              <w:right w:val="single" w:sz="12" w:space="0" w:color="auto"/>
            </w:tcBorders>
          </w:tcPr>
          <w:p w:rsidR="06AD5A6D" w:rsidRPr="000C0B5F" w:rsidP="06AD5A6D" w14:paraId="3BAF0B83" w14:textId="00060C60">
            <w:pPr>
              <w:jc w:val="center"/>
              <w:rPr>
                <w:rFonts w:ascii="Calibri" w:eastAsia="Calibri" w:hAnsi="Calibri" w:cs="Calibri"/>
                <w:sz w:val="18"/>
                <w:szCs w:val="18"/>
              </w:rPr>
            </w:pPr>
            <w:r w:rsidRPr="000C0B5F">
              <w:rPr>
                <w:rFonts w:ascii="Calibri" w:eastAsia="Calibri" w:hAnsi="Calibri" w:cs="Calibri"/>
                <w:sz w:val="18"/>
                <w:szCs w:val="18"/>
              </w:rPr>
              <w:t>30</w:t>
            </w:r>
          </w:p>
        </w:tc>
        <w:tc>
          <w:tcPr>
            <w:tcW w:w="1170" w:type="dxa"/>
            <w:tcBorders>
              <w:left w:val="single" w:sz="12" w:space="0" w:color="auto"/>
              <w:bottom w:val="single" w:sz="12" w:space="0" w:color="auto"/>
            </w:tcBorders>
          </w:tcPr>
          <w:p w:rsidR="06AD5A6D" w:rsidRPr="000C0B5F" w:rsidP="06AD5A6D" w14:paraId="4D1A8277" w14:textId="5DA4347E">
            <w:pPr>
              <w:jc w:val="center"/>
              <w:rPr>
                <w:rFonts w:ascii="Calibri" w:eastAsia="Calibri" w:hAnsi="Calibri" w:cs="Calibri"/>
                <w:sz w:val="18"/>
                <w:szCs w:val="18"/>
              </w:rPr>
            </w:pPr>
            <w:r w:rsidRPr="000C0B5F">
              <w:rPr>
                <w:rFonts w:ascii="Calibri" w:eastAsia="Calibri" w:hAnsi="Calibri" w:cs="Calibri"/>
                <w:sz w:val="18"/>
                <w:szCs w:val="18"/>
              </w:rPr>
              <w:t>$1,338</w:t>
            </w:r>
          </w:p>
        </w:tc>
        <w:tc>
          <w:tcPr>
            <w:tcW w:w="1170" w:type="dxa"/>
            <w:tcBorders>
              <w:bottom w:val="single" w:sz="12" w:space="0" w:color="auto"/>
              <w:right w:val="single" w:sz="12" w:space="0" w:color="auto"/>
            </w:tcBorders>
          </w:tcPr>
          <w:p w:rsidR="06AD5A6D" w:rsidRPr="000C0B5F" w:rsidP="06AD5A6D" w14:paraId="54B128D0" w14:textId="146B2AB9">
            <w:pPr>
              <w:jc w:val="center"/>
              <w:rPr>
                <w:rFonts w:ascii="Calibri" w:eastAsia="Calibri" w:hAnsi="Calibri" w:cs="Calibri"/>
                <w:sz w:val="18"/>
                <w:szCs w:val="18"/>
              </w:rPr>
            </w:pPr>
            <w:r w:rsidRPr="000C0B5F">
              <w:rPr>
                <w:rFonts w:ascii="Calibri" w:eastAsia="Calibri" w:hAnsi="Calibri" w:cs="Calibri"/>
                <w:sz w:val="18"/>
                <w:szCs w:val="18"/>
              </w:rPr>
              <w:t>$4,015</w:t>
            </w:r>
          </w:p>
        </w:tc>
      </w:tr>
      <w:tr w14:paraId="71E273C4" w14:textId="77777777" w:rsidTr="004003E0">
        <w:tblPrEx>
          <w:tblW w:w="9360" w:type="dxa"/>
          <w:tblLayout w:type="fixed"/>
          <w:tblLook w:val="06A0"/>
        </w:tblPrEx>
        <w:trPr>
          <w:trHeight w:val="300"/>
        </w:trPr>
        <w:tc>
          <w:tcPr>
            <w:tcW w:w="7020" w:type="dxa"/>
            <w:gridSpan w:val="6"/>
            <w:tcBorders>
              <w:top w:val="single" w:sz="12" w:space="0" w:color="auto"/>
              <w:left w:val="single" w:sz="12" w:space="0" w:color="auto"/>
              <w:bottom w:val="single" w:sz="12" w:space="0" w:color="auto"/>
              <w:right w:val="single" w:sz="12" w:space="0" w:color="auto"/>
            </w:tcBorders>
          </w:tcPr>
          <w:p w:rsidR="06AD5A6D" w:rsidRPr="000C0B5F" w:rsidP="06AD5A6D" w14:paraId="79DA654D" w14:textId="1D34259B">
            <w:pPr>
              <w:jc w:val="center"/>
              <w:rPr>
                <w:rFonts w:ascii="Calibri" w:eastAsia="Calibri" w:hAnsi="Calibri" w:cs="Calibri"/>
                <w:b/>
                <w:bCs/>
                <w:sz w:val="18"/>
                <w:szCs w:val="18"/>
              </w:rPr>
            </w:pPr>
            <w:r w:rsidRPr="000C0B5F">
              <w:rPr>
                <w:rFonts w:ascii="Calibri" w:eastAsia="Calibri" w:hAnsi="Calibri" w:cs="Calibri"/>
                <w:b/>
                <w:bCs/>
                <w:sz w:val="18"/>
                <w:szCs w:val="18"/>
              </w:rPr>
              <w:t>Record Keeping Burden (hours)</w:t>
            </w:r>
          </w:p>
        </w:tc>
        <w:tc>
          <w:tcPr>
            <w:tcW w:w="2340" w:type="dxa"/>
            <w:gridSpan w:val="2"/>
            <w:tcBorders>
              <w:top w:val="single" w:sz="12" w:space="0" w:color="auto"/>
              <w:left w:val="single" w:sz="12" w:space="0" w:color="auto"/>
              <w:bottom w:val="single" w:sz="12" w:space="0" w:color="auto"/>
              <w:right w:val="single" w:sz="12" w:space="0" w:color="auto"/>
            </w:tcBorders>
          </w:tcPr>
          <w:p w:rsidR="06AD5A6D" w:rsidRPr="000C0B5F" w:rsidP="06AD5A6D" w14:paraId="71380C20" w14:textId="325C6572">
            <w:pPr>
              <w:jc w:val="center"/>
              <w:rPr>
                <w:rFonts w:ascii="Calibri" w:eastAsia="Calibri" w:hAnsi="Calibri" w:cs="Calibri"/>
                <w:b/>
                <w:bCs/>
                <w:sz w:val="18"/>
                <w:szCs w:val="18"/>
              </w:rPr>
            </w:pPr>
            <w:r w:rsidRPr="000C0B5F">
              <w:rPr>
                <w:rFonts w:ascii="Calibri" w:eastAsia="Calibri" w:hAnsi="Calibri" w:cs="Calibri"/>
                <w:b/>
                <w:bCs/>
                <w:sz w:val="18"/>
                <w:szCs w:val="18"/>
              </w:rPr>
              <w:t>(costs)</w:t>
            </w:r>
          </w:p>
        </w:tc>
      </w:tr>
      <w:tr w14:paraId="6D38D23B" w14:textId="77777777" w:rsidTr="004003E0">
        <w:tblPrEx>
          <w:tblW w:w="9360" w:type="dxa"/>
          <w:tblLayout w:type="fixed"/>
          <w:tblLook w:val="06A0"/>
        </w:tblPrEx>
        <w:trPr>
          <w:trHeight w:val="300"/>
        </w:trPr>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55D420D8" w14:textId="796ABB81">
            <w:pPr>
              <w:rPr>
                <w:rFonts w:ascii="Calibri" w:eastAsia="Calibri" w:hAnsi="Calibri" w:cs="Calibri"/>
                <w:sz w:val="18"/>
                <w:szCs w:val="18"/>
              </w:rPr>
            </w:pPr>
            <w:r w:rsidRPr="000C0B5F">
              <w:rPr>
                <w:rFonts w:ascii="Calibri" w:eastAsia="Calibri" w:hAnsi="Calibri" w:cs="Calibri"/>
                <w:sz w:val="18"/>
                <w:szCs w:val="18"/>
              </w:rPr>
              <w:t>File and maintain data</w:t>
            </w:r>
          </w:p>
        </w:tc>
        <w:tc>
          <w:tcPr>
            <w:tcW w:w="1170" w:type="dxa"/>
            <w:tcBorders>
              <w:top w:val="single" w:sz="12" w:space="0" w:color="auto"/>
              <w:left w:val="single" w:sz="12" w:space="0" w:color="auto"/>
              <w:bottom w:val="single" w:sz="12" w:space="0" w:color="auto"/>
            </w:tcBorders>
          </w:tcPr>
          <w:p w:rsidR="06AD5A6D" w:rsidRPr="000C0B5F" w:rsidP="06AD5A6D" w14:paraId="39569FF7" w14:textId="0E33F5BC">
            <w:pPr>
              <w:jc w:val="center"/>
              <w:rPr>
                <w:rFonts w:ascii="Calibri" w:eastAsia="Calibri" w:hAnsi="Calibri" w:cs="Calibri"/>
                <w:sz w:val="18"/>
                <w:szCs w:val="18"/>
              </w:rPr>
            </w:pPr>
            <w:r w:rsidRPr="000C0B5F">
              <w:rPr>
                <w:rFonts w:ascii="Calibri" w:eastAsia="Calibri" w:hAnsi="Calibri" w:cs="Calibri"/>
                <w:sz w:val="18"/>
                <w:szCs w:val="18"/>
              </w:rPr>
              <w:t>0</w:t>
            </w:r>
          </w:p>
        </w:tc>
        <w:tc>
          <w:tcPr>
            <w:tcW w:w="1170" w:type="dxa"/>
            <w:tcBorders>
              <w:top w:val="single" w:sz="12" w:space="0" w:color="auto"/>
              <w:bottom w:val="single" w:sz="12" w:space="0" w:color="auto"/>
            </w:tcBorders>
          </w:tcPr>
          <w:p w:rsidR="06AD5A6D" w:rsidRPr="000C0B5F" w:rsidP="06AD5A6D" w14:paraId="22E45F76" w14:textId="4344DF4B">
            <w:pPr>
              <w:jc w:val="center"/>
              <w:rPr>
                <w:rFonts w:ascii="Calibri" w:eastAsia="Calibri" w:hAnsi="Calibri" w:cs="Calibri"/>
                <w:sz w:val="18"/>
                <w:szCs w:val="18"/>
              </w:rPr>
            </w:pPr>
            <w:r w:rsidRPr="000C0B5F">
              <w:rPr>
                <w:rFonts w:ascii="Calibri" w:eastAsia="Calibri" w:hAnsi="Calibri" w:cs="Calibri"/>
                <w:sz w:val="18"/>
                <w:szCs w:val="18"/>
              </w:rPr>
              <w:t>0</w:t>
            </w:r>
          </w:p>
        </w:tc>
        <w:tc>
          <w:tcPr>
            <w:tcW w:w="1170" w:type="dxa"/>
            <w:tcBorders>
              <w:top w:val="single" w:sz="12" w:space="0" w:color="auto"/>
              <w:bottom w:val="single" w:sz="12" w:space="0" w:color="auto"/>
            </w:tcBorders>
          </w:tcPr>
          <w:p w:rsidR="06AD5A6D" w:rsidRPr="000C0B5F" w:rsidP="06AD5A6D" w14:paraId="2BADAE58" w14:textId="430D9E58">
            <w:pPr>
              <w:jc w:val="center"/>
              <w:rPr>
                <w:rFonts w:ascii="Calibri" w:eastAsia="Calibri" w:hAnsi="Calibri" w:cs="Calibri"/>
                <w:sz w:val="18"/>
                <w:szCs w:val="18"/>
              </w:rPr>
            </w:pPr>
            <w:r w:rsidRPr="000C0B5F">
              <w:rPr>
                <w:rFonts w:ascii="Calibri" w:eastAsia="Calibri" w:hAnsi="Calibri" w:cs="Calibri"/>
                <w:sz w:val="18"/>
                <w:szCs w:val="18"/>
              </w:rPr>
              <w:t>10</w:t>
            </w:r>
          </w:p>
        </w:tc>
        <w:tc>
          <w:tcPr>
            <w:tcW w:w="1170" w:type="dxa"/>
            <w:tcBorders>
              <w:top w:val="single" w:sz="12" w:space="0" w:color="auto"/>
              <w:bottom w:val="single" w:sz="12" w:space="0" w:color="auto"/>
            </w:tcBorders>
          </w:tcPr>
          <w:p w:rsidR="06AD5A6D" w:rsidRPr="000C0B5F" w:rsidP="06AD5A6D" w14:paraId="19DA12B6" w14:textId="7256CACA">
            <w:pPr>
              <w:jc w:val="center"/>
              <w:rPr>
                <w:rFonts w:ascii="Calibri" w:eastAsia="Calibri" w:hAnsi="Calibri" w:cs="Calibri"/>
                <w:sz w:val="18"/>
                <w:szCs w:val="18"/>
              </w:rPr>
            </w:pPr>
            <w:r w:rsidRPr="000C0B5F">
              <w:rPr>
                <w:rFonts w:ascii="Calibri" w:eastAsia="Calibri" w:hAnsi="Calibri" w:cs="Calibri"/>
                <w:sz w:val="18"/>
                <w:szCs w:val="18"/>
              </w:rPr>
              <w:t>10</w:t>
            </w:r>
          </w:p>
        </w:tc>
        <w:tc>
          <w:tcPr>
            <w:tcW w:w="1170" w:type="dxa"/>
            <w:tcBorders>
              <w:top w:val="single" w:sz="12" w:space="0" w:color="auto"/>
              <w:bottom w:val="single" w:sz="12" w:space="0" w:color="auto"/>
              <w:right w:val="single" w:sz="12" w:space="0" w:color="auto"/>
            </w:tcBorders>
          </w:tcPr>
          <w:p w:rsidR="06AD5A6D" w:rsidRPr="000C0B5F" w:rsidP="06AD5A6D" w14:paraId="16D7D12C" w14:textId="24DA3312">
            <w:pPr>
              <w:jc w:val="center"/>
              <w:rPr>
                <w:rFonts w:ascii="Calibri" w:eastAsia="Calibri" w:hAnsi="Calibri" w:cs="Calibri"/>
                <w:sz w:val="18"/>
                <w:szCs w:val="18"/>
              </w:rPr>
            </w:pPr>
            <w:r w:rsidRPr="000C0B5F">
              <w:rPr>
                <w:rFonts w:ascii="Calibri" w:eastAsia="Calibri" w:hAnsi="Calibri" w:cs="Calibri"/>
                <w:sz w:val="18"/>
                <w:szCs w:val="18"/>
              </w:rPr>
              <w:t>30</w:t>
            </w:r>
          </w:p>
        </w:tc>
        <w:tc>
          <w:tcPr>
            <w:tcW w:w="1170" w:type="dxa"/>
            <w:tcBorders>
              <w:top w:val="single" w:sz="12" w:space="0" w:color="auto"/>
              <w:left w:val="single" w:sz="12" w:space="0" w:color="auto"/>
              <w:bottom w:val="single" w:sz="12" w:space="0" w:color="auto"/>
            </w:tcBorders>
          </w:tcPr>
          <w:p w:rsidR="06AD5A6D" w:rsidRPr="000C0B5F" w:rsidP="06AD5A6D" w14:paraId="7593B9EF" w14:textId="5B529039">
            <w:pPr>
              <w:jc w:val="center"/>
              <w:rPr>
                <w:rFonts w:ascii="Calibri" w:eastAsia="Calibri" w:hAnsi="Calibri" w:cs="Calibri"/>
                <w:sz w:val="18"/>
                <w:szCs w:val="18"/>
              </w:rPr>
            </w:pPr>
            <w:r w:rsidRPr="000C0B5F">
              <w:rPr>
                <w:rFonts w:ascii="Calibri" w:eastAsia="Calibri" w:hAnsi="Calibri" w:cs="Calibri"/>
                <w:sz w:val="18"/>
                <w:szCs w:val="18"/>
              </w:rPr>
              <w:t>$380</w:t>
            </w:r>
          </w:p>
        </w:tc>
        <w:tc>
          <w:tcPr>
            <w:tcW w:w="1170" w:type="dxa"/>
            <w:tcBorders>
              <w:top w:val="single" w:sz="12" w:space="0" w:color="auto"/>
              <w:bottom w:val="single" w:sz="12" w:space="0" w:color="auto"/>
              <w:right w:val="single" w:sz="12" w:space="0" w:color="auto"/>
            </w:tcBorders>
          </w:tcPr>
          <w:p w:rsidR="06AD5A6D" w:rsidRPr="000C0B5F" w:rsidP="06AD5A6D" w14:paraId="34C7A173" w14:textId="15E48299">
            <w:pPr>
              <w:jc w:val="center"/>
              <w:rPr>
                <w:rFonts w:ascii="Calibri" w:eastAsia="Calibri" w:hAnsi="Calibri" w:cs="Calibri"/>
                <w:sz w:val="18"/>
                <w:szCs w:val="18"/>
              </w:rPr>
            </w:pPr>
            <w:r w:rsidRPr="000C0B5F">
              <w:rPr>
                <w:rFonts w:ascii="Calibri" w:eastAsia="Calibri" w:hAnsi="Calibri" w:cs="Calibri"/>
                <w:sz w:val="18"/>
                <w:szCs w:val="18"/>
              </w:rPr>
              <w:t>$1,140</w:t>
            </w:r>
          </w:p>
        </w:tc>
      </w:tr>
      <w:tr w14:paraId="5E139F85" w14:textId="77777777" w:rsidTr="004003E0">
        <w:tblPrEx>
          <w:tblW w:w="9360" w:type="dxa"/>
          <w:tblLayout w:type="fixed"/>
          <w:tblLook w:val="06A0"/>
        </w:tblPrEx>
        <w:trPr>
          <w:trHeight w:val="300"/>
        </w:trPr>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14C3B412" w14:textId="3DF06B40">
            <w:pPr>
              <w:rPr>
                <w:rFonts w:ascii="Calibri" w:eastAsia="Calibri" w:hAnsi="Calibri" w:cs="Calibri"/>
                <w:b/>
                <w:bCs/>
                <w:sz w:val="18"/>
                <w:szCs w:val="18"/>
              </w:rPr>
            </w:pPr>
            <w:r w:rsidRPr="000C0B5F">
              <w:rPr>
                <w:rFonts w:ascii="Calibri" w:eastAsia="Calibri" w:hAnsi="Calibri" w:cs="Calibri"/>
                <w:b/>
                <w:bCs/>
                <w:sz w:val="18"/>
                <w:szCs w:val="18"/>
              </w:rPr>
              <w:t>TOTAL</w:t>
            </w:r>
          </w:p>
        </w:tc>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5F03111A" w14:textId="0D898497">
            <w:pPr>
              <w:jc w:val="center"/>
              <w:rPr>
                <w:rFonts w:ascii="Calibri" w:eastAsia="Calibri" w:hAnsi="Calibri" w:cs="Calibri"/>
                <w:b/>
                <w:bCs/>
                <w:sz w:val="18"/>
                <w:szCs w:val="18"/>
              </w:rPr>
            </w:pPr>
            <w:r w:rsidRPr="000C0B5F">
              <w:rPr>
                <w:rFonts w:ascii="Calibri" w:eastAsia="Calibri" w:hAnsi="Calibri" w:cs="Calibri"/>
                <w:b/>
                <w:bCs/>
                <w:sz w:val="18"/>
                <w:szCs w:val="18"/>
              </w:rPr>
              <w:t>20</w:t>
            </w:r>
          </w:p>
        </w:tc>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2C3C5792" w14:textId="4ED6E917">
            <w:pPr>
              <w:jc w:val="center"/>
              <w:rPr>
                <w:rFonts w:ascii="Calibri" w:eastAsia="Calibri" w:hAnsi="Calibri" w:cs="Calibri"/>
                <w:b/>
                <w:bCs/>
                <w:sz w:val="18"/>
                <w:szCs w:val="18"/>
              </w:rPr>
            </w:pPr>
            <w:r w:rsidRPr="000C0B5F">
              <w:rPr>
                <w:rFonts w:ascii="Calibri" w:eastAsia="Calibri" w:hAnsi="Calibri" w:cs="Calibri"/>
                <w:b/>
                <w:bCs/>
                <w:sz w:val="18"/>
                <w:szCs w:val="18"/>
              </w:rPr>
              <w:t>44</w:t>
            </w:r>
          </w:p>
        </w:tc>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70385655" w14:textId="19EB6B8F">
            <w:pPr>
              <w:jc w:val="center"/>
              <w:rPr>
                <w:rFonts w:ascii="Calibri" w:eastAsia="Calibri" w:hAnsi="Calibri" w:cs="Calibri"/>
                <w:b/>
                <w:bCs/>
                <w:sz w:val="18"/>
                <w:szCs w:val="18"/>
              </w:rPr>
            </w:pPr>
            <w:r w:rsidRPr="000C0B5F">
              <w:rPr>
                <w:rFonts w:ascii="Calibri" w:eastAsia="Calibri" w:hAnsi="Calibri" w:cs="Calibri"/>
                <w:b/>
                <w:bCs/>
                <w:sz w:val="18"/>
                <w:szCs w:val="18"/>
              </w:rPr>
              <w:t>10</w:t>
            </w:r>
          </w:p>
        </w:tc>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5587F0F1" w14:textId="26D35DA9">
            <w:pPr>
              <w:jc w:val="center"/>
              <w:rPr>
                <w:rFonts w:ascii="Calibri" w:eastAsia="Calibri" w:hAnsi="Calibri" w:cs="Calibri"/>
                <w:b/>
                <w:bCs/>
                <w:sz w:val="18"/>
                <w:szCs w:val="18"/>
              </w:rPr>
            </w:pPr>
            <w:r w:rsidRPr="000C0B5F">
              <w:rPr>
                <w:rFonts w:ascii="Calibri" w:eastAsia="Calibri" w:hAnsi="Calibri" w:cs="Calibri"/>
                <w:b/>
                <w:bCs/>
                <w:sz w:val="18"/>
                <w:szCs w:val="18"/>
              </w:rPr>
              <w:t>74</w:t>
            </w:r>
          </w:p>
        </w:tc>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085ED2CA" w14:textId="554F2468">
            <w:pPr>
              <w:jc w:val="center"/>
              <w:rPr>
                <w:rFonts w:ascii="Calibri" w:eastAsia="Calibri" w:hAnsi="Calibri" w:cs="Calibri"/>
                <w:b/>
                <w:bCs/>
                <w:sz w:val="18"/>
                <w:szCs w:val="18"/>
              </w:rPr>
            </w:pPr>
            <w:r w:rsidRPr="000C0B5F">
              <w:rPr>
                <w:rFonts w:ascii="Calibri" w:eastAsia="Calibri" w:hAnsi="Calibri" w:cs="Calibri"/>
                <w:b/>
                <w:bCs/>
                <w:sz w:val="18"/>
                <w:szCs w:val="18"/>
              </w:rPr>
              <w:t>222</w:t>
            </w:r>
          </w:p>
        </w:tc>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5124EFA0" w14:textId="2C6E9B3E">
            <w:pPr>
              <w:jc w:val="center"/>
              <w:rPr>
                <w:rFonts w:ascii="Calibri" w:eastAsia="Calibri" w:hAnsi="Calibri" w:cs="Calibri"/>
                <w:b/>
                <w:bCs/>
                <w:sz w:val="18"/>
                <w:szCs w:val="18"/>
              </w:rPr>
            </w:pPr>
            <w:r w:rsidRPr="000C0B5F">
              <w:rPr>
                <w:rFonts w:ascii="Calibri" w:eastAsia="Calibri" w:hAnsi="Calibri" w:cs="Calibri"/>
                <w:b/>
                <w:bCs/>
                <w:sz w:val="18"/>
                <w:szCs w:val="18"/>
              </w:rPr>
              <w:t>$7,054</w:t>
            </w:r>
          </w:p>
        </w:tc>
        <w:tc>
          <w:tcPr>
            <w:tcW w:w="1170" w:type="dxa"/>
            <w:tcBorders>
              <w:top w:val="single" w:sz="12" w:space="0" w:color="auto"/>
              <w:left w:val="single" w:sz="12" w:space="0" w:color="auto"/>
              <w:bottom w:val="single" w:sz="12" w:space="0" w:color="auto"/>
              <w:right w:val="single" w:sz="12" w:space="0" w:color="auto"/>
            </w:tcBorders>
          </w:tcPr>
          <w:p w:rsidR="06AD5A6D" w:rsidRPr="000C0B5F" w:rsidP="06AD5A6D" w14:paraId="650E6128" w14:textId="1D2AA51E">
            <w:pPr>
              <w:jc w:val="center"/>
              <w:rPr>
                <w:rFonts w:ascii="Calibri" w:eastAsia="Calibri" w:hAnsi="Calibri" w:cs="Calibri"/>
                <w:b/>
                <w:bCs/>
                <w:sz w:val="18"/>
                <w:szCs w:val="18"/>
              </w:rPr>
            </w:pPr>
            <w:r w:rsidRPr="000C0B5F">
              <w:rPr>
                <w:rFonts w:ascii="Calibri" w:eastAsia="Calibri" w:hAnsi="Calibri" w:cs="Calibri"/>
                <w:b/>
                <w:bCs/>
                <w:sz w:val="18"/>
                <w:szCs w:val="18"/>
              </w:rPr>
              <w:t>$21,161</w:t>
            </w:r>
          </w:p>
        </w:tc>
      </w:tr>
    </w:tbl>
    <w:p w:rsidR="00E31784" w:rsidRPr="000C0B5F" w:rsidP="00FC6893" w14:paraId="6D751F82" w14:textId="1F8E4303">
      <w:pPr>
        <w:spacing w:before="240" w:after="120"/>
        <w:rPr>
          <w:u w:val="single"/>
        </w:rPr>
      </w:pPr>
      <w:r w:rsidRPr="000C0B5F">
        <w:rPr>
          <w:u w:val="single"/>
        </w:rPr>
        <w:t>Maintaining liquid in non-conventional impoundments</w:t>
      </w:r>
    </w:p>
    <w:p w:rsidR="00E31784" w:rsidRPr="000C0B5F" w:rsidP="008334C2" w14:paraId="4146AE05" w14:textId="637B2012">
      <w:pPr>
        <w:spacing w:line="276" w:lineRule="auto"/>
      </w:pPr>
      <w:r w:rsidRPr="000C0B5F">
        <w:t xml:space="preserve">To meet the reporting requirements for non-conventional impoundments in subpart </w:t>
      </w:r>
      <w:r w:rsidRPr="000C0B5F" w:rsidR="4A332208">
        <w:t>W, facilities</w:t>
      </w:r>
      <w:r w:rsidRPr="000C0B5F">
        <w:t xml:space="preserve"> must perform daily inspections of liquid levels in those impoundments and submit photographs to the Agency. It is estimated that management will spend two hours annually to </w:t>
      </w:r>
      <w:r w:rsidRPr="000C0B5F" w:rsidR="0C8F78EA">
        <w:t xml:space="preserve">retain </w:t>
      </w:r>
      <w:r w:rsidRPr="000C0B5F">
        <w:t xml:space="preserve">familiarity with the regulatory provision, and five hours per year to acquire any necessary equipment. It is estimated that it will take one technical staff person one day to be </w:t>
      </w:r>
      <w:r w:rsidRPr="000C0B5F" w:rsidR="7FF5CC28">
        <w:t>trained to</w:t>
      </w:r>
      <w:r w:rsidRPr="000C0B5F">
        <w:t xml:space="preserve"> record the required information, and one person to provide training. The Agency estimates that it will take one hour to perform the inspection and record the required information, and inspections will be conducted on 240 </w:t>
      </w:r>
      <w:r w:rsidRPr="000C0B5F" w:rsidR="27D0DE10">
        <w:t>workdays</w:t>
      </w:r>
      <w:r w:rsidRPr="000C0B5F">
        <w:t xml:space="preserve"> per year. It is estimated that it will take clerical staff 20 hours per year to submit digital photographs and maintain written and digital photographic records. Six facilities currently generate and submit these records through SWIPR, </w:t>
      </w:r>
      <w:r w:rsidRPr="000C0B5F" w:rsidR="008C6879">
        <w:t>and</w:t>
      </w:r>
      <w:r w:rsidRPr="000C0B5F">
        <w:t xml:space="preserve"> an additional 15 facilities may come online over the next three years</w:t>
      </w:r>
      <w:r w:rsidRPr="000C0B5F" w:rsidR="008C6879">
        <w:t>.</w:t>
      </w:r>
      <w:r w:rsidRPr="000C0B5F">
        <w:t xml:space="preserve"> The estimated burden is included in Table </w:t>
      </w:r>
      <w:r w:rsidRPr="000C0B5F" w:rsidR="00E615C5">
        <w:t>9</w:t>
      </w:r>
      <w:r w:rsidRPr="000C0B5F">
        <w:t xml:space="preserve">, Burden and Cost to Meet Liquid Retention Requirement for </w:t>
      </w:r>
      <w:r w:rsidRPr="000C0B5F" w:rsidR="008C6879">
        <w:t xml:space="preserve">subpart W </w:t>
      </w:r>
      <w:r w:rsidRPr="000C0B5F">
        <w:t>Non-conventional Impoundments.</w:t>
      </w:r>
    </w:p>
    <w:p w:rsidR="00E03889" w:rsidRPr="000C0B5F" w:rsidP="00E03889" w14:paraId="08FB783B" w14:textId="0579A66B">
      <w:pPr>
        <w:sectPr w:rsidSect="00621249">
          <w:pgSz w:w="12240" w:h="15840"/>
          <w:pgMar w:top="1440" w:right="1440" w:bottom="1440" w:left="1440" w:header="720" w:footer="720" w:gutter="0"/>
          <w:cols w:space="720"/>
          <w:docGrid w:linePitch="360"/>
        </w:sectPr>
      </w:pPr>
      <w:r w:rsidRPr="000C0B5F">
        <w:rPr>
          <w:rFonts w:ascii="Times New Roman" w:hAnsi="Times New Roman"/>
          <w:b/>
          <w:bCs/>
          <w:noProof/>
        </w:rPr>
        <mc:AlternateContent>
          <mc:Choice Requires="wps">
            <w:drawing>
              <wp:anchor distT="45720" distB="45720" distL="114300" distR="114300" simplePos="0" relativeHeight="251658240" behindDoc="0" locked="0" layoutInCell="1" allowOverlap="1">
                <wp:simplePos x="0" y="0"/>
                <wp:positionH relativeFrom="column">
                  <wp:posOffset>-91440</wp:posOffset>
                </wp:positionH>
                <wp:positionV relativeFrom="paragraph">
                  <wp:posOffset>457200</wp:posOffset>
                </wp:positionV>
                <wp:extent cx="5998464" cy="5294376"/>
                <wp:effectExtent l="0" t="0" r="2540" b="1905"/>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8464" cy="5294376"/>
                        </a:xfrm>
                        <a:prstGeom prst="rect">
                          <a:avLst/>
                        </a:prstGeom>
                        <a:solidFill>
                          <a:srgbClr val="FFFFFF"/>
                        </a:solidFill>
                        <a:ln w="9525">
                          <a:noFill/>
                          <a:miter lim="800000"/>
                          <a:headEnd/>
                          <a:tailEnd/>
                        </a:ln>
                      </wps:spPr>
                      <wps:txbx>
                        <w:txbxContent>
                          <w:tbl>
                            <w:tblPr>
                              <w:tblW w:w="9180" w:type="dxa"/>
                              <w:tblInd w:w="-15" w:type="dxa"/>
                              <w:tblLayout w:type="fixed"/>
                              <w:tblLook w:val="04A0"/>
                            </w:tblPr>
                            <w:tblGrid>
                              <w:gridCol w:w="1425"/>
                              <w:gridCol w:w="720"/>
                              <w:gridCol w:w="990"/>
                              <w:gridCol w:w="810"/>
                              <w:gridCol w:w="1170"/>
                              <w:gridCol w:w="990"/>
                              <w:gridCol w:w="1260"/>
                              <w:gridCol w:w="905"/>
                              <w:gridCol w:w="910"/>
                            </w:tblGrid>
                            <w:tr w14:paraId="7BC45CAD" w14:textId="77777777" w:rsidTr="003D1FCB">
                              <w:tblPrEx>
                                <w:tblW w:w="9180" w:type="dxa"/>
                                <w:tblInd w:w="-15" w:type="dxa"/>
                                <w:tblLayout w:type="fixed"/>
                                <w:tblLook w:val="04A0"/>
                              </w:tblPrEx>
                              <w:trPr>
                                <w:trHeight w:val="330"/>
                              </w:trPr>
                              <w:tc>
                                <w:tcPr>
                                  <w:tcW w:w="5115" w:type="dxa"/>
                                  <w:gridSpan w:val="5"/>
                                  <w:tcBorders>
                                    <w:top w:val="single" w:sz="12" w:space="0" w:color="auto"/>
                                    <w:left w:val="single" w:sz="12" w:space="0" w:color="auto"/>
                                    <w:bottom w:val="single" w:sz="12" w:space="0" w:color="auto"/>
                                    <w:right w:val="single" w:sz="12" w:space="0" w:color="auto"/>
                                  </w:tcBorders>
                                  <w:vAlign w:val="center"/>
                                  <w:hideMark/>
                                </w:tcPr>
                                <w:p w:rsidR="00286D75" w:rsidRPr="00835B1F" w:rsidP="00286D75" w14:textId="77777777">
                                  <w:pPr>
                                    <w:spacing w:after="0" w:line="240" w:lineRule="auto"/>
                                    <w:jc w:val="center"/>
                                    <w:rPr>
                                      <w:rFonts w:ascii="Calibri" w:eastAsia="Times New Roman" w:hAnsi="Calibri" w:cs="Calibri"/>
                                      <w:b/>
                                      <w:bCs/>
                                      <w:color w:val="000000"/>
                                      <w:sz w:val="20"/>
                                      <w:szCs w:val="20"/>
                                    </w:rPr>
                                  </w:pPr>
                                  <w:r w:rsidRPr="00835B1F">
                                    <w:rPr>
                                      <w:rFonts w:ascii="Calibri" w:eastAsia="Times New Roman" w:hAnsi="Calibri" w:cs="Calibri"/>
                                      <w:b/>
                                      <w:bCs/>
                                      <w:color w:val="000000"/>
                                      <w:sz w:val="20"/>
                                      <w:szCs w:val="20"/>
                                    </w:rPr>
                                    <w:t>Reporting Burden (hours)</w:t>
                                  </w:r>
                                </w:p>
                              </w:tc>
                              <w:tc>
                                <w:tcPr>
                                  <w:tcW w:w="4065" w:type="dxa"/>
                                  <w:gridSpan w:val="4"/>
                                  <w:tcBorders>
                                    <w:top w:val="single" w:sz="12" w:space="0" w:color="auto"/>
                                    <w:left w:val="single" w:sz="12" w:space="0" w:color="auto"/>
                                    <w:bottom w:val="single" w:sz="12" w:space="0" w:color="auto"/>
                                    <w:right w:val="single" w:sz="12" w:space="0" w:color="auto"/>
                                  </w:tcBorders>
                                  <w:vAlign w:val="center"/>
                                  <w:hideMark/>
                                </w:tcPr>
                                <w:p w:rsidR="00286D75" w:rsidRPr="00835B1F" w:rsidP="00286D75" w14:textId="77777777">
                                  <w:pPr>
                                    <w:spacing w:after="0" w:line="240" w:lineRule="auto"/>
                                    <w:jc w:val="center"/>
                                    <w:rPr>
                                      <w:rFonts w:ascii="Calibri" w:eastAsia="Times New Roman" w:hAnsi="Calibri" w:cs="Calibri"/>
                                      <w:b/>
                                      <w:bCs/>
                                      <w:color w:val="000000"/>
                                      <w:sz w:val="20"/>
                                      <w:szCs w:val="20"/>
                                    </w:rPr>
                                  </w:pPr>
                                  <w:r w:rsidRPr="00835B1F">
                                    <w:rPr>
                                      <w:rFonts w:ascii="Calibri" w:eastAsia="Times New Roman" w:hAnsi="Calibri" w:cs="Calibri"/>
                                      <w:b/>
                                      <w:bCs/>
                                      <w:color w:val="000000"/>
                                      <w:sz w:val="20"/>
                                      <w:szCs w:val="20"/>
                                    </w:rPr>
                                    <w:t>Reporting Burden (cost)</w:t>
                                  </w:r>
                                </w:p>
                              </w:tc>
                            </w:tr>
                            <w:tr w14:paraId="0BAB11C7" w14:textId="77777777" w:rsidTr="003D1FCB">
                              <w:tblPrEx>
                                <w:tblW w:w="9180" w:type="dxa"/>
                                <w:tblInd w:w="-15" w:type="dxa"/>
                                <w:tblLayout w:type="fixed"/>
                                <w:tblLook w:val="04A0"/>
                              </w:tblPrEx>
                              <w:trPr>
                                <w:trHeight w:val="940"/>
                              </w:trPr>
                              <w:tc>
                                <w:tcPr>
                                  <w:tcW w:w="1425" w:type="dxa"/>
                                  <w:tcBorders>
                                    <w:top w:val="single" w:sz="12" w:space="0" w:color="auto"/>
                                    <w:left w:val="single" w:sz="12" w:space="0" w:color="auto"/>
                                    <w:bottom w:val="single" w:sz="12" w:space="0" w:color="auto"/>
                                    <w:right w:val="single" w:sz="12" w:space="0" w:color="auto"/>
                                  </w:tcBorders>
                                  <w:vAlign w:val="center"/>
                                  <w:hideMark/>
                                </w:tcPr>
                                <w:p w:rsidR="00286D75" w:rsidRPr="00FC6893" w:rsidP="00286D75" w14:textId="4C7FC9E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Reporting Burden Task</w:t>
                                  </w:r>
                                  <w:r w:rsidRPr="00FC6893">
                                    <w:rPr>
                                      <w:rFonts w:ascii="Calibri" w:eastAsia="Times New Roman" w:hAnsi="Calibri" w:cs="Calibri"/>
                                      <w:b/>
                                      <w:bCs/>
                                      <w:color w:val="000000"/>
                                      <w:sz w:val="18"/>
                                      <w:szCs w:val="18"/>
                                    </w:rPr>
                                    <w:t xml:space="preserve"> </w:t>
                                  </w:r>
                                </w:p>
                              </w:tc>
                              <w:tc>
                                <w:tcPr>
                                  <w:tcW w:w="720" w:type="dxa"/>
                                  <w:tcBorders>
                                    <w:top w:val="single" w:sz="12" w:space="0" w:color="auto"/>
                                    <w:left w:val="single" w:sz="12" w:space="0" w:color="auto"/>
                                    <w:bottom w:val="single" w:sz="12" w:space="0" w:color="auto"/>
                                    <w:right w:val="single" w:sz="12" w:space="0" w:color="auto"/>
                                  </w:tcBorders>
                                  <w:tcMar>
                                    <w:left w:w="0" w:type="dxa"/>
                                    <w:right w:w="0" w:type="dxa"/>
                                  </w:tcMar>
                                  <w:vAlign w:val="center"/>
                                  <w:hideMark/>
                                </w:tcPr>
                                <w:p w:rsidR="00286D75" w:rsidRPr="00FC6893" w:rsidP="00792764" w14:textId="2BB9AF23">
                                  <w:pPr>
                                    <w:spacing w:after="0" w:line="240" w:lineRule="auto"/>
                                    <w:jc w:val="center"/>
                                    <w:rPr>
                                      <w:rFonts w:ascii="Calibri" w:eastAsia="Times New Roman" w:hAnsi="Calibri" w:cs="Calibri"/>
                                      <w:b/>
                                      <w:bCs/>
                                      <w:color w:val="000000"/>
                                      <w:sz w:val="18"/>
                                      <w:szCs w:val="18"/>
                                    </w:rPr>
                                  </w:pPr>
                                  <w:r w:rsidRPr="00FC6893">
                                    <w:rPr>
                                      <w:rFonts w:ascii="Calibri" w:eastAsia="Times New Roman" w:hAnsi="Calibri" w:cs="Calibri"/>
                                      <w:b/>
                                      <w:bCs/>
                                      <w:color w:val="000000"/>
                                      <w:sz w:val="18"/>
                                      <w:szCs w:val="18"/>
                                    </w:rPr>
                                    <w:t xml:space="preserve">Manager </w:t>
                                  </w:r>
                                  <w:r w:rsidR="00FD6911">
                                    <w:rPr>
                                      <w:rFonts w:ascii="Calibri" w:eastAsia="Times New Roman" w:hAnsi="Calibri" w:cs="Calibri"/>
                                      <w:b/>
                                      <w:bCs/>
                                      <w:color w:val="000000"/>
                                      <w:sz w:val="18"/>
                                      <w:szCs w:val="18"/>
                                    </w:rPr>
                                    <w:t>(</w:t>
                                  </w:r>
                                  <w:r w:rsidRPr="00FC6893">
                                    <w:rPr>
                                      <w:rFonts w:ascii="Calibri" w:eastAsia="Times New Roman" w:hAnsi="Calibri" w:cs="Calibri"/>
                                      <w:b/>
                                      <w:bCs/>
                                      <w:color w:val="000000"/>
                                      <w:sz w:val="18"/>
                                      <w:szCs w:val="18"/>
                                    </w:rPr>
                                    <w:t>hr</w:t>
                                  </w:r>
                                  <w:r w:rsidR="00FD6911">
                                    <w:rPr>
                                      <w:rFonts w:ascii="Calibri" w:eastAsia="Times New Roman" w:hAnsi="Calibri" w:cs="Calibri"/>
                                      <w:b/>
                                      <w:bCs/>
                                      <w:color w:val="000000"/>
                                      <w:sz w:val="18"/>
                                      <w:szCs w:val="18"/>
                                    </w:rPr>
                                    <w:t>/yr</w:t>
                                  </w:r>
                                  <w:r w:rsidRPr="00FC6893">
                                    <w:rPr>
                                      <w:rFonts w:ascii="Calibri" w:eastAsia="Times New Roman" w:hAnsi="Calibri" w:cs="Calibri"/>
                                      <w:b/>
                                      <w:bCs/>
                                      <w:color w:val="000000"/>
                                      <w:sz w:val="18"/>
                                      <w:szCs w:val="18"/>
                                    </w:rPr>
                                    <w:t>)</w:t>
                                  </w:r>
                                </w:p>
                              </w:tc>
                              <w:tc>
                                <w:tcPr>
                                  <w:tcW w:w="990" w:type="dxa"/>
                                  <w:tcBorders>
                                    <w:top w:val="single" w:sz="12" w:space="0" w:color="auto"/>
                                    <w:left w:val="single" w:sz="12" w:space="0" w:color="auto"/>
                                    <w:bottom w:val="single" w:sz="12" w:space="0" w:color="auto"/>
                                    <w:right w:val="single" w:sz="12" w:space="0" w:color="auto"/>
                                  </w:tcBorders>
                                  <w:tcMar>
                                    <w:left w:w="0" w:type="dxa"/>
                                    <w:right w:w="0" w:type="dxa"/>
                                  </w:tcMar>
                                  <w:vAlign w:val="center"/>
                                  <w:hideMark/>
                                </w:tcPr>
                                <w:p w:rsidR="00286D75" w:rsidRPr="00FC6893" w:rsidP="00792764" w14:textId="2F95F908">
                                  <w:pPr>
                                    <w:spacing w:after="0" w:line="240" w:lineRule="auto"/>
                                    <w:jc w:val="center"/>
                                    <w:rPr>
                                      <w:rFonts w:ascii="Calibri" w:eastAsia="Times New Roman" w:hAnsi="Calibri" w:cs="Calibri"/>
                                      <w:b/>
                                      <w:bCs/>
                                      <w:color w:val="000000"/>
                                      <w:sz w:val="18"/>
                                      <w:szCs w:val="18"/>
                                    </w:rPr>
                                  </w:pPr>
                                  <w:r w:rsidRPr="00FC6893">
                                    <w:rPr>
                                      <w:rFonts w:ascii="Calibri" w:eastAsia="Times New Roman" w:hAnsi="Calibri" w:cs="Calibri"/>
                                      <w:b/>
                                      <w:bCs/>
                                      <w:color w:val="000000"/>
                                      <w:sz w:val="18"/>
                                      <w:szCs w:val="18"/>
                                    </w:rPr>
                                    <w:t>Technical (hr</w:t>
                                  </w:r>
                                  <w:r w:rsidR="00FD6911">
                                    <w:rPr>
                                      <w:rFonts w:ascii="Calibri" w:eastAsia="Times New Roman" w:hAnsi="Calibri" w:cs="Calibri"/>
                                      <w:b/>
                                      <w:bCs/>
                                      <w:color w:val="000000"/>
                                      <w:sz w:val="18"/>
                                      <w:szCs w:val="18"/>
                                    </w:rPr>
                                    <w:t>/yr</w:t>
                                  </w:r>
                                  <w:r w:rsidRPr="00FC6893">
                                    <w:rPr>
                                      <w:rFonts w:ascii="Calibri" w:eastAsia="Times New Roman" w:hAnsi="Calibri" w:cs="Calibri"/>
                                      <w:b/>
                                      <w:bCs/>
                                      <w:color w:val="000000"/>
                                      <w:sz w:val="18"/>
                                      <w:szCs w:val="18"/>
                                    </w:rPr>
                                    <w:t>)</w:t>
                                  </w:r>
                                </w:p>
                              </w:tc>
                              <w:tc>
                                <w:tcPr>
                                  <w:tcW w:w="810" w:type="dxa"/>
                                  <w:tcBorders>
                                    <w:top w:val="single" w:sz="12" w:space="0" w:color="auto"/>
                                    <w:left w:val="single" w:sz="12" w:space="0" w:color="auto"/>
                                    <w:bottom w:val="single" w:sz="12" w:space="0" w:color="auto"/>
                                    <w:right w:val="single" w:sz="12" w:space="0" w:color="auto"/>
                                  </w:tcBorders>
                                  <w:tcMar>
                                    <w:left w:w="0" w:type="dxa"/>
                                    <w:right w:w="0" w:type="dxa"/>
                                  </w:tcMar>
                                  <w:vAlign w:val="center"/>
                                  <w:hideMark/>
                                </w:tcPr>
                                <w:p w:rsidR="00286D75" w:rsidRPr="00FC6893" w:rsidP="00792764" w14:textId="13DBEA3E">
                                  <w:pPr>
                                    <w:spacing w:after="0" w:line="240" w:lineRule="auto"/>
                                    <w:jc w:val="center"/>
                                    <w:rPr>
                                      <w:rFonts w:ascii="Calibri" w:eastAsia="Times New Roman" w:hAnsi="Calibri" w:cs="Calibri"/>
                                      <w:b/>
                                      <w:bCs/>
                                      <w:color w:val="000000"/>
                                      <w:sz w:val="18"/>
                                      <w:szCs w:val="18"/>
                                    </w:rPr>
                                  </w:pPr>
                                  <w:r w:rsidRPr="00FC6893">
                                    <w:rPr>
                                      <w:rFonts w:ascii="Calibri" w:eastAsia="Times New Roman" w:hAnsi="Calibri" w:cs="Calibri"/>
                                      <w:b/>
                                      <w:bCs/>
                                      <w:color w:val="000000"/>
                                      <w:sz w:val="18"/>
                                      <w:szCs w:val="18"/>
                                    </w:rPr>
                                    <w:t>Clerical (hr</w:t>
                                  </w:r>
                                  <w:r w:rsidR="00FD6911">
                                    <w:rPr>
                                      <w:rFonts w:ascii="Calibri" w:eastAsia="Times New Roman" w:hAnsi="Calibri" w:cs="Calibri"/>
                                      <w:b/>
                                      <w:bCs/>
                                      <w:color w:val="000000"/>
                                      <w:sz w:val="18"/>
                                      <w:szCs w:val="18"/>
                                    </w:rPr>
                                    <w:t>/yr</w:t>
                                  </w:r>
                                  <w:r w:rsidRPr="00FC6893">
                                    <w:rPr>
                                      <w:rFonts w:ascii="Calibri" w:eastAsia="Times New Roman" w:hAnsi="Calibri" w:cs="Calibri"/>
                                      <w:b/>
                                      <w:bCs/>
                                      <w:color w:val="000000"/>
                                      <w:sz w:val="18"/>
                                      <w:szCs w:val="18"/>
                                    </w:rPr>
                                    <w:t>)</w:t>
                                  </w:r>
                                </w:p>
                              </w:tc>
                              <w:tc>
                                <w:tcPr>
                                  <w:tcW w:w="1170" w:type="dxa"/>
                                  <w:tcBorders>
                                    <w:top w:val="single" w:sz="12" w:space="0" w:color="auto"/>
                                    <w:left w:val="single" w:sz="12" w:space="0" w:color="auto"/>
                                    <w:bottom w:val="single" w:sz="12" w:space="0" w:color="auto"/>
                                    <w:right w:val="single" w:sz="12" w:space="0" w:color="auto"/>
                                  </w:tcBorders>
                                  <w:tcMar>
                                    <w:left w:w="0" w:type="dxa"/>
                                    <w:right w:w="0" w:type="dxa"/>
                                  </w:tcMar>
                                  <w:vAlign w:val="center"/>
                                  <w:hideMark/>
                                </w:tcPr>
                                <w:p w:rsidR="00286D75" w:rsidRPr="00FC6893" w:rsidP="00792764" w14:textId="1089038A">
                                  <w:pPr>
                                    <w:spacing w:after="0" w:line="240" w:lineRule="auto"/>
                                    <w:jc w:val="center"/>
                                    <w:rPr>
                                      <w:rFonts w:ascii="Calibri" w:eastAsia="Times New Roman" w:hAnsi="Calibri" w:cs="Calibri"/>
                                      <w:b/>
                                      <w:bCs/>
                                      <w:color w:val="000000"/>
                                      <w:sz w:val="18"/>
                                      <w:szCs w:val="18"/>
                                    </w:rPr>
                                  </w:pPr>
                                  <w:r w:rsidRPr="00FC6893">
                                    <w:rPr>
                                      <w:rFonts w:ascii="Calibri" w:eastAsia="Times New Roman" w:hAnsi="Calibri" w:cs="Calibri"/>
                                      <w:b/>
                                      <w:bCs/>
                                      <w:color w:val="000000"/>
                                      <w:sz w:val="18"/>
                                      <w:szCs w:val="18"/>
                                    </w:rPr>
                                    <w:t>Respondent</w:t>
                                  </w:r>
                                  <w:r w:rsidRPr="00FC6893">
                                    <w:rPr>
                                      <w:rFonts w:ascii="Calibri" w:eastAsia="Times New Roman" w:hAnsi="Calibri" w:cs="Calibri"/>
                                      <w:b/>
                                      <w:bCs/>
                                      <w:color w:val="000000"/>
                                      <w:sz w:val="18"/>
                                      <w:szCs w:val="18"/>
                                    </w:rPr>
                                    <w:t xml:space="preserve"> (hr/yr)</w:t>
                                  </w:r>
                                </w:p>
                              </w:tc>
                              <w:tc>
                                <w:tcPr>
                                  <w:tcW w:w="990" w:type="dxa"/>
                                  <w:tcBorders>
                                    <w:top w:val="single" w:sz="12" w:space="0" w:color="auto"/>
                                    <w:left w:val="single" w:sz="12" w:space="0" w:color="auto"/>
                                    <w:bottom w:val="single" w:sz="12" w:space="0" w:color="auto"/>
                                    <w:right w:val="single" w:sz="12" w:space="0" w:color="auto"/>
                                  </w:tcBorders>
                                  <w:vAlign w:val="center"/>
                                  <w:hideMark/>
                                </w:tcPr>
                                <w:p w:rsidR="00286D75" w:rsidRPr="00FC6893" w:rsidP="00286D75" w14:textId="7246E11C">
                                  <w:pPr>
                                    <w:spacing w:after="0" w:line="240" w:lineRule="auto"/>
                                    <w:rPr>
                                      <w:rFonts w:ascii="Calibri" w:eastAsia="Times New Roman" w:hAnsi="Calibri" w:cs="Calibri"/>
                                      <w:b/>
                                      <w:bCs/>
                                      <w:color w:val="000000"/>
                                      <w:sz w:val="18"/>
                                      <w:szCs w:val="18"/>
                                    </w:rPr>
                                  </w:pPr>
                                  <w:r w:rsidRPr="00FC6893">
                                    <w:rPr>
                                      <w:rFonts w:ascii="Calibri" w:eastAsia="Times New Roman" w:hAnsi="Calibri" w:cs="Calibri"/>
                                      <w:b/>
                                      <w:bCs/>
                                      <w:color w:val="000000"/>
                                      <w:sz w:val="18"/>
                                      <w:szCs w:val="18"/>
                                    </w:rPr>
                                    <w:t>Labor cost (</w:t>
                                  </w:r>
                                  <w:r w:rsidR="00542A04">
                                    <w:rPr>
                                      <w:rFonts w:ascii="Calibri" w:eastAsia="Times New Roman" w:hAnsi="Calibri" w:cs="Calibri"/>
                                      <w:b/>
                                      <w:bCs/>
                                      <w:color w:val="000000"/>
                                      <w:sz w:val="18"/>
                                      <w:szCs w:val="18"/>
                                    </w:rPr>
                                    <w:t>$</w:t>
                                  </w:r>
                                  <w:r w:rsidRPr="00FC6893">
                                    <w:rPr>
                                      <w:rFonts w:ascii="Calibri" w:eastAsia="Times New Roman" w:hAnsi="Calibri" w:cs="Calibri"/>
                                      <w:b/>
                                      <w:bCs/>
                                      <w:color w:val="000000"/>
                                      <w:sz w:val="18"/>
                                      <w:szCs w:val="18"/>
                                    </w:rPr>
                                    <w:t>/</w:t>
                                  </w:r>
                                  <w:r w:rsidRPr="00FC6893" w:rsidR="000F47D4">
                                    <w:rPr>
                                      <w:rFonts w:ascii="Calibri" w:eastAsia="Times New Roman" w:hAnsi="Calibri" w:cs="Calibri"/>
                                      <w:b/>
                                      <w:bCs/>
                                      <w:color w:val="000000"/>
                                      <w:sz w:val="18"/>
                                      <w:szCs w:val="18"/>
                                    </w:rPr>
                                    <w:t xml:space="preserve"> </w:t>
                                  </w:r>
                                  <w:r w:rsidRPr="00FC6893">
                                    <w:rPr>
                                      <w:rFonts w:ascii="Calibri" w:eastAsia="Times New Roman" w:hAnsi="Calibri" w:cs="Calibri"/>
                                      <w:b/>
                                      <w:bCs/>
                                      <w:color w:val="000000"/>
                                      <w:sz w:val="18"/>
                                      <w:szCs w:val="18"/>
                                    </w:rPr>
                                    <w:t>respond)</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286D75" w:rsidRPr="00FC6893" w:rsidP="00286D75" w14:textId="47F0C68E">
                                  <w:pPr>
                                    <w:spacing w:after="0" w:line="240" w:lineRule="auto"/>
                                    <w:rPr>
                                      <w:rFonts w:ascii="Calibri" w:eastAsia="Times New Roman" w:hAnsi="Calibri" w:cs="Calibri"/>
                                      <w:b/>
                                      <w:bCs/>
                                      <w:color w:val="000000"/>
                                      <w:sz w:val="18"/>
                                      <w:szCs w:val="18"/>
                                    </w:rPr>
                                  </w:pPr>
                                  <w:r w:rsidRPr="00FC6893">
                                    <w:rPr>
                                      <w:rFonts w:ascii="Calibri" w:eastAsia="Times New Roman" w:hAnsi="Calibri" w:cs="Calibri"/>
                                      <w:b/>
                                      <w:bCs/>
                                      <w:color w:val="000000"/>
                                      <w:sz w:val="18"/>
                                      <w:szCs w:val="18"/>
                                    </w:rPr>
                                    <w:t xml:space="preserve">Number of </w:t>
                                  </w:r>
                                  <w:r w:rsidRPr="00FC6893" w:rsidR="003D53E3">
                                    <w:rPr>
                                      <w:rFonts w:ascii="Calibri" w:eastAsia="Times New Roman" w:hAnsi="Calibri" w:cs="Calibri"/>
                                      <w:b/>
                                      <w:bCs/>
                                      <w:color w:val="000000"/>
                                      <w:sz w:val="18"/>
                                      <w:szCs w:val="18"/>
                                    </w:rPr>
                                    <w:t>Respondents</w:t>
                                  </w:r>
                                </w:p>
                              </w:tc>
                              <w:tc>
                                <w:tcPr>
                                  <w:tcW w:w="905" w:type="dxa"/>
                                  <w:tcBorders>
                                    <w:top w:val="single" w:sz="12" w:space="0" w:color="auto"/>
                                    <w:left w:val="single" w:sz="12" w:space="0" w:color="auto"/>
                                    <w:bottom w:val="single" w:sz="12" w:space="0" w:color="auto"/>
                                    <w:right w:val="single" w:sz="12" w:space="0" w:color="auto"/>
                                  </w:tcBorders>
                                  <w:vAlign w:val="center"/>
                                  <w:hideMark/>
                                </w:tcPr>
                                <w:p w:rsidR="00286D75" w:rsidRPr="00FC6893" w:rsidP="00286D75" w14:textId="77777777">
                                  <w:pPr>
                                    <w:spacing w:after="0" w:line="240" w:lineRule="auto"/>
                                    <w:rPr>
                                      <w:rFonts w:ascii="Calibri" w:eastAsia="Times New Roman" w:hAnsi="Calibri" w:cs="Calibri"/>
                                      <w:b/>
                                      <w:bCs/>
                                      <w:color w:val="000000"/>
                                      <w:sz w:val="18"/>
                                      <w:szCs w:val="18"/>
                                    </w:rPr>
                                  </w:pPr>
                                  <w:r w:rsidRPr="00FC6893">
                                    <w:rPr>
                                      <w:rFonts w:ascii="Calibri" w:eastAsia="Times New Roman" w:hAnsi="Calibri" w:cs="Calibri"/>
                                      <w:b/>
                                      <w:bCs/>
                                      <w:color w:val="000000"/>
                                      <w:sz w:val="18"/>
                                      <w:szCs w:val="18"/>
                                    </w:rPr>
                                    <w:t>Total hours/yr</w:t>
                                  </w:r>
                                </w:p>
                              </w:tc>
                              <w:tc>
                                <w:tcPr>
                                  <w:tcW w:w="910" w:type="dxa"/>
                                  <w:tcBorders>
                                    <w:top w:val="single" w:sz="12" w:space="0" w:color="auto"/>
                                    <w:left w:val="single" w:sz="12" w:space="0" w:color="auto"/>
                                    <w:bottom w:val="single" w:sz="12" w:space="0" w:color="auto"/>
                                    <w:right w:val="single" w:sz="12" w:space="0" w:color="auto"/>
                                  </w:tcBorders>
                                  <w:vAlign w:val="center"/>
                                  <w:hideMark/>
                                </w:tcPr>
                                <w:p w:rsidR="00286D75" w:rsidRPr="00FC6893" w:rsidP="00286D75" w14:textId="77777777">
                                  <w:pPr>
                                    <w:spacing w:after="0" w:line="240" w:lineRule="auto"/>
                                    <w:rPr>
                                      <w:rFonts w:ascii="Calibri" w:eastAsia="Times New Roman" w:hAnsi="Calibri" w:cs="Calibri"/>
                                      <w:b/>
                                      <w:bCs/>
                                      <w:color w:val="000000"/>
                                      <w:sz w:val="18"/>
                                      <w:szCs w:val="18"/>
                                    </w:rPr>
                                  </w:pPr>
                                  <w:r w:rsidRPr="00FC6893">
                                    <w:rPr>
                                      <w:rFonts w:ascii="Calibri" w:eastAsia="Times New Roman" w:hAnsi="Calibri" w:cs="Calibri"/>
                                      <w:b/>
                                      <w:bCs/>
                                      <w:color w:val="000000"/>
                                      <w:sz w:val="18"/>
                                      <w:szCs w:val="18"/>
                                    </w:rPr>
                                    <w:t>Total Labor cost/yr</w:t>
                                  </w:r>
                                </w:p>
                              </w:tc>
                            </w:tr>
                            <w:tr w14:paraId="2EBDE1C7" w14:textId="77777777" w:rsidTr="00D8781F">
                              <w:tblPrEx>
                                <w:tblW w:w="9180" w:type="dxa"/>
                                <w:tblInd w:w="-15" w:type="dxa"/>
                                <w:tblLayout w:type="fixed"/>
                                <w:tblLook w:val="04A0"/>
                              </w:tblPrEx>
                              <w:trPr>
                                <w:trHeight w:val="1240"/>
                              </w:trPr>
                              <w:tc>
                                <w:tcPr>
                                  <w:tcW w:w="1425" w:type="dxa"/>
                                  <w:tcBorders>
                                    <w:top w:val="single" w:sz="12" w:space="0" w:color="auto"/>
                                    <w:left w:val="single" w:sz="12" w:space="0" w:color="auto"/>
                                    <w:bottom w:val="single" w:sz="4" w:space="0" w:color="auto"/>
                                    <w:right w:val="single" w:sz="12" w:space="0" w:color="auto"/>
                                  </w:tcBorders>
                                  <w:vAlign w:val="center"/>
                                  <w:hideMark/>
                                </w:tcPr>
                                <w:p w:rsidR="00286D75" w:rsidRPr="00792764" w:rsidP="00286D75" w14:textId="77777777">
                                  <w:pPr>
                                    <w:spacing w:after="0" w:line="240" w:lineRule="auto"/>
                                    <w:rPr>
                                      <w:rFonts w:ascii="Calibri" w:eastAsia="Times New Roman" w:hAnsi="Calibri" w:cs="Calibri"/>
                                      <w:color w:val="000000"/>
                                      <w:sz w:val="18"/>
                                      <w:szCs w:val="18"/>
                                    </w:rPr>
                                  </w:pPr>
                                  <w:r w:rsidRPr="00792764">
                                    <w:rPr>
                                      <w:rFonts w:ascii="Calibri" w:eastAsia="Times New Roman" w:hAnsi="Calibri" w:cs="Calibri"/>
                                      <w:color w:val="000000"/>
                                      <w:sz w:val="18"/>
                                      <w:szCs w:val="18"/>
                                    </w:rPr>
                                    <w:t>Read and understand the regulatory provision (Mgmt)</w:t>
                                  </w:r>
                                </w:p>
                              </w:tc>
                              <w:tc>
                                <w:tcPr>
                                  <w:tcW w:w="720" w:type="dxa"/>
                                  <w:tcBorders>
                                    <w:top w:val="single" w:sz="12" w:space="0" w:color="auto"/>
                                    <w:left w:val="single" w:sz="12" w:space="0" w:color="auto"/>
                                    <w:bottom w:val="single" w:sz="4"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2</w:t>
                                  </w:r>
                                </w:p>
                              </w:tc>
                              <w:tc>
                                <w:tcPr>
                                  <w:tcW w:w="990" w:type="dxa"/>
                                  <w:tcBorders>
                                    <w:top w:val="single" w:sz="12" w:space="0" w:color="auto"/>
                                    <w:left w:val="nil"/>
                                    <w:bottom w:val="single" w:sz="4"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w:t>
                                  </w:r>
                                </w:p>
                              </w:tc>
                              <w:tc>
                                <w:tcPr>
                                  <w:tcW w:w="810" w:type="dxa"/>
                                  <w:tcBorders>
                                    <w:top w:val="single" w:sz="12" w:space="0" w:color="auto"/>
                                    <w:left w:val="nil"/>
                                    <w:bottom w:val="single" w:sz="4"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w:t>
                                  </w:r>
                                </w:p>
                              </w:tc>
                              <w:tc>
                                <w:tcPr>
                                  <w:tcW w:w="1170" w:type="dxa"/>
                                  <w:tcBorders>
                                    <w:top w:val="single" w:sz="12" w:space="0" w:color="auto"/>
                                    <w:left w:val="nil"/>
                                    <w:bottom w:val="single" w:sz="4" w:space="0" w:color="auto"/>
                                    <w:right w:val="single" w:sz="8"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2</w:t>
                                  </w:r>
                                </w:p>
                              </w:tc>
                              <w:tc>
                                <w:tcPr>
                                  <w:tcW w:w="990" w:type="dxa"/>
                                  <w:tcBorders>
                                    <w:top w:val="single" w:sz="12" w:space="0" w:color="auto"/>
                                    <w:left w:val="single" w:sz="12" w:space="0" w:color="auto"/>
                                    <w:bottom w:val="single" w:sz="4"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xml:space="preserve">$267 </w:t>
                                  </w:r>
                                </w:p>
                              </w:tc>
                              <w:tc>
                                <w:tcPr>
                                  <w:tcW w:w="1260" w:type="dxa"/>
                                  <w:tcBorders>
                                    <w:top w:val="single" w:sz="12" w:space="0" w:color="auto"/>
                                    <w:left w:val="nil"/>
                                    <w:bottom w:val="single" w:sz="4"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21</w:t>
                                  </w:r>
                                </w:p>
                              </w:tc>
                              <w:tc>
                                <w:tcPr>
                                  <w:tcW w:w="905" w:type="dxa"/>
                                  <w:tcBorders>
                                    <w:top w:val="single" w:sz="12" w:space="0" w:color="auto"/>
                                    <w:left w:val="nil"/>
                                    <w:bottom w:val="single" w:sz="4"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42</w:t>
                                  </w:r>
                                </w:p>
                              </w:tc>
                              <w:tc>
                                <w:tcPr>
                                  <w:tcW w:w="910" w:type="dxa"/>
                                  <w:tcBorders>
                                    <w:top w:val="single" w:sz="12" w:space="0" w:color="auto"/>
                                    <w:left w:val="nil"/>
                                    <w:bottom w:val="single" w:sz="4" w:space="0" w:color="auto"/>
                                    <w:right w:val="single" w:sz="12"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xml:space="preserve">$5,607 </w:t>
                                  </w:r>
                                </w:p>
                              </w:tc>
                            </w:tr>
                            <w:tr w14:paraId="3CA8CA18" w14:textId="77777777" w:rsidTr="00D8781F">
                              <w:tblPrEx>
                                <w:tblW w:w="9180" w:type="dxa"/>
                                <w:tblInd w:w="-15" w:type="dxa"/>
                                <w:tblLayout w:type="fixed"/>
                                <w:tblLook w:val="04A0"/>
                              </w:tblPrEx>
                              <w:trPr>
                                <w:trHeight w:val="930"/>
                              </w:trPr>
                              <w:tc>
                                <w:tcPr>
                                  <w:tcW w:w="1425" w:type="dxa"/>
                                  <w:tcBorders>
                                    <w:top w:val="nil"/>
                                    <w:left w:val="single" w:sz="12" w:space="0" w:color="auto"/>
                                    <w:bottom w:val="single" w:sz="4" w:space="0" w:color="auto"/>
                                    <w:right w:val="single" w:sz="12" w:space="0" w:color="auto"/>
                                  </w:tcBorders>
                                  <w:vAlign w:val="center"/>
                                  <w:hideMark/>
                                </w:tcPr>
                                <w:p w:rsidR="00286D75" w:rsidRPr="00792764" w:rsidP="00286D75" w14:textId="77777777">
                                  <w:pPr>
                                    <w:spacing w:after="0" w:line="240" w:lineRule="auto"/>
                                    <w:rPr>
                                      <w:rFonts w:ascii="Calibri" w:eastAsia="Times New Roman" w:hAnsi="Calibri" w:cs="Calibri"/>
                                      <w:color w:val="000000"/>
                                      <w:sz w:val="18"/>
                                      <w:szCs w:val="18"/>
                                    </w:rPr>
                                  </w:pPr>
                                  <w:r w:rsidRPr="00792764">
                                    <w:rPr>
                                      <w:rFonts w:ascii="Calibri" w:eastAsia="Times New Roman" w:hAnsi="Calibri" w:cs="Calibri"/>
                                      <w:color w:val="000000"/>
                                      <w:sz w:val="18"/>
                                      <w:szCs w:val="18"/>
                                    </w:rPr>
                                    <w:t>Acquire Instrumentation (Mgmt)</w:t>
                                  </w:r>
                                </w:p>
                              </w:tc>
                              <w:tc>
                                <w:tcPr>
                                  <w:tcW w:w="720" w:type="dxa"/>
                                  <w:tcBorders>
                                    <w:top w:val="nil"/>
                                    <w:left w:val="single" w:sz="12" w:space="0" w:color="auto"/>
                                    <w:bottom w:val="single" w:sz="4"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5</w:t>
                                  </w:r>
                                </w:p>
                              </w:tc>
                              <w:tc>
                                <w:tcPr>
                                  <w:tcW w:w="990" w:type="dxa"/>
                                  <w:tcBorders>
                                    <w:top w:val="nil"/>
                                    <w:left w:val="nil"/>
                                    <w:bottom w:val="single" w:sz="4"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w:t>
                                  </w:r>
                                </w:p>
                              </w:tc>
                              <w:tc>
                                <w:tcPr>
                                  <w:tcW w:w="810" w:type="dxa"/>
                                  <w:tcBorders>
                                    <w:top w:val="nil"/>
                                    <w:left w:val="nil"/>
                                    <w:bottom w:val="single" w:sz="4"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w:t>
                                  </w:r>
                                </w:p>
                              </w:tc>
                              <w:tc>
                                <w:tcPr>
                                  <w:tcW w:w="1170" w:type="dxa"/>
                                  <w:tcBorders>
                                    <w:top w:val="nil"/>
                                    <w:left w:val="nil"/>
                                    <w:bottom w:val="single" w:sz="4" w:space="0" w:color="auto"/>
                                    <w:right w:val="single" w:sz="8"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5</w:t>
                                  </w:r>
                                </w:p>
                              </w:tc>
                              <w:tc>
                                <w:tcPr>
                                  <w:tcW w:w="990" w:type="dxa"/>
                                  <w:tcBorders>
                                    <w:top w:val="nil"/>
                                    <w:left w:val="single" w:sz="12" w:space="0" w:color="auto"/>
                                    <w:bottom w:val="single" w:sz="4"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xml:space="preserve">$668 </w:t>
                                  </w:r>
                                </w:p>
                              </w:tc>
                              <w:tc>
                                <w:tcPr>
                                  <w:tcW w:w="1260" w:type="dxa"/>
                                  <w:tcBorders>
                                    <w:top w:val="nil"/>
                                    <w:left w:val="nil"/>
                                    <w:bottom w:val="single" w:sz="4"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15</w:t>
                                  </w:r>
                                </w:p>
                              </w:tc>
                              <w:tc>
                                <w:tcPr>
                                  <w:tcW w:w="905" w:type="dxa"/>
                                  <w:tcBorders>
                                    <w:top w:val="nil"/>
                                    <w:left w:val="nil"/>
                                    <w:bottom w:val="single" w:sz="4"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75</w:t>
                                  </w:r>
                                </w:p>
                              </w:tc>
                              <w:tc>
                                <w:tcPr>
                                  <w:tcW w:w="910" w:type="dxa"/>
                                  <w:tcBorders>
                                    <w:top w:val="nil"/>
                                    <w:left w:val="nil"/>
                                    <w:bottom w:val="single" w:sz="4" w:space="0" w:color="auto"/>
                                    <w:right w:val="single" w:sz="12"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xml:space="preserve">$10,013 </w:t>
                                  </w:r>
                                </w:p>
                              </w:tc>
                            </w:tr>
                            <w:tr w14:paraId="0BB7F2F3" w14:textId="77777777" w:rsidTr="00D8781F">
                              <w:tblPrEx>
                                <w:tblW w:w="9180" w:type="dxa"/>
                                <w:tblInd w:w="-15" w:type="dxa"/>
                                <w:tblLayout w:type="fixed"/>
                                <w:tblLook w:val="04A0"/>
                              </w:tblPrEx>
                              <w:trPr>
                                <w:trHeight w:val="1121"/>
                              </w:trPr>
                              <w:tc>
                                <w:tcPr>
                                  <w:tcW w:w="1425" w:type="dxa"/>
                                  <w:tcBorders>
                                    <w:top w:val="nil"/>
                                    <w:left w:val="single" w:sz="12" w:space="0" w:color="auto"/>
                                    <w:bottom w:val="single" w:sz="4" w:space="0" w:color="auto"/>
                                    <w:right w:val="single" w:sz="12" w:space="0" w:color="auto"/>
                                  </w:tcBorders>
                                  <w:vAlign w:val="center"/>
                                  <w:hideMark/>
                                </w:tcPr>
                                <w:p w:rsidR="00286D75" w:rsidRPr="00792764" w:rsidP="00286D75" w14:textId="77777777">
                                  <w:pPr>
                                    <w:spacing w:after="0" w:line="240" w:lineRule="auto"/>
                                    <w:rPr>
                                      <w:rFonts w:ascii="Calibri" w:eastAsia="Times New Roman" w:hAnsi="Calibri" w:cs="Calibri"/>
                                      <w:color w:val="000000"/>
                                      <w:sz w:val="18"/>
                                      <w:szCs w:val="18"/>
                                    </w:rPr>
                                  </w:pPr>
                                  <w:r w:rsidRPr="00792764">
                                    <w:rPr>
                                      <w:rFonts w:ascii="Calibri" w:eastAsia="Times New Roman" w:hAnsi="Calibri" w:cs="Calibri"/>
                                      <w:color w:val="000000"/>
                                      <w:sz w:val="18"/>
                                      <w:szCs w:val="18"/>
                                    </w:rPr>
                                    <w:t>Train technician to perform inspection (Mgmt./Tech)</w:t>
                                  </w:r>
                                </w:p>
                              </w:tc>
                              <w:tc>
                                <w:tcPr>
                                  <w:tcW w:w="720" w:type="dxa"/>
                                  <w:tcBorders>
                                    <w:top w:val="nil"/>
                                    <w:left w:val="single" w:sz="12" w:space="0" w:color="auto"/>
                                    <w:bottom w:val="single" w:sz="4"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8</w:t>
                                  </w:r>
                                </w:p>
                              </w:tc>
                              <w:tc>
                                <w:tcPr>
                                  <w:tcW w:w="990" w:type="dxa"/>
                                  <w:tcBorders>
                                    <w:top w:val="nil"/>
                                    <w:left w:val="nil"/>
                                    <w:bottom w:val="single" w:sz="4"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8</w:t>
                                  </w:r>
                                </w:p>
                              </w:tc>
                              <w:tc>
                                <w:tcPr>
                                  <w:tcW w:w="810" w:type="dxa"/>
                                  <w:tcBorders>
                                    <w:top w:val="nil"/>
                                    <w:left w:val="nil"/>
                                    <w:bottom w:val="single" w:sz="4"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w:t>
                                  </w:r>
                                </w:p>
                              </w:tc>
                              <w:tc>
                                <w:tcPr>
                                  <w:tcW w:w="1170" w:type="dxa"/>
                                  <w:tcBorders>
                                    <w:top w:val="nil"/>
                                    <w:left w:val="nil"/>
                                    <w:bottom w:val="single" w:sz="4" w:space="0" w:color="auto"/>
                                    <w:right w:val="single" w:sz="8"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16</w:t>
                                  </w:r>
                                </w:p>
                              </w:tc>
                              <w:tc>
                                <w:tcPr>
                                  <w:tcW w:w="990" w:type="dxa"/>
                                  <w:tcBorders>
                                    <w:top w:val="nil"/>
                                    <w:left w:val="single" w:sz="12" w:space="0" w:color="auto"/>
                                    <w:bottom w:val="single" w:sz="4"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xml:space="preserve">$1,796 </w:t>
                                  </w:r>
                                </w:p>
                              </w:tc>
                              <w:tc>
                                <w:tcPr>
                                  <w:tcW w:w="1260" w:type="dxa"/>
                                  <w:tcBorders>
                                    <w:top w:val="nil"/>
                                    <w:left w:val="nil"/>
                                    <w:bottom w:val="single" w:sz="4"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21</w:t>
                                  </w:r>
                                </w:p>
                              </w:tc>
                              <w:tc>
                                <w:tcPr>
                                  <w:tcW w:w="905" w:type="dxa"/>
                                  <w:tcBorders>
                                    <w:top w:val="nil"/>
                                    <w:left w:val="nil"/>
                                    <w:bottom w:val="single" w:sz="4"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336</w:t>
                                  </w:r>
                                </w:p>
                              </w:tc>
                              <w:tc>
                                <w:tcPr>
                                  <w:tcW w:w="910" w:type="dxa"/>
                                  <w:tcBorders>
                                    <w:top w:val="nil"/>
                                    <w:left w:val="nil"/>
                                    <w:bottom w:val="single" w:sz="4" w:space="0" w:color="auto"/>
                                    <w:right w:val="single" w:sz="12"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xml:space="preserve">$37,716 </w:t>
                                  </w:r>
                                </w:p>
                              </w:tc>
                            </w:tr>
                            <w:tr w14:paraId="1F346187" w14:textId="77777777" w:rsidTr="00D8781F">
                              <w:tblPrEx>
                                <w:tblW w:w="9180" w:type="dxa"/>
                                <w:tblInd w:w="-15" w:type="dxa"/>
                                <w:tblLayout w:type="fixed"/>
                                <w:tblLook w:val="04A0"/>
                              </w:tblPrEx>
                              <w:trPr>
                                <w:trHeight w:val="1560"/>
                              </w:trPr>
                              <w:tc>
                                <w:tcPr>
                                  <w:tcW w:w="1425" w:type="dxa"/>
                                  <w:tcBorders>
                                    <w:top w:val="nil"/>
                                    <w:left w:val="single" w:sz="12" w:space="0" w:color="auto"/>
                                    <w:bottom w:val="single" w:sz="12" w:space="0" w:color="auto"/>
                                    <w:right w:val="single" w:sz="12" w:space="0" w:color="auto"/>
                                  </w:tcBorders>
                                  <w:vAlign w:val="center"/>
                                  <w:hideMark/>
                                </w:tcPr>
                                <w:p w:rsidR="00286D75" w:rsidRPr="00792764" w:rsidP="00286D75" w14:textId="77777777">
                                  <w:pPr>
                                    <w:spacing w:after="0" w:line="240" w:lineRule="auto"/>
                                    <w:rPr>
                                      <w:rFonts w:ascii="Calibri" w:eastAsia="Times New Roman" w:hAnsi="Calibri" w:cs="Calibri"/>
                                      <w:color w:val="000000"/>
                                      <w:sz w:val="18"/>
                                      <w:szCs w:val="18"/>
                                    </w:rPr>
                                  </w:pPr>
                                  <w:r w:rsidRPr="00792764">
                                    <w:rPr>
                                      <w:rFonts w:ascii="Calibri" w:eastAsia="Times New Roman" w:hAnsi="Calibri" w:cs="Calibri"/>
                                      <w:color w:val="000000"/>
                                      <w:sz w:val="18"/>
                                      <w:szCs w:val="18"/>
                                    </w:rPr>
                                    <w:t>Perform inspection to determine presence of liquid (Tech.)</w:t>
                                  </w:r>
                                </w:p>
                              </w:tc>
                              <w:tc>
                                <w:tcPr>
                                  <w:tcW w:w="720" w:type="dxa"/>
                                  <w:tcBorders>
                                    <w:top w:val="nil"/>
                                    <w:left w:val="single" w:sz="12" w:space="0" w:color="auto"/>
                                    <w:bottom w:val="single" w:sz="12"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w:t>
                                  </w:r>
                                </w:p>
                              </w:tc>
                              <w:tc>
                                <w:tcPr>
                                  <w:tcW w:w="990" w:type="dxa"/>
                                  <w:tcBorders>
                                    <w:top w:val="nil"/>
                                    <w:left w:val="nil"/>
                                    <w:bottom w:val="single" w:sz="12"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240</w:t>
                                  </w:r>
                                </w:p>
                              </w:tc>
                              <w:tc>
                                <w:tcPr>
                                  <w:tcW w:w="810" w:type="dxa"/>
                                  <w:tcBorders>
                                    <w:top w:val="nil"/>
                                    <w:left w:val="nil"/>
                                    <w:bottom w:val="single" w:sz="12"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w:t>
                                  </w:r>
                                </w:p>
                              </w:tc>
                              <w:tc>
                                <w:tcPr>
                                  <w:tcW w:w="1170" w:type="dxa"/>
                                  <w:tcBorders>
                                    <w:top w:val="nil"/>
                                    <w:left w:val="nil"/>
                                    <w:bottom w:val="single" w:sz="12" w:space="0" w:color="auto"/>
                                    <w:right w:val="single" w:sz="8"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240</w:t>
                                  </w:r>
                                </w:p>
                              </w:tc>
                              <w:tc>
                                <w:tcPr>
                                  <w:tcW w:w="990" w:type="dxa"/>
                                  <w:tcBorders>
                                    <w:top w:val="nil"/>
                                    <w:left w:val="single" w:sz="12" w:space="0" w:color="auto"/>
                                    <w:bottom w:val="single" w:sz="12"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xml:space="preserve">$21,840 </w:t>
                                  </w:r>
                                </w:p>
                              </w:tc>
                              <w:tc>
                                <w:tcPr>
                                  <w:tcW w:w="1260" w:type="dxa"/>
                                  <w:tcBorders>
                                    <w:top w:val="nil"/>
                                    <w:left w:val="nil"/>
                                    <w:bottom w:val="single" w:sz="12"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21</w:t>
                                  </w:r>
                                </w:p>
                              </w:tc>
                              <w:tc>
                                <w:tcPr>
                                  <w:tcW w:w="905" w:type="dxa"/>
                                  <w:tcBorders>
                                    <w:top w:val="nil"/>
                                    <w:left w:val="nil"/>
                                    <w:bottom w:val="single" w:sz="12"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5040</w:t>
                                  </w:r>
                                </w:p>
                              </w:tc>
                              <w:tc>
                                <w:tcPr>
                                  <w:tcW w:w="910" w:type="dxa"/>
                                  <w:tcBorders>
                                    <w:top w:val="nil"/>
                                    <w:left w:val="nil"/>
                                    <w:bottom w:val="single" w:sz="12" w:space="0" w:color="auto"/>
                                    <w:right w:val="single" w:sz="12"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xml:space="preserve">$458,640 </w:t>
                                  </w:r>
                                </w:p>
                              </w:tc>
                            </w:tr>
                            <w:tr w14:paraId="1ADABBDC" w14:textId="77777777" w:rsidTr="003D1FCB">
                              <w:tblPrEx>
                                <w:tblW w:w="9180" w:type="dxa"/>
                                <w:tblInd w:w="-15" w:type="dxa"/>
                                <w:tblLayout w:type="fixed"/>
                                <w:tblLook w:val="04A0"/>
                              </w:tblPrEx>
                              <w:trPr>
                                <w:trHeight w:val="330"/>
                              </w:trPr>
                              <w:tc>
                                <w:tcPr>
                                  <w:tcW w:w="5115" w:type="dxa"/>
                                  <w:gridSpan w:val="5"/>
                                  <w:tcBorders>
                                    <w:top w:val="single" w:sz="12" w:space="0" w:color="auto"/>
                                    <w:left w:val="single" w:sz="12" w:space="0" w:color="auto"/>
                                    <w:bottom w:val="single" w:sz="12" w:space="0" w:color="auto"/>
                                    <w:right w:val="single" w:sz="12" w:space="0" w:color="auto"/>
                                  </w:tcBorders>
                                  <w:vAlign w:val="center"/>
                                  <w:hideMark/>
                                </w:tcPr>
                                <w:p w:rsidR="00286D75" w:rsidRPr="00835B1F" w:rsidP="00286D75" w14:textId="77777777">
                                  <w:pPr>
                                    <w:spacing w:after="0" w:line="240" w:lineRule="auto"/>
                                    <w:jc w:val="center"/>
                                    <w:rPr>
                                      <w:rFonts w:ascii="Calibri" w:eastAsia="Times New Roman" w:hAnsi="Calibri" w:cs="Calibri"/>
                                      <w:b/>
                                      <w:bCs/>
                                      <w:color w:val="000000"/>
                                      <w:sz w:val="20"/>
                                      <w:szCs w:val="20"/>
                                    </w:rPr>
                                  </w:pPr>
                                  <w:r w:rsidRPr="00835B1F">
                                    <w:rPr>
                                      <w:rFonts w:ascii="Calibri" w:eastAsia="Times New Roman" w:hAnsi="Calibri" w:cs="Calibri"/>
                                      <w:b/>
                                      <w:bCs/>
                                      <w:color w:val="000000"/>
                                      <w:sz w:val="20"/>
                                      <w:szCs w:val="20"/>
                                    </w:rPr>
                                    <w:t>Record Keeping Burden (hours)</w:t>
                                  </w:r>
                                </w:p>
                              </w:tc>
                              <w:tc>
                                <w:tcPr>
                                  <w:tcW w:w="4065" w:type="dxa"/>
                                  <w:gridSpan w:val="4"/>
                                  <w:tcBorders>
                                    <w:top w:val="single" w:sz="12" w:space="0" w:color="auto"/>
                                    <w:left w:val="single" w:sz="12" w:space="0" w:color="auto"/>
                                    <w:bottom w:val="single" w:sz="12" w:space="0" w:color="auto"/>
                                    <w:right w:val="single" w:sz="12" w:space="0" w:color="auto"/>
                                  </w:tcBorders>
                                  <w:vAlign w:val="center"/>
                                  <w:hideMark/>
                                </w:tcPr>
                                <w:p w:rsidR="00286D75" w:rsidRPr="00835B1F" w:rsidP="00286D75" w14:textId="7C21BA11">
                                  <w:pPr>
                                    <w:spacing w:after="0" w:line="240" w:lineRule="auto"/>
                                    <w:jc w:val="center"/>
                                    <w:rPr>
                                      <w:rFonts w:ascii="Calibri" w:eastAsia="Times New Roman" w:hAnsi="Calibri" w:cs="Calibri"/>
                                      <w:b/>
                                      <w:bCs/>
                                      <w:color w:val="000000"/>
                                      <w:sz w:val="20"/>
                                      <w:szCs w:val="20"/>
                                    </w:rPr>
                                  </w:pPr>
                                  <w:r w:rsidRPr="00835B1F">
                                    <w:rPr>
                                      <w:rFonts w:ascii="Calibri" w:eastAsia="Times New Roman" w:hAnsi="Calibri" w:cs="Calibri"/>
                                      <w:b/>
                                      <w:bCs/>
                                      <w:color w:val="000000"/>
                                      <w:sz w:val="20"/>
                                      <w:szCs w:val="20"/>
                                    </w:rPr>
                                    <w:t xml:space="preserve"> (cost)</w:t>
                                  </w:r>
                                </w:p>
                              </w:tc>
                            </w:tr>
                            <w:tr w14:paraId="7669154B" w14:textId="77777777" w:rsidTr="00D8781F">
                              <w:tblPrEx>
                                <w:tblW w:w="9180" w:type="dxa"/>
                                <w:tblInd w:w="-15" w:type="dxa"/>
                                <w:tblLayout w:type="fixed"/>
                                <w:tblLook w:val="04A0"/>
                              </w:tblPrEx>
                              <w:trPr>
                                <w:trHeight w:val="940"/>
                              </w:trPr>
                              <w:tc>
                                <w:tcPr>
                                  <w:tcW w:w="1425" w:type="dxa"/>
                                  <w:tcBorders>
                                    <w:top w:val="nil"/>
                                    <w:left w:val="single" w:sz="12" w:space="0" w:color="auto"/>
                                    <w:bottom w:val="single" w:sz="12" w:space="0" w:color="auto"/>
                                    <w:right w:val="single" w:sz="12" w:space="0" w:color="auto"/>
                                  </w:tcBorders>
                                  <w:vAlign w:val="center"/>
                                  <w:hideMark/>
                                </w:tcPr>
                                <w:p w:rsidR="00286D75" w:rsidRPr="00792764" w:rsidP="00286D75" w14:textId="77777777">
                                  <w:pPr>
                                    <w:spacing w:after="0" w:line="240" w:lineRule="auto"/>
                                    <w:rPr>
                                      <w:rFonts w:ascii="Calibri" w:eastAsia="Times New Roman" w:hAnsi="Calibri" w:cs="Calibri"/>
                                      <w:color w:val="000000"/>
                                      <w:sz w:val="18"/>
                                      <w:szCs w:val="18"/>
                                    </w:rPr>
                                  </w:pPr>
                                  <w:r w:rsidRPr="00792764">
                                    <w:rPr>
                                      <w:rFonts w:ascii="Calibri" w:eastAsia="Times New Roman" w:hAnsi="Calibri" w:cs="Calibri"/>
                                      <w:color w:val="000000"/>
                                      <w:sz w:val="18"/>
                                      <w:szCs w:val="18"/>
                                    </w:rPr>
                                    <w:t>File and maintain data (Clerical/Tech)</w:t>
                                  </w:r>
                                </w:p>
                              </w:tc>
                              <w:tc>
                                <w:tcPr>
                                  <w:tcW w:w="720" w:type="dxa"/>
                                  <w:tcBorders>
                                    <w:top w:val="nil"/>
                                    <w:left w:val="single" w:sz="12" w:space="0" w:color="auto"/>
                                    <w:bottom w:val="single" w:sz="12"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w:t>
                                  </w:r>
                                </w:p>
                              </w:tc>
                              <w:tc>
                                <w:tcPr>
                                  <w:tcW w:w="990" w:type="dxa"/>
                                  <w:tcBorders>
                                    <w:top w:val="nil"/>
                                    <w:left w:val="nil"/>
                                    <w:bottom w:val="single" w:sz="12"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10</w:t>
                                  </w:r>
                                </w:p>
                              </w:tc>
                              <w:tc>
                                <w:tcPr>
                                  <w:tcW w:w="810" w:type="dxa"/>
                                  <w:tcBorders>
                                    <w:top w:val="nil"/>
                                    <w:left w:val="nil"/>
                                    <w:bottom w:val="single" w:sz="12"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10</w:t>
                                  </w:r>
                                </w:p>
                              </w:tc>
                              <w:tc>
                                <w:tcPr>
                                  <w:tcW w:w="1170" w:type="dxa"/>
                                  <w:tcBorders>
                                    <w:top w:val="nil"/>
                                    <w:left w:val="nil"/>
                                    <w:bottom w:val="single" w:sz="12" w:space="0" w:color="auto"/>
                                    <w:right w:val="single" w:sz="8"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20</w:t>
                                  </w:r>
                                </w:p>
                              </w:tc>
                              <w:tc>
                                <w:tcPr>
                                  <w:tcW w:w="990" w:type="dxa"/>
                                  <w:tcBorders>
                                    <w:top w:val="nil"/>
                                    <w:left w:val="single" w:sz="12" w:space="0" w:color="auto"/>
                                    <w:bottom w:val="single" w:sz="12"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xml:space="preserve">$1,290 </w:t>
                                  </w:r>
                                </w:p>
                              </w:tc>
                              <w:tc>
                                <w:tcPr>
                                  <w:tcW w:w="1260" w:type="dxa"/>
                                  <w:tcBorders>
                                    <w:top w:val="nil"/>
                                    <w:left w:val="nil"/>
                                    <w:bottom w:val="single" w:sz="12"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21</w:t>
                                  </w:r>
                                </w:p>
                              </w:tc>
                              <w:tc>
                                <w:tcPr>
                                  <w:tcW w:w="905" w:type="dxa"/>
                                  <w:tcBorders>
                                    <w:top w:val="nil"/>
                                    <w:left w:val="nil"/>
                                    <w:bottom w:val="single" w:sz="12" w:space="0" w:color="auto"/>
                                    <w:right w:val="single" w:sz="4"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420</w:t>
                                  </w:r>
                                </w:p>
                              </w:tc>
                              <w:tc>
                                <w:tcPr>
                                  <w:tcW w:w="910" w:type="dxa"/>
                                  <w:tcBorders>
                                    <w:top w:val="nil"/>
                                    <w:left w:val="nil"/>
                                    <w:bottom w:val="single" w:sz="12" w:space="0" w:color="auto"/>
                                    <w:right w:val="single" w:sz="12" w:space="0" w:color="auto"/>
                                  </w:tcBorders>
                                  <w:vAlign w:val="center"/>
                                  <w:hideMark/>
                                </w:tcPr>
                                <w:p w:rsidR="00286D75" w:rsidRPr="00792764" w:rsidP="00286D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xml:space="preserve">$27,090 </w:t>
                                  </w:r>
                                </w:p>
                              </w:tc>
                            </w:tr>
                            <w:tr w14:paraId="5A658D29" w14:textId="77777777" w:rsidTr="003D1FCB">
                              <w:tblPrEx>
                                <w:tblW w:w="9180" w:type="dxa"/>
                                <w:tblInd w:w="-15" w:type="dxa"/>
                                <w:tblLayout w:type="fixed"/>
                                <w:tblLook w:val="04A0"/>
                              </w:tblPrEx>
                              <w:trPr>
                                <w:trHeight w:val="320"/>
                              </w:trPr>
                              <w:tc>
                                <w:tcPr>
                                  <w:tcW w:w="1425" w:type="dxa"/>
                                  <w:tcBorders>
                                    <w:top w:val="single" w:sz="12" w:space="0" w:color="auto"/>
                                    <w:left w:val="single" w:sz="12" w:space="0" w:color="auto"/>
                                    <w:bottom w:val="single" w:sz="12" w:space="0" w:color="auto"/>
                                    <w:right w:val="single" w:sz="12" w:space="0" w:color="auto"/>
                                  </w:tcBorders>
                                  <w:vAlign w:val="center"/>
                                  <w:hideMark/>
                                </w:tcPr>
                                <w:p w:rsidR="00286D75" w:rsidRPr="00792764" w:rsidP="00286D75" w14:textId="77777777">
                                  <w:pPr>
                                    <w:spacing w:after="0" w:line="240" w:lineRule="auto"/>
                                    <w:rPr>
                                      <w:rFonts w:ascii="Calibri" w:eastAsia="Times New Roman" w:hAnsi="Calibri" w:cs="Calibri"/>
                                      <w:b/>
                                      <w:bCs/>
                                      <w:color w:val="000000"/>
                                      <w:sz w:val="18"/>
                                      <w:szCs w:val="18"/>
                                    </w:rPr>
                                  </w:pPr>
                                  <w:r w:rsidRPr="00792764">
                                    <w:rPr>
                                      <w:rFonts w:ascii="Calibri" w:eastAsia="Times New Roman" w:hAnsi="Calibri" w:cs="Calibri"/>
                                      <w:b/>
                                      <w:bCs/>
                                      <w:color w:val="000000"/>
                                      <w:sz w:val="18"/>
                                      <w:szCs w:val="18"/>
                                    </w:rPr>
                                    <w:t>TOTAL</w:t>
                                  </w:r>
                                </w:p>
                              </w:tc>
                              <w:tc>
                                <w:tcPr>
                                  <w:tcW w:w="720" w:type="dxa"/>
                                  <w:tcBorders>
                                    <w:top w:val="single" w:sz="12" w:space="0" w:color="auto"/>
                                    <w:left w:val="single" w:sz="12" w:space="0" w:color="auto"/>
                                    <w:bottom w:val="single" w:sz="12" w:space="0" w:color="auto"/>
                                    <w:right w:val="single" w:sz="12" w:space="0" w:color="auto"/>
                                  </w:tcBorders>
                                  <w:vAlign w:val="center"/>
                                  <w:hideMark/>
                                </w:tcPr>
                                <w:p w:rsidR="00286D75" w:rsidRPr="00FC6893" w:rsidP="00286D75" w14:textId="77777777">
                                  <w:pPr>
                                    <w:spacing w:after="0" w:line="240" w:lineRule="auto"/>
                                    <w:jc w:val="center"/>
                                    <w:rPr>
                                      <w:rFonts w:ascii="Calibri" w:eastAsia="Times New Roman" w:hAnsi="Calibri" w:cs="Calibri"/>
                                      <w:b/>
                                      <w:bCs/>
                                      <w:sz w:val="18"/>
                                      <w:szCs w:val="18"/>
                                    </w:rPr>
                                  </w:pPr>
                                  <w:r w:rsidRPr="00FC6893">
                                    <w:rPr>
                                      <w:rFonts w:ascii="Calibri" w:eastAsia="Times New Roman" w:hAnsi="Calibri" w:cs="Calibri"/>
                                      <w:b/>
                                      <w:bCs/>
                                      <w:sz w:val="18"/>
                                      <w:szCs w:val="18"/>
                                    </w:rPr>
                                    <w:t>15</w:t>
                                  </w:r>
                                </w:p>
                              </w:tc>
                              <w:tc>
                                <w:tcPr>
                                  <w:tcW w:w="990" w:type="dxa"/>
                                  <w:tcBorders>
                                    <w:top w:val="single" w:sz="12" w:space="0" w:color="auto"/>
                                    <w:left w:val="single" w:sz="12" w:space="0" w:color="auto"/>
                                    <w:bottom w:val="single" w:sz="12" w:space="0" w:color="auto"/>
                                    <w:right w:val="single" w:sz="12" w:space="0" w:color="auto"/>
                                  </w:tcBorders>
                                  <w:vAlign w:val="center"/>
                                  <w:hideMark/>
                                </w:tcPr>
                                <w:p w:rsidR="00286D75" w:rsidRPr="00FC6893" w:rsidP="00286D75" w14:textId="77777777">
                                  <w:pPr>
                                    <w:spacing w:after="0" w:line="240" w:lineRule="auto"/>
                                    <w:jc w:val="center"/>
                                    <w:rPr>
                                      <w:rFonts w:ascii="Calibri" w:eastAsia="Times New Roman" w:hAnsi="Calibri" w:cs="Calibri"/>
                                      <w:b/>
                                      <w:bCs/>
                                      <w:sz w:val="18"/>
                                      <w:szCs w:val="18"/>
                                    </w:rPr>
                                  </w:pPr>
                                  <w:r w:rsidRPr="00FC6893">
                                    <w:rPr>
                                      <w:rFonts w:ascii="Calibri" w:eastAsia="Times New Roman" w:hAnsi="Calibri" w:cs="Calibri"/>
                                      <w:b/>
                                      <w:bCs/>
                                      <w:sz w:val="18"/>
                                      <w:szCs w:val="18"/>
                                    </w:rPr>
                                    <w:t>258</w:t>
                                  </w:r>
                                </w:p>
                              </w:tc>
                              <w:tc>
                                <w:tcPr>
                                  <w:tcW w:w="810" w:type="dxa"/>
                                  <w:tcBorders>
                                    <w:top w:val="single" w:sz="12" w:space="0" w:color="auto"/>
                                    <w:left w:val="single" w:sz="12" w:space="0" w:color="auto"/>
                                    <w:bottom w:val="single" w:sz="12" w:space="0" w:color="auto"/>
                                    <w:right w:val="single" w:sz="12" w:space="0" w:color="auto"/>
                                  </w:tcBorders>
                                  <w:vAlign w:val="center"/>
                                  <w:hideMark/>
                                </w:tcPr>
                                <w:p w:rsidR="00286D75" w:rsidRPr="00FC6893" w:rsidP="00286D75" w14:textId="77777777">
                                  <w:pPr>
                                    <w:spacing w:after="0" w:line="240" w:lineRule="auto"/>
                                    <w:jc w:val="center"/>
                                    <w:rPr>
                                      <w:rFonts w:ascii="Calibri" w:eastAsia="Times New Roman" w:hAnsi="Calibri" w:cs="Calibri"/>
                                      <w:b/>
                                      <w:bCs/>
                                      <w:sz w:val="18"/>
                                      <w:szCs w:val="18"/>
                                    </w:rPr>
                                  </w:pPr>
                                  <w:r w:rsidRPr="00FC6893">
                                    <w:rPr>
                                      <w:rFonts w:ascii="Calibri" w:eastAsia="Times New Roman" w:hAnsi="Calibri" w:cs="Calibri"/>
                                      <w:b/>
                                      <w:bCs/>
                                      <w:sz w:val="18"/>
                                      <w:szCs w:val="18"/>
                                    </w:rPr>
                                    <w:t>10</w:t>
                                  </w:r>
                                </w:p>
                              </w:tc>
                              <w:tc>
                                <w:tcPr>
                                  <w:tcW w:w="1170" w:type="dxa"/>
                                  <w:tcBorders>
                                    <w:top w:val="single" w:sz="12" w:space="0" w:color="auto"/>
                                    <w:left w:val="single" w:sz="12" w:space="0" w:color="auto"/>
                                    <w:bottom w:val="single" w:sz="12" w:space="0" w:color="auto"/>
                                    <w:right w:val="single" w:sz="12" w:space="0" w:color="auto"/>
                                  </w:tcBorders>
                                  <w:vAlign w:val="center"/>
                                  <w:hideMark/>
                                </w:tcPr>
                                <w:p w:rsidR="00286D75" w:rsidRPr="00FC6893" w:rsidP="00286D75" w14:textId="77777777">
                                  <w:pPr>
                                    <w:spacing w:after="0" w:line="240" w:lineRule="auto"/>
                                    <w:jc w:val="center"/>
                                    <w:rPr>
                                      <w:rFonts w:ascii="Calibri" w:eastAsia="Times New Roman" w:hAnsi="Calibri" w:cs="Calibri"/>
                                      <w:b/>
                                      <w:bCs/>
                                      <w:sz w:val="18"/>
                                      <w:szCs w:val="18"/>
                                    </w:rPr>
                                  </w:pPr>
                                  <w:r w:rsidRPr="00FC6893">
                                    <w:rPr>
                                      <w:rFonts w:ascii="Calibri" w:eastAsia="Times New Roman" w:hAnsi="Calibri" w:cs="Calibri"/>
                                      <w:b/>
                                      <w:bCs/>
                                      <w:sz w:val="18"/>
                                      <w:szCs w:val="18"/>
                                    </w:rPr>
                                    <w:t>283</w:t>
                                  </w:r>
                                </w:p>
                              </w:tc>
                              <w:tc>
                                <w:tcPr>
                                  <w:tcW w:w="990" w:type="dxa"/>
                                  <w:tcBorders>
                                    <w:top w:val="single" w:sz="12" w:space="0" w:color="auto"/>
                                    <w:left w:val="single" w:sz="12" w:space="0" w:color="auto"/>
                                    <w:bottom w:val="single" w:sz="12" w:space="0" w:color="auto"/>
                                    <w:right w:val="single" w:sz="12" w:space="0" w:color="auto"/>
                                  </w:tcBorders>
                                  <w:vAlign w:val="center"/>
                                  <w:hideMark/>
                                </w:tcPr>
                                <w:p w:rsidR="00286D75" w:rsidRPr="00FC6893" w:rsidP="00286D75" w14:textId="77777777">
                                  <w:pPr>
                                    <w:spacing w:after="0" w:line="240" w:lineRule="auto"/>
                                    <w:jc w:val="center"/>
                                    <w:rPr>
                                      <w:rFonts w:ascii="Calibri" w:eastAsia="Times New Roman" w:hAnsi="Calibri" w:cs="Calibri"/>
                                      <w:b/>
                                      <w:bCs/>
                                      <w:sz w:val="18"/>
                                      <w:szCs w:val="18"/>
                                    </w:rPr>
                                  </w:pPr>
                                  <w:r w:rsidRPr="00FC6893">
                                    <w:rPr>
                                      <w:rFonts w:ascii="Calibri" w:eastAsia="Times New Roman" w:hAnsi="Calibri" w:cs="Calibri"/>
                                      <w:b/>
                                      <w:bCs/>
                                      <w:sz w:val="18"/>
                                      <w:szCs w:val="18"/>
                                    </w:rPr>
                                    <w:t xml:space="preserve">$25,861 </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286D75" w:rsidRPr="00FC6893" w:rsidP="00286D75" w14:textId="77777777">
                                  <w:pPr>
                                    <w:spacing w:after="0" w:line="240" w:lineRule="auto"/>
                                    <w:jc w:val="center"/>
                                    <w:rPr>
                                      <w:rFonts w:ascii="Calibri" w:eastAsia="Times New Roman" w:hAnsi="Calibri" w:cs="Calibri"/>
                                      <w:b/>
                                      <w:bCs/>
                                      <w:sz w:val="18"/>
                                      <w:szCs w:val="18"/>
                                    </w:rPr>
                                  </w:pPr>
                                  <w:r w:rsidRPr="00FC6893">
                                    <w:rPr>
                                      <w:rFonts w:ascii="Calibri" w:eastAsia="Times New Roman" w:hAnsi="Calibri" w:cs="Calibri"/>
                                      <w:b/>
                                      <w:bCs/>
                                      <w:sz w:val="18"/>
                                      <w:szCs w:val="18"/>
                                    </w:rPr>
                                    <w:t>21</w:t>
                                  </w:r>
                                </w:p>
                              </w:tc>
                              <w:tc>
                                <w:tcPr>
                                  <w:tcW w:w="905" w:type="dxa"/>
                                  <w:tcBorders>
                                    <w:top w:val="single" w:sz="12" w:space="0" w:color="auto"/>
                                    <w:left w:val="single" w:sz="12" w:space="0" w:color="auto"/>
                                    <w:bottom w:val="single" w:sz="12" w:space="0" w:color="auto"/>
                                    <w:right w:val="single" w:sz="12" w:space="0" w:color="auto"/>
                                  </w:tcBorders>
                                  <w:vAlign w:val="center"/>
                                  <w:hideMark/>
                                </w:tcPr>
                                <w:p w:rsidR="00286D75" w:rsidRPr="00FC6893" w:rsidP="00286D75" w14:textId="77777777">
                                  <w:pPr>
                                    <w:spacing w:after="0" w:line="240" w:lineRule="auto"/>
                                    <w:jc w:val="center"/>
                                    <w:rPr>
                                      <w:rFonts w:ascii="Calibri" w:eastAsia="Times New Roman" w:hAnsi="Calibri" w:cs="Calibri"/>
                                      <w:b/>
                                      <w:bCs/>
                                      <w:sz w:val="18"/>
                                      <w:szCs w:val="18"/>
                                    </w:rPr>
                                  </w:pPr>
                                  <w:r w:rsidRPr="00FC6893">
                                    <w:rPr>
                                      <w:rFonts w:ascii="Calibri" w:eastAsia="Times New Roman" w:hAnsi="Calibri" w:cs="Calibri"/>
                                      <w:b/>
                                      <w:bCs/>
                                      <w:sz w:val="18"/>
                                      <w:szCs w:val="18"/>
                                    </w:rPr>
                                    <w:t>5913</w:t>
                                  </w:r>
                                </w:p>
                              </w:tc>
                              <w:tc>
                                <w:tcPr>
                                  <w:tcW w:w="910" w:type="dxa"/>
                                  <w:tcBorders>
                                    <w:top w:val="single" w:sz="12" w:space="0" w:color="auto"/>
                                    <w:left w:val="single" w:sz="12" w:space="0" w:color="auto"/>
                                    <w:bottom w:val="single" w:sz="12" w:space="0" w:color="auto"/>
                                    <w:right w:val="single" w:sz="12" w:space="0" w:color="auto"/>
                                  </w:tcBorders>
                                  <w:vAlign w:val="center"/>
                                  <w:hideMark/>
                                </w:tcPr>
                                <w:p w:rsidR="00286D75" w:rsidRPr="00FC6893" w:rsidP="00286D75" w14:textId="77777777">
                                  <w:pPr>
                                    <w:spacing w:after="0" w:line="240" w:lineRule="auto"/>
                                    <w:jc w:val="center"/>
                                    <w:rPr>
                                      <w:rFonts w:ascii="Calibri" w:eastAsia="Times New Roman" w:hAnsi="Calibri" w:cs="Calibri"/>
                                      <w:b/>
                                      <w:bCs/>
                                      <w:sz w:val="18"/>
                                      <w:szCs w:val="18"/>
                                    </w:rPr>
                                  </w:pPr>
                                  <w:r w:rsidRPr="00FC6893">
                                    <w:rPr>
                                      <w:rFonts w:ascii="Calibri" w:eastAsia="Times New Roman" w:hAnsi="Calibri" w:cs="Calibri"/>
                                      <w:b/>
                                      <w:bCs/>
                                      <w:sz w:val="18"/>
                                      <w:szCs w:val="18"/>
                                    </w:rPr>
                                    <w:t xml:space="preserve">$539,066 </w:t>
                                  </w:r>
                                </w:p>
                              </w:tc>
                            </w:tr>
                          </w:tbl>
                          <w:p w:rsidR="00286D75" w:rsidRPr="00621249" w:rsidP="003D53E3" w14:textId="489E455C">
                            <w:pPr>
                              <w:rPr>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2.3pt;height:416.9pt;margin-top:36pt;margin-left:-7.2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tbl>
                      <w:tblPr>
                        <w:tblW w:w="9180" w:type="dxa"/>
                        <w:tblInd w:w="-15" w:type="dxa"/>
                        <w:tblLayout w:type="fixed"/>
                        <w:tblLook w:val="04A0"/>
                      </w:tblPr>
                      <w:tblGrid>
                        <w:gridCol w:w="1425"/>
                        <w:gridCol w:w="720"/>
                        <w:gridCol w:w="990"/>
                        <w:gridCol w:w="810"/>
                        <w:gridCol w:w="1170"/>
                        <w:gridCol w:w="990"/>
                        <w:gridCol w:w="1260"/>
                        <w:gridCol w:w="905"/>
                        <w:gridCol w:w="910"/>
                      </w:tblGrid>
                      <w:tr w14:paraId="7BC45CAD" w14:textId="77777777" w:rsidTr="003D1FCB">
                        <w:tblPrEx>
                          <w:tblW w:w="9180" w:type="dxa"/>
                          <w:tblInd w:w="-15" w:type="dxa"/>
                          <w:tblLayout w:type="fixed"/>
                          <w:tblLook w:val="04A0"/>
                        </w:tblPrEx>
                        <w:trPr>
                          <w:trHeight w:val="330"/>
                        </w:trPr>
                        <w:tc>
                          <w:tcPr>
                            <w:tcW w:w="5115" w:type="dxa"/>
                            <w:gridSpan w:val="5"/>
                            <w:tcBorders>
                              <w:top w:val="single" w:sz="12" w:space="0" w:color="auto"/>
                              <w:left w:val="single" w:sz="12" w:space="0" w:color="auto"/>
                              <w:bottom w:val="single" w:sz="12" w:space="0" w:color="auto"/>
                              <w:right w:val="single" w:sz="12" w:space="0" w:color="auto"/>
                            </w:tcBorders>
                            <w:vAlign w:val="center"/>
                            <w:hideMark/>
                          </w:tcPr>
                          <w:p w:rsidR="00286D75" w:rsidRPr="00835B1F" w:rsidP="00286D75" w14:paraId="44BAC25C" w14:textId="77777777">
                            <w:pPr>
                              <w:spacing w:after="0" w:line="240" w:lineRule="auto"/>
                              <w:jc w:val="center"/>
                              <w:rPr>
                                <w:rFonts w:ascii="Calibri" w:eastAsia="Times New Roman" w:hAnsi="Calibri" w:cs="Calibri"/>
                                <w:b/>
                                <w:bCs/>
                                <w:color w:val="000000"/>
                                <w:sz w:val="20"/>
                                <w:szCs w:val="20"/>
                              </w:rPr>
                            </w:pPr>
                            <w:r w:rsidRPr="00835B1F">
                              <w:rPr>
                                <w:rFonts w:ascii="Calibri" w:eastAsia="Times New Roman" w:hAnsi="Calibri" w:cs="Calibri"/>
                                <w:b/>
                                <w:bCs/>
                                <w:color w:val="000000"/>
                                <w:sz w:val="20"/>
                                <w:szCs w:val="20"/>
                              </w:rPr>
                              <w:t>Reporting Burden (hours)</w:t>
                            </w:r>
                          </w:p>
                        </w:tc>
                        <w:tc>
                          <w:tcPr>
                            <w:tcW w:w="4065" w:type="dxa"/>
                            <w:gridSpan w:val="4"/>
                            <w:tcBorders>
                              <w:top w:val="single" w:sz="12" w:space="0" w:color="auto"/>
                              <w:left w:val="single" w:sz="12" w:space="0" w:color="auto"/>
                              <w:bottom w:val="single" w:sz="12" w:space="0" w:color="auto"/>
                              <w:right w:val="single" w:sz="12" w:space="0" w:color="auto"/>
                            </w:tcBorders>
                            <w:vAlign w:val="center"/>
                            <w:hideMark/>
                          </w:tcPr>
                          <w:p w:rsidR="00286D75" w:rsidRPr="00835B1F" w:rsidP="00286D75" w14:paraId="4BBF0F8C" w14:textId="77777777">
                            <w:pPr>
                              <w:spacing w:after="0" w:line="240" w:lineRule="auto"/>
                              <w:jc w:val="center"/>
                              <w:rPr>
                                <w:rFonts w:ascii="Calibri" w:eastAsia="Times New Roman" w:hAnsi="Calibri" w:cs="Calibri"/>
                                <w:b/>
                                <w:bCs/>
                                <w:color w:val="000000"/>
                                <w:sz w:val="20"/>
                                <w:szCs w:val="20"/>
                              </w:rPr>
                            </w:pPr>
                            <w:r w:rsidRPr="00835B1F">
                              <w:rPr>
                                <w:rFonts w:ascii="Calibri" w:eastAsia="Times New Roman" w:hAnsi="Calibri" w:cs="Calibri"/>
                                <w:b/>
                                <w:bCs/>
                                <w:color w:val="000000"/>
                                <w:sz w:val="20"/>
                                <w:szCs w:val="20"/>
                              </w:rPr>
                              <w:t>Reporting Burden (cost)</w:t>
                            </w:r>
                          </w:p>
                        </w:tc>
                      </w:tr>
                      <w:tr w14:paraId="0BAB11C7" w14:textId="77777777" w:rsidTr="003D1FCB">
                        <w:tblPrEx>
                          <w:tblW w:w="9180" w:type="dxa"/>
                          <w:tblInd w:w="-15" w:type="dxa"/>
                          <w:tblLayout w:type="fixed"/>
                          <w:tblLook w:val="04A0"/>
                        </w:tblPrEx>
                        <w:trPr>
                          <w:trHeight w:val="940"/>
                        </w:trPr>
                        <w:tc>
                          <w:tcPr>
                            <w:tcW w:w="1425" w:type="dxa"/>
                            <w:tcBorders>
                              <w:top w:val="single" w:sz="12" w:space="0" w:color="auto"/>
                              <w:left w:val="single" w:sz="12" w:space="0" w:color="auto"/>
                              <w:bottom w:val="single" w:sz="12" w:space="0" w:color="auto"/>
                              <w:right w:val="single" w:sz="12" w:space="0" w:color="auto"/>
                            </w:tcBorders>
                            <w:vAlign w:val="center"/>
                            <w:hideMark/>
                          </w:tcPr>
                          <w:p w:rsidR="00286D75" w:rsidRPr="00FC6893" w:rsidP="00286D75" w14:paraId="37244B7D" w14:textId="4C7FC9E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Reporting Burden Task</w:t>
                            </w:r>
                            <w:r w:rsidRPr="00FC6893">
                              <w:rPr>
                                <w:rFonts w:ascii="Calibri" w:eastAsia="Times New Roman" w:hAnsi="Calibri" w:cs="Calibri"/>
                                <w:b/>
                                <w:bCs/>
                                <w:color w:val="000000"/>
                                <w:sz w:val="18"/>
                                <w:szCs w:val="18"/>
                              </w:rPr>
                              <w:t xml:space="preserve"> </w:t>
                            </w:r>
                          </w:p>
                        </w:tc>
                        <w:tc>
                          <w:tcPr>
                            <w:tcW w:w="720" w:type="dxa"/>
                            <w:tcBorders>
                              <w:top w:val="single" w:sz="12" w:space="0" w:color="auto"/>
                              <w:left w:val="single" w:sz="12" w:space="0" w:color="auto"/>
                              <w:bottom w:val="single" w:sz="12" w:space="0" w:color="auto"/>
                              <w:right w:val="single" w:sz="12" w:space="0" w:color="auto"/>
                            </w:tcBorders>
                            <w:tcMar>
                              <w:left w:w="0" w:type="dxa"/>
                              <w:right w:w="0" w:type="dxa"/>
                            </w:tcMar>
                            <w:vAlign w:val="center"/>
                            <w:hideMark/>
                          </w:tcPr>
                          <w:p w:rsidR="00286D75" w:rsidRPr="00FC6893" w:rsidP="00792764" w14:paraId="0670D0F5" w14:textId="2BB9AF23">
                            <w:pPr>
                              <w:spacing w:after="0" w:line="240" w:lineRule="auto"/>
                              <w:jc w:val="center"/>
                              <w:rPr>
                                <w:rFonts w:ascii="Calibri" w:eastAsia="Times New Roman" w:hAnsi="Calibri" w:cs="Calibri"/>
                                <w:b/>
                                <w:bCs/>
                                <w:color w:val="000000"/>
                                <w:sz w:val="18"/>
                                <w:szCs w:val="18"/>
                              </w:rPr>
                            </w:pPr>
                            <w:r w:rsidRPr="00FC6893">
                              <w:rPr>
                                <w:rFonts w:ascii="Calibri" w:eastAsia="Times New Roman" w:hAnsi="Calibri" w:cs="Calibri"/>
                                <w:b/>
                                <w:bCs/>
                                <w:color w:val="000000"/>
                                <w:sz w:val="18"/>
                                <w:szCs w:val="18"/>
                              </w:rPr>
                              <w:t xml:space="preserve">Manager </w:t>
                            </w:r>
                            <w:r w:rsidR="00FD6911">
                              <w:rPr>
                                <w:rFonts w:ascii="Calibri" w:eastAsia="Times New Roman" w:hAnsi="Calibri" w:cs="Calibri"/>
                                <w:b/>
                                <w:bCs/>
                                <w:color w:val="000000"/>
                                <w:sz w:val="18"/>
                                <w:szCs w:val="18"/>
                              </w:rPr>
                              <w:t>(</w:t>
                            </w:r>
                            <w:r w:rsidRPr="00FC6893">
                              <w:rPr>
                                <w:rFonts w:ascii="Calibri" w:eastAsia="Times New Roman" w:hAnsi="Calibri" w:cs="Calibri"/>
                                <w:b/>
                                <w:bCs/>
                                <w:color w:val="000000"/>
                                <w:sz w:val="18"/>
                                <w:szCs w:val="18"/>
                              </w:rPr>
                              <w:t>hr</w:t>
                            </w:r>
                            <w:r w:rsidR="00FD6911">
                              <w:rPr>
                                <w:rFonts w:ascii="Calibri" w:eastAsia="Times New Roman" w:hAnsi="Calibri" w:cs="Calibri"/>
                                <w:b/>
                                <w:bCs/>
                                <w:color w:val="000000"/>
                                <w:sz w:val="18"/>
                                <w:szCs w:val="18"/>
                              </w:rPr>
                              <w:t>/yr</w:t>
                            </w:r>
                            <w:r w:rsidRPr="00FC6893">
                              <w:rPr>
                                <w:rFonts w:ascii="Calibri" w:eastAsia="Times New Roman" w:hAnsi="Calibri" w:cs="Calibri"/>
                                <w:b/>
                                <w:bCs/>
                                <w:color w:val="000000"/>
                                <w:sz w:val="18"/>
                                <w:szCs w:val="18"/>
                              </w:rPr>
                              <w:t>)</w:t>
                            </w:r>
                          </w:p>
                        </w:tc>
                        <w:tc>
                          <w:tcPr>
                            <w:tcW w:w="990" w:type="dxa"/>
                            <w:tcBorders>
                              <w:top w:val="single" w:sz="12" w:space="0" w:color="auto"/>
                              <w:left w:val="single" w:sz="12" w:space="0" w:color="auto"/>
                              <w:bottom w:val="single" w:sz="12" w:space="0" w:color="auto"/>
                              <w:right w:val="single" w:sz="12" w:space="0" w:color="auto"/>
                            </w:tcBorders>
                            <w:tcMar>
                              <w:left w:w="0" w:type="dxa"/>
                              <w:right w:w="0" w:type="dxa"/>
                            </w:tcMar>
                            <w:vAlign w:val="center"/>
                            <w:hideMark/>
                          </w:tcPr>
                          <w:p w:rsidR="00286D75" w:rsidRPr="00FC6893" w:rsidP="00792764" w14:paraId="310CF29D" w14:textId="2F95F908">
                            <w:pPr>
                              <w:spacing w:after="0" w:line="240" w:lineRule="auto"/>
                              <w:jc w:val="center"/>
                              <w:rPr>
                                <w:rFonts w:ascii="Calibri" w:eastAsia="Times New Roman" w:hAnsi="Calibri" w:cs="Calibri"/>
                                <w:b/>
                                <w:bCs/>
                                <w:color w:val="000000"/>
                                <w:sz w:val="18"/>
                                <w:szCs w:val="18"/>
                              </w:rPr>
                            </w:pPr>
                            <w:r w:rsidRPr="00FC6893">
                              <w:rPr>
                                <w:rFonts w:ascii="Calibri" w:eastAsia="Times New Roman" w:hAnsi="Calibri" w:cs="Calibri"/>
                                <w:b/>
                                <w:bCs/>
                                <w:color w:val="000000"/>
                                <w:sz w:val="18"/>
                                <w:szCs w:val="18"/>
                              </w:rPr>
                              <w:t>Technical (hr</w:t>
                            </w:r>
                            <w:r w:rsidR="00FD6911">
                              <w:rPr>
                                <w:rFonts w:ascii="Calibri" w:eastAsia="Times New Roman" w:hAnsi="Calibri" w:cs="Calibri"/>
                                <w:b/>
                                <w:bCs/>
                                <w:color w:val="000000"/>
                                <w:sz w:val="18"/>
                                <w:szCs w:val="18"/>
                              </w:rPr>
                              <w:t>/yr</w:t>
                            </w:r>
                            <w:r w:rsidRPr="00FC6893">
                              <w:rPr>
                                <w:rFonts w:ascii="Calibri" w:eastAsia="Times New Roman" w:hAnsi="Calibri" w:cs="Calibri"/>
                                <w:b/>
                                <w:bCs/>
                                <w:color w:val="000000"/>
                                <w:sz w:val="18"/>
                                <w:szCs w:val="18"/>
                              </w:rPr>
                              <w:t>)</w:t>
                            </w:r>
                          </w:p>
                        </w:tc>
                        <w:tc>
                          <w:tcPr>
                            <w:tcW w:w="810" w:type="dxa"/>
                            <w:tcBorders>
                              <w:top w:val="single" w:sz="12" w:space="0" w:color="auto"/>
                              <w:left w:val="single" w:sz="12" w:space="0" w:color="auto"/>
                              <w:bottom w:val="single" w:sz="12" w:space="0" w:color="auto"/>
                              <w:right w:val="single" w:sz="12" w:space="0" w:color="auto"/>
                            </w:tcBorders>
                            <w:tcMar>
                              <w:left w:w="0" w:type="dxa"/>
                              <w:right w:w="0" w:type="dxa"/>
                            </w:tcMar>
                            <w:vAlign w:val="center"/>
                            <w:hideMark/>
                          </w:tcPr>
                          <w:p w:rsidR="00286D75" w:rsidRPr="00FC6893" w:rsidP="00792764" w14:paraId="58C43FEF" w14:textId="13DBEA3E">
                            <w:pPr>
                              <w:spacing w:after="0" w:line="240" w:lineRule="auto"/>
                              <w:jc w:val="center"/>
                              <w:rPr>
                                <w:rFonts w:ascii="Calibri" w:eastAsia="Times New Roman" w:hAnsi="Calibri" w:cs="Calibri"/>
                                <w:b/>
                                <w:bCs/>
                                <w:color w:val="000000"/>
                                <w:sz w:val="18"/>
                                <w:szCs w:val="18"/>
                              </w:rPr>
                            </w:pPr>
                            <w:r w:rsidRPr="00FC6893">
                              <w:rPr>
                                <w:rFonts w:ascii="Calibri" w:eastAsia="Times New Roman" w:hAnsi="Calibri" w:cs="Calibri"/>
                                <w:b/>
                                <w:bCs/>
                                <w:color w:val="000000"/>
                                <w:sz w:val="18"/>
                                <w:szCs w:val="18"/>
                              </w:rPr>
                              <w:t>Clerical (hr</w:t>
                            </w:r>
                            <w:r w:rsidR="00FD6911">
                              <w:rPr>
                                <w:rFonts w:ascii="Calibri" w:eastAsia="Times New Roman" w:hAnsi="Calibri" w:cs="Calibri"/>
                                <w:b/>
                                <w:bCs/>
                                <w:color w:val="000000"/>
                                <w:sz w:val="18"/>
                                <w:szCs w:val="18"/>
                              </w:rPr>
                              <w:t>/yr</w:t>
                            </w:r>
                            <w:r w:rsidRPr="00FC6893">
                              <w:rPr>
                                <w:rFonts w:ascii="Calibri" w:eastAsia="Times New Roman" w:hAnsi="Calibri" w:cs="Calibri"/>
                                <w:b/>
                                <w:bCs/>
                                <w:color w:val="000000"/>
                                <w:sz w:val="18"/>
                                <w:szCs w:val="18"/>
                              </w:rPr>
                              <w:t>)</w:t>
                            </w:r>
                          </w:p>
                        </w:tc>
                        <w:tc>
                          <w:tcPr>
                            <w:tcW w:w="1170" w:type="dxa"/>
                            <w:tcBorders>
                              <w:top w:val="single" w:sz="12" w:space="0" w:color="auto"/>
                              <w:left w:val="single" w:sz="12" w:space="0" w:color="auto"/>
                              <w:bottom w:val="single" w:sz="12" w:space="0" w:color="auto"/>
                              <w:right w:val="single" w:sz="12" w:space="0" w:color="auto"/>
                            </w:tcBorders>
                            <w:tcMar>
                              <w:left w:w="0" w:type="dxa"/>
                              <w:right w:w="0" w:type="dxa"/>
                            </w:tcMar>
                            <w:vAlign w:val="center"/>
                            <w:hideMark/>
                          </w:tcPr>
                          <w:p w:rsidR="00286D75" w:rsidRPr="00FC6893" w:rsidP="00792764" w14:paraId="7BD597ED" w14:textId="1089038A">
                            <w:pPr>
                              <w:spacing w:after="0" w:line="240" w:lineRule="auto"/>
                              <w:jc w:val="center"/>
                              <w:rPr>
                                <w:rFonts w:ascii="Calibri" w:eastAsia="Times New Roman" w:hAnsi="Calibri" w:cs="Calibri"/>
                                <w:b/>
                                <w:bCs/>
                                <w:color w:val="000000"/>
                                <w:sz w:val="18"/>
                                <w:szCs w:val="18"/>
                              </w:rPr>
                            </w:pPr>
                            <w:r w:rsidRPr="00FC6893">
                              <w:rPr>
                                <w:rFonts w:ascii="Calibri" w:eastAsia="Times New Roman" w:hAnsi="Calibri" w:cs="Calibri"/>
                                <w:b/>
                                <w:bCs/>
                                <w:color w:val="000000"/>
                                <w:sz w:val="18"/>
                                <w:szCs w:val="18"/>
                              </w:rPr>
                              <w:t>Respondent</w:t>
                            </w:r>
                            <w:r w:rsidRPr="00FC6893">
                              <w:rPr>
                                <w:rFonts w:ascii="Calibri" w:eastAsia="Times New Roman" w:hAnsi="Calibri" w:cs="Calibri"/>
                                <w:b/>
                                <w:bCs/>
                                <w:color w:val="000000"/>
                                <w:sz w:val="18"/>
                                <w:szCs w:val="18"/>
                              </w:rPr>
                              <w:t xml:space="preserve"> (hr/yr)</w:t>
                            </w:r>
                          </w:p>
                        </w:tc>
                        <w:tc>
                          <w:tcPr>
                            <w:tcW w:w="990" w:type="dxa"/>
                            <w:tcBorders>
                              <w:top w:val="single" w:sz="12" w:space="0" w:color="auto"/>
                              <w:left w:val="single" w:sz="12" w:space="0" w:color="auto"/>
                              <w:bottom w:val="single" w:sz="12" w:space="0" w:color="auto"/>
                              <w:right w:val="single" w:sz="12" w:space="0" w:color="auto"/>
                            </w:tcBorders>
                            <w:vAlign w:val="center"/>
                            <w:hideMark/>
                          </w:tcPr>
                          <w:p w:rsidR="00286D75" w:rsidRPr="00FC6893" w:rsidP="00286D75" w14:paraId="4C3252B6" w14:textId="7246E11C">
                            <w:pPr>
                              <w:spacing w:after="0" w:line="240" w:lineRule="auto"/>
                              <w:rPr>
                                <w:rFonts w:ascii="Calibri" w:eastAsia="Times New Roman" w:hAnsi="Calibri" w:cs="Calibri"/>
                                <w:b/>
                                <w:bCs/>
                                <w:color w:val="000000"/>
                                <w:sz w:val="18"/>
                                <w:szCs w:val="18"/>
                              </w:rPr>
                            </w:pPr>
                            <w:r w:rsidRPr="00FC6893">
                              <w:rPr>
                                <w:rFonts w:ascii="Calibri" w:eastAsia="Times New Roman" w:hAnsi="Calibri" w:cs="Calibri"/>
                                <w:b/>
                                <w:bCs/>
                                <w:color w:val="000000"/>
                                <w:sz w:val="18"/>
                                <w:szCs w:val="18"/>
                              </w:rPr>
                              <w:t>Labor cost (</w:t>
                            </w:r>
                            <w:r w:rsidR="00542A04">
                              <w:rPr>
                                <w:rFonts w:ascii="Calibri" w:eastAsia="Times New Roman" w:hAnsi="Calibri" w:cs="Calibri"/>
                                <w:b/>
                                <w:bCs/>
                                <w:color w:val="000000"/>
                                <w:sz w:val="18"/>
                                <w:szCs w:val="18"/>
                              </w:rPr>
                              <w:t>$</w:t>
                            </w:r>
                            <w:r w:rsidRPr="00FC6893">
                              <w:rPr>
                                <w:rFonts w:ascii="Calibri" w:eastAsia="Times New Roman" w:hAnsi="Calibri" w:cs="Calibri"/>
                                <w:b/>
                                <w:bCs/>
                                <w:color w:val="000000"/>
                                <w:sz w:val="18"/>
                                <w:szCs w:val="18"/>
                              </w:rPr>
                              <w:t>/</w:t>
                            </w:r>
                            <w:r w:rsidRPr="00FC6893" w:rsidR="000F47D4">
                              <w:rPr>
                                <w:rFonts w:ascii="Calibri" w:eastAsia="Times New Roman" w:hAnsi="Calibri" w:cs="Calibri"/>
                                <w:b/>
                                <w:bCs/>
                                <w:color w:val="000000"/>
                                <w:sz w:val="18"/>
                                <w:szCs w:val="18"/>
                              </w:rPr>
                              <w:t xml:space="preserve"> </w:t>
                            </w:r>
                            <w:r w:rsidRPr="00FC6893">
                              <w:rPr>
                                <w:rFonts w:ascii="Calibri" w:eastAsia="Times New Roman" w:hAnsi="Calibri" w:cs="Calibri"/>
                                <w:b/>
                                <w:bCs/>
                                <w:color w:val="000000"/>
                                <w:sz w:val="18"/>
                                <w:szCs w:val="18"/>
                              </w:rPr>
                              <w:t>respond)</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286D75" w:rsidRPr="00FC6893" w:rsidP="00286D75" w14:paraId="419BF472" w14:textId="47F0C68E">
                            <w:pPr>
                              <w:spacing w:after="0" w:line="240" w:lineRule="auto"/>
                              <w:rPr>
                                <w:rFonts w:ascii="Calibri" w:eastAsia="Times New Roman" w:hAnsi="Calibri" w:cs="Calibri"/>
                                <w:b/>
                                <w:bCs/>
                                <w:color w:val="000000"/>
                                <w:sz w:val="18"/>
                                <w:szCs w:val="18"/>
                              </w:rPr>
                            </w:pPr>
                            <w:r w:rsidRPr="00FC6893">
                              <w:rPr>
                                <w:rFonts w:ascii="Calibri" w:eastAsia="Times New Roman" w:hAnsi="Calibri" w:cs="Calibri"/>
                                <w:b/>
                                <w:bCs/>
                                <w:color w:val="000000"/>
                                <w:sz w:val="18"/>
                                <w:szCs w:val="18"/>
                              </w:rPr>
                              <w:t xml:space="preserve">Number of </w:t>
                            </w:r>
                            <w:r w:rsidRPr="00FC6893" w:rsidR="003D53E3">
                              <w:rPr>
                                <w:rFonts w:ascii="Calibri" w:eastAsia="Times New Roman" w:hAnsi="Calibri" w:cs="Calibri"/>
                                <w:b/>
                                <w:bCs/>
                                <w:color w:val="000000"/>
                                <w:sz w:val="18"/>
                                <w:szCs w:val="18"/>
                              </w:rPr>
                              <w:t>Respondents</w:t>
                            </w:r>
                          </w:p>
                        </w:tc>
                        <w:tc>
                          <w:tcPr>
                            <w:tcW w:w="905" w:type="dxa"/>
                            <w:tcBorders>
                              <w:top w:val="single" w:sz="12" w:space="0" w:color="auto"/>
                              <w:left w:val="single" w:sz="12" w:space="0" w:color="auto"/>
                              <w:bottom w:val="single" w:sz="12" w:space="0" w:color="auto"/>
                              <w:right w:val="single" w:sz="12" w:space="0" w:color="auto"/>
                            </w:tcBorders>
                            <w:vAlign w:val="center"/>
                            <w:hideMark/>
                          </w:tcPr>
                          <w:p w:rsidR="00286D75" w:rsidRPr="00FC6893" w:rsidP="00286D75" w14:paraId="16FD9B93" w14:textId="77777777">
                            <w:pPr>
                              <w:spacing w:after="0" w:line="240" w:lineRule="auto"/>
                              <w:rPr>
                                <w:rFonts w:ascii="Calibri" w:eastAsia="Times New Roman" w:hAnsi="Calibri" w:cs="Calibri"/>
                                <w:b/>
                                <w:bCs/>
                                <w:color w:val="000000"/>
                                <w:sz w:val="18"/>
                                <w:szCs w:val="18"/>
                              </w:rPr>
                            </w:pPr>
                            <w:r w:rsidRPr="00FC6893">
                              <w:rPr>
                                <w:rFonts w:ascii="Calibri" w:eastAsia="Times New Roman" w:hAnsi="Calibri" w:cs="Calibri"/>
                                <w:b/>
                                <w:bCs/>
                                <w:color w:val="000000"/>
                                <w:sz w:val="18"/>
                                <w:szCs w:val="18"/>
                              </w:rPr>
                              <w:t>Total hours/yr</w:t>
                            </w:r>
                          </w:p>
                        </w:tc>
                        <w:tc>
                          <w:tcPr>
                            <w:tcW w:w="910" w:type="dxa"/>
                            <w:tcBorders>
                              <w:top w:val="single" w:sz="12" w:space="0" w:color="auto"/>
                              <w:left w:val="single" w:sz="12" w:space="0" w:color="auto"/>
                              <w:bottom w:val="single" w:sz="12" w:space="0" w:color="auto"/>
                              <w:right w:val="single" w:sz="12" w:space="0" w:color="auto"/>
                            </w:tcBorders>
                            <w:vAlign w:val="center"/>
                            <w:hideMark/>
                          </w:tcPr>
                          <w:p w:rsidR="00286D75" w:rsidRPr="00FC6893" w:rsidP="00286D75" w14:paraId="1A4607EF" w14:textId="77777777">
                            <w:pPr>
                              <w:spacing w:after="0" w:line="240" w:lineRule="auto"/>
                              <w:rPr>
                                <w:rFonts w:ascii="Calibri" w:eastAsia="Times New Roman" w:hAnsi="Calibri" w:cs="Calibri"/>
                                <w:b/>
                                <w:bCs/>
                                <w:color w:val="000000"/>
                                <w:sz w:val="18"/>
                                <w:szCs w:val="18"/>
                              </w:rPr>
                            </w:pPr>
                            <w:r w:rsidRPr="00FC6893">
                              <w:rPr>
                                <w:rFonts w:ascii="Calibri" w:eastAsia="Times New Roman" w:hAnsi="Calibri" w:cs="Calibri"/>
                                <w:b/>
                                <w:bCs/>
                                <w:color w:val="000000"/>
                                <w:sz w:val="18"/>
                                <w:szCs w:val="18"/>
                              </w:rPr>
                              <w:t>Total Labor cost/yr</w:t>
                            </w:r>
                          </w:p>
                        </w:tc>
                      </w:tr>
                      <w:tr w14:paraId="2EBDE1C7" w14:textId="77777777" w:rsidTr="00D8781F">
                        <w:tblPrEx>
                          <w:tblW w:w="9180" w:type="dxa"/>
                          <w:tblInd w:w="-15" w:type="dxa"/>
                          <w:tblLayout w:type="fixed"/>
                          <w:tblLook w:val="04A0"/>
                        </w:tblPrEx>
                        <w:trPr>
                          <w:trHeight w:val="1240"/>
                        </w:trPr>
                        <w:tc>
                          <w:tcPr>
                            <w:tcW w:w="1425" w:type="dxa"/>
                            <w:tcBorders>
                              <w:top w:val="single" w:sz="12" w:space="0" w:color="auto"/>
                              <w:left w:val="single" w:sz="12" w:space="0" w:color="auto"/>
                              <w:bottom w:val="single" w:sz="4" w:space="0" w:color="auto"/>
                              <w:right w:val="single" w:sz="12" w:space="0" w:color="auto"/>
                            </w:tcBorders>
                            <w:vAlign w:val="center"/>
                            <w:hideMark/>
                          </w:tcPr>
                          <w:p w:rsidR="00286D75" w:rsidRPr="00792764" w:rsidP="00286D75" w14:paraId="3CD5AA61" w14:textId="77777777">
                            <w:pPr>
                              <w:spacing w:after="0" w:line="240" w:lineRule="auto"/>
                              <w:rPr>
                                <w:rFonts w:ascii="Calibri" w:eastAsia="Times New Roman" w:hAnsi="Calibri" w:cs="Calibri"/>
                                <w:color w:val="000000"/>
                                <w:sz w:val="18"/>
                                <w:szCs w:val="18"/>
                              </w:rPr>
                            </w:pPr>
                            <w:r w:rsidRPr="00792764">
                              <w:rPr>
                                <w:rFonts w:ascii="Calibri" w:eastAsia="Times New Roman" w:hAnsi="Calibri" w:cs="Calibri"/>
                                <w:color w:val="000000"/>
                                <w:sz w:val="18"/>
                                <w:szCs w:val="18"/>
                              </w:rPr>
                              <w:t>Read and understand the regulatory provision (Mgmt)</w:t>
                            </w:r>
                          </w:p>
                        </w:tc>
                        <w:tc>
                          <w:tcPr>
                            <w:tcW w:w="720" w:type="dxa"/>
                            <w:tcBorders>
                              <w:top w:val="single" w:sz="12" w:space="0" w:color="auto"/>
                              <w:left w:val="single" w:sz="12" w:space="0" w:color="auto"/>
                              <w:bottom w:val="single" w:sz="4" w:space="0" w:color="auto"/>
                              <w:right w:val="single" w:sz="4" w:space="0" w:color="auto"/>
                            </w:tcBorders>
                            <w:vAlign w:val="center"/>
                            <w:hideMark/>
                          </w:tcPr>
                          <w:p w:rsidR="00286D75" w:rsidRPr="00792764" w:rsidP="00286D75" w14:paraId="6BF60FB8"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2</w:t>
                            </w:r>
                          </w:p>
                        </w:tc>
                        <w:tc>
                          <w:tcPr>
                            <w:tcW w:w="990" w:type="dxa"/>
                            <w:tcBorders>
                              <w:top w:val="single" w:sz="12" w:space="0" w:color="auto"/>
                              <w:left w:val="nil"/>
                              <w:bottom w:val="single" w:sz="4" w:space="0" w:color="auto"/>
                              <w:right w:val="single" w:sz="4" w:space="0" w:color="auto"/>
                            </w:tcBorders>
                            <w:vAlign w:val="center"/>
                            <w:hideMark/>
                          </w:tcPr>
                          <w:p w:rsidR="00286D75" w:rsidRPr="00792764" w:rsidP="00286D75" w14:paraId="59C606CB"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w:t>
                            </w:r>
                          </w:p>
                        </w:tc>
                        <w:tc>
                          <w:tcPr>
                            <w:tcW w:w="810" w:type="dxa"/>
                            <w:tcBorders>
                              <w:top w:val="single" w:sz="12" w:space="0" w:color="auto"/>
                              <w:left w:val="nil"/>
                              <w:bottom w:val="single" w:sz="4" w:space="0" w:color="auto"/>
                              <w:right w:val="single" w:sz="4" w:space="0" w:color="auto"/>
                            </w:tcBorders>
                            <w:vAlign w:val="center"/>
                            <w:hideMark/>
                          </w:tcPr>
                          <w:p w:rsidR="00286D75" w:rsidRPr="00792764" w:rsidP="00286D75" w14:paraId="1CFF8AD1"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w:t>
                            </w:r>
                          </w:p>
                        </w:tc>
                        <w:tc>
                          <w:tcPr>
                            <w:tcW w:w="1170" w:type="dxa"/>
                            <w:tcBorders>
                              <w:top w:val="single" w:sz="12" w:space="0" w:color="auto"/>
                              <w:left w:val="nil"/>
                              <w:bottom w:val="single" w:sz="4" w:space="0" w:color="auto"/>
                              <w:right w:val="single" w:sz="8" w:space="0" w:color="auto"/>
                            </w:tcBorders>
                            <w:vAlign w:val="center"/>
                            <w:hideMark/>
                          </w:tcPr>
                          <w:p w:rsidR="00286D75" w:rsidRPr="00792764" w:rsidP="00286D75" w14:paraId="127D2B13"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2</w:t>
                            </w:r>
                          </w:p>
                        </w:tc>
                        <w:tc>
                          <w:tcPr>
                            <w:tcW w:w="990" w:type="dxa"/>
                            <w:tcBorders>
                              <w:top w:val="single" w:sz="12" w:space="0" w:color="auto"/>
                              <w:left w:val="single" w:sz="12" w:space="0" w:color="auto"/>
                              <w:bottom w:val="single" w:sz="4" w:space="0" w:color="auto"/>
                              <w:right w:val="single" w:sz="4" w:space="0" w:color="auto"/>
                            </w:tcBorders>
                            <w:vAlign w:val="center"/>
                            <w:hideMark/>
                          </w:tcPr>
                          <w:p w:rsidR="00286D75" w:rsidRPr="00792764" w:rsidP="00286D75" w14:paraId="66EA45C0"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xml:space="preserve">$267 </w:t>
                            </w:r>
                          </w:p>
                        </w:tc>
                        <w:tc>
                          <w:tcPr>
                            <w:tcW w:w="1260" w:type="dxa"/>
                            <w:tcBorders>
                              <w:top w:val="single" w:sz="12" w:space="0" w:color="auto"/>
                              <w:left w:val="nil"/>
                              <w:bottom w:val="single" w:sz="4" w:space="0" w:color="auto"/>
                              <w:right w:val="single" w:sz="4" w:space="0" w:color="auto"/>
                            </w:tcBorders>
                            <w:vAlign w:val="center"/>
                            <w:hideMark/>
                          </w:tcPr>
                          <w:p w:rsidR="00286D75" w:rsidRPr="00792764" w:rsidP="00286D75" w14:paraId="4482CC63"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21</w:t>
                            </w:r>
                          </w:p>
                        </w:tc>
                        <w:tc>
                          <w:tcPr>
                            <w:tcW w:w="905" w:type="dxa"/>
                            <w:tcBorders>
                              <w:top w:val="single" w:sz="12" w:space="0" w:color="auto"/>
                              <w:left w:val="nil"/>
                              <w:bottom w:val="single" w:sz="4" w:space="0" w:color="auto"/>
                              <w:right w:val="single" w:sz="4" w:space="0" w:color="auto"/>
                            </w:tcBorders>
                            <w:vAlign w:val="center"/>
                            <w:hideMark/>
                          </w:tcPr>
                          <w:p w:rsidR="00286D75" w:rsidRPr="00792764" w:rsidP="00286D75" w14:paraId="68E7D28C"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42</w:t>
                            </w:r>
                          </w:p>
                        </w:tc>
                        <w:tc>
                          <w:tcPr>
                            <w:tcW w:w="910" w:type="dxa"/>
                            <w:tcBorders>
                              <w:top w:val="single" w:sz="12" w:space="0" w:color="auto"/>
                              <w:left w:val="nil"/>
                              <w:bottom w:val="single" w:sz="4" w:space="0" w:color="auto"/>
                              <w:right w:val="single" w:sz="12" w:space="0" w:color="auto"/>
                            </w:tcBorders>
                            <w:vAlign w:val="center"/>
                            <w:hideMark/>
                          </w:tcPr>
                          <w:p w:rsidR="00286D75" w:rsidRPr="00792764" w:rsidP="00286D75" w14:paraId="208523DF"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xml:space="preserve">$5,607 </w:t>
                            </w:r>
                          </w:p>
                        </w:tc>
                      </w:tr>
                      <w:tr w14:paraId="3CA8CA18" w14:textId="77777777" w:rsidTr="00D8781F">
                        <w:tblPrEx>
                          <w:tblW w:w="9180" w:type="dxa"/>
                          <w:tblInd w:w="-15" w:type="dxa"/>
                          <w:tblLayout w:type="fixed"/>
                          <w:tblLook w:val="04A0"/>
                        </w:tblPrEx>
                        <w:trPr>
                          <w:trHeight w:val="930"/>
                        </w:trPr>
                        <w:tc>
                          <w:tcPr>
                            <w:tcW w:w="1425" w:type="dxa"/>
                            <w:tcBorders>
                              <w:top w:val="nil"/>
                              <w:left w:val="single" w:sz="12" w:space="0" w:color="auto"/>
                              <w:bottom w:val="single" w:sz="4" w:space="0" w:color="auto"/>
                              <w:right w:val="single" w:sz="12" w:space="0" w:color="auto"/>
                            </w:tcBorders>
                            <w:vAlign w:val="center"/>
                            <w:hideMark/>
                          </w:tcPr>
                          <w:p w:rsidR="00286D75" w:rsidRPr="00792764" w:rsidP="00286D75" w14:paraId="458B58DF" w14:textId="77777777">
                            <w:pPr>
                              <w:spacing w:after="0" w:line="240" w:lineRule="auto"/>
                              <w:rPr>
                                <w:rFonts w:ascii="Calibri" w:eastAsia="Times New Roman" w:hAnsi="Calibri" w:cs="Calibri"/>
                                <w:color w:val="000000"/>
                                <w:sz w:val="18"/>
                                <w:szCs w:val="18"/>
                              </w:rPr>
                            </w:pPr>
                            <w:r w:rsidRPr="00792764">
                              <w:rPr>
                                <w:rFonts w:ascii="Calibri" w:eastAsia="Times New Roman" w:hAnsi="Calibri" w:cs="Calibri"/>
                                <w:color w:val="000000"/>
                                <w:sz w:val="18"/>
                                <w:szCs w:val="18"/>
                              </w:rPr>
                              <w:t>Acquire Instrumentation (Mgmt)</w:t>
                            </w:r>
                          </w:p>
                        </w:tc>
                        <w:tc>
                          <w:tcPr>
                            <w:tcW w:w="720" w:type="dxa"/>
                            <w:tcBorders>
                              <w:top w:val="nil"/>
                              <w:left w:val="single" w:sz="12" w:space="0" w:color="auto"/>
                              <w:bottom w:val="single" w:sz="4" w:space="0" w:color="auto"/>
                              <w:right w:val="single" w:sz="4" w:space="0" w:color="auto"/>
                            </w:tcBorders>
                            <w:vAlign w:val="center"/>
                            <w:hideMark/>
                          </w:tcPr>
                          <w:p w:rsidR="00286D75" w:rsidRPr="00792764" w:rsidP="00286D75" w14:paraId="0DDD4B17"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5</w:t>
                            </w:r>
                          </w:p>
                        </w:tc>
                        <w:tc>
                          <w:tcPr>
                            <w:tcW w:w="990" w:type="dxa"/>
                            <w:tcBorders>
                              <w:top w:val="nil"/>
                              <w:left w:val="nil"/>
                              <w:bottom w:val="single" w:sz="4" w:space="0" w:color="auto"/>
                              <w:right w:val="single" w:sz="4" w:space="0" w:color="auto"/>
                            </w:tcBorders>
                            <w:vAlign w:val="center"/>
                            <w:hideMark/>
                          </w:tcPr>
                          <w:p w:rsidR="00286D75" w:rsidRPr="00792764" w:rsidP="00286D75" w14:paraId="7D96704B"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w:t>
                            </w:r>
                          </w:p>
                        </w:tc>
                        <w:tc>
                          <w:tcPr>
                            <w:tcW w:w="810" w:type="dxa"/>
                            <w:tcBorders>
                              <w:top w:val="nil"/>
                              <w:left w:val="nil"/>
                              <w:bottom w:val="single" w:sz="4" w:space="0" w:color="auto"/>
                              <w:right w:val="single" w:sz="4" w:space="0" w:color="auto"/>
                            </w:tcBorders>
                            <w:vAlign w:val="center"/>
                            <w:hideMark/>
                          </w:tcPr>
                          <w:p w:rsidR="00286D75" w:rsidRPr="00792764" w:rsidP="00286D75" w14:paraId="0F5EDD44"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w:t>
                            </w:r>
                          </w:p>
                        </w:tc>
                        <w:tc>
                          <w:tcPr>
                            <w:tcW w:w="1170" w:type="dxa"/>
                            <w:tcBorders>
                              <w:top w:val="nil"/>
                              <w:left w:val="nil"/>
                              <w:bottom w:val="single" w:sz="4" w:space="0" w:color="auto"/>
                              <w:right w:val="single" w:sz="8" w:space="0" w:color="auto"/>
                            </w:tcBorders>
                            <w:vAlign w:val="center"/>
                            <w:hideMark/>
                          </w:tcPr>
                          <w:p w:rsidR="00286D75" w:rsidRPr="00792764" w:rsidP="00286D75" w14:paraId="455B427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5</w:t>
                            </w:r>
                          </w:p>
                        </w:tc>
                        <w:tc>
                          <w:tcPr>
                            <w:tcW w:w="990" w:type="dxa"/>
                            <w:tcBorders>
                              <w:top w:val="nil"/>
                              <w:left w:val="single" w:sz="12" w:space="0" w:color="auto"/>
                              <w:bottom w:val="single" w:sz="4" w:space="0" w:color="auto"/>
                              <w:right w:val="single" w:sz="4" w:space="0" w:color="auto"/>
                            </w:tcBorders>
                            <w:vAlign w:val="center"/>
                            <w:hideMark/>
                          </w:tcPr>
                          <w:p w:rsidR="00286D75" w:rsidRPr="00792764" w:rsidP="00286D75" w14:paraId="59116AA7"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xml:space="preserve">$668 </w:t>
                            </w:r>
                          </w:p>
                        </w:tc>
                        <w:tc>
                          <w:tcPr>
                            <w:tcW w:w="1260" w:type="dxa"/>
                            <w:tcBorders>
                              <w:top w:val="nil"/>
                              <w:left w:val="nil"/>
                              <w:bottom w:val="single" w:sz="4" w:space="0" w:color="auto"/>
                              <w:right w:val="single" w:sz="4" w:space="0" w:color="auto"/>
                            </w:tcBorders>
                            <w:vAlign w:val="center"/>
                            <w:hideMark/>
                          </w:tcPr>
                          <w:p w:rsidR="00286D75" w:rsidRPr="00792764" w:rsidP="00286D75" w14:paraId="0C3574F1"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15</w:t>
                            </w:r>
                          </w:p>
                        </w:tc>
                        <w:tc>
                          <w:tcPr>
                            <w:tcW w:w="905" w:type="dxa"/>
                            <w:tcBorders>
                              <w:top w:val="nil"/>
                              <w:left w:val="nil"/>
                              <w:bottom w:val="single" w:sz="4" w:space="0" w:color="auto"/>
                              <w:right w:val="single" w:sz="4" w:space="0" w:color="auto"/>
                            </w:tcBorders>
                            <w:vAlign w:val="center"/>
                            <w:hideMark/>
                          </w:tcPr>
                          <w:p w:rsidR="00286D75" w:rsidRPr="00792764" w:rsidP="00286D75" w14:paraId="79D40715"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75</w:t>
                            </w:r>
                          </w:p>
                        </w:tc>
                        <w:tc>
                          <w:tcPr>
                            <w:tcW w:w="910" w:type="dxa"/>
                            <w:tcBorders>
                              <w:top w:val="nil"/>
                              <w:left w:val="nil"/>
                              <w:bottom w:val="single" w:sz="4" w:space="0" w:color="auto"/>
                              <w:right w:val="single" w:sz="12" w:space="0" w:color="auto"/>
                            </w:tcBorders>
                            <w:vAlign w:val="center"/>
                            <w:hideMark/>
                          </w:tcPr>
                          <w:p w:rsidR="00286D75" w:rsidRPr="00792764" w:rsidP="00286D75" w14:paraId="5620A00C"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xml:space="preserve">$10,013 </w:t>
                            </w:r>
                          </w:p>
                        </w:tc>
                      </w:tr>
                      <w:tr w14:paraId="0BB7F2F3" w14:textId="77777777" w:rsidTr="00D8781F">
                        <w:tblPrEx>
                          <w:tblW w:w="9180" w:type="dxa"/>
                          <w:tblInd w:w="-15" w:type="dxa"/>
                          <w:tblLayout w:type="fixed"/>
                          <w:tblLook w:val="04A0"/>
                        </w:tblPrEx>
                        <w:trPr>
                          <w:trHeight w:val="1121"/>
                        </w:trPr>
                        <w:tc>
                          <w:tcPr>
                            <w:tcW w:w="1425" w:type="dxa"/>
                            <w:tcBorders>
                              <w:top w:val="nil"/>
                              <w:left w:val="single" w:sz="12" w:space="0" w:color="auto"/>
                              <w:bottom w:val="single" w:sz="4" w:space="0" w:color="auto"/>
                              <w:right w:val="single" w:sz="12" w:space="0" w:color="auto"/>
                            </w:tcBorders>
                            <w:vAlign w:val="center"/>
                            <w:hideMark/>
                          </w:tcPr>
                          <w:p w:rsidR="00286D75" w:rsidRPr="00792764" w:rsidP="00286D75" w14:paraId="325DDD7A" w14:textId="77777777">
                            <w:pPr>
                              <w:spacing w:after="0" w:line="240" w:lineRule="auto"/>
                              <w:rPr>
                                <w:rFonts w:ascii="Calibri" w:eastAsia="Times New Roman" w:hAnsi="Calibri" w:cs="Calibri"/>
                                <w:color w:val="000000"/>
                                <w:sz w:val="18"/>
                                <w:szCs w:val="18"/>
                              </w:rPr>
                            </w:pPr>
                            <w:r w:rsidRPr="00792764">
                              <w:rPr>
                                <w:rFonts w:ascii="Calibri" w:eastAsia="Times New Roman" w:hAnsi="Calibri" w:cs="Calibri"/>
                                <w:color w:val="000000"/>
                                <w:sz w:val="18"/>
                                <w:szCs w:val="18"/>
                              </w:rPr>
                              <w:t>Train technician to perform inspection (Mgmt./Tech)</w:t>
                            </w:r>
                          </w:p>
                        </w:tc>
                        <w:tc>
                          <w:tcPr>
                            <w:tcW w:w="720" w:type="dxa"/>
                            <w:tcBorders>
                              <w:top w:val="nil"/>
                              <w:left w:val="single" w:sz="12" w:space="0" w:color="auto"/>
                              <w:bottom w:val="single" w:sz="4" w:space="0" w:color="auto"/>
                              <w:right w:val="single" w:sz="4" w:space="0" w:color="auto"/>
                            </w:tcBorders>
                            <w:vAlign w:val="center"/>
                            <w:hideMark/>
                          </w:tcPr>
                          <w:p w:rsidR="00286D75" w:rsidRPr="00792764" w:rsidP="00286D75" w14:paraId="5606543B"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8</w:t>
                            </w:r>
                          </w:p>
                        </w:tc>
                        <w:tc>
                          <w:tcPr>
                            <w:tcW w:w="990" w:type="dxa"/>
                            <w:tcBorders>
                              <w:top w:val="nil"/>
                              <w:left w:val="nil"/>
                              <w:bottom w:val="single" w:sz="4" w:space="0" w:color="auto"/>
                              <w:right w:val="single" w:sz="4" w:space="0" w:color="auto"/>
                            </w:tcBorders>
                            <w:vAlign w:val="center"/>
                            <w:hideMark/>
                          </w:tcPr>
                          <w:p w:rsidR="00286D75" w:rsidRPr="00792764" w:rsidP="00286D75" w14:paraId="4BDA3D24"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8</w:t>
                            </w:r>
                          </w:p>
                        </w:tc>
                        <w:tc>
                          <w:tcPr>
                            <w:tcW w:w="810" w:type="dxa"/>
                            <w:tcBorders>
                              <w:top w:val="nil"/>
                              <w:left w:val="nil"/>
                              <w:bottom w:val="single" w:sz="4" w:space="0" w:color="auto"/>
                              <w:right w:val="single" w:sz="4" w:space="0" w:color="auto"/>
                            </w:tcBorders>
                            <w:vAlign w:val="center"/>
                            <w:hideMark/>
                          </w:tcPr>
                          <w:p w:rsidR="00286D75" w:rsidRPr="00792764" w:rsidP="00286D75" w14:paraId="0E686287"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w:t>
                            </w:r>
                          </w:p>
                        </w:tc>
                        <w:tc>
                          <w:tcPr>
                            <w:tcW w:w="1170" w:type="dxa"/>
                            <w:tcBorders>
                              <w:top w:val="nil"/>
                              <w:left w:val="nil"/>
                              <w:bottom w:val="single" w:sz="4" w:space="0" w:color="auto"/>
                              <w:right w:val="single" w:sz="8" w:space="0" w:color="auto"/>
                            </w:tcBorders>
                            <w:vAlign w:val="center"/>
                            <w:hideMark/>
                          </w:tcPr>
                          <w:p w:rsidR="00286D75" w:rsidRPr="00792764" w:rsidP="00286D75" w14:paraId="55987D5A"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16</w:t>
                            </w:r>
                          </w:p>
                        </w:tc>
                        <w:tc>
                          <w:tcPr>
                            <w:tcW w:w="990" w:type="dxa"/>
                            <w:tcBorders>
                              <w:top w:val="nil"/>
                              <w:left w:val="single" w:sz="12" w:space="0" w:color="auto"/>
                              <w:bottom w:val="single" w:sz="4" w:space="0" w:color="auto"/>
                              <w:right w:val="single" w:sz="4" w:space="0" w:color="auto"/>
                            </w:tcBorders>
                            <w:vAlign w:val="center"/>
                            <w:hideMark/>
                          </w:tcPr>
                          <w:p w:rsidR="00286D75" w:rsidRPr="00792764" w:rsidP="00286D75" w14:paraId="560DDB42"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xml:space="preserve">$1,796 </w:t>
                            </w:r>
                          </w:p>
                        </w:tc>
                        <w:tc>
                          <w:tcPr>
                            <w:tcW w:w="1260" w:type="dxa"/>
                            <w:tcBorders>
                              <w:top w:val="nil"/>
                              <w:left w:val="nil"/>
                              <w:bottom w:val="single" w:sz="4" w:space="0" w:color="auto"/>
                              <w:right w:val="single" w:sz="4" w:space="0" w:color="auto"/>
                            </w:tcBorders>
                            <w:vAlign w:val="center"/>
                            <w:hideMark/>
                          </w:tcPr>
                          <w:p w:rsidR="00286D75" w:rsidRPr="00792764" w:rsidP="00286D75" w14:paraId="6CA14C97"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21</w:t>
                            </w:r>
                          </w:p>
                        </w:tc>
                        <w:tc>
                          <w:tcPr>
                            <w:tcW w:w="905" w:type="dxa"/>
                            <w:tcBorders>
                              <w:top w:val="nil"/>
                              <w:left w:val="nil"/>
                              <w:bottom w:val="single" w:sz="4" w:space="0" w:color="auto"/>
                              <w:right w:val="single" w:sz="4" w:space="0" w:color="auto"/>
                            </w:tcBorders>
                            <w:vAlign w:val="center"/>
                            <w:hideMark/>
                          </w:tcPr>
                          <w:p w:rsidR="00286D75" w:rsidRPr="00792764" w:rsidP="00286D75" w14:paraId="03041FFD"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336</w:t>
                            </w:r>
                          </w:p>
                        </w:tc>
                        <w:tc>
                          <w:tcPr>
                            <w:tcW w:w="910" w:type="dxa"/>
                            <w:tcBorders>
                              <w:top w:val="nil"/>
                              <w:left w:val="nil"/>
                              <w:bottom w:val="single" w:sz="4" w:space="0" w:color="auto"/>
                              <w:right w:val="single" w:sz="12" w:space="0" w:color="auto"/>
                            </w:tcBorders>
                            <w:vAlign w:val="center"/>
                            <w:hideMark/>
                          </w:tcPr>
                          <w:p w:rsidR="00286D75" w:rsidRPr="00792764" w:rsidP="00286D75" w14:paraId="504BEC60"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xml:space="preserve">$37,716 </w:t>
                            </w:r>
                          </w:p>
                        </w:tc>
                      </w:tr>
                      <w:tr w14:paraId="1F346187" w14:textId="77777777" w:rsidTr="00D8781F">
                        <w:tblPrEx>
                          <w:tblW w:w="9180" w:type="dxa"/>
                          <w:tblInd w:w="-15" w:type="dxa"/>
                          <w:tblLayout w:type="fixed"/>
                          <w:tblLook w:val="04A0"/>
                        </w:tblPrEx>
                        <w:trPr>
                          <w:trHeight w:val="1560"/>
                        </w:trPr>
                        <w:tc>
                          <w:tcPr>
                            <w:tcW w:w="1425" w:type="dxa"/>
                            <w:tcBorders>
                              <w:top w:val="nil"/>
                              <w:left w:val="single" w:sz="12" w:space="0" w:color="auto"/>
                              <w:bottom w:val="single" w:sz="12" w:space="0" w:color="auto"/>
                              <w:right w:val="single" w:sz="12" w:space="0" w:color="auto"/>
                            </w:tcBorders>
                            <w:vAlign w:val="center"/>
                            <w:hideMark/>
                          </w:tcPr>
                          <w:p w:rsidR="00286D75" w:rsidRPr="00792764" w:rsidP="00286D75" w14:paraId="2AF0171D" w14:textId="77777777">
                            <w:pPr>
                              <w:spacing w:after="0" w:line="240" w:lineRule="auto"/>
                              <w:rPr>
                                <w:rFonts w:ascii="Calibri" w:eastAsia="Times New Roman" w:hAnsi="Calibri" w:cs="Calibri"/>
                                <w:color w:val="000000"/>
                                <w:sz w:val="18"/>
                                <w:szCs w:val="18"/>
                              </w:rPr>
                            </w:pPr>
                            <w:r w:rsidRPr="00792764">
                              <w:rPr>
                                <w:rFonts w:ascii="Calibri" w:eastAsia="Times New Roman" w:hAnsi="Calibri" w:cs="Calibri"/>
                                <w:color w:val="000000"/>
                                <w:sz w:val="18"/>
                                <w:szCs w:val="18"/>
                              </w:rPr>
                              <w:t>Perform inspection to determine presence of liquid (Tech.)</w:t>
                            </w:r>
                          </w:p>
                        </w:tc>
                        <w:tc>
                          <w:tcPr>
                            <w:tcW w:w="720" w:type="dxa"/>
                            <w:tcBorders>
                              <w:top w:val="nil"/>
                              <w:left w:val="single" w:sz="12" w:space="0" w:color="auto"/>
                              <w:bottom w:val="single" w:sz="12" w:space="0" w:color="auto"/>
                              <w:right w:val="single" w:sz="4" w:space="0" w:color="auto"/>
                            </w:tcBorders>
                            <w:vAlign w:val="center"/>
                            <w:hideMark/>
                          </w:tcPr>
                          <w:p w:rsidR="00286D75" w:rsidRPr="00792764" w:rsidP="00286D75" w14:paraId="57B38E46"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w:t>
                            </w:r>
                          </w:p>
                        </w:tc>
                        <w:tc>
                          <w:tcPr>
                            <w:tcW w:w="990" w:type="dxa"/>
                            <w:tcBorders>
                              <w:top w:val="nil"/>
                              <w:left w:val="nil"/>
                              <w:bottom w:val="single" w:sz="12" w:space="0" w:color="auto"/>
                              <w:right w:val="single" w:sz="4" w:space="0" w:color="auto"/>
                            </w:tcBorders>
                            <w:vAlign w:val="center"/>
                            <w:hideMark/>
                          </w:tcPr>
                          <w:p w:rsidR="00286D75" w:rsidRPr="00792764" w:rsidP="00286D75" w14:paraId="1E65EBFF"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240</w:t>
                            </w:r>
                          </w:p>
                        </w:tc>
                        <w:tc>
                          <w:tcPr>
                            <w:tcW w:w="810" w:type="dxa"/>
                            <w:tcBorders>
                              <w:top w:val="nil"/>
                              <w:left w:val="nil"/>
                              <w:bottom w:val="single" w:sz="12" w:space="0" w:color="auto"/>
                              <w:right w:val="single" w:sz="4" w:space="0" w:color="auto"/>
                            </w:tcBorders>
                            <w:vAlign w:val="center"/>
                            <w:hideMark/>
                          </w:tcPr>
                          <w:p w:rsidR="00286D75" w:rsidRPr="00792764" w:rsidP="00286D75" w14:paraId="471B63F0"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w:t>
                            </w:r>
                          </w:p>
                        </w:tc>
                        <w:tc>
                          <w:tcPr>
                            <w:tcW w:w="1170" w:type="dxa"/>
                            <w:tcBorders>
                              <w:top w:val="nil"/>
                              <w:left w:val="nil"/>
                              <w:bottom w:val="single" w:sz="12" w:space="0" w:color="auto"/>
                              <w:right w:val="single" w:sz="8" w:space="0" w:color="auto"/>
                            </w:tcBorders>
                            <w:vAlign w:val="center"/>
                            <w:hideMark/>
                          </w:tcPr>
                          <w:p w:rsidR="00286D75" w:rsidRPr="00792764" w:rsidP="00286D75" w14:paraId="00D5C0EA"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240</w:t>
                            </w:r>
                          </w:p>
                        </w:tc>
                        <w:tc>
                          <w:tcPr>
                            <w:tcW w:w="990" w:type="dxa"/>
                            <w:tcBorders>
                              <w:top w:val="nil"/>
                              <w:left w:val="single" w:sz="12" w:space="0" w:color="auto"/>
                              <w:bottom w:val="single" w:sz="12" w:space="0" w:color="auto"/>
                              <w:right w:val="single" w:sz="4" w:space="0" w:color="auto"/>
                            </w:tcBorders>
                            <w:vAlign w:val="center"/>
                            <w:hideMark/>
                          </w:tcPr>
                          <w:p w:rsidR="00286D75" w:rsidRPr="00792764" w:rsidP="00286D75" w14:paraId="23567281"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xml:space="preserve">$21,840 </w:t>
                            </w:r>
                          </w:p>
                        </w:tc>
                        <w:tc>
                          <w:tcPr>
                            <w:tcW w:w="1260" w:type="dxa"/>
                            <w:tcBorders>
                              <w:top w:val="nil"/>
                              <w:left w:val="nil"/>
                              <w:bottom w:val="single" w:sz="12" w:space="0" w:color="auto"/>
                              <w:right w:val="single" w:sz="4" w:space="0" w:color="auto"/>
                            </w:tcBorders>
                            <w:vAlign w:val="center"/>
                            <w:hideMark/>
                          </w:tcPr>
                          <w:p w:rsidR="00286D75" w:rsidRPr="00792764" w:rsidP="00286D75" w14:paraId="467379C2"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21</w:t>
                            </w:r>
                          </w:p>
                        </w:tc>
                        <w:tc>
                          <w:tcPr>
                            <w:tcW w:w="905" w:type="dxa"/>
                            <w:tcBorders>
                              <w:top w:val="nil"/>
                              <w:left w:val="nil"/>
                              <w:bottom w:val="single" w:sz="12" w:space="0" w:color="auto"/>
                              <w:right w:val="single" w:sz="4" w:space="0" w:color="auto"/>
                            </w:tcBorders>
                            <w:vAlign w:val="center"/>
                            <w:hideMark/>
                          </w:tcPr>
                          <w:p w:rsidR="00286D75" w:rsidRPr="00792764" w:rsidP="00286D75" w14:paraId="5712E3F9"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5040</w:t>
                            </w:r>
                          </w:p>
                        </w:tc>
                        <w:tc>
                          <w:tcPr>
                            <w:tcW w:w="910" w:type="dxa"/>
                            <w:tcBorders>
                              <w:top w:val="nil"/>
                              <w:left w:val="nil"/>
                              <w:bottom w:val="single" w:sz="12" w:space="0" w:color="auto"/>
                              <w:right w:val="single" w:sz="12" w:space="0" w:color="auto"/>
                            </w:tcBorders>
                            <w:vAlign w:val="center"/>
                            <w:hideMark/>
                          </w:tcPr>
                          <w:p w:rsidR="00286D75" w:rsidRPr="00792764" w:rsidP="00286D75" w14:paraId="0AC0BD8C"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xml:space="preserve">$458,640 </w:t>
                            </w:r>
                          </w:p>
                        </w:tc>
                      </w:tr>
                      <w:tr w14:paraId="1ADABBDC" w14:textId="77777777" w:rsidTr="003D1FCB">
                        <w:tblPrEx>
                          <w:tblW w:w="9180" w:type="dxa"/>
                          <w:tblInd w:w="-15" w:type="dxa"/>
                          <w:tblLayout w:type="fixed"/>
                          <w:tblLook w:val="04A0"/>
                        </w:tblPrEx>
                        <w:trPr>
                          <w:trHeight w:val="330"/>
                        </w:trPr>
                        <w:tc>
                          <w:tcPr>
                            <w:tcW w:w="5115" w:type="dxa"/>
                            <w:gridSpan w:val="5"/>
                            <w:tcBorders>
                              <w:top w:val="single" w:sz="12" w:space="0" w:color="auto"/>
                              <w:left w:val="single" w:sz="12" w:space="0" w:color="auto"/>
                              <w:bottom w:val="single" w:sz="12" w:space="0" w:color="auto"/>
                              <w:right w:val="single" w:sz="12" w:space="0" w:color="auto"/>
                            </w:tcBorders>
                            <w:vAlign w:val="center"/>
                            <w:hideMark/>
                          </w:tcPr>
                          <w:p w:rsidR="00286D75" w:rsidRPr="00835B1F" w:rsidP="00286D75" w14:paraId="378E3E54" w14:textId="77777777">
                            <w:pPr>
                              <w:spacing w:after="0" w:line="240" w:lineRule="auto"/>
                              <w:jc w:val="center"/>
                              <w:rPr>
                                <w:rFonts w:ascii="Calibri" w:eastAsia="Times New Roman" w:hAnsi="Calibri" w:cs="Calibri"/>
                                <w:b/>
                                <w:bCs/>
                                <w:color w:val="000000"/>
                                <w:sz w:val="20"/>
                                <w:szCs w:val="20"/>
                              </w:rPr>
                            </w:pPr>
                            <w:r w:rsidRPr="00835B1F">
                              <w:rPr>
                                <w:rFonts w:ascii="Calibri" w:eastAsia="Times New Roman" w:hAnsi="Calibri" w:cs="Calibri"/>
                                <w:b/>
                                <w:bCs/>
                                <w:color w:val="000000"/>
                                <w:sz w:val="20"/>
                                <w:szCs w:val="20"/>
                              </w:rPr>
                              <w:t>Record Keeping Burden (hours)</w:t>
                            </w:r>
                          </w:p>
                        </w:tc>
                        <w:tc>
                          <w:tcPr>
                            <w:tcW w:w="4065" w:type="dxa"/>
                            <w:gridSpan w:val="4"/>
                            <w:tcBorders>
                              <w:top w:val="single" w:sz="12" w:space="0" w:color="auto"/>
                              <w:left w:val="single" w:sz="12" w:space="0" w:color="auto"/>
                              <w:bottom w:val="single" w:sz="12" w:space="0" w:color="auto"/>
                              <w:right w:val="single" w:sz="12" w:space="0" w:color="auto"/>
                            </w:tcBorders>
                            <w:vAlign w:val="center"/>
                            <w:hideMark/>
                          </w:tcPr>
                          <w:p w:rsidR="00286D75" w:rsidRPr="00835B1F" w:rsidP="00286D75" w14:paraId="66F9DE87" w14:textId="7C21BA11">
                            <w:pPr>
                              <w:spacing w:after="0" w:line="240" w:lineRule="auto"/>
                              <w:jc w:val="center"/>
                              <w:rPr>
                                <w:rFonts w:ascii="Calibri" w:eastAsia="Times New Roman" w:hAnsi="Calibri" w:cs="Calibri"/>
                                <w:b/>
                                <w:bCs/>
                                <w:color w:val="000000"/>
                                <w:sz w:val="20"/>
                                <w:szCs w:val="20"/>
                              </w:rPr>
                            </w:pPr>
                            <w:r w:rsidRPr="00835B1F">
                              <w:rPr>
                                <w:rFonts w:ascii="Calibri" w:eastAsia="Times New Roman" w:hAnsi="Calibri" w:cs="Calibri"/>
                                <w:b/>
                                <w:bCs/>
                                <w:color w:val="000000"/>
                                <w:sz w:val="20"/>
                                <w:szCs w:val="20"/>
                              </w:rPr>
                              <w:t xml:space="preserve"> (cost)</w:t>
                            </w:r>
                          </w:p>
                        </w:tc>
                      </w:tr>
                      <w:tr w14:paraId="7669154B" w14:textId="77777777" w:rsidTr="00D8781F">
                        <w:tblPrEx>
                          <w:tblW w:w="9180" w:type="dxa"/>
                          <w:tblInd w:w="-15" w:type="dxa"/>
                          <w:tblLayout w:type="fixed"/>
                          <w:tblLook w:val="04A0"/>
                        </w:tblPrEx>
                        <w:trPr>
                          <w:trHeight w:val="940"/>
                        </w:trPr>
                        <w:tc>
                          <w:tcPr>
                            <w:tcW w:w="1425" w:type="dxa"/>
                            <w:tcBorders>
                              <w:top w:val="nil"/>
                              <w:left w:val="single" w:sz="12" w:space="0" w:color="auto"/>
                              <w:bottom w:val="single" w:sz="12" w:space="0" w:color="auto"/>
                              <w:right w:val="single" w:sz="12" w:space="0" w:color="auto"/>
                            </w:tcBorders>
                            <w:vAlign w:val="center"/>
                            <w:hideMark/>
                          </w:tcPr>
                          <w:p w:rsidR="00286D75" w:rsidRPr="00792764" w:rsidP="00286D75" w14:paraId="5465A017" w14:textId="77777777">
                            <w:pPr>
                              <w:spacing w:after="0" w:line="240" w:lineRule="auto"/>
                              <w:rPr>
                                <w:rFonts w:ascii="Calibri" w:eastAsia="Times New Roman" w:hAnsi="Calibri" w:cs="Calibri"/>
                                <w:color w:val="000000"/>
                                <w:sz w:val="18"/>
                                <w:szCs w:val="18"/>
                              </w:rPr>
                            </w:pPr>
                            <w:r w:rsidRPr="00792764">
                              <w:rPr>
                                <w:rFonts w:ascii="Calibri" w:eastAsia="Times New Roman" w:hAnsi="Calibri" w:cs="Calibri"/>
                                <w:color w:val="000000"/>
                                <w:sz w:val="18"/>
                                <w:szCs w:val="18"/>
                              </w:rPr>
                              <w:t>File and maintain data (Clerical/Tech)</w:t>
                            </w:r>
                          </w:p>
                        </w:tc>
                        <w:tc>
                          <w:tcPr>
                            <w:tcW w:w="720" w:type="dxa"/>
                            <w:tcBorders>
                              <w:top w:val="nil"/>
                              <w:left w:val="single" w:sz="12" w:space="0" w:color="auto"/>
                              <w:bottom w:val="single" w:sz="12" w:space="0" w:color="auto"/>
                              <w:right w:val="single" w:sz="4" w:space="0" w:color="auto"/>
                            </w:tcBorders>
                            <w:vAlign w:val="center"/>
                            <w:hideMark/>
                          </w:tcPr>
                          <w:p w:rsidR="00286D75" w:rsidRPr="00792764" w:rsidP="00286D75" w14:paraId="59BB82E6"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w:t>
                            </w:r>
                          </w:p>
                        </w:tc>
                        <w:tc>
                          <w:tcPr>
                            <w:tcW w:w="990" w:type="dxa"/>
                            <w:tcBorders>
                              <w:top w:val="nil"/>
                              <w:left w:val="nil"/>
                              <w:bottom w:val="single" w:sz="12" w:space="0" w:color="auto"/>
                              <w:right w:val="single" w:sz="4" w:space="0" w:color="auto"/>
                            </w:tcBorders>
                            <w:vAlign w:val="center"/>
                            <w:hideMark/>
                          </w:tcPr>
                          <w:p w:rsidR="00286D75" w:rsidRPr="00792764" w:rsidP="00286D75" w14:paraId="099984A7"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10</w:t>
                            </w:r>
                          </w:p>
                        </w:tc>
                        <w:tc>
                          <w:tcPr>
                            <w:tcW w:w="810" w:type="dxa"/>
                            <w:tcBorders>
                              <w:top w:val="nil"/>
                              <w:left w:val="nil"/>
                              <w:bottom w:val="single" w:sz="12" w:space="0" w:color="auto"/>
                              <w:right w:val="single" w:sz="4" w:space="0" w:color="auto"/>
                            </w:tcBorders>
                            <w:vAlign w:val="center"/>
                            <w:hideMark/>
                          </w:tcPr>
                          <w:p w:rsidR="00286D75" w:rsidRPr="00792764" w:rsidP="00286D75" w14:paraId="6182BF00"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10</w:t>
                            </w:r>
                          </w:p>
                        </w:tc>
                        <w:tc>
                          <w:tcPr>
                            <w:tcW w:w="1170" w:type="dxa"/>
                            <w:tcBorders>
                              <w:top w:val="nil"/>
                              <w:left w:val="nil"/>
                              <w:bottom w:val="single" w:sz="12" w:space="0" w:color="auto"/>
                              <w:right w:val="single" w:sz="8" w:space="0" w:color="auto"/>
                            </w:tcBorders>
                            <w:vAlign w:val="center"/>
                            <w:hideMark/>
                          </w:tcPr>
                          <w:p w:rsidR="00286D75" w:rsidRPr="00792764" w:rsidP="00286D75" w14:paraId="6FE65603"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20</w:t>
                            </w:r>
                          </w:p>
                        </w:tc>
                        <w:tc>
                          <w:tcPr>
                            <w:tcW w:w="990" w:type="dxa"/>
                            <w:tcBorders>
                              <w:top w:val="nil"/>
                              <w:left w:val="single" w:sz="12" w:space="0" w:color="auto"/>
                              <w:bottom w:val="single" w:sz="12" w:space="0" w:color="auto"/>
                              <w:right w:val="single" w:sz="4" w:space="0" w:color="auto"/>
                            </w:tcBorders>
                            <w:vAlign w:val="center"/>
                            <w:hideMark/>
                          </w:tcPr>
                          <w:p w:rsidR="00286D75" w:rsidRPr="00792764" w:rsidP="00286D75" w14:paraId="727EAA52"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xml:space="preserve">$1,290 </w:t>
                            </w:r>
                          </w:p>
                        </w:tc>
                        <w:tc>
                          <w:tcPr>
                            <w:tcW w:w="1260" w:type="dxa"/>
                            <w:tcBorders>
                              <w:top w:val="nil"/>
                              <w:left w:val="nil"/>
                              <w:bottom w:val="single" w:sz="12" w:space="0" w:color="auto"/>
                              <w:right w:val="single" w:sz="4" w:space="0" w:color="auto"/>
                            </w:tcBorders>
                            <w:vAlign w:val="center"/>
                            <w:hideMark/>
                          </w:tcPr>
                          <w:p w:rsidR="00286D75" w:rsidRPr="00792764" w:rsidP="00286D75" w14:paraId="00590819"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21</w:t>
                            </w:r>
                          </w:p>
                        </w:tc>
                        <w:tc>
                          <w:tcPr>
                            <w:tcW w:w="905" w:type="dxa"/>
                            <w:tcBorders>
                              <w:top w:val="nil"/>
                              <w:left w:val="nil"/>
                              <w:bottom w:val="single" w:sz="12" w:space="0" w:color="auto"/>
                              <w:right w:val="single" w:sz="4" w:space="0" w:color="auto"/>
                            </w:tcBorders>
                            <w:vAlign w:val="center"/>
                            <w:hideMark/>
                          </w:tcPr>
                          <w:p w:rsidR="00286D75" w:rsidRPr="00792764" w:rsidP="00286D75" w14:paraId="729867BE"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420</w:t>
                            </w:r>
                          </w:p>
                        </w:tc>
                        <w:tc>
                          <w:tcPr>
                            <w:tcW w:w="910" w:type="dxa"/>
                            <w:tcBorders>
                              <w:top w:val="nil"/>
                              <w:left w:val="nil"/>
                              <w:bottom w:val="single" w:sz="12" w:space="0" w:color="auto"/>
                              <w:right w:val="single" w:sz="12" w:space="0" w:color="auto"/>
                            </w:tcBorders>
                            <w:vAlign w:val="center"/>
                            <w:hideMark/>
                          </w:tcPr>
                          <w:p w:rsidR="00286D75" w:rsidRPr="00792764" w:rsidP="00286D75" w14:paraId="5BD0DADC" w14:textId="77777777">
                            <w:pPr>
                              <w:spacing w:after="0" w:line="240" w:lineRule="auto"/>
                              <w:jc w:val="center"/>
                              <w:rPr>
                                <w:rFonts w:ascii="Calibri" w:eastAsia="Times New Roman" w:hAnsi="Calibri" w:cs="Calibri"/>
                                <w:sz w:val="18"/>
                                <w:szCs w:val="18"/>
                              </w:rPr>
                            </w:pPr>
                            <w:r w:rsidRPr="00792764">
                              <w:rPr>
                                <w:rFonts w:ascii="Calibri" w:eastAsia="Times New Roman" w:hAnsi="Calibri" w:cs="Calibri"/>
                                <w:sz w:val="18"/>
                                <w:szCs w:val="18"/>
                              </w:rPr>
                              <w:t xml:space="preserve">$27,090 </w:t>
                            </w:r>
                          </w:p>
                        </w:tc>
                      </w:tr>
                      <w:tr w14:paraId="5A658D29" w14:textId="77777777" w:rsidTr="003D1FCB">
                        <w:tblPrEx>
                          <w:tblW w:w="9180" w:type="dxa"/>
                          <w:tblInd w:w="-15" w:type="dxa"/>
                          <w:tblLayout w:type="fixed"/>
                          <w:tblLook w:val="04A0"/>
                        </w:tblPrEx>
                        <w:trPr>
                          <w:trHeight w:val="320"/>
                        </w:trPr>
                        <w:tc>
                          <w:tcPr>
                            <w:tcW w:w="1425" w:type="dxa"/>
                            <w:tcBorders>
                              <w:top w:val="single" w:sz="12" w:space="0" w:color="auto"/>
                              <w:left w:val="single" w:sz="12" w:space="0" w:color="auto"/>
                              <w:bottom w:val="single" w:sz="12" w:space="0" w:color="auto"/>
                              <w:right w:val="single" w:sz="12" w:space="0" w:color="auto"/>
                            </w:tcBorders>
                            <w:vAlign w:val="center"/>
                            <w:hideMark/>
                          </w:tcPr>
                          <w:p w:rsidR="00286D75" w:rsidRPr="00792764" w:rsidP="00286D75" w14:paraId="3862C340" w14:textId="77777777">
                            <w:pPr>
                              <w:spacing w:after="0" w:line="240" w:lineRule="auto"/>
                              <w:rPr>
                                <w:rFonts w:ascii="Calibri" w:eastAsia="Times New Roman" w:hAnsi="Calibri" w:cs="Calibri"/>
                                <w:b/>
                                <w:bCs/>
                                <w:color w:val="000000"/>
                                <w:sz w:val="18"/>
                                <w:szCs w:val="18"/>
                              </w:rPr>
                            </w:pPr>
                            <w:r w:rsidRPr="00792764">
                              <w:rPr>
                                <w:rFonts w:ascii="Calibri" w:eastAsia="Times New Roman" w:hAnsi="Calibri" w:cs="Calibri"/>
                                <w:b/>
                                <w:bCs/>
                                <w:color w:val="000000"/>
                                <w:sz w:val="18"/>
                                <w:szCs w:val="18"/>
                              </w:rPr>
                              <w:t>TOTAL</w:t>
                            </w:r>
                          </w:p>
                        </w:tc>
                        <w:tc>
                          <w:tcPr>
                            <w:tcW w:w="720" w:type="dxa"/>
                            <w:tcBorders>
                              <w:top w:val="single" w:sz="12" w:space="0" w:color="auto"/>
                              <w:left w:val="single" w:sz="12" w:space="0" w:color="auto"/>
                              <w:bottom w:val="single" w:sz="12" w:space="0" w:color="auto"/>
                              <w:right w:val="single" w:sz="12" w:space="0" w:color="auto"/>
                            </w:tcBorders>
                            <w:vAlign w:val="center"/>
                            <w:hideMark/>
                          </w:tcPr>
                          <w:p w:rsidR="00286D75" w:rsidRPr="00FC6893" w:rsidP="00286D75" w14:paraId="3FE94265" w14:textId="77777777">
                            <w:pPr>
                              <w:spacing w:after="0" w:line="240" w:lineRule="auto"/>
                              <w:jc w:val="center"/>
                              <w:rPr>
                                <w:rFonts w:ascii="Calibri" w:eastAsia="Times New Roman" w:hAnsi="Calibri" w:cs="Calibri"/>
                                <w:b/>
                                <w:bCs/>
                                <w:sz w:val="18"/>
                                <w:szCs w:val="18"/>
                              </w:rPr>
                            </w:pPr>
                            <w:r w:rsidRPr="00FC6893">
                              <w:rPr>
                                <w:rFonts w:ascii="Calibri" w:eastAsia="Times New Roman" w:hAnsi="Calibri" w:cs="Calibri"/>
                                <w:b/>
                                <w:bCs/>
                                <w:sz w:val="18"/>
                                <w:szCs w:val="18"/>
                              </w:rPr>
                              <w:t>15</w:t>
                            </w:r>
                          </w:p>
                        </w:tc>
                        <w:tc>
                          <w:tcPr>
                            <w:tcW w:w="990" w:type="dxa"/>
                            <w:tcBorders>
                              <w:top w:val="single" w:sz="12" w:space="0" w:color="auto"/>
                              <w:left w:val="single" w:sz="12" w:space="0" w:color="auto"/>
                              <w:bottom w:val="single" w:sz="12" w:space="0" w:color="auto"/>
                              <w:right w:val="single" w:sz="12" w:space="0" w:color="auto"/>
                            </w:tcBorders>
                            <w:vAlign w:val="center"/>
                            <w:hideMark/>
                          </w:tcPr>
                          <w:p w:rsidR="00286D75" w:rsidRPr="00FC6893" w:rsidP="00286D75" w14:paraId="72A4F5DA" w14:textId="77777777">
                            <w:pPr>
                              <w:spacing w:after="0" w:line="240" w:lineRule="auto"/>
                              <w:jc w:val="center"/>
                              <w:rPr>
                                <w:rFonts w:ascii="Calibri" w:eastAsia="Times New Roman" w:hAnsi="Calibri" w:cs="Calibri"/>
                                <w:b/>
                                <w:bCs/>
                                <w:sz w:val="18"/>
                                <w:szCs w:val="18"/>
                              </w:rPr>
                            </w:pPr>
                            <w:r w:rsidRPr="00FC6893">
                              <w:rPr>
                                <w:rFonts w:ascii="Calibri" w:eastAsia="Times New Roman" w:hAnsi="Calibri" w:cs="Calibri"/>
                                <w:b/>
                                <w:bCs/>
                                <w:sz w:val="18"/>
                                <w:szCs w:val="18"/>
                              </w:rPr>
                              <w:t>258</w:t>
                            </w:r>
                          </w:p>
                        </w:tc>
                        <w:tc>
                          <w:tcPr>
                            <w:tcW w:w="810" w:type="dxa"/>
                            <w:tcBorders>
                              <w:top w:val="single" w:sz="12" w:space="0" w:color="auto"/>
                              <w:left w:val="single" w:sz="12" w:space="0" w:color="auto"/>
                              <w:bottom w:val="single" w:sz="12" w:space="0" w:color="auto"/>
                              <w:right w:val="single" w:sz="12" w:space="0" w:color="auto"/>
                            </w:tcBorders>
                            <w:vAlign w:val="center"/>
                            <w:hideMark/>
                          </w:tcPr>
                          <w:p w:rsidR="00286D75" w:rsidRPr="00FC6893" w:rsidP="00286D75" w14:paraId="3D78B23E" w14:textId="77777777">
                            <w:pPr>
                              <w:spacing w:after="0" w:line="240" w:lineRule="auto"/>
                              <w:jc w:val="center"/>
                              <w:rPr>
                                <w:rFonts w:ascii="Calibri" w:eastAsia="Times New Roman" w:hAnsi="Calibri" w:cs="Calibri"/>
                                <w:b/>
                                <w:bCs/>
                                <w:sz w:val="18"/>
                                <w:szCs w:val="18"/>
                              </w:rPr>
                            </w:pPr>
                            <w:r w:rsidRPr="00FC6893">
                              <w:rPr>
                                <w:rFonts w:ascii="Calibri" w:eastAsia="Times New Roman" w:hAnsi="Calibri" w:cs="Calibri"/>
                                <w:b/>
                                <w:bCs/>
                                <w:sz w:val="18"/>
                                <w:szCs w:val="18"/>
                              </w:rPr>
                              <w:t>10</w:t>
                            </w:r>
                          </w:p>
                        </w:tc>
                        <w:tc>
                          <w:tcPr>
                            <w:tcW w:w="1170" w:type="dxa"/>
                            <w:tcBorders>
                              <w:top w:val="single" w:sz="12" w:space="0" w:color="auto"/>
                              <w:left w:val="single" w:sz="12" w:space="0" w:color="auto"/>
                              <w:bottom w:val="single" w:sz="12" w:space="0" w:color="auto"/>
                              <w:right w:val="single" w:sz="12" w:space="0" w:color="auto"/>
                            </w:tcBorders>
                            <w:vAlign w:val="center"/>
                            <w:hideMark/>
                          </w:tcPr>
                          <w:p w:rsidR="00286D75" w:rsidRPr="00FC6893" w:rsidP="00286D75" w14:paraId="5A5ACCB6" w14:textId="77777777">
                            <w:pPr>
                              <w:spacing w:after="0" w:line="240" w:lineRule="auto"/>
                              <w:jc w:val="center"/>
                              <w:rPr>
                                <w:rFonts w:ascii="Calibri" w:eastAsia="Times New Roman" w:hAnsi="Calibri" w:cs="Calibri"/>
                                <w:b/>
                                <w:bCs/>
                                <w:sz w:val="18"/>
                                <w:szCs w:val="18"/>
                              </w:rPr>
                            </w:pPr>
                            <w:r w:rsidRPr="00FC6893">
                              <w:rPr>
                                <w:rFonts w:ascii="Calibri" w:eastAsia="Times New Roman" w:hAnsi="Calibri" w:cs="Calibri"/>
                                <w:b/>
                                <w:bCs/>
                                <w:sz w:val="18"/>
                                <w:szCs w:val="18"/>
                              </w:rPr>
                              <w:t>283</w:t>
                            </w:r>
                          </w:p>
                        </w:tc>
                        <w:tc>
                          <w:tcPr>
                            <w:tcW w:w="990" w:type="dxa"/>
                            <w:tcBorders>
                              <w:top w:val="single" w:sz="12" w:space="0" w:color="auto"/>
                              <w:left w:val="single" w:sz="12" w:space="0" w:color="auto"/>
                              <w:bottom w:val="single" w:sz="12" w:space="0" w:color="auto"/>
                              <w:right w:val="single" w:sz="12" w:space="0" w:color="auto"/>
                            </w:tcBorders>
                            <w:vAlign w:val="center"/>
                            <w:hideMark/>
                          </w:tcPr>
                          <w:p w:rsidR="00286D75" w:rsidRPr="00FC6893" w:rsidP="00286D75" w14:paraId="686C5A4D" w14:textId="77777777">
                            <w:pPr>
                              <w:spacing w:after="0" w:line="240" w:lineRule="auto"/>
                              <w:jc w:val="center"/>
                              <w:rPr>
                                <w:rFonts w:ascii="Calibri" w:eastAsia="Times New Roman" w:hAnsi="Calibri" w:cs="Calibri"/>
                                <w:b/>
                                <w:bCs/>
                                <w:sz w:val="18"/>
                                <w:szCs w:val="18"/>
                              </w:rPr>
                            </w:pPr>
                            <w:r w:rsidRPr="00FC6893">
                              <w:rPr>
                                <w:rFonts w:ascii="Calibri" w:eastAsia="Times New Roman" w:hAnsi="Calibri" w:cs="Calibri"/>
                                <w:b/>
                                <w:bCs/>
                                <w:sz w:val="18"/>
                                <w:szCs w:val="18"/>
                              </w:rPr>
                              <w:t xml:space="preserve">$25,861 </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286D75" w:rsidRPr="00FC6893" w:rsidP="00286D75" w14:paraId="1FD1234D" w14:textId="77777777">
                            <w:pPr>
                              <w:spacing w:after="0" w:line="240" w:lineRule="auto"/>
                              <w:jc w:val="center"/>
                              <w:rPr>
                                <w:rFonts w:ascii="Calibri" w:eastAsia="Times New Roman" w:hAnsi="Calibri" w:cs="Calibri"/>
                                <w:b/>
                                <w:bCs/>
                                <w:sz w:val="18"/>
                                <w:szCs w:val="18"/>
                              </w:rPr>
                            </w:pPr>
                            <w:r w:rsidRPr="00FC6893">
                              <w:rPr>
                                <w:rFonts w:ascii="Calibri" w:eastAsia="Times New Roman" w:hAnsi="Calibri" w:cs="Calibri"/>
                                <w:b/>
                                <w:bCs/>
                                <w:sz w:val="18"/>
                                <w:szCs w:val="18"/>
                              </w:rPr>
                              <w:t>21</w:t>
                            </w:r>
                          </w:p>
                        </w:tc>
                        <w:tc>
                          <w:tcPr>
                            <w:tcW w:w="905" w:type="dxa"/>
                            <w:tcBorders>
                              <w:top w:val="single" w:sz="12" w:space="0" w:color="auto"/>
                              <w:left w:val="single" w:sz="12" w:space="0" w:color="auto"/>
                              <w:bottom w:val="single" w:sz="12" w:space="0" w:color="auto"/>
                              <w:right w:val="single" w:sz="12" w:space="0" w:color="auto"/>
                            </w:tcBorders>
                            <w:vAlign w:val="center"/>
                            <w:hideMark/>
                          </w:tcPr>
                          <w:p w:rsidR="00286D75" w:rsidRPr="00FC6893" w:rsidP="00286D75" w14:paraId="354406F5" w14:textId="77777777">
                            <w:pPr>
                              <w:spacing w:after="0" w:line="240" w:lineRule="auto"/>
                              <w:jc w:val="center"/>
                              <w:rPr>
                                <w:rFonts w:ascii="Calibri" w:eastAsia="Times New Roman" w:hAnsi="Calibri" w:cs="Calibri"/>
                                <w:b/>
                                <w:bCs/>
                                <w:sz w:val="18"/>
                                <w:szCs w:val="18"/>
                              </w:rPr>
                            </w:pPr>
                            <w:r w:rsidRPr="00FC6893">
                              <w:rPr>
                                <w:rFonts w:ascii="Calibri" w:eastAsia="Times New Roman" w:hAnsi="Calibri" w:cs="Calibri"/>
                                <w:b/>
                                <w:bCs/>
                                <w:sz w:val="18"/>
                                <w:szCs w:val="18"/>
                              </w:rPr>
                              <w:t>5913</w:t>
                            </w:r>
                          </w:p>
                        </w:tc>
                        <w:tc>
                          <w:tcPr>
                            <w:tcW w:w="910" w:type="dxa"/>
                            <w:tcBorders>
                              <w:top w:val="single" w:sz="12" w:space="0" w:color="auto"/>
                              <w:left w:val="single" w:sz="12" w:space="0" w:color="auto"/>
                              <w:bottom w:val="single" w:sz="12" w:space="0" w:color="auto"/>
                              <w:right w:val="single" w:sz="12" w:space="0" w:color="auto"/>
                            </w:tcBorders>
                            <w:vAlign w:val="center"/>
                            <w:hideMark/>
                          </w:tcPr>
                          <w:p w:rsidR="00286D75" w:rsidRPr="00FC6893" w:rsidP="00286D75" w14:paraId="0DCBB182" w14:textId="77777777">
                            <w:pPr>
                              <w:spacing w:after="0" w:line="240" w:lineRule="auto"/>
                              <w:jc w:val="center"/>
                              <w:rPr>
                                <w:rFonts w:ascii="Calibri" w:eastAsia="Times New Roman" w:hAnsi="Calibri" w:cs="Calibri"/>
                                <w:b/>
                                <w:bCs/>
                                <w:sz w:val="18"/>
                                <w:szCs w:val="18"/>
                              </w:rPr>
                            </w:pPr>
                            <w:r w:rsidRPr="00FC6893">
                              <w:rPr>
                                <w:rFonts w:ascii="Calibri" w:eastAsia="Times New Roman" w:hAnsi="Calibri" w:cs="Calibri"/>
                                <w:b/>
                                <w:bCs/>
                                <w:sz w:val="18"/>
                                <w:szCs w:val="18"/>
                              </w:rPr>
                              <w:t xml:space="preserve">$539,066 </w:t>
                            </w:r>
                          </w:p>
                        </w:tc>
                      </w:tr>
                    </w:tbl>
                    <w:p w:rsidR="00286D75" w:rsidRPr="00621249" w:rsidP="003D53E3" w14:paraId="38721A1D" w14:textId="489E455C">
                      <w:pPr>
                        <w:rPr>
                          <w:sz w:val="16"/>
                          <w:szCs w:val="16"/>
                        </w:rPr>
                      </w:pPr>
                    </w:p>
                  </w:txbxContent>
                </v:textbox>
                <w10:wrap type="topAndBottom"/>
              </v:shape>
            </w:pict>
          </mc:Fallback>
        </mc:AlternateContent>
      </w:r>
      <w:r w:rsidRPr="000C0B5F" w:rsidR="00E31784">
        <w:rPr>
          <w:b/>
          <w:bCs/>
        </w:rPr>
        <w:t xml:space="preserve">Table </w:t>
      </w:r>
      <w:r w:rsidRPr="000C0B5F" w:rsidR="00FA7089">
        <w:rPr>
          <w:b/>
          <w:bCs/>
        </w:rPr>
        <w:t>9</w:t>
      </w:r>
      <w:r w:rsidRPr="000C0B5F" w:rsidR="00E31784">
        <w:rPr>
          <w:b/>
          <w:bCs/>
        </w:rPr>
        <w:t xml:space="preserve">: Burden and Cost to Meet Liquid Retention Requirement for </w:t>
      </w:r>
      <w:r w:rsidRPr="000C0B5F" w:rsidR="008C6879">
        <w:rPr>
          <w:b/>
          <w:bCs/>
        </w:rPr>
        <w:t xml:space="preserve">Subpart W </w:t>
      </w:r>
      <w:r w:rsidRPr="000C0B5F" w:rsidR="00E31784">
        <w:rPr>
          <w:b/>
          <w:bCs/>
        </w:rPr>
        <w:t>Non-conventional</w:t>
      </w:r>
      <w:r w:rsidRPr="000C0B5F" w:rsidR="008C6879">
        <w:rPr>
          <w:b/>
          <w:bCs/>
        </w:rPr>
        <w:t xml:space="preserve"> </w:t>
      </w:r>
      <w:r w:rsidRPr="000C0B5F" w:rsidR="00E31784">
        <w:rPr>
          <w:b/>
          <w:bCs/>
        </w:rPr>
        <w:t>Impoundments</w:t>
      </w:r>
      <w:bookmarkStart w:id="20" w:name="_Toc156593386"/>
    </w:p>
    <w:p w:rsidR="00BB2B15" w:rsidRPr="000C0B5F" w:rsidP="00FC6893" w14:paraId="5D1B71A2" w14:textId="7D3E2CA8">
      <w:pPr>
        <w:pStyle w:val="Heading1"/>
        <w:numPr>
          <w:ilvl w:val="0"/>
          <w:numId w:val="28"/>
        </w:numPr>
        <w:spacing w:before="0" w:after="120"/>
      </w:pPr>
      <w:r w:rsidRPr="000C0B5F">
        <w:t>RESPONDENT CAPITAL AND O&amp;M COSTS</w:t>
      </w:r>
      <w:bookmarkEnd w:id="20"/>
      <w:r w:rsidRPr="000C0B5F" w:rsidR="0042474D">
        <w:t>:</w:t>
      </w:r>
      <w:r w:rsidRPr="000C0B5F" w:rsidR="00966210">
        <w:t xml:space="preserve"> </w:t>
      </w:r>
    </w:p>
    <w:p w:rsidR="00BB3B29" w:rsidRPr="000C0B5F" w:rsidP="00D6704A" w14:paraId="1301B10C" w14:textId="29F7E49A">
      <w:pPr>
        <w:rPr>
          <w:b/>
          <w:bCs/>
        </w:rPr>
      </w:pPr>
      <w:r w:rsidRPr="000C0B5F">
        <w:t xml:space="preserve"> </w:t>
      </w:r>
      <w:r w:rsidRPr="000C0B5F" w:rsidR="2DE4753E">
        <w:rPr>
          <w:b/>
          <w:bCs/>
        </w:rPr>
        <w:t xml:space="preserve">Table </w:t>
      </w:r>
      <w:r w:rsidRPr="000C0B5F" w:rsidR="001F1C18">
        <w:rPr>
          <w:b/>
          <w:bCs/>
        </w:rPr>
        <w:t>10</w:t>
      </w:r>
      <w:r w:rsidRPr="000C0B5F" w:rsidR="2DE4753E">
        <w:rPr>
          <w:b/>
          <w:bCs/>
        </w:rPr>
        <w:t xml:space="preserve">: Summary of </w:t>
      </w:r>
      <w:r w:rsidRPr="000C0B5F" w:rsidR="4A28AE09">
        <w:rPr>
          <w:b/>
          <w:bCs/>
        </w:rPr>
        <w:t>O&amp;M and Startup Costs for all Subparts</w:t>
      </w: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2340"/>
        <w:gridCol w:w="2325"/>
        <w:gridCol w:w="2355"/>
        <w:gridCol w:w="2340"/>
      </w:tblGrid>
      <w:tr w14:paraId="17A4A092" w14:textId="77777777" w:rsidTr="00AE6C21">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Ex>
        <w:trPr>
          <w:trHeight w:val="300"/>
        </w:trPr>
        <w:tc>
          <w:tcPr>
            <w:tcW w:w="2340" w:type="dxa"/>
            <w:tcBorders>
              <w:top w:val="single" w:sz="12" w:space="0" w:color="auto"/>
              <w:left w:val="single" w:sz="12" w:space="0" w:color="auto"/>
              <w:bottom w:val="single" w:sz="12" w:space="0" w:color="auto"/>
              <w:right w:val="single" w:sz="12" w:space="0" w:color="auto"/>
            </w:tcBorders>
          </w:tcPr>
          <w:p w:rsidR="06AD5A6D" w:rsidRPr="000C0B5F" w:rsidP="06AD5A6D" w14:paraId="561F8577" w14:textId="1F4557F1">
            <w:pPr>
              <w:rPr>
                <w:sz w:val="20"/>
                <w:szCs w:val="20"/>
              </w:rPr>
            </w:pPr>
            <w:r w:rsidRPr="000C0B5F">
              <w:rPr>
                <w:rFonts w:ascii="Calibri" w:eastAsia="Calibri" w:hAnsi="Calibri" w:cs="Calibri"/>
                <w:b/>
                <w:bCs/>
                <w:sz w:val="20"/>
                <w:szCs w:val="20"/>
              </w:rPr>
              <w:t>Subpart</w:t>
            </w:r>
          </w:p>
        </w:tc>
        <w:tc>
          <w:tcPr>
            <w:tcW w:w="2325" w:type="dxa"/>
            <w:tcBorders>
              <w:top w:val="single" w:sz="12" w:space="0" w:color="auto"/>
              <w:left w:val="single" w:sz="12" w:space="0" w:color="auto"/>
              <w:bottom w:val="single" w:sz="12" w:space="0" w:color="auto"/>
              <w:right w:val="single" w:sz="12" w:space="0" w:color="auto"/>
            </w:tcBorders>
          </w:tcPr>
          <w:p w:rsidR="06AD5A6D" w:rsidRPr="000C0B5F" w:rsidP="06AD5A6D" w14:paraId="59E5A04E" w14:textId="3EE0E88E">
            <w:pPr>
              <w:jc w:val="center"/>
              <w:rPr>
                <w:sz w:val="20"/>
                <w:szCs w:val="20"/>
              </w:rPr>
            </w:pPr>
            <w:r w:rsidRPr="000C0B5F">
              <w:rPr>
                <w:rFonts w:ascii="Calibri" w:eastAsia="Calibri" w:hAnsi="Calibri" w:cs="Calibri"/>
                <w:b/>
                <w:bCs/>
                <w:sz w:val="20"/>
                <w:szCs w:val="20"/>
              </w:rPr>
              <w:t>No of Respondents (Facilities)</w:t>
            </w:r>
          </w:p>
        </w:tc>
        <w:tc>
          <w:tcPr>
            <w:tcW w:w="2355" w:type="dxa"/>
            <w:tcBorders>
              <w:top w:val="single" w:sz="12" w:space="0" w:color="auto"/>
              <w:left w:val="single" w:sz="12" w:space="0" w:color="auto"/>
              <w:bottom w:val="single" w:sz="12" w:space="0" w:color="auto"/>
              <w:right w:val="single" w:sz="12" w:space="0" w:color="auto"/>
            </w:tcBorders>
          </w:tcPr>
          <w:p w:rsidR="06AD5A6D" w:rsidRPr="000C0B5F" w:rsidP="06AD5A6D" w14:paraId="4E4D20CD" w14:textId="29E40932">
            <w:pPr>
              <w:jc w:val="center"/>
              <w:rPr>
                <w:sz w:val="20"/>
                <w:szCs w:val="20"/>
              </w:rPr>
            </w:pPr>
            <w:r w:rsidRPr="000C0B5F">
              <w:rPr>
                <w:rFonts w:ascii="Calibri" w:eastAsia="Calibri" w:hAnsi="Calibri" w:cs="Calibri"/>
                <w:b/>
                <w:bCs/>
                <w:sz w:val="20"/>
                <w:szCs w:val="20"/>
              </w:rPr>
              <w:t>Capital/Start-up Cost</w:t>
            </w:r>
          </w:p>
        </w:tc>
        <w:tc>
          <w:tcPr>
            <w:tcW w:w="2340" w:type="dxa"/>
            <w:tcBorders>
              <w:top w:val="single" w:sz="12" w:space="0" w:color="auto"/>
              <w:left w:val="single" w:sz="12" w:space="0" w:color="auto"/>
              <w:bottom w:val="single" w:sz="12" w:space="0" w:color="auto"/>
              <w:right w:val="single" w:sz="12" w:space="0" w:color="auto"/>
            </w:tcBorders>
          </w:tcPr>
          <w:p w:rsidR="06AD5A6D" w:rsidRPr="000C0B5F" w:rsidP="06AD5A6D" w14:paraId="63988291" w14:textId="73FF863F">
            <w:pPr>
              <w:jc w:val="center"/>
              <w:rPr>
                <w:sz w:val="20"/>
                <w:szCs w:val="20"/>
              </w:rPr>
            </w:pPr>
            <w:r w:rsidRPr="000C0B5F">
              <w:rPr>
                <w:rFonts w:ascii="Calibri" w:eastAsia="Calibri" w:hAnsi="Calibri" w:cs="Calibri"/>
                <w:b/>
                <w:bCs/>
                <w:sz w:val="20"/>
                <w:szCs w:val="20"/>
              </w:rPr>
              <w:t>(O &amp; M) Cost</w:t>
            </w:r>
          </w:p>
        </w:tc>
      </w:tr>
      <w:tr w14:paraId="75C0FFA1" w14:textId="77777777" w:rsidTr="00AE6C21">
        <w:tblPrEx>
          <w:tblW w:w="9360" w:type="dxa"/>
          <w:tblLayout w:type="fixed"/>
          <w:tblLook w:val="06A0"/>
        </w:tblPrEx>
        <w:trPr>
          <w:trHeight w:val="300"/>
        </w:trPr>
        <w:tc>
          <w:tcPr>
            <w:tcW w:w="2340" w:type="dxa"/>
            <w:tcBorders>
              <w:top w:val="single" w:sz="12" w:space="0" w:color="auto"/>
              <w:left w:val="single" w:sz="12" w:space="0" w:color="auto"/>
              <w:right w:val="single" w:sz="12" w:space="0" w:color="auto"/>
            </w:tcBorders>
          </w:tcPr>
          <w:p w:rsidR="06AD5A6D" w:rsidRPr="000C0B5F" w:rsidP="06AD5A6D" w14:paraId="06D8C2FE" w14:textId="77F3D8F8">
            <w:pPr>
              <w:rPr>
                <w:sz w:val="20"/>
                <w:szCs w:val="20"/>
              </w:rPr>
            </w:pPr>
            <w:r w:rsidRPr="000C0B5F">
              <w:rPr>
                <w:rFonts w:ascii="Calibri" w:eastAsia="Calibri" w:hAnsi="Calibri" w:cs="Calibri"/>
                <w:sz w:val="20"/>
                <w:szCs w:val="20"/>
              </w:rPr>
              <w:t>B</w:t>
            </w:r>
          </w:p>
        </w:tc>
        <w:tc>
          <w:tcPr>
            <w:tcW w:w="2325" w:type="dxa"/>
            <w:tcBorders>
              <w:top w:val="single" w:sz="12" w:space="0" w:color="auto"/>
              <w:left w:val="single" w:sz="12" w:space="0" w:color="auto"/>
            </w:tcBorders>
          </w:tcPr>
          <w:p w:rsidR="06AD5A6D" w:rsidRPr="000C0B5F" w:rsidP="06AD5A6D" w14:paraId="475F9E3B" w14:textId="284AAE15">
            <w:pPr>
              <w:jc w:val="center"/>
              <w:rPr>
                <w:sz w:val="20"/>
                <w:szCs w:val="20"/>
              </w:rPr>
            </w:pPr>
            <w:r w:rsidRPr="000C0B5F">
              <w:rPr>
                <w:rFonts w:ascii="Calibri" w:eastAsia="Calibri" w:hAnsi="Calibri" w:cs="Calibri"/>
                <w:sz w:val="20"/>
                <w:szCs w:val="20"/>
              </w:rPr>
              <w:t>14</w:t>
            </w:r>
          </w:p>
        </w:tc>
        <w:tc>
          <w:tcPr>
            <w:tcW w:w="2355" w:type="dxa"/>
            <w:tcBorders>
              <w:top w:val="single" w:sz="12" w:space="0" w:color="auto"/>
            </w:tcBorders>
          </w:tcPr>
          <w:p w:rsidR="06AD5A6D" w:rsidRPr="000C0B5F" w:rsidP="06AD5A6D" w14:paraId="431C0294" w14:textId="74E0D09F">
            <w:pPr>
              <w:jc w:val="center"/>
              <w:rPr>
                <w:sz w:val="20"/>
                <w:szCs w:val="20"/>
              </w:rPr>
            </w:pPr>
            <w:r w:rsidRPr="000C0B5F">
              <w:rPr>
                <w:rFonts w:ascii="Calibri" w:eastAsia="Calibri" w:hAnsi="Calibri" w:cs="Calibri"/>
                <w:sz w:val="20"/>
                <w:szCs w:val="20"/>
              </w:rPr>
              <w:t xml:space="preserve">$0 </w:t>
            </w:r>
          </w:p>
        </w:tc>
        <w:tc>
          <w:tcPr>
            <w:tcW w:w="2340" w:type="dxa"/>
            <w:tcBorders>
              <w:top w:val="single" w:sz="12" w:space="0" w:color="auto"/>
              <w:right w:val="single" w:sz="12" w:space="0" w:color="auto"/>
            </w:tcBorders>
          </w:tcPr>
          <w:p w:rsidR="06AD5A6D" w:rsidRPr="000C0B5F" w:rsidP="06AD5A6D" w14:paraId="53356B38" w14:textId="1495F411">
            <w:pPr>
              <w:jc w:val="center"/>
              <w:rPr>
                <w:sz w:val="20"/>
                <w:szCs w:val="20"/>
              </w:rPr>
            </w:pPr>
            <w:r w:rsidRPr="000C0B5F">
              <w:rPr>
                <w:rFonts w:ascii="Calibri" w:eastAsia="Calibri" w:hAnsi="Calibri" w:cs="Calibri"/>
                <w:sz w:val="20"/>
                <w:szCs w:val="20"/>
              </w:rPr>
              <w:t xml:space="preserve">$74,200 </w:t>
            </w:r>
          </w:p>
        </w:tc>
      </w:tr>
      <w:tr w14:paraId="4FD2105B" w14:textId="77777777" w:rsidTr="00AE6C21">
        <w:tblPrEx>
          <w:tblW w:w="9360" w:type="dxa"/>
          <w:tblLayout w:type="fixed"/>
          <w:tblLook w:val="06A0"/>
        </w:tblPrEx>
        <w:trPr>
          <w:trHeight w:val="300"/>
        </w:trPr>
        <w:tc>
          <w:tcPr>
            <w:tcW w:w="2340" w:type="dxa"/>
            <w:tcBorders>
              <w:left w:val="single" w:sz="12" w:space="0" w:color="auto"/>
              <w:right w:val="single" w:sz="12" w:space="0" w:color="auto"/>
            </w:tcBorders>
          </w:tcPr>
          <w:p w:rsidR="06AD5A6D" w:rsidRPr="000C0B5F" w:rsidP="06AD5A6D" w14:paraId="4AA17964" w14:textId="2E3137CA">
            <w:pPr>
              <w:rPr>
                <w:sz w:val="20"/>
                <w:szCs w:val="20"/>
              </w:rPr>
            </w:pPr>
            <w:r w:rsidRPr="000C0B5F">
              <w:rPr>
                <w:rFonts w:ascii="Calibri" w:eastAsia="Calibri" w:hAnsi="Calibri" w:cs="Calibri"/>
                <w:sz w:val="20"/>
                <w:szCs w:val="20"/>
              </w:rPr>
              <w:t>K</w:t>
            </w:r>
          </w:p>
        </w:tc>
        <w:tc>
          <w:tcPr>
            <w:tcW w:w="2325" w:type="dxa"/>
            <w:tcBorders>
              <w:left w:val="single" w:sz="12" w:space="0" w:color="auto"/>
            </w:tcBorders>
          </w:tcPr>
          <w:p w:rsidR="06AD5A6D" w:rsidRPr="000C0B5F" w:rsidP="06AD5A6D" w14:paraId="49AB4346" w14:textId="1127235A">
            <w:pPr>
              <w:jc w:val="center"/>
              <w:rPr>
                <w:sz w:val="20"/>
                <w:szCs w:val="20"/>
              </w:rPr>
            </w:pPr>
            <w:r w:rsidRPr="000C0B5F">
              <w:rPr>
                <w:rFonts w:ascii="Calibri" w:eastAsia="Calibri" w:hAnsi="Calibri" w:cs="Calibri"/>
                <w:sz w:val="20"/>
                <w:szCs w:val="20"/>
              </w:rPr>
              <w:t>1</w:t>
            </w:r>
          </w:p>
        </w:tc>
        <w:tc>
          <w:tcPr>
            <w:tcW w:w="2355" w:type="dxa"/>
          </w:tcPr>
          <w:p w:rsidR="06AD5A6D" w:rsidRPr="000C0B5F" w:rsidP="06AD5A6D" w14:paraId="52294AE9" w14:textId="24284A95">
            <w:pPr>
              <w:jc w:val="center"/>
              <w:rPr>
                <w:sz w:val="20"/>
                <w:szCs w:val="20"/>
              </w:rPr>
            </w:pPr>
            <w:r w:rsidRPr="000C0B5F">
              <w:rPr>
                <w:rFonts w:ascii="Calibri" w:eastAsia="Calibri" w:hAnsi="Calibri" w:cs="Calibri"/>
                <w:sz w:val="20"/>
                <w:szCs w:val="20"/>
              </w:rPr>
              <w:t xml:space="preserve">$0 </w:t>
            </w:r>
          </w:p>
        </w:tc>
        <w:tc>
          <w:tcPr>
            <w:tcW w:w="2340" w:type="dxa"/>
            <w:tcBorders>
              <w:right w:val="single" w:sz="12" w:space="0" w:color="auto"/>
            </w:tcBorders>
          </w:tcPr>
          <w:p w:rsidR="06AD5A6D" w:rsidRPr="000C0B5F" w:rsidP="06AD5A6D" w14:paraId="3149477F" w14:textId="7635E348">
            <w:pPr>
              <w:jc w:val="center"/>
              <w:rPr>
                <w:sz w:val="20"/>
                <w:szCs w:val="20"/>
              </w:rPr>
            </w:pPr>
            <w:r w:rsidRPr="000C0B5F">
              <w:rPr>
                <w:rFonts w:ascii="Calibri" w:eastAsia="Calibri" w:hAnsi="Calibri" w:cs="Calibri"/>
                <w:sz w:val="20"/>
                <w:szCs w:val="20"/>
              </w:rPr>
              <w:t xml:space="preserve">$0 </w:t>
            </w:r>
          </w:p>
        </w:tc>
      </w:tr>
      <w:tr w14:paraId="77C90A9B" w14:textId="77777777" w:rsidTr="00AE6C21">
        <w:tblPrEx>
          <w:tblW w:w="9360" w:type="dxa"/>
          <w:tblLayout w:type="fixed"/>
          <w:tblLook w:val="06A0"/>
        </w:tblPrEx>
        <w:trPr>
          <w:trHeight w:val="300"/>
        </w:trPr>
        <w:tc>
          <w:tcPr>
            <w:tcW w:w="2340" w:type="dxa"/>
            <w:tcBorders>
              <w:left w:val="single" w:sz="12" w:space="0" w:color="auto"/>
              <w:right w:val="single" w:sz="12" w:space="0" w:color="auto"/>
            </w:tcBorders>
          </w:tcPr>
          <w:p w:rsidR="06AD5A6D" w:rsidRPr="000C0B5F" w:rsidP="06AD5A6D" w14:paraId="0346D578" w14:textId="56534C93">
            <w:pPr>
              <w:rPr>
                <w:sz w:val="20"/>
                <w:szCs w:val="20"/>
              </w:rPr>
            </w:pPr>
            <w:r w:rsidRPr="000C0B5F">
              <w:rPr>
                <w:rFonts w:ascii="Calibri" w:eastAsia="Calibri" w:hAnsi="Calibri" w:cs="Calibri"/>
                <w:sz w:val="20"/>
                <w:szCs w:val="20"/>
              </w:rPr>
              <w:t>R (Open)</w:t>
            </w:r>
            <w:r w:rsidRPr="000C0B5F" w:rsidR="00AE6ECA">
              <w:rPr>
                <w:rFonts w:ascii="Calibri" w:eastAsia="Calibri" w:hAnsi="Calibri" w:cs="Calibri"/>
                <w:sz w:val="20"/>
                <w:szCs w:val="20"/>
              </w:rPr>
              <w:t xml:space="preserve"> *</w:t>
            </w:r>
          </w:p>
        </w:tc>
        <w:tc>
          <w:tcPr>
            <w:tcW w:w="2325" w:type="dxa"/>
            <w:tcBorders>
              <w:left w:val="single" w:sz="12" w:space="0" w:color="auto"/>
            </w:tcBorders>
          </w:tcPr>
          <w:p w:rsidR="06AD5A6D" w:rsidRPr="000C0B5F" w:rsidP="06AD5A6D" w14:paraId="0EA89F9E" w14:textId="109B2006">
            <w:pPr>
              <w:jc w:val="center"/>
              <w:rPr>
                <w:sz w:val="20"/>
                <w:szCs w:val="20"/>
              </w:rPr>
            </w:pPr>
            <w:r w:rsidRPr="000C0B5F">
              <w:rPr>
                <w:rFonts w:ascii="Calibri" w:eastAsia="Calibri" w:hAnsi="Calibri" w:cs="Calibri"/>
                <w:sz w:val="20"/>
                <w:szCs w:val="20"/>
              </w:rPr>
              <w:t>13</w:t>
            </w:r>
          </w:p>
        </w:tc>
        <w:tc>
          <w:tcPr>
            <w:tcW w:w="2355" w:type="dxa"/>
          </w:tcPr>
          <w:p w:rsidR="06AD5A6D" w:rsidRPr="000C0B5F" w:rsidP="06AD5A6D" w14:paraId="23B917E3" w14:textId="0A0578F6">
            <w:pPr>
              <w:jc w:val="center"/>
              <w:rPr>
                <w:sz w:val="20"/>
                <w:szCs w:val="20"/>
              </w:rPr>
            </w:pPr>
            <w:r w:rsidRPr="000C0B5F">
              <w:rPr>
                <w:rFonts w:ascii="Calibri" w:eastAsia="Calibri" w:hAnsi="Calibri" w:cs="Calibri"/>
                <w:sz w:val="20"/>
                <w:szCs w:val="20"/>
              </w:rPr>
              <w:t xml:space="preserve">$0 </w:t>
            </w:r>
          </w:p>
        </w:tc>
        <w:tc>
          <w:tcPr>
            <w:tcW w:w="2340" w:type="dxa"/>
            <w:tcBorders>
              <w:right w:val="single" w:sz="12" w:space="0" w:color="auto"/>
            </w:tcBorders>
          </w:tcPr>
          <w:p w:rsidR="06AD5A6D" w:rsidRPr="000C0B5F" w:rsidP="06AD5A6D" w14:paraId="7E7E0325" w14:textId="0A077516">
            <w:pPr>
              <w:jc w:val="center"/>
              <w:rPr>
                <w:sz w:val="20"/>
                <w:szCs w:val="20"/>
              </w:rPr>
            </w:pPr>
            <w:r w:rsidRPr="000C0B5F">
              <w:rPr>
                <w:rFonts w:ascii="Calibri" w:eastAsia="Calibri" w:hAnsi="Calibri" w:cs="Calibri"/>
                <w:sz w:val="20"/>
                <w:szCs w:val="20"/>
              </w:rPr>
              <w:t xml:space="preserve">$301,600 </w:t>
            </w:r>
          </w:p>
        </w:tc>
      </w:tr>
      <w:tr w14:paraId="728F9595" w14:textId="77777777" w:rsidTr="00AE6C21">
        <w:tblPrEx>
          <w:tblW w:w="9360" w:type="dxa"/>
          <w:tblLayout w:type="fixed"/>
          <w:tblLook w:val="06A0"/>
        </w:tblPrEx>
        <w:trPr>
          <w:trHeight w:val="300"/>
        </w:trPr>
        <w:tc>
          <w:tcPr>
            <w:tcW w:w="2340" w:type="dxa"/>
            <w:tcBorders>
              <w:left w:val="single" w:sz="12" w:space="0" w:color="auto"/>
              <w:right w:val="single" w:sz="12" w:space="0" w:color="auto"/>
            </w:tcBorders>
          </w:tcPr>
          <w:p w:rsidR="06AD5A6D" w:rsidRPr="000C0B5F" w:rsidP="06AD5A6D" w14:paraId="6E94A170" w14:textId="2C5141B5">
            <w:pPr>
              <w:rPr>
                <w:sz w:val="20"/>
                <w:szCs w:val="20"/>
              </w:rPr>
            </w:pPr>
            <w:r w:rsidRPr="000C0B5F">
              <w:rPr>
                <w:rFonts w:ascii="Calibri" w:eastAsia="Calibri" w:hAnsi="Calibri" w:cs="Calibri"/>
                <w:sz w:val="20"/>
                <w:szCs w:val="20"/>
              </w:rPr>
              <w:t>W - liquid inspections</w:t>
            </w:r>
          </w:p>
        </w:tc>
        <w:tc>
          <w:tcPr>
            <w:tcW w:w="2325" w:type="dxa"/>
            <w:tcBorders>
              <w:left w:val="single" w:sz="12" w:space="0" w:color="auto"/>
            </w:tcBorders>
          </w:tcPr>
          <w:p w:rsidR="06AD5A6D" w:rsidRPr="000C0B5F" w:rsidP="06AD5A6D" w14:paraId="6D3D2557" w14:textId="583E063B">
            <w:pPr>
              <w:jc w:val="center"/>
              <w:rPr>
                <w:sz w:val="20"/>
                <w:szCs w:val="20"/>
              </w:rPr>
            </w:pPr>
            <w:r w:rsidRPr="000C0B5F">
              <w:rPr>
                <w:rFonts w:ascii="Calibri" w:eastAsia="Calibri" w:hAnsi="Calibri" w:cs="Calibri"/>
                <w:sz w:val="20"/>
                <w:szCs w:val="20"/>
              </w:rPr>
              <w:t>21</w:t>
            </w:r>
          </w:p>
        </w:tc>
        <w:tc>
          <w:tcPr>
            <w:tcW w:w="2355" w:type="dxa"/>
          </w:tcPr>
          <w:p w:rsidR="06AD5A6D" w:rsidRPr="000C0B5F" w:rsidP="06AD5A6D" w14:paraId="2C19345F" w14:textId="2ECEE924">
            <w:pPr>
              <w:jc w:val="center"/>
              <w:rPr>
                <w:sz w:val="20"/>
                <w:szCs w:val="20"/>
              </w:rPr>
            </w:pPr>
            <w:r w:rsidRPr="000C0B5F">
              <w:rPr>
                <w:rFonts w:ascii="Calibri" w:eastAsia="Calibri" w:hAnsi="Calibri" w:cs="Calibri"/>
                <w:sz w:val="20"/>
                <w:szCs w:val="20"/>
              </w:rPr>
              <w:t xml:space="preserve">$4,500 </w:t>
            </w:r>
          </w:p>
        </w:tc>
        <w:tc>
          <w:tcPr>
            <w:tcW w:w="2340" w:type="dxa"/>
            <w:tcBorders>
              <w:right w:val="single" w:sz="12" w:space="0" w:color="auto"/>
            </w:tcBorders>
          </w:tcPr>
          <w:p w:rsidR="06AD5A6D" w:rsidRPr="000C0B5F" w:rsidP="06AD5A6D" w14:paraId="6C5E6E30" w14:textId="5B589D8E">
            <w:pPr>
              <w:jc w:val="center"/>
              <w:rPr>
                <w:sz w:val="20"/>
                <w:szCs w:val="20"/>
              </w:rPr>
            </w:pPr>
            <w:r w:rsidRPr="000C0B5F">
              <w:rPr>
                <w:rFonts w:ascii="Calibri" w:eastAsia="Calibri" w:hAnsi="Calibri" w:cs="Calibri"/>
                <w:sz w:val="20"/>
                <w:szCs w:val="20"/>
              </w:rPr>
              <w:t xml:space="preserve">$0 </w:t>
            </w:r>
          </w:p>
        </w:tc>
      </w:tr>
      <w:tr w14:paraId="3542E860" w14:textId="77777777" w:rsidTr="00AE6C21">
        <w:tblPrEx>
          <w:tblW w:w="9360" w:type="dxa"/>
          <w:tblLayout w:type="fixed"/>
          <w:tblLook w:val="06A0"/>
        </w:tblPrEx>
        <w:trPr>
          <w:trHeight w:val="300"/>
        </w:trPr>
        <w:tc>
          <w:tcPr>
            <w:tcW w:w="2340" w:type="dxa"/>
            <w:tcBorders>
              <w:left w:val="single" w:sz="12" w:space="0" w:color="auto"/>
              <w:right w:val="single" w:sz="12" w:space="0" w:color="auto"/>
            </w:tcBorders>
          </w:tcPr>
          <w:p w:rsidR="06AD5A6D" w:rsidRPr="000C0B5F" w:rsidP="06AD5A6D" w14:paraId="69A6B2CA" w14:textId="4617B92C">
            <w:pPr>
              <w:rPr>
                <w:sz w:val="20"/>
                <w:szCs w:val="20"/>
              </w:rPr>
            </w:pPr>
            <w:r w:rsidRPr="000C0B5F">
              <w:rPr>
                <w:rFonts w:ascii="Calibri" w:eastAsia="Calibri" w:hAnsi="Calibri" w:cs="Calibri"/>
                <w:sz w:val="20"/>
                <w:szCs w:val="20"/>
              </w:rPr>
              <w:t>W - record keeping</w:t>
            </w:r>
          </w:p>
        </w:tc>
        <w:tc>
          <w:tcPr>
            <w:tcW w:w="2325" w:type="dxa"/>
            <w:tcBorders>
              <w:left w:val="single" w:sz="12" w:space="0" w:color="auto"/>
            </w:tcBorders>
          </w:tcPr>
          <w:p w:rsidR="06AD5A6D" w:rsidRPr="000C0B5F" w:rsidP="06AD5A6D" w14:paraId="5AE6007B" w14:textId="1B7DA663">
            <w:pPr>
              <w:jc w:val="center"/>
              <w:rPr>
                <w:sz w:val="20"/>
                <w:szCs w:val="20"/>
              </w:rPr>
            </w:pPr>
            <w:r w:rsidRPr="000C0B5F">
              <w:rPr>
                <w:rFonts w:ascii="Calibri" w:eastAsia="Calibri" w:hAnsi="Calibri" w:cs="Calibri"/>
                <w:sz w:val="20"/>
                <w:szCs w:val="20"/>
              </w:rPr>
              <w:t>24</w:t>
            </w:r>
          </w:p>
        </w:tc>
        <w:tc>
          <w:tcPr>
            <w:tcW w:w="2355" w:type="dxa"/>
          </w:tcPr>
          <w:p w:rsidR="06AD5A6D" w:rsidRPr="000C0B5F" w:rsidP="06AD5A6D" w14:paraId="31C2360C" w14:textId="6463B409">
            <w:pPr>
              <w:jc w:val="center"/>
              <w:rPr>
                <w:sz w:val="20"/>
                <w:szCs w:val="20"/>
              </w:rPr>
            </w:pPr>
            <w:r w:rsidRPr="000C0B5F">
              <w:rPr>
                <w:rFonts w:ascii="Calibri" w:eastAsia="Calibri" w:hAnsi="Calibri" w:cs="Calibri"/>
                <w:sz w:val="20"/>
                <w:szCs w:val="20"/>
              </w:rPr>
              <w:t xml:space="preserve">$1,600 </w:t>
            </w:r>
          </w:p>
        </w:tc>
        <w:tc>
          <w:tcPr>
            <w:tcW w:w="2340" w:type="dxa"/>
            <w:tcBorders>
              <w:right w:val="single" w:sz="12" w:space="0" w:color="auto"/>
            </w:tcBorders>
          </w:tcPr>
          <w:p w:rsidR="06AD5A6D" w:rsidRPr="000C0B5F" w:rsidP="06AD5A6D" w14:paraId="34D8DA48" w14:textId="3F50F088">
            <w:pPr>
              <w:jc w:val="center"/>
              <w:rPr>
                <w:sz w:val="20"/>
                <w:szCs w:val="20"/>
              </w:rPr>
            </w:pPr>
            <w:r w:rsidRPr="000C0B5F">
              <w:rPr>
                <w:rFonts w:ascii="Calibri" w:eastAsia="Calibri" w:hAnsi="Calibri" w:cs="Calibri"/>
                <w:sz w:val="20"/>
                <w:szCs w:val="20"/>
              </w:rPr>
              <w:t xml:space="preserve">$0 </w:t>
            </w:r>
          </w:p>
        </w:tc>
      </w:tr>
      <w:tr w14:paraId="5F11E231" w14:textId="77777777" w:rsidTr="00AE6C21">
        <w:tblPrEx>
          <w:tblW w:w="9360" w:type="dxa"/>
          <w:tblLayout w:type="fixed"/>
          <w:tblLook w:val="06A0"/>
        </w:tblPrEx>
        <w:trPr>
          <w:trHeight w:val="300"/>
        </w:trPr>
        <w:tc>
          <w:tcPr>
            <w:tcW w:w="2340" w:type="dxa"/>
            <w:tcBorders>
              <w:left w:val="single" w:sz="12" w:space="0" w:color="auto"/>
              <w:bottom w:val="single" w:sz="12" w:space="0" w:color="auto"/>
              <w:right w:val="single" w:sz="12" w:space="0" w:color="auto"/>
            </w:tcBorders>
          </w:tcPr>
          <w:p w:rsidR="06AD5A6D" w:rsidRPr="000C0B5F" w:rsidP="06AD5A6D" w14:paraId="3870DB48" w14:textId="1A4BCF40">
            <w:pPr>
              <w:rPr>
                <w:sz w:val="20"/>
                <w:szCs w:val="20"/>
              </w:rPr>
            </w:pPr>
            <w:r w:rsidRPr="000C0B5F">
              <w:rPr>
                <w:rFonts w:ascii="Calibri" w:eastAsia="Calibri" w:hAnsi="Calibri" w:cs="Calibri"/>
                <w:sz w:val="20"/>
                <w:szCs w:val="20"/>
              </w:rPr>
              <w:t>W - radon testing</w:t>
            </w:r>
          </w:p>
        </w:tc>
        <w:tc>
          <w:tcPr>
            <w:tcW w:w="2325" w:type="dxa"/>
            <w:tcBorders>
              <w:left w:val="single" w:sz="12" w:space="0" w:color="auto"/>
              <w:bottom w:val="single" w:sz="12" w:space="0" w:color="auto"/>
            </w:tcBorders>
          </w:tcPr>
          <w:p w:rsidR="06AD5A6D" w:rsidRPr="000C0B5F" w:rsidP="06AD5A6D" w14:paraId="7C9240C3" w14:textId="78643F74">
            <w:pPr>
              <w:jc w:val="center"/>
              <w:rPr>
                <w:sz w:val="20"/>
                <w:szCs w:val="20"/>
              </w:rPr>
            </w:pPr>
            <w:r w:rsidRPr="000C0B5F">
              <w:rPr>
                <w:rFonts w:ascii="Calibri" w:eastAsia="Calibri" w:hAnsi="Calibri" w:cs="Calibri"/>
                <w:sz w:val="20"/>
                <w:szCs w:val="20"/>
              </w:rPr>
              <w:t>3</w:t>
            </w:r>
          </w:p>
        </w:tc>
        <w:tc>
          <w:tcPr>
            <w:tcW w:w="2355" w:type="dxa"/>
            <w:tcBorders>
              <w:bottom w:val="single" w:sz="12" w:space="0" w:color="auto"/>
            </w:tcBorders>
          </w:tcPr>
          <w:p w:rsidR="06AD5A6D" w:rsidRPr="000C0B5F" w:rsidP="06AD5A6D" w14:paraId="23761D36" w14:textId="7538DDCF">
            <w:pPr>
              <w:jc w:val="center"/>
              <w:rPr>
                <w:sz w:val="20"/>
                <w:szCs w:val="20"/>
              </w:rPr>
            </w:pPr>
            <w:r w:rsidRPr="000C0B5F">
              <w:rPr>
                <w:rFonts w:ascii="Calibri" w:eastAsia="Calibri" w:hAnsi="Calibri" w:cs="Calibri"/>
                <w:sz w:val="20"/>
                <w:szCs w:val="20"/>
              </w:rPr>
              <w:t xml:space="preserve">$0 </w:t>
            </w:r>
          </w:p>
        </w:tc>
        <w:tc>
          <w:tcPr>
            <w:tcW w:w="2340" w:type="dxa"/>
            <w:tcBorders>
              <w:bottom w:val="single" w:sz="12" w:space="0" w:color="auto"/>
              <w:right w:val="single" w:sz="12" w:space="0" w:color="auto"/>
            </w:tcBorders>
          </w:tcPr>
          <w:p w:rsidR="06AD5A6D" w:rsidRPr="000C0B5F" w:rsidP="06AD5A6D" w14:paraId="71EDB800" w14:textId="08BD2041">
            <w:pPr>
              <w:jc w:val="center"/>
              <w:rPr>
                <w:sz w:val="20"/>
                <w:szCs w:val="20"/>
              </w:rPr>
            </w:pPr>
            <w:r w:rsidRPr="000C0B5F">
              <w:rPr>
                <w:rFonts w:ascii="Calibri" w:eastAsia="Calibri" w:hAnsi="Calibri" w:cs="Calibri"/>
                <w:sz w:val="20"/>
                <w:szCs w:val="20"/>
              </w:rPr>
              <w:t xml:space="preserve">$26,400 </w:t>
            </w:r>
          </w:p>
        </w:tc>
      </w:tr>
      <w:tr w14:paraId="7CF8112D" w14:textId="77777777" w:rsidTr="00AE6C21">
        <w:tblPrEx>
          <w:tblW w:w="9360" w:type="dxa"/>
          <w:tblLayout w:type="fixed"/>
          <w:tblLook w:val="06A0"/>
        </w:tblPrEx>
        <w:trPr>
          <w:trHeight w:val="300"/>
        </w:trPr>
        <w:tc>
          <w:tcPr>
            <w:tcW w:w="2340" w:type="dxa"/>
            <w:tcBorders>
              <w:top w:val="single" w:sz="12" w:space="0" w:color="auto"/>
              <w:left w:val="single" w:sz="12" w:space="0" w:color="auto"/>
              <w:bottom w:val="single" w:sz="12" w:space="0" w:color="auto"/>
              <w:right w:val="single" w:sz="12" w:space="0" w:color="auto"/>
            </w:tcBorders>
          </w:tcPr>
          <w:p w:rsidR="06AD5A6D" w:rsidRPr="000C0B5F" w:rsidP="06AD5A6D" w14:paraId="204301C5" w14:textId="40E7503B">
            <w:pPr>
              <w:rPr>
                <w:sz w:val="20"/>
                <w:szCs w:val="20"/>
              </w:rPr>
            </w:pPr>
            <w:r w:rsidRPr="000C0B5F">
              <w:rPr>
                <w:rFonts w:ascii="Calibri" w:eastAsia="Calibri" w:hAnsi="Calibri" w:cs="Calibri"/>
                <w:b/>
                <w:bCs/>
                <w:sz w:val="20"/>
                <w:szCs w:val="20"/>
              </w:rPr>
              <w:t>TOTALS</w:t>
            </w:r>
          </w:p>
        </w:tc>
        <w:tc>
          <w:tcPr>
            <w:tcW w:w="2325" w:type="dxa"/>
            <w:tcBorders>
              <w:top w:val="single" w:sz="12" w:space="0" w:color="auto"/>
              <w:left w:val="single" w:sz="12" w:space="0" w:color="auto"/>
              <w:bottom w:val="single" w:sz="12" w:space="0" w:color="auto"/>
              <w:right w:val="single" w:sz="12" w:space="0" w:color="auto"/>
            </w:tcBorders>
          </w:tcPr>
          <w:p w:rsidR="06AD5A6D" w:rsidRPr="000C0B5F" w:rsidP="06AD5A6D" w14:paraId="5D6EFFBF" w14:textId="69137665">
            <w:pPr>
              <w:jc w:val="center"/>
              <w:rPr>
                <w:sz w:val="20"/>
                <w:szCs w:val="20"/>
              </w:rPr>
            </w:pPr>
            <w:r w:rsidRPr="000C0B5F">
              <w:rPr>
                <w:rFonts w:ascii="Calibri" w:eastAsia="Calibri" w:hAnsi="Calibri" w:cs="Calibri"/>
                <w:b/>
                <w:bCs/>
                <w:sz w:val="20"/>
                <w:szCs w:val="20"/>
              </w:rPr>
              <w:t>52</w:t>
            </w:r>
          </w:p>
        </w:tc>
        <w:tc>
          <w:tcPr>
            <w:tcW w:w="2355" w:type="dxa"/>
            <w:tcBorders>
              <w:top w:val="single" w:sz="12" w:space="0" w:color="auto"/>
              <w:left w:val="single" w:sz="12" w:space="0" w:color="auto"/>
              <w:bottom w:val="single" w:sz="12" w:space="0" w:color="auto"/>
              <w:right w:val="single" w:sz="12" w:space="0" w:color="auto"/>
            </w:tcBorders>
          </w:tcPr>
          <w:p w:rsidR="06AD5A6D" w:rsidRPr="000C0B5F" w:rsidP="06AD5A6D" w14:paraId="4319498E" w14:textId="35A44439">
            <w:pPr>
              <w:jc w:val="center"/>
              <w:rPr>
                <w:sz w:val="20"/>
                <w:szCs w:val="20"/>
              </w:rPr>
            </w:pPr>
            <w:r w:rsidRPr="000C0B5F">
              <w:rPr>
                <w:rFonts w:ascii="Calibri" w:eastAsia="Calibri" w:hAnsi="Calibri" w:cs="Calibri"/>
                <w:b/>
                <w:bCs/>
                <w:sz w:val="20"/>
                <w:szCs w:val="20"/>
              </w:rPr>
              <w:t xml:space="preserve">$6,100 </w:t>
            </w:r>
          </w:p>
        </w:tc>
        <w:tc>
          <w:tcPr>
            <w:tcW w:w="2340" w:type="dxa"/>
            <w:tcBorders>
              <w:top w:val="single" w:sz="12" w:space="0" w:color="auto"/>
              <w:left w:val="single" w:sz="12" w:space="0" w:color="auto"/>
              <w:bottom w:val="single" w:sz="12" w:space="0" w:color="auto"/>
              <w:right w:val="single" w:sz="12" w:space="0" w:color="auto"/>
            </w:tcBorders>
          </w:tcPr>
          <w:p w:rsidR="06AD5A6D" w:rsidRPr="000C0B5F" w:rsidP="06AD5A6D" w14:paraId="49D0E299" w14:textId="6B7F412A">
            <w:pPr>
              <w:jc w:val="center"/>
              <w:rPr>
                <w:sz w:val="20"/>
                <w:szCs w:val="20"/>
              </w:rPr>
            </w:pPr>
            <w:r w:rsidRPr="000C0B5F">
              <w:rPr>
                <w:rFonts w:ascii="Calibri" w:eastAsia="Calibri" w:hAnsi="Calibri" w:cs="Calibri"/>
                <w:b/>
                <w:bCs/>
                <w:sz w:val="20"/>
                <w:szCs w:val="20"/>
              </w:rPr>
              <w:t>$402,200</w:t>
            </w:r>
          </w:p>
        </w:tc>
      </w:tr>
    </w:tbl>
    <w:p w:rsidR="00BB3B29" w:rsidRPr="000C0B5F" w:rsidP="00792764" w14:paraId="53C6C546" w14:textId="17868965">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276" w:lineRule="auto"/>
      </w:pPr>
      <w:r w:rsidRPr="000C0B5F">
        <w:t xml:space="preserve"> </w:t>
      </w:r>
      <w:r w:rsidRPr="000C0B5F">
        <w:t>* Assumes that all currently active stacks will become inactive and both remove phosphogypsum, requiring analyses for radium-226, and require radon flux measurements upon closure. This is a conservative assumption – see Section 12(d</w:t>
      </w:r>
      <w:r w:rsidRPr="000C0B5F">
        <w:t>)</w:t>
      </w:r>
      <w:r w:rsidRPr="000C0B5F">
        <w:t>.</w:t>
      </w:r>
    </w:p>
    <w:p w:rsidR="007D799B" w:rsidRPr="000C0B5F" w:rsidP="00FC6893" w14:paraId="65BCCEB3" w14:textId="77777777">
      <w:pPr>
        <w:spacing w:before="240"/>
        <w:rPr>
          <w:b/>
          <w:bCs/>
        </w:rPr>
      </w:pPr>
      <w:r w:rsidRPr="000C0B5F">
        <w:rPr>
          <w:b/>
          <w:bCs/>
        </w:rPr>
        <w:t>Subpart B: Underground Uranium Mines</w:t>
      </w:r>
    </w:p>
    <w:p w:rsidR="007D799B" w:rsidRPr="000C0B5F" w:rsidP="008334C2" w14:paraId="2EE89BA3" w14:textId="27CCA467">
      <w:pPr>
        <w:spacing w:line="276" w:lineRule="auto"/>
      </w:pPr>
      <w:r w:rsidRPr="000C0B5F">
        <w:t>To meet reporting requirements for subpart B an estimated O&amp;M cost of $5,300 per facility is estimated for up to 14 mines.</w:t>
      </w:r>
    </w:p>
    <w:p w:rsidR="007D799B" w:rsidRPr="000C0B5F" w:rsidP="00FC6893" w14:paraId="2CA779A8" w14:textId="06EBCCE1">
      <w:pPr>
        <w:spacing w:before="120"/>
        <w:rPr>
          <w:b/>
          <w:bCs/>
        </w:rPr>
      </w:pPr>
      <w:r w:rsidRPr="000C0B5F">
        <w:rPr>
          <w:b/>
          <w:bCs/>
        </w:rPr>
        <w:t xml:space="preserve">Table </w:t>
      </w:r>
      <w:r w:rsidRPr="000C0B5F" w:rsidR="4A28AE09">
        <w:rPr>
          <w:b/>
          <w:bCs/>
        </w:rPr>
        <w:t>1</w:t>
      </w:r>
      <w:r w:rsidRPr="000C0B5F" w:rsidR="006B1F43">
        <w:rPr>
          <w:b/>
          <w:bCs/>
        </w:rPr>
        <w:t>1</w:t>
      </w:r>
      <w:r w:rsidRPr="000C0B5F">
        <w:rPr>
          <w:b/>
          <w:bCs/>
        </w:rPr>
        <w:t>: O&amp;M and Startup Cost for Subpart B Uranium Mines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A0"/>
      </w:tblPr>
      <w:tblGrid>
        <w:gridCol w:w="3120"/>
        <w:gridCol w:w="3120"/>
        <w:gridCol w:w="3120"/>
      </w:tblGrid>
      <w:tr w14:paraId="3E009ABA" w14:textId="77777777" w:rsidTr="00AE6C21">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A0"/>
        </w:tblPrEx>
        <w:trPr>
          <w:trHeight w:val="300"/>
        </w:trPr>
        <w:tc>
          <w:tcPr>
            <w:tcW w:w="3120" w:type="dxa"/>
            <w:tcBorders>
              <w:top w:val="single" w:sz="12" w:space="0" w:color="auto"/>
              <w:left w:val="single" w:sz="12" w:space="0" w:color="auto"/>
              <w:bottom w:val="single" w:sz="12" w:space="0" w:color="auto"/>
              <w:right w:val="single" w:sz="12" w:space="0" w:color="auto"/>
            </w:tcBorders>
          </w:tcPr>
          <w:p w:rsidR="06AD5A6D" w:rsidRPr="000C0B5F" w:rsidP="06AD5A6D" w14:paraId="4364E7DF" w14:textId="6FD1B956">
            <w:pPr>
              <w:rPr>
                <w:sz w:val="20"/>
                <w:szCs w:val="20"/>
              </w:rPr>
            </w:pPr>
            <w:r w:rsidRPr="000C0B5F">
              <w:rPr>
                <w:rFonts w:eastAsia="Times New Roman"/>
                <w:b/>
                <w:bCs/>
                <w:sz w:val="20"/>
                <w:szCs w:val="20"/>
              </w:rPr>
              <w:t>Reporting Burden</w:t>
            </w:r>
          </w:p>
        </w:tc>
        <w:tc>
          <w:tcPr>
            <w:tcW w:w="6240" w:type="dxa"/>
            <w:gridSpan w:val="2"/>
            <w:tcBorders>
              <w:top w:val="single" w:sz="12" w:space="0" w:color="auto"/>
              <w:left w:val="single" w:sz="12" w:space="0" w:color="auto"/>
              <w:bottom w:val="single" w:sz="12" w:space="0" w:color="auto"/>
              <w:right w:val="single" w:sz="12" w:space="0" w:color="auto"/>
            </w:tcBorders>
          </w:tcPr>
          <w:p w:rsidR="06AD5A6D" w:rsidRPr="000C0B5F" w:rsidP="06AD5A6D" w14:paraId="48E863F3" w14:textId="56565EC2">
            <w:pPr>
              <w:jc w:val="center"/>
              <w:rPr>
                <w:sz w:val="20"/>
                <w:szCs w:val="20"/>
              </w:rPr>
            </w:pPr>
            <w:r w:rsidRPr="000C0B5F">
              <w:rPr>
                <w:rFonts w:eastAsia="Times New Roman"/>
                <w:b/>
                <w:bCs/>
                <w:sz w:val="20"/>
                <w:szCs w:val="20"/>
              </w:rPr>
              <w:t>Reporting Burden (costs)</w:t>
            </w:r>
          </w:p>
        </w:tc>
      </w:tr>
      <w:tr w14:paraId="050F3D68" w14:textId="77777777" w:rsidTr="00AE6C21">
        <w:tblPrEx>
          <w:tblW w:w="0" w:type="auto"/>
          <w:tblLayout w:type="fixed"/>
          <w:tblLook w:val="06A0"/>
        </w:tblPrEx>
        <w:trPr>
          <w:trHeight w:val="300"/>
        </w:trPr>
        <w:tc>
          <w:tcPr>
            <w:tcW w:w="3120" w:type="dxa"/>
            <w:tcBorders>
              <w:top w:val="single" w:sz="12" w:space="0" w:color="auto"/>
              <w:left w:val="single" w:sz="12" w:space="0" w:color="auto"/>
              <w:bottom w:val="single" w:sz="12" w:space="0" w:color="auto"/>
              <w:right w:val="single" w:sz="12" w:space="0" w:color="auto"/>
            </w:tcBorders>
          </w:tcPr>
          <w:p w:rsidR="06AD5A6D" w:rsidRPr="000C0B5F" w:rsidP="06AD5A6D" w14:paraId="40287FFD" w14:textId="31B23965">
            <w:pPr>
              <w:rPr>
                <w:sz w:val="20"/>
                <w:szCs w:val="20"/>
              </w:rPr>
            </w:pPr>
            <w:r w:rsidRPr="000C0B5F">
              <w:rPr>
                <w:rFonts w:eastAsia="Times New Roman"/>
                <w:b/>
                <w:bCs/>
                <w:sz w:val="20"/>
                <w:szCs w:val="20"/>
              </w:rPr>
              <w:t>Reporting Burden Task</w:t>
            </w:r>
          </w:p>
        </w:tc>
        <w:tc>
          <w:tcPr>
            <w:tcW w:w="3120" w:type="dxa"/>
            <w:tcBorders>
              <w:top w:val="single" w:sz="12" w:space="0" w:color="auto"/>
              <w:left w:val="single" w:sz="12" w:space="0" w:color="auto"/>
              <w:bottom w:val="single" w:sz="12" w:space="0" w:color="auto"/>
            </w:tcBorders>
          </w:tcPr>
          <w:p w:rsidR="06AD5A6D" w:rsidRPr="000C0B5F" w:rsidP="06AD5A6D" w14:paraId="5B6A9DEC" w14:textId="2A293F1A">
            <w:pPr>
              <w:rPr>
                <w:sz w:val="20"/>
                <w:szCs w:val="20"/>
              </w:rPr>
            </w:pPr>
            <w:r w:rsidRPr="000C0B5F">
              <w:rPr>
                <w:rFonts w:eastAsia="Times New Roman"/>
                <w:b/>
                <w:bCs/>
                <w:sz w:val="20"/>
                <w:szCs w:val="20"/>
              </w:rPr>
              <w:t>Capital Startup Cost ($/yr)</w:t>
            </w:r>
          </w:p>
        </w:tc>
        <w:tc>
          <w:tcPr>
            <w:tcW w:w="3120" w:type="dxa"/>
            <w:tcBorders>
              <w:top w:val="single" w:sz="12" w:space="0" w:color="auto"/>
              <w:bottom w:val="single" w:sz="12" w:space="0" w:color="auto"/>
              <w:right w:val="single" w:sz="12" w:space="0" w:color="auto"/>
            </w:tcBorders>
          </w:tcPr>
          <w:p w:rsidR="06AD5A6D" w:rsidRPr="000C0B5F" w:rsidP="06AD5A6D" w14:paraId="4A5F9C2E" w14:textId="431A2CCD">
            <w:pPr>
              <w:rPr>
                <w:sz w:val="20"/>
                <w:szCs w:val="20"/>
              </w:rPr>
            </w:pPr>
            <w:r w:rsidRPr="000C0B5F">
              <w:rPr>
                <w:rFonts w:eastAsia="Times New Roman"/>
                <w:b/>
                <w:bCs/>
                <w:sz w:val="20"/>
                <w:szCs w:val="20"/>
              </w:rPr>
              <w:t>O &amp; M Cost ($/yr)</w:t>
            </w:r>
          </w:p>
        </w:tc>
      </w:tr>
      <w:tr w14:paraId="54205CDE" w14:textId="77777777" w:rsidTr="00AE6C21">
        <w:tblPrEx>
          <w:tblW w:w="0" w:type="auto"/>
          <w:tblLayout w:type="fixed"/>
          <w:tblLook w:val="06A0"/>
        </w:tblPrEx>
        <w:trPr>
          <w:trHeight w:val="300"/>
        </w:trPr>
        <w:tc>
          <w:tcPr>
            <w:tcW w:w="3120" w:type="dxa"/>
            <w:tcBorders>
              <w:top w:val="single" w:sz="12" w:space="0" w:color="auto"/>
              <w:left w:val="single" w:sz="12" w:space="0" w:color="auto"/>
              <w:right w:val="single" w:sz="12" w:space="0" w:color="auto"/>
            </w:tcBorders>
          </w:tcPr>
          <w:p w:rsidR="06AD5A6D" w:rsidRPr="000C0B5F" w:rsidP="06AD5A6D" w14:paraId="580E3225" w14:textId="3FCBC676">
            <w:pPr>
              <w:rPr>
                <w:sz w:val="20"/>
                <w:szCs w:val="20"/>
              </w:rPr>
            </w:pPr>
            <w:r w:rsidRPr="000C0B5F">
              <w:rPr>
                <w:rFonts w:eastAsia="Times New Roman"/>
                <w:sz w:val="20"/>
                <w:szCs w:val="20"/>
              </w:rPr>
              <w:t>Read and understand the regulatory provision</w:t>
            </w:r>
          </w:p>
        </w:tc>
        <w:tc>
          <w:tcPr>
            <w:tcW w:w="3120" w:type="dxa"/>
            <w:tcBorders>
              <w:top w:val="single" w:sz="12" w:space="0" w:color="auto"/>
              <w:left w:val="single" w:sz="12" w:space="0" w:color="auto"/>
            </w:tcBorders>
          </w:tcPr>
          <w:p w:rsidR="06AD5A6D" w:rsidRPr="000C0B5F" w:rsidP="06AD5A6D" w14:paraId="097EE348" w14:textId="21F8852D">
            <w:pPr>
              <w:jc w:val="center"/>
              <w:rPr>
                <w:sz w:val="20"/>
                <w:szCs w:val="20"/>
              </w:rPr>
            </w:pPr>
            <w:r w:rsidRPr="000C0B5F">
              <w:rPr>
                <w:rFonts w:eastAsia="Times New Roman"/>
                <w:sz w:val="20"/>
                <w:szCs w:val="20"/>
              </w:rPr>
              <w:t>$0</w:t>
            </w:r>
          </w:p>
        </w:tc>
        <w:tc>
          <w:tcPr>
            <w:tcW w:w="3120" w:type="dxa"/>
            <w:tcBorders>
              <w:top w:val="single" w:sz="12" w:space="0" w:color="auto"/>
            </w:tcBorders>
          </w:tcPr>
          <w:p w:rsidR="06AD5A6D" w:rsidRPr="000C0B5F" w:rsidP="06AD5A6D" w14:paraId="45C301F9" w14:textId="6CD2821F">
            <w:pPr>
              <w:jc w:val="center"/>
              <w:rPr>
                <w:sz w:val="20"/>
                <w:szCs w:val="20"/>
              </w:rPr>
            </w:pPr>
            <w:r w:rsidRPr="000C0B5F">
              <w:rPr>
                <w:rFonts w:eastAsia="Times New Roman"/>
                <w:sz w:val="20"/>
                <w:szCs w:val="20"/>
              </w:rPr>
              <w:t>$0</w:t>
            </w:r>
          </w:p>
        </w:tc>
      </w:tr>
      <w:tr w14:paraId="3F581FDD" w14:textId="77777777" w:rsidTr="00AE6C21">
        <w:tblPrEx>
          <w:tblW w:w="0" w:type="auto"/>
          <w:tblLayout w:type="fixed"/>
          <w:tblLook w:val="06A0"/>
        </w:tblPrEx>
        <w:trPr>
          <w:trHeight w:val="300"/>
        </w:trPr>
        <w:tc>
          <w:tcPr>
            <w:tcW w:w="3120" w:type="dxa"/>
            <w:tcBorders>
              <w:left w:val="single" w:sz="12" w:space="0" w:color="auto"/>
              <w:right w:val="single" w:sz="12" w:space="0" w:color="auto"/>
            </w:tcBorders>
          </w:tcPr>
          <w:p w:rsidR="06AD5A6D" w:rsidRPr="000C0B5F" w:rsidP="06AD5A6D" w14:paraId="6837C936" w14:textId="2E424FCC">
            <w:pPr>
              <w:rPr>
                <w:sz w:val="20"/>
                <w:szCs w:val="20"/>
              </w:rPr>
            </w:pPr>
            <w:r w:rsidRPr="000C0B5F">
              <w:rPr>
                <w:rFonts w:eastAsia="Times New Roman"/>
                <w:sz w:val="20"/>
                <w:szCs w:val="20"/>
              </w:rPr>
              <w:t>Perform emission monitoring</w:t>
            </w:r>
          </w:p>
        </w:tc>
        <w:tc>
          <w:tcPr>
            <w:tcW w:w="3120" w:type="dxa"/>
            <w:tcBorders>
              <w:left w:val="single" w:sz="12" w:space="0" w:color="auto"/>
            </w:tcBorders>
          </w:tcPr>
          <w:p w:rsidR="06AD5A6D" w:rsidRPr="000C0B5F" w:rsidP="06AD5A6D" w14:paraId="338DCFBE" w14:textId="1BA2D7A7">
            <w:pPr>
              <w:jc w:val="center"/>
              <w:rPr>
                <w:sz w:val="20"/>
                <w:szCs w:val="20"/>
              </w:rPr>
            </w:pPr>
            <w:r w:rsidRPr="000C0B5F">
              <w:rPr>
                <w:rFonts w:eastAsia="Times New Roman"/>
                <w:sz w:val="20"/>
                <w:szCs w:val="20"/>
              </w:rPr>
              <w:t>$0</w:t>
            </w:r>
          </w:p>
        </w:tc>
        <w:tc>
          <w:tcPr>
            <w:tcW w:w="3120" w:type="dxa"/>
          </w:tcPr>
          <w:p w:rsidR="06AD5A6D" w:rsidRPr="000C0B5F" w:rsidP="06AD5A6D" w14:paraId="0065BC68" w14:textId="07467D7F">
            <w:pPr>
              <w:jc w:val="center"/>
              <w:rPr>
                <w:sz w:val="20"/>
                <w:szCs w:val="20"/>
              </w:rPr>
            </w:pPr>
            <w:r w:rsidRPr="000C0B5F">
              <w:rPr>
                <w:rFonts w:eastAsia="Times New Roman"/>
                <w:sz w:val="20"/>
                <w:szCs w:val="20"/>
              </w:rPr>
              <w:t>$74,200</w:t>
            </w:r>
          </w:p>
        </w:tc>
      </w:tr>
      <w:tr w14:paraId="54C2297F" w14:textId="77777777" w:rsidTr="00AE6C21">
        <w:tblPrEx>
          <w:tblW w:w="0" w:type="auto"/>
          <w:tblLayout w:type="fixed"/>
          <w:tblLook w:val="06A0"/>
        </w:tblPrEx>
        <w:trPr>
          <w:trHeight w:val="300"/>
        </w:trPr>
        <w:tc>
          <w:tcPr>
            <w:tcW w:w="3120" w:type="dxa"/>
            <w:tcBorders>
              <w:left w:val="single" w:sz="12" w:space="0" w:color="auto"/>
              <w:right w:val="single" w:sz="12" w:space="0" w:color="auto"/>
            </w:tcBorders>
          </w:tcPr>
          <w:p w:rsidR="06AD5A6D" w:rsidRPr="000C0B5F" w:rsidP="06AD5A6D" w14:paraId="54BBEDD6" w14:textId="3A7FC212">
            <w:pPr>
              <w:rPr>
                <w:sz w:val="20"/>
                <w:szCs w:val="20"/>
              </w:rPr>
            </w:pPr>
            <w:r w:rsidRPr="000C0B5F">
              <w:rPr>
                <w:rFonts w:eastAsia="Times New Roman"/>
                <w:sz w:val="20"/>
                <w:szCs w:val="20"/>
              </w:rPr>
              <w:t>Perform data analysis</w:t>
            </w:r>
          </w:p>
        </w:tc>
        <w:tc>
          <w:tcPr>
            <w:tcW w:w="3120" w:type="dxa"/>
            <w:tcBorders>
              <w:left w:val="single" w:sz="12" w:space="0" w:color="auto"/>
            </w:tcBorders>
          </w:tcPr>
          <w:p w:rsidR="06AD5A6D" w:rsidRPr="000C0B5F" w:rsidP="06AD5A6D" w14:paraId="7D2B8B5C" w14:textId="5F85F2CC">
            <w:pPr>
              <w:jc w:val="center"/>
              <w:rPr>
                <w:sz w:val="20"/>
                <w:szCs w:val="20"/>
              </w:rPr>
            </w:pPr>
            <w:r w:rsidRPr="000C0B5F">
              <w:rPr>
                <w:rFonts w:eastAsia="Times New Roman"/>
                <w:sz w:val="20"/>
                <w:szCs w:val="20"/>
              </w:rPr>
              <w:t>$0</w:t>
            </w:r>
          </w:p>
        </w:tc>
        <w:tc>
          <w:tcPr>
            <w:tcW w:w="3120" w:type="dxa"/>
          </w:tcPr>
          <w:p w:rsidR="06AD5A6D" w:rsidRPr="000C0B5F" w:rsidP="06AD5A6D" w14:paraId="6E97CCA6" w14:textId="121F8EC2">
            <w:pPr>
              <w:jc w:val="center"/>
              <w:rPr>
                <w:sz w:val="20"/>
                <w:szCs w:val="20"/>
              </w:rPr>
            </w:pPr>
            <w:r w:rsidRPr="000C0B5F">
              <w:rPr>
                <w:rFonts w:eastAsia="Times New Roman"/>
                <w:sz w:val="20"/>
                <w:szCs w:val="20"/>
              </w:rPr>
              <w:t>$0</w:t>
            </w:r>
          </w:p>
        </w:tc>
      </w:tr>
      <w:tr w14:paraId="20297198" w14:textId="77777777" w:rsidTr="00AE6C21">
        <w:tblPrEx>
          <w:tblW w:w="0" w:type="auto"/>
          <w:tblLayout w:type="fixed"/>
          <w:tblLook w:val="06A0"/>
        </w:tblPrEx>
        <w:trPr>
          <w:trHeight w:val="300"/>
        </w:trPr>
        <w:tc>
          <w:tcPr>
            <w:tcW w:w="3120" w:type="dxa"/>
            <w:tcBorders>
              <w:left w:val="single" w:sz="12" w:space="0" w:color="auto"/>
              <w:bottom w:val="single" w:sz="12" w:space="0" w:color="auto"/>
              <w:right w:val="single" w:sz="12" w:space="0" w:color="auto"/>
            </w:tcBorders>
          </w:tcPr>
          <w:p w:rsidR="06AD5A6D" w:rsidRPr="000C0B5F" w:rsidP="06AD5A6D" w14:paraId="31D68419" w14:textId="67AE8F73">
            <w:pPr>
              <w:rPr>
                <w:sz w:val="20"/>
                <w:szCs w:val="20"/>
              </w:rPr>
            </w:pPr>
            <w:r w:rsidRPr="000C0B5F">
              <w:rPr>
                <w:rFonts w:eastAsia="Times New Roman"/>
                <w:sz w:val="20"/>
                <w:szCs w:val="20"/>
              </w:rPr>
              <w:t>Prepare report</w:t>
            </w:r>
          </w:p>
        </w:tc>
        <w:tc>
          <w:tcPr>
            <w:tcW w:w="3120" w:type="dxa"/>
            <w:tcBorders>
              <w:left w:val="single" w:sz="12" w:space="0" w:color="auto"/>
              <w:bottom w:val="single" w:sz="12" w:space="0" w:color="auto"/>
            </w:tcBorders>
          </w:tcPr>
          <w:p w:rsidR="06AD5A6D" w:rsidRPr="000C0B5F" w:rsidP="06AD5A6D" w14:paraId="10EF39B2" w14:textId="0B522D24">
            <w:pPr>
              <w:jc w:val="center"/>
              <w:rPr>
                <w:sz w:val="20"/>
                <w:szCs w:val="20"/>
              </w:rPr>
            </w:pPr>
            <w:r w:rsidRPr="000C0B5F">
              <w:rPr>
                <w:rFonts w:eastAsia="Times New Roman"/>
                <w:sz w:val="20"/>
                <w:szCs w:val="20"/>
              </w:rPr>
              <w:t>$0</w:t>
            </w:r>
          </w:p>
        </w:tc>
        <w:tc>
          <w:tcPr>
            <w:tcW w:w="3120" w:type="dxa"/>
            <w:tcBorders>
              <w:bottom w:val="single" w:sz="12" w:space="0" w:color="auto"/>
            </w:tcBorders>
          </w:tcPr>
          <w:p w:rsidR="06AD5A6D" w:rsidRPr="000C0B5F" w:rsidP="06AD5A6D" w14:paraId="0FB02319" w14:textId="1586E259">
            <w:pPr>
              <w:jc w:val="center"/>
              <w:rPr>
                <w:sz w:val="20"/>
                <w:szCs w:val="20"/>
              </w:rPr>
            </w:pPr>
            <w:r w:rsidRPr="000C0B5F">
              <w:rPr>
                <w:rFonts w:eastAsia="Times New Roman"/>
                <w:sz w:val="20"/>
                <w:szCs w:val="20"/>
              </w:rPr>
              <w:t>$0</w:t>
            </w:r>
          </w:p>
        </w:tc>
      </w:tr>
      <w:tr w14:paraId="031284F0" w14:textId="77777777" w:rsidTr="00AE6C21">
        <w:tblPrEx>
          <w:tblW w:w="0" w:type="auto"/>
          <w:tblLayout w:type="fixed"/>
          <w:tblLook w:val="06A0"/>
        </w:tblPrEx>
        <w:trPr>
          <w:trHeight w:val="300"/>
        </w:trPr>
        <w:tc>
          <w:tcPr>
            <w:tcW w:w="3120" w:type="dxa"/>
            <w:tcBorders>
              <w:top w:val="single" w:sz="12" w:space="0" w:color="auto"/>
              <w:left w:val="single" w:sz="12" w:space="0" w:color="auto"/>
              <w:bottom w:val="single" w:sz="12" w:space="0" w:color="auto"/>
              <w:right w:val="single" w:sz="12" w:space="0" w:color="auto"/>
            </w:tcBorders>
          </w:tcPr>
          <w:p w:rsidR="06AD5A6D" w:rsidRPr="000C0B5F" w:rsidP="06AD5A6D" w14:paraId="321D4C08" w14:textId="63F28DED">
            <w:pPr>
              <w:rPr>
                <w:sz w:val="20"/>
                <w:szCs w:val="20"/>
              </w:rPr>
            </w:pPr>
            <w:r w:rsidRPr="000C0B5F">
              <w:rPr>
                <w:rFonts w:eastAsia="Times New Roman"/>
                <w:b/>
                <w:bCs/>
                <w:sz w:val="20"/>
                <w:szCs w:val="20"/>
              </w:rPr>
              <w:t>Record Keeping Burden</w:t>
            </w:r>
          </w:p>
        </w:tc>
        <w:tc>
          <w:tcPr>
            <w:tcW w:w="6240" w:type="dxa"/>
            <w:gridSpan w:val="2"/>
            <w:tcBorders>
              <w:top w:val="single" w:sz="12" w:space="0" w:color="auto"/>
              <w:left w:val="single" w:sz="12" w:space="0" w:color="auto"/>
              <w:bottom w:val="single" w:sz="12" w:space="0" w:color="auto"/>
              <w:right w:val="single" w:sz="12" w:space="0" w:color="auto"/>
            </w:tcBorders>
          </w:tcPr>
          <w:p w:rsidR="06AD5A6D" w:rsidRPr="000C0B5F" w:rsidP="06AD5A6D" w14:paraId="669A99D3" w14:textId="51499EFB">
            <w:pPr>
              <w:jc w:val="center"/>
              <w:rPr>
                <w:sz w:val="20"/>
                <w:szCs w:val="20"/>
              </w:rPr>
            </w:pPr>
            <w:r w:rsidRPr="000C0B5F">
              <w:rPr>
                <w:rFonts w:eastAsia="Times New Roman"/>
                <w:b/>
                <w:bCs/>
                <w:sz w:val="20"/>
                <w:szCs w:val="20"/>
              </w:rPr>
              <w:t>Record Keeping Burden (costs)</w:t>
            </w:r>
          </w:p>
        </w:tc>
      </w:tr>
      <w:tr w14:paraId="6021D986" w14:textId="77777777" w:rsidTr="0018502D">
        <w:tblPrEx>
          <w:tblW w:w="0" w:type="auto"/>
          <w:tblLayout w:type="fixed"/>
          <w:tblLook w:val="06A0"/>
        </w:tblPrEx>
        <w:trPr>
          <w:trHeight w:val="300"/>
        </w:trPr>
        <w:tc>
          <w:tcPr>
            <w:tcW w:w="3120" w:type="dxa"/>
            <w:tcBorders>
              <w:top w:val="single" w:sz="12" w:space="0" w:color="auto"/>
              <w:left w:val="single" w:sz="12" w:space="0" w:color="auto"/>
              <w:bottom w:val="single" w:sz="12" w:space="0" w:color="auto"/>
              <w:right w:val="single" w:sz="12" w:space="0" w:color="auto"/>
            </w:tcBorders>
          </w:tcPr>
          <w:p w:rsidR="06AD5A6D" w:rsidRPr="000C0B5F" w:rsidP="06AD5A6D" w14:paraId="7F9AF715" w14:textId="344ACB24">
            <w:pPr>
              <w:rPr>
                <w:sz w:val="20"/>
                <w:szCs w:val="20"/>
              </w:rPr>
            </w:pPr>
            <w:r w:rsidRPr="000C0B5F">
              <w:rPr>
                <w:rFonts w:eastAsia="Times New Roman"/>
                <w:sz w:val="20"/>
                <w:szCs w:val="20"/>
              </w:rPr>
              <w:t>File and maintain data</w:t>
            </w:r>
          </w:p>
        </w:tc>
        <w:tc>
          <w:tcPr>
            <w:tcW w:w="3120" w:type="dxa"/>
            <w:tcBorders>
              <w:top w:val="single" w:sz="12" w:space="0" w:color="auto"/>
              <w:left w:val="single" w:sz="12" w:space="0" w:color="auto"/>
              <w:bottom w:val="single" w:sz="12" w:space="0" w:color="auto"/>
            </w:tcBorders>
          </w:tcPr>
          <w:p w:rsidR="06AD5A6D" w:rsidRPr="000C0B5F" w:rsidP="06AD5A6D" w14:paraId="6619DF24" w14:textId="595F191D">
            <w:pPr>
              <w:jc w:val="center"/>
              <w:rPr>
                <w:sz w:val="20"/>
                <w:szCs w:val="20"/>
              </w:rPr>
            </w:pPr>
            <w:r w:rsidRPr="000C0B5F">
              <w:rPr>
                <w:rFonts w:eastAsia="Times New Roman"/>
                <w:sz w:val="20"/>
                <w:szCs w:val="20"/>
              </w:rPr>
              <w:t>$0</w:t>
            </w:r>
          </w:p>
        </w:tc>
        <w:tc>
          <w:tcPr>
            <w:tcW w:w="3120" w:type="dxa"/>
            <w:tcBorders>
              <w:top w:val="single" w:sz="12" w:space="0" w:color="auto"/>
              <w:bottom w:val="single" w:sz="12" w:space="0" w:color="auto"/>
            </w:tcBorders>
          </w:tcPr>
          <w:p w:rsidR="06AD5A6D" w:rsidRPr="000C0B5F" w:rsidP="06AD5A6D" w14:paraId="76F4C406" w14:textId="583CD4E3">
            <w:pPr>
              <w:jc w:val="center"/>
              <w:rPr>
                <w:sz w:val="20"/>
                <w:szCs w:val="20"/>
              </w:rPr>
            </w:pPr>
            <w:r w:rsidRPr="000C0B5F">
              <w:rPr>
                <w:rFonts w:eastAsia="Times New Roman"/>
                <w:sz w:val="20"/>
                <w:szCs w:val="20"/>
              </w:rPr>
              <w:t>$0</w:t>
            </w:r>
          </w:p>
        </w:tc>
      </w:tr>
      <w:tr w14:paraId="79266493" w14:textId="77777777" w:rsidTr="00AE6C21">
        <w:tblPrEx>
          <w:tblW w:w="0" w:type="auto"/>
          <w:tblLayout w:type="fixed"/>
          <w:tblLook w:val="06A0"/>
        </w:tblPrEx>
        <w:trPr>
          <w:trHeight w:val="300"/>
        </w:trPr>
        <w:tc>
          <w:tcPr>
            <w:tcW w:w="3120" w:type="dxa"/>
            <w:tcBorders>
              <w:top w:val="single" w:sz="12" w:space="0" w:color="auto"/>
              <w:left w:val="single" w:sz="12" w:space="0" w:color="auto"/>
              <w:bottom w:val="single" w:sz="12" w:space="0" w:color="auto"/>
              <w:right w:val="single" w:sz="12" w:space="0" w:color="auto"/>
            </w:tcBorders>
          </w:tcPr>
          <w:p w:rsidR="0018502D" w:rsidRPr="000C0B5F" w:rsidP="06AD5A6D" w14:paraId="5743BCEC" w14:textId="6CF291EF">
            <w:pPr>
              <w:rPr>
                <w:rFonts w:eastAsia="Times New Roman"/>
                <w:b/>
                <w:bCs/>
                <w:sz w:val="20"/>
                <w:szCs w:val="20"/>
              </w:rPr>
            </w:pPr>
            <w:r w:rsidRPr="000C0B5F">
              <w:rPr>
                <w:rFonts w:eastAsia="Times New Roman"/>
                <w:b/>
                <w:bCs/>
                <w:sz w:val="20"/>
                <w:szCs w:val="20"/>
              </w:rPr>
              <w:t>TOTAL</w:t>
            </w:r>
          </w:p>
        </w:tc>
        <w:tc>
          <w:tcPr>
            <w:tcW w:w="3120" w:type="dxa"/>
            <w:tcBorders>
              <w:top w:val="single" w:sz="12" w:space="0" w:color="auto"/>
              <w:left w:val="single" w:sz="12" w:space="0" w:color="auto"/>
            </w:tcBorders>
          </w:tcPr>
          <w:p w:rsidR="0018502D" w:rsidRPr="000C0B5F" w:rsidP="06AD5A6D" w14:paraId="5CB38FB6" w14:textId="078A78BA">
            <w:pPr>
              <w:jc w:val="center"/>
              <w:rPr>
                <w:rFonts w:eastAsia="Times New Roman"/>
                <w:sz w:val="20"/>
                <w:szCs w:val="20"/>
              </w:rPr>
            </w:pPr>
            <w:r w:rsidRPr="000C0B5F">
              <w:rPr>
                <w:rFonts w:eastAsia="Times New Roman"/>
                <w:sz w:val="20"/>
                <w:szCs w:val="20"/>
              </w:rPr>
              <w:t>$0</w:t>
            </w:r>
          </w:p>
        </w:tc>
        <w:tc>
          <w:tcPr>
            <w:tcW w:w="3120" w:type="dxa"/>
            <w:tcBorders>
              <w:top w:val="single" w:sz="12" w:space="0" w:color="auto"/>
            </w:tcBorders>
          </w:tcPr>
          <w:p w:rsidR="0018502D" w:rsidRPr="000C0B5F" w:rsidP="06AD5A6D" w14:paraId="6F9D1B1F" w14:textId="52277E36">
            <w:pPr>
              <w:jc w:val="center"/>
              <w:rPr>
                <w:rFonts w:eastAsia="Times New Roman"/>
                <w:sz w:val="20"/>
                <w:szCs w:val="20"/>
              </w:rPr>
            </w:pPr>
            <w:r w:rsidRPr="000C0B5F">
              <w:rPr>
                <w:rFonts w:eastAsia="Times New Roman"/>
                <w:sz w:val="20"/>
                <w:szCs w:val="20"/>
              </w:rPr>
              <w:t>$74,000</w:t>
            </w:r>
          </w:p>
        </w:tc>
      </w:tr>
    </w:tbl>
    <w:p w:rsidR="00035930" w:rsidRPr="000C0B5F" w:rsidP="00FC6893" w14:paraId="7F83BE6C" w14:textId="77777777">
      <w:pPr>
        <w:spacing w:before="240"/>
        <w:rPr>
          <w:b/>
          <w:bCs/>
        </w:rPr>
      </w:pPr>
      <w:r w:rsidRPr="000C0B5F">
        <w:rPr>
          <w:b/>
          <w:bCs/>
        </w:rPr>
        <w:t>Subpart K: Elemental Phosphorus Plants</w:t>
      </w:r>
    </w:p>
    <w:p w:rsidR="00035930" w:rsidRPr="000C0B5F" w:rsidP="003F1037" w14:paraId="730C6FE4" w14:textId="0782CA19">
      <w:r w:rsidRPr="000C0B5F">
        <w:t xml:space="preserve">No </w:t>
      </w:r>
      <w:r w:rsidRPr="000C0B5F" w:rsidR="00A77DBB">
        <w:t xml:space="preserve">O&amp;M and Startup Cost </w:t>
      </w:r>
      <w:r w:rsidRPr="000C0B5F" w:rsidR="001C7E44">
        <w:t xml:space="preserve">are expected </w:t>
      </w:r>
      <w:r w:rsidRPr="000C0B5F" w:rsidR="00A77DBB">
        <w:t xml:space="preserve">for </w:t>
      </w:r>
      <w:r w:rsidRPr="000C0B5F" w:rsidR="00002AE5">
        <w:t>s</w:t>
      </w:r>
      <w:r w:rsidRPr="000C0B5F" w:rsidR="00A77DBB">
        <w:t>ubpart K Elemental Phosphorus Plants</w:t>
      </w:r>
      <w:r w:rsidRPr="000C0B5F" w:rsidR="001C7E44">
        <w:t xml:space="preserve">. </w:t>
      </w:r>
    </w:p>
    <w:p w:rsidR="00EE6581" w:rsidRPr="000C0B5F" w:rsidP="00FC6893" w14:paraId="6FAF3302" w14:textId="77777777">
      <w:pPr>
        <w:spacing w:before="240"/>
        <w:rPr>
          <w:b/>
          <w:bCs/>
        </w:rPr>
      </w:pPr>
      <w:r w:rsidRPr="000C0B5F">
        <w:rPr>
          <w:b/>
          <w:bCs/>
        </w:rPr>
        <w:t xml:space="preserve">Subpart R: Phosphogypsum Stacks </w:t>
      </w:r>
    </w:p>
    <w:p w:rsidR="00EE6581" w:rsidRPr="000C0B5F" w:rsidP="00FC6893" w14:paraId="45AF7D5D" w14:textId="19310808">
      <w:pPr>
        <w:spacing w:after="120" w:line="276" w:lineRule="auto"/>
      </w:pPr>
      <w:r w:rsidRPr="000C0B5F">
        <w:t xml:space="preserve">Table </w:t>
      </w:r>
      <w:r w:rsidRPr="000C0B5F" w:rsidR="0090417B">
        <w:t>1</w:t>
      </w:r>
      <w:r w:rsidRPr="000C0B5F" w:rsidR="006B1F43">
        <w:t>2</w:t>
      </w:r>
      <w:r w:rsidRPr="000C0B5F">
        <w:t xml:space="preserve"> includes the following expenses for respondents</w:t>
      </w:r>
      <w:r w:rsidRPr="000C0B5F" w:rsidR="00364112">
        <w:t xml:space="preserve"> subject to subpart R</w:t>
      </w:r>
      <w:r w:rsidRPr="000C0B5F">
        <w:t>:</w:t>
      </w:r>
    </w:p>
    <w:p w:rsidR="00EE6581" w:rsidRPr="000C0B5F" w:rsidP="00FC6893" w14:paraId="78692476" w14:textId="77777777">
      <w:pPr>
        <w:pStyle w:val="ListParagraph"/>
        <w:numPr>
          <w:ilvl w:val="0"/>
          <w:numId w:val="34"/>
        </w:numPr>
        <w:spacing w:line="276" w:lineRule="auto"/>
      </w:pPr>
      <w:r w:rsidRPr="000C0B5F">
        <w:t>It is estimated that the testing materials for 300 flux measurements and the analysis are obtained from a contract source at a cost of $44/measurement.</w:t>
      </w:r>
    </w:p>
    <w:p w:rsidR="00EE6581" w:rsidRPr="000C0B5F" w:rsidP="00FC6893" w14:paraId="74A8AE3D" w14:textId="77777777">
      <w:pPr>
        <w:pStyle w:val="ListParagraph"/>
        <w:numPr>
          <w:ilvl w:val="0"/>
          <w:numId w:val="34"/>
        </w:numPr>
        <w:spacing w:line="276" w:lineRule="auto"/>
      </w:pPr>
      <w:r w:rsidRPr="000C0B5F">
        <w:t xml:space="preserve">It is estimated that it will take four days for two people to place, collect and ship 300 samples to a testing lab. </w:t>
      </w:r>
    </w:p>
    <w:p w:rsidR="00EE6581" w:rsidRPr="000C0B5F" w:rsidP="00FC6893" w14:paraId="06313F3E" w14:textId="77777777">
      <w:pPr>
        <w:pStyle w:val="ListParagraph"/>
        <w:numPr>
          <w:ilvl w:val="0"/>
          <w:numId w:val="34"/>
        </w:numPr>
        <w:spacing w:line="276" w:lineRule="auto"/>
      </w:pPr>
      <w:r w:rsidRPr="000C0B5F">
        <w:t xml:space="preserve">It is estimated that that the thirteen stacks that have not closed yet must complete this one-time report. </w:t>
      </w:r>
    </w:p>
    <w:p w:rsidR="00EE6581" w:rsidRPr="000C0B5F" w:rsidP="00FC6893" w14:paraId="2A53E259" w14:textId="77777777">
      <w:pPr>
        <w:pStyle w:val="ListParagraph"/>
        <w:numPr>
          <w:ilvl w:val="0"/>
          <w:numId w:val="34"/>
        </w:numPr>
        <w:spacing w:line="276" w:lineRule="auto"/>
      </w:pPr>
      <w:r w:rsidRPr="000C0B5F">
        <w:t xml:space="preserve">It is likewise estimated that all thirteen currently active phosphogypsum stacks will remove material and therefore be required to measure the radium-226 concentration of the removed material to be included in certification papers. </w:t>
      </w:r>
    </w:p>
    <w:p w:rsidR="00EE6581" w:rsidRPr="000C0B5F" w:rsidP="00FC6893" w14:paraId="1EC0A7E8" w14:textId="14337826">
      <w:pPr>
        <w:spacing w:line="276" w:lineRule="auto"/>
      </w:pPr>
      <w:r w:rsidRPr="000C0B5F">
        <w:t xml:space="preserve">Section 61.207 requires a minimum of 30 samples from each area where phosphogypsum is being removed from the stack, with additional sampling required where the concentrations approach 10 pCi/g of radium-226. It is estimated that 100 samples per stack will be necessary to document radium concentrations and that radium analysis will be performed for $100 per sample by a contract laboratory. It is estimated that sample collection and preparation occur at a rate of five samples per hour. The total burden estimated for subpart R facilities is shown in Table </w:t>
      </w:r>
      <w:r w:rsidRPr="000C0B5F" w:rsidR="00A227CE">
        <w:t>12</w:t>
      </w:r>
      <w:r w:rsidRPr="000C0B5F">
        <w:t>.</w:t>
      </w:r>
    </w:p>
    <w:p w:rsidR="00EE6581" w:rsidRPr="000C0B5F" w:rsidP="00EE6581" w14:paraId="5FF64453" w14:textId="19D4459F">
      <w:pPr>
        <w:rPr>
          <w:b/>
          <w:bCs/>
        </w:rPr>
      </w:pPr>
      <w:r w:rsidRPr="000C0B5F">
        <w:rPr>
          <w:b/>
          <w:bCs/>
        </w:rPr>
        <w:t xml:space="preserve">Table </w:t>
      </w:r>
      <w:r w:rsidRPr="000C0B5F" w:rsidR="57047F37">
        <w:rPr>
          <w:b/>
          <w:bCs/>
        </w:rPr>
        <w:t>1</w:t>
      </w:r>
      <w:r w:rsidRPr="000C0B5F" w:rsidR="008129E7">
        <w:rPr>
          <w:b/>
          <w:bCs/>
        </w:rPr>
        <w:t>2</w:t>
      </w:r>
      <w:r w:rsidRPr="000C0B5F">
        <w:rPr>
          <w:b/>
          <w:bCs/>
        </w:rPr>
        <w:t>: Burden and Cost for Subpart R Phosphogypsum Stacks</w:t>
      </w:r>
    </w:p>
    <w:tbl>
      <w:tblPr>
        <w:tblStyle w:val="TableGrid"/>
        <w:tblW w:w="0" w:type="auto"/>
        <w:jc w:val="center"/>
        <w:tblBorders>
          <w:top w:val="single" w:sz="8" w:space="0" w:color="auto"/>
          <w:left w:val="single" w:sz="8" w:space="0" w:color="auto"/>
          <w:bottom w:val="single" w:sz="8" w:space="0" w:color="auto"/>
          <w:right w:val="single" w:sz="8" w:space="0" w:color="auto"/>
          <w:insideV w:val="single" w:sz="8" w:space="0" w:color="auto"/>
        </w:tblBorders>
        <w:tblLayout w:type="fixed"/>
        <w:tblLook w:val="06A0"/>
      </w:tblPr>
      <w:tblGrid>
        <w:gridCol w:w="2340"/>
        <w:gridCol w:w="2340"/>
        <w:gridCol w:w="1935"/>
      </w:tblGrid>
      <w:tr w14:paraId="3E9C31D3" w14:textId="77777777" w:rsidTr="00AE6C21">
        <w:tblPrEx>
          <w:tblW w:w="0" w:type="auto"/>
          <w:jc w:val="center"/>
          <w:tblBorders>
            <w:top w:val="single" w:sz="8" w:space="0" w:color="auto"/>
            <w:left w:val="single" w:sz="8" w:space="0" w:color="auto"/>
            <w:bottom w:val="single" w:sz="8" w:space="0" w:color="auto"/>
            <w:right w:val="single" w:sz="8" w:space="0" w:color="auto"/>
            <w:insideV w:val="single" w:sz="8" w:space="0" w:color="auto"/>
          </w:tblBorders>
          <w:tblLayout w:type="fixed"/>
          <w:tblLook w:val="06A0"/>
        </w:tblPrEx>
        <w:trPr>
          <w:trHeight w:val="345"/>
          <w:jc w:val="center"/>
        </w:trPr>
        <w:tc>
          <w:tcPr>
            <w:tcW w:w="2340" w:type="dxa"/>
            <w:tcBorders>
              <w:top w:val="single" w:sz="12" w:space="0" w:color="auto"/>
              <w:left w:val="single" w:sz="12" w:space="0" w:color="auto"/>
              <w:bottom w:val="single" w:sz="12" w:space="0" w:color="auto"/>
              <w:right w:val="single" w:sz="12" w:space="0" w:color="auto"/>
            </w:tcBorders>
          </w:tcPr>
          <w:p w:rsidR="06AD5A6D" w:rsidRPr="000C0B5F" w:rsidP="06AD5A6D" w14:paraId="4FD6DB60" w14:textId="52909468">
            <w:pPr>
              <w:rPr>
                <w:rFonts w:eastAsia="Times New Roman"/>
                <w:b/>
                <w:bCs/>
                <w:sz w:val="20"/>
                <w:szCs w:val="20"/>
              </w:rPr>
            </w:pPr>
            <w:r w:rsidRPr="000C0B5F">
              <w:rPr>
                <w:rFonts w:eastAsia="Times New Roman"/>
                <w:b/>
                <w:bCs/>
                <w:sz w:val="20"/>
                <w:szCs w:val="20"/>
              </w:rPr>
              <w:t>Reporting Burden</w:t>
            </w:r>
          </w:p>
        </w:tc>
        <w:tc>
          <w:tcPr>
            <w:tcW w:w="4275" w:type="dxa"/>
            <w:gridSpan w:val="2"/>
            <w:tcBorders>
              <w:top w:val="single" w:sz="12" w:space="0" w:color="auto"/>
              <w:left w:val="single" w:sz="12" w:space="0" w:color="auto"/>
              <w:bottom w:val="single" w:sz="12" w:space="0" w:color="auto"/>
              <w:right w:val="single" w:sz="12" w:space="0" w:color="auto"/>
            </w:tcBorders>
          </w:tcPr>
          <w:p w:rsidR="06AD5A6D" w:rsidRPr="000C0B5F" w:rsidP="06AD5A6D" w14:paraId="586AA15B" w14:textId="77DE54E4">
            <w:pPr>
              <w:jc w:val="center"/>
              <w:rPr>
                <w:rFonts w:eastAsia="Times New Roman"/>
                <w:b/>
                <w:bCs/>
                <w:sz w:val="20"/>
                <w:szCs w:val="20"/>
              </w:rPr>
            </w:pPr>
            <w:r w:rsidRPr="000C0B5F">
              <w:rPr>
                <w:rFonts w:eastAsia="Times New Roman"/>
                <w:b/>
                <w:bCs/>
                <w:sz w:val="20"/>
                <w:szCs w:val="20"/>
              </w:rPr>
              <w:t>Reporting Burden (costs)</w:t>
            </w:r>
          </w:p>
        </w:tc>
      </w:tr>
      <w:tr w14:paraId="6AABAA76" w14:textId="77777777" w:rsidTr="00AB6141">
        <w:tblPrEx>
          <w:tblW w:w="0" w:type="auto"/>
          <w:jc w:val="center"/>
          <w:tblLayout w:type="fixed"/>
          <w:tblLook w:val="06A0"/>
        </w:tblPrEx>
        <w:trPr>
          <w:trHeight w:val="483"/>
          <w:jc w:val="center"/>
        </w:trPr>
        <w:tc>
          <w:tcPr>
            <w:tcW w:w="2340" w:type="dxa"/>
            <w:tcBorders>
              <w:top w:val="single" w:sz="12" w:space="0" w:color="auto"/>
              <w:left w:val="single" w:sz="12" w:space="0" w:color="auto"/>
              <w:bottom w:val="single" w:sz="12" w:space="0" w:color="auto"/>
              <w:right w:val="single" w:sz="12" w:space="0" w:color="auto"/>
            </w:tcBorders>
          </w:tcPr>
          <w:p w:rsidR="06AD5A6D" w:rsidRPr="000C0B5F" w:rsidP="06AD5A6D" w14:paraId="6B9CB4BB" w14:textId="0C082C45">
            <w:pPr>
              <w:rPr>
                <w:rFonts w:eastAsia="Times New Roman"/>
                <w:b/>
                <w:bCs/>
                <w:sz w:val="20"/>
                <w:szCs w:val="20"/>
              </w:rPr>
            </w:pPr>
            <w:r w:rsidRPr="000C0B5F">
              <w:rPr>
                <w:rFonts w:eastAsia="Times New Roman"/>
                <w:b/>
                <w:bCs/>
                <w:sz w:val="20"/>
                <w:szCs w:val="20"/>
              </w:rPr>
              <w:t>Reporting Burden Task</w:t>
            </w:r>
          </w:p>
        </w:tc>
        <w:tc>
          <w:tcPr>
            <w:tcW w:w="2340" w:type="dxa"/>
            <w:tcBorders>
              <w:top w:val="single" w:sz="12" w:space="0" w:color="auto"/>
              <w:left w:val="single" w:sz="12" w:space="0" w:color="auto"/>
              <w:bottom w:val="single" w:sz="12" w:space="0" w:color="auto"/>
              <w:right w:val="single" w:sz="12" w:space="0" w:color="auto"/>
            </w:tcBorders>
          </w:tcPr>
          <w:p w:rsidR="06AD5A6D" w:rsidRPr="000C0B5F" w:rsidP="06AD5A6D" w14:paraId="5A0C36D6" w14:textId="4556A905">
            <w:pPr>
              <w:rPr>
                <w:rFonts w:eastAsia="Times New Roman"/>
                <w:b/>
                <w:bCs/>
                <w:sz w:val="20"/>
                <w:szCs w:val="20"/>
              </w:rPr>
            </w:pPr>
            <w:r w:rsidRPr="000C0B5F">
              <w:rPr>
                <w:rFonts w:eastAsia="Times New Roman"/>
                <w:b/>
                <w:bCs/>
                <w:sz w:val="20"/>
                <w:szCs w:val="20"/>
              </w:rPr>
              <w:t>Capital Startup Cost ($/yr)</w:t>
            </w:r>
          </w:p>
        </w:tc>
        <w:tc>
          <w:tcPr>
            <w:tcW w:w="1935" w:type="dxa"/>
            <w:tcBorders>
              <w:top w:val="single" w:sz="12" w:space="0" w:color="auto"/>
              <w:left w:val="single" w:sz="12" w:space="0" w:color="auto"/>
              <w:bottom w:val="single" w:sz="12" w:space="0" w:color="auto"/>
              <w:right w:val="single" w:sz="12" w:space="0" w:color="auto"/>
            </w:tcBorders>
          </w:tcPr>
          <w:p w:rsidR="06AD5A6D" w:rsidRPr="000C0B5F" w:rsidP="06AD5A6D" w14:paraId="7CCF61EF" w14:textId="648AAE89">
            <w:pPr>
              <w:rPr>
                <w:rFonts w:eastAsia="Times New Roman"/>
                <w:b/>
                <w:bCs/>
                <w:sz w:val="20"/>
                <w:szCs w:val="20"/>
              </w:rPr>
            </w:pPr>
            <w:r w:rsidRPr="000C0B5F">
              <w:rPr>
                <w:rFonts w:eastAsia="Times New Roman"/>
                <w:b/>
                <w:bCs/>
                <w:sz w:val="20"/>
                <w:szCs w:val="20"/>
              </w:rPr>
              <w:t>O &amp; M Cost ($/yr)</w:t>
            </w:r>
          </w:p>
        </w:tc>
      </w:tr>
      <w:tr w14:paraId="50B47D97" w14:textId="77777777" w:rsidTr="00AB6141">
        <w:tblPrEx>
          <w:tblW w:w="0" w:type="auto"/>
          <w:jc w:val="center"/>
          <w:tblLayout w:type="fixed"/>
          <w:tblLook w:val="06A0"/>
        </w:tblPrEx>
        <w:trPr>
          <w:trHeight w:val="300"/>
          <w:jc w:val="center"/>
        </w:trPr>
        <w:tc>
          <w:tcPr>
            <w:tcW w:w="2340" w:type="dxa"/>
            <w:tcBorders>
              <w:top w:val="single" w:sz="12" w:space="0" w:color="auto"/>
              <w:left w:val="single" w:sz="12" w:space="0" w:color="auto"/>
              <w:bottom w:val="single" w:sz="8" w:space="0" w:color="auto"/>
              <w:right w:val="single" w:sz="12" w:space="0" w:color="auto"/>
            </w:tcBorders>
          </w:tcPr>
          <w:p w:rsidR="06AD5A6D" w:rsidRPr="000C0B5F" w:rsidP="06AD5A6D" w14:paraId="2DFE82CE" w14:textId="798419A6">
            <w:pPr>
              <w:rPr>
                <w:rFonts w:eastAsia="Times New Roman"/>
                <w:sz w:val="20"/>
                <w:szCs w:val="20"/>
              </w:rPr>
            </w:pPr>
            <w:r w:rsidRPr="000C0B5F">
              <w:rPr>
                <w:rFonts w:eastAsia="Times New Roman"/>
                <w:sz w:val="20"/>
                <w:szCs w:val="20"/>
              </w:rPr>
              <w:t>Read and understand the regulatory provision</w:t>
            </w:r>
          </w:p>
        </w:tc>
        <w:tc>
          <w:tcPr>
            <w:tcW w:w="2340" w:type="dxa"/>
            <w:tcBorders>
              <w:top w:val="single" w:sz="12" w:space="0" w:color="auto"/>
              <w:left w:val="single" w:sz="12" w:space="0" w:color="auto"/>
              <w:bottom w:val="single" w:sz="8" w:space="0" w:color="auto"/>
              <w:right w:val="single" w:sz="12" w:space="0" w:color="auto"/>
            </w:tcBorders>
          </w:tcPr>
          <w:p w:rsidR="06AD5A6D" w:rsidRPr="000C0B5F" w:rsidP="06AD5A6D" w14:paraId="117385EE" w14:textId="3EB0A0D5">
            <w:pPr>
              <w:jc w:val="center"/>
              <w:rPr>
                <w:rFonts w:eastAsia="Times New Roman"/>
                <w:sz w:val="20"/>
                <w:szCs w:val="20"/>
              </w:rPr>
            </w:pPr>
            <w:r w:rsidRPr="000C0B5F">
              <w:rPr>
                <w:rFonts w:eastAsia="Times New Roman"/>
                <w:sz w:val="20"/>
                <w:szCs w:val="20"/>
              </w:rPr>
              <w:t>$0</w:t>
            </w:r>
          </w:p>
        </w:tc>
        <w:tc>
          <w:tcPr>
            <w:tcW w:w="1935" w:type="dxa"/>
            <w:tcBorders>
              <w:top w:val="single" w:sz="12" w:space="0" w:color="auto"/>
              <w:left w:val="single" w:sz="12" w:space="0" w:color="auto"/>
              <w:bottom w:val="single" w:sz="8" w:space="0" w:color="auto"/>
              <w:right w:val="single" w:sz="12" w:space="0" w:color="auto"/>
            </w:tcBorders>
          </w:tcPr>
          <w:p w:rsidR="06AD5A6D" w:rsidRPr="000C0B5F" w:rsidP="06AD5A6D" w14:paraId="6A9E1CCE" w14:textId="58D965E9">
            <w:pPr>
              <w:jc w:val="center"/>
              <w:rPr>
                <w:rFonts w:eastAsia="Times New Roman"/>
                <w:sz w:val="20"/>
                <w:szCs w:val="20"/>
              </w:rPr>
            </w:pPr>
            <w:r w:rsidRPr="000C0B5F">
              <w:rPr>
                <w:rFonts w:eastAsia="Times New Roman"/>
                <w:sz w:val="20"/>
                <w:szCs w:val="20"/>
              </w:rPr>
              <w:t>$0</w:t>
            </w:r>
          </w:p>
        </w:tc>
      </w:tr>
      <w:tr w14:paraId="023F7ED9" w14:textId="77777777" w:rsidTr="00AB6141">
        <w:tblPrEx>
          <w:tblW w:w="0" w:type="auto"/>
          <w:jc w:val="center"/>
          <w:tblLayout w:type="fixed"/>
          <w:tblLook w:val="06A0"/>
        </w:tblPrEx>
        <w:trPr>
          <w:trHeight w:val="300"/>
          <w:jc w:val="center"/>
        </w:trPr>
        <w:tc>
          <w:tcPr>
            <w:tcW w:w="2340" w:type="dxa"/>
            <w:tcBorders>
              <w:top w:val="single" w:sz="8" w:space="0" w:color="auto"/>
              <w:left w:val="single" w:sz="12" w:space="0" w:color="auto"/>
              <w:bottom w:val="single" w:sz="8" w:space="0" w:color="auto"/>
              <w:right w:val="single" w:sz="12" w:space="0" w:color="auto"/>
            </w:tcBorders>
          </w:tcPr>
          <w:p w:rsidR="06AD5A6D" w:rsidRPr="000C0B5F" w:rsidP="06AD5A6D" w14:paraId="58015DC0" w14:textId="10FA6A44">
            <w:pPr>
              <w:rPr>
                <w:rFonts w:eastAsia="Times New Roman"/>
                <w:sz w:val="20"/>
                <w:szCs w:val="20"/>
              </w:rPr>
            </w:pPr>
            <w:r w:rsidRPr="000C0B5F">
              <w:rPr>
                <w:rFonts w:eastAsia="Times New Roman"/>
                <w:sz w:val="20"/>
                <w:szCs w:val="20"/>
              </w:rPr>
              <w:t>Perform radon flux testing</w:t>
            </w:r>
          </w:p>
        </w:tc>
        <w:tc>
          <w:tcPr>
            <w:tcW w:w="2340" w:type="dxa"/>
            <w:tcBorders>
              <w:top w:val="single" w:sz="8" w:space="0" w:color="auto"/>
              <w:left w:val="single" w:sz="12" w:space="0" w:color="auto"/>
              <w:bottom w:val="single" w:sz="8" w:space="0" w:color="auto"/>
              <w:right w:val="single" w:sz="12" w:space="0" w:color="auto"/>
            </w:tcBorders>
          </w:tcPr>
          <w:p w:rsidR="06AD5A6D" w:rsidRPr="000C0B5F" w:rsidP="06AD5A6D" w14:paraId="2DE65DE7" w14:textId="307F1B40">
            <w:pPr>
              <w:jc w:val="center"/>
              <w:rPr>
                <w:rFonts w:eastAsia="Times New Roman"/>
                <w:sz w:val="20"/>
                <w:szCs w:val="20"/>
              </w:rPr>
            </w:pPr>
            <w:r w:rsidRPr="000C0B5F">
              <w:rPr>
                <w:rFonts w:eastAsia="Times New Roman"/>
                <w:sz w:val="20"/>
                <w:szCs w:val="20"/>
              </w:rPr>
              <w:t>$0</w:t>
            </w:r>
          </w:p>
        </w:tc>
        <w:tc>
          <w:tcPr>
            <w:tcW w:w="1935" w:type="dxa"/>
            <w:tcBorders>
              <w:top w:val="single" w:sz="8" w:space="0" w:color="auto"/>
              <w:left w:val="single" w:sz="12" w:space="0" w:color="auto"/>
              <w:bottom w:val="single" w:sz="8" w:space="0" w:color="auto"/>
              <w:right w:val="single" w:sz="12" w:space="0" w:color="auto"/>
            </w:tcBorders>
          </w:tcPr>
          <w:p w:rsidR="06AD5A6D" w:rsidRPr="000C0B5F" w:rsidP="06AD5A6D" w14:paraId="3F2E0D7C" w14:textId="44FBEAFA">
            <w:pPr>
              <w:jc w:val="center"/>
              <w:rPr>
                <w:rFonts w:eastAsia="Times New Roman"/>
                <w:sz w:val="20"/>
                <w:szCs w:val="20"/>
              </w:rPr>
            </w:pPr>
            <w:r w:rsidRPr="000C0B5F">
              <w:rPr>
                <w:rFonts w:eastAsia="Times New Roman"/>
                <w:sz w:val="20"/>
                <w:szCs w:val="20"/>
              </w:rPr>
              <w:t>$171,600</w:t>
            </w:r>
          </w:p>
        </w:tc>
      </w:tr>
      <w:tr w14:paraId="4D5D89E4" w14:textId="77777777" w:rsidTr="00AB6141">
        <w:tblPrEx>
          <w:tblW w:w="0" w:type="auto"/>
          <w:jc w:val="center"/>
          <w:tblLayout w:type="fixed"/>
          <w:tblLook w:val="06A0"/>
        </w:tblPrEx>
        <w:trPr>
          <w:trHeight w:val="300"/>
          <w:jc w:val="center"/>
        </w:trPr>
        <w:tc>
          <w:tcPr>
            <w:tcW w:w="2340" w:type="dxa"/>
            <w:tcBorders>
              <w:top w:val="single" w:sz="8" w:space="0" w:color="auto"/>
              <w:left w:val="single" w:sz="12" w:space="0" w:color="auto"/>
              <w:bottom w:val="single" w:sz="8" w:space="0" w:color="auto"/>
              <w:right w:val="single" w:sz="12" w:space="0" w:color="auto"/>
            </w:tcBorders>
          </w:tcPr>
          <w:p w:rsidR="06AD5A6D" w:rsidRPr="000C0B5F" w:rsidP="06AD5A6D" w14:paraId="4988F57C" w14:textId="0F31E5DA">
            <w:pPr>
              <w:rPr>
                <w:rFonts w:eastAsia="Times New Roman"/>
                <w:sz w:val="20"/>
                <w:szCs w:val="20"/>
              </w:rPr>
            </w:pPr>
            <w:r w:rsidRPr="000C0B5F">
              <w:rPr>
                <w:rFonts w:eastAsia="Times New Roman"/>
                <w:sz w:val="20"/>
                <w:szCs w:val="20"/>
              </w:rPr>
              <w:t>Perform radium-226 sampling and measurement procedures</w:t>
            </w:r>
          </w:p>
        </w:tc>
        <w:tc>
          <w:tcPr>
            <w:tcW w:w="2340" w:type="dxa"/>
            <w:tcBorders>
              <w:top w:val="single" w:sz="8" w:space="0" w:color="auto"/>
              <w:left w:val="single" w:sz="12" w:space="0" w:color="auto"/>
              <w:bottom w:val="single" w:sz="8" w:space="0" w:color="auto"/>
              <w:right w:val="single" w:sz="12" w:space="0" w:color="auto"/>
            </w:tcBorders>
          </w:tcPr>
          <w:p w:rsidR="06AD5A6D" w:rsidRPr="000C0B5F" w:rsidP="06AD5A6D" w14:paraId="20F2BE29" w14:textId="2993F37F">
            <w:pPr>
              <w:jc w:val="center"/>
              <w:rPr>
                <w:rFonts w:eastAsia="Times New Roman"/>
                <w:sz w:val="20"/>
                <w:szCs w:val="20"/>
              </w:rPr>
            </w:pPr>
            <w:r w:rsidRPr="000C0B5F">
              <w:rPr>
                <w:rFonts w:eastAsia="Times New Roman"/>
                <w:sz w:val="20"/>
                <w:szCs w:val="20"/>
              </w:rPr>
              <w:t>$0</w:t>
            </w:r>
            <w:r w:rsidRPr="000C0B5F">
              <w:rPr>
                <w:rFonts w:eastAsia="Times New Roman"/>
                <w:sz w:val="20"/>
                <w:szCs w:val="20"/>
              </w:rPr>
              <w:t xml:space="preserve"> </w:t>
            </w:r>
          </w:p>
        </w:tc>
        <w:tc>
          <w:tcPr>
            <w:tcW w:w="1935" w:type="dxa"/>
            <w:tcBorders>
              <w:top w:val="single" w:sz="8" w:space="0" w:color="auto"/>
              <w:left w:val="single" w:sz="12" w:space="0" w:color="auto"/>
              <w:bottom w:val="single" w:sz="8" w:space="0" w:color="auto"/>
              <w:right w:val="single" w:sz="12" w:space="0" w:color="auto"/>
            </w:tcBorders>
          </w:tcPr>
          <w:p w:rsidR="06AD5A6D" w:rsidRPr="000C0B5F" w:rsidP="06AD5A6D" w14:paraId="7D36EDCB" w14:textId="38115E06">
            <w:pPr>
              <w:jc w:val="center"/>
              <w:rPr>
                <w:rFonts w:eastAsia="Times New Roman"/>
                <w:sz w:val="20"/>
                <w:szCs w:val="20"/>
              </w:rPr>
            </w:pPr>
            <w:r w:rsidRPr="000C0B5F">
              <w:rPr>
                <w:rFonts w:eastAsia="Times New Roman"/>
                <w:sz w:val="20"/>
                <w:szCs w:val="20"/>
              </w:rPr>
              <w:t>$130,000</w:t>
            </w:r>
          </w:p>
        </w:tc>
      </w:tr>
      <w:tr w14:paraId="2A13D0CB" w14:textId="77777777" w:rsidTr="00AB6141">
        <w:tblPrEx>
          <w:tblW w:w="0" w:type="auto"/>
          <w:jc w:val="center"/>
          <w:tblLayout w:type="fixed"/>
          <w:tblLook w:val="06A0"/>
        </w:tblPrEx>
        <w:trPr>
          <w:trHeight w:val="300"/>
          <w:jc w:val="center"/>
        </w:trPr>
        <w:tc>
          <w:tcPr>
            <w:tcW w:w="2340" w:type="dxa"/>
            <w:tcBorders>
              <w:top w:val="single" w:sz="8" w:space="0" w:color="auto"/>
              <w:left w:val="single" w:sz="12" w:space="0" w:color="auto"/>
              <w:bottom w:val="single" w:sz="8" w:space="0" w:color="auto"/>
              <w:right w:val="single" w:sz="12" w:space="0" w:color="auto"/>
            </w:tcBorders>
          </w:tcPr>
          <w:p w:rsidR="06AD5A6D" w:rsidRPr="000C0B5F" w:rsidP="06AD5A6D" w14:paraId="634EB8F3" w14:textId="76E71B1D">
            <w:pPr>
              <w:rPr>
                <w:rFonts w:eastAsia="Times New Roman"/>
                <w:sz w:val="20"/>
                <w:szCs w:val="20"/>
              </w:rPr>
            </w:pPr>
            <w:r w:rsidRPr="000C0B5F">
              <w:rPr>
                <w:rFonts w:eastAsia="Times New Roman"/>
                <w:sz w:val="20"/>
                <w:szCs w:val="20"/>
              </w:rPr>
              <w:t>Perform data analysis</w:t>
            </w:r>
          </w:p>
        </w:tc>
        <w:tc>
          <w:tcPr>
            <w:tcW w:w="2340" w:type="dxa"/>
            <w:tcBorders>
              <w:top w:val="single" w:sz="8" w:space="0" w:color="auto"/>
              <w:left w:val="single" w:sz="12" w:space="0" w:color="auto"/>
              <w:bottom w:val="single" w:sz="8" w:space="0" w:color="auto"/>
              <w:right w:val="single" w:sz="12" w:space="0" w:color="auto"/>
            </w:tcBorders>
          </w:tcPr>
          <w:p w:rsidR="06AD5A6D" w:rsidRPr="000C0B5F" w:rsidP="06AD5A6D" w14:paraId="53BBD582" w14:textId="3313655C">
            <w:pPr>
              <w:jc w:val="center"/>
              <w:rPr>
                <w:rFonts w:eastAsia="Times New Roman"/>
                <w:sz w:val="20"/>
                <w:szCs w:val="20"/>
              </w:rPr>
            </w:pPr>
            <w:r w:rsidRPr="000C0B5F">
              <w:rPr>
                <w:rFonts w:eastAsia="Times New Roman"/>
                <w:sz w:val="20"/>
                <w:szCs w:val="20"/>
              </w:rPr>
              <w:t>$0</w:t>
            </w:r>
          </w:p>
        </w:tc>
        <w:tc>
          <w:tcPr>
            <w:tcW w:w="1935" w:type="dxa"/>
            <w:tcBorders>
              <w:top w:val="single" w:sz="8" w:space="0" w:color="auto"/>
              <w:left w:val="single" w:sz="12" w:space="0" w:color="auto"/>
              <w:bottom w:val="single" w:sz="8" w:space="0" w:color="auto"/>
              <w:right w:val="single" w:sz="12" w:space="0" w:color="auto"/>
            </w:tcBorders>
          </w:tcPr>
          <w:p w:rsidR="06AD5A6D" w:rsidRPr="000C0B5F" w:rsidP="06AD5A6D" w14:paraId="26C14EA3" w14:textId="44E99581">
            <w:pPr>
              <w:jc w:val="center"/>
              <w:rPr>
                <w:rFonts w:eastAsia="Times New Roman"/>
                <w:sz w:val="20"/>
                <w:szCs w:val="20"/>
              </w:rPr>
            </w:pPr>
            <w:r w:rsidRPr="000C0B5F">
              <w:rPr>
                <w:rFonts w:eastAsia="Times New Roman"/>
                <w:sz w:val="20"/>
                <w:szCs w:val="20"/>
              </w:rPr>
              <w:t>$0</w:t>
            </w:r>
          </w:p>
        </w:tc>
      </w:tr>
      <w:tr w14:paraId="49F0295D" w14:textId="77777777" w:rsidTr="00AB6141">
        <w:tblPrEx>
          <w:tblW w:w="0" w:type="auto"/>
          <w:jc w:val="center"/>
          <w:tblLayout w:type="fixed"/>
          <w:tblLook w:val="06A0"/>
        </w:tblPrEx>
        <w:trPr>
          <w:trHeight w:val="300"/>
          <w:jc w:val="center"/>
        </w:trPr>
        <w:tc>
          <w:tcPr>
            <w:tcW w:w="2340" w:type="dxa"/>
            <w:tcBorders>
              <w:top w:val="single" w:sz="8" w:space="0" w:color="auto"/>
              <w:left w:val="single" w:sz="12" w:space="0" w:color="auto"/>
              <w:bottom w:val="single" w:sz="12" w:space="0" w:color="auto"/>
              <w:right w:val="single" w:sz="12" w:space="0" w:color="auto"/>
            </w:tcBorders>
          </w:tcPr>
          <w:p w:rsidR="06AD5A6D" w:rsidRPr="000C0B5F" w:rsidP="06AD5A6D" w14:paraId="6CC3F2CF" w14:textId="226E0AFF">
            <w:pPr>
              <w:rPr>
                <w:rFonts w:eastAsia="Times New Roman"/>
                <w:sz w:val="20"/>
                <w:szCs w:val="20"/>
              </w:rPr>
            </w:pPr>
            <w:r w:rsidRPr="000C0B5F">
              <w:rPr>
                <w:rFonts w:eastAsia="Times New Roman"/>
                <w:sz w:val="20"/>
                <w:szCs w:val="20"/>
              </w:rPr>
              <w:t xml:space="preserve">Prepare report and certification papers </w:t>
            </w:r>
          </w:p>
        </w:tc>
        <w:tc>
          <w:tcPr>
            <w:tcW w:w="2340" w:type="dxa"/>
            <w:tcBorders>
              <w:top w:val="single" w:sz="8" w:space="0" w:color="auto"/>
              <w:left w:val="single" w:sz="12" w:space="0" w:color="auto"/>
              <w:bottom w:val="single" w:sz="12" w:space="0" w:color="auto"/>
              <w:right w:val="single" w:sz="12" w:space="0" w:color="auto"/>
            </w:tcBorders>
          </w:tcPr>
          <w:p w:rsidR="06AD5A6D" w:rsidRPr="000C0B5F" w:rsidP="06AD5A6D" w14:paraId="54157C45" w14:textId="7FFBDD23">
            <w:pPr>
              <w:jc w:val="center"/>
              <w:rPr>
                <w:rFonts w:eastAsia="Times New Roman"/>
                <w:sz w:val="20"/>
                <w:szCs w:val="20"/>
              </w:rPr>
            </w:pPr>
            <w:r w:rsidRPr="000C0B5F">
              <w:rPr>
                <w:rFonts w:eastAsia="Times New Roman"/>
                <w:sz w:val="20"/>
                <w:szCs w:val="20"/>
              </w:rPr>
              <w:t>$0</w:t>
            </w:r>
          </w:p>
        </w:tc>
        <w:tc>
          <w:tcPr>
            <w:tcW w:w="1935" w:type="dxa"/>
            <w:tcBorders>
              <w:top w:val="single" w:sz="8" w:space="0" w:color="auto"/>
              <w:left w:val="single" w:sz="12" w:space="0" w:color="auto"/>
              <w:bottom w:val="single" w:sz="12" w:space="0" w:color="auto"/>
              <w:right w:val="single" w:sz="12" w:space="0" w:color="auto"/>
            </w:tcBorders>
          </w:tcPr>
          <w:p w:rsidR="06AD5A6D" w:rsidRPr="000C0B5F" w:rsidP="06AD5A6D" w14:paraId="7DFAFC16" w14:textId="5B5BF0F4">
            <w:pPr>
              <w:jc w:val="center"/>
              <w:rPr>
                <w:rFonts w:eastAsia="Times New Roman"/>
                <w:sz w:val="20"/>
                <w:szCs w:val="20"/>
              </w:rPr>
            </w:pPr>
            <w:r w:rsidRPr="000C0B5F">
              <w:rPr>
                <w:rFonts w:eastAsia="Times New Roman"/>
                <w:sz w:val="20"/>
                <w:szCs w:val="20"/>
              </w:rPr>
              <w:t>$0</w:t>
            </w:r>
          </w:p>
        </w:tc>
      </w:tr>
      <w:tr w14:paraId="09B753D5" w14:textId="77777777" w:rsidTr="00AE6C21">
        <w:tblPrEx>
          <w:tblW w:w="0" w:type="auto"/>
          <w:jc w:val="center"/>
          <w:tblLayout w:type="fixed"/>
          <w:tblLook w:val="06A0"/>
        </w:tblPrEx>
        <w:trPr>
          <w:trHeight w:val="300"/>
          <w:jc w:val="center"/>
        </w:trPr>
        <w:tc>
          <w:tcPr>
            <w:tcW w:w="2340" w:type="dxa"/>
            <w:tcBorders>
              <w:top w:val="single" w:sz="12" w:space="0" w:color="auto"/>
              <w:left w:val="single" w:sz="12" w:space="0" w:color="auto"/>
              <w:bottom w:val="single" w:sz="12" w:space="0" w:color="auto"/>
              <w:right w:val="single" w:sz="12" w:space="0" w:color="auto"/>
            </w:tcBorders>
          </w:tcPr>
          <w:p w:rsidR="06AD5A6D" w:rsidRPr="000C0B5F" w:rsidP="06AD5A6D" w14:paraId="78ED157B" w14:textId="17E2E5B1">
            <w:pPr>
              <w:rPr>
                <w:rFonts w:eastAsia="Times New Roman"/>
                <w:b/>
                <w:bCs/>
                <w:sz w:val="20"/>
                <w:szCs w:val="20"/>
              </w:rPr>
            </w:pPr>
            <w:r w:rsidRPr="000C0B5F">
              <w:rPr>
                <w:rFonts w:eastAsia="Times New Roman"/>
                <w:b/>
                <w:bCs/>
                <w:sz w:val="20"/>
                <w:szCs w:val="20"/>
              </w:rPr>
              <w:t>Record Keeping Burden</w:t>
            </w:r>
            <w:r w:rsidRPr="000C0B5F" w:rsidR="0017083F">
              <w:rPr>
                <w:rFonts w:eastAsia="Times New Roman"/>
                <w:b/>
                <w:bCs/>
                <w:sz w:val="20"/>
                <w:szCs w:val="20"/>
              </w:rPr>
              <w:t xml:space="preserve"> Task</w:t>
            </w:r>
          </w:p>
        </w:tc>
        <w:tc>
          <w:tcPr>
            <w:tcW w:w="4275" w:type="dxa"/>
            <w:gridSpan w:val="2"/>
            <w:tcBorders>
              <w:top w:val="single" w:sz="12" w:space="0" w:color="auto"/>
              <w:left w:val="single" w:sz="12" w:space="0" w:color="auto"/>
              <w:bottom w:val="single" w:sz="12" w:space="0" w:color="auto"/>
              <w:right w:val="single" w:sz="12" w:space="0" w:color="auto"/>
            </w:tcBorders>
          </w:tcPr>
          <w:p w:rsidR="06AD5A6D" w:rsidRPr="000C0B5F" w:rsidP="06AD5A6D" w14:paraId="1FC764D2" w14:textId="2F046B7B">
            <w:pPr>
              <w:jc w:val="center"/>
              <w:rPr>
                <w:rFonts w:eastAsia="Times New Roman"/>
                <w:b/>
                <w:bCs/>
                <w:sz w:val="20"/>
                <w:szCs w:val="20"/>
              </w:rPr>
            </w:pPr>
            <w:r w:rsidRPr="000C0B5F">
              <w:rPr>
                <w:rFonts w:eastAsia="Times New Roman"/>
                <w:b/>
                <w:bCs/>
                <w:sz w:val="20"/>
                <w:szCs w:val="20"/>
              </w:rPr>
              <w:t>Record Keeping Burden (costs)</w:t>
            </w:r>
          </w:p>
        </w:tc>
      </w:tr>
      <w:tr w14:paraId="171FC2AF" w14:textId="77777777" w:rsidTr="00AB6141">
        <w:tblPrEx>
          <w:tblW w:w="0" w:type="auto"/>
          <w:jc w:val="center"/>
          <w:tblLayout w:type="fixed"/>
          <w:tblLook w:val="06A0"/>
        </w:tblPrEx>
        <w:trPr>
          <w:trHeight w:val="300"/>
          <w:jc w:val="center"/>
        </w:trPr>
        <w:tc>
          <w:tcPr>
            <w:tcW w:w="2340" w:type="dxa"/>
            <w:tcBorders>
              <w:top w:val="single" w:sz="12" w:space="0" w:color="auto"/>
              <w:left w:val="single" w:sz="12" w:space="0" w:color="auto"/>
              <w:bottom w:val="single" w:sz="12" w:space="0" w:color="auto"/>
              <w:right w:val="single" w:sz="12" w:space="0" w:color="auto"/>
            </w:tcBorders>
          </w:tcPr>
          <w:p w:rsidR="06AD5A6D" w:rsidRPr="000C0B5F" w:rsidP="06AD5A6D" w14:paraId="3CDAC0D5" w14:textId="470A51EB">
            <w:pPr>
              <w:rPr>
                <w:rFonts w:eastAsia="Times New Roman"/>
                <w:sz w:val="20"/>
                <w:szCs w:val="20"/>
              </w:rPr>
            </w:pPr>
            <w:r w:rsidRPr="000C0B5F">
              <w:rPr>
                <w:rFonts w:eastAsia="Times New Roman"/>
                <w:sz w:val="20"/>
                <w:szCs w:val="20"/>
              </w:rPr>
              <w:t>File and maintain data</w:t>
            </w:r>
          </w:p>
        </w:tc>
        <w:tc>
          <w:tcPr>
            <w:tcW w:w="2340" w:type="dxa"/>
            <w:tcBorders>
              <w:top w:val="single" w:sz="12" w:space="0" w:color="auto"/>
              <w:left w:val="single" w:sz="12" w:space="0" w:color="auto"/>
              <w:bottom w:val="single" w:sz="12" w:space="0" w:color="auto"/>
              <w:right w:val="single" w:sz="12" w:space="0" w:color="auto"/>
            </w:tcBorders>
          </w:tcPr>
          <w:p w:rsidR="06AD5A6D" w:rsidRPr="000C0B5F" w:rsidP="06AD5A6D" w14:paraId="6506DD11" w14:textId="0F7CD7C9">
            <w:pPr>
              <w:jc w:val="center"/>
              <w:rPr>
                <w:rFonts w:eastAsia="Times New Roman"/>
                <w:sz w:val="20"/>
                <w:szCs w:val="20"/>
              </w:rPr>
            </w:pPr>
            <w:r w:rsidRPr="000C0B5F">
              <w:rPr>
                <w:rFonts w:eastAsia="Times New Roman"/>
                <w:sz w:val="20"/>
                <w:szCs w:val="20"/>
              </w:rPr>
              <w:t>$0</w:t>
            </w:r>
          </w:p>
        </w:tc>
        <w:tc>
          <w:tcPr>
            <w:tcW w:w="1935" w:type="dxa"/>
            <w:tcBorders>
              <w:top w:val="single" w:sz="12" w:space="0" w:color="auto"/>
              <w:left w:val="single" w:sz="12" w:space="0" w:color="auto"/>
              <w:bottom w:val="single" w:sz="12" w:space="0" w:color="auto"/>
              <w:right w:val="single" w:sz="12" w:space="0" w:color="auto"/>
            </w:tcBorders>
          </w:tcPr>
          <w:p w:rsidR="06AD5A6D" w:rsidRPr="000C0B5F" w:rsidP="06AD5A6D" w14:paraId="3825C863" w14:textId="7A30EFD4">
            <w:pPr>
              <w:jc w:val="center"/>
              <w:rPr>
                <w:rFonts w:eastAsia="Times New Roman"/>
                <w:sz w:val="20"/>
                <w:szCs w:val="20"/>
              </w:rPr>
            </w:pPr>
            <w:r w:rsidRPr="000C0B5F">
              <w:rPr>
                <w:rFonts w:eastAsia="Times New Roman"/>
                <w:sz w:val="20"/>
                <w:szCs w:val="20"/>
              </w:rPr>
              <w:t>$0</w:t>
            </w:r>
          </w:p>
        </w:tc>
      </w:tr>
      <w:tr w14:paraId="00926F3D" w14:textId="77777777" w:rsidTr="00612514">
        <w:tblPrEx>
          <w:tblW w:w="0" w:type="auto"/>
          <w:jc w:val="center"/>
          <w:tblLayout w:type="fixed"/>
          <w:tblLook w:val="06A0"/>
        </w:tblPrEx>
        <w:trPr>
          <w:trHeight w:val="300"/>
          <w:jc w:val="center"/>
        </w:trPr>
        <w:tc>
          <w:tcPr>
            <w:tcW w:w="2340" w:type="dxa"/>
            <w:tcBorders>
              <w:top w:val="single" w:sz="12" w:space="0" w:color="auto"/>
              <w:left w:val="single" w:sz="12" w:space="0" w:color="auto"/>
              <w:bottom w:val="single" w:sz="12" w:space="0" w:color="auto"/>
              <w:right w:val="single" w:sz="12" w:space="0" w:color="auto"/>
            </w:tcBorders>
          </w:tcPr>
          <w:p w:rsidR="06AD5A6D" w:rsidRPr="000C0B5F" w:rsidP="06AD5A6D" w14:paraId="6CCA0F96" w14:textId="6106AE91">
            <w:pPr>
              <w:rPr>
                <w:rFonts w:eastAsia="Times New Roman"/>
                <w:b/>
                <w:bCs/>
              </w:rPr>
            </w:pPr>
            <w:r w:rsidRPr="000C0B5F">
              <w:rPr>
                <w:rFonts w:eastAsia="Times New Roman"/>
                <w:b/>
                <w:bCs/>
              </w:rPr>
              <w:t>TOTAL</w:t>
            </w:r>
          </w:p>
        </w:tc>
        <w:tc>
          <w:tcPr>
            <w:tcW w:w="2340" w:type="dxa"/>
            <w:tcBorders>
              <w:top w:val="single" w:sz="12" w:space="0" w:color="auto"/>
              <w:left w:val="single" w:sz="12" w:space="0" w:color="auto"/>
              <w:bottom w:val="single" w:sz="12" w:space="0" w:color="auto"/>
              <w:right w:val="single" w:sz="12" w:space="0" w:color="auto"/>
            </w:tcBorders>
          </w:tcPr>
          <w:p w:rsidR="06AD5A6D" w:rsidRPr="000C0B5F" w:rsidP="06AD5A6D" w14:paraId="6B4C903A" w14:textId="4B4E4C2F">
            <w:pPr>
              <w:jc w:val="center"/>
              <w:rPr>
                <w:rFonts w:eastAsia="Times New Roman"/>
                <w:b/>
                <w:bCs/>
              </w:rPr>
            </w:pPr>
            <w:r w:rsidRPr="000C0B5F">
              <w:rPr>
                <w:rFonts w:eastAsia="Times New Roman"/>
                <w:b/>
                <w:bCs/>
              </w:rPr>
              <w:t>$0</w:t>
            </w:r>
          </w:p>
        </w:tc>
        <w:tc>
          <w:tcPr>
            <w:tcW w:w="1935" w:type="dxa"/>
            <w:tcBorders>
              <w:top w:val="single" w:sz="12" w:space="0" w:color="auto"/>
              <w:left w:val="single" w:sz="12" w:space="0" w:color="auto"/>
              <w:bottom w:val="single" w:sz="12" w:space="0" w:color="auto"/>
              <w:right w:val="single" w:sz="12" w:space="0" w:color="auto"/>
            </w:tcBorders>
          </w:tcPr>
          <w:p w:rsidR="06AD5A6D" w:rsidRPr="000C0B5F" w:rsidP="06AD5A6D" w14:paraId="40A7F48A" w14:textId="707BFE68">
            <w:pPr>
              <w:jc w:val="center"/>
              <w:rPr>
                <w:rFonts w:eastAsia="Times New Roman"/>
                <w:b/>
                <w:bCs/>
              </w:rPr>
            </w:pPr>
            <w:r w:rsidRPr="000C0B5F">
              <w:rPr>
                <w:rFonts w:eastAsia="Times New Roman"/>
                <w:b/>
                <w:bCs/>
              </w:rPr>
              <w:t>$301,600</w:t>
            </w:r>
          </w:p>
        </w:tc>
      </w:tr>
    </w:tbl>
    <w:p w:rsidR="00626650" w:rsidRPr="000C0B5F" w:rsidP="003F1037" w14:paraId="02F2BCC7" w14:textId="77777777"/>
    <w:p w:rsidR="0078289D" w:rsidRPr="000C0B5F" w:rsidP="00281CA0" w14:paraId="584CB147" w14:textId="77777777">
      <w:pPr>
        <w:rPr>
          <w:b/>
          <w:bCs/>
        </w:rPr>
        <w:sectPr w:rsidSect="00621249">
          <w:pgSz w:w="12240" w:h="15840"/>
          <w:pgMar w:top="1440" w:right="1440" w:bottom="1440" w:left="1440" w:header="720" w:footer="720" w:gutter="0"/>
          <w:cols w:space="720"/>
          <w:docGrid w:linePitch="360"/>
        </w:sectPr>
      </w:pPr>
    </w:p>
    <w:p w:rsidR="00281CA0" w:rsidRPr="000C0B5F" w:rsidP="00281CA0" w14:paraId="413BD466" w14:textId="77777777">
      <w:pPr>
        <w:rPr>
          <w:b/>
          <w:bCs/>
        </w:rPr>
      </w:pPr>
      <w:r w:rsidRPr="000C0B5F">
        <w:rPr>
          <w:b/>
          <w:bCs/>
        </w:rPr>
        <w:t>Subpart W: Uranium Mill Tailings</w:t>
      </w:r>
    </w:p>
    <w:p w:rsidR="00281CA0" w:rsidRPr="000C0B5F" w:rsidP="00281CA0" w14:paraId="3C44C869" w14:textId="77777777">
      <w:pPr>
        <w:rPr>
          <w:u w:val="single"/>
        </w:rPr>
      </w:pPr>
      <w:r w:rsidRPr="000C0B5F">
        <w:rPr>
          <w:u w:val="single"/>
        </w:rPr>
        <w:t>Maintaining design/construction records</w:t>
      </w:r>
    </w:p>
    <w:p w:rsidR="00281CA0" w:rsidRPr="000C0B5F" w:rsidP="008334C2" w14:paraId="35C936B7" w14:textId="472D24C0">
      <w:pPr>
        <w:spacing w:line="276" w:lineRule="auto"/>
      </w:pPr>
      <w:r w:rsidRPr="000C0B5F">
        <w:t xml:space="preserve">A startup cost of $100 per facility is assumed for establishing appropriate storage for existing impoundment design and construction records. Afterwards, there are no O&amp;M costs associated with maintaining these records, only annual labor costs to do so. </w:t>
      </w:r>
    </w:p>
    <w:p w:rsidR="00281CA0" w:rsidRPr="000C0B5F" w:rsidP="00281CA0" w14:paraId="2FB42803" w14:textId="16069C4C">
      <w:pPr>
        <w:rPr>
          <w:b/>
          <w:bCs/>
        </w:rPr>
      </w:pPr>
      <w:r w:rsidRPr="000C0B5F">
        <w:rPr>
          <w:b/>
          <w:bCs/>
        </w:rPr>
        <w:t>Table 1</w:t>
      </w:r>
      <w:r w:rsidRPr="000C0B5F" w:rsidR="008129E7">
        <w:rPr>
          <w:b/>
          <w:bCs/>
        </w:rPr>
        <w:t>3</w:t>
      </w:r>
      <w:r w:rsidRPr="000C0B5F">
        <w:rPr>
          <w:b/>
          <w:bCs/>
        </w:rPr>
        <w:t xml:space="preserve">: Burden and Cost to Meet Design and Construction Record Requirements for All Impoundments </w:t>
      </w:r>
    </w:p>
    <w:tbl>
      <w:tblPr>
        <w:tblW w:w="0" w:type="auto"/>
        <w:jc w:val="center"/>
        <w:tblLayout w:type="fixed"/>
        <w:tblLook w:val="06A0"/>
      </w:tblPr>
      <w:tblGrid>
        <w:gridCol w:w="2685"/>
        <w:gridCol w:w="1800"/>
        <w:gridCol w:w="1170"/>
      </w:tblGrid>
      <w:tr w14:paraId="0780D733" w14:textId="77777777" w:rsidTr="00FC6893">
        <w:tblPrEx>
          <w:tblW w:w="0" w:type="auto"/>
          <w:jc w:val="center"/>
          <w:tblLayout w:type="fixed"/>
          <w:tblLook w:val="06A0"/>
        </w:tblPrEx>
        <w:trPr>
          <w:trHeight w:val="345"/>
          <w:jc w:val="center"/>
        </w:trPr>
        <w:tc>
          <w:tcPr>
            <w:tcW w:w="5655" w:type="dxa"/>
            <w:gridSpan w:val="3"/>
            <w:tcBorders>
              <w:top w:val="single" w:sz="12" w:space="0" w:color="auto"/>
              <w:left w:val="single" w:sz="12" w:space="0" w:color="auto"/>
              <w:bottom w:val="single" w:sz="12" w:space="0" w:color="auto"/>
              <w:right w:val="single" w:sz="12" w:space="0" w:color="auto"/>
            </w:tcBorders>
            <w:tcMar>
              <w:top w:w="15" w:type="dxa"/>
              <w:left w:w="15" w:type="dxa"/>
              <w:right w:w="15" w:type="dxa"/>
            </w:tcMar>
          </w:tcPr>
          <w:p w:rsidR="06AD5A6D" w:rsidRPr="000C0B5F" w:rsidP="06AD5A6D" w14:paraId="33775B2D" w14:textId="4E4F2FF4">
            <w:pPr>
              <w:spacing w:after="0"/>
              <w:jc w:val="center"/>
              <w:rPr>
                <w:rFonts w:ascii="Calibri" w:eastAsia="Calibri" w:hAnsi="Calibri" w:cs="Calibri"/>
                <w:b/>
                <w:bCs/>
                <w:sz w:val="20"/>
                <w:szCs w:val="20"/>
              </w:rPr>
            </w:pPr>
            <w:r w:rsidRPr="000C0B5F">
              <w:rPr>
                <w:rFonts w:ascii="Calibri" w:eastAsia="Calibri" w:hAnsi="Calibri" w:cs="Calibri"/>
                <w:b/>
                <w:bCs/>
                <w:sz w:val="20"/>
                <w:szCs w:val="20"/>
              </w:rPr>
              <w:t>Reporting Burden (cost)</w:t>
            </w:r>
          </w:p>
        </w:tc>
      </w:tr>
      <w:tr w14:paraId="2F7162A0" w14:textId="77777777" w:rsidTr="00FC6893">
        <w:tblPrEx>
          <w:tblW w:w="0" w:type="auto"/>
          <w:jc w:val="center"/>
          <w:tblLayout w:type="fixed"/>
          <w:tblLook w:val="06A0"/>
        </w:tblPrEx>
        <w:trPr>
          <w:trHeight w:val="558"/>
          <w:jc w:val="center"/>
        </w:trPr>
        <w:tc>
          <w:tcPr>
            <w:tcW w:w="2685" w:type="dxa"/>
            <w:tcBorders>
              <w:top w:val="single" w:sz="12" w:space="0" w:color="auto"/>
              <w:left w:val="single" w:sz="12" w:space="0" w:color="auto"/>
              <w:bottom w:val="single" w:sz="4" w:space="0" w:color="auto"/>
              <w:right w:val="single" w:sz="12" w:space="0" w:color="auto"/>
            </w:tcBorders>
            <w:tcMar>
              <w:top w:w="15" w:type="dxa"/>
              <w:left w:w="15" w:type="dxa"/>
              <w:right w:w="15" w:type="dxa"/>
            </w:tcMar>
            <w:vAlign w:val="center"/>
          </w:tcPr>
          <w:p w:rsidR="06AD5A6D" w:rsidRPr="000C0B5F" w:rsidP="06AD5A6D" w14:paraId="3644BB60" w14:textId="4B49E97E">
            <w:pPr>
              <w:spacing w:after="0"/>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 xml:space="preserve">Subpart W-- Uranium Mill Tailings </w:t>
            </w:r>
          </w:p>
        </w:tc>
        <w:tc>
          <w:tcPr>
            <w:tcW w:w="1800" w:type="dxa"/>
            <w:tcBorders>
              <w:top w:val="single" w:sz="12" w:space="0" w:color="auto"/>
              <w:left w:val="single" w:sz="12" w:space="0" w:color="auto"/>
              <w:bottom w:val="single" w:sz="4" w:space="0" w:color="auto"/>
              <w:right w:val="single" w:sz="4" w:space="0" w:color="auto"/>
            </w:tcBorders>
            <w:tcMar>
              <w:top w:w="15" w:type="dxa"/>
              <w:left w:w="15" w:type="dxa"/>
              <w:right w:w="15" w:type="dxa"/>
            </w:tcMar>
            <w:vAlign w:val="center"/>
          </w:tcPr>
          <w:p w:rsidR="06AD5A6D" w:rsidRPr="000C0B5F" w:rsidP="00FC6893" w14:paraId="0B374092" w14:textId="11479213">
            <w:pPr>
              <w:spacing w:after="0"/>
              <w:jc w:val="center"/>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Capital/Startup cost</w:t>
            </w:r>
          </w:p>
        </w:tc>
        <w:tc>
          <w:tcPr>
            <w:tcW w:w="1170" w:type="dxa"/>
            <w:tcBorders>
              <w:top w:val="single" w:sz="12" w:space="0" w:color="auto"/>
              <w:left w:val="single" w:sz="4" w:space="0" w:color="auto"/>
              <w:bottom w:val="single" w:sz="4" w:space="0" w:color="auto"/>
              <w:right w:val="single" w:sz="12" w:space="0" w:color="auto"/>
            </w:tcBorders>
            <w:tcMar>
              <w:top w:w="15" w:type="dxa"/>
              <w:left w:w="15" w:type="dxa"/>
              <w:right w:w="15" w:type="dxa"/>
            </w:tcMar>
            <w:vAlign w:val="center"/>
          </w:tcPr>
          <w:p w:rsidR="06AD5A6D" w:rsidRPr="000C0B5F" w:rsidP="00FC6893" w14:paraId="21371D03" w14:textId="01B1EA97">
            <w:pPr>
              <w:spacing w:after="0"/>
              <w:jc w:val="center"/>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O &amp; M Cost</w:t>
            </w:r>
          </w:p>
        </w:tc>
      </w:tr>
      <w:tr w14:paraId="2AD8C304" w14:textId="77777777" w:rsidTr="00FC6893">
        <w:tblPrEx>
          <w:tblW w:w="0" w:type="auto"/>
          <w:jc w:val="center"/>
          <w:tblLayout w:type="fixed"/>
          <w:tblLook w:val="06A0"/>
        </w:tblPrEx>
        <w:trPr>
          <w:trHeight w:val="902"/>
          <w:jc w:val="center"/>
        </w:trPr>
        <w:tc>
          <w:tcPr>
            <w:tcW w:w="2685" w:type="dxa"/>
            <w:tcBorders>
              <w:top w:val="single" w:sz="4"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5D3E6E2D" w14:textId="03E41B83">
            <w:pPr>
              <w:spacing w:after="0"/>
              <w:rPr>
                <w:rFonts w:ascii="Calibri" w:eastAsia="Calibri" w:hAnsi="Calibri" w:cs="Calibri"/>
                <w:color w:val="000000" w:themeColor="text1"/>
                <w:sz w:val="20"/>
                <w:szCs w:val="20"/>
              </w:rPr>
            </w:pPr>
            <w:r w:rsidRPr="000C0B5F">
              <w:rPr>
                <w:rFonts w:ascii="Calibri" w:eastAsia="Calibri" w:hAnsi="Calibri" w:cs="Calibri"/>
                <w:color w:val="000000" w:themeColor="text1"/>
                <w:sz w:val="20"/>
                <w:szCs w:val="20"/>
              </w:rPr>
              <w:t>Read and understand the regulatory provision (Mgmt)</w:t>
            </w:r>
          </w:p>
        </w:tc>
        <w:tc>
          <w:tcPr>
            <w:tcW w:w="1800" w:type="dxa"/>
            <w:tcBorders>
              <w:top w:val="single" w:sz="4" w:space="0" w:color="auto"/>
              <w:left w:val="single" w:sz="12" w:space="0" w:color="auto"/>
              <w:bottom w:val="single" w:sz="12" w:space="0" w:color="auto"/>
              <w:right w:val="single" w:sz="4" w:space="0" w:color="auto"/>
            </w:tcBorders>
            <w:tcMar>
              <w:top w:w="15" w:type="dxa"/>
              <w:left w:w="15" w:type="dxa"/>
              <w:right w:w="15" w:type="dxa"/>
            </w:tcMar>
            <w:vAlign w:val="center"/>
          </w:tcPr>
          <w:p w:rsidR="06AD5A6D" w:rsidRPr="000C0B5F" w:rsidP="06AD5A6D" w14:paraId="33CC974E" w14:textId="489FF705">
            <w:pPr>
              <w:spacing w:after="0"/>
              <w:jc w:val="center"/>
              <w:rPr>
                <w:rFonts w:ascii="Calibri" w:eastAsia="Calibri" w:hAnsi="Calibri" w:cs="Calibri"/>
                <w:color w:val="000000" w:themeColor="text1"/>
                <w:sz w:val="20"/>
                <w:szCs w:val="20"/>
              </w:rPr>
            </w:pPr>
            <w:r w:rsidRPr="000C0B5F">
              <w:rPr>
                <w:rFonts w:ascii="Calibri" w:eastAsia="Calibri" w:hAnsi="Calibri" w:cs="Calibri"/>
                <w:color w:val="000000" w:themeColor="text1"/>
                <w:sz w:val="20"/>
                <w:szCs w:val="20"/>
              </w:rPr>
              <w:t>$</w:t>
            </w:r>
            <w:r w:rsidRPr="000C0B5F">
              <w:rPr>
                <w:rFonts w:ascii="Calibri" w:eastAsia="Calibri" w:hAnsi="Calibri" w:cs="Calibri"/>
                <w:color w:val="000000" w:themeColor="text1"/>
                <w:sz w:val="20"/>
                <w:szCs w:val="20"/>
              </w:rPr>
              <w:t>1500</w:t>
            </w:r>
          </w:p>
        </w:tc>
        <w:tc>
          <w:tcPr>
            <w:tcW w:w="1170" w:type="dxa"/>
            <w:tcBorders>
              <w:top w:val="single" w:sz="4" w:space="0" w:color="auto"/>
              <w:left w:val="single" w:sz="4" w:space="0" w:color="auto"/>
              <w:bottom w:val="single" w:sz="12" w:space="0" w:color="auto"/>
              <w:right w:val="single" w:sz="12" w:space="0" w:color="auto"/>
            </w:tcBorders>
            <w:tcMar>
              <w:top w:w="15" w:type="dxa"/>
              <w:left w:w="15" w:type="dxa"/>
              <w:right w:w="15" w:type="dxa"/>
            </w:tcMar>
            <w:vAlign w:val="center"/>
          </w:tcPr>
          <w:p w:rsidR="06AD5A6D" w:rsidRPr="000C0B5F" w:rsidP="06AD5A6D" w14:paraId="03912DD1" w14:textId="4F71FA93">
            <w:pPr>
              <w:spacing w:after="0"/>
              <w:jc w:val="center"/>
              <w:rPr>
                <w:rFonts w:ascii="Calibri" w:eastAsia="Calibri" w:hAnsi="Calibri" w:cs="Calibri"/>
                <w:color w:val="000000" w:themeColor="text1"/>
                <w:sz w:val="20"/>
                <w:szCs w:val="20"/>
              </w:rPr>
            </w:pPr>
            <w:r w:rsidRPr="000C0B5F">
              <w:rPr>
                <w:rFonts w:ascii="Calibri" w:eastAsia="Calibri" w:hAnsi="Calibri" w:cs="Calibri"/>
                <w:color w:val="000000" w:themeColor="text1"/>
                <w:sz w:val="20"/>
                <w:szCs w:val="20"/>
              </w:rPr>
              <w:t>$0</w:t>
            </w:r>
            <w:r w:rsidRPr="000C0B5F">
              <w:rPr>
                <w:rFonts w:ascii="Calibri" w:eastAsia="Calibri" w:hAnsi="Calibri" w:cs="Calibri"/>
                <w:color w:val="000000" w:themeColor="text1"/>
                <w:sz w:val="20"/>
                <w:szCs w:val="20"/>
              </w:rPr>
              <w:t xml:space="preserve"> </w:t>
            </w:r>
          </w:p>
        </w:tc>
      </w:tr>
      <w:tr w14:paraId="7CC87BF2" w14:textId="77777777" w:rsidTr="00FC6893">
        <w:tblPrEx>
          <w:tblW w:w="0" w:type="auto"/>
          <w:jc w:val="center"/>
          <w:tblLayout w:type="fixed"/>
          <w:tblLook w:val="06A0"/>
        </w:tblPrEx>
        <w:trPr>
          <w:trHeight w:val="345"/>
          <w:jc w:val="center"/>
        </w:trPr>
        <w:tc>
          <w:tcPr>
            <w:tcW w:w="5655" w:type="dxa"/>
            <w:gridSpan w:val="3"/>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7778B5B3" w14:textId="1EB8AD4B">
            <w:pPr>
              <w:spacing w:after="0"/>
              <w:jc w:val="center"/>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Record Keeping Burden (cost)</w:t>
            </w:r>
          </w:p>
        </w:tc>
      </w:tr>
      <w:tr w14:paraId="12553E89" w14:textId="77777777" w:rsidTr="00FC6893">
        <w:tblPrEx>
          <w:tblW w:w="0" w:type="auto"/>
          <w:jc w:val="center"/>
          <w:tblLayout w:type="fixed"/>
          <w:tblLook w:val="06A0"/>
        </w:tblPrEx>
        <w:trPr>
          <w:trHeight w:val="558"/>
          <w:jc w:val="center"/>
        </w:trPr>
        <w:tc>
          <w:tcPr>
            <w:tcW w:w="2685"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6A726D3A" w14:textId="7DC7C9BE">
            <w:pPr>
              <w:spacing w:after="0"/>
              <w:rPr>
                <w:rFonts w:ascii="Calibri" w:eastAsia="Calibri" w:hAnsi="Calibri" w:cs="Calibri"/>
                <w:color w:val="000000" w:themeColor="text1"/>
                <w:sz w:val="20"/>
                <w:szCs w:val="20"/>
              </w:rPr>
            </w:pPr>
            <w:r w:rsidRPr="000C0B5F">
              <w:rPr>
                <w:rFonts w:ascii="Calibri" w:eastAsia="Calibri" w:hAnsi="Calibri" w:cs="Calibri"/>
                <w:color w:val="000000" w:themeColor="text1"/>
                <w:sz w:val="20"/>
                <w:szCs w:val="20"/>
              </w:rPr>
              <w:t>File and maintain data (Clerical)</w:t>
            </w:r>
          </w:p>
        </w:tc>
        <w:tc>
          <w:tcPr>
            <w:tcW w:w="1800" w:type="dxa"/>
            <w:tcBorders>
              <w:top w:val="single" w:sz="12" w:space="0" w:color="auto"/>
              <w:left w:val="single" w:sz="12" w:space="0" w:color="auto"/>
              <w:bottom w:val="single" w:sz="12" w:space="0" w:color="auto"/>
              <w:right w:val="single" w:sz="4" w:space="0" w:color="auto"/>
            </w:tcBorders>
            <w:tcMar>
              <w:top w:w="15" w:type="dxa"/>
              <w:left w:w="15" w:type="dxa"/>
              <w:right w:w="15" w:type="dxa"/>
            </w:tcMar>
            <w:vAlign w:val="center"/>
          </w:tcPr>
          <w:p w:rsidR="06AD5A6D" w:rsidRPr="000C0B5F" w:rsidP="06AD5A6D" w14:paraId="7CE265B3" w14:textId="22F6C0ED">
            <w:pPr>
              <w:spacing w:after="0"/>
              <w:jc w:val="center"/>
              <w:rPr>
                <w:rFonts w:ascii="Calibri" w:eastAsia="Calibri" w:hAnsi="Calibri" w:cs="Calibri"/>
                <w:color w:val="000000" w:themeColor="text1"/>
                <w:sz w:val="20"/>
                <w:szCs w:val="20"/>
              </w:rPr>
            </w:pPr>
            <w:r w:rsidRPr="000C0B5F">
              <w:rPr>
                <w:rFonts w:ascii="Calibri" w:eastAsia="Calibri" w:hAnsi="Calibri" w:cs="Calibri"/>
                <w:color w:val="000000" w:themeColor="text1"/>
                <w:sz w:val="20"/>
                <w:szCs w:val="20"/>
              </w:rPr>
              <w:t xml:space="preserve">$100 </w:t>
            </w:r>
          </w:p>
        </w:tc>
        <w:tc>
          <w:tcPr>
            <w:tcW w:w="1170" w:type="dxa"/>
            <w:tcBorders>
              <w:top w:val="single" w:sz="12" w:space="0" w:color="auto"/>
              <w:left w:val="single" w:sz="4" w:space="0" w:color="auto"/>
              <w:bottom w:val="single" w:sz="12" w:space="0" w:color="auto"/>
              <w:right w:val="single" w:sz="12" w:space="0" w:color="auto"/>
            </w:tcBorders>
            <w:tcMar>
              <w:top w:w="15" w:type="dxa"/>
              <w:left w:w="15" w:type="dxa"/>
              <w:right w:w="15" w:type="dxa"/>
            </w:tcMar>
            <w:vAlign w:val="center"/>
          </w:tcPr>
          <w:p w:rsidR="06AD5A6D" w:rsidRPr="000C0B5F" w:rsidP="06AD5A6D" w14:paraId="5F5C1228" w14:textId="27891B6F">
            <w:pPr>
              <w:spacing w:after="0"/>
              <w:jc w:val="center"/>
              <w:rPr>
                <w:rFonts w:ascii="Calibri" w:eastAsia="Calibri" w:hAnsi="Calibri" w:cs="Calibri"/>
                <w:color w:val="000000" w:themeColor="text1"/>
                <w:sz w:val="20"/>
                <w:szCs w:val="20"/>
              </w:rPr>
            </w:pPr>
            <w:r w:rsidRPr="000C0B5F">
              <w:rPr>
                <w:rFonts w:ascii="Calibri" w:eastAsia="Calibri" w:hAnsi="Calibri" w:cs="Calibri"/>
                <w:color w:val="000000" w:themeColor="text1"/>
                <w:sz w:val="20"/>
                <w:szCs w:val="20"/>
              </w:rPr>
              <w:t xml:space="preserve"> </w:t>
            </w:r>
            <w:r w:rsidRPr="000C0B5F" w:rsidR="002A2C79">
              <w:rPr>
                <w:rFonts w:ascii="Calibri" w:eastAsia="Calibri" w:hAnsi="Calibri" w:cs="Calibri"/>
                <w:color w:val="000000" w:themeColor="text1"/>
                <w:sz w:val="20"/>
                <w:szCs w:val="20"/>
              </w:rPr>
              <w:t>$0</w:t>
            </w:r>
          </w:p>
        </w:tc>
      </w:tr>
      <w:tr w14:paraId="625D4C19" w14:textId="77777777" w:rsidTr="00FC6893">
        <w:tblPrEx>
          <w:tblW w:w="0" w:type="auto"/>
          <w:jc w:val="center"/>
          <w:tblLayout w:type="fixed"/>
          <w:tblLook w:val="06A0"/>
        </w:tblPrEx>
        <w:trPr>
          <w:trHeight w:val="315"/>
          <w:jc w:val="center"/>
        </w:trPr>
        <w:tc>
          <w:tcPr>
            <w:tcW w:w="2685"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3495B25B" w14:textId="637DB746">
            <w:pPr>
              <w:spacing w:after="0"/>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TOTAL</w:t>
            </w:r>
          </w:p>
        </w:tc>
        <w:tc>
          <w:tcPr>
            <w:tcW w:w="1800"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105B0DF8" w14:textId="595F569C">
            <w:pPr>
              <w:spacing w:after="0"/>
              <w:jc w:val="center"/>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 xml:space="preserve">$1,600 </w:t>
            </w:r>
          </w:p>
        </w:tc>
        <w:tc>
          <w:tcPr>
            <w:tcW w:w="1170"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110A857C" w14:textId="046227B3">
            <w:pPr>
              <w:spacing w:after="0"/>
              <w:jc w:val="center"/>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$0</w:t>
            </w:r>
          </w:p>
        </w:tc>
      </w:tr>
    </w:tbl>
    <w:p w:rsidR="00423143" w:rsidRPr="000C0B5F" w:rsidP="00FC6893" w14:paraId="3C4FD90A" w14:textId="77777777">
      <w:pPr>
        <w:spacing w:before="240"/>
        <w:rPr>
          <w:u w:val="single"/>
        </w:rPr>
      </w:pPr>
      <w:r w:rsidRPr="000C0B5F">
        <w:rPr>
          <w:u w:val="single"/>
        </w:rPr>
        <w:t>Measurements for conventional impoundments</w:t>
      </w:r>
    </w:p>
    <w:p w:rsidR="00423143" w:rsidRPr="000C0B5F" w:rsidP="008334C2" w14:paraId="69D128AB" w14:textId="166336FF">
      <w:pPr>
        <w:spacing w:line="276" w:lineRule="auto"/>
      </w:pPr>
      <w:r w:rsidRPr="000C0B5F">
        <w:t xml:space="preserve">Table </w:t>
      </w:r>
      <w:r w:rsidRPr="000C0B5F" w:rsidR="00543C72">
        <w:t>1</w:t>
      </w:r>
      <w:r w:rsidRPr="000C0B5F" w:rsidR="008129E7">
        <w:t>4</w:t>
      </w:r>
      <w:r w:rsidRPr="000C0B5F">
        <w:t xml:space="preserve"> includes the following expenses for respondents:</w:t>
      </w:r>
    </w:p>
    <w:p w:rsidR="00423143" w:rsidRPr="000C0B5F" w:rsidP="008334C2" w14:paraId="18121B97" w14:textId="77777777">
      <w:pPr>
        <w:pStyle w:val="ListParagraph"/>
        <w:numPr>
          <w:ilvl w:val="0"/>
          <w:numId w:val="36"/>
        </w:numPr>
        <w:spacing w:line="276" w:lineRule="auto"/>
      </w:pPr>
      <w:r w:rsidRPr="000C0B5F">
        <w:t xml:space="preserve">It is estimated that the testing materials for 200 measurements and the analysis is obtained from a contract source at a cost of $44/measurement. </w:t>
      </w:r>
    </w:p>
    <w:p w:rsidR="00423143" w:rsidRPr="000C0B5F" w:rsidP="008334C2" w14:paraId="09B91FD0" w14:textId="77777777">
      <w:pPr>
        <w:pStyle w:val="ListParagraph"/>
        <w:numPr>
          <w:ilvl w:val="1"/>
          <w:numId w:val="35"/>
        </w:numPr>
        <w:spacing w:line="276" w:lineRule="auto"/>
      </w:pPr>
      <w:r w:rsidRPr="000C0B5F">
        <w:t>It is estimated that it will take one day for two people to place the test canisters and one day for two people to collect the canisters and ship them to a testing lab.</w:t>
      </w:r>
    </w:p>
    <w:p w:rsidR="00ED40F3" w:rsidRPr="000C0B5F" w:rsidP="008334C2" w14:paraId="6D82570B" w14:textId="577C5503">
      <w:pPr>
        <w:pStyle w:val="ListParagraph"/>
        <w:numPr>
          <w:ilvl w:val="1"/>
          <w:numId w:val="35"/>
        </w:numPr>
        <w:spacing w:line="276" w:lineRule="auto"/>
        <w:sectPr w:rsidSect="00621249">
          <w:pgSz w:w="12240" w:h="15840"/>
          <w:pgMar w:top="1440" w:right="1440" w:bottom="1440" w:left="1440" w:header="720" w:footer="720" w:gutter="0"/>
          <w:cols w:space="720"/>
          <w:docGrid w:linePitch="360"/>
        </w:sectPr>
      </w:pPr>
      <w:r w:rsidRPr="000C0B5F">
        <w:t>It is estimated that 3 facilities will file a report annually.</w:t>
      </w:r>
    </w:p>
    <w:p w:rsidR="00423143" w:rsidRPr="000C0B5F" w:rsidP="00423143" w14:paraId="6DC49AC0" w14:textId="279C9762">
      <w:pPr>
        <w:rPr>
          <w:b/>
          <w:bCs/>
        </w:rPr>
      </w:pPr>
      <w:r w:rsidRPr="000C0B5F">
        <w:rPr>
          <w:b/>
          <w:bCs/>
        </w:rPr>
        <w:t xml:space="preserve">Table </w:t>
      </w:r>
      <w:r w:rsidRPr="000C0B5F" w:rsidR="00543C72">
        <w:rPr>
          <w:b/>
          <w:bCs/>
        </w:rPr>
        <w:t>1</w:t>
      </w:r>
      <w:r w:rsidRPr="000C0B5F" w:rsidR="008129E7">
        <w:rPr>
          <w:b/>
          <w:bCs/>
        </w:rPr>
        <w:t>4</w:t>
      </w:r>
      <w:r w:rsidRPr="000C0B5F">
        <w:rPr>
          <w:b/>
          <w:bCs/>
        </w:rPr>
        <w:t>: Burden and Cost for Subpart W Uranium Mill Tailings</w:t>
      </w:r>
    </w:p>
    <w:tbl>
      <w:tblPr>
        <w:tblW w:w="0" w:type="auto"/>
        <w:jc w:val="center"/>
        <w:tblLayout w:type="fixed"/>
        <w:tblLook w:val="06A0"/>
      </w:tblPr>
      <w:tblGrid>
        <w:gridCol w:w="2055"/>
        <w:gridCol w:w="2839"/>
        <w:gridCol w:w="2441"/>
      </w:tblGrid>
      <w:tr w14:paraId="51583F5A" w14:textId="77777777">
        <w:tblPrEx>
          <w:tblW w:w="0" w:type="auto"/>
          <w:jc w:val="center"/>
          <w:tblLayout w:type="fixed"/>
          <w:tblLook w:val="06A0"/>
        </w:tblPrEx>
        <w:trPr>
          <w:trHeight w:val="330"/>
          <w:jc w:val="center"/>
        </w:trPr>
        <w:tc>
          <w:tcPr>
            <w:tcW w:w="7335" w:type="dxa"/>
            <w:gridSpan w:val="3"/>
            <w:tcBorders>
              <w:top w:val="single" w:sz="12" w:space="0" w:color="auto"/>
              <w:left w:val="single" w:sz="12" w:space="0" w:color="auto"/>
              <w:bottom w:val="single" w:sz="12" w:space="0" w:color="auto"/>
              <w:right w:val="single" w:sz="12" w:space="0" w:color="auto"/>
            </w:tcBorders>
            <w:tcMar>
              <w:top w:w="15" w:type="dxa"/>
              <w:left w:w="15" w:type="dxa"/>
              <w:right w:w="15" w:type="dxa"/>
            </w:tcMar>
          </w:tcPr>
          <w:p w:rsidR="00500D91" w:rsidRPr="000C0B5F" w:rsidP="06AD5A6D" w14:paraId="3FD11552" w14:textId="5BAD19F0">
            <w:pPr>
              <w:spacing w:after="0"/>
              <w:jc w:val="center"/>
              <w:rPr>
                <w:rFonts w:ascii="Calibri" w:eastAsia="Calibri" w:hAnsi="Calibri" w:cs="Calibri"/>
                <w:b/>
                <w:bCs/>
                <w:sz w:val="20"/>
                <w:szCs w:val="20"/>
              </w:rPr>
            </w:pPr>
            <w:r w:rsidRPr="000C0B5F">
              <w:rPr>
                <w:rFonts w:ascii="Calibri" w:eastAsia="Calibri" w:hAnsi="Calibri" w:cs="Calibri"/>
                <w:b/>
                <w:bCs/>
                <w:sz w:val="20"/>
                <w:szCs w:val="20"/>
              </w:rPr>
              <w:t>Reporting Burden (costs)</w:t>
            </w:r>
          </w:p>
        </w:tc>
      </w:tr>
      <w:tr w14:paraId="159252C9" w14:textId="77777777" w:rsidTr="00792764">
        <w:tblPrEx>
          <w:tblW w:w="0" w:type="auto"/>
          <w:jc w:val="center"/>
          <w:tblLayout w:type="fixed"/>
          <w:tblLook w:val="06A0"/>
        </w:tblPrEx>
        <w:trPr>
          <w:trHeight w:val="390"/>
          <w:jc w:val="center"/>
        </w:trPr>
        <w:tc>
          <w:tcPr>
            <w:tcW w:w="2055" w:type="dxa"/>
            <w:tcBorders>
              <w:top w:val="single" w:sz="12" w:space="0" w:color="auto"/>
              <w:left w:val="single" w:sz="12" w:space="0" w:color="auto"/>
              <w:bottom w:val="single" w:sz="12" w:space="0" w:color="auto"/>
              <w:right w:val="single" w:sz="4" w:space="0" w:color="auto"/>
            </w:tcBorders>
            <w:tcMar>
              <w:top w:w="15" w:type="dxa"/>
              <w:left w:w="15" w:type="dxa"/>
              <w:right w:w="15" w:type="dxa"/>
            </w:tcMar>
            <w:vAlign w:val="center"/>
          </w:tcPr>
          <w:p w:rsidR="06AD5A6D" w:rsidRPr="000C0B5F" w:rsidP="00792764" w14:paraId="7B769F07" w14:textId="2C7EB4B4">
            <w:pPr>
              <w:spacing w:after="0"/>
              <w:jc w:val="center"/>
              <w:rPr>
                <w:rFonts w:ascii="Calibri" w:eastAsia="Calibri" w:hAnsi="Calibri" w:cs="Calibri"/>
                <w:b/>
                <w:bCs/>
                <w:sz w:val="20"/>
                <w:szCs w:val="20"/>
              </w:rPr>
            </w:pPr>
            <w:r w:rsidRPr="000C0B5F">
              <w:rPr>
                <w:rFonts w:ascii="Calibri" w:eastAsia="Calibri" w:hAnsi="Calibri" w:cs="Calibri"/>
                <w:b/>
                <w:bCs/>
                <w:sz w:val="20"/>
                <w:szCs w:val="20"/>
              </w:rPr>
              <w:t>Reporting Burden Task</w:t>
            </w:r>
          </w:p>
        </w:tc>
        <w:tc>
          <w:tcPr>
            <w:tcW w:w="2839" w:type="dxa"/>
            <w:tcBorders>
              <w:top w:val="single" w:sz="12" w:space="0" w:color="auto"/>
              <w:left w:val="single" w:sz="12" w:space="0" w:color="auto"/>
              <w:bottom w:val="single" w:sz="12" w:space="0" w:color="auto"/>
              <w:right w:val="single" w:sz="4" w:space="0" w:color="000000" w:themeColor="text1"/>
            </w:tcBorders>
            <w:tcMar>
              <w:top w:w="15" w:type="dxa"/>
              <w:left w:w="15" w:type="dxa"/>
              <w:right w:w="15" w:type="dxa"/>
            </w:tcMar>
          </w:tcPr>
          <w:p w:rsidR="06AD5A6D" w:rsidRPr="000C0B5F" w:rsidP="00792764" w14:paraId="0499E2C8" w14:textId="56413F1C">
            <w:pPr>
              <w:spacing w:after="0"/>
              <w:jc w:val="center"/>
              <w:rPr>
                <w:rFonts w:ascii="Calibri" w:eastAsia="Calibri" w:hAnsi="Calibri" w:cs="Calibri"/>
                <w:b/>
                <w:bCs/>
                <w:sz w:val="20"/>
                <w:szCs w:val="20"/>
              </w:rPr>
            </w:pPr>
            <w:r w:rsidRPr="000C0B5F">
              <w:rPr>
                <w:rFonts w:ascii="Calibri" w:eastAsia="Calibri" w:hAnsi="Calibri" w:cs="Calibri"/>
                <w:b/>
                <w:bCs/>
                <w:sz w:val="20"/>
                <w:szCs w:val="20"/>
              </w:rPr>
              <w:t>Capital Startup Cost ($/yr)</w:t>
            </w:r>
          </w:p>
        </w:tc>
        <w:tc>
          <w:tcPr>
            <w:tcW w:w="2441" w:type="dxa"/>
            <w:tcBorders>
              <w:top w:val="nil"/>
              <w:left w:val="single" w:sz="4" w:space="0" w:color="auto"/>
              <w:bottom w:val="single" w:sz="12" w:space="0" w:color="auto"/>
              <w:right w:val="single" w:sz="12" w:space="0" w:color="auto"/>
            </w:tcBorders>
            <w:tcMar>
              <w:top w:w="15" w:type="dxa"/>
              <w:left w:w="15" w:type="dxa"/>
              <w:right w:w="15" w:type="dxa"/>
            </w:tcMar>
          </w:tcPr>
          <w:p w:rsidR="06AD5A6D" w:rsidRPr="000C0B5F" w:rsidP="00792764" w14:paraId="41A97DA1" w14:textId="58AB4498">
            <w:pPr>
              <w:spacing w:after="0"/>
              <w:jc w:val="center"/>
              <w:rPr>
                <w:rFonts w:ascii="Calibri" w:eastAsia="Calibri" w:hAnsi="Calibri" w:cs="Calibri"/>
                <w:b/>
                <w:bCs/>
                <w:sz w:val="20"/>
                <w:szCs w:val="20"/>
              </w:rPr>
            </w:pPr>
            <w:r w:rsidRPr="000C0B5F">
              <w:rPr>
                <w:rFonts w:ascii="Calibri" w:eastAsia="Calibri" w:hAnsi="Calibri" w:cs="Calibri"/>
                <w:b/>
                <w:bCs/>
                <w:sz w:val="20"/>
                <w:szCs w:val="20"/>
              </w:rPr>
              <w:t>O &amp; M Cost ($/yr)</w:t>
            </w:r>
          </w:p>
        </w:tc>
      </w:tr>
      <w:tr w14:paraId="142362A2" w14:textId="77777777" w:rsidTr="00792764">
        <w:tblPrEx>
          <w:tblW w:w="0" w:type="auto"/>
          <w:jc w:val="center"/>
          <w:tblLayout w:type="fixed"/>
          <w:tblLook w:val="06A0"/>
        </w:tblPrEx>
        <w:trPr>
          <w:trHeight w:val="1245"/>
          <w:jc w:val="center"/>
        </w:trPr>
        <w:tc>
          <w:tcPr>
            <w:tcW w:w="2055" w:type="dxa"/>
            <w:tcBorders>
              <w:top w:val="single" w:sz="12" w:space="0" w:color="auto"/>
              <w:left w:val="single" w:sz="12" w:space="0" w:color="auto"/>
              <w:bottom w:val="single" w:sz="4" w:space="0" w:color="auto"/>
              <w:right w:val="single" w:sz="4" w:space="0" w:color="auto"/>
            </w:tcBorders>
            <w:tcMar>
              <w:top w:w="15" w:type="dxa"/>
              <w:left w:w="15" w:type="dxa"/>
              <w:right w:w="15" w:type="dxa"/>
            </w:tcMar>
            <w:vAlign w:val="center"/>
          </w:tcPr>
          <w:p w:rsidR="06AD5A6D" w:rsidRPr="000C0B5F" w:rsidP="06AD5A6D" w14:paraId="44DD9FFF" w14:textId="4782746C">
            <w:pPr>
              <w:spacing w:after="0"/>
              <w:rPr>
                <w:rFonts w:ascii="Calibri" w:eastAsia="Calibri" w:hAnsi="Calibri" w:cs="Calibri"/>
                <w:sz w:val="20"/>
                <w:szCs w:val="20"/>
              </w:rPr>
            </w:pPr>
            <w:r w:rsidRPr="000C0B5F">
              <w:rPr>
                <w:rFonts w:ascii="Calibri" w:eastAsia="Calibri" w:hAnsi="Calibri" w:cs="Calibri"/>
                <w:sz w:val="20"/>
                <w:szCs w:val="20"/>
              </w:rPr>
              <w:t>Read and understand the regulatory provision</w:t>
            </w:r>
          </w:p>
        </w:tc>
        <w:tc>
          <w:tcPr>
            <w:tcW w:w="2839" w:type="dxa"/>
            <w:tcBorders>
              <w:top w:val="single" w:sz="12" w:space="0" w:color="auto"/>
              <w:left w:val="single" w:sz="12" w:space="0" w:color="auto"/>
              <w:bottom w:val="single" w:sz="4" w:space="0" w:color="auto"/>
              <w:right w:val="single" w:sz="4" w:space="0" w:color="auto"/>
            </w:tcBorders>
            <w:tcMar>
              <w:top w:w="15" w:type="dxa"/>
              <w:left w:w="15" w:type="dxa"/>
              <w:right w:w="15" w:type="dxa"/>
            </w:tcMar>
            <w:vAlign w:val="center"/>
          </w:tcPr>
          <w:p w:rsidR="06AD5A6D" w:rsidRPr="000C0B5F" w:rsidP="06AD5A6D" w14:paraId="446690F6" w14:textId="2A8D9B4C">
            <w:pPr>
              <w:spacing w:after="0"/>
              <w:jc w:val="center"/>
              <w:rPr>
                <w:rFonts w:ascii="Calibri" w:eastAsia="Calibri" w:hAnsi="Calibri" w:cs="Calibri"/>
                <w:sz w:val="20"/>
                <w:szCs w:val="20"/>
              </w:rPr>
            </w:pPr>
            <w:r w:rsidRPr="000C0B5F">
              <w:rPr>
                <w:rFonts w:ascii="Calibri" w:eastAsia="Calibri" w:hAnsi="Calibri" w:cs="Calibri"/>
                <w:sz w:val="20"/>
                <w:szCs w:val="20"/>
              </w:rPr>
              <w:t>$0</w:t>
            </w:r>
          </w:p>
        </w:tc>
        <w:tc>
          <w:tcPr>
            <w:tcW w:w="2441" w:type="dxa"/>
            <w:tcBorders>
              <w:top w:val="single" w:sz="12" w:space="0" w:color="auto"/>
              <w:left w:val="single" w:sz="4" w:space="0" w:color="auto"/>
              <w:bottom w:val="single" w:sz="4" w:space="0" w:color="auto"/>
              <w:right w:val="single" w:sz="12" w:space="0" w:color="auto"/>
            </w:tcBorders>
            <w:tcMar>
              <w:top w:w="15" w:type="dxa"/>
              <w:left w:w="15" w:type="dxa"/>
              <w:right w:w="15" w:type="dxa"/>
            </w:tcMar>
            <w:vAlign w:val="center"/>
          </w:tcPr>
          <w:p w:rsidR="06AD5A6D" w:rsidRPr="000C0B5F" w:rsidP="06AD5A6D" w14:paraId="6D7D6D09" w14:textId="5056138C">
            <w:pPr>
              <w:spacing w:after="0"/>
              <w:jc w:val="center"/>
              <w:rPr>
                <w:rFonts w:ascii="Calibri" w:eastAsia="Calibri" w:hAnsi="Calibri" w:cs="Calibri"/>
                <w:sz w:val="20"/>
                <w:szCs w:val="20"/>
              </w:rPr>
            </w:pPr>
            <w:r w:rsidRPr="000C0B5F">
              <w:rPr>
                <w:rFonts w:ascii="Calibri" w:eastAsia="Calibri" w:hAnsi="Calibri" w:cs="Calibri"/>
                <w:sz w:val="20"/>
                <w:szCs w:val="20"/>
              </w:rPr>
              <w:t>$0</w:t>
            </w:r>
          </w:p>
        </w:tc>
      </w:tr>
      <w:tr w14:paraId="154AC02A" w14:textId="77777777" w:rsidTr="00792764">
        <w:tblPrEx>
          <w:tblW w:w="0" w:type="auto"/>
          <w:jc w:val="center"/>
          <w:tblLayout w:type="fixed"/>
          <w:tblLook w:val="06A0"/>
        </w:tblPrEx>
        <w:trPr>
          <w:trHeight w:val="615"/>
          <w:jc w:val="center"/>
        </w:trPr>
        <w:tc>
          <w:tcPr>
            <w:tcW w:w="2055" w:type="dxa"/>
            <w:tcBorders>
              <w:top w:val="single" w:sz="4" w:space="0" w:color="auto"/>
              <w:left w:val="single" w:sz="12" w:space="0" w:color="auto"/>
              <w:bottom w:val="single" w:sz="4" w:space="0" w:color="000000" w:themeColor="text1"/>
              <w:right w:val="single" w:sz="4" w:space="0" w:color="000000" w:themeColor="text1"/>
            </w:tcBorders>
            <w:tcMar>
              <w:top w:w="15" w:type="dxa"/>
              <w:left w:w="15" w:type="dxa"/>
              <w:right w:w="15" w:type="dxa"/>
            </w:tcMar>
            <w:vAlign w:val="center"/>
          </w:tcPr>
          <w:p w:rsidR="06AD5A6D" w:rsidRPr="000C0B5F" w:rsidP="06AD5A6D" w14:paraId="252E5C34" w14:textId="2E46DF24">
            <w:pPr>
              <w:spacing w:after="0"/>
              <w:rPr>
                <w:rFonts w:ascii="Calibri" w:eastAsia="Calibri" w:hAnsi="Calibri" w:cs="Calibri"/>
                <w:sz w:val="20"/>
                <w:szCs w:val="20"/>
              </w:rPr>
            </w:pPr>
            <w:r w:rsidRPr="000C0B5F">
              <w:rPr>
                <w:rFonts w:ascii="Calibri" w:eastAsia="Calibri" w:hAnsi="Calibri" w:cs="Calibri"/>
                <w:sz w:val="20"/>
                <w:szCs w:val="20"/>
              </w:rPr>
              <w:t>Perform radon flux testing</w:t>
            </w:r>
          </w:p>
        </w:tc>
        <w:tc>
          <w:tcPr>
            <w:tcW w:w="2839" w:type="dxa"/>
            <w:tcBorders>
              <w:top w:val="single" w:sz="4" w:space="0" w:color="auto"/>
              <w:left w:val="single" w:sz="12" w:space="0" w:color="auto"/>
              <w:bottom w:val="single" w:sz="4" w:space="0" w:color="auto"/>
              <w:right w:val="single" w:sz="4" w:space="0" w:color="auto"/>
            </w:tcBorders>
            <w:tcMar>
              <w:top w:w="15" w:type="dxa"/>
              <w:left w:w="15" w:type="dxa"/>
              <w:right w:w="15" w:type="dxa"/>
            </w:tcMar>
            <w:vAlign w:val="center"/>
          </w:tcPr>
          <w:p w:rsidR="06AD5A6D" w:rsidRPr="000C0B5F" w:rsidP="06AD5A6D" w14:paraId="416FA858" w14:textId="6D2A5A26">
            <w:pPr>
              <w:spacing w:after="0"/>
              <w:jc w:val="center"/>
              <w:rPr>
                <w:rFonts w:ascii="Calibri" w:eastAsia="Calibri" w:hAnsi="Calibri" w:cs="Calibri"/>
                <w:sz w:val="20"/>
                <w:szCs w:val="20"/>
              </w:rPr>
            </w:pPr>
            <w:r w:rsidRPr="000C0B5F">
              <w:rPr>
                <w:rFonts w:ascii="Calibri" w:eastAsia="Calibri" w:hAnsi="Calibri" w:cs="Calibri"/>
                <w:sz w:val="20"/>
                <w:szCs w:val="20"/>
              </w:rPr>
              <w:t>$0</w:t>
            </w:r>
          </w:p>
        </w:tc>
        <w:tc>
          <w:tcPr>
            <w:tcW w:w="2441" w:type="dxa"/>
            <w:tcBorders>
              <w:top w:val="single" w:sz="4" w:space="0" w:color="auto"/>
              <w:left w:val="single" w:sz="4" w:space="0" w:color="auto"/>
              <w:bottom w:val="single" w:sz="4" w:space="0" w:color="auto"/>
              <w:right w:val="single" w:sz="12" w:space="0" w:color="auto"/>
            </w:tcBorders>
            <w:tcMar>
              <w:top w:w="15" w:type="dxa"/>
              <w:left w:w="15" w:type="dxa"/>
              <w:right w:w="15" w:type="dxa"/>
            </w:tcMar>
            <w:vAlign w:val="center"/>
          </w:tcPr>
          <w:p w:rsidR="06AD5A6D" w:rsidRPr="000C0B5F" w:rsidP="06AD5A6D" w14:paraId="42DC49FD" w14:textId="5D75E7A3">
            <w:pPr>
              <w:spacing w:after="0"/>
              <w:jc w:val="center"/>
              <w:rPr>
                <w:rFonts w:ascii="Calibri" w:eastAsia="Calibri" w:hAnsi="Calibri" w:cs="Calibri"/>
                <w:sz w:val="20"/>
                <w:szCs w:val="20"/>
              </w:rPr>
            </w:pPr>
            <w:r w:rsidRPr="000C0B5F">
              <w:rPr>
                <w:rFonts w:ascii="Calibri" w:eastAsia="Calibri" w:hAnsi="Calibri" w:cs="Calibri"/>
                <w:sz w:val="20"/>
                <w:szCs w:val="20"/>
              </w:rPr>
              <w:t>$26,400</w:t>
            </w:r>
          </w:p>
        </w:tc>
      </w:tr>
      <w:tr w14:paraId="4D12E999" w14:textId="77777777" w:rsidTr="00792764">
        <w:tblPrEx>
          <w:tblW w:w="0" w:type="auto"/>
          <w:jc w:val="center"/>
          <w:tblLayout w:type="fixed"/>
          <w:tblLook w:val="06A0"/>
        </w:tblPrEx>
        <w:trPr>
          <w:trHeight w:val="615"/>
          <w:jc w:val="center"/>
        </w:trPr>
        <w:tc>
          <w:tcPr>
            <w:tcW w:w="2055" w:type="dxa"/>
            <w:tcBorders>
              <w:top w:val="single" w:sz="4" w:space="0" w:color="000000" w:themeColor="text1"/>
              <w:left w:val="single" w:sz="12" w:space="0" w:color="auto"/>
              <w:bottom w:val="single" w:sz="4" w:space="0" w:color="auto"/>
              <w:right w:val="single" w:sz="4" w:space="0" w:color="auto"/>
            </w:tcBorders>
            <w:tcMar>
              <w:top w:w="15" w:type="dxa"/>
              <w:left w:w="15" w:type="dxa"/>
              <w:right w:w="15" w:type="dxa"/>
            </w:tcMar>
            <w:vAlign w:val="center"/>
          </w:tcPr>
          <w:p w:rsidR="06AD5A6D" w:rsidRPr="000C0B5F" w:rsidP="06AD5A6D" w14:paraId="22468DD4" w14:textId="7651882B">
            <w:pPr>
              <w:spacing w:after="0"/>
              <w:rPr>
                <w:rFonts w:ascii="Calibri" w:eastAsia="Calibri" w:hAnsi="Calibri" w:cs="Calibri"/>
                <w:sz w:val="20"/>
                <w:szCs w:val="20"/>
              </w:rPr>
            </w:pPr>
            <w:r w:rsidRPr="000C0B5F">
              <w:rPr>
                <w:rFonts w:ascii="Calibri" w:eastAsia="Calibri" w:hAnsi="Calibri" w:cs="Calibri"/>
                <w:sz w:val="20"/>
                <w:szCs w:val="20"/>
              </w:rPr>
              <w:t>Perform data analysis</w:t>
            </w:r>
          </w:p>
        </w:tc>
        <w:tc>
          <w:tcPr>
            <w:tcW w:w="2839" w:type="dxa"/>
            <w:tcBorders>
              <w:top w:val="single" w:sz="4" w:space="0" w:color="auto"/>
              <w:left w:val="single" w:sz="12" w:space="0" w:color="auto"/>
              <w:bottom w:val="single" w:sz="4" w:space="0" w:color="auto"/>
              <w:right w:val="single" w:sz="4" w:space="0" w:color="auto"/>
            </w:tcBorders>
            <w:tcMar>
              <w:top w:w="15" w:type="dxa"/>
              <w:left w:w="15" w:type="dxa"/>
              <w:right w:w="15" w:type="dxa"/>
            </w:tcMar>
            <w:vAlign w:val="center"/>
          </w:tcPr>
          <w:p w:rsidR="06AD5A6D" w:rsidRPr="000C0B5F" w:rsidP="06AD5A6D" w14:paraId="1D3773CA" w14:textId="3AFFEB7D">
            <w:pPr>
              <w:spacing w:after="0"/>
              <w:jc w:val="center"/>
              <w:rPr>
                <w:rFonts w:ascii="Calibri" w:eastAsia="Calibri" w:hAnsi="Calibri" w:cs="Calibri"/>
                <w:sz w:val="20"/>
                <w:szCs w:val="20"/>
              </w:rPr>
            </w:pPr>
            <w:r w:rsidRPr="000C0B5F">
              <w:rPr>
                <w:rFonts w:ascii="Calibri" w:eastAsia="Calibri" w:hAnsi="Calibri" w:cs="Calibri"/>
                <w:sz w:val="20"/>
                <w:szCs w:val="20"/>
              </w:rPr>
              <w:t>$0</w:t>
            </w:r>
          </w:p>
        </w:tc>
        <w:tc>
          <w:tcPr>
            <w:tcW w:w="2441" w:type="dxa"/>
            <w:tcBorders>
              <w:top w:val="single" w:sz="4" w:space="0" w:color="auto"/>
              <w:left w:val="single" w:sz="4" w:space="0" w:color="auto"/>
              <w:bottom w:val="single" w:sz="4" w:space="0" w:color="auto"/>
              <w:right w:val="single" w:sz="12" w:space="0" w:color="auto"/>
            </w:tcBorders>
            <w:tcMar>
              <w:top w:w="15" w:type="dxa"/>
              <w:left w:w="15" w:type="dxa"/>
              <w:right w:w="15" w:type="dxa"/>
            </w:tcMar>
            <w:vAlign w:val="center"/>
          </w:tcPr>
          <w:p w:rsidR="06AD5A6D" w:rsidRPr="000C0B5F" w:rsidP="06AD5A6D" w14:paraId="15FA5AE7" w14:textId="58C0C511">
            <w:pPr>
              <w:spacing w:after="0"/>
              <w:jc w:val="center"/>
              <w:rPr>
                <w:rFonts w:ascii="Calibri" w:eastAsia="Calibri" w:hAnsi="Calibri" w:cs="Calibri"/>
                <w:sz w:val="20"/>
                <w:szCs w:val="20"/>
              </w:rPr>
            </w:pPr>
            <w:r w:rsidRPr="000C0B5F">
              <w:rPr>
                <w:rFonts w:ascii="Calibri" w:eastAsia="Calibri" w:hAnsi="Calibri" w:cs="Calibri"/>
                <w:sz w:val="20"/>
                <w:szCs w:val="20"/>
              </w:rPr>
              <w:t>$0</w:t>
            </w:r>
          </w:p>
        </w:tc>
      </w:tr>
      <w:tr w14:paraId="5011E010" w14:textId="77777777" w:rsidTr="00792764">
        <w:tblPrEx>
          <w:tblW w:w="0" w:type="auto"/>
          <w:jc w:val="center"/>
          <w:tblLayout w:type="fixed"/>
          <w:tblLook w:val="06A0"/>
        </w:tblPrEx>
        <w:trPr>
          <w:trHeight w:val="315"/>
          <w:jc w:val="center"/>
        </w:trPr>
        <w:tc>
          <w:tcPr>
            <w:tcW w:w="2055" w:type="dxa"/>
            <w:tcBorders>
              <w:top w:val="single" w:sz="4" w:space="0" w:color="auto"/>
              <w:left w:val="single" w:sz="12" w:space="0" w:color="auto"/>
              <w:bottom w:val="nil"/>
              <w:right w:val="single" w:sz="4" w:space="0" w:color="auto"/>
            </w:tcBorders>
            <w:tcMar>
              <w:top w:w="15" w:type="dxa"/>
              <w:left w:w="15" w:type="dxa"/>
              <w:right w:w="15" w:type="dxa"/>
            </w:tcMar>
            <w:vAlign w:val="center"/>
          </w:tcPr>
          <w:p w:rsidR="06AD5A6D" w:rsidRPr="000C0B5F" w:rsidP="06AD5A6D" w14:paraId="303D889E" w14:textId="241CB176">
            <w:pPr>
              <w:spacing w:after="0"/>
              <w:rPr>
                <w:rFonts w:ascii="Calibri" w:eastAsia="Calibri" w:hAnsi="Calibri" w:cs="Calibri"/>
                <w:sz w:val="20"/>
                <w:szCs w:val="20"/>
              </w:rPr>
            </w:pPr>
            <w:r w:rsidRPr="000C0B5F">
              <w:rPr>
                <w:rFonts w:ascii="Calibri" w:eastAsia="Calibri" w:hAnsi="Calibri" w:cs="Calibri"/>
                <w:sz w:val="20"/>
                <w:szCs w:val="20"/>
              </w:rPr>
              <w:t>Prepare report</w:t>
            </w:r>
          </w:p>
        </w:tc>
        <w:tc>
          <w:tcPr>
            <w:tcW w:w="2839" w:type="dxa"/>
            <w:tcBorders>
              <w:top w:val="single" w:sz="4" w:space="0" w:color="auto"/>
              <w:left w:val="single" w:sz="12" w:space="0" w:color="auto"/>
              <w:bottom w:val="single" w:sz="12" w:space="0" w:color="auto"/>
              <w:right w:val="single" w:sz="4" w:space="0" w:color="auto"/>
            </w:tcBorders>
            <w:tcMar>
              <w:top w:w="15" w:type="dxa"/>
              <w:left w:w="15" w:type="dxa"/>
              <w:right w:w="15" w:type="dxa"/>
            </w:tcMar>
            <w:vAlign w:val="center"/>
          </w:tcPr>
          <w:p w:rsidR="06AD5A6D" w:rsidRPr="000C0B5F" w:rsidP="06AD5A6D" w14:paraId="70C41349" w14:textId="7A56CE85">
            <w:pPr>
              <w:spacing w:after="0"/>
              <w:jc w:val="center"/>
              <w:rPr>
                <w:rFonts w:ascii="Calibri" w:eastAsia="Calibri" w:hAnsi="Calibri" w:cs="Calibri"/>
                <w:sz w:val="20"/>
                <w:szCs w:val="20"/>
              </w:rPr>
            </w:pPr>
            <w:r w:rsidRPr="000C0B5F">
              <w:rPr>
                <w:rFonts w:ascii="Calibri" w:eastAsia="Calibri" w:hAnsi="Calibri" w:cs="Calibri"/>
                <w:sz w:val="20"/>
                <w:szCs w:val="20"/>
              </w:rPr>
              <w:t>$0</w:t>
            </w:r>
          </w:p>
        </w:tc>
        <w:tc>
          <w:tcPr>
            <w:tcW w:w="2441" w:type="dxa"/>
            <w:tcBorders>
              <w:top w:val="single" w:sz="4" w:space="0" w:color="auto"/>
              <w:left w:val="single" w:sz="4" w:space="0" w:color="auto"/>
              <w:bottom w:val="nil"/>
              <w:right w:val="single" w:sz="12" w:space="0" w:color="auto"/>
            </w:tcBorders>
            <w:tcMar>
              <w:top w:w="15" w:type="dxa"/>
              <w:left w:w="15" w:type="dxa"/>
              <w:right w:w="15" w:type="dxa"/>
            </w:tcMar>
            <w:vAlign w:val="center"/>
          </w:tcPr>
          <w:p w:rsidR="06AD5A6D" w:rsidRPr="000C0B5F" w:rsidP="06AD5A6D" w14:paraId="599ADB9C" w14:textId="29F119B1">
            <w:pPr>
              <w:spacing w:after="0"/>
              <w:jc w:val="center"/>
              <w:rPr>
                <w:rFonts w:ascii="Calibri" w:eastAsia="Calibri" w:hAnsi="Calibri" w:cs="Calibri"/>
                <w:sz w:val="20"/>
                <w:szCs w:val="20"/>
              </w:rPr>
            </w:pPr>
            <w:r w:rsidRPr="000C0B5F">
              <w:rPr>
                <w:rFonts w:ascii="Calibri" w:eastAsia="Calibri" w:hAnsi="Calibri" w:cs="Calibri"/>
                <w:sz w:val="20"/>
                <w:szCs w:val="20"/>
              </w:rPr>
              <w:t>$0</w:t>
            </w:r>
          </w:p>
        </w:tc>
      </w:tr>
      <w:tr w14:paraId="316C1259" w14:textId="77777777">
        <w:tblPrEx>
          <w:tblW w:w="0" w:type="auto"/>
          <w:jc w:val="center"/>
          <w:tblLayout w:type="fixed"/>
          <w:tblLook w:val="06A0"/>
        </w:tblPrEx>
        <w:trPr>
          <w:trHeight w:val="330"/>
          <w:jc w:val="center"/>
        </w:trPr>
        <w:tc>
          <w:tcPr>
            <w:tcW w:w="7335" w:type="dxa"/>
            <w:gridSpan w:val="3"/>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0500D91" w:rsidRPr="000C0B5F" w:rsidP="06AD5A6D" w14:paraId="14703D8E" w14:textId="49EE22A8">
            <w:pPr>
              <w:spacing w:after="0"/>
              <w:jc w:val="center"/>
              <w:rPr>
                <w:rFonts w:ascii="Calibri" w:eastAsia="Calibri" w:hAnsi="Calibri" w:cs="Calibri"/>
                <w:b/>
                <w:bCs/>
                <w:sz w:val="20"/>
                <w:szCs w:val="20"/>
              </w:rPr>
            </w:pPr>
            <w:r w:rsidRPr="000C0B5F">
              <w:rPr>
                <w:rFonts w:ascii="Calibri" w:eastAsia="Calibri" w:hAnsi="Calibri" w:cs="Calibri"/>
                <w:b/>
                <w:bCs/>
                <w:sz w:val="20"/>
                <w:szCs w:val="20"/>
              </w:rPr>
              <w:t>Record Keeping Burden (costs)</w:t>
            </w:r>
          </w:p>
        </w:tc>
      </w:tr>
      <w:tr w14:paraId="0A8CCED8" w14:textId="77777777" w:rsidTr="00792764">
        <w:tblPrEx>
          <w:tblW w:w="0" w:type="auto"/>
          <w:jc w:val="center"/>
          <w:tblLayout w:type="fixed"/>
          <w:tblLook w:val="06A0"/>
        </w:tblPrEx>
        <w:trPr>
          <w:trHeight w:val="630"/>
          <w:jc w:val="center"/>
        </w:trPr>
        <w:tc>
          <w:tcPr>
            <w:tcW w:w="2055" w:type="dxa"/>
            <w:tcBorders>
              <w:top w:val="single" w:sz="12" w:space="0" w:color="auto"/>
              <w:left w:val="single" w:sz="12" w:space="0" w:color="auto"/>
              <w:bottom w:val="single" w:sz="12" w:space="0" w:color="auto"/>
              <w:right w:val="single" w:sz="4" w:space="0" w:color="auto"/>
            </w:tcBorders>
            <w:tcMar>
              <w:top w:w="15" w:type="dxa"/>
              <w:left w:w="15" w:type="dxa"/>
              <w:right w:w="15" w:type="dxa"/>
            </w:tcMar>
            <w:vAlign w:val="center"/>
          </w:tcPr>
          <w:p w:rsidR="06AD5A6D" w:rsidRPr="000C0B5F" w:rsidP="06AD5A6D" w14:paraId="68B3EC81" w14:textId="29A48EE8">
            <w:pPr>
              <w:spacing w:after="0"/>
              <w:rPr>
                <w:rFonts w:ascii="Calibri" w:eastAsia="Calibri" w:hAnsi="Calibri" w:cs="Calibri"/>
                <w:sz w:val="20"/>
                <w:szCs w:val="20"/>
              </w:rPr>
            </w:pPr>
            <w:r w:rsidRPr="000C0B5F">
              <w:rPr>
                <w:rFonts w:ascii="Calibri" w:eastAsia="Calibri" w:hAnsi="Calibri" w:cs="Calibri"/>
                <w:sz w:val="20"/>
                <w:szCs w:val="20"/>
              </w:rPr>
              <w:t>File and maintain data</w:t>
            </w:r>
          </w:p>
        </w:tc>
        <w:tc>
          <w:tcPr>
            <w:tcW w:w="2839" w:type="dxa"/>
            <w:tcBorders>
              <w:top w:val="single" w:sz="12" w:space="0" w:color="auto"/>
              <w:left w:val="single" w:sz="12" w:space="0" w:color="auto"/>
              <w:bottom w:val="single" w:sz="12" w:space="0" w:color="auto"/>
              <w:right w:val="single" w:sz="4" w:space="0" w:color="000000" w:themeColor="text1"/>
            </w:tcBorders>
            <w:tcMar>
              <w:top w:w="15" w:type="dxa"/>
              <w:left w:w="15" w:type="dxa"/>
              <w:right w:w="15" w:type="dxa"/>
            </w:tcMar>
            <w:vAlign w:val="center"/>
          </w:tcPr>
          <w:p w:rsidR="06AD5A6D" w:rsidRPr="000C0B5F" w:rsidP="06AD5A6D" w14:paraId="46B9FE45" w14:textId="4B9D8170">
            <w:pPr>
              <w:spacing w:after="0"/>
              <w:jc w:val="center"/>
              <w:rPr>
                <w:rFonts w:ascii="Calibri" w:eastAsia="Calibri" w:hAnsi="Calibri" w:cs="Calibri"/>
                <w:sz w:val="20"/>
                <w:szCs w:val="20"/>
              </w:rPr>
            </w:pPr>
            <w:r w:rsidRPr="000C0B5F">
              <w:rPr>
                <w:rFonts w:ascii="Calibri" w:eastAsia="Calibri" w:hAnsi="Calibri" w:cs="Calibri"/>
                <w:sz w:val="20"/>
                <w:szCs w:val="20"/>
              </w:rPr>
              <w:t>$0</w:t>
            </w:r>
          </w:p>
        </w:tc>
        <w:tc>
          <w:tcPr>
            <w:tcW w:w="2441" w:type="dxa"/>
            <w:tcBorders>
              <w:top w:val="nil"/>
              <w:left w:val="single" w:sz="4" w:space="0" w:color="auto"/>
              <w:bottom w:val="single" w:sz="12" w:space="0" w:color="auto"/>
              <w:right w:val="single" w:sz="12" w:space="0" w:color="auto"/>
            </w:tcBorders>
            <w:tcMar>
              <w:top w:w="15" w:type="dxa"/>
              <w:left w:w="15" w:type="dxa"/>
              <w:right w:w="15" w:type="dxa"/>
            </w:tcMar>
            <w:vAlign w:val="center"/>
          </w:tcPr>
          <w:p w:rsidR="06AD5A6D" w:rsidRPr="000C0B5F" w:rsidP="06AD5A6D" w14:paraId="49B64880" w14:textId="2292AC08">
            <w:pPr>
              <w:spacing w:after="0"/>
              <w:jc w:val="center"/>
              <w:rPr>
                <w:rFonts w:ascii="Calibri" w:eastAsia="Calibri" w:hAnsi="Calibri" w:cs="Calibri"/>
                <w:sz w:val="20"/>
                <w:szCs w:val="20"/>
              </w:rPr>
            </w:pPr>
            <w:r w:rsidRPr="000C0B5F">
              <w:rPr>
                <w:rFonts w:ascii="Calibri" w:eastAsia="Calibri" w:hAnsi="Calibri" w:cs="Calibri"/>
                <w:sz w:val="20"/>
                <w:szCs w:val="20"/>
              </w:rPr>
              <w:t>$0</w:t>
            </w:r>
          </w:p>
        </w:tc>
      </w:tr>
      <w:tr w14:paraId="63825EB0" w14:textId="77777777" w:rsidTr="00792764">
        <w:tblPrEx>
          <w:tblW w:w="0" w:type="auto"/>
          <w:jc w:val="center"/>
          <w:tblLayout w:type="fixed"/>
          <w:tblLook w:val="06A0"/>
        </w:tblPrEx>
        <w:trPr>
          <w:trHeight w:val="315"/>
          <w:jc w:val="center"/>
        </w:trPr>
        <w:tc>
          <w:tcPr>
            <w:tcW w:w="2055"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4F52CAB3" w14:textId="3F7B68B3">
            <w:pPr>
              <w:spacing w:after="0"/>
              <w:rPr>
                <w:rFonts w:ascii="Calibri" w:eastAsia="Calibri" w:hAnsi="Calibri" w:cs="Calibri"/>
                <w:b/>
                <w:bCs/>
                <w:sz w:val="20"/>
                <w:szCs w:val="20"/>
              </w:rPr>
            </w:pPr>
            <w:r w:rsidRPr="000C0B5F">
              <w:rPr>
                <w:rFonts w:ascii="Calibri" w:eastAsia="Calibri" w:hAnsi="Calibri" w:cs="Calibri"/>
                <w:b/>
                <w:bCs/>
                <w:sz w:val="20"/>
                <w:szCs w:val="20"/>
              </w:rPr>
              <w:t>TOTAL</w:t>
            </w:r>
          </w:p>
        </w:tc>
        <w:tc>
          <w:tcPr>
            <w:tcW w:w="2839"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128A88DB" w14:textId="64BC4A96">
            <w:pPr>
              <w:spacing w:after="0"/>
              <w:jc w:val="center"/>
              <w:rPr>
                <w:rFonts w:ascii="Calibri" w:eastAsia="Calibri" w:hAnsi="Calibri" w:cs="Calibri"/>
                <w:b/>
                <w:bCs/>
                <w:sz w:val="20"/>
                <w:szCs w:val="20"/>
              </w:rPr>
            </w:pPr>
            <w:r w:rsidRPr="000C0B5F">
              <w:rPr>
                <w:rFonts w:ascii="Calibri" w:eastAsia="Calibri" w:hAnsi="Calibri" w:cs="Calibri"/>
                <w:b/>
                <w:bCs/>
                <w:sz w:val="20"/>
                <w:szCs w:val="20"/>
              </w:rPr>
              <w:t>$0</w:t>
            </w:r>
          </w:p>
        </w:tc>
        <w:tc>
          <w:tcPr>
            <w:tcW w:w="2441"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033BDF49" w14:textId="14DF71A8">
            <w:pPr>
              <w:spacing w:after="0"/>
              <w:jc w:val="center"/>
              <w:rPr>
                <w:sz w:val="20"/>
                <w:szCs w:val="20"/>
                <w:u w:val="single"/>
              </w:rPr>
            </w:pPr>
            <w:r w:rsidRPr="000C0B5F">
              <w:rPr>
                <w:rFonts w:ascii="Calibri" w:eastAsia="Calibri" w:hAnsi="Calibri" w:cs="Calibri"/>
                <w:b/>
                <w:bCs/>
                <w:sz w:val="20"/>
                <w:szCs w:val="20"/>
              </w:rPr>
              <w:t>$26,400</w:t>
            </w:r>
            <w:r w:rsidRPr="000C0B5F">
              <w:rPr>
                <w:sz w:val="20"/>
                <w:szCs w:val="20"/>
                <w:u w:val="single"/>
              </w:rPr>
              <w:t xml:space="preserve"> </w:t>
            </w:r>
          </w:p>
        </w:tc>
      </w:tr>
    </w:tbl>
    <w:p w:rsidR="00AB6141" w:rsidRPr="000C0B5F" w:rsidP="00F06B30" w14:paraId="6BBD6DA8" w14:textId="77777777">
      <w:pPr>
        <w:rPr>
          <w:u w:val="single"/>
        </w:rPr>
      </w:pPr>
    </w:p>
    <w:p w:rsidR="00F06B30" w:rsidRPr="000C0B5F" w:rsidP="00F06B30" w14:paraId="20838D3A" w14:textId="5CB375DC">
      <w:pPr>
        <w:rPr>
          <w:u w:val="single"/>
        </w:rPr>
      </w:pPr>
      <w:r w:rsidRPr="000C0B5F">
        <w:rPr>
          <w:u w:val="single"/>
        </w:rPr>
        <w:t>Maintaining liquid in non-conventional impoundments</w:t>
      </w:r>
    </w:p>
    <w:p w:rsidR="00F06B30" w:rsidRPr="000C0B5F" w:rsidP="008334C2" w14:paraId="71CDA915" w14:textId="7D905B26">
      <w:pPr>
        <w:spacing w:line="276" w:lineRule="auto"/>
      </w:pPr>
      <w:r w:rsidRPr="000C0B5F">
        <w:t>It is estimated that the equipment required for documenting the liquid level through digital photographic records will cost $300 for each facility. Afterwards, there are no O&amp;M costs associated with conducting these inspections and submitting reports.</w:t>
      </w:r>
    </w:p>
    <w:p w:rsidR="007639B0" w:rsidRPr="000C0B5F" w:rsidP="00F06B30" w14:paraId="44D0E5A3" w14:textId="77777777">
      <w:pPr>
        <w:rPr>
          <w:b/>
          <w:bCs/>
        </w:rPr>
        <w:sectPr w:rsidSect="00621249">
          <w:pgSz w:w="12240" w:h="15840"/>
          <w:pgMar w:top="1440" w:right="1440" w:bottom="1440" w:left="1440" w:header="720" w:footer="720" w:gutter="0"/>
          <w:cols w:space="720"/>
          <w:docGrid w:linePitch="360"/>
        </w:sectPr>
      </w:pPr>
    </w:p>
    <w:p w:rsidR="00F06B30" w:rsidRPr="000C0B5F" w:rsidP="00F06B30" w14:paraId="79DC819D" w14:textId="3AB31569">
      <w:pPr>
        <w:rPr>
          <w:b/>
          <w:bCs/>
        </w:rPr>
      </w:pPr>
      <w:r w:rsidRPr="000C0B5F">
        <w:rPr>
          <w:b/>
          <w:bCs/>
        </w:rPr>
        <w:t xml:space="preserve">Table </w:t>
      </w:r>
      <w:r w:rsidRPr="000C0B5F" w:rsidR="00543C72">
        <w:rPr>
          <w:b/>
          <w:bCs/>
        </w:rPr>
        <w:t>1</w:t>
      </w:r>
      <w:r w:rsidRPr="000C0B5F" w:rsidR="00122A57">
        <w:rPr>
          <w:b/>
          <w:bCs/>
        </w:rPr>
        <w:t>5</w:t>
      </w:r>
      <w:r w:rsidRPr="000C0B5F">
        <w:rPr>
          <w:b/>
          <w:bCs/>
        </w:rPr>
        <w:t>: Burden and Cost to Meet Liquid Retention Requirement for Non-conventional Impoundments</w:t>
      </w:r>
    </w:p>
    <w:tbl>
      <w:tblPr>
        <w:tblW w:w="0" w:type="auto"/>
        <w:jc w:val="center"/>
        <w:tblLayout w:type="fixed"/>
        <w:tblLook w:val="06A0"/>
      </w:tblPr>
      <w:tblGrid>
        <w:gridCol w:w="3079"/>
        <w:gridCol w:w="1766"/>
        <w:gridCol w:w="1260"/>
      </w:tblGrid>
      <w:tr w14:paraId="5AE9BC0F" w14:textId="77777777" w:rsidTr="00FC6893">
        <w:tblPrEx>
          <w:tblW w:w="0" w:type="auto"/>
          <w:jc w:val="center"/>
          <w:tblLayout w:type="fixed"/>
          <w:tblLook w:val="06A0"/>
        </w:tblPrEx>
        <w:trPr>
          <w:trHeight w:val="330"/>
          <w:jc w:val="center"/>
        </w:trPr>
        <w:tc>
          <w:tcPr>
            <w:tcW w:w="6105" w:type="dxa"/>
            <w:gridSpan w:val="3"/>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08E152A" w:rsidRPr="000C0B5F" w:rsidP="00FC6893" w14:paraId="17E62DC5" w14:textId="5DF30CD0">
            <w:pPr>
              <w:spacing w:after="0"/>
              <w:jc w:val="center"/>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Reporting Burden (cost)</w:t>
            </w:r>
          </w:p>
        </w:tc>
      </w:tr>
      <w:tr w14:paraId="1C02C93A" w14:textId="77777777" w:rsidTr="00FC6893">
        <w:tblPrEx>
          <w:tblW w:w="0" w:type="auto"/>
          <w:jc w:val="center"/>
          <w:tblLayout w:type="fixed"/>
          <w:tblLook w:val="06A0"/>
        </w:tblPrEx>
        <w:trPr>
          <w:trHeight w:val="945"/>
          <w:jc w:val="center"/>
        </w:trPr>
        <w:tc>
          <w:tcPr>
            <w:tcW w:w="3079"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7D082060" w14:textId="57E35DDA">
            <w:pPr>
              <w:spacing w:after="0"/>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Reporting Burden Task</w:t>
            </w:r>
          </w:p>
        </w:tc>
        <w:tc>
          <w:tcPr>
            <w:tcW w:w="1766"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0FC6893" w14:paraId="11BE8904" w14:textId="26124DC1">
            <w:pPr>
              <w:spacing w:after="0"/>
              <w:jc w:val="center"/>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Capital/ Startup cost</w:t>
            </w:r>
          </w:p>
        </w:tc>
        <w:tc>
          <w:tcPr>
            <w:tcW w:w="1260"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0FC6893" w14:paraId="0D60DAD4" w14:textId="324AAF42">
            <w:pPr>
              <w:spacing w:after="0"/>
              <w:jc w:val="center"/>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O &amp; M Cost</w:t>
            </w:r>
          </w:p>
        </w:tc>
      </w:tr>
      <w:tr w14:paraId="556A5427" w14:textId="77777777" w:rsidTr="00FC6893">
        <w:tblPrEx>
          <w:tblW w:w="0" w:type="auto"/>
          <w:jc w:val="center"/>
          <w:tblLayout w:type="fixed"/>
          <w:tblLook w:val="06A0"/>
        </w:tblPrEx>
        <w:trPr>
          <w:trHeight w:val="767"/>
          <w:jc w:val="center"/>
        </w:trPr>
        <w:tc>
          <w:tcPr>
            <w:tcW w:w="3079"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32BD9D51" w14:textId="26C441B9">
            <w:pPr>
              <w:spacing w:after="0"/>
              <w:rPr>
                <w:rFonts w:ascii="Calibri" w:eastAsia="Calibri" w:hAnsi="Calibri" w:cs="Calibri"/>
                <w:color w:val="000000" w:themeColor="text1"/>
                <w:sz w:val="20"/>
                <w:szCs w:val="20"/>
              </w:rPr>
            </w:pPr>
            <w:r w:rsidRPr="000C0B5F">
              <w:rPr>
                <w:rFonts w:ascii="Calibri" w:eastAsia="Calibri" w:hAnsi="Calibri" w:cs="Calibri"/>
                <w:color w:val="000000" w:themeColor="text1"/>
                <w:sz w:val="20"/>
                <w:szCs w:val="20"/>
              </w:rPr>
              <w:t>Read and understand the regulatory provision (Mgmt)</w:t>
            </w:r>
          </w:p>
        </w:tc>
        <w:tc>
          <w:tcPr>
            <w:tcW w:w="1766"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23CB93F2" w14:textId="5C16059C">
            <w:pPr>
              <w:spacing w:after="0"/>
              <w:jc w:val="center"/>
              <w:rPr>
                <w:rFonts w:ascii="Calibri" w:eastAsia="Calibri" w:hAnsi="Calibri" w:cs="Calibri"/>
                <w:sz w:val="20"/>
                <w:szCs w:val="20"/>
              </w:rPr>
            </w:pPr>
            <w:r w:rsidRPr="000C0B5F">
              <w:rPr>
                <w:rFonts w:ascii="Calibri" w:eastAsia="Calibri" w:hAnsi="Calibri" w:cs="Calibri"/>
                <w:sz w:val="20"/>
                <w:szCs w:val="20"/>
              </w:rPr>
              <w:t xml:space="preserve"> </w:t>
            </w:r>
            <w:r w:rsidRPr="000C0B5F" w:rsidR="00916680">
              <w:rPr>
                <w:rFonts w:ascii="Calibri" w:eastAsia="Calibri" w:hAnsi="Calibri" w:cs="Calibri"/>
                <w:sz w:val="20"/>
                <w:szCs w:val="20"/>
              </w:rPr>
              <w:t>$0</w:t>
            </w:r>
          </w:p>
        </w:tc>
        <w:tc>
          <w:tcPr>
            <w:tcW w:w="1260"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3AA572AB" w14:textId="63283E9E">
            <w:pPr>
              <w:spacing w:after="0"/>
              <w:jc w:val="center"/>
              <w:rPr>
                <w:rFonts w:ascii="Calibri" w:eastAsia="Calibri" w:hAnsi="Calibri" w:cs="Calibri"/>
                <w:sz w:val="20"/>
                <w:szCs w:val="20"/>
              </w:rPr>
            </w:pPr>
            <w:r w:rsidRPr="000C0B5F">
              <w:rPr>
                <w:rFonts w:ascii="Calibri" w:eastAsia="Calibri" w:hAnsi="Calibri" w:cs="Calibri"/>
                <w:sz w:val="20"/>
                <w:szCs w:val="20"/>
              </w:rPr>
              <w:t xml:space="preserve"> </w:t>
            </w:r>
            <w:r w:rsidRPr="000C0B5F" w:rsidR="00916680">
              <w:rPr>
                <w:rFonts w:ascii="Calibri" w:eastAsia="Calibri" w:hAnsi="Calibri" w:cs="Calibri"/>
                <w:sz w:val="20"/>
                <w:szCs w:val="20"/>
              </w:rPr>
              <w:t>$0</w:t>
            </w:r>
          </w:p>
        </w:tc>
      </w:tr>
      <w:tr w14:paraId="20110FD3" w14:textId="77777777" w:rsidTr="00FC6893">
        <w:tblPrEx>
          <w:tblW w:w="0" w:type="auto"/>
          <w:jc w:val="center"/>
          <w:tblLayout w:type="fixed"/>
          <w:tblLook w:val="06A0"/>
        </w:tblPrEx>
        <w:trPr>
          <w:trHeight w:val="930"/>
          <w:jc w:val="center"/>
        </w:trPr>
        <w:tc>
          <w:tcPr>
            <w:tcW w:w="3079"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11E49248" w14:textId="47B51960">
            <w:pPr>
              <w:spacing w:after="0"/>
              <w:rPr>
                <w:rFonts w:ascii="Calibri" w:eastAsia="Calibri" w:hAnsi="Calibri" w:cs="Calibri"/>
                <w:color w:val="000000" w:themeColor="text1"/>
                <w:sz w:val="20"/>
                <w:szCs w:val="20"/>
              </w:rPr>
            </w:pPr>
            <w:r w:rsidRPr="000C0B5F">
              <w:rPr>
                <w:rFonts w:ascii="Calibri" w:eastAsia="Calibri" w:hAnsi="Calibri" w:cs="Calibri"/>
                <w:color w:val="000000" w:themeColor="text1"/>
                <w:sz w:val="20"/>
                <w:szCs w:val="20"/>
              </w:rPr>
              <w:t>Acquire Instrumentation (Mgmt)</w:t>
            </w:r>
          </w:p>
        </w:tc>
        <w:tc>
          <w:tcPr>
            <w:tcW w:w="1766"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2E274467" w14:textId="1FFE1C58">
            <w:pPr>
              <w:spacing w:after="0"/>
              <w:jc w:val="center"/>
              <w:rPr>
                <w:rFonts w:ascii="Calibri" w:eastAsia="Calibri" w:hAnsi="Calibri" w:cs="Calibri"/>
                <w:sz w:val="20"/>
                <w:szCs w:val="20"/>
              </w:rPr>
            </w:pPr>
            <w:r w:rsidRPr="000C0B5F">
              <w:rPr>
                <w:rFonts w:ascii="Calibri" w:eastAsia="Calibri" w:hAnsi="Calibri" w:cs="Calibri"/>
                <w:sz w:val="20"/>
                <w:szCs w:val="20"/>
              </w:rPr>
              <w:t xml:space="preserve">$4,500 </w:t>
            </w:r>
          </w:p>
        </w:tc>
        <w:tc>
          <w:tcPr>
            <w:tcW w:w="1260"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2BED2FE2" w14:textId="5043C82F">
            <w:pPr>
              <w:spacing w:after="0"/>
              <w:jc w:val="center"/>
              <w:rPr>
                <w:rFonts w:ascii="Calibri" w:eastAsia="Calibri" w:hAnsi="Calibri" w:cs="Calibri"/>
                <w:sz w:val="20"/>
                <w:szCs w:val="20"/>
              </w:rPr>
            </w:pPr>
            <w:r w:rsidRPr="000C0B5F">
              <w:rPr>
                <w:rFonts w:ascii="Calibri" w:eastAsia="Calibri" w:hAnsi="Calibri" w:cs="Calibri"/>
                <w:sz w:val="20"/>
                <w:szCs w:val="20"/>
              </w:rPr>
              <w:t xml:space="preserve"> </w:t>
            </w:r>
            <w:r w:rsidRPr="000C0B5F" w:rsidR="00916680">
              <w:rPr>
                <w:rFonts w:ascii="Calibri" w:eastAsia="Calibri" w:hAnsi="Calibri" w:cs="Calibri"/>
                <w:sz w:val="20"/>
                <w:szCs w:val="20"/>
              </w:rPr>
              <w:t>$0</w:t>
            </w:r>
          </w:p>
        </w:tc>
      </w:tr>
      <w:tr w14:paraId="27F484A5" w14:textId="77777777" w:rsidTr="00FC6893">
        <w:tblPrEx>
          <w:tblW w:w="0" w:type="auto"/>
          <w:jc w:val="center"/>
          <w:tblLayout w:type="fixed"/>
          <w:tblLook w:val="06A0"/>
        </w:tblPrEx>
        <w:trPr>
          <w:trHeight w:val="812"/>
          <w:jc w:val="center"/>
        </w:trPr>
        <w:tc>
          <w:tcPr>
            <w:tcW w:w="3079"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6530F5FF" w14:textId="1B41CA78">
            <w:pPr>
              <w:spacing w:after="0"/>
              <w:rPr>
                <w:rFonts w:ascii="Calibri" w:eastAsia="Calibri" w:hAnsi="Calibri" w:cs="Calibri"/>
                <w:color w:val="000000" w:themeColor="text1"/>
                <w:sz w:val="20"/>
                <w:szCs w:val="20"/>
              </w:rPr>
            </w:pPr>
            <w:r w:rsidRPr="000C0B5F">
              <w:rPr>
                <w:rFonts w:ascii="Calibri" w:eastAsia="Calibri" w:hAnsi="Calibri" w:cs="Calibri"/>
                <w:color w:val="000000" w:themeColor="text1"/>
                <w:sz w:val="20"/>
                <w:szCs w:val="20"/>
              </w:rPr>
              <w:t>Train technician to perform inspection (Mgmt./Tech)</w:t>
            </w:r>
          </w:p>
        </w:tc>
        <w:tc>
          <w:tcPr>
            <w:tcW w:w="1766"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031DE4EF" w14:textId="3F4A206A">
            <w:pPr>
              <w:spacing w:after="0"/>
              <w:jc w:val="center"/>
              <w:rPr>
                <w:rFonts w:ascii="Calibri" w:eastAsia="Calibri" w:hAnsi="Calibri" w:cs="Calibri"/>
                <w:sz w:val="20"/>
                <w:szCs w:val="20"/>
              </w:rPr>
            </w:pPr>
            <w:r w:rsidRPr="000C0B5F">
              <w:rPr>
                <w:rFonts w:ascii="Calibri" w:eastAsia="Calibri" w:hAnsi="Calibri" w:cs="Calibri"/>
                <w:sz w:val="20"/>
                <w:szCs w:val="20"/>
              </w:rPr>
              <w:t>$0</w:t>
            </w:r>
            <w:r w:rsidRPr="000C0B5F">
              <w:rPr>
                <w:rFonts w:ascii="Calibri" w:eastAsia="Calibri" w:hAnsi="Calibri" w:cs="Calibri"/>
                <w:sz w:val="20"/>
                <w:szCs w:val="20"/>
              </w:rPr>
              <w:t xml:space="preserve"> </w:t>
            </w:r>
          </w:p>
        </w:tc>
        <w:tc>
          <w:tcPr>
            <w:tcW w:w="1260"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7BD0FBF0" w14:textId="3541DCDF">
            <w:pPr>
              <w:spacing w:after="0"/>
              <w:jc w:val="center"/>
              <w:rPr>
                <w:rFonts w:ascii="Calibri" w:eastAsia="Calibri" w:hAnsi="Calibri" w:cs="Calibri"/>
                <w:sz w:val="20"/>
                <w:szCs w:val="20"/>
              </w:rPr>
            </w:pPr>
            <w:r w:rsidRPr="000C0B5F">
              <w:rPr>
                <w:rFonts w:ascii="Calibri" w:eastAsia="Calibri" w:hAnsi="Calibri" w:cs="Calibri"/>
                <w:sz w:val="20"/>
                <w:szCs w:val="20"/>
              </w:rPr>
              <w:t>$0</w:t>
            </w:r>
            <w:r w:rsidRPr="000C0B5F">
              <w:rPr>
                <w:rFonts w:ascii="Calibri" w:eastAsia="Calibri" w:hAnsi="Calibri" w:cs="Calibri"/>
                <w:sz w:val="20"/>
                <w:szCs w:val="20"/>
              </w:rPr>
              <w:t xml:space="preserve"> </w:t>
            </w:r>
          </w:p>
        </w:tc>
      </w:tr>
      <w:tr w14:paraId="555548A5" w14:textId="77777777" w:rsidTr="00FC6893">
        <w:tblPrEx>
          <w:tblW w:w="0" w:type="auto"/>
          <w:jc w:val="center"/>
          <w:tblLayout w:type="fixed"/>
          <w:tblLook w:val="06A0"/>
        </w:tblPrEx>
        <w:trPr>
          <w:trHeight w:val="713"/>
          <w:jc w:val="center"/>
        </w:trPr>
        <w:tc>
          <w:tcPr>
            <w:tcW w:w="3079"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6C84E64F" w14:textId="60BCCDF3">
            <w:pPr>
              <w:spacing w:after="0"/>
              <w:rPr>
                <w:rFonts w:ascii="Calibri" w:eastAsia="Calibri" w:hAnsi="Calibri" w:cs="Calibri"/>
                <w:color w:val="000000" w:themeColor="text1"/>
                <w:sz w:val="20"/>
                <w:szCs w:val="20"/>
              </w:rPr>
            </w:pPr>
            <w:r w:rsidRPr="000C0B5F">
              <w:rPr>
                <w:rFonts w:ascii="Calibri" w:eastAsia="Calibri" w:hAnsi="Calibri" w:cs="Calibri"/>
                <w:color w:val="000000" w:themeColor="text1"/>
                <w:sz w:val="20"/>
                <w:szCs w:val="20"/>
              </w:rPr>
              <w:t>Perform inspection to determine presence of liquid (Tech.)</w:t>
            </w:r>
          </w:p>
        </w:tc>
        <w:tc>
          <w:tcPr>
            <w:tcW w:w="1766"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18ECF711" w14:textId="3C9B5092">
            <w:pPr>
              <w:spacing w:after="0"/>
              <w:jc w:val="center"/>
              <w:rPr>
                <w:rFonts w:ascii="Calibri" w:eastAsia="Calibri" w:hAnsi="Calibri" w:cs="Calibri"/>
                <w:sz w:val="20"/>
                <w:szCs w:val="20"/>
              </w:rPr>
            </w:pPr>
            <w:r w:rsidRPr="000C0B5F">
              <w:rPr>
                <w:rFonts w:ascii="Calibri" w:eastAsia="Calibri" w:hAnsi="Calibri" w:cs="Calibri"/>
                <w:sz w:val="20"/>
                <w:szCs w:val="20"/>
              </w:rPr>
              <w:t>$0</w:t>
            </w:r>
            <w:r w:rsidRPr="000C0B5F">
              <w:rPr>
                <w:rFonts w:ascii="Calibri" w:eastAsia="Calibri" w:hAnsi="Calibri" w:cs="Calibri"/>
                <w:sz w:val="20"/>
                <w:szCs w:val="20"/>
              </w:rPr>
              <w:t xml:space="preserve"> </w:t>
            </w:r>
          </w:p>
        </w:tc>
        <w:tc>
          <w:tcPr>
            <w:tcW w:w="1260"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08E2A11C" w14:textId="796C60BE">
            <w:pPr>
              <w:spacing w:after="0"/>
              <w:jc w:val="center"/>
              <w:rPr>
                <w:rFonts w:ascii="Calibri" w:eastAsia="Calibri" w:hAnsi="Calibri" w:cs="Calibri"/>
                <w:sz w:val="20"/>
                <w:szCs w:val="20"/>
              </w:rPr>
            </w:pPr>
            <w:r w:rsidRPr="000C0B5F">
              <w:rPr>
                <w:rFonts w:ascii="Calibri" w:eastAsia="Calibri" w:hAnsi="Calibri" w:cs="Calibri"/>
                <w:sz w:val="20"/>
                <w:szCs w:val="20"/>
              </w:rPr>
              <w:t>$0</w:t>
            </w:r>
            <w:r w:rsidRPr="000C0B5F">
              <w:rPr>
                <w:rFonts w:ascii="Calibri" w:eastAsia="Calibri" w:hAnsi="Calibri" w:cs="Calibri"/>
                <w:sz w:val="20"/>
                <w:szCs w:val="20"/>
              </w:rPr>
              <w:t xml:space="preserve"> </w:t>
            </w:r>
          </w:p>
        </w:tc>
      </w:tr>
      <w:tr w14:paraId="065F48EA" w14:textId="77777777" w:rsidTr="00FC6893">
        <w:tblPrEx>
          <w:tblW w:w="0" w:type="auto"/>
          <w:jc w:val="center"/>
          <w:tblLayout w:type="fixed"/>
          <w:tblLook w:val="06A0"/>
        </w:tblPrEx>
        <w:trPr>
          <w:trHeight w:val="315"/>
          <w:jc w:val="center"/>
        </w:trPr>
        <w:tc>
          <w:tcPr>
            <w:tcW w:w="6105" w:type="dxa"/>
            <w:gridSpan w:val="3"/>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0612514" w:rsidRPr="000C0B5F" w:rsidP="00612514" w14:paraId="480610C7" w14:textId="4583AFF2">
            <w:pPr>
              <w:spacing w:after="0"/>
              <w:jc w:val="center"/>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Record Keeping Burden (cost)</w:t>
            </w:r>
          </w:p>
        </w:tc>
      </w:tr>
      <w:tr w14:paraId="78AFEF57" w14:textId="77777777" w:rsidTr="00FC6893">
        <w:tblPrEx>
          <w:tblW w:w="0" w:type="auto"/>
          <w:jc w:val="center"/>
          <w:tblLayout w:type="fixed"/>
          <w:tblLook w:val="06A0"/>
        </w:tblPrEx>
        <w:trPr>
          <w:trHeight w:val="576"/>
          <w:jc w:val="center"/>
        </w:trPr>
        <w:tc>
          <w:tcPr>
            <w:tcW w:w="3079"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374D8D87" w14:textId="7EA73D55">
            <w:pPr>
              <w:spacing w:after="0"/>
              <w:rPr>
                <w:rFonts w:ascii="Calibri" w:eastAsia="Calibri" w:hAnsi="Calibri" w:cs="Calibri"/>
                <w:color w:val="000000" w:themeColor="text1"/>
                <w:sz w:val="20"/>
                <w:szCs w:val="20"/>
              </w:rPr>
            </w:pPr>
            <w:r w:rsidRPr="000C0B5F">
              <w:rPr>
                <w:rFonts w:ascii="Calibri" w:eastAsia="Calibri" w:hAnsi="Calibri" w:cs="Calibri"/>
                <w:color w:val="000000" w:themeColor="text1"/>
                <w:sz w:val="20"/>
                <w:szCs w:val="20"/>
              </w:rPr>
              <w:t>File and maintain data (Clerical/Tech)</w:t>
            </w:r>
          </w:p>
        </w:tc>
        <w:tc>
          <w:tcPr>
            <w:tcW w:w="1766"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12EA1366" w14:textId="18F27AE1">
            <w:pPr>
              <w:spacing w:after="0"/>
              <w:jc w:val="center"/>
              <w:rPr>
                <w:rFonts w:ascii="Calibri" w:eastAsia="Calibri" w:hAnsi="Calibri" w:cs="Calibri"/>
                <w:sz w:val="20"/>
                <w:szCs w:val="20"/>
              </w:rPr>
            </w:pPr>
            <w:r w:rsidRPr="000C0B5F">
              <w:rPr>
                <w:rFonts w:ascii="Calibri" w:eastAsia="Calibri" w:hAnsi="Calibri" w:cs="Calibri"/>
                <w:sz w:val="20"/>
                <w:szCs w:val="20"/>
              </w:rPr>
              <w:t xml:space="preserve"> </w:t>
            </w:r>
            <w:r w:rsidRPr="000C0B5F" w:rsidR="00916680">
              <w:rPr>
                <w:rFonts w:ascii="Calibri" w:eastAsia="Calibri" w:hAnsi="Calibri" w:cs="Calibri"/>
                <w:sz w:val="20"/>
                <w:szCs w:val="20"/>
              </w:rPr>
              <w:t>$0</w:t>
            </w:r>
          </w:p>
        </w:tc>
        <w:tc>
          <w:tcPr>
            <w:tcW w:w="1260"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1EC04AE5" w14:textId="1FE5AE9A">
            <w:pPr>
              <w:spacing w:after="0"/>
              <w:jc w:val="center"/>
              <w:rPr>
                <w:rFonts w:ascii="Calibri" w:eastAsia="Calibri" w:hAnsi="Calibri" w:cs="Calibri"/>
                <w:sz w:val="20"/>
                <w:szCs w:val="20"/>
              </w:rPr>
            </w:pPr>
            <w:r w:rsidRPr="000C0B5F">
              <w:rPr>
                <w:rFonts w:ascii="Calibri" w:eastAsia="Calibri" w:hAnsi="Calibri" w:cs="Calibri"/>
                <w:sz w:val="20"/>
                <w:szCs w:val="20"/>
              </w:rPr>
              <w:t>$0</w:t>
            </w:r>
            <w:r w:rsidRPr="000C0B5F">
              <w:rPr>
                <w:rFonts w:ascii="Calibri" w:eastAsia="Calibri" w:hAnsi="Calibri" w:cs="Calibri"/>
                <w:sz w:val="20"/>
                <w:szCs w:val="20"/>
              </w:rPr>
              <w:t xml:space="preserve"> </w:t>
            </w:r>
          </w:p>
        </w:tc>
      </w:tr>
      <w:tr w14:paraId="647CE835" w14:textId="77777777" w:rsidTr="00FC6893">
        <w:tblPrEx>
          <w:tblW w:w="0" w:type="auto"/>
          <w:jc w:val="center"/>
          <w:tblLayout w:type="fixed"/>
          <w:tblLook w:val="06A0"/>
        </w:tblPrEx>
        <w:trPr>
          <w:trHeight w:val="315"/>
          <w:jc w:val="center"/>
        </w:trPr>
        <w:tc>
          <w:tcPr>
            <w:tcW w:w="3079"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09402948" w14:textId="6D341A05">
            <w:pPr>
              <w:spacing w:after="0"/>
              <w:rPr>
                <w:rFonts w:ascii="Calibri" w:eastAsia="Calibri" w:hAnsi="Calibri" w:cs="Calibri"/>
                <w:b/>
                <w:bCs/>
                <w:color w:val="000000" w:themeColor="text1"/>
                <w:sz w:val="20"/>
                <w:szCs w:val="20"/>
              </w:rPr>
            </w:pPr>
            <w:r w:rsidRPr="000C0B5F">
              <w:rPr>
                <w:rFonts w:ascii="Calibri" w:eastAsia="Calibri" w:hAnsi="Calibri" w:cs="Calibri"/>
                <w:b/>
                <w:bCs/>
                <w:color w:val="000000" w:themeColor="text1"/>
                <w:sz w:val="20"/>
                <w:szCs w:val="20"/>
              </w:rPr>
              <w:t>TOTAL</w:t>
            </w:r>
          </w:p>
        </w:tc>
        <w:tc>
          <w:tcPr>
            <w:tcW w:w="1766"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135987B2" w14:textId="31FB7A8B">
            <w:pPr>
              <w:spacing w:after="0"/>
              <w:jc w:val="center"/>
              <w:rPr>
                <w:rFonts w:ascii="Calibri" w:eastAsia="Calibri" w:hAnsi="Calibri" w:cs="Calibri"/>
                <w:b/>
                <w:bCs/>
                <w:sz w:val="20"/>
                <w:szCs w:val="20"/>
              </w:rPr>
            </w:pPr>
            <w:r w:rsidRPr="000C0B5F">
              <w:rPr>
                <w:rFonts w:ascii="Calibri" w:eastAsia="Calibri" w:hAnsi="Calibri" w:cs="Calibri"/>
                <w:b/>
                <w:bCs/>
                <w:sz w:val="20"/>
                <w:szCs w:val="20"/>
              </w:rPr>
              <w:t xml:space="preserve">$4,500 </w:t>
            </w:r>
          </w:p>
        </w:tc>
        <w:tc>
          <w:tcPr>
            <w:tcW w:w="1260" w:type="dxa"/>
            <w:tcBorders>
              <w:top w:val="single" w:sz="12" w:space="0" w:color="auto"/>
              <w:left w:val="single" w:sz="12" w:space="0" w:color="auto"/>
              <w:bottom w:val="single" w:sz="12" w:space="0" w:color="auto"/>
              <w:right w:val="single" w:sz="12" w:space="0" w:color="auto"/>
            </w:tcBorders>
            <w:tcMar>
              <w:top w:w="15" w:type="dxa"/>
              <w:left w:w="15" w:type="dxa"/>
              <w:right w:w="15" w:type="dxa"/>
            </w:tcMar>
            <w:vAlign w:val="center"/>
          </w:tcPr>
          <w:p w:rsidR="06AD5A6D" w:rsidRPr="000C0B5F" w:rsidP="06AD5A6D" w14:paraId="6F2AF3C4" w14:textId="05D3E468">
            <w:pPr>
              <w:spacing w:after="0"/>
              <w:jc w:val="center"/>
              <w:rPr>
                <w:rFonts w:ascii="Calibri" w:eastAsia="Calibri" w:hAnsi="Calibri" w:cs="Calibri"/>
                <w:b/>
                <w:bCs/>
                <w:sz w:val="20"/>
                <w:szCs w:val="20"/>
              </w:rPr>
            </w:pPr>
            <w:r w:rsidRPr="000C0B5F">
              <w:rPr>
                <w:rFonts w:ascii="Calibri" w:eastAsia="Calibri" w:hAnsi="Calibri" w:cs="Calibri"/>
                <w:b/>
                <w:bCs/>
                <w:sz w:val="20"/>
                <w:szCs w:val="20"/>
              </w:rPr>
              <w:t>$0</w:t>
            </w:r>
          </w:p>
        </w:tc>
      </w:tr>
    </w:tbl>
    <w:p w:rsidR="009B2712" w:rsidRPr="000C0B5F" w:rsidP="003F1037" w14:paraId="1E8632F9" w14:textId="77777777"/>
    <w:p w:rsidR="00AD41FD" w:rsidRPr="000C0B5F" w:rsidP="008334C2" w14:paraId="57877F8C" w14:textId="1FA350E3">
      <w:pPr>
        <w:spacing w:after="240" w:line="276" w:lineRule="auto"/>
      </w:pPr>
      <w:r w:rsidRPr="000C0B5F">
        <w:t>Two subpart B</w:t>
      </w:r>
      <w:r w:rsidRPr="000C0B5F" w:rsidR="0A3A635C">
        <w:t xml:space="preserve"> facilities were active during the last ICR update in 2023. The Agency has</w:t>
      </w:r>
      <w:r w:rsidRPr="000C0B5F" w:rsidR="0776EE05">
        <w:t xml:space="preserve"> identified 12 respondents that are likely to submit annual reports by 2029, and with 12 responses added to the ICR, an additional</w:t>
      </w:r>
      <w:r w:rsidRPr="000C0B5F" w:rsidR="005A26F6">
        <w:t xml:space="preserve"> </w:t>
      </w:r>
      <w:r w:rsidRPr="000C0B5F" w:rsidR="00DF1670">
        <w:t>2</w:t>
      </w:r>
      <w:r w:rsidRPr="000C0B5F" w:rsidR="005A26F6">
        <w:t>,</w:t>
      </w:r>
      <w:r w:rsidRPr="000C0B5F" w:rsidR="00DF1670">
        <w:t xml:space="preserve">760 </w:t>
      </w:r>
      <w:r w:rsidRPr="000C0B5F" w:rsidR="471BF96A">
        <w:t>hours of labor and $63,</w:t>
      </w:r>
      <w:r w:rsidRPr="000C0B5F" w:rsidR="00DF1670">
        <w:t>0</w:t>
      </w:r>
      <w:r w:rsidRPr="000C0B5F" w:rsidR="471BF96A">
        <w:t xml:space="preserve">00 of non-labor cost </w:t>
      </w:r>
      <w:r w:rsidRPr="000C0B5F" w:rsidR="00EB36F2">
        <w:t xml:space="preserve">would be added </w:t>
      </w:r>
      <w:r w:rsidRPr="000C0B5F" w:rsidR="471BF96A">
        <w:t>to the burden that was approved in 2023.</w:t>
      </w:r>
      <w:r w:rsidRPr="000C0B5F" w:rsidR="2C09E29D">
        <w:t xml:space="preserve"> For subpart W (non</w:t>
      </w:r>
      <w:r w:rsidRPr="000C0B5F" w:rsidR="00EB36F2">
        <w:t>-</w:t>
      </w:r>
      <w:r w:rsidRPr="000C0B5F" w:rsidR="2C09E29D">
        <w:t xml:space="preserve">conventional, the Agency identified an additional 4,215 hours of labor and </w:t>
      </w:r>
      <w:r w:rsidRPr="000C0B5F" w:rsidR="775658DD">
        <w:t>$</w:t>
      </w:r>
      <w:r w:rsidRPr="000C0B5F" w:rsidR="2C09E29D">
        <w:t>4,500</w:t>
      </w:r>
      <w:r w:rsidRPr="000C0B5F" w:rsidR="09F4A6E0">
        <w:t xml:space="preserve"> of non-labor costs.</w:t>
      </w:r>
      <w:r w:rsidRPr="000C0B5F" w:rsidR="4CB581FC">
        <w:t xml:space="preserve"> </w:t>
      </w:r>
      <w:r w:rsidRPr="000C0B5F" w:rsidR="40892050">
        <w:t>For subparts K and R, there were no changes in the number of respondents, the annual time burden, or the annual non-labor cost compared to the most recent renewals of this ICR.</w:t>
      </w:r>
      <w:r w:rsidRPr="000C0B5F" w:rsidR="16D2C752">
        <w:t xml:space="preserve"> </w:t>
      </w:r>
      <w:r w:rsidRPr="000C0B5F" w:rsidR="40892050">
        <w:t xml:space="preserve"> </w:t>
      </w:r>
      <w:r w:rsidRPr="000C0B5F" w:rsidR="1F254DC2">
        <w:t xml:space="preserve">The total estimated annual burden for respondents affected by all four subparts is estimated below in Table </w:t>
      </w:r>
      <w:r w:rsidRPr="000C0B5F" w:rsidR="00543C72">
        <w:t>1</w:t>
      </w:r>
      <w:r w:rsidRPr="000C0B5F" w:rsidR="00DE6FFE">
        <w:t>6</w:t>
      </w:r>
      <w:r w:rsidRPr="000C0B5F" w:rsidR="009073E3">
        <w:t>.</w:t>
      </w:r>
    </w:p>
    <w:p w:rsidR="007058D2" w:rsidRPr="000C0B5F" w:rsidP="00AD41FD" w14:paraId="72AD6D9F" w14:textId="77777777">
      <w:pPr>
        <w:rPr>
          <w:b/>
          <w:bCs/>
        </w:rPr>
        <w:sectPr w:rsidSect="00621249">
          <w:pgSz w:w="12240" w:h="15840"/>
          <w:pgMar w:top="1440" w:right="1440" w:bottom="1440" w:left="1440" w:header="720" w:footer="720" w:gutter="0"/>
          <w:cols w:space="720"/>
          <w:docGrid w:linePitch="360"/>
        </w:sectPr>
      </w:pPr>
      <w:bookmarkStart w:id="21" w:name="_Toc156593387"/>
    </w:p>
    <w:p w:rsidR="00406589" w:rsidRPr="000C0B5F" w:rsidP="00AD41FD" w14:paraId="0140F11D" w14:textId="4ABAA812">
      <w:pPr>
        <w:rPr>
          <w:b/>
          <w:bCs/>
        </w:rPr>
      </w:pPr>
      <w:r w:rsidRPr="000C0B5F">
        <w:rPr>
          <w:b/>
          <w:bCs/>
        </w:rPr>
        <w:t>Table 1</w:t>
      </w:r>
      <w:r w:rsidRPr="000C0B5F" w:rsidR="00DE6FFE">
        <w:rPr>
          <w:b/>
          <w:bCs/>
        </w:rPr>
        <w:t>6</w:t>
      </w:r>
      <w:r w:rsidRPr="000C0B5F" w:rsidR="008D7BB6">
        <w:rPr>
          <w:b/>
          <w:bCs/>
        </w:rPr>
        <w:t>: Total Estimated Annual Burden for Respondents by Subpart</w:t>
      </w:r>
    </w:p>
    <w:tbl>
      <w:tblPr>
        <w:tblW w:w="8700" w:type="dxa"/>
        <w:tblCellMar>
          <w:left w:w="0" w:type="dxa"/>
          <w:right w:w="0" w:type="dxa"/>
        </w:tblCellMar>
        <w:tblLook w:val="04A0"/>
      </w:tblPr>
      <w:tblGrid>
        <w:gridCol w:w="1245"/>
        <w:gridCol w:w="2790"/>
        <w:gridCol w:w="2160"/>
        <w:gridCol w:w="2505"/>
      </w:tblGrid>
      <w:tr w14:paraId="2C95F323" w14:textId="77777777" w:rsidTr="00406589">
        <w:tblPrEx>
          <w:tblW w:w="8700" w:type="dxa"/>
          <w:tblCellMar>
            <w:left w:w="0" w:type="dxa"/>
            <w:right w:w="0" w:type="dxa"/>
          </w:tblCellMar>
          <w:tblLook w:val="04A0"/>
        </w:tblPrEx>
        <w:trPr>
          <w:trHeight w:val="288"/>
        </w:trPr>
        <w:tc>
          <w:tcPr>
            <w:tcW w:w="1245" w:type="dxa"/>
            <w:tcBorders>
              <w:top w:val="single" w:sz="12" w:space="0" w:color="auto"/>
              <w:left w:val="single" w:sz="12" w:space="0" w:color="auto"/>
              <w:bottom w:val="single" w:sz="12" w:space="0" w:color="auto"/>
              <w:right w:val="single" w:sz="4" w:space="0" w:color="auto"/>
            </w:tcBorders>
            <w:tcMar>
              <w:top w:w="15" w:type="dxa"/>
              <w:left w:w="15" w:type="dxa"/>
              <w:bottom w:w="0" w:type="dxa"/>
              <w:right w:w="15" w:type="dxa"/>
            </w:tcMar>
            <w:hideMark/>
          </w:tcPr>
          <w:p w:rsidR="00AD41FD" w:rsidRPr="000C0B5F" w:rsidP="009073E3" w14:paraId="0434FCA6" w14:textId="77777777">
            <w:pPr>
              <w:spacing w:line="240" w:lineRule="auto"/>
              <w:jc w:val="center"/>
              <w:rPr>
                <w:rFonts w:ascii="Calibri" w:hAnsi="Calibri" w:cs="Calibri"/>
                <w:b/>
                <w:bCs/>
                <w:sz w:val="20"/>
                <w:szCs w:val="20"/>
              </w:rPr>
            </w:pPr>
            <w:r w:rsidRPr="000C0B5F">
              <w:rPr>
                <w:rFonts w:ascii="Calibri" w:hAnsi="Calibri" w:cs="Calibri"/>
                <w:b/>
                <w:bCs/>
                <w:sz w:val="20"/>
                <w:szCs w:val="20"/>
              </w:rPr>
              <w:t>Subpart</w:t>
            </w:r>
          </w:p>
        </w:tc>
        <w:tc>
          <w:tcPr>
            <w:tcW w:w="2790" w:type="dxa"/>
            <w:tcBorders>
              <w:top w:val="single" w:sz="12" w:space="0" w:color="auto"/>
              <w:left w:val="nil"/>
              <w:bottom w:val="single" w:sz="12" w:space="0" w:color="auto"/>
              <w:right w:val="single" w:sz="4" w:space="0" w:color="auto"/>
            </w:tcBorders>
            <w:tcMar>
              <w:top w:w="15" w:type="dxa"/>
              <w:left w:w="15" w:type="dxa"/>
              <w:bottom w:w="0" w:type="dxa"/>
              <w:right w:w="15" w:type="dxa"/>
            </w:tcMar>
            <w:hideMark/>
          </w:tcPr>
          <w:p w:rsidR="00AD41FD" w:rsidRPr="000C0B5F" w:rsidP="00FD62EB" w14:paraId="7FCD1729" w14:textId="77777777">
            <w:pPr>
              <w:jc w:val="center"/>
              <w:rPr>
                <w:rFonts w:ascii="Calibri" w:hAnsi="Calibri" w:cs="Calibri"/>
                <w:b/>
                <w:bCs/>
                <w:sz w:val="20"/>
                <w:szCs w:val="20"/>
              </w:rPr>
            </w:pPr>
            <w:r w:rsidRPr="000C0B5F">
              <w:rPr>
                <w:rFonts w:ascii="Calibri" w:hAnsi="Calibri" w:cs="Calibri"/>
                <w:b/>
                <w:bCs/>
                <w:sz w:val="20"/>
                <w:szCs w:val="20"/>
              </w:rPr>
              <w:t>No of Respondents (Facilities)</w:t>
            </w:r>
          </w:p>
        </w:tc>
        <w:tc>
          <w:tcPr>
            <w:tcW w:w="2160" w:type="dxa"/>
            <w:tcBorders>
              <w:top w:val="single" w:sz="12" w:space="0" w:color="auto"/>
              <w:left w:val="nil"/>
              <w:bottom w:val="single" w:sz="12" w:space="0" w:color="auto"/>
              <w:right w:val="single" w:sz="4" w:space="0" w:color="auto"/>
            </w:tcBorders>
            <w:tcMar>
              <w:top w:w="15" w:type="dxa"/>
              <w:left w:w="15" w:type="dxa"/>
              <w:bottom w:w="0" w:type="dxa"/>
              <w:right w:w="15" w:type="dxa"/>
            </w:tcMar>
            <w:hideMark/>
          </w:tcPr>
          <w:p w:rsidR="00AD41FD" w:rsidRPr="000C0B5F" w:rsidP="00FD62EB" w14:paraId="79FE7C33" w14:textId="77777777">
            <w:pPr>
              <w:jc w:val="center"/>
              <w:rPr>
                <w:rFonts w:ascii="Calibri" w:hAnsi="Calibri" w:cs="Calibri"/>
                <w:b/>
                <w:bCs/>
                <w:sz w:val="20"/>
                <w:szCs w:val="20"/>
              </w:rPr>
            </w:pPr>
            <w:r w:rsidRPr="000C0B5F">
              <w:rPr>
                <w:rFonts w:ascii="Calibri" w:hAnsi="Calibri" w:cs="Calibri"/>
                <w:b/>
                <w:bCs/>
                <w:sz w:val="20"/>
                <w:szCs w:val="20"/>
              </w:rPr>
              <w:t>Annual Burden Hours</w:t>
            </w:r>
          </w:p>
        </w:tc>
        <w:tc>
          <w:tcPr>
            <w:tcW w:w="2505" w:type="dxa"/>
            <w:tcBorders>
              <w:top w:val="single" w:sz="12" w:space="0" w:color="auto"/>
              <w:left w:val="nil"/>
              <w:bottom w:val="single" w:sz="12" w:space="0" w:color="auto"/>
              <w:right w:val="single" w:sz="12" w:space="0" w:color="auto"/>
            </w:tcBorders>
            <w:tcMar>
              <w:top w:w="15" w:type="dxa"/>
              <w:left w:w="15" w:type="dxa"/>
              <w:bottom w:w="0" w:type="dxa"/>
              <w:right w:w="15" w:type="dxa"/>
            </w:tcMar>
            <w:hideMark/>
          </w:tcPr>
          <w:p w:rsidR="00AD41FD" w:rsidRPr="000C0B5F" w:rsidP="00FD62EB" w14:paraId="32EF978E" w14:textId="77777777">
            <w:pPr>
              <w:jc w:val="center"/>
              <w:rPr>
                <w:rFonts w:ascii="Calibri" w:hAnsi="Calibri" w:cs="Calibri"/>
                <w:b/>
                <w:bCs/>
                <w:sz w:val="20"/>
                <w:szCs w:val="20"/>
              </w:rPr>
            </w:pPr>
            <w:r w:rsidRPr="000C0B5F">
              <w:rPr>
                <w:rFonts w:ascii="Calibri" w:hAnsi="Calibri" w:cs="Calibri"/>
                <w:b/>
                <w:bCs/>
                <w:sz w:val="20"/>
                <w:szCs w:val="20"/>
              </w:rPr>
              <w:t>Annual Labor Cost</w:t>
            </w:r>
          </w:p>
        </w:tc>
      </w:tr>
      <w:tr w14:paraId="77244997" w14:textId="77777777" w:rsidTr="00406589">
        <w:tblPrEx>
          <w:tblW w:w="8700" w:type="dxa"/>
          <w:tblCellMar>
            <w:left w:w="0" w:type="dxa"/>
            <w:right w:w="0" w:type="dxa"/>
          </w:tblCellMar>
          <w:tblLook w:val="04A0"/>
        </w:tblPrEx>
        <w:trPr>
          <w:trHeight w:val="300"/>
        </w:trPr>
        <w:tc>
          <w:tcPr>
            <w:tcW w:w="1245" w:type="dxa"/>
            <w:tcBorders>
              <w:top w:val="nil"/>
              <w:left w:val="single" w:sz="12" w:space="0" w:color="auto"/>
              <w:bottom w:val="single" w:sz="4" w:space="0" w:color="auto"/>
              <w:right w:val="single" w:sz="4" w:space="0" w:color="auto"/>
            </w:tcBorders>
            <w:tcMar>
              <w:top w:w="15" w:type="dxa"/>
              <w:left w:w="15" w:type="dxa"/>
              <w:bottom w:w="0" w:type="dxa"/>
              <w:right w:w="15" w:type="dxa"/>
            </w:tcMar>
            <w:hideMark/>
          </w:tcPr>
          <w:p w:rsidR="00AD41FD" w:rsidRPr="000C0B5F" w:rsidP="009073E3" w14:paraId="0F9D434F" w14:textId="77777777">
            <w:pPr>
              <w:jc w:val="center"/>
              <w:rPr>
                <w:rFonts w:ascii="Calibri" w:hAnsi="Calibri" w:cs="Calibri"/>
                <w:sz w:val="20"/>
                <w:szCs w:val="20"/>
              </w:rPr>
            </w:pPr>
            <w:r w:rsidRPr="000C0B5F">
              <w:rPr>
                <w:rFonts w:ascii="Calibri" w:hAnsi="Calibri" w:cs="Calibri"/>
                <w:sz w:val="20"/>
                <w:szCs w:val="20"/>
              </w:rPr>
              <w:t>B</w:t>
            </w:r>
          </w:p>
        </w:tc>
        <w:tc>
          <w:tcPr>
            <w:tcW w:w="2790" w:type="dxa"/>
            <w:tcBorders>
              <w:top w:val="nil"/>
              <w:left w:val="nil"/>
              <w:bottom w:val="single" w:sz="4" w:space="0" w:color="auto"/>
              <w:right w:val="single" w:sz="4" w:space="0" w:color="auto"/>
            </w:tcBorders>
            <w:tcMar>
              <w:top w:w="15" w:type="dxa"/>
              <w:left w:w="15" w:type="dxa"/>
              <w:bottom w:w="0" w:type="dxa"/>
              <w:right w:w="15" w:type="dxa"/>
            </w:tcMar>
            <w:hideMark/>
          </w:tcPr>
          <w:p w:rsidR="00AD41FD" w:rsidRPr="000C0B5F" w:rsidP="00FD62EB" w14:paraId="1F2BED04" w14:textId="77777777">
            <w:pPr>
              <w:jc w:val="center"/>
              <w:rPr>
                <w:rFonts w:ascii="Calibri" w:hAnsi="Calibri" w:cs="Calibri"/>
                <w:sz w:val="20"/>
                <w:szCs w:val="20"/>
              </w:rPr>
            </w:pPr>
            <w:r w:rsidRPr="000C0B5F">
              <w:rPr>
                <w:rFonts w:ascii="Calibri" w:hAnsi="Calibri" w:cs="Calibri"/>
                <w:sz w:val="20"/>
                <w:szCs w:val="20"/>
              </w:rPr>
              <w:t>14</w:t>
            </w:r>
          </w:p>
        </w:tc>
        <w:tc>
          <w:tcPr>
            <w:tcW w:w="2160" w:type="dxa"/>
            <w:tcBorders>
              <w:top w:val="nil"/>
              <w:left w:val="nil"/>
              <w:bottom w:val="single" w:sz="4" w:space="0" w:color="auto"/>
              <w:right w:val="single" w:sz="4" w:space="0" w:color="auto"/>
            </w:tcBorders>
            <w:tcMar>
              <w:top w:w="15" w:type="dxa"/>
              <w:left w:w="15" w:type="dxa"/>
              <w:bottom w:w="0" w:type="dxa"/>
              <w:right w:w="15" w:type="dxa"/>
            </w:tcMar>
            <w:hideMark/>
          </w:tcPr>
          <w:p w:rsidR="00AD41FD" w:rsidRPr="000C0B5F" w:rsidP="00FD62EB" w14:paraId="73307895" w14:textId="77777777">
            <w:pPr>
              <w:jc w:val="center"/>
              <w:rPr>
                <w:rFonts w:ascii="Calibri" w:hAnsi="Calibri" w:cs="Calibri"/>
                <w:sz w:val="20"/>
                <w:szCs w:val="20"/>
              </w:rPr>
            </w:pPr>
            <w:r w:rsidRPr="000C0B5F">
              <w:rPr>
                <w:rFonts w:ascii="Calibri" w:hAnsi="Calibri" w:cs="Calibri"/>
                <w:sz w:val="20"/>
                <w:szCs w:val="20"/>
              </w:rPr>
              <w:t>3220</w:t>
            </w:r>
          </w:p>
        </w:tc>
        <w:tc>
          <w:tcPr>
            <w:tcW w:w="2505" w:type="dxa"/>
            <w:tcBorders>
              <w:top w:val="nil"/>
              <w:left w:val="nil"/>
              <w:bottom w:val="single" w:sz="4" w:space="0" w:color="auto"/>
              <w:right w:val="single" w:sz="12" w:space="0" w:color="auto"/>
            </w:tcBorders>
            <w:tcMar>
              <w:top w:w="15" w:type="dxa"/>
              <w:left w:w="15" w:type="dxa"/>
              <w:bottom w:w="0" w:type="dxa"/>
              <w:right w:w="15" w:type="dxa"/>
            </w:tcMar>
            <w:hideMark/>
          </w:tcPr>
          <w:p w:rsidR="00AD41FD" w:rsidRPr="000C0B5F" w:rsidP="00FD62EB" w14:paraId="258EECEF" w14:textId="7386505B">
            <w:pPr>
              <w:jc w:val="center"/>
              <w:rPr>
                <w:rFonts w:ascii="Calibri" w:hAnsi="Calibri" w:cs="Calibri"/>
                <w:sz w:val="20"/>
                <w:szCs w:val="20"/>
              </w:rPr>
            </w:pPr>
            <w:r w:rsidRPr="000C0B5F">
              <w:rPr>
                <w:rFonts w:ascii="Calibri" w:hAnsi="Calibri" w:cs="Calibri"/>
                <w:sz w:val="20"/>
                <w:szCs w:val="20"/>
              </w:rPr>
              <w:t>$297,500</w:t>
            </w:r>
          </w:p>
        </w:tc>
      </w:tr>
      <w:tr w14:paraId="229B1119" w14:textId="77777777" w:rsidTr="00406589">
        <w:tblPrEx>
          <w:tblW w:w="8700" w:type="dxa"/>
          <w:tblCellMar>
            <w:left w:w="0" w:type="dxa"/>
            <w:right w:w="0" w:type="dxa"/>
          </w:tblCellMar>
          <w:tblLook w:val="04A0"/>
        </w:tblPrEx>
        <w:trPr>
          <w:trHeight w:val="290"/>
        </w:trPr>
        <w:tc>
          <w:tcPr>
            <w:tcW w:w="1245" w:type="dxa"/>
            <w:tcBorders>
              <w:top w:val="nil"/>
              <w:left w:val="single" w:sz="12" w:space="0" w:color="auto"/>
              <w:bottom w:val="single" w:sz="4" w:space="0" w:color="auto"/>
              <w:right w:val="single" w:sz="4" w:space="0" w:color="auto"/>
            </w:tcBorders>
            <w:tcMar>
              <w:top w:w="15" w:type="dxa"/>
              <w:left w:w="15" w:type="dxa"/>
              <w:bottom w:w="0" w:type="dxa"/>
              <w:right w:w="15" w:type="dxa"/>
            </w:tcMar>
            <w:hideMark/>
          </w:tcPr>
          <w:p w:rsidR="00AD41FD" w:rsidRPr="000C0B5F" w:rsidP="009073E3" w14:paraId="46280B9C" w14:textId="77777777">
            <w:pPr>
              <w:jc w:val="center"/>
              <w:rPr>
                <w:rFonts w:ascii="Calibri" w:hAnsi="Calibri" w:cs="Calibri"/>
                <w:sz w:val="20"/>
                <w:szCs w:val="20"/>
              </w:rPr>
            </w:pPr>
            <w:r w:rsidRPr="000C0B5F">
              <w:rPr>
                <w:rFonts w:ascii="Calibri" w:hAnsi="Calibri" w:cs="Calibri"/>
                <w:sz w:val="20"/>
                <w:szCs w:val="20"/>
              </w:rPr>
              <w:t>K</w:t>
            </w:r>
          </w:p>
        </w:tc>
        <w:tc>
          <w:tcPr>
            <w:tcW w:w="2790" w:type="dxa"/>
            <w:tcBorders>
              <w:top w:val="nil"/>
              <w:left w:val="nil"/>
              <w:bottom w:val="single" w:sz="4" w:space="0" w:color="auto"/>
              <w:right w:val="single" w:sz="4" w:space="0" w:color="auto"/>
            </w:tcBorders>
            <w:tcMar>
              <w:top w:w="15" w:type="dxa"/>
              <w:left w:w="15" w:type="dxa"/>
              <w:bottom w:w="0" w:type="dxa"/>
              <w:right w:w="15" w:type="dxa"/>
            </w:tcMar>
            <w:hideMark/>
          </w:tcPr>
          <w:p w:rsidR="00AD41FD" w:rsidRPr="000C0B5F" w:rsidP="00FD62EB" w14:paraId="09522CED" w14:textId="77777777">
            <w:pPr>
              <w:jc w:val="center"/>
              <w:rPr>
                <w:rFonts w:ascii="Calibri" w:hAnsi="Calibri" w:cs="Calibri"/>
                <w:sz w:val="20"/>
                <w:szCs w:val="20"/>
              </w:rPr>
            </w:pPr>
            <w:r w:rsidRPr="000C0B5F">
              <w:rPr>
                <w:rFonts w:ascii="Calibri" w:hAnsi="Calibri" w:cs="Calibri"/>
                <w:sz w:val="20"/>
                <w:szCs w:val="20"/>
              </w:rPr>
              <w:t>1</w:t>
            </w:r>
          </w:p>
        </w:tc>
        <w:tc>
          <w:tcPr>
            <w:tcW w:w="2160" w:type="dxa"/>
            <w:tcBorders>
              <w:top w:val="nil"/>
              <w:left w:val="nil"/>
              <w:bottom w:val="single" w:sz="4" w:space="0" w:color="auto"/>
              <w:right w:val="single" w:sz="4" w:space="0" w:color="auto"/>
            </w:tcBorders>
            <w:tcMar>
              <w:top w:w="15" w:type="dxa"/>
              <w:left w:w="15" w:type="dxa"/>
              <w:bottom w:w="0" w:type="dxa"/>
              <w:right w:w="15" w:type="dxa"/>
            </w:tcMar>
            <w:hideMark/>
          </w:tcPr>
          <w:p w:rsidR="00AD41FD" w:rsidRPr="000C0B5F" w:rsidP="00FD62EB" w14:paraId="30923DFD" w14:textId="77777777">
            <w:pPr>
              <w:jc w:val="center"/>
              <w:rPr>
                <w:rFonts w:ascii="Calibri" w:hAnsi="Calibri" w:cs="Calibri"/>
                <w:sz w:val="20"/>
                <w:szCs w:val="20"/>
              </w:rPr>
            </w:pPr>
            <w:r w:rsidRPr="000C0B5F">
              <w:rPr>
                <w:rFonts w:ascii="Calibri" w:hAnsi="Calibri" w:cs="Calibri"/>
                <w:sz w:val="20"/>
                <w:szCs w:val="20"/>
              </w:rPr>
              <w:t>20</w:t>
            </w:r>
          </w:p>
        </w:tc>
        <w:tc>
          <w:tcPr>
            <w:tcW w:w="2505" w:type="dxa"/>
            <w:tcBorders>
              <w:top w:val="nil"/>
              <w:left w:val="nil"/>
              <w:bottom w:val="single" w:sz="4" w:space="0" w:color="auto"/>
              <w:right w:val="single" w:sz="12" w:space="0" w:color="auto"/>
            </w:tcBorders>
            <w:tcMar>
              <w:top w:w="15" w:type="dxa"/>
              <w:left w:w="15" w:type="dxa"/>
              <w:bottom w:w="0" w:type="dxa"/>
              <w:right w:w="15" w:type="dxa"/>
            </w:tcMar>
            <w:hideMark/>
          </w:tcPr>
          <w:p w:rsidR="00AD41FD" w:rsidRPr="000C0B5F" w:rsidP="00FD62EB" w14:paraId="7560EE18" w14:textId="02C5A507">
            <w:pPr>
              <w:jc w:val="center"/>
              <w:rPr>
                <w:rFonts w:ascii="Calibri" w:hAnsi="Calibri" w:cs="Calibri"/>
                <w:sz w:val="20"/>
                <w:szCs w:val="20"/>
              </w:rPr>
            </w:pPr>
            <w:r w:rsidRPr="000C0B5F">
              <w:rPr>
                <w:rFonts w:ascii="Calibri" w:hAnsi="Calibri" w:cs="Calibri"/>
                <w:sz w:val="20"/>
                <w:szCs w:val="20"/>
              </w:rPr>
              <w:t>$1,715</w:t>
            </w:r>
          </w:p>
        </w:tc>
      </w:tr>
      <w:tr w14:paraId="09DBA9C8" w14:textId="77777777" w:rsidTr="00406589">
        <w:tblPrEx>
          <w:tblW w:w="8700" w:type="dxa"/>
          <w:tblCellMar>
            <w:left w:w="0" w:type="dxa"/>
            <w:right w:w="0" w:type="dxa"/>
          </w:tblCellMar>
          <w:tblLook w:val="04A0"/>
        </w:tblPrEx>
        <w:trPr>
          <w:trHeight w:val="290"/>
        </w:trPr>
        <w:tc>
          <w:tcPr>
            <w:tcW w:w="1245" w:type="dxa"/>
            <w:tcBorders>
              <w:top w:val="nil"/>
              <w:left w:val="single" w:sz="12" w:space="0" w:color="auto"/>
              <w:bottom w:val="single" w:sz="4" w:space="0" w:color="auto"/>
              <w:right w:val="single" w:sz="4" w:space="0" w:color="auto"/>
            </w:tcBorders>
            <w:tcMar>
              <w:top w:w="15" w:type="dxa"/>
              <w:left w:w="15" w:type="dxa"/>
              <w:bottom w:w="0" w:type="dxa"/>
              <w:right w:w="15" w:type="dxa"/>
            </w:tcMar>
            <w:hideMark/>
          </w:tcPr>
          <w:p w:rsidR="00AD41FD" w:rsidRPr="000C0B5F" w:rsidP="009073E3" w14:paraId="31EBA1A8" w14:textId="77777777">
            <w:pPr>
              <w:jc w:val="center"/>
              <w:rPr>
                <w:rFonts w:ascii="Calibri" w:hAnsi="Calibri" w:cs="Calibri"/>
                <w:sz w:val="20"/>
                <w:szCs w:val="20"/>
              </w:rPr>
            </w:pPr>
            <w:r w:rsidRPr="000C0B5F">
              <w:rPr>
                <w:rFonts w:ascii="Calibri" w:hAnsi="Calibri" w:cs="Calibri"/>
                <w:sz w:val="20"/>
                <w:szCs w:val="20"/>
              </w:rPr>
              <w:t>R (Open)</w:t>
            </w:r>
          </w:p>
        </w:tc>
        <w:tc>
          <w:tcPr>
            <w:tcW w:w="2790" w:type="dxa"/>
            <w:tcBorders>
              <w:top w:val="nil"/>
              <w:left w:val="nil"/>
              <w:bottom w:val="single" w:sz="4" w:space="0" w:color="auto"/>
              <w:right w:val="single" w:sz="4" w:space="0" w:color="auto"/>
            </w:tcBorders>
            <w:tcMar>
              <w:top w:w="15" w:type="dxa"/>
              <w:left w:w="15" w:type="dxa"/>
              <w:bottom w:w="0" w:type="dxa"/>
              <w:right w:w="15" w:type="dxa"/>
            </w:tcMar>
            <w:hideMark/>
          </w:tcPr>
          <w:p w:rsidR="00AD41FD" w:rsidRPr="000C0B5F" w:rsidP="00FD62EB" w14:paraId="37A57F00" w14:textId="77777777">
            <w:pPr>
              <w:jc w:val="center"/>
              <w:rPr>
                <w:rFonts w:ascii="Calibri" w:hAnsi="Calibri" w:cs="Calibri"/>
                <w:sz w:val="20"/>
                <w:szCs w:val="20"/>
              </w:rPr>
            </w:pPr>
            <w:r w:rsidRPr="000C0B5F">
              <w:rPr>
                <w:rFonts w:ascii="Calibri" w:hAnsi="Calibri" w:cs="Calibri"/>
                <w:sz w:val="20"/>
                <w:szCs w:val="20"/>
              </w:rPr>
              <w:t>13</w:t>
            </w:r>
          </w:p>
        </w:tc>
        <w:tc>
          <w:tcPr>
            <w:tcW w:w="2160" w:type="dxa"/>
            <w:tcBorders>
              <w:top w:val="nil"/>
              <w:left w:val="nil"/>
              <w:bottom w:val="single" w:sz="4" w:space="0" w:color="auto"/>
              <w:right w:val="single" w:sz="4" w:space="0" w:color="auto"/>
            </w:tcBorders>
            <w:tcMar>
              <w:top w:w="15" w:type="dxa"/>
              <w:left w:w="15" w:type="dxa"/>
              <w:bottom w:w="0" w:type="dxa"/>
              <w:right w:w="15" w:type="dxa"/>
            </w:tcMar>
            <w:hideMark/>
          </w:tcPr>
          <w:p w:rsidR="00AD41FD" w:rsidRPr="000C0B5F" w:rsidP="00FD62EB" w14:paraId="6305FC17" w14:textId="77777777">
            <w:pPr>
              <w:jc w:val="center"/>
              <w:rPr>
                <w:rFonts w:ascii="Calibri" w:hAnsi="Calibri" w:cs="Calibri"/>
                <w:sz w:val="20"/>
                <w:szCs w:val="20"/>
              </w:rPr>
            </w:pPr>
            <w:r w:rsidRPr="000C0B5F">
              <w:rPr>
                <w:rFonts w:ascii="Calibri" w:hAnsi="Calibri" w:cs="Calibri"/>
                <w:sz w:val="20"/>
                <w:szCs w:val="20"/>
              </w:rPr>
              <w:t>1,638</w:t>
            </w:r>
          </w:p>
        </w:tc>
        <w:tc>
          <w:tcPr>
            <w:tcW w:w="2505" w:type="dxa"/>
            <w:tcBorders>
              <w:top w:val="nil"/>
              <w:left w:val="nil"/>
              <w:bottom w:val="single" w:sz="4" w:space="0" w:color="auto"/>
              <w:right w:val="single" w:sz="12" w:space="0" w:color="auto"/>
            </w:tcBorders>
            <w:tcMar>
              <w:top w:w="15" w:type="dxa"/>
              <w:left w:w="15" w:type="dxa"/>
              <w:bottom w:w="0" w:type="dxa"/>
              <w:right w:w="15" w:type="dxa"/>
            </w:tcMar>
            <w:hideMark/>
          </w:tcPr>
          <w:p w:rsidR="00AD41FD" w:rsidRPr="000C0B5F" w:rsidP="00FD62EB" w14:paraId="77A4D711" w14:textId="7358BBA8">
            <w:pPr>
              <w:jc w:val="center"/>
              <w:rPr>
                <w:rFonts w:ascii="Calibri" w:hAnsi="Calibri" w:cs="Calibri"/>
                <w:sz w:val="20"/>
                <w:szCs w:val="20"/>
              </w:rPr>
            </w:pPr>
            <w:r w:rsidRPr="000C0B5F">
              <w:rPr>
                <w:rFonts w:ascii="Calibri" w:hAnsi="Calibri" w:cs="Calibri"/>
                <w:sz w:val="20"/>
                <w:szCs w:val="20"/>
              </w:rPr>
              <w:t>$129,558</w:t>
            </w:r>
          </w:p>
        </w:tc>
      </w:tr>
      <w:tr w14:paraId="44F85A2E" w14:textId="77777777" w:rsidTr="00406589">
        <w:tblPrEx>
          <w:tblW w:w="8700" w:type="dxa"/>
          <w:tblCellMar>
            <w:left w:w="0" w:type="dxa"/>
            <w:right w:w="0" w:type="dxa"/>
          </w:tblCellMar>
          <w:tblLook w:val="04A0"/>
        </w:tblPrEx>
        <w:trPr>
          <w:trHeight w:val="580"/>
        </w:trPr>
        <w:tc>
          <w:tcPr>
            <w:tcW w:w="1245" w:type="dxa"/>
            <w:tcBorders>
              <w:top w:val="nil"/>
              <w:left w:val="single" w:sz="12" w:space="0" w:color="auto"/>
              <w:bottom w:val="single" w:sz="4" w:space="0" w:color="auto"/>
              <w:right w:val="single" w:sz="4" w:space="0" w:color="auto"/>
            </w:tcBorders>
            <w:tcMar>
              <w:top w:w="15" w:type="dxa"/>
              <w:left w:w="15" w:type="dxa"/>
              <w:bottom w:w="0" w:type="dxa"/>
              <w:right w:w="15" w:type="dxa"/>
            </w:tcMar>
            <w:hideMark/>
          </w:tcPr>
          <w:p w:rsidR="00AD41FD" w:rsidRPr="000C0B5F" w:rsidP="009073E3" w14:paraId="4B0D01D9" w14:textId="77777777">
            <w:pPr>
              <w:jc w:val="center"/>
              <w:rPr>
                <w:rFonts w:ascii="Calibri" w:hAnsi="Calibri" w:cs="Calibri"/>
                <w:sz w:val="20"/>
                <w:szCs w:val="20"/>
              </w:rPr>
            </w:pPr>
            <w:r w:rsidRPr="000C0B5F">
              <w:rPr>
                <w:rFonts w:ascii="Calibri" w:hAnsi="Calibri" w:cs="Calibri"/>
                <w:sz w:val="20"/>
                <w:szCs w:val="20"/>
              </w:rPr>
              <w:t>W - liquid inspections</w:t>
            </w:r>
          </w:p>
        </w:tc>
        <w:tc>
          <w:tcPr>
            <w:tcW w:w="2790" w:type="dxa"/>
            <w:tcBorders>
              <w:top w:val="nil"/>
              <w:left w:val="nil"/>
              <w:bottom w:val="single" w:sz="4" w:space="0" w:color="auto"/>
              <w:right w:val="single" w:sz="4" w:space="0" w:color="auto"/>
            </w:tcBorders>
            <w:tcMar>
              <w:top w:w="15" w:type="dxa"/>
              <w:left w:w="15" w:type="dxa"/>
              <w:bottom w:w="0" w:type="dxa"/>
              <w:right w:w="15" w:type="dxa"/>
            </w:tcMar>
            <w:hideMark/>
          </w:tcPr>
          <w:p w:rsidR="00AD41FD" w:rsidRPr="000C0B5F" w:rsidP="00FD62EB" w14:paraId="4D0CB168" w14:textId="77777777">
            <w:pPr>
              <w:jc w:val="center"/>
              <w:rPr>
                <w:rFonts w:ascii="Calibri" w:hAnsi="Calibri" w:cs="Calibri"/>
                <w:sz w:val="20"/>
                <w:szCs w:val="20"/>
              </w:rPr>
            </w:pPr>
            <w:r w:rsidRPr="000C0B5F">
              <w:rPr>
                <w:rFonts w:ascii="Calibri" w:hAnsi="Calibri" w:cs="Calibri"/>
                <w:sz w:val="20"/>
                <w:szCs w:val="20"/>
              </w:rPr>
              <w:t>21</w:t>
            </w:r>
          </w:p>
        </w:tc>
        <w:tc>
          <w:tcPr>
            <w:tcW w:w="2160" w:type="dxa"/>
            <w:tcBorders>
              <w:top w:val="nil"/>
              <w:left w:val="nil"/>
              <w:bottom w:val="single" w:sz="4" w:space="0" w:color="auto"/>
              <w:right w:val="single" w:sz="4" w:space="0" w:color="auto"/>
            </w:tcBorders>
            <w:tcMar>
              <w:top w:w="15" w:type="dxa"/>
              <w:left w:w="15" w:type="dxa"/>
              <w:bottom w:w="0" w:type="dxa"/>
              <w:right w:w="15" w:type="dxa"/>
            </w:tcMar>
            <w:hideMark/>
          </w:tcPr>
          <w:p w:rsidR="00AD41FD" w:rsidRPr="000C0B5F" w:rsidP="00FD62EB" w14:paraId="7AFEB8DF" w14:textId="77777777">
            <w:pPr>
              <w:jc w:val="center"/>
              <w:rPr>
                <w:rFonts w:ascii="Calibri" w:hAnsi="Calibri" w:cs="Calibri"/>
                <w:sz w:val="20"/>
                <w:szCs w:val="20"/>
              </w:rPr>
            </w:pPr>
            <w:r w:rsidRPr="000C0B5F">
              <w:rPr>
                <w:rFonts w:ascii="Calibri" w:hAnsi="Calibri" w:cs="Calibri"/>
                <w:sz w:val="20"/>
                <w:szCs w:val="20"/>
              </w:rPr>
              <w:t>5913</w:t>
            </w:r>
          </w:p>
        </w:tc>
        <w:tc>
          <w:tcPr>
            <w:tcW w:w="2505" w:type="dxa"/>
            <w:tcBorders>
              <w:top w:val="nil"/>
              <w:left w:val="nil"/>
              <w:bottom w:val="single" w:sz="4" w:space="0" w:color="auto"/>
              <w:right w:val="single" w:sz="12" w:space="0" w:color="auto"/>
            </w:tcBorders>
            <w:tcMar>
              <w:top w:w="15" w:type="dxa"/>
              <w:left w:w="15" w:type="dxa"/>
              <w:bottom w:w="0" w:type="dxa"/>
              <w:right w:w="15" w:type="dxa"/>
            </w:tcMar>
            <w:hideMark/>
          </w:tcPr>
          <w:p w:rsidR="00AD41FD" w:rsidRPr="000C0B5F" w:rsidP="00FD62EB" w14:paraId="190737E7" w14:textId="2E240C21">
            <w:pPr>
              <w:jc w:val="center"/>
              <w:rPr>
                <w:rFonts w:ascii="Calibri" w:hAnsi="Calibri" w:cs="Calibri"/>
                <w:sz w:val="20"/>
                <w:szCs w:val="20"/>
              </w:rPr>
            </w:pPr>
            <w:r w:rsidRPr="000C0B5F">
              <w:rPr>
                <w:rFonts w:ascii="Calibri" w:hAnsi="Calibri" w:cs="Calibri"/>
                <w:sz w:val="20"/>
                <w:szCs w:val="20"/>
              </w:rPr>
              <w:t>$539,066</w:t>
            </w:r>
          </w:p>
        </w:tc>
      </w:tr>
      <w:tr w14:paraId="2A7AF14C" w14:textId="77777777" w:rsidTr="00406589">
        <w:tblPrEx>
          <w:tblW w:w="8700" w:type="dxa"/>
          <w:tblCellMar>
            <w:left w:w="0" w:type="dxa"/>
            <w:right w:w="0" w:type="dxa"/>
          </w:tblCellMar>
          <w:tblLook w:val="04A0"/>
        </w:tblPrEx>
        <w:trPr>
          <w:trHeight w:val="580"/>
        </w:trPr>
        <w:tc>
          <w:tcPr>
            <w:tcW w:w="1245" w:type="dxa"/>
            <w:tcBorders>
              <w:top w:val="nil"/>
              <w:left w:val="single" w:sz="12" w:space="0" w:color="auto"/>
              <w:bottom w:val="single" w:sz="4" w:space="0" w:color="auto"/>
              <w:right w:val="single" w:sz="4" w:space="0" w:color="auto"/>
            </w:tcBorders>
            <w:tcMar>
              <w:top w:w="15" w:type="dxa"/>
              <w:left w:w="15" w:type="dxa"/>
              <w:bottom w:w="0" w:type="dxa"/>
              <w:right w:w="15" w:type="dxa"/>
            </w:tcMar>
            <w:hideMark/>
          </w:tcPr>
          <w:p w:rsidR="00AD41FD" w:rsidRPr="000C0B5F" w:rsidP="009073E3" w14:paraId="06A87892" w14:textId="77777777">
            <w:pPr>
              <w:jc w:val="center"/>
              <w:rPr>
                <w:rFonts w:ascii="Calibri" w:hAnsi="Calibri" w:cs="Calibri"/>
                <w:sz w:val="20"/>
                <w:szCs w:val="20"/>
              </w:rPr>
            </w:pPr>
            <w:r w:rsidRPr="000C0B5F">
              <w:rPr>
                <w:rFonts w:ascii="Calibri" w:hAnsi="Calibri" w:cs="Calibri"/>
                <w:sz w:val="20"/>
                <w:szCs w:val="20"/>
              </w:rPr>
              <w:t>W - record keeping</w:t>
            </w:r>
          </w:p>
        </w:tc>
        <w:tc>
          <w:tcPr>
            <w:tcW w:w="2790" w:type="dxa"/>
            <w:tcBorders>
              <w:top w:val="nil"/>
              <w:left w:val="nil"/>
              <w:bottom w:val="single" w:sz="4" w:space="0" w:color="auto"/>
              <w:right w:val="single" w:sz="4" w:space="0" w:color="auto"/>
            </w:tcBorders>
            <w:tcMar>
              <w:top w:w="15" w:type="dxa"/>
              <w:left w:w="15" w:type="dxa"/>
              <w:bottom w:w="0" w:type="dxa"/>
              <w:right w:w="15" w:type="dxa"/>
            </w:tcMar>
            <w:hideMark/>
          </w:tcPr>
          <w:p w:rsidR="00AD41FD" w:rsidRPr="000C0B5F" w:rsidP="00FD62EB" w14:paraId="0826350F" w14:textId="77777777">
            <w:pPr>
              <w:jc w:val="center"/>
              <w:rPr>
                <w:rFonts w:ascii="Calibri" w:hAnsi="Calibri" w:cs="Calibri"/>
                <w:sz w:val="20"/>
                <w:szCs w:val="20"/>
              </w:rPr>
            </w:pPr>
            <w:r w:rsidRPr="000C0B5F">
              <w:rPr>
                <w:rFonts w:ascii="Calibri" w:hAnsi="Calibri" w:cs="Calibri"/>
                <w:sz w:val="20"/>
                <w:szCs w:val="20"/>
              </w:rPr>
              <w:t>24</w:t>
            </w:r>
          </w:p>
        </w:tc>
        <w:tc>
          <w:tcPr>
            <w:tcW w:w="2160" w:type="dxa"/>
            <w:tcBorders>
              <w:top w:val="nil"/>
              <w:left w:val="nil"/>
              <w:bottom w:val="nil"/>
              <w:right w:val="single" w:sz="4" w:space="0" w:color="auto"/>
            </w:tcBorders>
            <w:tcMar>
              <w:top w:w="15" w:type="dxa"/>
              <w:left w:w="15" w:type="dxa"/>
              <w:bottom w:w="0" w:type="dxa"/>
              <w:right w:w="15" w:type="dxa"/>
            </w:tcMar>
            <w:hideMark/>
          </w:tcPr>
          <w:p w:rsidR="00AD41FD" w:rsidRPr="000C0B5F" w:rsidP="00FD62EB" w14:paraId="3CCE46E2" w14:textId="77777777">
            <w:pPr>
              <w:jc w:val="center"/>
              <w:rPr>
                <w:rFonts w:ascii="Calibri" w:hAnsi="Calibri" w:cs="Calibri"/>
                <w:sz w:val="20"/>
                <w:szCs w:val="20"/>
              </w:rPr>
            </w:pPr>
            <w:r w:rsidRPr="000C0B5F">
              <w:rPr>
                <w:rFonts w:ascii="Calibri" w:hAnsi="Calibri" w:cs="Calibri"/>
                <w:sz w:val="20"/>
                <w:szCs w:val="20"/>
              </w:rPr>
              <w:t>288</w:t>
            </w:r>
          </w:p>
        </w:tc>
        <w:tc>
          <w:tcPr>
            <w:tcW w:w="2505" w:type="dxa"/>
            <w:tcBorders>
              <w:top w:val="nil"/>
              <w:left w:val="nil"/>
              <w:bottom w:val="nil"/>
              <w:right w:val="single" w:sz="12" w:space="0" w:color="auto"/>
            </w:tcBorders>
            <w:tcMar>
              <w:top w:w="15" w:type="dxa"/>
              <w:left w:w="15" w:type="dxa"/>
              <w:bottom w:w="0" w:type="dxa"/>
              <w:right w:w="15" w:type="dxa"/>
            </w:tcMar>
            <w:hideMark/>
          </w:tcPr>
          <w:p w:rsidR="00AD41FD" w:rsidRPr="000C0B5F" w:rsidP="00FD62EB" w14:paraId="50821C0D" w14:textId="37F20E5A">
            <w:pPr>
              <w:jc w:val="center"/>
              <w:rPr>
                <w:rFonts w:ascii="Calibri" w:hAnsi="Calibri" w:cs="Calibri"/>
                <w:sz w:val="20"/>
                <w:szCs w:val="20"/>
              </w:rPr>
            </w:pPr>
            <w:r w:rsidRPr="000C0B5F">
              <w:rPr>
                <w:rFonts w:ascii="Calibri" w:hAnsi="Calibri" w:cs="Calibri"/>
                <w:sz w:val="20"/>
                <w:szCs w:val="20"/>
              </w:rPr>
              <w:t>$15,528</w:t>
            </w:r>
          </w:p>
        </w:tc>
      </w:tr>
      <w:tr w14:paraId="12E15844" w14:textId="77777777" w:rsidTr="00792764">
        <w:tblPrEx>
          <w:tblW w:w="8700" w:type="dxa"/>
          <w:tblCellMar>
            <w:left w:w="0" w:type="dxa"/>
            <w:right w:w="0" w:type="dxa"/>
          </w:tblCellMar>
          <w:tblLook w:val="04A0"/>
        </w:tblPrEx>
        <w:trPr>
          <w:trHeight w:val="590"/>
        </w:trPr>
        <w:tc>
          <w:tcPr>
            <w:tcW w:w="1245" w:type="dxa"/>
            <w:tcBorders>
              <w:top w:val="nil"/>
              <w:left w:val="single" w:sz="12" w:space="0" w:color="auto"/>
              <w:bottom w:val="single" w:sz="18" w:space="0" w:color="auto"/>
              <w:right w:val="single" w:sz="4" w:space="0" w:color="auto"/>
            </w:tcBorders>
            <w:tcMar>
              <w:top w:w="15" w:type="dxa"/>
              <w:left w:w="15" w:type="dxa"/>
              <w:bottom w:w="0" w:type="dxa"/>
              <w:right w:w="15" w:type="dxa"/>
            </w:tcMar>
            <w:hideMark/>
          </w:tcPr>
          <w:p w:rsidR="00AD41FD" w:rsidRPr="000C0B5F" w:rsidP="009073E3" w14:paraId="4987AA87" w14:textId="77777777">
            <w:pPr>
              <w:jc w:val="center"/>
              <w:rPr>
                <w:rFonts w:ascii="Calibri" w:hAnsi="Calibri" w:cs="Calibri"/>
                <w:sz w:val="20"/>
                <w:szCs w:val="20"/>
              </w:rPr>
            </w:pPr>
            <w:r w:rsidRPr="000C0B5F">
              <w:rPr>
                <w:rFonts w:ascii="Calibri" w:hAnsi="Calibri" w:cs="Calibri"/>
                <w:sz w:val="20"/>
                <w:szCs w:val="20"/>
              </w:rPr>
              <w:t>W - radon testing</w:t>
            </w:r>
          </w:p>
        </w:tc>
        <w:tc>
          <w:tcPr>
            <w:tcW w:w="2790" w:type="dxa"/>
            <w:tcBorders>
              <w:top w:val="nil"/>
              <w:left w:val="nil"/>
              <w:bottom w:val="single" w:sz="18" w:space="0" w:color="auto"/>
              <w:right w:val="single" w:sz="4" w:space="0" w:color="auto"/>
            </w:tcBorders>
            <w:tcMar>
              <w:top w:w="15" w:type="dxa"/>
              <w:left w:w="15" w:type="dxa"/>
              <w:bottom w:w="0" w:type="dxa"/>
              <w:right w:w="15" w:type="dxa"/>
            </w:tcMar>
            <w:hideMark/>
          </w:tcPr>
          <w:p w:rsidR="00AD41FD" w:rsidRPr="000C0B5F" w:rsidP="00FD62EB" w14:paraId="74A5E68A" w14:textId="77777777">
            <w:pPr>
              <w:jc w:val="center"/>
              <w:rPr>
                <w:rFonts w:ascii="Calibri" w:hAnsi="Calibri" w:cs="Calibri"/>
                <w:sz w:val="20"/>
                <w:szCs w:val="20"/>
              </w:rPr>
            </w:pPr>
            <w:r w:rsidRPr="000C0B5F">
              <w:rPr>
                <w:rFonts w:ascii="Calibri" w:hAnsi="Calibri" w:cs="Calibri"/>
                <w:sz w:val="20"/>
                <w:szCs w:val="20"/>
              </w:rPr>
              <w:t>3</w:t>
            </w:r>
          </w:p>
        </w:tc>
        <w:tc>
          <w:tcPr>
            <w:tcW w:w="2160" w:type="dxa"/>
            <w:tcBorders>
              <w:top w:val="single" w:sz="4" w:space="0" w:color="auto"/>
              <w:left w:val="nil"/>
              <w:bottom w:val="single" w:sz="18" w:space="0" w:color="auto"/>
              <w:right w:val="single" w:sz="4" w:space="0" w:color="auto"/>
            </w:tcBorders>
            <w:tcMar>
              <w:top w:w="15" w:type="dxa"/>
              <w:left w:w="15" w:type="dxa"/>
              <w:bottom w:w="0" w:type="dxa"/>
              <w:right w:w="15" w:type="dxa"/>
            </w:tcMar>
            <w:hideMark/>
          </w:tcPr>
          <w:p w:rsidR="00AD41FD" w:rsidRPr="000C0B5F" w:rsidP="00FD62EB" w14:paraId="1B8A32BF" w14:textId="77777777">
            <w:pPr>
              <w:jc w:val="center"/>
              <w:rPr>
                <w:rFonts w:ascii="Calibri" w:hAnsi="Calibri" w:cs="Calibri"/>
                <w:sz w:val="20"/>
                <w:szCs w:val="20"/>
              </w:rPr>
            </w:pPr>
            <w:r w:rsidRPr="000C0B5F">
              <w:rPr>
                <w:rFonts w:ascii="Calibri" w:hAnsi="Calibri" w:cs="Calibri"/>
                <w:sz w:val="20"/>
                <w:szCs w:val="20"/>
              </w:rPr>
              <w:t>222</w:t>
            </w:r>
          </w:p>
        </w:tc>
        <w:tc>
          <w:tcPr>
            <w:tcW w:w="2505" w:type="dxa"/>
            <w:tcBorders>
              <w:top w:val="single" w:sz="4" w:space="0" w:color="auto"/>
              <w:left w:val="nil"/>
              <w:bottom w:val="single" w:sz="18" w:space="0" w:color="auto"/>
              <w:right w:val="single" w:sz="12" w:space="0" w:color="auto"/>
            </w:tcBorders>
            <w:tcMar>
              <w:top w:w="15" w:type="dxa"/>
              <w:left w:w="15" w:type="dxa"/>
              <w:bottom w:w="0" w:type="dxa"/>
              <w:right w:w="15" w:type="dxa"/>
            </w:tcMar>
            <w:hideMark/>
          </w:tcPr>
          <w:p w:rsidR="00AD41FD" w:rsidRPr="000C0B5F" w:rsidP="00FD62EB" w14:paraId="1FC9918C" w14:textId="5C1D6DA8">
            <w:pPr>
              <w:jc w:val="center"/>
              <w:rPr>
                <w:rFonts w:ascii="Calibri" w:hAnsi="Calibri" w:cs="Calibri"/>
                <w:sz w:val="20"/>
                <w:szCs w:val="20"/>
              </w:rPr>
            </w:pPr>
            <w:r w:rsidRPr="000C0B5F">
              <w:rPr>
                <w:rFonts w:ascii="Calibri" w:hAnsi="Calibri" w:cs="Calibri"/>
                <w:sz w:val="20"/>
                <w:szCs w:val="20"/>
              </w:rPr>
              <w:t>$21,161</w:t>
            </w:r>
          </w:p>
        </w:tc>
      </w:tr>
      <w:tr w14:paraId="2923F476" w14:textId="77777777" w:rsidTr="00792764">
        <w:tblPrEx>
          <w:tblW w:w="8700" w:type="dxa"/>
          <w:tblCellMar>
            <w:left w:w="0" w:type="dxa"/>
            <w:right w:w="0" w:type="dxa"/>
          </w:tblCellMar>
          <w:tblLook w:val="04A0"/>
        </w:tblPrEx>
        <w:trPr>
          <w:trHeight w:val="330"/>
        </w:trPr>
        <w:tc>
          <w:tcPr>
            <w:tcW w:w="1245" w:type="dxa"/>
            <w:tcBorders>
              <w:top w:val="single" w:sz="18" w:space="0" w:color="auto"/>
              <w:left w:val="single" w:sz="18" w:space="0" w:color="auto"/>
              <w:bottom w:val="single" w:sz="18" w:space="0" w:color="auto"/>
              <w:right w:val="single" w:sz="18" w:space="0" w:color="auto"/>
            </w:tcBorders>
            <w:tcMar>
              <w:top w:w="15" w:type="dxa"/>
              <w:left w:w="15" w:type="dxa"/>
              <w:bottom w:w="0" w:type="dxa"/>
              <w:right w:w="15" w:type="dxa"/>
            </w:tcMar>
            <w:hideMark/>
          </w:tcPr>
          <w:p w:rsidR="00AD41FD" w:rsidRPr="000C0B5F" w:rsidP="009073E3" w14:paraId="6A03E937" w14:textId="77777777">
            <w:pPr>
              <w:jc w:val="center"/>
              <w:rPr>
                <w:rFonts w:ascii="Calibri" w:hAnsi="Calibri" w:cs="Calibri"/>
                <w:b/>
                <w:bCs/>
                <w:sz w:val="20"/>
                <w:szCs w:val="20"/>
              </w:rPr>
            </w:pPr>
            <w:r w:rsidRPr="000C0B5F">
              <w:rPr>
                <w:rFonts w:ascii="Calibri" w:hAnsi="Calibri" w:cs="Calibri"/>
                <w:b/>
                <w:bCs/>
                <w:sz w:val="20"/>
                <w:szCs w:val="20"/>
              </w:rPr>
              <w:t>TOTALS</w:t>
            </w:r>
          </w:p>
        </w:tc>
        <w:tc>
          <w:tcPr>
            <w:tcW w:w="2790" w:type="dxa"/>
            <w:tcBorders>
              <w:top w:val="single" w:sz="18" w:space="0" w:color="auto"/>
              <w:left w:val="single" w:sz="18" w:space="0" w:color="auto"/>
              <w:bottom w:val="single" w:sz="18" w:space="0" w:color="auto"/>
              <w:right w:val="single" w:sz="18" w:space="0" w:color="auto"/>
            </w:tcBorders>
            <w:tcMar>
              <w:top w:w="15" w:type="dxa"/>
              <w:left w:w="15" w:type="dxa"/>
              <w:bottom w:w="0" w:type="dxa"/>
              <w:right w:w="15" w:type="dxa"/>
            </w:tcMar>
            <w:hideMark/>
          </w:tcPr>
          <w:p w:rsidR="00AD41FD" w:rsidRPr="000C0B5F" w:rsidP="00FD62EB" w14:paraId="3316CBE2" w14:textId="77777777">
            <w:pPr>
              <w:jc w:val="center"/>
              <w:rPr>
                <w:rFonts w:ascii="Calibri" w:hAnsi="Calibri" w:cs="Calibri"/>
                <w:b/>
                <w:bCs/>
                <w:sz w:val="20"/>
                <w:szCs w:val="20"/>
              </w:rPr>
            </w:pPr>
            <w:r w:rsidRPr="000C0B5F">
              <w:rPr>
                <w:rFonts w:ascii="Calibri" w:hAnsi="Calibri" w:cs="Calibri"/>
                <w:b/>
                <w:bCs/>
                <w:sz w:val="20"/>
                <w:szCs w:val="20"/>
              </w:rPr>
              <w:t>52</w:t>
            </w:r>
          </w:p>
        </w:tc>
        <w:tc>
          <w:tcPr>
            <w:tcW w:w="2160" w:type="dxa"/>
            <w:tcBorders>
              <w:top w:val="single" w:sz="18" w:space="0" w:color="auto"/>
              <w:left w:val="single" w:sz="18" w:space="0" w:color="auto"/>
              <w:bottom w:val="single" w:sz="18" w:space="0" w:color="auto"/>
              <w:right w:val="single" w:sz="18" w:space="0" w:color="auto"/>
            </w:tcBorders>
            <w:tcMar>
              <w:top w:w="15" w:type="dxa"/>
              <w:left w:w="15" w:type="dxa"/>
              <w:bottom w:w="0" w:type="dxa"/>
              <w:right w:w="15" w:type="dxa"/>
            </w:tcMar>
            <w:hideMark/>
          </w:tcPr>
          <w:p w:rsidR="00AD41FD" w:rsidRPr="000C0B5F" w:rsidP="00FD62EB" w14:paraId="0C985BF8" w14:textId="77777777">
            <w:pPr>
              <w:jc w:val="center"/>
              <w:rPr>
                <w:rFonts w:ascii="Calibri" w:hAnsi="Calibri" w:cs="Calibri"/>
                <w:b/>
                <w:bCs/>
                <w:sz w:val="20"/>
                <w:szCs w:val="20"/>
              </w:rPr>
            </w:pPr>
            <w:r w:rsidRPr="000C0B5F">
              <w:rPr>
                <w:rFonts w:ascii="Calibri" w:hAnsi="Calibri" w:cs="Calibri"/>
                <w:b/>
                <w:bCs/>
                <w:sz w:val="20"/>
                <w:szCs w:val="20"/>
              </w:rPr>
              <w:t>11,301</w:t>
            </w:r>
          </w:p>
        </w:tc>
        <w:tc>
          <w:tcPr>
            <w:tcW w:w="2505" w:type="dxa"/>
            <w:tcBorders>
              <w:top w:val="single" w:sz="18" w:space="0" w:color="auto"/>
              <w:left w:val="single" w:sz="18" w:space="0" w:color="auto"/>
              <w:bottom w:val="single" w:sz="18" w:space="0" w:color="auto"/>
              <w:right w:val="single" w:sz="18" w:space="0" w:color="auto"/>
            </w:tcBorders>
            <w:tcMar>
              <w:top w:w="15" w:type="dxa"/>
              <w:left w:w="15" w:type="dxa"/>
              <w:bottom w:w="0" w:type="dxa"/>
              <w:right w:w="15" w:type="dxa"/>
            </w:tcMar>
            <w:hideMark/>
          </w:tcPr>
          <w:p w:rsidR="00AD41FD" w:rsidRPr="000C0B5F" w:rsidP="00FD62EB" w14:paraId="4C0CFBC8" w14:textId="7004B380">
            <w:pPr>
              <w:jc w:val="center"/>
              <w:rPr>
                <w:rFonts w:ascii="Calibri" w:hAnsi="Calibri" w:cs="Calibri"/>
                <w:b/>
                <w:bCs/>
                <w:sz w:val="20"/>
                <w:szCs w:val="20"/>
              </w:rPr>
            </w:pPr>
            <w:r w:rsidRPr="000C0B5F">
              <w:rPr>
                <w:rFonts w:ascii="Calibri" w:hAnsi="Calibri" w:cs="Calibri"/>
                <w:b/>
                <w:bCs/>
                <w:sz w:val="20"/>
                <w:szCs w:val="20"/>
              </w:rPr>
              <w:t>$1,004,527</w:t>
            </w:r>
          </w:p>
        </w:tc>
      </w:tr>
    </w:tbl>
    <w:p w:rsidR="00815637" w:rsidRPr="000C0B5F" w:rsidP="00815637" w14:paraId="4D5D9FF4" w14:textId="77777777"/>
    <w:p w:rsidR="00023EFE" w:rsidRPr="000C0B5F" w:rsidP="00815637" w14:paraId="7D2BF7DE" w14:textId="62F0DD10">
      <w:pPr>
        <w:pStyle w:val="Heading1"/>
        <w:numPr>
          <w:ilvl w:val="0"/>
          <w:numId w:val="28"/>
        </w:numPr>
        <w:spacing w:before="0" w:after="120"/>
        <w:rPr>
          <w:b w:val="0"/>
          <w:bCs w:val="0"/>
        </w:rPr>
      </w:pPr>
      <w:r w:rsidRPr="000C0B5F">
        <w:t xml:space="preserve"> </w:t>
      </w:r>
      <w:r w:rsidRPr="000C0B5F" w:rsidR="00ED7A89">
        <w:t xml:space="preserve">AGENCY </w:t>
      </w:r>
      <w:bookmarkStart w:id="22" w:name="_Toc156593388"/>
      <w:bookmarkEnd w:id="21"/>
      <w:r w:rsidRPr="000C0B5F" w:rsidR="00ED7A89">
        <w:t>COSTS</w:t>
      </w:r>
    </w:p>
    <w:p w:rsidR="00023EFE" w:rsidRPr="000C0B5F" w:rsidP="009073E3" w14:paraId="1D8BBDEC" w14:textId="5C475770">
      <w:pPr>
        <w:pStyle w:val="Heading2"/>
        <w:spacing w:after="120"/>
      </w:pPr>
      <w:r w:rsidRPr="000C0B5F">
        <w:t xml:space="preserve">14a. </w:t>
      </w:r>
      <w:r w:rsidRPr="000C0B5F" w:rsidR="00AF13F7">
        <w:t>AGENCY ACTIVITIES AND FREQUENCY</w:t>
      </w:r>
    </w:p>
    <w:p w:rsidR="009F1E00" w:rsidRPr="000C0B5F" w:rsidP="008334C2" w14:paraId="647FDC77" w14:textId="31E960E7">
      <w:pPr>
        <w:spacing w:line="276" w:lineRule="auto"/>
      </w:pPr>
      <w:r w:rsidRPr="000C0B5F">
        <w:t>The information collected under this ICR is used to demonstrate compliance with Federal regulations. The EPA’s activities consist of reviewing reports and photographic submissions, taking further actions if needed to verify compliance, and maintaining files.</w:t>
      </w:r>
    </w:p>
    <w:p w:rsidR="00023EFE" w:rsidRPr="000C0B5F" w:rsidP="008334C2" w14:paraId="30F74537" w14:textId="5C1188C8">
      <w:pPr>
        <w:pStyle w:val="Heading2"/>
        <w:spacing w:after="120" w:line="276" w:lineRule="auto"/>
      </w:pPr>
      <w:r w:rsidRPr="000C0B5F">
        <w:t xml:space="preserve">14b. </w:t>
      </w:r>
      <w:r w:rsidRPr="000C0B5F" w:rsidR="00AF13F7">
        <w:t>AGENCY BURDEN AND LABOR COST</w:t>
      </w:r>
    </w:p>
    <w:p w:rsidR="00A81808" w:rsidRPr="000C0B5F" w:rsidP="008334C2" w14:paraId="77388F44" w14:textId="1CFEBFF0">
      <w:pPr>
        <w:spacing w:line="276" w:lineRule="auto"/>
      </w:pPr>
      <w:r w:rsidRPr="000C0B5F">
        <w:t>The burden to the EPA is from reviewing of the information submitted by the regulated community to ensure that emissions and dose are within the limits set by the regulations, and record keeping. The Agency burden and costs are estimated below in Table</w:t>
      </w:r>
      <w:r w:rsidRPr="000C0B5F" w:rsidR="00E97CDC">
        <w:t>s</w:t>
      </w:r>
      <w:r w:rsidRPr="000C0B5F">
        <w:t xml:space="preserve"> </w:t>
      </w:r>
      <w:r w:rsidRPr="000C0B5F" w:rsidR="00E73D13">
        <w:t>1</w:t>
      </w:r>
      <w:r w:rsidRPr="000C0B5F" w:rsidR="00232F2B">
        <w:t>7</w:t>
      </w:r>
      <w:r w:rsidRPr="000C0B5F" w:rsidR="00E97CDC">
        <w:t xml:space="preserve"> and 1</w:t>
      </w:r>
      <w:r w:rsidRPr="000C0B5F" w:rsidR="00232F2B">
        <w:t>8</w:t>
      </w:r>
      <w:r w:rsidRPr="000C0B5F">
        <w:t>. Two separate calculations are included; one for the review of reports submitted under subparts B, K, R, and subpart W conventional impoundments, and the other for receiving and reviewing electronic reports for subpart W non</w:t>
      </w:r>
      <w:r w:rsidRPr="000C0B5F" w:rsidR="0026169B">
        <w:t>-</w:t>
      </w:r>
      <w:r w:rsidRPr="000C0B5F">
        <w:t>conventional impoundments. The breakdown of General Schedule levels and steps were different for the two activities in past ICRs, and those different levels have been maintained in this ICR. All Agency salaries were found in 202</w:t>
      </w:r>
      <w:r w:rsidRPr="000C0B5F" w:rsidR="000D458D">
        <w:t>5</w:t>
      </w:r>
      <w:r w:rsidRPr="000C0B5F">
        <w:t xml:space="preserve"> General Schedule salary tables. </w:t>
      </w:r>
    </w:p>
    <w:p w:rsidR="00A81808" w:rsidRPr="000C0B5F" w:rsidP="008334C2" w14:paraId="4FDD11FF" w14:textId="514025B0">
      <w:pPr>
        <w:spacing w:line="276" w:lineRule="auto"/>
      </w:pPr>
      <w:r w:rsidRPr="000C0B5F">
        <w:t>For reviewing reports submitted by subpart B, K</w:t>
      </w:r>
      <w:r w:rsidRPr="000C0B5F" w:rsidR="00D50331">
        <w:t>,</w:t>
      </w:r>
      <w:r w:rsidRPr="000C0B5F">
        <w:t xml:space="preserve"> R, and conventional subpart W facilities, Agency burden is based on the salary for a GS-13, step 5 technical employee, with a multiplier of 1.6 to include overhead; this resulted in a loaded rate of $</w:t>
      </w:r>
      <w:r w:rsidRPr="000C0B5F" w:rsidR="00D57972">
        <w:t>104.57</w:t>
      </w:r>
      <w:r w:rsidRPr="000C0B5F">
        <w:t xml:space="preserve"> per hour. </w:t>
      </w:r>
      <w:r w:rsidRPr="000C0B5F" w:rsidR="00BD1B21">
        <w:t>This rate was calculated from</w:t>
      </w:r>
      <w:r w:rsidRPr="000C0B5F" w:rsidR="00DB4705">
        <w:t xml:space="preserve"> an average of</w:t>
      </w:r>
      <w:r w:rsidRPr="000C0B5F" w:rsidR="00BD1B21">
        <w:t xml:space="preserve"> the </w:t>
      </w:r>
      <w:r w:rsidRPr="000C0B5F" w:rsidR="00E41D12">
        <w:t>2025</w:t>
      </w:r>
      <w:r w:rsidRPr="000C0B5F" w:rsidR="00BB2302">
        <w:t xml:space="preserve"> </w:t>
      </w:r>
      <w:r w:rsidRPr="000C0B5F" w:rsidR="00BD1B21">
        <w:t xml:space="preserve">OPM salary </w:t>
      </w:r>
      <w:r w:rsidRPr="000C0B5F" w:rsidR="00EF1CF5">
        <w:t>tables</w:t>
      </w:r>
      <w:r w:rsidRPr="000C0B5F" w:rsidR="00BD1B21">
        <w:t xml:space="preserve"> </w:t>
      </w:r>
      <w:r w:rsidRPr="000C0B5F" w:rsidR="00205295">
        <w:t>for DC headquarters</w:t>
      </w:r>
      <w:r w:rsidRPr="000C0B5F" w:rsidR="002D238C">
        <w:t xml:space="preserve"> </w:t>
      </w:r>
      <w:r w:rsidRPr="000C0B5F" w:rsidR="00BB2302">
        <w:t>($</w:t>
      </w:r>
      <w:r w:rsidRPr="000C0B5F" w:rsidR="00212017">
        <w:t>65.48</w:t>
      </w:r>
      <w:r w:rsidRPr="000C0B5F" w:rsidR="00BB2302">
        <w:t xml:space="preserve">) </w:t>
      </w:r>
      <w:r w:rsidRPr="000C0B5F" w:rsidR="00EF1CF5">
        <w:t xml:space="preserve">and the </w:t>
      </w:r>
      <w:r w:rsidRPr="000C0B5F" w:rsidR="00FD6642">
        <w:t>R</w:t>
      </w:r>
      <w:r w:rsidRPr="000C0B5F" w:rsidR="002106F5">
        <w:t xml:space="preserve">est of the </w:t>
      </w:r>
      <w:r w:rsidRPr="000C0B5F" w:rsidR="002531FC">
        <w:t>United States</w:t>
      </w:r>
      <w:r w:rsidRPr="000C0B5F" w:rsidR="00BB2302">
        <w:t xml:space="preserve"> </w:t>
      </w:r>
      <w:r w:rsidRPr="000C0B5F" w:rsidR="00C67B57">
        <w:t>(</w:t>
      </w:r>
      <w:r w:rsidRPr="000C0B5F" w:rsidR="00DB4705">
        <w:t>$</w:t>
      </w:r>
      <w:r w:rsidRPr="000C0B5F" w:rsidR="00E41D12">
        <w:t>57.23</w:t>
      </w:r>
      <w:r w:rsidRPr="000C0B5F" w:rsidR="00DB4705">
        <w:t>).</w:t>
      </w:r>
      <w:r w:rsidRPr="000C0B5F" w:rsidR="002106F5">
        <w:t xml:space="preserve"> </w:t>
      </w:r>
      <w:r w:rsidRPr="000C0B5F">
        <w:t>For the Clerical category, the salary scale for a GS-11, step 10 was used with a multiplier of 1.6 to account for overhead; this resulted in $</w:t>
      </w:r>
      <w:r w:rsidRPr="000C0B5F" w:rsidR="00BD120F">
        <w:t>79</w:t>
      </w:r>
      <w:r w:rsidRPr="000C0B5F" w:rsidR="00541CE9">
        <w:t>.00</w:t>
      </w:r>
      <w:r w:rsidRPr="000C0B5F">
        <w:t xml:space="preserve"> per hour. </w:t>
      </w:r>
      <w:r w:rsidRPr="000C0B5F" w:rsidR="00644925">
        <w:t>This average was calculated from the OPM tables for the same locations as GS-13 Step 5</w:t>
      </w:r>
      <w:r w:rsidRPr="000C0B5F" w:rsidR="000E373E">
        <w:t xml:space="preserve"> </w:t>
      </w:r>
      <w:r w:rsidRPr="000C0B5F" w:rsidR="00BA711E">
        <w:t>(</w:t>
      </w:r>
      <w:r w:rsidRPr="000C0B5F" w:rsidR="000E373E">
        <w:t xml:space="preserve">DC: </w:t>
      </w:r>
      <w:r w:rsidRPr="000C0B5F" w:rsidR="00BB5F47">
        <w:t>$</w:t>
      </w:r>
      <w:r w:rsidRPr="000C0B5F" w:rsidR="00B83F5C">
        <w:t>5</w:t>
      </w:r>
      <w:r w:rsidRPr="000C0B5F" w:rsidR="00BA711E">
        <w:t>2.70</w:t>
      </w:r>
      <w:r w:rsidRPr="000C0B5F" w:rsidR="000E373E">
        <w:t>,</w:t>
      </w:r>
      <w:r w:rsidRPr="000C0B5F" w:rsidR="00BB5F47">
        <w:t xml:space="preserve"> </w:t>
      </w:r>
      <w:r w:rsidRPr="000C0B5F" w:rsidR="000E373E">
        <w:t>Rest of US: $</w:t>
      </w:r>
      <w:r w:rsidRPr="000C0B5F" w:rsidR="0065257F">
        <w:t>46.05</w:t>
      </w:r>
      <w:r w:rsidRPr="000C0B5F" w:rsidR="00BB5F47">
        <w:t>)</w:t>
      </w:r>
      <w:r w:rsidRPr="000C0B5F" w:rsidR="00644925">
        <w:t xml:space="preserve">. </w:t>
      </w:r>
      <w:r w:rsidRPr="000C0B5F">
        <w:t xml:space="preserve">The multiplier of 1.6 was obtained from </w:t>
      </w:r>
      <w:r w:rsidRPr="000C0B5F">
        <w:t xml:space="preserve">the Agency’s ICR Handbook. 27 report reviews are used for this calculation, because one of the 28 respondents has obtained a permanent waiver from annual reporting. </w:t>
      </w:r>
    </w:p>
    <w:p w:rsidR="00A81808" w:rsidRPr="000C0B5F" w:rsidP="008334C2" w14:paraId="6F084BDC" w14:textId="633464DF">
      <w:pPr>
        <w:spacing w:line="276" w:lineRule="auto"/>
      </w:pPr>
      <w:r w:rsidRPr="000C0B5F">
        <w:t>For non</w:t>
      </w:r>
      <w:r w:rsidRPr="000C0B5F" w:rsidR="00124AAC">
        <w:t>-</w:t>
      </w:r>
      <w:r w:rsidRPr="000C0B5F">
        <w:t xml:space="preserve">conventional subpart W facilities, burden to the EPA is due to both reviewing submissions by the regulated community to ensure that they meet the requirements of the regulations, as well as continuing maintenance of the SWIPR system for electronic submittal of digital photographs documenting the liquid level in non-conventional impoundments. Since the Agency reviews the design and construction records of impoundments at the time of the initial application, the Agency does not revisit those records routinely and there is no annual burden to the Agency associated with those records being maintained at the facility. </w:t>
      </w:r>
    </w:p>
    <w:p w:rsidR="00BB3410" w:rsidRPr="000C0B5F" w:rsidP="008334C2" w14:paraId="5BA12778" w14:textId="3A77463D">
      <w:pPr>
        <w:spacing w:line="276" w:lineRule="auto"/>
      </w:pPr>
      <w:r w:rsidRPr="000C0B5F">
        <w:t xml:space="preserve">Uranium recovery facilities in the respondent universe are in EPA Regions </w:t>
      </w:r>
      <w:r w:rsidRPr="000C0B5F" w:rsidR="00923311">
        <w:t xml:space="preserve">6, </w:t>
      </w:r>
      <w:r w:rsidRPr="000C0B5F">
        <w:t>7</w:t>
      </w:r>
      <w:r w:rsidRPr="000C0B5F" w:rsidR="00923311">
        <w:t>,</w:t>
      </w:r>
      <w:r w:rsidRPr="000C0B5F">
        <w:t xml:space="preserve"> </w:t>
      </w:r>
      <w:r w:rsidRPr="000C0B5F" w:rsidR="00923311">
        <w:t xml:space="preserve">8, </w:t>
      </w:r>
      <w:r w:rsidRPr="000C0B5F">
        <w:t xml:space="preserve">and </w:t>
      </w:r>
      <w:r w:rsidRPr="000C0B5F" w:rsidR="00923311">
        <w:t>9</w:t>
      </w:r>
      <w:r w:rsidRPr="000C0B5F">
        <w:t>, so the average locality pay for those locations was used (</w:t>
      </w:r>
      <w:r w:rsidRPr="000C0B5F" w:rsidR="00B30B4B">
        <w:t xml:space="preserve">Dallas, TX, </w:t>
      </w:r>
      <w:r w:rsidRPr="000C0B5F">
        <w:t>Lenexa, KS</w:t>
      </w:r>
      <w:r w:rsidRPr="000C0B5F" w:rsidR="00702188">
        <w:t xml:space="preserve">, </w:t>
      </w:r>
      <w:r w:rsidRPr="000C0B5F">
        <w:t>and Denver, CO</w:t>
      </w:r>
      <w:r w:rsidRPr="000C0B5F" w:rsidR="00923311">
        <w:t>, and San Francisco, CA</w:t>
      </w:r>
      <w:r w:rsidRPr="000C0B5F">
        <w:t xml:space="preserve">). </w:t>
      </w:r>
      <w:r w:rsidRPr="000C0B5F" w:rsidR="0074708F">
        <w:t xml:space="preserve">This </w:t>
      </w:r>
      <w:r w:rsidRPr="000C0B5F" w:rsidR="00C6761E">
        <w:t xml:space="preserve">was changed from the </w:t>
      </w:r>
      <w:r w:rsidRPr="000C0B5F" w:rsidR="00730D00">
        <w:t>previous ICR in 202</w:t>
      </w:r>
      <w:r w:rsidRPr="000C0B5F" w:rsidR="00003AC2">
        <w:t>3</w:t>
      </w:r>
      <w:r w:rsidRPr="000C0B5F" w:rsidR="00730D00">
        <w:t xml:space="preserve"> and the </w:t>
      </w:r>
      <w:r w:rsidRPr="000C0B5F" w:rsidR="0033558D">
        <w:t>1</w:t>
      </w:r>
      <w:r w:rsidRPr="000C0B5F" w:rsidR="0033558D">
        <w:rPr>
          <w:rStyle w:val="CommentReference"/>
          <w:sz w:val="22"/>
          <w:szCs w:val="22"/>
          <w:vertAlign w:val="superscript"/>
        </w:rPr>
        <w:t>st</w:t>
      </w:r>
      <w:r w:rsidRPr="000C0B5F" w:rsidR="0033558D">
        <w:rPr>
          <w:rStyle w:val="CommentReference"/>
          <w:sz w:val="22"/>
          <w:szCs w:val="22"/>
        </w:rPr>
        <w:t xml:space="preserve"> version </w:t>
      </w:r>
      <w:r w:rsidRPr="000C0B5F" w:rsidR="00D14149">
        <w:rPr>
          <w:rStyle w:val="CommentReference"/>
          <w:sz w:val="22"/>
          <w:szCs w:val="22"/>
        </w:rPr>
        <w:t xml:space="preserve">published for </w:t>
      </w:r>
      <w:r w:rsidRPr="000C0B5F" w:rsidR="00D6373C">
        <w:rPr>
          <w:rStyle w:val="CommentReference"/>
          <w:sz w:val="22"/>
          <w:szCs w:val="22"/>
        </w:rPr>
        <w:t xml:space="preserve">public comment based on the </w:t>
      </w:r>
      <w:r w:rsidRPr="000C0B5F" w:rsidR="0074784B">
        <w:rPr>
          <w:rStyle w:val="CommentReference"/>
          <w:sz w:val="22"/>
          <w:szCs w:val="22"/>
        </w:rPr>
        <w:t xml:space="preserve">potential for new subpart W facilities to come online in EPA Regions 6 (New Mexico) and </w:t>
      </w:r>
      <w:r w:rsidRPr="000C0B5F" w:rsidR="00153D68">
        <w:rPr>
          <w:rStyle w:val="CommentReference"/>
          <w:sz w:val="22"/>
          <w:szCs w:val="22"/>
        </w:rPr>
        <w:t xml:space="preserve">9 (Arizona). </w:t>
      </w:r>
      <w:r w:rsidRPr="000C0B5F">
        <w:t xml:space="preserve">The data for review of reports for compliance was based on the </w:t>
      </w:r>
      <w:r w:rsidRPr="000C0B5F" w:rsidR="00835105">
        <w:t xml:space="preserve">2025 </w:t>
      </w:r>
      <w:r w:rsidRPr="000C0B5F">
        <w:t>salary scale for GS-13, step 5, with a multiplier of 1.6 to include overhead; this resulted in $</w:t>
      </w:r>
      <w:r w:rsidRPr="000C0B5F" w:rsidR="00BC6413">
        <w:t>10</w:t>
      </w:r>
      <w:r w:rsidRPr="000C0B5F" w:rsidR="00AC408A">
        <w:t>3.02</w:t>
      </w:r>
      <w:r w:rsidRPr="000C0B5F" w:rsidR="00A66160">
        <w:t>/</w:t>
      </w:r>
      <w:r w:rsidRPr="000C0B5F">
        <w:t>hr. For the Clerical category, the salary scale for a</w:t>
      </w:r>
      <w:r w:rsidRPr="000C0B5F" w:rsidR="00126BA2">
        <w:t xml:space="preserve"> 2025</w:t>
      </w:r>
      <w:r w:rsidRPr="000C0B5F">
        <w:t xml:space="preserve"> GS-9, step 5</w:t>
      </w:r>
      <w:r w:rsidRPr="000C0B5F" w:rsidR="000406F5">
        <w:t xml:space="preserve"> in each of the four aforementioned cities</w:t>
      </w:r>
      <w:r w:rsidRPr="000C0B5F">
        <w:t xml:space="preserve"> </w:t>
      </w:r>
      <w:r w:rsidRPr="000C0B5F" w:rsidR="00AF6ED5">
        <w:t>were</w:t>
      </w:r>
      <w:r w:rsidRPr="000C0B5F">
        <w:t xml:space="preserve"> </w:t>
      </w:r>
      <w:r w:rsidRPr="000C0B5F" w:rsidR="00982BBB">
        <w:t>combined, then averaged, then</w:t>
      </w:r>
      <w:r w:rsidRPr="000C0B5F">
        <w:t xml:space="preserve"> a multiplier of 1.6 </w:t>
      </w:r>
      <w:r w:rsidRPr="000C0B5F" w:rsidR="00601282">
        <w:t xml:space="preserve">was used </w:t>
      </w:r>
      <w:r w:rsidRPr="000C0B5F">
        <w:t>to account for overhead; this resulted in $</w:t>
      </w:r>
      <w:r w:rsidRPr="000C0B5F" w:rsidR="00126BA2">
        <w:t>94.91</w:t>
      </w:r>
      <w:r w:rsidRPr="000C0B5F">
        <w:t xml:space="preserve">/hr. In addition, development and maintenance of the system for electronic submittal of digital photographs is estimated to involve a </w:t>
      </w:r>
      <w:r w:rsidRPr="000C0B5F" w:rsidR="00A63E8A">
        <w:t xml:space="preserve">2025 </w:t>
      </w:r>
      <w:r w:rsidRPr="000C0B5F">
        <w:t>GS-14, step 1, using locality pay for Washington, D.C. Using the 1.6 multiplier, this resulted in $109.</w:t>
      </w:r>
      <w:r w:rsidRPr="000C0B5F" w:rsidR="008401F6">
        <w:t>23</w:t>
      </w:r>
      <w:r w:rsidRPr="000C0B5F">
        <w:t xml:space="preserve">/hr. </w:t>
      </w:r>
    </w:p>
    <w:p w:rsidR="127FC004" w:rsidRPr="000C0B5F" w:rsidP="202B8EFF" w14:paraId="6D43D9B2" w14:textId="0072B660">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rPr>
          <w:b/>
          <w:bCs/>
        </w:rPr>
      </w:pPr>
      <w:r w:rsidRPr="000C0B5F">
        <w:rPr>
          <w:b/>
          <w:bCs/>
        </w:rPr>
        <w:t xml:space="preserve">Table </w:t>
      </w:r>
      <w:r w:rsidRPr="000C0B5F" w:rsidR="00E45BF3">
        <w:rPr>
          <w:b/>
          <w:bCs/>
        </w:rPr>
        <w:t>1</w:t>
      </w:r>
      <w:r w:rsidRPr="000C0B5F" w:rsidR="00DE6FFE">
        <w:rPr>
          <w:b/>
          <w:bCs/>
        </w:rPr>
        <w:t>7</w:t>
      </w:r>
      <w:r w:rsidRPr="000C0B5F">
        <w:rPr>
          <w:b/>
          <w:bCs/>
        </w:rPr>
        <w:t xml:space="preserve">: </w:t>
      </w:r>
      <w:r w:rsidRPr="000C0B5F" w:rsidR="00602349">
        <w:rPr>
          <w:b/>
          <w:bCs/>
        </w:rPr>
        <w:t>Subparts B, R and W (conventional)</w:t>
      </w:r>
    </w:p>
    <w:tbl>
      <w:tblPr>
        <w:tblW w:w="8780" w:type="dxa"/>
        <w:tblLook w:val="04A0"/>
      </w:tblPr>
      <w:tblGrid>
        <w:gridCol w:w="3220"/>
        <w:gridCol w:w="1458"/>
        <w:gridCol w:w="1458"/>
        <w:gridCol w:w="1340"/>
        <w:gridCol w:w="1304"/>
      </w:tblGrid>
      <w:tr w14:paraId="50C97DC0" w14:textId="77777777" w:rsidTr="00FC6893">
        <w:tblPrEx>
          <w:tblW w:w="8780" w:type="dxa"/>
          <w:tblLook w:val="04A0"/>
        </w:tblPrEx>
        <w:trPr>
          <w:trHeight w:val="876"/>
        </w:trPr>
        <w:tc>
          <w:tcPr>
            <w:tcW w:w="3420" w:type="dxa"/>
            <w:tcBorders>
              <w:top w:val="single" w:sz="12" w:space="0" w:color="auto"/>
              <w:left w:val="single" w:sz="12" w:space="0" w:color="auto"/>
              <w:bottom w:val="single" w:sz="12" w:space="0" w:color="auto"/>
              <w:right w:val="single" w:sz="12" w:space="0" w:color="auto"/>
            </w:tcBorders>
            <w:vAlign w:val="bottom"/>
            <w:hideMark/>
          </w:tcPr>
          <w:p w:rsidR="00E25C17" w:rsidRPr="000C0B5F" w:rsidP="00E25C17" w14:paraId="0D119DBC" w14:textId="77777777">
            <w:pPr>
              <w:spacing w:after="0" w:line="240" w:lineRule="auto"/>
              <w:rPr>
                <w:rFonts w:ascii="Calibri" w:eastAsia="Times New Roman" w:hAnsi="Calibri" w:cs="Calibri"/>
                <w:b/>
                <w:bCs/>
                <w:color w:val="000000"/>
              </w:rPr>
            </w:pPr>
            <w:r w:rsidRPr="000C0B5F">
              <w:rPr>
                <w:rFonts w:ascii="Calibri" w:eastAsia="Times New Roman" w:hAnsi="Calibri" w:cs="Calibri"/>
                <w:b/>
                <w:bCs/>
                <w:color w:val="000000"/>
              </w:rPr>
              <w:t>Agency Activity</w:t>
            </w:r>
          </w:p>
        </w:tc>
        <w:tc>
          <w:tcPr>
            <w:tcW w:w="1340" w:type="dxa"/>
            <w:tcBorders>
              <w:top w:val="single" w:sz="12" w:space="0" w:color="auto"/>
              <w:left w:val="single" w:sz="12" w:space="0" w:color="auto"/>
              <w:bottom w:val="single" w:sz="12" w:space="0" w:color="auto"/>
              <w:right w:val="single" w:sz="12" w:space="0" w:color="auto"/>
            </w:tcBorders>
            <w:vAlign w:val="bottom"/>
            <w:hideMark/>
          </w:tcPr>
          <w:p w:rsidR="00E25C17" w:rsidRPr="000C0B5F" w:rsidP="00E25C17" w14:paraId="77DCFE33" w14:textId="77777777">
            <w:pPr>
              <w:spacing w:after="0" w:line="240" w:lineRule="auto"/>
              <w:rPr>
                <w:rFonts w:ascii="Calibri" w:eastAsia="Times New Roman" w:hAnsi="Calibri" w:cs="Calibri"/>
                <w:b/>
                <w:bCs/>
                <w:color w:val="000000"/>
              </w:rPr>
            </w:pPr>
            <w:r w:rsidRPr="000C0B5F">
              <w:rPr>
                <w:rFonts w:ascii="Calibri" w:eastAsia="Times New Roman" w:hAnsi="Calibri" w:cs="Calibri"/>
                <w:b/>
                <w:bCs/>
                <w:color w:val="000000"/>
              </w:rPr>
              <w:t>Capital/Start-up Burden Hours</w:t>
            </w:r>
          </w:p>
        </w:tc>
        <w:tc>
          <w:tcPr>
            <w:tcW w:w="1340" w:type="dxa"/>
            <w:tcBorders>
              <w:top w:val="single" w:sz="12" w:space="0" w:color="auto"/>
              <w:left w:val="single" w:sz="12" w:space="0" w:color="auto"/>
              <w:bottom w:val="single" w:sz="12" w:space="0" w:color="auto"/>
              <w:right w:val="single" w:sz="12" w:space="0" w:color="auto"/>
            </w:tcBorders>
            <w:vAlign w:val="bottom"/>
            <w:hideMark/>
          </w:tcPr>
          <w:p w:rsidR="00E25C17" w:rsidRPr="000C0B5F" w:rsidP="00E25C17" w14:paraId="7410E09D" w14:textId="77777777">
            <w:pPr>
              <w:spacing w:after="0" w:line="240" w:lineRule="auto"/>
              <w:rPr>
                <w:rFonts w:ascii="Calibri" w:eastAsia="Times New Roman" w:hAnsi="Calibri" w:cs="Calibri"/>
                <w:b/>
                <w:bCs/>
                <w:color w:val="000000"/>
              </w:rPr>
            </w:pPr>
            <w:r w:rsidRPr="000C0B5F">
              <w:rPr>
                <w:rFonts w:ascii="Calibri" w:eastAsia="Times New Roman" w:hAnsi="Calibri" w:cs="Calibri"/>
                <w:b/>
                <w:bCs/>
                <w:color w:val="000000"/>
              </w:rPr>
              <w:t>Capital/Start-up Cost</w:t>
            </w:r>
          </w:p>
        </w:tc>
        <w:tc>
          <w:tcPr>
            <w:tcW w:w="1340" w:type="dxa"/>
            <w:tcBorders>
              <w:top w:val="single" w:sz="12" w:space="0" w:color="auto"/>
              <w:left w:val="single" w:sz="12" w:space="0" w:color="auto"/>
              <w:bottom w:val="single" w:sz="12" w:space="0" w:color="auto"/>
              <w:right w:val="single" w:sz="12" w:space="0" w:color="auto"/>
            </w:tcBorders>
            <w:vAlign w:val="bottom"/>
            <w:hideMark/>
          </w:tcPr>
          <w:p w:rsidR="00E25C17" w:rsidRPr="000C0B5F" w:rsidP="00E25C17" w14:paraId="4685CB10" w14:textId="77777777">
            <w:pPr>
              <w:spacing w:after="0" w:line="240" w:lineRule="auto"/>
              <w:rPr>
                <w:rFonts w:ascii="Calibri" w:eastAsia="Times New Roman" w:hAnsi="Calibri" w:cs="Calibri"/>
                <w:b/>
                <w:bCs/>
                <w:color w:val="000000"/>
              </w:rPr>
            </w:pPr>
            <w:r w:rsidRPr="000C0B5F">
              <w:rPr>
                <w:rFonts w:ascii="Calibri" w:eastAsia="Times New Roman" w:hAnsi="Calibri" w:cs="Calibri"/>
                <w:b/>
                <w:bCs/>
                <w:color w:val="000000"/>
              </w:rPr>
              <w:t>Annual Burden Hrs per Report</w:t>
            </w:r>
          </w:p>
        </w:tc>
        <w:tc>
          <w:tcPr>
            <w:tcW w:w="1340" w:type="dxa"/>
            <w:tcBorders>
              <w:top w:val="single" w:sz="12" w:space="0" w:color="auto"/>
              <w:left w:val="single" w:sz="12" w:space="0" w:color="auto"/>
              <w:bottom w:val="single" w:sz="12" w:space="0" w:color="auto"/>
              <w:right w:val="single" w:sz="12" w:space="0" w:color="auto"/>
            </w:tcBorders>
            <w:vAlign w:val="bottom"/>
            <w:hideMark/>
          </w:tcPr>
          <w:p w:rsidR="00E25C17" w:rsidRPr="000C0B5F" w:rsidP="00E25C17" w14:paraId="15CC1189" w14:textId="77777777">
            <w:pPr>
              <w:spacing w:after="0" w:line="240" w:lineRule="auto"/>
              <w:rPr>
                <w:rFonts w:ascii="Calibri" w:eastAsia="Times New Roman" w:hAnsi="Calibri" w:cs="Calibri"/>
                <w:b/>
                <w:bCs/>
                <w:color w:val="000000"/>
              </w:rPr>
            </w:pPr>
            <w:r w:rsidRPr="000C0B5F">
              <w:rPr>
                <w:rFonts w:ascii="Calibri" w:eastAsia="Times New Roman" w:hAnsi="Calibri" w:cs="Calibri"/>
                <w:b/>
                <w:bCs/>
                <w:color w:val="000000"/>
              </w:rPr>
              <w:t>Annual Costs per Report</w:t>
            </w:r>
          </w:p>
        </w:tc>
      </w:tr>
      <w:tr w14:paraId="0D2FD2BB" w14:textId="77777777" w:rsidTr="00FC6893">
        <w:tblPrEx>
          <w:tblW w:w="8780" w:type="dxa"/>
          <w:tblLook w:val="04A0"/>
        </w:tblPrEx>
        <w:trPr>
          <w:trHeight w:val="576"/>
        </w:trPr>
        <w:tc>
          <w:tcPr>
            <w:tcW w:w="3420" w:type="dxa"/>
            <w:tcBorders>
              <w:top w:val="single" w:sz="12" w:space="0" w:color="auto"/>
              <w:left w:val="single" w:sz="12" w:space="0" w:color="auto"/>
              <w:bottom w:val="single" w:sz="4" w:space="0" w:color="auto"/>
              <w:right w:val="single" w:sz="4" w:space="0" w:color="auto"/>
            </w:tcBorders>
            <w:vAlign w:val="bottom"/>
            <w:hideMark/>
          </w:tcPr>
          <w:p w:rsidR="00E25C17" w:rsidRPr="000C0B5F" w:rsidP="00E25C17" w14:paraId="5CEA0571" w14:textId="77777777">
            <w:pPr>
              <w:spacing w:after="0" w:line="240" w:lineRule="auto"/>
              <w:rPr>
                <w:rFonts w:ascii="Calibri" w:eastAsia="Times New Roman" w:hAnsi="Calibri" w:cs="Calibri"/>
                <w:color w:val="000000"/>
              </w:rPr>
            </w:pPr>
            <w:r w:rsidRPr="000C0B5F">
              <w:rPr>
                <w:rFonts w:ascii="Calibri" w:eastAsia="Times New Roman" w:hAnsi="Calibri" w:cs="Calibri"/>
                <w:color w:val="000000"/>
              </w:rPr>
              <w:t>Review report for compliance verification (Technical)</w:t>
            </w:r>
          </w:p>
        </w:tc>
        <w:tc>
          <w:tcPr>
            <w:tcW w:w="1340" w:type="dxa"/>
            <w:tcBorders>
              <w:top w:val="single" w:sz="12" w:space="0" w:color="auto"/>
              <w:left w:val="nil"/>
              <w:bottom w:val="single" w:sz="4" w:space="0" w:color="auto"/>
              <w:right w:val="single" w:sz="4" w:space="0" w:color="auto"/>
            </w:tcBorders>
            <w:noWrap/>
            <w:vAlign w:val="bottom"/>
            <w:hideMark/>
          </w:tcPr>
          <w:p w:rsidR="00E25C17" w:rsidRPr="000C0B5F" w:rsidP="00E25C17" w14:paraId="18DF9FF6" w14:textId="77777777">
            <w:pPr>
              <w:spacing w:after="0" w:line="240" w:lineRule="auto"/>
              <w:jc w:val="center"/>
              <w:rPr>
                <w:rFonts w:ascii="Calibri" w:eastAsia="Times New Roman" w:hAnsi="Calibri" w:cs="Calibri"/>
                <w:color w:val="000000"/>
              </w:rPr>
            </w:pPr>
            <w:r w:rsidRPr="000C0B5F">
              <w:rPr>
                <w:rFonts w:ascii="Calibri" w:eastAsia="Times New Roman" w:hAnsi="Calibri" w:cs="Calibri"/>
                <w:color w:val="000000"/>
              </w:rPr>
              <w:t>0</w:t>
            </w:r>
          </w:p>
        </w:tc>
        <w:tc>
          <w:tcPr>
            <w:tcW w:w="1340" w:type="dxa"/>
            <w:tcBorders>
              <w:top w:val="single" w:sz="12" w:space="0" w:color="auto"/>
              <w:left w:val="nil"/>
              <w:bottom w:val="single" w:sz="4" w:space="0" w:color="auto"/>
              <w:right w:val="single" w:sz="4" w:space="0" w:color="auto"/>
            </w:tcBorders>
            <w:noWrap/>
            <w:vAlign w:val="bottom"/>
            <w:hideMark/>
          </w:tcPr>
          <w:p w:rsidR="00E25C17" w:rsidRPr="000C0B5F" w:rsidP="00E25C17" w14:paraId="56086706" w14:textId="77777777">
            <w:pPr>
              <w:spacing w:after="0" w:line="240" w:lineRule="auto"/>
              <w:jc w:val="center"/>
              <w:rPr>
                <w:rFonts w:ascii="Calibri" w:eastAsia="Times New Roman" w:hAnsi="Calibri" w:cs="Calibri"/>
                <w:color w:val="000000"/>
              </w:rPr>
            </w:pPr>
            <w:r w:rsidRPr="000C0B5F">
              <w:rPr>
                <w:rFonts w:ascii="Calibri" w:eastAsia="Times New Roman" w:hAnsi="Calibri" w:cs="Calibri"/>
                <w:color w:val="000000"/>
              </w:rPr>
              <w:t>0</w:t>
            </w:r>
          </w:p>
        </w:tc>
        <w:tc>
          <w:tcPr>
            <w:tcW w:w="1340" w:type="dxa"/>
            <w:tcBorders>
              <w:top w:val="single" w:sz="12" w:space="0" w:color="auto"/>
              <w:left w:val="nil"/>
              <w:bottom w:val="single" w:sz="4" w:space="0" w:color="auto"/>
              <w:right w:val="nil"/>
            </w:tcBorders>
            <w:noWrap/>
            <w:vAlign w:val="bottom"/>
            <w:hideMark/>
          </w:tcPr>
          <w:p w:rsidR="00E25C17" w:rsidRPr="000C0B5F" w:rsidP="00E25C17" w14:paraId="1B653609" w14:textId="77777777">
            <w:pPr>
              <w:spacing w:after="0" w:line="240" w:lineRule="auto"/>
              <w:jc w:val="center"/>
              <w:rPr>
                <w:rFonts w:ascii="Calibri" w:eastAsia="Times New Roman" w:hAnsi="Calibri" w:cs="Calibri"/>
                <w:color w:val="000000"/>
              </w:rPr>
            </w:pPr>
            <w:r w:rsidRPr="000C0B5F">
              <w:rPr>
                <w:rFonts w:ascii="Calibri" w:eastAsia="Times New Roman" w:hAnsi="Calibri" w:cs="Calibri"/>
                <w:color w:val="000000"/>
              </w:rPr>
              <w:t>6 @ $98</w:t>
            </w:r>
          </w:p>
        </w:tc>
        <w:tc>
          <w:tcPr>
            <w:tcW w:w="1340" w:type="dxa"/>
            <w:tcBorders>
              <w:top w:val="single" w:sz="12" w:space="0" w:color="auto"/>
              <w:left w:val="single" w:sz="8" w:space="0" w:color="auto"/>
              <w:bottom w:val="single" w:sz="4" w:space="0" w:color="auto"/>
              <w:right w:val="single" w:sz="8" w:space="0" w:color="auto"/>
            </w:tcBorders>
            <w:vAlign w:val="center"/>
            <w:hideMark/>
          </w:tcPr>
          <w:p w:rsidR="00E25C17" w:rsidRPr="000C0B5F" w:rsidP="00E25C17" w14:paraId="14D6BD7B" w14:textId="77777777">
            <w:pPr>
              <w:spacing w:after="0" w:line="240" w:lineRule="auto"/>
              <w:jc w:val="center"/>
              <w:rPr>
                <w:rFonts w:ascii="Calibri" w:eastAsia="Times New Roman" w:hAnsi="Calibri" w:cs="Calibri"/>
              </w:rPr>
            </w:pPr>
            <w:r w:rsidRPr="000C0B5F">
              <w:rPr>
                <w:rFonts w:ascii="Calibri" w:eastAsia="Times New Roman" w:hAnsi="Calibri" w:cs="Calibri"/>
              </w:rPr>
              <w:t>$588</w:t>
            </w:r>
          </w:p>
        </w:tc>
      </w:tr>
      <w:tr w14:paraId="18A49F42" w14:textId="77777777" w:rsidTr="00E25C17">
        <w:tblPrEx>
          <w:tblW w:w="8780" w:type="dxa"/>
          <w:tblLook w:val="04A0"/>
        </w:tblPrEx>
        <w:trPr>
          <w:trHeight w:val="312"/>
        </w:trPr>
        <w:tc>
          <w:tcPr>
            <w:tcW w:w="3420" w:type="dxa"/>
            <w:tcBorders>
              <w:top w:val="nil"/>
              <w:left w:val="single" w:sz="12" w:space="0" w:color="auto"/>
              <w:bottom w:val="single" w:sz="4" w:space="0" w:color="auto"/>
              <w:right w:val="single" w:sz="4" w:space="0" w:color="auto"/>
            </w:tcBorders>
            <w:vAlign w:val="bottom"/>
            <w:hideMark/>
          </w:tcPr>
          <w:p w:rsidR="00E25C17" w:rsidRPr="000C0B5F" w:rsidP="00E25C17" w14:paraId="7EB40880" w14:textId="77777777">
            <w:pPr>
              <w:spacing w:after="0" w:line="240" w:lineRule="auto"/>
              <w:rPr>
                <w:rFonts w:ascii="Calibri" w:eastAsia="Times New Roman" w:hAnsi="Calibri" w:cs="Calibri"/>
                <w:color w:val="000000"/>
              </w:rPr>
            </w:pPr>
            <w:r w:rsidRPr="000C0B5F">
              <w:rPr>
                <w:rFonts w:ascii="Calibri" w:eastAsia="Times New Roman" w:hAnsi="Calibri" w:cs="Calibri"/>
                <w:color w:val="000000"/>
              </w:rPr>
              <w:t>File reports (Clerical)</w:t>
            </w:r>
          </w:p>
        </w:tc>
        <w:tc>
          <w:tcPr>
            <w:tcW w:w="1340" w:type="dxa"/>
            <w:tcBorders>
              <w:top w:val="nil"/>
              <w:left w:val="nil"/>
              <w:bottom w:val="single" w:sz="4" w:space="0" w:color="auto"/>
              <w:right w:val="single" w:sz="4" w:space="0" w:color="auto"/>
            </w:tcBorders>
            <w:noWrap/>
            <w:vAlign w:val="bottom"/>
            <w:hideMark/>
          </w:tcPr>
          <w:p w:rsidR="00E25C17" w:rsidRPr="000C0B5F" w:rsidP="00E25C17" w14:paraId="5BB71C05" w14:textId="77777777">
            <w:pPr>
              <w:spacing w:after="0" w:line="240" w:lineRule="auto"/>
              <w:jc w:val="center"/>
              <w:rPr>
                <w:rFonts w:ascii="Calibri" w:eastAsia="Times New Roman" w:hAnsi="Calibri" w:cs="Calibri"/>
                <w:color w:val="000000"/>
              </w:rPr>
            </w:pPr>
            <w:r w:rsidRPr="000C0B5F">
              <w:rPr>
                <w:rFonts w:ascii="Calibri" w:eastAsia="Times New Roman" w:hAnsi="Calibri" w:cs="Calibri"/>
                <w:color w:val="000000"/>
              </w:rPr>
              <w:t>0</w:t>
            </w:r>
          </w:p>
        </w:tc>
        <w:tc>
          <w:tcPr>
            <w:tcW w:w="1340" w:type="dxa"/>
            <w:tcBorders>
              <w:top w:val="nil"/>
              <w:left w:val="nil"/>
              <w:bottom w:val="single" w:sz="4" w:space="0" w:color="auto"/>
              <w:right w:val="single" w:sz="4" w:space="0" w:color="auto"/>
            </w:tcBorders>
            <w:noWrap/>
            <w:vAlign w:val="bottom"/>
            <w:hideMark/>
          </w:tcPr>
          <w:p w:rsidR="00E25C17" w:rsidRPr="000C0B5F" w:rsidP="00E25C17" w14:paraId="1ABAE008" w14:textId="77777777">
            <w:pPr>
              <w:spacing w:after="0" w:line="240" w:lineRule="auto"/>
              <w:jc w:val="center"/>
              <w:rPr>
                <w:rFonts w:ascii="Calibri" w:eastAsia="Times New Roman" w:hAnsi="Calibri" w:cs="Calibri"/>
                <w:color w:val="000000"/>
              </w:rPr>
            </w:pPr>
            <w:r w:rsidRPr="000C0B5F">
              <w:rPr>
                <w:rFonts w:ascii="Calibri" w:eastAsia="Times New Roman" w:hAnsi="Calibri" w:cs="Calibri"/>
                <w:color w:val="000000"/>
              </w:rPr>
              <w:t>0</w:t>
            </w:r>
          </w:p>
        </w:tc>
        <w:tc>
          <w:tcPr>
            <w:tcW w:w="1340" w:type="dxa"/>
            <w:tcBorders>
              <w:top w:val="nil"/>
              <w:left w:val="nil"/>
              <w:bottom w:val="single" w:sz="4" w:space="0" w:color="auto"/>
              <w:right w:val="nil"/>
            </w:tcBorders>
            <w:noWrap/>
            <w:vAlign w:val="bottom"/>
            <w:hideMark/>
          </w:tcPr>
          <w:p w:rsidR="00E25C17" w:rsidRPr="000C0B5F" w:rsidP="00E25C17" w14:paraId="0E31622F" w14:textId="77777777">
            <w:pPr>
              <w:spacing w:after="0" w:line="240" w:lineRule="auto"/>
              <w:jc w:val="center"/>
              <w:rPr>
                <w:rFonts w:ascii="Calibri" w:eastAsia="Times New Roman" w:hAnsi="Calibri" w:cs="Calibri"/>
                <w:color w:val="000000"/>
              </w:rPr>
            </w:pPr>
            <w:r w:rsidRPr="000C0B5F">
              <w:rPr>
                <w:rFonts w:ascii="Calibri" w:eastAsia="Times New Roman" w:hAnsi="Calibri" w:cs="Calibri"/>
                <w:color w:val="000000"/>
              </w:rPr>
              <w:t>4 @ $57</w:t>
            </w:r>
          </w:p>
        </w:tc>
        <w:tc>
          <w:tcPr>
            <w:tcW w:w="1340" w:type="dxa"/>
            <w:tcBorders>
              <w:top w:val="nil"/>
              <w:left w:val="single" w:sz="8" w:space="0" w:color="auto"/>
              <w:bottom w:val="single" w:sz="4" w:space="0" w:color="auto"/>
              <w:right w:val="single" w:sz="8" w:space="0" w:color="auto"/>
            </w:tcBorders>
            <w:vAlign w:val="center"/>
            <w:hideMark/>
          </w:tcPr>
          <w:p w:rsidR="00E25C17" w:rsidRPr="000C0B5F" w:rsidP="00E25C17" w14:paraId="17905F4C" w14:textId="77777777">
            <w:pPr>
              <w:spacing w:after="0" w:line="240" w:lineRule="auto"/>
              <w:jc w:val="center"/>
              <w:rPr>
                <w:rFonts w:ascii="Calibri" w:eastAsia="Times New Roman" w:hAnsi="Calibri" w:cs="Calibri"/>
              </w:rPr>
            </w:pPr>
            <w:r w:rsidRPr="000C0B5F">
              <w:rPr>
                <w:rFonts w:ascii="Calibri" w:eastAsia="Times New Roman" w:hAnsi="Calibri" w:cs="Calibri"/>
              </w:rPr>
              <w:t>$228</w:t>
            </w:r>
          </w:p>
        </w:tc>
      </w:tr>
      <w:tr w14:paraId="19B65F76" w14:textId="77777777" w:rsidTr="00FC6893">
        <w:tblPrEx>
          <w:tblW w:w="8780" w:type="dxa"/>
          <w:tblLook w:val="04A0"/>
        </w:tblPrEx>
        <w:trPr>
          <w:trHeight w:val="324"/>
        </w:trPr>
        <w:tc>
          <w:tcPr>
            <w:tcW w:w="3420" w:type="dxa"/>
            <w:tcBorders>
              <w:top w:val="nil"/>
              <w:left w:val="single" w:sz="12" w:space="0" w:color="auto"/>
              <w:bottom w:val="single" w:sz="12" w:space="0" w:color="auto"/>
              <w:right w:val="single" w:sz="4" w:space="0" w:color="auto"/>
            </w:tcBorders>
            <w:vAlign w:val="bottom"/>
            <w:hideMark/>
          </w:tcPr>
          <w:p w:rsidR="00E25C17" w:rsidRPr="000C0B5F" w:rsidP="00E25C17" w14:paraId="7E7E66BD" w14:textId="77777777">
            <w:pPr>
              <w:spacing w:after="0" w:line="240" w:lineRule="auto"/>
              <w:rPr>
                <w:rFonts w:ascii="Calibri" w:eastAsia="Times New Roman" w:hAnsi="Calibri" w:cs="Calibri"/>
                <w:b/>
                <w:bCs/>
                <w:color w:val="000000"/>
              </w:rPr>
            </w:pPr>
            <w:r w:rsidRPr="000C0B5F">
              <w:rPr>
                <w:rFonts w:ascii="Calibri" w:eastAsia="Times New Roman" w:hAnsi="Calibri" w:cs="Calibri"/>
                <w:b/>
                <w:bCs/>
                <w:color w:val="000000"/>
              </w:rPr>
              <w:t>SUB-TOTAL</w:t>
            </w:r>
          </w:p>
        </w:tc>
        <w:tc>
          <w:tcPr>
            <w:tcW w:w="1340" w:type="dxa"/>
            <w:tcBorders>
              <w:top w:val="nil"/>
              <w:left w:val="nil"/>
              <w:bottom w:val="single" w:sz="12" w:space="0" w:color="auto"/>
              <w:right w:val="single" w:sz="4" w:space="0" w:color="auto"/>
            </w:tcBorders>
            <w:noWrap/>
            <w:vAlign w:val="bottom"/>
            <w:hideMark/>
          </w:tcPr>
          <w:p w:rsidR="00E25C17" w:rsidRPr="000C0B5F" w:rsidP="00E25C17" w14:paraId="5238509A" w14:textId="77777777">
            <w:pPr>
              <w:spacing w:after="0" w:line="240" w:lineRule="auto"/>
              <w:jc w:val="center"/>
              <w:rPr>
                <w:rFonts w:ascii="Calibri" w:eastAsia="Times New Roman" w:hAnsi="Calibri" w:cs="Calibri"/>
                <w:color w:val="000000"/>
              </w:rPr>
            </w:pPr>
            <w:r w:rsidRPr="000C0B5F">
              <w:rPr>
                <w:rFonts w:ascii="Calibri" w:eastAsia="Times New Roman" w:hAnsi="Calibri" w:cs="Calibri"/>
                <w:color w:val="000000"/>
              </w:rPr>
              <w:t>0</w:t>
            </w:r>
          </w:p>
        </w:tc>
        <w:tc>
          <w:tcPr>
            <w:tcW w:w="1340" w:type="dxa"/>
            <w:tcBorders>
              <w:top w:val="nil"/>
              <w:left w:val="nil"/>
              <w:bottom w:val="single" w:sz="12" w:space="0" w:color="auto"/>
              <w:right w:val="single" w:sz="4" w:space="0" w:color="auto"/>
            </w:tcBorders>
            <w:noWrap/>
            <w:vAlign w:val="bottom"/>
            <w:hideMark/>
          </w:tcPr>
          <w:p w:rsidR="00E25C17" w:rsidRPr="000C0B5F" w:rsidP="00E25C17" w14:paraId="55790C2B" w14:textId="77777777">
            <w:pPr>
              <w:spacing w:after="0" w:line="240" w:lineRule="auto"/>
              <w:jc w:val="center"/>
              <w:rPr>
                <w:rFonts w:ascii="Calibri" w:eastAsia="Times New Roman" w:hAnsi="Calibri" w:cs="Calibri"/>
                <w:color w:val="000000"/>
              </w:rPr>
            </w:pPr>
            <w:r w:rsidRPr="000C0B5F">
              <w:rPr>
                <w:rFonts w:ascii="Calibri" w:eastAsia="Times New Roman" w:hAnsi="Calibri" w:cs="Calibri"/>
                <w:color w:val="000000"/>
              </w:rPr>
              <w:t>0</w:t>
            </w:r>
          </w:p>
        </w:tc>
        <w:tc>
          <w:tcPr>
            <w:tcW w:w="1340" w:type="dxa"/>
            <w:tcBorders>
              <w:top w:val="nil"/>
              <w:left w:val="nil"/>
              <w:bottom w:val="single" w:sz="12" w:space="0" w:color="auto"/>
              <w:right w:val="nil"/>
            </w:tcBorders>
            <w:noWrap/>
            <w:vAlign w:val="bottom"/>
            <w:hideMark/>
          </w:tcPr>
          <w:p w:rsidR="00E25C17" w:rsidRPr="000C0B5F" w:rsidP="00E25C17" w14:paraId="1FD4C0DD" w14:textId="77777777">
            <w:pPr>
              <w:spacing w:after="0" w:line="240" w:lineRule="auto"/>
              <w:jc w:val="center"/>
              <w:rPr>
                <w:rFonts w:ascii="Calibri" w:eastAsia="Times New Roman" w:hAnsi="Calibri" w:cs="Calibri"/>
                <w:color w:val="000000"/>
              </w:rPr>
            </w:pPr>
            <w:r w:rsidRPr="000C0B5F">
              <w:rPr>
                <w:rFonts w:ascii="Calibri" w:eastAsia="Times New Roman" w:hAnsi="Calibri" w:cs="Calibri"/>
                <w:color w:val="000000"/>
              </w:rPr>
              <w:t>10</w:t>
            </w:r>
          </w:p>
        </w:tc>
        <w:tc>
          <w:tcPr>
            <w:tcW w:w="1340" w:type="dxa"/>
            <w:tcBorders>
              <w:top w:val="nil"/>
              <w:left w:val="single" w:sz="8" w:space="0" w:color="auto"/>
              <w:bottom w:val="single" w:sz="12" w:space="0" w:color="auto"/>
              <w:right w:val="single" w:sz="8" w:space="0" w:color="auto"/>
            </w:tcBorders>
            <w:vAlign w:val="center"/>
            <w:hideMark/>
          </w:tcPr>
          <w:p w:rsidR="00E25C17" w:rsidRPr="000C0B5F" w:rsidP="00E25C17" w14:paraId="3FF79FB3" w14:textId="77777777">
            <w:pPr>
              <w:spacing w:after="0" w:line="240" w:lineRule="auto"/>
              <w:jc w:val="center"/>
              <w:rPr>
                <w:rFonts w:ascii="Calibri" w:eastAsia="Times New Roman" w:hAnsi="Calibri" w:cs="Calibri"/>
              </w:rPr>
            </w:pPr>
            <w:r w:rsidRPr="000C0B5F">
              <w:rPr>
                <w:rFonts w:ascii="Calibri" w:eastAsia="Times New Roman" w:hAnsi="Calibri" w:cs="Calibri"/>
              </w:rPr>
              <w:t>$816</w:t>
            </w:r>
          </w:p>
        </w:tc>
      </w:tr>
      <w:tr w14:paraId="251DF31A" w14:textId="77777777" w:rsidTr="00287D38">
        <w:tblPrEx>
          <w:tblW w:w="8780" w:type="dxa"/>
          <w:tblLook w:val="04A0"/>
        </w:tblPrEx>
        <w:trPr>
          <w:trHeight w:val="336"/>
        </w:trPr>
        <w:tc>
          <w:tcPr>
            <w:tcW w:w="3420" w:type="dxa"/>
            <w:tcBorders>
              <w:top w:val="single" w:sz="12" w:space="0" w:color="auto"/>
              <w:left w:val="single" w:sz="12" w:space="0" w:color="auto"/>
              <w:bottom w:val="single" w:sz="12" w:space="0" w:color="auto"/>
              <w:right w:val="single" w:sz="12" w:space="0" w:color="auto"/>
            </w:tcBorders>
            <w:vAlign w:val="bottom"/>
            <w:hideMark/>
          </w:tcPr>
          <w:p w:rsidR="00E25C17" w:rsidRPr="000C0B5F" w:rsidP="00E25C17" w14:paraId="0478E5A6" w14:textId="77777777">
            <w:pPr>
              <w:spacing w:after="0" w:line="240" w:lineRule="auto"/>
              <w:rPr>
                <w:rFonts w:ascii="Calibri" w:eastAsia="Times New Roman" w:hAnsi="Calibri" w:cs="Calibri"/>
                <w:b/>
                <w:bCs/>
                <w:color w:val="000000"/>
              </w:rPr>
            </w:pPr>
            <w:r w:rsidRPr="000C0B5F">
              <w:rPr>
                <w:rFonts w:ascii="Calibri" w:eastAsia="Times New Roman" w:hAnsi="Calibri" w:cs="Calibri"/>
                <w:b/>
                <w:bCs/>
                <w:color w:val="000000"/>
              </w:rPr>
              <w:t>TOTAL for 28 report reviews</w:t>
            </w:r>
          </w:p>
        </w:tc>
        <w:tc>
          <w:tcPr>
            <w:tcW w:w="1340" w:type="dxa"/>
            <w:tcBorders>
              <w:top w:val="single" w:sz="12" w:space="0" w:color="auto"/>
              <w:left w:val="single" w:sz="12" w:space="0" w:color="auto"/>
              <w:bottom w:val="single" w:sz="12" w:space="0" w:color="auto"/>
              <w:right w:val="single" w:sz="12" w:space="0" w:color="auto"/>
            </w:tcBorders>
            <w:noWrap/>
            <w:vAlign w:val="bottom"/>
            <w:hideMark/>
          </w:tcPr>
          <w:p w:rsidR="00E25C17" w:rsidRPr="000C0B5F" w:rsidP="00E25C17" w14:paraId="2D0EB220" w14:textId="77777777">
            <w:pPr>
              <w:spacing w:after="0" w:line="240" w:lineRule="auto"/>
              <w:rPr>
                <w:rFonts w:ascii="Calibri" w:eastAsia="Times New Roman" w:hAnsi="Calibri" w:cs="Calibri"/>
                <w:b/>
                <w:bCs/>
                <w:color w:val="000000"/>
              </w:rPr>
            </w:pPr>
            <w:r w:rsidRPr="000C0B5F">
              <w:rPr>
                <w:rFonts w:ascii="Calibri" w:eastAsia="Times New Roman" w:hAnsi="Calibri" w:cs="Calibri"/>
                <w:b/>
                <w:bCs/>
                <w:color w:val="000000"/>
              </w:rPr>
              <w:t> </w:t>
            </w:r>
          </w:p>
        </w:tc>
        <w:tc>
          <w:tcPr>
            <w:tcW w:w="1340" w:type="dxa"/>
            <w:tcBorders>
              <w:top w:val="single" w:sz="12" w:space="0" w:color="auto"/>
              <w:left w:val="single" w:sz="12" w:space="0" w:color="auto"/>
              <w:bottom w:val="single" w:sz="12" w:space="0" w:color="auto"/>
              <w:right w:val="single" w:sz="12" w:space="0" w:color="auto"/>
            </w:tcBorders>
            <w:noWrap/>
            <w:vAlign w:val="bottom"/>
            <w:hideMark/>
          </w:tcPr>
          <w:p w:rsidR="00E25C17" w:rsidRPr="000C0B5F" w:rsidP="00E25C17" w14:paraId="27D43E88" w14:textId="77777777">
            <w:pPr>
              <w:spacing w:after="0" w:line="240" w:lineRule="auto"/>
              <w:rPr>
                <w:rFonts w:ascii="Calibri" w:eastAsia="Times New Roman" w:hAnsi="Calibri" w:cs="Calibri"/>
                <w:b/>
                <w:bCs/>
                <w:color w:val="000000"/>
              </w:rPr>
            </w:pPr>
            <w:r w:rsidRPr="000C0B5F">
              <w:rPr>
                <w:rFonts w:ascii="Calibri" w:eastAsia="Times New Roman" w:hAnsi="Calibri" w:cs="Calibri"/>
                <w:b/>
                <w:bCs/>
                <w:color w:val="000000"/>
              </w:rPr>
              <w:t> </w:t>
            </w:r>
          </w:p>
        </w:tc>
        <w:tc>
          <w:tcPr>
            <w:tcW w:w="1340" w:type="dxa"/>
            <w:tcBorders>
              <w:top w:val="single" w:sz="12" w:space="0" w:color="auto"/>
              <w:left w:val="single" w:sz="12" w:space="0" w:color="auto"/>
              <w:bottom w:val="single" w:sz="12" w:space="0" w:color="auto"/>
              <w:right w:val="single" w:sz="12" w:space="0" w:color="auto"/>
            </w:tcBorders>
            <w:noWrap/>
            <w:vAlign w:val="bottom"/>
            <w:hideMark/>
          </w:tcPr>
          <w:p w:rsidR="00E25C17" w:rsidRPr="000C0B5F" w:rsidP="00E25C17" w14:paraId="146FB722" w14:textId="77777777">
            <w:pPr>
              <w:spacing w:after="0" w:line="240" w:lineRule="auto"/>
              <w:jc w:val="center"/>
              <w:rPr>
                <w:rFonts w:ascii="Calibri" w:eastAsia="Times New Roman" w:hAnsi="Calibri" w:cs="Calibri"/>
                <w:b/>
                <w:bCs/>
                <w:color w:val="000000"/>
              </w:rPr>
            </w:pPr>
            <w:r w:rsidRPr="000C0B5F">
              <w:rPr>
                <w:rFonts w:ascii="Calibri" w:eastAsia="Times New Roman" w:hAnsi="Calibri" w:cs="Calibri"/>
                <w:b/>
                <w:bCs/>
                <w:color w:val="000000"/>
              </w:rPr>
              <w:t>280</w:t>
            </w:r>
          </w:p>
        </w:tc>
        <w:tc>
          <w:tcPr>
            <w:tcW w:w="1340" w:type="dxa"/>
            <w:tcBorders>
              <w:top w:val="single" w:sz="12" w:space="0" w:color="auto"/>
              <w:left w:val="single" w:sz="12" w:space="0" w:color="auto"/>
              <w:bottom w:val="single" w:sz="12" w:space="0" w:color="auto"/>
              <w:right w:val="single" w:sz="12" w:space="0" w:color="auto"/>
            </w:tcBorders>
            <w:vAlign w:val="center"/>
            <w:hideMark/>
          </w:tcPr>
          <w:p w:rsidR="00E25C17" w:rsidRPr="000C0B5F" w:rsidP="00E25C17" w14:paraId="1CD15105" w14:textId="77777777">
            <w:pPr>
              <w:spacing w:after="0" w:line="240" w:lineRule="auto"/>
              <w:jc w:val="center"/>
              <w:rPr>
                <w:rFonts w:ascii="Calibri" w:eastAsia="Times New Roman" w:hAnsi="Calibri" w:cs="Calibri"/>
                <w:b/>
                <w:bCs/>
              </w:rPr>
            </w:pPr>
            <w:r w:rsidRPr="000C0B5F">
              <w:rPr>
                <w:rFonts w:ascii="Calibri" w:eastAsia="Times New Roman" w:hAnsi="Calibri" w:cs="Calibri"/>
                <w:b/>
                <w:bCs/>
              </w:rPr>
              <w:t>$22,848</w:t>
            </w:r>
          </w:p>
        </w:tc>
      </w:tr>
    </w:tbl>
    <w:p w:rsidR="00500D91" w:rsidRPr="000C0B5F" w:rsidP="202B8EFF" w14:paraId="4C90F6DD" w14:textId="77777777">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rPr>
          <w:rFonts w:cstheme="minorBidi"/>
          <w:b/>
          <w:bCs/>
        </w:rPr>
        <w:sectPr w:rsidSect="00621249">
          <w:pgSz w:w="12240" w:h="15840"/>
          <w:pgMar w:top="1440" w:right="1440" w:bottom="1440" w:left="1440" w:header="720" w:footer="720" w:gutter="0"/>
          <w:cols w:space="720"/>
          <w:docGrid w:linePitch="360"/>
        </w:sectPr>
      </w:pPr>
    </w:p>
    <w:p w:rsidR="00336C20" w:rsidRPr="000C0B5F" w:rsidP="202B8EFF" w14:paraId="73CED18F" w14:textId="4E855C6C">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rPr>
          <w:rFonts w:cstheme="minorBidi"/>
          <w:b/>
          <w:bCs/>
        </w:rPr>
      </w:pPr>
      <w:r w:rsidRPr="000C0B5F">
        <w:rPr>
          <w:rFonts w:cstheme="minorBidi"/>
          <w:b/>
          <w:bCs/>
        </w:rPr>
        <w:t xml:space="preserve">Table </w:t>
      </w:r>
      <w:r w:rsidRPr="000C0B5F" w:rsidR="00E45BF3">
        <w:rPr>
          <w:rFonts w:cstheme="minorBidi"/>
          <w:b/>
          <w:bCs/>
        </w:rPr>
        <w:t>1</w:t>
      </w:r>
      <w:r w:rsidRPr="000C0B5F" w:rsidR="009E6781">
        <w:rPr>
          <w:rFonts w:cstheme="minorBidi"/>
          <w:b/>
          <w:bCs/>
        </w:rPr>
        <w:t>8</w:t>
      </w:r>
      <w:r w:rsidRPr="000C0B5F">
        <w:rPr>
          <w:rFonts w:cstheme="minorBidi"/>
          <w:b/>
          <w:bCs/>
        </w:rPr>
        <w:t xml:space="preserve">: </w:t>
      </w:r>
      <w:r w:rsidRPr="000C0B5F">
        <w:rPr>
          <w:rFonts w:cstheme="minorBidi"/>
          <w:b/>
          <w:bCs/>
        </w:rPr>
        <w:t>Subparts W (non</w:t>
      </w:r>
      <w:r w:rsidRPr="000C0B5F" w:rsidR="00B23F96">
        <w:rPr>
          <w:rFonts w:cstheme="minorBidi"/>
          <w:b/>
          <w:bCs/>
        </w:rPr>
        <w:t>-</w:t>
      </w:r>
      <w:r w:rsidRPr="000C0B5F">
        <w:rPr>
          <w:rFonts w:cstheme="minorBidi"/>
          <w:b/>
          <w:bCs/>
        </w:rPr>
        <w:t>conventional)</w:t>
      </w:r>
    </w:p>
    <w:tbl>
      <w:tblPr>
        <w:tblW w:w="7740" w:type="dxa"/>
        <w:tblLook w:val="04A0"/>
      </w:tblPr>
      <w:tblGrid>
        <w:gridCol w:w="2464"/>
        <w:gridCol w:w="1437"/>
        <w:gridCol w:w="965"/>
        <w:gridCol w:w="1437"/>
        <w:gridCol w:w="1437"/>
      </w:tblGrid>
      <w:tr w14:paraId="34DDE1BE" w14:textId="77777777" w:rsidTr="00665360">
        <w:tblPrEx>
          <w:tblW w:w="7740" w:type="dxa"/>
          <w:tblLook w:val="04A0"/>
        </w:tblPrEx>
        <w:trPr>
          <w:trHeight w:val="1176"/>
        </w:trPr>
        <w:tc>
          <w:tcPr>
            <w:tcW w:w="2400" w:type="dxa"/>
            <w:tcBorders>
              <w:top w:val="single" w:sz="12" w:space="0" w:color="auto"/>
              <w:left w:val="single" w:sz="12" w:space="0" w:color="auto"/>
              <w:bottom w:val="single" w:sz="12" w:space="0" w:color="auto"/>
              <w:right w:val="single" w:sz="12" w:space="0" w:color="auto"/>
            </w:tcBorders>
            <w:vAlign w:val="center"/>
            <w:hideMark/>
          </w:tcPr>
          <w:p w:rsidR="00665360" w:rsidRPr="000C0B5F" w:rsidP="00665360" w14:paraId="7DC87456" w14:textId="77777777">
            <w:pPr>
              <w:spacing w:after="0" w:line="240" w:lineRule="auto"/>
              <w:rPr>
                <w:rFonts w:ascii="Calibri" w:eastAsia="Times New Roman" w:hAnsi="Calibri" w:cs="Calibri"/>
                <w:b/>
                <w:bCs/>
                <w:color w:val="000000"/>
              </w:rPr>
            </w:pPr>
            <w:r w:rsidRPr="000C0B5F">
              <w:rPr>
                <w:rFonts w:ascii="Calibri" w:eastAsia="Times New Roman" w:hAnsi="Calibri" w:cs="Calibri"/>
                <w:b/>
                <w:bCs/>
                <w:color w:val="000000"/>
              </w:rPr>
              <w:t>Agency Burden</w:t>
            </w:r>
          </w:p>
        </w:tc>
        <w:tc>
          <w:tcPr>
            <w:tcW w:w="1400" w:type="dxa"/>
            <w:tcBorders>
              <w:top w:val="single" w:sz="12" w:space="0" w:color="auto"/>
              <w:left w:val="nil"/>
              <w:bottom w:val="single" w:sz="12" w:space="0" w:color="auto"/>
              <w:right w:val="single" w:sz="4" w:space="0" w:color="auto"/>
            </w:tcBorders>
            <w:vAlign w:val="center"/>
            <w:hideMark/>
          </w:tcPr>
          <w:p w:rsidR="00665360" w:rsidRPr="000C0B5F" w:rsidP="00665360" w14:paraId="0E23FDDB" w14:textId="77777777">
            <w:pPr>
              <w:spacing w:after="0" w:line="240" w:lineRule="auto"/>
              <w:rPr>
                <w:rFonts w:ascii="Calibri" w:eastAsia="Times New Roman" w:hAnsi="Calibri" w:cs="Calibri"/>
                <w:b/>
                <w:bCs/>
                <w:color w:val="000000"/>
              </w:rPr>
            </w:pPr>
            <w:r w:rsidRPr="000C0B5F">
              <w:rPr>
                <w:rFonts w:ascii="Calibri" w:eastAsia="Times New Roman" w:hAnsi="Calibri" w:cs="Calibri"/>
                <w:b/>
                <w:bCs/>
                <w:color w:val="000000"/>
              </w:rPr>
              <w:t>O&amp;M Burden Hours</w:t>
            </w:r>
          </w:p>
        </w:tc>
        <w:tc>
          <w:tcPr>
            <w:tcW w:w="940" w:type="dxa"/>
            <w:tcBorders>
              <w:top w:val="single" w:sz="12" w:space="0" w:color="auto"/>
              <w:left w:val="nil"/>
              <w:bottom w:val="single" w:sz="12" w:space="0" w:color="auto"/>
              <w:right w:val="single" w:sz="4" w:space="0" w:color="auto"/>
            </w:tcBorders>
            <w:vAlign w:val="center"/>
            <w:hideMark/>
          </w:tcPr>
          <w:p w:rsidR="00665360" w:rsidRPr="000C0B5F" w:rsidP="00665360" w14:paraId="15CE82B8" w14:textId="77777777">
            <w:pPr>
              <w:spacing w:after="0" w:line="240" w:lineRule="auto"/>
              <w:rPr>
                <w:rFonts w:ascii="Calibri" w:eastAsia="Times New Roman" w:hAnsi="Calibri" w:cs="Calibri"/>
                <w:b/>
                <w:bCs/>
                <w:color w:val="000000"/>
              </w:rPr>
            </w:pPr>
            <w:r w:rsidRPr="000C0B5F">
              <w:rPr>
                <w:rFonts w:ascii="Calibri" w:eastAsia="Times New Roman" w:hAnsi="Calibri" w:cs="Calibri"/>
                <w:b/>
                <w:bCs/>
                <w:color w:val="000000"/>
              </w:rPr>
              <w:t>O&amp;M Cost </w:t>
            </w:r>
          </w:p>
        </w:tc>
        <w:tc>
          <w:tcPr>
            <w:tcW w:w="1400" w:type="dxa"/>
            <w:tcBorders>
              <w:top w:val="single" w:sz="12" w:space="0" w:color="auto"/>
              <w:left w:val="nil"/>
              <w:bottom w:val="single" w:sz="12" w:space="0" w:color="auto"/>
              <w:right w:val="single" w:sz="4" w:space="0" w:color="auto"/>
            </w:tcBorders>
            <w:vAlign w:val="center"/>
            <w:hideMark/>
          </w:tcPr>
          <w:p w:rsidR="00665360" w:rsidRPr="000C0B5F" w:rsidP="00665360" w14:paraId="2E797D40" w14:textId="77777777">
            <w:pPr>
              <w:spacing w:after="0" w:line="240" w:lineRule="auto"/>
              <w:rPr>
                <w:rFonts w:ascii="Calibri" w:eastAsia="Times New Roman" w:hAnsi="Calibri" w:cs="Calibri"/>
                <w:b/>
                <w:bCs/>
                <w:color w:val="000000"/>
              </w:rPr>
            </w:pPr>
            <w:r w:rsidRPr="000C0B5F">
              <w:rPr>
                <w:rFonts w:ascii="Calibri" w:eastAsia="Times New Roman" w:hAnsi="Calibri" w:cs="Calibri"/>
                <w:b/>
                <w:bCs/>
                <w:color w:val="000000"/>
              </w:rPr>
              <w:t>Annual Burden Hrs per Respondent </w:t>
            </w:r>
          </w:p>
        </w:tc>
        <w:tc>
          <w:tcPr>
            <w:tcW w:w="1400" w:type="dxa"/>
            <w:tcBorders>
              <w:top w:val="single" w:sz="12" w:space="0" w:color="auto"/>
              <w:left w:val="nil"/>
              <w:bottom w:val="single" w:sz="12" w:space="0" w:color="auto"/>
              <w:right w:val="single" w:sz="12" w:space="0" w:color="auto"/>
            </w:tcBorders>
            <w:vAlign w:val="center"/>
            <w:hideMark/>
          </w:tcPr>
          <w:p w:rsidR="00665360" w:rsidRPr="000C0B5F" w:rsidP="00665360" w14:paraId="05C6C0C4" w14:textId="77777777">
            <w:pPr>
              <w:spacing w:after="0" w:line="240" w:lineRule="auto"/>
              <w:rPr>
                <w:rFonts w:ascii="Calibri" w:eastAsia="Times New Roman" w:hAnsi="Calibri" w:cs="Calibri"/>
                <w:b/>
                <w:bCs/>
                <w:color w:val="000000"/>
              </w:rPr>
            </w:pPr>
            <w:r w:rsidRPr="000C0B5F">
              <w:rPr>
                <w:rFonts w:ascii="Calibri" w:eastAsia="Times New Roman" w:hAnsi="Calibri" w:cs="Calibri"/>
                <w:b/>
                <w:bCs/>
                <w:color w:val="000000"/>
              </w:rPr>
              <w:t>Annual Costs per Respondent</w:t>
            </w:r>
          </w:p>
        </w:tc>
      </w:tr>
      <w:tr w14:paraId="505ADA48" w14:textId="77777777" w:rsidTr="00665360">
        <w:tblPrEx>
          <w:tblW w:w="7740" w:type="dxa"/>
          <w:tblLook w:val="04A0"/>
        </w:tblPrEx>
        <w:trPr>
          <w:trHeight w:val="1668"/>
        </w:trPr>
        <w:tc>
          <w:tcPr>
            <w:tcW w:w="2400" w:type="dxa"/>
            <w:tcBorders>
              <w:top w:val="nil"/>
              <w:left w:val="single" w:sz="12" w:space="0" w:color="auto"/>
              <w:bottom w:val="single" w:sz="4" w:space="0" w:color="auto"/>
              <w:right w:val="single" w:sz="12" w:space="0" w:color="auto"/>
            </w:tcBorders>
            <w:vAlign w:val="center"/>
            <w:hideMark/>
          </w:tcPr>
          <w:p w:rsidR="00665360" w:rsidRPr="000C0B5F" w:rsidP="00665360" w14:paraId="3F29F4E3" w14:textId="77777777">
            <w:pPr>
              <w:spacing w:after="0" w:line="240" w:lineRule="auto"/>
              <w:rPr>
                <w:rFonts w:ascii="Calibri" w:eastAsia="Times New Roman" w:hAnsi="Calibri" w:cs="Calibri"/>
                <w:color w:val="000000"/>
                <w:sz w:val="20"/>
                <w:szCs w:val="20"/>
              </w:rPr>
            </w:pPr>
            <w:r w:rsidRPr="000C0B5F">
              <w:rPr>
                <w:rFonts w:ascii="Calibri" w:eastAsia="Times New Roman" w:hAnsi="Calibri" w:cs="Calibri"/>
                <w:color w:val="000000"/>
                <w:sz w:val="20"/>
                <w:szCs w:val="20"/>
              </w:rPr>
              <w:t>Develop and maintain electronic system for submission of digital photographs ($110/hr agency staff; $117/hr contractor)</w:t>
            </w:r>
          </w:p>
        </w:tc>
        <w:tc>
          <w:tcPr>
            <w:tcW w:w="1400" w:type="dxa"/>
            <w:tcBorders>
              <w:top w:val="nil"/>
              <w:left w:val="nil"/>
              <w:bottom w:val="single" w:sz="4" w:space="0" w:color="auto"/>
              <w:right w:val="single" w:sz="4" w:space="0" w:color="auto"/>
            </w:tcBorders>
            <w:vAlign w:val="center"/>
            <w:hideMark/>
          </w:tcPr>
          <w:p w:rsidR="00665360" w:rsidRPr="000C0B5F" w:rsidP="00665360" w14:paraId="47A49184" w14:textId="77777777">
            <w:pPr>
              <w:spacing w:after="0" w:line="240" w:lineRule="auto"/>
              <w:rPr>
                <w:rFonts w:ascii="Calibri" w:eastAsia="Times New Roman" w:hAnsi="Calibri" w:cs="Calibri"/>
                <w:color w:val="000000"/>
                <w:sz w:val="20"/>
                <w:szCs w:val="20"/>
              </w:rPr>
            </w:pPr>
            <w:r w:rsidRPr="000C0B5F">
              <w:rPr>
                <w:rFonts w:ascii="Calibri" w:eastAsia="Times New Roman" w:hAnsi="Calibri" w:cs="Calibri"/>
                <w:color w:val="000000"/>
                <w:sz w:val="20"/>
                <w:szCs w:val="20"/>
              </w:rPr>
              <w:t>25 (Agency)</w:t>
            </w:r>
            <w:r w:rsidRPr="000C0B5F">
              <w:rPr>
                <w:rFonts w:ascii="Calibri" w:eastAsia="Times New Roman" w:hAnsi="Calibri" w:cs="Calibri"/>
                <w:color w:val="000000"/>
                <w:sz w:val="20"/>
                <w:szCs w:val="20"/>
              </w:rPr>
              <w:br/>
            </w:r>
            <w:r w:rsidRPr="000C0B5F">
              <w:rPr>
                <w:rFonts w:ascii="Calibri" w:eastAsia="Times New Roman" w:hAnsi="Calibri" w:cs="Calibri"/>
                <w:color w:val="000000"/>
                <w:sz w:val="20"/>
                <w:szCs w:val="20"/>
              </w:rPr>
              <w:br/>
              <w:t>23 (Contract)</w:t>
            </w:r>
          </w:p>
        </w:tc>
        <w:tc>
          <w:tcPr>
            <w:tcW w:w="940" w:type="dxa"/>
            <w:tcBorders>
              <w:top w:val="nil"/>
              <w:left w:val="nil"/>
              <w:bottom w:val="single" w:sz="4" w:space="0" w:color="auto"/>
              <w:right w:val="single" w:sz="4" w:space="0" w:color="auto"/>
            </w:tcBorders>
            <w:vAlign w:val="center"/>
            <w:hideMark/>
          </w:tcPr>
          <w:p w:rsidR="00665360" w:rsidRPr="000C0B5F" w:rsidP="00665360" w14:paraId="0F6F41C2" w14:textId="77777777">
            <w:pPr>
              <w:spacing w:after="0" w:line="240" w:lineRule="auto"/>
              <w:jc w:val="right"/>
              <w:rPr>
                <w:rFonts w:ascii="Calibri" w:eastAsia="Times New Roman" w:hAnsi="Calibri" w:cs="Calibri"/>
                <w:color w:val="000000"/>
                <w:sz w:val="20"/>
                <w:szCs w:val="20"/>
              </w:rPr>
            </w:pPr>
            <w:r w:rsidRPr="000C0B5F">
              <w:rPr>
                <w:rFonts w:ascii="Calibri" w:eastAsia="Times New Roman" w:hAnsi="Calibri" w:cs="Calibri"/>
                <w:color w:val="000000"/>
                <w:sz w:val="20"/>
                <w:szCs w:val="20"/>
              </w:rPr>
              <w:t xml:space="preserve">$5,441 </w:t>
            </w:r>
          </w:p>
        </w:tc>
        <w:tc>
          <w:tcPr>
            <w:tcW w:w="1400" w:type="dxa"/>
            <w:tcBorders>
              <w:top w:val="nil"/>
              <w:left w:val="nil"/>
              <w:bottom w:val="single" w:sz="4" w:space="0" w:color="auto"/>
              <w:right w:val="single" w:sz="4" w:space="0" w:color="auto"/>
            </w:tcBorders>
            <w:vAlign w:val="center"/>
            <w:hideMark/>
          </w:tcPr>
          <w:p w:rsidR="00665360" w:rsidRPr="000C0B5F" w:rsidP="00665360" w14:paraId="3A3A69EC" w14:textId="77777777">
            <w:pPr>
              <w:spacing w:after="0" w:line="240" w:lineRule="auto"/>
              <w:jc w:val="right"/>
              <w:rPr>
                <w:rFonts w:ascii="Calibri" w:eastAsia="Times New Roman" w:hAnsi="Calibri" w:cs="Calibri"/>
                <w:color w:val="000000"/>
                <w:sz w:val="20"/>
                <w:szCs w:val="20"/>
              </w:rPr>
            </w:pPr>
            <w:r w:rsidRPr="000C0B5F">
              <w:rPr>
                <w:rFonts w:ascii="Calibri" w:eastAsia="Times New Roman" w:hAnsi="Calibri" w:cs="Calibri"/>
                <w:color w:val="000000"/>
                <w:sz w:val="20"/>
                <w:szCs w:val="20"/>
              </w:rPr>
              <w:t>0.5</w:t>
            </w:r>
          </w:p>
        </w:tc>
        <w:tc>
          <w:tcPr>
            <w:tcW w:w="1400" w:type="dxa"/>
            <w:tcBorders>
              <w:top w:val="nil"/>
              <w:left w:val="nil"/>
              <w:bottom w:val="single" w:sz="4" w:space="0" w:color="auto"/>
              <w:right w:val="single" w:sz="12" w:space="0" w:color="auto"/>
            </w:tcBorders>
            <w:vAlign w:val="center"/>
            <w:hideMark/>
          </w:tcPr>
          <w:p w:rsidR="00665360" w:rsidRPr="000C0B5F" w:rsidP="00665360" w14:paraId="6DFE5048" w14:textId="77777777">
            <w:pPr>
              <w:spacing w:after="0" w:line="240" w:lineRule="auto"/>
              <w:jc w:val="right"/>
              <w:rPr>
                <w:rFonts w:ascii="Calibri" w:eastAsia="Times New Roman" w:hAnsi="Calibri" w:cs="Calibri"/>
                <w:color w:val="000000"/>
                <w:sz w:val="20"/>
                <w:szCs w:val="20"/>
              </w:rPr>
            </w:pPr>
            <w:r w:rsidRPr="000C0B5F">
              <w:rPr>
                <w:rFonts w:ascii="Calibri" w:eastAsia="Times New Roman" w:hAnsi="Calibri" w:cs="Calibri"/>
                <w:color w:val="000000"/>
                <w:sz w:val="20"/>
                <w:szCs w:val="20"/>
              </w:rPr>
              <w:t xml:space="preserve">$55 </w:t>
            </w:r>
          </w:p>
        </w:tc>
      </w:tr>
      <w:tr w14:paraId="2DA0E0E4" w14:textId="77777777" w:rsidTr="00665360">
        <w:tblPrEx>
          <w:tblW w:w="7740" w:type="dxa"/>
          <w:tblLook w:val="04A0"/>
        </w:tblPrEx>
        <w:trPr>
          <w:trHeight w:val="828"/>
        </w:trPr>
        <w:tc>
          <w:tcPr>
            <w:tcW w:w="2400" w:type="dxa"/>
            <w:tcBorders>
              <w:top w:val="nil"/>
              <w:left w:val="single" w:sz="12" w:space="0" w:color="auto"/>
              <w:bottom w:val="single" w:sz="4" w:space="0" w:color="auto"/>
              <w:right w:val="single" w:sz="12" w:space="0" w:color="auto"/>
            </w:tcBorders>
            <w:vAlign w:val="center"/>
            <w:hideMark/>
          </w:tcPr>
          <w:p w:rsidR="00665360" w:rsidRPr="000C0B5F" w:rsidP="00665360" w14:paraId="4874ED5F" w14:textId="77777777">
            <w:pPr>
              <w:spacing w:after="0" w:line="240" w:lineRule="auto"/>
              <w:rPr>
                <w:rFonts w:ascii="Calibri" w:eastAsia="Times New Roman" w:hAnsi="Calibri" w:cs="Calibri"/>
                <w:color w:val="000000"/>
                <w:sz w:val="20"/>
                <w:szCs w:val="20"/>
              </w:rPr>
            </w:pPr>
            <w:r w:rsidRPr="000C0B5F">
              <w:rPr>
                <w:rFonts w:ascii="Calibri" w:eastAsia="Times New Roman" w:hAnsi="Calibri" w:cs="Calibri"/>
                <w:color w:val="000000"/>
                <w:sz w:val="20"/>
                <w:szCs w:val="20"/>
              </w:rPr>
              <w:t>Review reports for compliance verification (Tech @$98/hr)</w:t>
            </w:r>
          </w:p>
        </w:tc>
        <w:tc>
          <w:tcPr>
            <w:tcW w:w="1400" w:type="dxa"/>
            <w:tcBorders>
              <w:top w:val="nil"/>
              <w:left w:val="nil"/>
              <w:bottom w:val="single" w:sz="4" w:space="0" w:color="auto"/>
              <w:right w:val="single" w:sz="4" w:space="0" w:color="auto"/>
            </w:tcBorders>
            <w:vAlign w:val="center"/>
            <w:hideMark/>
          </w:tcPr>
          <w:p w:rsidR="00665360" w:rsidRPr="000C0B5F" w:rsidP="00665360" w14:paraId="48C340F5" w14:textId="77777777">
            <w:pPr>
              <w:spacing w:after="0" w:line="240" w:lineRule="auto"/>
              <w:rPr>
                <w:rFonts w:ascii="Calibri" w:eastAsia="Times New Roman" w:hAnsi="Calibri" w:cs="Calibri"/>
                <w:color w:val="000000"/>
                <w:sz w:val="20"/>
                <w:szCs w:val="20"/>
              </w:rPr>
            </w:pPr>
            <w:r w:rsidRPr="000C0B5F">
              <w:rPr>
                <w:rFonts w:ascii="Calibri" w:eastAsia="Times New Roman" w:hAnsi="Calibri" w:cs="Calibri"/>
                <w:color w:val="000000"/>
                <w:sz w:val="20"/>
                <w:szCs w:val="20"/>
              </w:rPr>
              <w:t> </w:t>
            </w:r>
          </w:p>
        </w:tc>
        <w:tc>
          <w:tcPr>
            <w:tcW w:w="940" w:type="dxa"/>
            <w:tcBorders>
              <w:top w:val="nil"/>
              <w:left w:val="nil"/>
              <w:bottom w:val="single" w:sz="4" w:space="0" w:color="auto"/>
              <w:right w:val="single" w:sz="4" w:space="0" w:color="auto"/>
            </w:tcBorders>
            <w:vAlign w:val="center"/>
            <w:hideMark/>
          </w:tcPr>
          <w:p w:rsidR="00665360" w:rsidRPr="000C0B5F" w:rsidP="00665360" w14:paraId="059FE2FB" w14:textId="77777777">
            <w:pPr>
              <w:spacing w:after="0" w:line="240" w:lineRule="auto"/>
              <w:rPr>
                <w:rFonts w:ascii="Calibri" w:eastAsia="Times New Roman" w:hAnsi="Calibri" w:cs="Calibri"/>
                <w:color w:val="000000"/>
                <w:sz w:val="20"/>
                <w:szCs w:val="20"/>
              </w:rPr>
            </w:pPr>
            <w:r w:rsidRPr="000C0B5F">
              <w:rPr>
                <w:rFonts w:ascii="Calibri" w:eastAsia="Times New Roman" w:hAnsi="Calibri" w:cs="Calibri"/>
                <w:color w:val="000000"/>
                <w:sz w:val="20"/>
                <w:szCs w:val="20"/>
              </w:rPr>
              <w:t> </w:t>
            </w:r>
          </w:p>
        </w:tc>
        <w:tc>
          <w:tcPr>
            <w:tcW w:w="1400" w:type="dxa"/>
            <w:tcBorders>
              <w:top w:val="nil"/>
              <w:left w:val="nil"/>
              <w:bottom w:val="single" w:sz="4" w:space="0" w:color="auto"/>
              <w:right w:val="single" w:sz="4" w:space="0" w:color="auto"/>
            </w:tcBorders>
            <w:vAlign w:val="center"/>
            <w:hideMark/>
          </w:tcPr>
          <w:p w:rsidR="00665360" w:rsidRPr="000C0B5F" w:rsidP="00665360" w14:paraId="61D360D8" w14:textId="77777777">
            <w:pPr>
              <w:spacing w:after="0" w:line="240" w:lineRule="auto"/>
              <w:jc w:val="right"/>
              <w:rPr>
                <w:rFonts w:ascii="Calibri" w:eastAsia="Times New Roman" w:hAnsi="Calibri" w:cs="Calibri"/>
                <w:color w:val="000000"/>
                <w:sz w:val="20"/>
                <w:szCs w:val="20"/>
              </w:rPr>
            </w:pPr>
            <w:r w:rsidRPr="000C0B5F">
              <w:rPr>
                <w:rFonts w:ascii="Calibri" w:eastAsia="Times New Roman" w:hAnsi="Calibri" w:cs="Calibri"/>
                <w:color w:val="000000"/>
                <w:sz w:val="20"/>
                <w:szCs w:val="20"/>
              </w:rPr>
              <w:t>6</w:t>
            </w:r>
          </w:p>
        </w:tc>
        <w:tc>
          <w:tcPr>
            <w:tcW w:w="1400" w:type="dxa"/>
            <w:tcBorders>
              <w:top w:val="nil"/>
              <w:left w:val="nil"/>
              <w:bottom w:val="single" w:sz="4" w:space="0" w:color="auto"/>
              <w:right w:val="single" w:sz="12" w:space="0" w:color="auto"/>
            </w:tcBorders>
            <w:vAlign w:val="center"/>
            <w:hideMark/>
          </w:tcPr>
          <w:p w:rsidR="00665360" w:rsidRPr="000C0B5F" w:rsidP="00665360" w14:paraId="05371803" w14:textId="77777777">
            <w:pPr>
              <w:spacing w:after="0" w:line="240" w:lineRule="auto"/>
              <w:jc w:val="right"/>
              <w:rPr>
                <w:rFonts w:ascii="Calibri" w:eastAsia="Times New Roman" w:hAnsi="Calibri" w:cs="Calibri"/>
                <w:color w:val="000000"/>
                <w:sz w:val="20"/>
                <w:szCs w:val="20"/>
              </w:rPr>
            </w:pPr>
            <w:r w:rsidRPr="000C0B5F">
              <w:rPr>
                <w:rFonts w:ascii="Calibri" w:eastAsia="Times New Roman" w:hAnsi="Calibri" w:cs="Calibri"/>
                <w:color w:val="000000"/>
                <w:sz w:val="20"/>
                <w:szCs w:val="20"/>
              </w:rPr>
              <w:t xml:space="preserve">$618 </w:t>
            </w:r>
          </w:p>
        </w:tc>
      </w:tr>
      <w:tr w14:paraId="6A36D931" w14:textId="77777777" w:rsidTr="00665360">
        <w:tblPrEx>
          <w:tblW w:w="7740" w:type="dxa"/>
          <w:tblLook w:val="04A0"/>
        </w:tblPrEx>
        <w:trPr>
          <w:trHeight w:val="300"/>
        </w:trPr>
        <w:tc>
          <w:tcPr>
            <w:tcW w:w="2400" w:type="dxa"/>
            <w:tcBorders>
              <w:top w:val="nil"/>
              <w:left w:val="single" w:sz="12" w:space="0" w:color="auto"/>
              <w:bottom w:val="nil"/>
              <w:right w:val="single" w:sz="12" w:space="0" w:color="auto"/>
            </w:tcBorders>
            <w:vAlign w:val="center"/>
            <w:hideMark/>
          </w:tcPr>
          <w:p w:rsidR="00665360" w:rsidRPr="000C0B5F" w:rsidP="00665360" w14:paraId="0FE04E57" w14:textId="77777777">
            <w:pPr>
              <w:spacing w:after="0" w:line="240" w:lineRule="auto"/>
              <w:rPr>
                <w:rFonts w:ascii="Calibri" w:eastAsia="Times New Roman" w:hAnsi="Calibri" w:cs="Calibri"/>
                <w:color w:val="000000"/>
                <w:sz w:val="20"/>
                <w:szCs w:val="20"/>
              </w:rPr>
            </w:pPr>
            <w:r w:rsidRPr="000C0B5F">
              <w:rPr>
                <w:rFonts w:ascii="Calibri" w:eastAsia="Times New Roman" w:hAnsi="Calibri" w:cs="Calibri"/>
                <w:color w:val="000000"/>
                <w:sz w:val="20"/>
                <w:szCs w:val="20"/>
              </w:rPr>
              <w:t>File reports (Cler @$57/hr)</w:t>
            </w:r>
          </w:p>
        </w:tc>
        <w:tc>
          <w:tcPr>
            <w:tcW w:w="1400" w:type="dxa"/>
            <w:tcBorders>
              <w:top w:val="nil"/>
              <w:left w:val="nil"/>
              <w:bottom w:val="nil"/>
              <w:right w:val="single" w:sz="4" w:space="0" w:color="auto"/>
            </w:tcBorders>
            <w:vAlign w:val="center"/>
            <w:hideMark/>
          </w:tcPr>
          <w:p w:rsidR="00665360" w:rsidRPr="000C0B5F" w:rsidP="00665360" w14:paraId="2B2A2C55" w14:textId="77777777">
            <w:pPr>
              <w:spacing w:after="0" w:line="240" w:lineRule="auto"/>
              <w:rPr>
                <w:rFonts w:ascii="Calibri" w:eastAsia="Times New Roman" w:hAnsi="Calibri" w:cs="Calibri"/>
                <w:color w:val="000000"/>
                <w:sz w:val="20"/>
                <w:szCs w:val="20"/>
              </w:rPr>
            </w:pPr>
            <w:r w:rsidRPr="000C0B5F">
              <w:rPr>
                <w:rFonts w:ascii="Calibri" w:eastAsia="Times New Roman" w:hAnsi="Calibri" w:cs="Calibri"/>
                <w:color w:val="000000"/>
                <w:sz w:val="20"/>
                <w:szCs w:val="20"/>
              </w:rPr>
              <w:t> </w:t>
            </w:r>
          </w:p>
        </w:tc>
        <w:tc>
          <w:tcPr>
            <w:tcW w:w="940" w:type="dxa"/>
            <w:tcBorders>
              <w:top w:val="nil"/>
              <w:left w:val="nil"/>
              <w:bottom w:val="nil"/>
              <w:right w:val="single" w:sz="4" w:space="0" w:color="auto"/>
            </w:tcBorders>
            <w:vAlign w:val="center"/>
            <w:hideMark/>
          </w:tcPr>
          <w:p w:rsidR="00665360" w:rsidRPr="000C0B5F" w:rsidP="00665360" w14:paraId="0BF392B9" w14:textId="77777777">
            <w:pPr>
              <w:spacing w:after="0" w:line="240" w:lineRule="auto"/>
              <w:rPr>
                <w:rFonts w:ascii="Calibri" w:eastAsia="Times New Roman" w:hAnsi="Calibri" w:cs="Calibri"/>
                <w:color w:val="000000"/>
                <w:sz w:val="20"/>
                <w:szCs w:val="20"/>
              </w:rPr>
            </w:pPr>
            <w:r w:rsidRPr="000C0B5F">
              <w:rPr>
                <w:rFonts w:ascii="Calibri" w:eastAsia="Times New Roman" w:hAnsi="Calibri" w:cs="Calibri"/>
                <w:color w:val="000000"/>
                <w:sz w:val="20"/>
                <w:szCs w:val="20"/>
              </w:rPr>
              <w:t> </w:t>
            </w:r>
          </w:p>
        </w:tc>
        <w:tc>
          <w:tcPr>
            <w:tcW w:w="1400" w:type="dxa"/>
            <w:tcBorders>
              <w:top w:val="nil"/>
              <w:left w:val="nil"/>
              <w:bottom w:val="nil"/>
              <w:right w:val="single" w:sz="4" w:space="0" w:color="auto"/>
            </w:tcBorders>
            <w:vAlign w:val="center"/>
            <w:hideMark/>
          </w:tcPr>
          <w:p w:rsidR="00665360" w:rsidRPr="000C0B5F" w:rsidP="00665360" w14:paraId="1A506E85" w14:textId="77777777">
            <w:pPr>
              <w:spacing w:after="0" w:line="240" w:lineRule="auto"/>
              <w:jc w:val="right"/>
              <w:rPr>
                <w:rFonts w:ascii="Calibri" w:eastAsia="Times New Roman" w:hAnsi="Calibri" w:cs="Calibri"/>
                <w:color w:val="000000"/>
                <w:sz w:val="20"/>
                <w:szCs w:val="20"/>
              </w:rPr>
            </w:pPr>
            <w:r w:rsidRPr="000C0B5F">
              <w:rPr>
                <w:rFonts w:ascii="Calibri" w:eastAsia="Times New Roman" w:hAnsi="Calibri" w:cs="Calibri"/>
                <w:color w:val="000000"/>
                <w:sz w:val="20"/>
                <w:szCs w:val="20"/>
              </w:rPr>
              <w:t>4</w:t>
            </w:r>
          </w:p>
        </w:tc>
        <w:tc>
          <w:tcPr>
            <w:tcW w:w="1400" w:type="dxa"/>
            <w:tcBorders>
              <w:top w:val="nil"/>
              <w:left w:val="nil"/>
              <w:bottom w:val="nil"/>
              <w:right w:val="single" w:sz="12" w:space="0" w:color="auto"/>
            </w:tcBorders>
            <w:vAlign w:val="center"/>
            <w:hideMark/>
          </w:tcPr>
          <w:p w:rsidR="00665360" w:rsidRPr="000C0B5F" w:rsidP="00665360" w14:paraId="1AAC9758" w14:textId="77777777">
            <w:pPr>
              <w:spacing w:after="0" w:line="240" w:lineRule="auto"/>
              <w:jc w:val="right"/>
              <w:rPr>
                <w:rFonts w:ascii="Calibri" w:eastAsia="Times New Roman" w:hAnsi="Calibri" w:cs="Calibri"/>
                <w:color w:val="000000"/>
                <w:sz w:val="20"/>
                <w:szCs w:val="20"/>
              </w:rPr>
            </w:pPr>
            <w:r w:rsidRPr="000C0B5F">
              <w:rPr>
                <w:rFonts w:ascii="Calibri" w:eastAsia="Times New Roman" w:hAnsi="Calibri" w:cs="Calibri"/>
                <w:color w:val="000000"/>
                <w:sz w:val="20"/>
                <w:szCs w:val="20"/>
              </w:rPr>
              <w:t xml:space="preserve">$236 </w:t>
            </w:r>
          </w:p>
        </w:tc>
      </w:tr>
      <w:tr w14:paraId="73123884" w14:textId="77777777" w:rsidTr="00665360">
        <w:tblPrEx>
          <w:tblW w:w="7740" w:type="dxa"/>
          <w:tblLook w:val="04A0"/>
        </w:tblPrEx>
        <w:trPr>
          <w:trHeight w:val="312"/>
        </w:trPr>
        <w:tc>
          <w:tcPr>
            <w:tcW w:w="2400" w:type="dxa"/>
            <w:tcBorders>
              <w:top w:val="single" w:sz="12" w:space="0" w:color="auto"/>
              <w:left w:val="single" w:sz="12" w:space="0" w:color="auto"/>
              <w:bottom w:val="single" w:sz="12" w:space="0" w:color="auto"/>
              <w:right w:val="single" w:sz="12" w:space="0" w:color="auto"/>
            </w:tcBorders>
            <w:vAlign w:val="center"/>
            <w:hideMark/>
          </w:tcPr>
          <w:p w:rsidR="00665360" w:rsidRPr="000C0B5F" w:rsidP="00665360" w14:paraId="55371EEA" w14:textId="77777777">
            <w:pPr>
              <w:spacing w:after="0" w:line="240" w:lineRule="auto"/>
              <w:rPr>
                <w:rFonts w:ascii="Calibri" w:eastAsia="Times New Roman" w:hAnsi="Calibri" w:cs="Calibri"/>
                <w:b/>
                <w:bCs/>
                <w:color w:val="000000"/>
                <w:sz w:val="20"/>
                <w:szCs w:val="20"/>
              </w:rPr>
            </w:pPr>
            <w:r w:rsidRPr="000C0B5F">
              <w:rPr>
                <w:rFonts w:ascii="Calibri" w:eastAsia="Times New Roman" w:hAnsi="Calibri" w:cs="Calibri"/>
                <w:b/>
                <w:bCs/>
                <w:color w:val="000000"/>
                <w:sz w:val="20"/>
                <w:szCs w:val="20"/>
              </w:rPr>
              <w:t>SUB-TOTAL</w:t>
            </w:r>
          </w:p>
        </w:tc>
        <w:tc>
          <w:tcPr>
            <w:tcW w:w="1400" w:type="dxa"/>
            <w:tcBorders>
              <w:top w:val="single" w:sz="12" w:space="0" w:color="auto"/>
              <w:left w:val="nil"/>
              <w:bottom w:val="single" w:sz="12" w:space="0" w:color="auto"/>
              <w:right w:val="single" w:sz="12" w:space="0" w:color="auto"/>
            </w:tcBorders>
            <w:vAlign w:val="center"/>
            <w:hideMark/>
          </w:tcPr>
          <w:p w:rsidR="00665360" w:rsidRPr="000C0B5F" w:rsidP="00665360" w14:paraId="3EA9E959" w14:textId="77777777">
            <w:pPr>
              <w:spacing w:after="0" w:line="240" w:lineRule="auto"/>
              <w:rPr>
                <w:rFonts w:ascii="Calibri" w:eastAsia="Times New Roman" w:hAnsi="Calibri" w:cs="Calibri"/>
                <w:color w:val="000000"/>
                <w:sz w:val="20"/>
                <w:szCs w:val="20"/>
              </w:rPr>
            </w:pPr>
            <w:r w:rsidRPr="000C0B5F">
              <w:rPr>
                <w:rFonts w:ascii="Calibri" w:eastAsia="Times New Roman" w:hAnsi="Calibri" w:cs="Calibri"/>
                <w:color w:val="000000"/>
                <w:sz w:val="20"/>
                <w:szCs w:val="20"/>
              </w:rPr>
              <w:t> </w:t>
            </w:r>
          </w:p>
        </w:tc>
        <w:tc>
          <w:tcPr>
            <w:tcW w:w="940" w:type="dxa"/>
            <w:tcBorders>
              <w:top w:val="single" w:sz="12" w:space="0" w:color="auto"/>
              <w:left w:val="nil"/>
              <w:bottom w:val="single" w:sz="12" w:space="0" w:color="auto"/>
              <w:right w:val="single" w:sz="12" w:space="0" w:color="auto"/>
            </w:tcBorders>
            <w:vAlign w:val="center"/>
            <w:hideMark/>
          </w:tcPr>
          <w:p w:rsidR="00665360" w:rsidRPr="000C0B5F" w:rsidP="00665360" w14:paraId="1769DC38" w14:textId="77777777">
            <w:pPr>
              <w:spacing w:after="0" w:line="240" w:lineRule="auto"/>
              <w:jc w:val="right"/>
              <w:rPr>
                <w:rFonts w:ascii="Calibri" w:eastAsia="Times New Roman" w:hAnsi="Calibri" w:cs="Calibri"/>
                <w:color w:val="000000"/>
                <w:sz w:val="20"/>
                <w:szCs w:val="20"/>
              </w:rPr>
            </w:pPr>
            <w:r w:rsidRPr="000C0B5F">
              <w:rPr>
                <w:rFonts w:ascii="Calibri" w:eastAsia="Times New Roman" w:hAnsi="Calibri" w:cs="Calibri"/>
                <w:color w:val="000000"/>
                <w:sz w:val="20"/>
                <w:szCs w:val="20"/>
              </w:rPr>
              <w:t xml:space="preserve">$5,441 </w:t>
            </w:r>
          </w:p>
        </w:tc>
        <w:tc>
          <w:tcPr>
            <w:tcW w:w="1400" w:type="dxa"/>
            <w:tcBorders>
              <w:top w:val="single" w:sz="12" w:space="0" w:color="auto"/>
              <w:left w:val="nil"/>
              <w:bottom w:val="single" w:sz="12" w:space="0" w:color="auto"/>
              <w:right w:val="single" w:sz="12" w:space="0" w:color="auto"/>
            </w:tcBorders>
            <w:vAlign w:val="center"/>
            <w:hideMark/>
          </w:tcPr>
          <w:p w:rsidR="00665360" w:rsidRPr="000C0B5F" w:rsidP="00665360" w14:paraId="5331FE80" w14:textId="77777777">
            <w:pPr>
              <w:spacing w:after="0" w:line="240" w:lineRule="auto"/>
              <w:jc w:val="right"/>
              <w:rPr>
                <w:rFonts w:ascii="Calibri" w:eastAsia="Times New Roman" w:hAnsi="Calibri" w:cs="Calibri"/>
                <w:color w:val="000000"/>
                <w:sz w:val="20"/>
                <w:szCs w:val="20"/>
              </w:rPr>
            </w:pPr>
            <w:r w:rsidRPr="000C0B5F">
              <w:rPr>
                <w:rFonts w:ascii="Calibri" w:eastAsia="Times New Roman" w:hAnsi="Calibri" w:cs="Calibri"/>
                <w:color w:val="000000"/>
                <w:sz w:val="20"/>
                <w:szCs w:val="20"/>
              </w:rPr>
              <w:t>10.5</w:t>
            </w:r>
          </w:p>
        </w:tc>
        <w:tc>
          <w:tcPr>
            <w:tcW w:w="1400" w:type="dxa"/>
            <w:tcBorders>
              <w:top w:val="single" w:sz="12" w:space="0" w:color="auto"/>
              <w:left w:val="nil"/>
              <w:bottom w:val="single" w:sz="12" w:space="0" w:color="auto"/>
              <w:right w:val="single" w:sz="12" w:space="0" w:color="auto"/>
            </w:tcBorders>
            <w:vAlign w:val="center"/>
            <w:hideMark/>
          </w:tcPr>
          <w:p w:rsidR="00665360" w:rsidRPr="000C0B5F" w:rsidP="00665360" w14:paraId="3FFD4A25" w14:textId="77777777">
            <w:pPr>
              <w:spacing w:after="0" w:line="240" w:lineRule="auto"/>
              <w:jc w:val="right"/>
              <w:rPr>
                <w:rFonts w:ascii="Calibri" w:eastAsia="Times New Roman" w:hAnsi="Calibri" w:cs="Calibri"/>
                <w:color w:val="000000"/>
                <w:sz w:val="20"/>
                <w:szCs w:val="20"/>
              </w:rPr>
            </w:pPr>
            <w:r w:rsidRPr="000C0B5F">
              <w:rPr>
                <w:rFonts w:ascii="Calibri" w:eastAsia="Times New Roman" w:hAnsi="Calibri" w:cs="Calibri"/>
                <w:color w:val="000000"/>
                <w:sz w:val="20"/>
                <w:szCs w:val="20"/>
              </w:rPr>
              <w:t xml:space="preserve">$909 </w:t>
            </w:r>
          </w:p>
        </w:tc>
      </w:tr>
      <w:tr w14:paraId="7A9A5716" w14:textId="77777777" w:rsidTr="00665360">
        <w:tblPrEx>
          <w:tblW w:w="7740" w:type="dxa"/>
          <w:tblLook w:val="04A0"/>
        </w:tblPrEx>
        <w:trPr>
          <w:trHeight w:val="312"/>
        </w:trPr>
        <w:tc>
          <w:tcPr>
            <w:tcW w:w="2400" w:type="dxa"/>
            <w:tcBorders>
              <w:top w:val="nil"/>
              <w:left w:val="single" w:sz="12" w:space="0" w:color="auto"/>
              <w:bottom w:val="single" w:sz="12" w:space="0" w:color="auto"/>
              <w:right w:val="single" w:sz="12" w:space="0" w:color="auto"/>
            </w:tcBorders>
            <w:vAlign w:val="center"/>
            <w:hideMark/>
          </w:tcPr>
          <w:p w:rsidR="00665360" w:rsidRPr="000C0B5F" w:rsidP="00665360" w14:paraId="1D0F204F" w14:textId="77777777">
            <w:pPr>
              <w:spacing w:after="0" w:line="240" w:lineRule="auto"/>
              <w:rPr>
                <w:rFonts w:ascii="Calibri" w:eastAsia="Times New Roman" w:hAnsi="Calibri" w:cs="Calibri"/>
                <w:b/>
                <w:bCs/>
                <w:color w:val="000000"/>
                <w:sz w:val="20"/>
                <w:szCs w:val="20"/>
              </w:rPr>
            </w:pPr>
            <w:r w:rsidRPr="000C0B5F">
              <w:rPr>
                <w:rFonts w:ascii="Calibri" w:eastAsia="Times New Roman" w:hAnsi="Calibri" w:cs="Calibri"/>
                <w:b/>
                <w:bCs/>
                <w:color w:val="000000"/>
                <w:sz w:val="20"/>
                <w:szCs w:val="20"/>
              </w:rPr>
              <w:t>TOTAL</w:t>
            </w:r>
            <w:r w:rsidRPr="000C0B5F">
              <w:rPr>
                <w:rFonts w:ascii="Calibri" w:eastAsia="Times New Roman" w:hAnsi="Calibri" w:cs="Calibri"/>
                <w:color w:val="000000"/>
                <w:sz w:val="20"/>
                <w:szCs w:val="20"/>
              </w:rPr>
              <w:t xml:space="preserve"> for 21 respondents</w:t>
            </w:r>
          </w:p>
        </w:tc>
        <w:tc>
          <w:tcPr>
            <w:tcW w:w="1400" w:type="dxa"/>
            <w:tcBorders>
              <w:top w:val="nil"/>
              <w:left w:val="nil"/>
              <w:bottom w:val="single" w:sz="12" w:space="0" w:color="auto"/>
              <w:right w:val="single" w:sz="12" w:space="0" w:color="auto"/>
            </w:tcBorders>
            <w:vAlign w:val="center"/>
            <w:hideMark/>
          </w:tcPr>
          <w:p w:rsidR="00665360" w:rsidRPr="000C0B5F" w:rsidP="00665360" w14:paraId="68573004" w14:textId="77777777">
            <w:pPr>
              <w:spacing w:after="0" w:line="240" w:lineRule="auto"/>
              <w:jc w:val="right"/>
              <w:rPr>
                <w:rFonts w:ascii="Calibri" w:eastAsia="Times New Roman" w:hAnsi="Calibri" w:cs="Calibri"/>
                <w:b/>
                <w:bCs/>
                <w:color w:val="000000"/>
                <w:sz w:val="20"/>
                <w:szCs w:val="20"/>
              </w:rPr>
            </w:pPr>
            <w:r w:rsidRPr="000C0B5F">
              <w:rPr>
                <w:rFonts w:ascii="Calibri" w:eastAsia="Times New Roman" w:hAnsi="Calibri" w:cs="Calibri"/>
                <w:b/>
                <w:bCs/>
                <w:color w:val="000000"/>
                <w:sz w:val="20"/>
                <w:szCs w:val="20"/>
              </w:rPr>
              <w:t>48</w:t>
            </w:r>
          </w:p>
        </w:tc>
        <w:tc>
          <w:tcPr>
            <w:tcW w:w="940" w:type="dxa"/>
            <w:tcBorders>
              <w:top w:val="nil"/>
              <w:left w:val="nil"/>
              <w:bottom w:val="single" w:sz="12" w:space="0" w:color="auto"/>
              <w:right w:val="single" w:sz="12" w:space="0" w:color="auto"/>
            </w:tcBorders>
            <w:vAlign w:val="center"/>
            <w:hideMark/>
          </w:tcPr>
          <w:p w:rsidR="00665360" w:rsidRPr="000C0B5F" w:rsidP="00665360" w14:paraId="73DA07EE" w14:textId="77777777">
            <w:pPr>
              <w:spacing w:after="0" w:line="240" w:lineRule="auto"/>
              <w:jc w:val="right"/>
              <w:rPr>
                <w:rFonts w:ascii="Calibri" w:eastAsia="Times New Roman" w:hAnsi="Calibri" w:cs="Calibri"/>
                <w:b/>
                <w:bCs/>
                <w:color w:val="000000"/>
                <w:sz w:val="20"/>
                <w:szCs w:val="20"/>
              </w:rPr>
            </w:pPr>
            <w:r w:rsidRPr="000C0B5F">
              <w:rPr>
                <w:rFonts w:ascii="Calibri" w:eastAsia="Times New Roman" w:hAnsi="Calibri" w:cs="Calibri"/>
                <w:b/>
                <w:bCs/>
                <w:color w:val="000000"/>
                <w:sz w:val="20"/>
                <w:szCs w:val="20"/>
              </w:rPr>
              <w:t xml:space="preserve">$5,441 </w:t>
            </w:r>
          </w:p>
        </w:tc>
        <w:tc>
          <w:tcPr>
            <w:tcW w:w="1400" w:type="dxa"/>
            <w:tcBorders>
              <w:top w:val="nil"/>
              <w:left w:val="nil"/>
              <w:bottom w:val="single" w:sz="12" w:space="0" w:color="auto"/>
              <w:right w:val="single" w:sz="12" w:space="0" w:color="auto"/>
            </w:tcBorders>
            <w:vAlign w:val="center"/>
            <w:hideMark/>
          </w:tcPr>
          <w:p w:rsidR="00665360" w:rsidRPr="000C0B5F" w:rsidP="00665360" w14:paraId="0E6F26AE" w14:textId="77777777">
            <w:pPr>
              <w:spacing w:after="0" w:line="240" w:lineRule="auto"/>
              <w:jc w:val="right"/>
              <w:rPr>
                <w:rFonts w:ascii="Calibri" w:eastAsia="Times New Roman" w:hAnsi="Calibri" w:cs="Calibri"/>
                <w:b/>
                <w:bCs/>
                <w:color w:val="000000"/>
                <w:sz w:val="20"/>
                <w:szCs w:val="20"/>
              </w:rPr>
            </w:pPr>
            <w:r w:rsidRPr="000C0B5F">
              <w:rPr>
                <w:rFonts w:ascii="Calibri" w:eastAsia="Times New Roman" w:hAnsi="Calibri" w:cs="Calibri"/>
                <w:b/>
                <w:bCs/>
                <w:color w:val="000000"/>
                <w:sz w:val="20"/>
                <w:szCs w:val="20"/>
              </w:rPr>
              <w:t>220.5</w:t>
            </w:r>
          </w:p>
        </w:tc>
        <w:tc>
          <w:tcPr>
            <w:tcW w:w="1400" w:type="dxa"/>
            <w:tcBorders>
              <w:top w:val="nil"/>
              <w:left w:val="nil"/>
              <w:bottom w:val="single" w:sz="12" w:space="0" w:color="auto"/>
              <w:right w:val="single" w:sz="12" w:space="0" w:color="auto"/>
            </w:tcBorders>
            <w:vAlign w:val="center"/>
            <w:hideMark/>
          </w:tcPr>
          <w:p w:rsidR="00665360" w:rsidRPr="000C0B5F" w:rsidP="00665360" w14:paraId="592BA65E" w14:textId="77777777">
            <w:pPr>
              <w:spacing w:after="0" w:line="240" w:lineRule="auto"/>
              <w:jc w:val="right"/>
              <w:rPr>
                <w:rFonts w:ascii="Calibri" w:eastAsia="Times New Roman" w:hAnsi="Calibri" w:cs="Calibri"/>
                <w:b/>
                <w:bCs/>
                <w:color w:val="000000"/>
                <w:sz w:val="20"/>
                <w:szCs w:val="20"/>
              </w:rPr>
            </w:pPr>
            <w:r w:rsidRPr="000C0B5F">
              <w:rPr>
                <w:rFonts w:ascii="Calibri" w:eastAsia="Times New Roman" w:hAnsi="Calibri" w:cs="Calibri"/>
                <w:b/>
                <w:bCs/>
                <w:color w:val="000000"/>
                <w:sz w:val="20"/>
                <w:szCs w:val="20"/>
              </w:rPr>
              <w:t xml:space="preserve">$19,089 </w:t>
            </w:r>
          </w:p>
        </w:tc>
      </w:tr>
    </w:tbl>
    <w:p w:rsidR="00434E78" w:rsidRPr="000C0B5F" w:rsidP="00FC6893" w14:paraId="01724E3A" w14:textId="0739D4FF">
      <w:pPr>
        <w:pStyle w:val="Heading2"/>
        <w:spacing w:before="240" w:after="120"/>
      </w:pPr>
      <w:r w:rsidRPr="000C0B5F">
        <w:t xml:space="preserve">14c. </w:t>
      </w:r>
      <w:r w:rsidRPr="000C0B5F" w:rsidR="00AF13F7">
        <w:t>AGENCY NON-LABOR COSTS</w:t>
      </w:r>
    </w:p>
    <w:p w:rsidR="006F7F79" w:rsidRPr="000C0B5F" w:rsidP="006F7F79" w14:paraId="3EA54DE6" w14:textId="77777777">
      <w:pPr>
        <w:spacing w:line="276" w:lineRule="auto"/>
      </w:pPr>
      <w:r w:rsidRPr="000C0B5F">
        <w:t>There is an O&amp;M burden of 25 hours of Agency staff time and 23 hours of contractor time to maintain the electronic reporting system used by facilities to submit digital photographs from their daily inspections. This is roughly half the amount of hours estimated from the previous ICR in 2023, as operational experience has shown there has not been as much maintenance work needed as originally estimated. Maintenance of this system is independent of the number of respondents. It is estimated that 6 hours of Agency technical staff time and 4 hours of Agency clerical staff time are required per reporting facility annually to review submitted reports. This information is submitted a minimum of once per month by the six facilities with non-conventional impoundments, though some facilities have chosen to submit reports weekly. The Agency estimates that over the next three years an additional 15 facilities may begin reporting.</w:t>
      </w:r>
    </w:p>
    <w:p w:rsidR="00434E78" w:rsidRPr="000C0B5F" w:rsidP="008334C2" w14:paraId="4F3FC1E7" w14:textId="130159B0">
      <w:pPr>
        <w:pStyle w:val="Heading2"/>
        <w:spacing w:after="120" w:line="276" w:lineRule="auto"/>
      </w:pPr>
      <w:r w:rsidRPr="000C0B5F">
        <w:t xml:space="preserve">14d. </w:t>
      </w:r>
      <w:r w:rsidRPr="000C0B5F" w:rsidR="00AF13F7">
        <w:t>AGENCY TOTAL COSTS</w:t>
      </w:r>
    </w:p>
    <w:p w:rsidR="00434E78" w:rsidRPr="003D1FCB" w:rsidP="008334C2" w14:paraId="2BE133DD" w14:textId="416335CE">
      <w:pPr>
        <w:spacing w:line="276" w:lineRule="auto"/>
      </w:pPr>
      <w:r w:rsidRPr="000C0B5F">
        <w:t>The total agency cost</w:t>
      </w:r>
      <w:r w:rsidRPr="000C0B5F" w:rsidR="463B4F11">
        <w:t xml:space="preserve"> is</w:t>
      </w:r>
      <w:r w:rsidRPr="000C0B5F">
        <w:t xml:space="preserve"> the sum of the totals of </w:t>
      </w:r>
      <w:r w:rsidRPr="000C0B5F" w:rsidR="00002AE5">
        <w:t>s</w:t>
      </w:r>
      <w:r w:rsidRPr="000C0B5F">
        <w:t>ubpart W</w:t>
      </w:r>
      <w:r w:rsidRPr="000C0B5F" w:rsidR="700E0452">
        <w:t xml:space="preserve"> </w:t>
      </w:r>
      <w:r w:rsidRPr="000C0B5F">
        <w:t>(non</w:t>
      </w:r>
      <w:r w:rsidRPr="000C0B5F" w:rsidR="00B25696">
        <w:t>-</w:t>
      </w:r>
      <w:r w:rsidRPr="000C0B5F">
        <w:t xml:space="preserve">conventional) and </w:t>
      </w:r>
      <w:r w:rsidRPr="000C0B5F" w:rsidR="00002AE5">
        <w:t>s</w:t>
      </w:r>
      <w:r w:rsidRPr="000C0B5F">
        <w:t xml:space="preserve">ubparts B, R, and W </w:t>
      </w:r>
      <w:r w:rsidRPr="000C0B5F" w:rsidR="2E0AAE18">
        <w:t>(</w:t>
      </w:r>
      <w:r w:rsidRPr="000C0B5F">
        <w:t>conventional</w:t>
      </w:r>
      <w:r w:rsidRPr="000C0B5F" w:rsidR="23944CC9">
        <w:t>)</w:t>
      </w:r>
      <w:r w:rsidRPr="000C0B5F" w:rsidR="4AE4E3A0">
        <w:t xml:space="preserve">. This amount is </w:t>
      </w:r>
      <w:r w:rsidRPr="000C0B5F" w:rsidR="5CE41191">
        <w:t>$</w:t>
      </w:r>
      <w:r w:rsidRPr="000C0B5F" w:rsidR="6505BA04">
        <w:t>41,</w:t>
      </w:r>
      <w:r w:rsidRPr="000C0B5F" w:rsidR="0028773F">
        <w:t>937</w:t>
      </w:r>
      <w:r w:rsidRPr="000C0B5F" w:rsidR="0B570E9D">
        <w:t>.</w:t>
      </w:r>
      <w:r w:rsidRPr="000C0B5F" w:rsidR="3893F534">
        <w:t xml:space="preserve"> </w:t>
      </w:r>
      <w:r w:rsidRPr="000C0B5F" w:rsidR="0B570E9D">
        <w:t xml:space="preserve"> </w:t>
      </w:r>
    </w:p>
    <w:p w:rsidR="004620CA" w:rsidRPr="000C0B5F" w:rsidP="008334C2" w14:paraId="3144CC9D" w14:textId="0FBBD5C6">
      <w:pPr>
        <w:pStyle w:val="Heading1"/>
        <w:numPr>
          <w:ilvl w:val="0"/>
          <w:numId w:val="28"/>
        </w:numPr>
        <w:spacing w:after="120" w:line="276" w:lineRule="auto"/>
      </w:pPr>
      <w:r w:rsidRPr="000C0B5F">
        <w:t>CHANGE IN BURDEN</w:t>
      </w:r>
      <w:bookmarkEnd w:id="22"/>
      <w:r w:rsidRPr="000C0B5F" w:rsidR="00EF46E9">
        <w:t>:</w:t>
      </w:r>
    </w:p>
    <w:p w:rsidR="00ED57A4" w:rsidRPr="00BF13BE" w:rsidP="008334C2" w14:paraId="18F76AB6" w14:textId="044DE4EE">
      <w:pPr>
        <w:spacing w:line="276" w:lineRule="auto"/>
        <w:rPr>
          <w:sz w:val="20"/>
          <w:szCs w:val="20"/>
        </w:rPr>
      </w:pPr>
      <w:r w:rsidRPr="00BF13BE">
        <w:t xml:space="preserve">There is increase of 7,155 hours in the total estimated respondent burden compared with the ICR currently approved by OMB. This increase is due to additional subpart B and subpart W facilities potentially coming online by 2029. In the case of subpart B, based on information gathered for this ICR renewal, the Agency identified up to 14 respondents that are likely to submit annual reports by 2029, which would be an increase of 12 facilities from the previous ICR. The additional responses for subpart B will lead to increases of 2,760 burden hours and $63,600 in non-labor cost. In the case of subpart W, </w:t>
      </w:r>
      <w:r w:rsidRPr="00BF13BE">
        <w:t>there is the potential for an additional 15 non-conventional impoundments to be constructed and operated. This is estimated to produce an additional 4,395 burden hours and $5,700 in non-labor costs. For subparts K and R, there were no changes to the number of respondents, the annual time burden, or the annual non-labor cost compared to the most recent renewals of this ICR.</w:t>
      </w:r>
    </w:p>
    <w:p w:rsidR="005D140B" w:rsidRPr="000C0B5F" w:rsidP="008334C2" w14:paraId="3604F417" w14:textId="2144C5E3">
      <w:pPr>
        <w:pStyle w:val="Heading1"/>
        <w:numPr>
          <w:ilvl w:val="0"/>
          <w:numId w:val="28"/>
        </w:numPr>
        <w:spacing w:after="120" w:line="276" w:lineRule="auto"/>
      </w:pPr>
      <w:bookmarkStart w:id="23" w:name="_Toc156593389"/>
      <w:r w:rsidRPr="000C0B5F">
        <w:t>PUBLICATION OF DATA</w:t>
      </w:r>
      <w:bookmarkStart w:id="24" w:name="_Toc156593390"/>
      <w:bookmarkEnd w:id="23"/>
      <w:r w:rsidRPr="000C0B5F" w:rsidR="00EF46E9">
        <w:t>:</w:t>
      </w:r>
    </w:p>
    <w:p w:rsidR="3E59F633" w:rsidRPr="000C0B5F" w:rsidP="008334C2" w14:paraId="1FB311CD" w14:textId="58C841E7">
      <w:pPr>
        <w:spacing w:line="276" w:lineRule="auto"/>
      </w:pPr>
      <w:r w:rsidRPr="000C0B5F">
        <w:t>This section is not applicable to the document at this stage</w:t>
      </w:r>
      <w:r w:rsidRPr="000C0B5F" w:rsidR="6D612D38">
        <w:t xml:space="preserve"> and</w:t>
      </w:r>
      <w:r w:rsidRPr="000C0B5F">
        <w:t xml:space="preserve"> will be populated at a later date once re</w:t>
      </w:r>
      <w:r w:rsidRPr="000C0B5F" w:rsidR="4886390C">
        <w:t>views have been conducted.</w:t>
      </w:r>
    </w:p>
    <w:p w:rsidR="00627768" w:rsidRPr="000C0B5F" w:rsidP="008334C2" w14:paraId="54E9D2D0" w14:textId="666852C1">
      <w:pPr>
        <w:pStyle w:val="Heading1"/>
        <w:numPr>
          <w:ilvl w:val="0"/>
          <w:numId w:val="28"/>
        </w:numPr>
        <w:spacing w:after="120" w:line="276" w:lineRule="auto"/>
      </w:pPr>
      <w:r w:rsidRPr="000C0B5F">
        <w:t>DISPLAY OF OMB CONTROL NUMBER AND EXPIRATION DATE ON INSTRUMENTS</w:t>
      </w:r>
      <w:bookmarkEnd w:id="24"/>
      <w:r w:rsidRPr="000C0B5F" w:rsidR="00EF46E9">
        <w:t>:</w:t>
      </w:r>
      <w:r w:rsidRPr="000C0B5F" w:rsidR="00644EBE">
        <w:t xml:space="preserve"> </w:t>
      </w:r>
    </w:p>
    <w:p w:rsidR="00691828" w:rsidRPr="000C0B5F" w:rsidP="008334C2" w14:paraId="078F6DE1" w14:textId="4368A74B">
      <w:pPr>
        <w:spacing w:line="276" w:lineRule="auto"/>
      </w:pPr>
      <w:r w:rsidRPr="000C0B5F">
        <w:t xml:space="preserve">The reporting system that will be used by </w:t>
      </w:r>
      <w:r w:rsidRPr="000C0B5F" w:rsidR="00D50331">
        <w:t>respondents</w:t>
      </w:r>
      <w:r w:rsidRPr="000C0B5F">
        <w:t xml:space="preserve"> to upload compliance documents and/or materials for subpart W will be SWIPR. Uploads will be reviewed by EPA personnel to ensure compliance is followed with reporting requirements.</w:t>
      </w:r>
    </w:p>
    <w:p w:rsidR="00691828" w:rsidRPr="000C0B5F" w:rsidP="008334C2" w14:paraId="7CCB26DD" w14:textId="22F64CC9">
      <w:pPr>
        <w:pStyle w:val="Heading1"/>
        <w:numPr>
          <w:ilvl w:val="0"/>
          <w:numId w:val="28"/>
        </w:numPr>
        <w:spacing w:after="120" w:line="276" w:lineRule="auto"/>
      </w:pPr>
      <w:bookmarkStart w:id="25" w:name="_Toc156593391"/>
      <w:r w:rsidRPr="000C0B5F">
        <w:t>CERTIFICATION STATEMENT</w:t>
      </w:r>
      <w:bookmarkEnd w:id="25"/>
      <w:r w:rsidRPr="000C0B5F" w:rsidR="00EF46E9">
        <w:t>:</w:t>
      </w:r>
    </w:p>
    <w:p w:rsidR="006F4532" w:rsidRPr="000C0B5F" w:rsidP="008334C2" w14:paraId="5204A91C" w14:textId="25FF0EE8">
      <w:pPr>
        <w:spacing w:line="276" w:lineRule="auto"/>
      </w:pPr>
      <w:r w:rsidRPr="000C0B5F">
        <w:t>This information collection complies with all provisions of the Certification for Paperwork Reduction Act Submissions.</w:t>
      </w:r>
    </w:p>
    <w:p w:rsidR="00815637" w:rsidRPr="000C0B5F" w:rsidP="006F4532" w14:paraId="21BA2239" w14:textId="77777777">
      <w:pPr>
        <w:pStyle w:val="Heading1"/>
        <w:keepNext w:val="0"/>
        <w:spacing w:before="0" w:after="160"/>
        <w:rPr>
          <w:b w:val="0"/>
          <w:bCs w:val="0"/>
          <w:color w:val="000000" w:themeColor="text1"/>
        </w:rPr>
      </w:pPr>
      <w:r w:rsidRPr="000C0B5F">
        <w:rPr>
          <w:color w:val="000000" w:themeColor="text1"/>
        </w:rPr>
        <w:t>BURDEN STATEMENT</w:t>
      </w:r>
    </w:p>
    <w:p w:rsidR="00815637" w:rsidRPr="00095F89" w:rsidP="008334C2" w14:paraId="62754ADE" w14:textId="6794A0E8">
      <w:pPr>
        <w:spacing w:line="276" w:lineRule="auto"/>
      </w:pPr>
      <w:r w:rsidRPr="000C0B5F">
        <w:t>The annual public reporting and record keeping burden for this collection of information is estimated to average 4</w:t>
      </w:r>
      <w:r w:rsidRPr="000C0B5F" w:rsidR="00107A09">
        <w:t>0</w:t>
      </w:r>
      <w:r w:rsidRPr="000C0B5F">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sectPr w:rsidSect="00621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rsidP="00454889" w14:paraId="06D3CFC2" w14:textId="707E61F8">
        <w:pPr>
          <w:pStyle w:val="Footer"/>
        </w:pPr>
        <w:r>
          <w:fldChar w:fldCharType="begin"/>
        </w:r>
        <w:r>
          <w:instrText xml:space="preserve"> PAGE   \* MERGEFORMAT </w:instrText>
        </w:r>
        <w:r>
          <w:fldChar w:fldCharType="separate"/>
        </w:r>
        <w:r>
          <w:rPr>
            <w:noProof/>
          </w:rPr>
          <w:t>2</w:t>
        </w:r>
        <w:r>
          <w:rPr>
            <w:noProof/>
          </w:rPr>
          <w:fldChar w:fldCharType="end"/>
        </w:r>
      </w:p>
    </w:sdtContent>
  </w:sdt>
  <w:p w:rsidR="00BB432F" w:rsidP="00454889" w14:paraId="124C49E3"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2673" w14:paraId="772800A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73098B"/>
    <w:multiLevelType w:val="hybridMultilevel"/>
    <w:tmpl w:val="53FAF6B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BC70FE2"/>
    <w:multiLevelType w:val="hybridMultilevel"/>
    <w:tmpl w:val="195AF18A"/>
    <w:lvl w:ilvl="0">
      <w:start w:val="1"/>
      <w:numFmt w:val="bullet"/>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FD76892"/>
    <w:multiLevelType w:val="hybridMultilevel"/>
    <w:tmpl w:val="58E490E4"/>
    <w:lvl w:ilvl="0">
      <w:start w:val="1"/>
      <w:numFmt w:val="decimal"/>
      <w:lvlText w:val="%1)"/>
      <w:lvlJc w:val="left"/>
      <w:pPr>
        <w:ind w:left="1440" w:hanging="360"/>
      </w:pPr>
    </w:lvl>
    <w:lvl w:ilvl="1">
      <w:start w:val="1"/>
      <w:numFmt w:val="decimal"/>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1A938DB"/>
    <w:multiLevelType w:val="hybridMultilevel"/>
    <w:tmpl w:val="C638D2FE"/>
    <w:lvl w:ilvl="0">
      <w:start w:val="1"/>
      <w:numFmt w:val="bullet"/>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F47D3A"/>
    <w:multiLevelType w:val="hybridMultilevel"/>
    <w:tmpl w:val="E28A6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28F5819"/>
    <w:multiLevelType w:val="hybridMultilevel"/>
    <w:tmpl w:val="F4B41CFE"/>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97F4CE7"/>
    <w:multiLevelType w:val="hybridMultilevel"/>
    <w:tmpl w:val="23B66976"/>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1">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1875DC6"/>
    <w:multiLevelType w:val="hybridMultilevel"/>
    <w:tmpl w:val="87762B86"/>
    <w:lvl w:ilvl="0">
      <w:start w:val="1"/>
      <w:numFmt w:val="decimal"/>
      <w:lvlText w:val="%1."/>
      <w:lvlJc w:val="left"/>
      <w:pPr>
        <w:ind w:left="360" w:hanging="360"/>
      </w:pPr>
      <w:rPr>
        <w:rFonts w:asciiTheme="minorHAnsi" w:hAnsiTheme="minorHAnsi" w:cstheme="minorHAnsi" w:hint="default"/>
        <w:b/>
        <w:bCs/>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52E51F0"/>
    <w:multiLevelType w:val="hybridMultilevel"/>
    <w:tmpl w:val="0BECB5E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30">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9E47CA9"/>
    <w:multiLevelType w:val="hybridMultilevel"/>
    <w:tmpl w:val="23B66976"/>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6">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7"/>
  </w:num>
  <w:num w:numId="2" w16cid:durableId="1032609060">
    <w:abstractNumId w:val="9"/>
  </w:num>
  <w:num w:numId="3" w16cid:durableId="1158494831">
    <w:abstractNumId w:val="2"/>
  </w:num>
  <w:num w:numId="4" w16cid:durableId="493573829">
    <w:abstractNumId w:val="36"/>
  </w:num>
  <w:num w:numId="5" w16cid:durableId="2055687918">
    <w:abstractNumId w:val="24"/>
  </w:num>
  <w:num w:numId="6" w16cid:durableId="1603025219">
    <w:abstractNumId w:val="32"/>
  </w:num>
  <w:num w:numId="7" w16cid:durableId="423957196">
    <w:abstractNumId w:val="21"/>
  </w:num>
  <w:num w:numId="8" w16cid:durableId="2031829208">
    <w:abstractNumId w:val="28"/>
  </w:num>
  <w:num w:numId="9" w16cid:durableId="218439549">
    <w:abstractNumId w:val="13"/>
  </w:num>
  <w:num w:numId="10" w16cid:durableId="1285231924">
    <w:abstractNumId w:val="7"/>
  </w:num>
  <w:num w:numId="11" w16cid:durableId="327370686">
    <w:abstractNumId w:val="12"/>
  </w:num>
  <w:num w:numId="12" w16cid:durableId="1802993385">
    <w:abstractNumId w:val="15"/>
  </w:num>
  <w:num w:numId="13" w16cid:durableId="1792938267">
    <w:abstractNumId w:val="37"/>
  </w:num>
  <w:num w:numId="14" w16cid:durableId="239490726">
    <w:abstractNumId w:val="10"/>
  </w:num>
  <w:num w:numId="15" w16cid:durableId="1395350314">
    <w:abstractNumId w:val="14"/>
  </w:num>
  <w:num w:numId="16" w16cid:durableId="441535906">
    <w:abstractNumId w:val="18"/>
  </w:num>
  <w:num w:numId="17" w16cid:durableId="2008243381">
    <w:abstractNumId w:val="29"/>
  </w:num>
  <w:num w:numId="18" w16cid:durableId="840463183">
    <w:abstractNumId w:val="27"/>
  </w:num>
  <w:num w:numId="19" w16cid:durableId="469980091">
    <w:abstractNumId w:val="31"/>
  </w:num>
  <w:num w:numId="20" w16cid:durableId="2126730031">
    <w:abstractNumId w:val="16"/>
  </w:num>
  <w:num w:numId="21" w16cid:durableId="106124704">
    <w:abstractNumId w:val="1"/>
  </w:num>
  <w:num w:numId="22" w16cid:durableId="1552418013">
    <w:abstractNumId w:val="19"/>
  </w:num>
  <w:num w:numId="23" w16cid:durableId="1598828334">
    <w:abstractNumId w:val="33"/>
  </w:num>
  <w:num w:numId="24" w16cid:durableId="2051031068">
    <w:abstractNumId w:val="0"/>
  </w:num>
  <w:num w:numId="25" w16cid:durableId="258569098">
    <w:abstractNumId w:val="22"/>
  </w:num>
  <w:num w:numId="26" w16cid:durableId="331181582">
    <w:abstractNumId w:val="25"/>
  </w:num>
  <w:num w:numId="27" w16cid:durableId="1015961391">
    <w:abstractNumId w:val="30"/>
  </w:num>
  <w:num w:numId="28" w16cid:durableId="1315645907">
    <w:abstractNumId w:val="23"/>
  </w:num>
  <w:num w:numId="29" w16cid:durableId="1456172683">
    <w:abstractNumId w:val="34"/>
  </w:num>
  <w:num w:numId="30" w16cid:durableId="2047637454">
    <w:abstractNumId w:val="20"/>
  </w:num>
  <w:num w:numId="31" w16cid:durableId="479930992">
    <w:abstractNumId w:val="3"/>
  </w:num>
  <w:num w:numId="32" w16cid:durableId="1784686476">
    <w:abstractNumId w:val="11"/>
  </w:num>
  <w:num w:numId="33" w16cid:durableId="1654065972">
    <w:abstractNumId w:val="5"/>
  </w:num>
  <w:num w:numId="34" w16cid:durableId="853693423">
    <w:abstractNumId w:val="4"/>
  </w:num>
  <w:num w:numId="35" w16cid:durableId="274560859">
    <w:abstractNumId w:val="26"/>
  </w:num>
  <w:num w:numId="36" w16cid:durableId="1344160904">
    <w:abstractNumId w:val="6"/>
  </w:num>
  <w:num w:numId="37" w16cid:durableId="882399463">
    <w:abstractNumId w:val="35"/>
  </w:num>
  <w:num w:numId="38" w16cid:durableId="131629623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0CE7"/>
    <w:rsid w:val="0000283E"/>
    <w:rsid w:val="00002AE5"/>
    <w:rsid w:val="0000329D"/>
    <w:rsid w:val="00003AC2"/>
    <w:rsid w:val="00003CF7"/>
    <w:rsid w:val="00003D64"/>
    <w:rsid w:val="00003F00"/>
    <w:rsid w:val="00004678"/>
    <w:rsid w:val="000052DC"/>
    <w:rsid w:val="0000650B"/>
    <w:rsid w:val="000069C3"/>
    <w:rsid w:val="00006C95"/>
    <w:rsid w:val="0000792A"/>
    <w:rsid w:val="00007FB5"/>
    <w:rsid w:val="00010EEE"/>
    <w:rsid w:val="000129E1"/>
    <w:rsid w:val="00013852"/>
    <w:rsid w:val="00013C55"/>
    <w:rsid w:val="00013CE8"/>
    <w:rsid w:val="00014B10"/>
    <w:rsid w:val="00015FF6"/>
    <w:rsid w:val="0001637F"/>
    <w:rsid w:val="00017763"/>
    <w:rsid w:val="00017B90"/>
    <w:rsid w:val="00020595"/>
    <w:rsid w:val="00020791"/>
    <w:rsid w:val="00023EFE"/>
    <w:rsid w:val="000267E1"/>
    <w:rsid w:val="0002772F"/>
    <w:rsid w:val="00027C0A"/>
    <w:rsid w:val="00030670"/>
    <w:rsid w:val="00030705"/>
    <w:rsid w:val="0003166C"/>
    <w:rsid w:val="00032552"/>
    <w:rsid w:val="00033219"/>
    <w:rsid w:val="000335DF"/>
    <w:rsid w:val="000337A4"/>
    <w:rsid w:val="0003387B"/>
    <w:rsid w:val="00034035"/>
    <w:rsid w:val="00035930"/>
    <w:rsid w:val="000359C9"/>
    <w:rsid w:val="00036CF2"/>
    <w:rsid w:val="00037107"/>
    <w:rsid w:val="000374FE"/>
    <w:rsid w:val="000406F5"/>
    <w:rsid w:val="00041AFF"/>
    <w:rsid w:val="00042F77"/>
    <w:rsid w:val="0004467E"/>
    <w:rsid w:val="00044936"/>
    <w:rsid w:val="000452DC"/>
    <w:rsid w:val="00045AA7"/>
    <w:rsid w:val="000461BA"/>
    <w:rsid w:val="00047160"/>
    <w:rsid w:val="00047696"/>
    <w:rsid w:val="00050BB4"/>
    <w:rsid w:val="00051045"/>
    <w:rsid w:val="0005166D"/>
    <w:rsid w:val="0005213B"/>
    <w:rsid w:val="00052926"/>
    <w:rsid w:val="00052C16"/>
    <w:rsid w:val="00052D24"/>
    <w:rsid w:val="00053570"/>
    <w:rsid w:val="00053F4D"/>
    <w:rsid w:val="000544D0"/>
    <w:rsid w:val="00054B67"/>
    <w:rsid w:val="0005572E"/>
    <w:rsid w:val="00056113"/>
    <w:rsid w:val="000561F4"/>
    <w:rsid w:val="0005629D"/>
    <w:rsid w:val="0005783D"/>
    <w:rsid w:val="00060163"/>
    <w:rsid w:val="0006085E"/>
    <w:rsid w:val="0006128A"/>
    <w:rsid w:val="00061A77"/>
    <w:rsid w:val="00061BCE"/>
    <w:rsid w:val="00063CA7"/>
    <w:rsid w:val="0006490C"/>
    <w:rsid w:val="00065167"/>
    <w:rsid w:val="00065411"/>
    <w:rsid w:val="00065526"/>
    <w:rsid w:val="00066059"/>
    <w:rsid w:val="000672D4"/>
    <w:rsid w:val="000675A6"/>
    <w:rsid w:val="00067E6E"/>
    <w:rsid w:val="00070074"/>
    <w:rsid w:val="0007119B"/>
    <w:rsid w:val="000728E0"/>
    <w:rsid w:val="00073C3D"/>
    <w:rsid w:val="000742E5"/>
    <w:rsid w:val="000743A3"/>
    <w:rsid w:val="00074737"/>
    <w:rsid w:val="00074917"/>
    <w:rsid w:val="00074E51"/>
    <w:rsid w:val="00075C7A"/>
    <w:rsid w:val="000762A8"/>
    <w:rsid w:val="00076439"/>
    <w:rsid w:val="00076B38"/>
    <w:rsid w:val="00076F0F"/>
    <w:rsid w:val="00077C9B"/>
    <w:rsid w:val="00077D8A"/>
    <w:rsid w:val="000800B1"/>
    <w:rsid w:val="000817F0"/>
    <w:rsid w:val="00082A72"/>
    <w:rsid w:val="00083D4A"/>
    <w:rsid w:val="00084BF3"/>
    <w:rsid w:val="00090627"/>
    <w:rsid w:val="00090750"/>
    <w:rsid w:val="00090D20"/>
    <w:rsid w:val="000911D6"/>
    <w:rsid w:val="00091EB4"/>
    <w:rsid w:val="0009219E"/>
    <w:rsid w:val="000925BD"/>
    <w:rsid w:val="00093C6D"/>
    <w:rsid w:val="00093DC2"/>
    <w:rsid w:val="00094023"/>
    <w:rsid w:val="00094264"/>
    <w:rsid w:val="0009492C"/>
    <w:rsid w:val="00095031"/>
    <w:rsid w:val="00095F01"/>
    <w:rsid w:val="00095F89"/>
    <w:rsid w:val="000978FD"/>
    <w:rsid w:val="000A1198"/>
    <w:rsid w:val="000A11F1"/>
    <w:rsid w:val="000A1353"/>
    <w:rsid w:val="000A170A"/>
    <w:rsid w:val="000A1D37"/>
    <w:rsid w:val="000A3119"/>
    <w:rsid w:val="000A397C"/>
    <w:rsid w:val="000A4527"/>
    <w:rsid w:val="000A562A"/>
    <w:rsid w:val="000A6A91"/>
    <w:rsid w:val="000B16A3"/>
    <w:rsid w:val="000B3163"/>
    <w:rsid w:val="000B3576"/>
    <w:rsid w:val="000B461B"/>
    <w:rsid w:val="000B6C6E"/>
    <w:rsid w:val="000B7BBA"/>
    <w:rsid w:val="000C0B5F"/>
    <w:rsid w:val="000C10CF"/>
    <w:rsid w:val="000C41A7"/>
    <w:rsid w:val="000C43C8"/>
    <w:rsid w:val="000C608D"/>
    <w:rsid w:val="000C7A29"/>
    <w:rsid w:val="000D224E"/>
    <w:rsid w:val="000D251E"/>
    <w:rsid w:val="000D2D5D"/>
    <w:rsid w:val="000D2D7D"/>
    <w:rsid w:val="000D3C22"/>
    <w:rsid w:val="000D458D"/>
    <w:rsid w:val="000D45B2"/>
    <w:rsid w:val="000D516A"/>
    <w:rsid w:val="000D5284"/>
    <w:rsid w:val="000D5863"/>
    <w:rsid w:val="000D6FA4"/>
    <w:rsid w:val="000D74AF"/>
    <w:rsid w:val="000E1158"/>
    <w:rsid w:val="000E184B"/>
    <w:rsid w:val="000E19CB"/>
    <w:rsid w:val="000E1FE8"/>
    <w:rsid w:val="000E3298"/>
    <w:rsid w:val="000E348B"/>
    <w:rsid w:val="000E373E"/>
    <w:rsid w:val="000E37D3"/>
    <w:rsid w:val="000E5609"/>
    <w:rsid w:val="000E59BB"/>
    <w:rsid w:val="000E7DC1"/>
    <w:rsid w:val="000F0186"/>
    <w:rsid w:val="000F0C74"/>
    <w:rsid w:val="000F0FFD"/>
    <w:rsid w:val="000F17FD"/>
    <w:rsid w:val="000F29EE"/>
    <w:rsid w:val="000F3114"/>
    <w:rsid w:val="000F338A"/>
    <w:rsid w:val="000F3AC3"/>
    <w:rsid w:val="000F451B"/>
    <w:rsid w:val="000F47D4"/>
    <w:rsid w:val="000F4DBB"/>
    <w:rsid w:val="000F6D04"/>
    <w:rsid w:val="000F6DEE"/>
    <w:rsid w:val="000F7F0C"/>
    <w:rsid w:val="00100432"/>
    <w:rsid w:val="00100499"/>
    <w:rsid w:val="00100BF7"/>
    <w:rsid w:val="00100FA6"/>
    <w:rsid w:val="00101362"/>
    <w:rsid w:val="0010158E"/>
    <w:rsid w:val="0010258D"/>
    <w:rsid w:val="001026AB"/>
    <w:rsid w:val="00102EE5"/>
    <w:rsid w:val="00103DD8"/>
    <w:rsid w:val="001049A5"/>
    <w:rsid w:val="00105F52"/>
    <w:rsid w:val="0010695D"/>
    <w:rsid w:val="00106C2C"/>
    <w:rsid w:val="00106CFE"/>
    <w:rsid w:val="00107505"/>
    <w:rsid w:val="00107A09"/>
    <w:rsid w:val="00107AFF"/>
    <w:rsid w:val="00107CE4"/>
    <w:rsid w:val="00107DC3"/>
    <w:rsid w:val="00111663"/>
    <w:rsid w:val="00112360"/>
    <w:rsid w:val="0011244C"/>
    <w:rsid w:val="00112675"/>
    <w:rsid w:val="0011294B"/>
    <w:rsid w:val="001140AD"/>
    <w:rsid w:val="001141DA"/>
    <w:rsid w:val="00116064"/>
    <w:rsid w:val="001172FE"/>
    <w:rsid w:val="00117958"/>
    <w:rsid w:val="00117F61"/>
    <w:rsid w:val="00117FE1"/>
    <w:rsid w:val="00120EB8"/>
    <w:rsid w:val="00122121"/>
    <w:rsid w:val="00122A57"/>
    <w:rsid w:val="00122FA6"/>
    <w:rsid w:val="00124AAC"/>
    <w:rsid w:val="001261CC"/>
    <w:rsid w:val="00126BA2"/>
    <w:rsid w:val="0013006A"/>
    <w:rsid w:val="00130CF9"/>
    <w:rsid w:val="001310E0"/>
    <w:rsid w:val="00132921"/>
    <w:rsid w:val="001329B3"/>
    <w:rsid w:val="00133C96"/>
    <w:rsid w:val="00135EAD"/>
    <w:rsid w:val="00136237"/>
    <w:rsid w:val="00137EB8"/>
    <w:rsid w:val="00140010"/>
    <w:rsid w:val="00140841"/>
    <w:rsid w:val="00140B66"/>
    <w:rsid w:val="001429A7"/>
    <w:rsid w:val="00145DAE"/>
    <w:rsid w:val="001465C5"/>
    <w:rsid w:val="00147B68"/>
    <w:rsid w:val="0015084F"/>
    <w:rsid w:val="00152A80"/>
    <w:rsid w:val="0015354F"/>
    <w:rsid w:val="00153D68"/>
    <w:rsid w:val="00155AD1"/>
    <w:rsid w:val="00156D15"/>
    <w:rsid w:val="001572B3"/>
    <w:rsid w:val="0015750C"/>
    <w:rsid w:val="00160461"/>
    <w:rsid w:val="001613DA"/>
    <w:rsid w:val="00161846"/>
    <w:rsid w:val="001636DA"/>
    <w:rsid w:val="00163C69"/>
    <w:rsid w:val="00163F78"/>
    <w:rsid w:val="00164169"/>
    <w:rsid w:val="00164F83"/>
    <w:rsid w:val="00166B27"/>
    <w:rsid w:val="0016746A"/>
    <w:rsid w:val="00170329"/>
    <w:rsid w:val="00170689"/>
    <w:rsid w:val="0017083F"/>
    <w:rsid w:val="00170EB8"/>
    <w:rsid w:val="001714F2"/>
    <w:rsid w:val="00171DC0"/>
    <w:rsid w:val="00173422"/>
    <w:rsid w:val="00173E50"/>
    <w:rsid w:val="00176BA8"/>
    <w:rsid w:val="00177206"/>
    <w:rsid w:val="001775F3"/>
    <w:rsid w:val="00180511"/>
    <w:rsid w:val="0018262E"/>
    <w:rsid w:val="00182EBF"/>
    <w:rsid w:val="001836CC"/>
    <w:rsid w:val="00184011"/>
    <w:rsid w:val="001847D4"/>
    <w:rsid w:val="0018502D"/>
    <w:rsid w:val="00185251"/>
    <w:rsid w:val="001865AF"/>
    <w:rsid w:val="00186985"/>
    <w:rsid w:val="0019149E"/>
    <w:rsid w:val="0019182F"/>
    <w:rsid w:val="00191C72"/>
    <w:rsid w:val="001925B3"/>
    <w:rsid w:val="001929FB"/>
    <w:rsid w:val="00193C30"/>
    <w:rsid w:val="001943BC"/>
    <w:rsid w:val="0019447D"/>
    <w:rsid w:val="0019580A"/>
    <w:rsid w:val="00195BEB"/>
    <w:rsid w:val="00197A23"/>
    <w:rsid w:val="001A1EA6"/>
    <w:rsid w:val="001A20B0"/>
    <w:rsid w:val="001A21A7"/>
    <w:rsid w:val="001A3289"/>
    <w:rsid w:val="001A3351"/>
    <w:rsid w:val="001A3B06"/>
    <w:rsid w:val="001A53A7"/>
    <w:rsid w:val="001A5946"/>
    <w:rsid w:val="001A64BF"/>
    <w:rsid w:val="001A76B3"/>
    <w:rsid w:val="001A7CD2"/>
    <w:rsid w:val="001A7DEF"/>
    <w:rsid w:val="001B0C56"/>
    <w:rsid w:val="001B1773"/>
    <w:rsid w:val="001B1962"/>
    <w:rsid w:val="001B266E"/>
    <w:rsid w:val="001B2D25"/>
    <w:rsid w:val="001B3364"/>
    <w:rsid w:val="001B4565"/>
    <w:rsid w:val="001B46D7"/>
    <w:rsid w:val="001B4BEC"/>
    <w:rsid w:val="001B5852"/>
    <w:rsid w:val="001B5C84"/>
    <w:rsid w:val="001B600F"/>
    <w:rsid w:val="001B66FC"/>
    <w:rsid w:val="001B6B71"/>
    <w:rsid w:val="001B7B47"/>
    <w:rsid w:val="001B7EA9"/>
    <w:rsid w:val="001C0151"/>
    <w:rsid w:val="001C093B"/>
    <w:rsid w:val="001C1E59"/>
    <w:rsid w:val="001C260A"/>
    <w:rsid w:val="001C2D48"/>
    <w:rsid w:val="001C3106"/>
    <w:rsid w:val="001C3500"/>
    <w:rsid w:val="001C3D5A"/>
    <w:rsid w:val="001C4634"/>
    <w:rsid w:val="001C4650"/>
    <w:rsid w:val="001C586E"/>
    <w:rsid w:val="001C6741"/>
    <w:rsid w:val="001C7470"/>
    <w:rsid w:val="001C7D52"/>
    <w:rsid w:val="001C7E44"/>
    <w:rsid w:val="001D01BB"/>
    <w:rsid w:val="001D294E"/>
    <w:rsid w:val="001D47F8"/>
    <w:rsid w:val="001D4CDC"/>
    <w:rsid w:val="001D4D40"/>
    <w:rsid w:val="001D4F2F"/>
    <w:rsid w:val="001D51D8"/>
    <w:rsid w:val="001D5CED"/>
    <w:rsid w:val="001D62C8"/>
    <w:rsid w:val="001E0924"/>
    <w:rsid w:val="001E211E"/>
    <w:rsid w:val="001E3A31"/>
    <w:rsid w:val="001E4216"/>
    <w:rsid w:val="001E43D7"/>
    <w:rsid w:val="001E4BC2"/>
    <w:rsid w:val="001E534A"/>
    <w:rsid w:val="001E548A"/>
    <w:rsid w:val="001E5BCB"/>
    <w:rsid w:val="001E601A"/>
    <w:rsid w:val="001E63FB"/>
    <w:rsid w:val="001E6899"/>
    <w:rsid w:val="001E6E50"/>
    <w:rsid w:val="001E7480"/>
    <w:rsid w:val="001E74E1"/>
    <w:rsid w:val="001F0834"/>
    <w:rsid w:val="001F0D3B"/>
    <w:rsid w:val="001F1A52"/>
    <w:rsid w:val="001F1C18"/>
    <w:rsid w:val="001F1F14"/>
    <w:rsid w:val="001F2056"/>
    <w:rsid w:val="001F34A5"/>
    <w:rsid w:val="001F370A"/>
    <w:rsid w:val="001F41EC"/>
    <w:rsid w:val="001F43A2"/>
    <w:rsid w:val="001F46FA"/>
    <w:rsid w:val="001F5541"/>
    <w:rsid w:val="001F675A"/>
    <w:rsid w:val="001F719C"/>
    <w:rsid w:val="001F7593"/>
    <w:rsid w:val="001F75D9"/>
    <w:rsid w:val="001F7B1A"/>
    <w:rsid w:val="001F7DF2"/>
    <w:rsid w:val="002010CB"/>
    <w:rsid w:val="0020142E"/>
    <w:rsid w:val="00201886"/>
    <w:rsid w:val="00201B10"/>
    <w:rsid w:val="0020342B"/>
    <w:rsid w:val="0020464F"/>
    <w:rsid w:val="00205295"/>
    <w:rsid w:val="0020562F"/>
    <w:rsid w:val="002064A4"/>
    <w:rsid w:val="002106F5"/>
    <w:rsid w:val="00210F2E"/>
    <w:rsid w:val="00211627"/>
    <w:rsid w:val="00212017"/>
    <w:rsid w:val="0021325E"/>
    <w:rsid w:val="0021345A"/>
    <w:rsid w:val="00213AE6"/>
    <w:rsid w:val="002147A0"/>
    <w:rsid w:val="00215899"/>
    <w:rsid w:val="00215C95"/>
    <w:rsid w:val="00215EAC"/>
    <w:rsid w:val="00216C6A"/>
    <w:rsid w:val="00220258"/>
    <w:rsid w:val="00222530"/>
    <w:rsid w:val="0022259D"/>
    <w:rsid w:val="0022416D"/>
    <w:rsid w:val="00224A2C"/>
    <w:rsid w:val="00224BB3"/>
    <w:rsid w:val="00224D61"/>
    <w:rsid w:val="00224F14"/>
    <w:rsid w:val="0022622C"/>
    <w:rsid w:val="00226D49"/>
    <w:rsid w:val="0022710C"/>
    <w:rsid w:val="00227252"/>
    <w:rsid w:val="002272EE"/>
    <w:rsid w:val="00227759"/>
    <w:rsid w:val="00227AB9"/>
    <w:rsid w:val="002301E5"/>
    <w:rsid w:val="00230846"/>
    <w:rsid w:val="00230B46"/>
    <w:rsid w:val="00230F45"/>
    <w:rsid w:val="00231386"/>
    <w:rsid w:val="00231973"/>
    <w:rsid w:val="00232F2B"/>
    <w:rsid w:val="00233342"/>
    <w:rsid w:val="002335AB"/>
    <w:rsid w:val="00233A0B"/>
    <w:rsid w:val="002345BD"/>
    <w:rsid w:val="00234A09"/>
    <w:rsid w:val="00234B8D"/>
    <w:rsid w:val="00235E79"/>
    <w:rsid w:val="002360BC"/>
    <w:rsid w:val="00236DAB"/>
    <w:rsid w:val="00237BB3"/>
    <w:rsid w:val="00240665"/>
    <w:rsid w:val="00240A62"/>
    <w:rsid w:val="00240E74"/>
    <w:rsid w:val="00240F23"/>
    <w:rsid w:val="0024175E"/>
    <w:rsid w:val="002420F2"/>
    <w:rsid w:val="00243141"/>
    <w:rsid w:val="002455F0"/>
    <w:rsid w:val="0024599B"/>
    <w:rsid w:val="00246A7E"/>
    <w:rsid w:val="00247198"/>
    <w:rsid w:val="0025051F"/>
    <w:rsid w:val="00251151"/>
    <w:rsid w:val="0025162C"/>
    <w:rsid w:val="0025259C"/>
    <w:rsid w:val="002527DC"/>
    <w:rsid w:val="00252A4E"/>
    <w:rsid w:val="0025319A"/>
    <w:rsid w:val="002531FC"/>
    <w:rsid w:val="00253F9D"/>
    <w:rsid w:val="002552C2"/>
    <w:rsid w:val="0025617C"/>
    <w:rsid w:val="00260441"/>
    <w:rsid w:val="002604F7"/>
    <w:rsid w:val="0026050F"/>
    <w:rsid w:val="00260E6E"/>
    <w:rsid w:val="00260FB7"/>
    <w:rsid w:val="0026169B"/>
    <w:rsid w:val="002621A5"/>
    <w:rsid w:val="00262421"/>
    <w:rsid w:val="00263D29"/>
    <w:rsid w:val="002648CF"/>
    <w:rsid w:val="00265FE7"/>
    <w:rsid w:val="002702F9"/>
    <w:rsid w:val="00270940"/>
    <w:rsid w:val="002711B6"/>
    <w:rsid w:val="00273333"/>
    <w:rsid w:val="00275346"/>
    <w:rsid w:val="00276887"/>
    <w:rsid w:val="00277A03"/>
    <w:rsid w:val="00280B6F"/>
    <w:rsid w:val="00281CA0"/>
    <w:rsid w:val="0028340E"/>
    <w:rsid w:val="00283764"/>
    <w:rsid w:val="00283AE9"/>
    <w:rsid w:val="00283C66"/>
    <w:rsid w:val="002843FE"/>
    <w:rsid w:val="002847BB"/>
    <w:rsid w:val="00285200"/>
    <w:rsid w:val="00285782"/>
    <w:rsid w:val="00285A68"/>
    <w:rsid w:val="00285F68"/>
    <w:rsid w:val="00286D75"/>
    <w:rsid w:val="00286FA0"/>
    <w:rsid w:val="0028773F"/>
    <w:rsid w:val="00287D38"/>
    <w:rsid w:val="00287F94"/>
    <w:rsid w:val="00290648"/>
    <w:rsid w:val="00290BEB"/>
    <w:rsid w:val="00291493"/>
    <w:rsid w:val="00291589"/>
    <w:rsid w:val="00292511"/>
    <w:rsid w:val="002943D2"/>
    <w:rsid w:val="002945E2"/>
    <w:rsid w:val="00296995"/>
    <w:rsid w:val="00296F58"/>
    <w:rsid w:val="0029755D"/>
    <w:rsid w:val="00297727"/>
    <w:rsid w:val="002A044C"/>
    <w:rsid w:val="002A2C79"/>
    <w:rsid w:val="002A2EC8"/>
    <w:rsid w:val="002A379B"/>
    <w:rsid w:val="002A39B6"/>
    <w:rsid w:val="002A43D0"/>
    <w:rsid w:val="002A4EC1"/>
    <w:rsid w:val="002A505A"/>
    <w:rsid w:val="002A5885"/>
    <w:rsid w:val="002A5C6A"/>
    <w:rsid w:val="002A5F62"/>
    <w:rsid w:val="002A6075"/>
    <w:rsid w:val="002A643E"/>
    <w:rsid w:val="002A676B"/>
    <w:rsid w:val="002A6E4E"/>
    <w:rsid w:val="002A774D"/>
    <w:rsid w:val="002A7860"/>
    <w:rsid w:val="002A78D3"/>
    <w:rsid w:val="002B0036"/>
    <w:rsid w:val="002B08B2"/>
    <w:rsid w:val="002B0F57"/>
    <w:rsid w:val="002B1275"/>
    <w:rsid w:val="002B2CC5"/>
    <w:rsid w:val="002B46A2"/>
    <w:rsid w:val="002B46F7"/>
    <w:rsid w:val="002B4F72"/>
    <w:rsid w:val="002B7383"/>
    <w:rsid w:val="002B77A2"/>
    <w:rsid w:val="002C0623"/>
    <w:rsid w:val="002C1434"/>
    <w:rsid w:val="002C1646"/>
    <w:rsid w:val="002C2065"/>
    <w:rsid w:val="002C2E59"/>
    <w:rsid w:val="002C3A1B"/>
    <w:rsid w:val="002C43A7"/>
    <w:rsid w:val="002C4713"/>
    <w:rsid w:val="002C52D7"/>
    <w:rsid w:val="002C54C9"/>
    <w:rsid w:val="002C57D1"/>
    <w:rsid w:val="002C6C3B"/>
    <w:rsid w:val="002C7DDE"/>
    <w:rsid w:val="002D238C"/>
    <w:rsid w:val="002D3502"/>
    <w:rsid w:val="002D3E1A"/>
    <w:rsid w:val="002D6D74"/>
    <w:rsid w:val="002E0316"/>
    <w:rsid w:val="002E0999"/>
    <w:rsid w:val="002E1402"/>
    <w:rsid w:val="002E2569"/>
    <w:rsid w:val="002E44A5"/>
    <w:rsid w:val="002E5BAD"/>
    <w:rsid w:val="002E6047"/>
    <w:rsid w:val="002E6D1D"/>
    <w:rsid w:val="002E721A"/>
    <w:rsid w:val="002F0614"/>
    <w:rsid w:val="002F077A"/>
    <w:rsid w:val="002F10BE"/>
    <w:rsid w:val="002F13DA"/>
    <w:rsid w:val="002F15EB"/>
    <w:rsid w:val="002F2EB1"/>
    <w:rsid w:val="002F3CE0"/>
    <w:rsid w:val="002F6A76"/>
    <w:rsid w:val="003004D3"/>
    <w:rsid w:val="003005BB"/>
    <w:rsid w:val="00301713"/>
    <w:rsid w:val="00301DD4"/>
    <w:rsid w:val="00302516"/>
    <w:rsid w:val="00302844"/>
    <w:rsid w:val="003034A3"/>
    <w:rsid w:val="00303DE5"/>
    <w:rsid w:val="00304575"/>
    <w:rsid w:val="00304842"/>
    <w:rsid w:val="00304FA8"/>
    <w:rsid w:val="00307411"/>
    <w:rsid w:val="00310B38"/>
    <w:rsid w:val="00310FDB"/>
    <w:rsid w:val="0031203F"/>
    <w:rsid w:val="00312370"/>
    <w:rsid w:val="00312F28"/>
    <w:rsid w:val="003132A5"/>
    <w:rsid w:val="00313769"/>
    <w:rsid w:val="00313941"/>
    <w:rsid w:val="00316194"/>
    <w:rsid w:val="003169B4"/>
    <w:rsid w:val="00316BE6"/>
    <w:rsid w:val="00317844"/>
    <w:rsid w:val="00317A6C"/>
    <w:rsid w:val="00317D89"/>
    <w:rsid w:val="003224B7"/>
    <w:rsid w:val="0032283F"/>
    <w:rsid w:val="00322A16"/>
    <w:rsid w:val="0032350D"/>
    <w:rsid w:val="00323693"/>
    <w:rsid w:val="00323E74"/>
    <w:rsid w:val="00324F21"/>
    <w:rsid w:val="003256A4"/>
    <w:rsid w:val="003302F3"/>
    <w:rsid w:val="00330B87"/>
    <w:rsid w:val="00331168"/>
    <w:rsid w:val="0033211D"/>
    <w:rsid w:val="003329A7"/>
    <w:rsid w:val="00333489"/>
    <w:rsid w:val="0033535F"/>
    <w:rsid w:val="0033558D"/>
    <w:rsid w:val="00336BC3"/>
    <w:rsid w:val="00336C20"/>
    <w:rsid w:val="00340DFE"/>
    <w:rsid w:val="00342DA1"/>
    <w:rsid w:val="00342DB5"/>
    <w:rsid w:val="00343CEF"/>
    <w:rsid w:val="00344CB0"/>
    <w:rsid w:val="003467C8"/>
    <w:rsid w:val="003478C8"/>
    <w:rsid w:val="00347C3C"/>
    <w:rsid w:val="003501BF"/>
    <w:rsid w:val="0035079F"/>
    <w:rsid w:val="003527C1"/>
    <w:rsid w:val="00352C25"/>
    <w:rsid w:val="00355490"/>
    <w:rsid w:val="003565B6"/>
    <w:rsid w:val="00356A66"/>
    <w:rsid w:val="00357418"/>
    <w:rsid w:val="003602A5"/>
    <w:rsid w:val="003602A7"/>
    <w:rsid w:val="00360B75"/>
    <w:rsid w:val="00361737"/>
    <w:rsid w:val="00362758"/>
    <w:rsid w:val="00363603"/>
    <w:rsid w:val="00363F41"/>
    <w:rsid w:val="00364112"/>
    <w:rsid w:val="00364E2B"/>
    <w:rsid w:val="00366D56"/>
    <w:rsid w:val="003674DE"/>
    <w:rsid w:val="00367871"/>
    <w:rsid w:val="00367DAD"/>
    <w:rsid w:val="0037342A"/>
    <w:rsid w:val="00373CC8"/>
    <w:rsid w:val="003741BA"/>
    <w:rsid w:val="00374E24"/>
    <w:rsid w:val="00375E2A"/>
    <w:rsid w:val="00376609"/>
    <w:rsid w:val="0038330C"/>
    <w:rsid w:val="00383750"/>
    <w:rsid w:val="00384AE3"/>
    <w:rsid w:val="00384F48"/>
    <w:rsid w:val="003856DC"/>
    <w:rsid w:val="00386276"/>
    <w:rsid w:val="003866BB"/>
    <w:rsid w:val="003868BE"/>
    <w:rsid w:val="003875C8"/>
    <w:rsid w:val="003901B8"/>
    <w:rsid w:val="003936A8"/>
    <w:rsid w:val="003947BF"/>
    <w:rsid w:val="00394C01"/>
    <w:rsid w:val="00395931"/>
    <w:rsid w:val="00395A6A"/>
    <w:rsid w:val="00396AF0"/>
    <w:rsid w:val="003A1D0D"/>
    <w:rsid w:val="003A2165"/>
    <w:rsid w:val="003A38FB"/>
    <w:rsid w:val="003A41A0"/>
    <w:rsid w:val="003A52DE"/>
    <w:rsid w:val="003A5C74"/>
    <w:rsid w:val="003A60E8"/>
    <w:rsid w:val="003A6BEF"/>
    <w:rsid w:val="003A74C4"/>
    <w:rsid w:val="003B04B9"/>
    <w:rsid w:val="003B0A8F"/>
    <w:rsid w:val="003B153D"/>
    <w:rsid w:val="003B4D4F"/>
    <w:rsid w:val="003C0DBC"/>
    <w:rsid w:val="003C1C8C"/>
    <w:rsid w:val="003C20F6"/>
    <w:rsid w:val="003C2482"/>
    <w:rsid w:val="003C2547"/>
    <w:rsid w:val="003C2B04"/>
    <w:rsid w:val="003C321D"/>
    <w:rsid w:val="003C43DC"/>
    <w:rsid w:val="003C5374"/>
    <w:rsid w:val="003C5631"/>
    <w:rsid w:val="003C67A1"/>
    <w:rsid w:val="003C68C2"/>
    <w:rsid w:val="003C6CE9"/>
    <w:rsid w:val="003D06CD"/>
    <w:rsid w:val="003D0894"/>
    <w:rsid w:val="003D0C03"/>
    <w:rsid w:val="003D1457"/>
    <w:rsid w:val="003D1FCB"/>
    <w:rsid w:val="003D23D5"/>
    <w:rsid w:val="003D29E8"/>
    <w:rsid w:val="003D2F77"/>
    <w:rsid w:val="003D3498"/>
    <w:rsid w:val="003D3864"/>
    <w:rsid w:val="003D40F9"/>
    <w:rsid w:val="003D53E3"/>
    <w:rsid w:val="003D598C"/>
    <w:rsid w:val="003D7167"/>
    <w:rsid w:val="003D72B4"/>
    <w:rsid w:val="003D7919"/>
    <w:rsid w:val="003D7B2A"/>
    <w:rsid w:val="003E133B"/>
    <w:rsid w:val="003E1698"/>
    <w:rsid w:val="003E1FD7"/>
    <w:rsid w:val="003E4968"/>
    <w:rsid w:val="003E4B7A"/>
    <w:rsid w:val="003E5AAE"/>
    <w:rsid w:val="003E5D61"/>
    <w:rsid w:val="003E6654"/>
    <w:rsid w:val="003E7E56"/>
    <w:rsid w:val="003F0A11"/>
    <w:rsid w:val="003F1037"/>
    <w:rsid w:val="003F18BD"/>
    <w:rsid w:val="003F2BF0"/>
    <w:rsid w:val="003F36DC"/>
    <w:rsid w:val="003F4DC9"/>
    <w:rsid w:val="003F5429"/>
    <w:rsid w:val="003F639F"/>
    <w:rsid w:val="003F64C1"/>
    <w:rsid w:val="003F6664"/>
    <w:rsid w:val="003F72BB"/>
    <w:rsid w:val="004003E0"/>
    <w:rsid w:val="00401C79"/>
    <w:rsid w:val="0040213C"/>
    <w:rsid w:val="00402618"/>
    <w:rsid w:val="00402C51"/>
    <w:rsid w:val="00402FF3"/>
    <w:rsid w:val="00403FAB"/>
    <w:rsid w:val="00404886"/>
    <w:rsid w:val="0040643E"/>
    <w:rsid w:val="004064AA"/>
    <w:rsid w:val="00406589"/>
    <w:rsid w:val="004068C9"/>
    <w:rsid w:val="00407561"/>
    <w:rsid w:val="00407607"/>
    <w:rsid w:val="00410D76"/>
    <w:rsid w:val="004113CD"/>
    <w:rsid w:val="00412B2A"/>
    <w:rsid w:val="00414326"/>
    <w:rsid w:val="00414BB8"/>
    <w:rsid w:val="00415248"/>
    <w:rsid w:val="00415988"/>
    <w:rsid w:val="00416280"/>
    <w:rsid w:val="0041711B"/>
    <w:rsid w:val="00417612"/>
    <w:rsid w:val="00420DFE"/>
    <w:rsid w:val="00423143"/>
    <w:rsid w:val="0042383B"/>
    <w:rsid w:val="0042409F"/>
    <w:rsid w:val="004240B9"/>
    <w:rsid w:val="004241DF"/>
    <w:rsid w:val="0042474D"/>
    <w:rsid w:val="00424DDE"/>
    <w:rsid w:val="00424F93"/>
    <w:rsid w:val="004252C1"/>
    <w:rsid w:val="0042541E"/>
    <w:rsid w:val="00425A2A"/>
    <w:rsid w:val="00425CF6"/>
    <w:rsid w:val="00427079"/>
    <w:rsid w:val="004275E0"/>
    <w:rsid w:val="00427733"/>
    <w:rsid w:val="004306A8"/>
    <w:rsid w:val="004306D6"/>
    <w:rsid w:val="00430EDC"/>
    <w:rsid w:val="00431D3F"/>
    <w:rsid w:val="00432AC2"/>
    <w:rsid w:val="00432D54"/>
    <w:rsid w:val="0043369B"/>
    <w:rsid w:val="0043386A"/>
    <w:rsid w:val="00434E78"/>
    <w:rsid w:val="0043515D"/>
    <w:rsid w:val="00436FD0"/>
    <w:rsid w:val="00441783"/>
    <w:rsid w:val="004420DA"/>
    <w:rsid w:val="004444F8"/>
    <w:rsid w:val="00444707"/>
    <w:rsid w:val="004455F6"/>
    <w:rsid w:val="00445751"/>
    <w:rsid w:val="00445FFB"/>
    <w:rsid w:val="00446375"/>
    <w:rsid w:val="00446506"/>
    <w:rsid w:val="004468C2"/>
    <w:rsid w:val="00446B8D"/>
    <w:rsid w:val="00450C44"/>
    <w:rsid w:val="00452932"/>
    <w:rsid w:val="0045448C"/>
    <w:rsid w:val="00454889"/>
    <w:rsid w:val="0045495C"/>
    <w:rsid w:val="00456E33"/>
    <w:rsid w:val="004600ED"/>
    <w:rsid w:val="0046079E"/>
    <w:rsid w:val="00460FCF"/>
    <w:rsid w:val="004614B2"/>
    <w:rsid w:val="004620CA"/>
    <w:rsid w:val="004631D2"/>
    <w:rsid w:val="00463285"/>
    <w:rsid w:val="00465846"/>
    <w:rsid w:val="00466349"/>
    <w:rsid w:val="00466B43"/>
    <w:rsid w:val="00467BD3"/>
    <w:rsid w:val="00470E22"/>
    <w:rsid w:val="00471CFF"/>
    <w:rsid w:val="00471EE6"/>
    <w:rsid w:val="00472100"/>
    <w:rsid w:val="00472A63"/>
    <w:rsid w:val="00472D33"/>
    <w:rsid w:val="00475895"/>
    <w:rsid w:val="00475BA6"/>
    <w:rsid w:val="00475E4B"/>
    <w:rsid w:val="00475E75"/>
    <w:rsid w:val="00476F48"/>
    <w:rsid w:val="00477D70"/>
    <w:rsid w:val="0048094D"/>
    <w:rsid w:val="00482BF1"/>
    <w:rsid w:val="004831CC"/>
    <w:rsid w:val="00485567"/>
    <w:rsid w:val="004855BE"/>
    <w:rsid w:val="00485C78"/>
    <w:rsid w:val="00485CAD"/>
    <w:rsid w:val="00486860"/>
    <w:rsid w:val="00491BBA"/>
    <w:rsid w:val="00491CC3"/>
    <w:rsid w:val="00491ED9"/>
    <w:rsid w:val="004937A7"/>
    <w:rsid w:val="00494AAD"/>
    <w:rsid w:val="00495623"/>
    <w:rsid w:val="00496F19"/>
    <w:rsid w:val="004970DF"/>
    <w:rsid w:val="0049718B"/>
    <w:rsid w:val="004979B7"/>
    <w:rsid w:val="004A02F0"/>
    <w:rsid w:val="004A099C"/>
    <w:rsid w:val="004A0C7A"/>
    <w:rsid w:val="004A0ED7"/>
    <w:rsid w:val="004A1F75"/>
    <w:rsid w:val="004A2646"/>
    <w:rsid w:val="004A284B"/>
    <w:rsid w:val="004A2961"/>
    <w:rsid w:val="004A2CCF"/>
    <w:rsid w:val="004A2CDE"/>
    <w:rsid w:val="004A3ABF"/>
    <w:rsid w:val="004A4AAC"/>
    <w:rsid w:val="004A4B8D"/>
    <w:rsid w:val="004A4EB9"/>
    <w:rsid w:val="004A5B46"/>
    <w:rsid w:val="004A6B13"/>
    <w:rsid w:val="004A792C"/>
    <w:rsid w:val="004B0167"/>
    <w:rsid w:val="004B2155"/>
    <w:rsid w:val="004B3607"/>
    <w:rsid w:val="004B3BB4"/>
    <w:rsid w:val="004B710E"/>
    <w:rsid w:val="004C157D"/>
    <w:rsid w:val="004C17A6"/>
    <w:rsid w:val="004C2F6F"/>
    <w:rsid w:val="004C4034"/>
    <w:rsid w:val="004C43EA"/>
    <w:rsid w:val="004C4445"/>
    <w:rsid w:val="004C53AD"/>
    <w:rsid w:val="004C5E3C"/>
    <w:rsid w:val="004C6291"/>
    <w:rsid w:val="004C65F0"/>
    <w:rsid w:val="004C680C"/>
    <w:rsid w:val="004C6EC4"/>
    <w:rsid w:val="004C7205"/>
    <w:rsid w:val="004C7304"/>
    <w:rsid w:val="004D0275"/>
    <w:rsid w:val="004D17DF"/>
    <w:rsid w:val="004D536F"/>
    <w:rsid w:val="004D58DE"/>
    <w:rsid w:val="004D59E6"/>
    <w:rsid w:val="004D5E8D"/>
    <w:rsid w:val="004D6404"/>
    <w:rsid w:val="004D758B"/>
    <w:rsid w:val="004E0DE0"/>
    <w:rsid w:val="004E1414"/>
    <w:rsid w:val="004E1774"/>
    <w:rsid w:val="004E2A34"/>
    <w:rsid w:val="004E336F"/>
    <w:rsid w:val="004E36DB"/>
    <w:rsid w:val="004E3CB0"/>
    <w:rsid w:val="004E520F"/>
    <w:rsid w:val="004E5457"/>
    <w:rsid w:val="004E5A83"/>
    <w:rsid w:val="004E7A85"/>
    <w:rsid w:val="004E7F0A"/>
    <w:rsid w:val="004F05F2"/>
    <w:rsid w:val="004F0F81"/>
    <w:rsid w:val="004F106A"/>
    <w:rsid w:val="004F1136"/>
    <w:rsid w:val="004F1426"/>
    <w:rsid w:val="004F3100"/>
    <w:rsid w:val="004F3C8A"/>
    <w:rsid w:val="004F4CDB"/>
    <w:rsid w:val="004F4FDD"/>
    <w:rsid w:val="004F6CF4"/>
    <w:rsid w:val="0050085E"/>
    <w:rsid w:val="00500D91"/>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3D58"/>
    <w:rsid w:val="00513EA5"/>
    <w:rsid w:val="005154C8"/>
    <w:rsid w:val="00515993"/>
    <w:rsid w:val="00516129"/>
    <w:rsid w:val="00517F46"/>
    <w:rsid w:val="00520209"/>
    <w:rsid w:val="0052076B"/>
    <w:rsid w:val="005229D8"/>
    <w:rsid w:val="00524059"/>
    <w:rsid w:val="005245E1"/>
    <w:rsid w:val="005263EC"/>
    <w:rsid w:val="00526600"/>
    <w:rsid w:val="00526DFC"/>
    <w:rsid w:val="005275C3"/>
    <w:rsid w:val="00527E76"/>
    <w:rsid w:val="00527EB0"/>
    <w:rsid w:val="00527FBA"/>
    <w:rsid w:val="005303CA"/>
    <w:rsid w:val="00530DF8"/>
    <w:rsid w:val="00531CA7"/>
    <w:rsid w:val="005324A6"/>
    <w:rsid w:val="005346D7"/>
    <w:rsid w:val="00535D3D"/>
    <w:rsid w:val="00536768"/>
    <w:rsid w:val="005372F7"/>
    <w:rsid w:val="00537322"/>
    <w:rsid w:val="00540228"/>
    <w:rsid w:val="00541CE9"/>
    <w:rsid w:val="00542227"/>
    <w:rsid w:val="005424B5"/>
    <w:rsid w:val="00542A04"/>
    <w:rsid w:val="00542CEE"/>
    <w:rsid w:val="00543C72"/>
    <w:rsid w:val="005445D9"/>
    <w:rsid w:val="005447A1"/>
    <w:rsid w:val="00545A9E"/>
    <w:rsid w:val="00545E7F"/>
    <w:rsid w:val="00546097"/>
    <w:rsid w:val="00546B65"/>
    <w:rsid w:val="00546FB4"/>
    <w:rsid w:val="00547115"/>
    <w:rsid w:val="005519F6"/>
    <w:rsid w:val="00551CA8"/>
    <w:rsid w:val="00552A7B"/>
    <w:rsid w:val="00552BE0"/>
    <w:rsid w:val="005544CE"/>
    <w:rsid w:val="00554865"/>
    <w:rsid w:val="00555B80"/>
    <w:rsid w:val="00556089"/>
    <w:rsid w:val="0055616B"/>
    <w:rsid w:val="00556D62"/>
    <w:rsid w:val="00557410"/>
    <w:rsid w:val="00557529"/>
    <w:rsid w:val="00557633"/>
    <w:rsid w:val="00557E8F"/>
    <w:rsid w:val="005609B4"/>
    <w:rsid w:val="00560A26"/>
    <w:rsid w:val="00562602"/>
    <w:rsid w:val="00563101"/>
    <w:rsid w:val="005636FA"/>
    <w:rsid w:val="0056373A"/>
    <w:rsid w:val="00564A1B"/>
    <w:rsid w:val="00564BF4"/>
    <w:rsid w:val="00565A5E"/>
    <w:rsid w:val="00566F5B"/>
    <w:rsid w:val="00566F71"/>
    <w:rsid w:val="005674CC"/>
    <w:rsid w:val="00571C92"/>
    <w:rsid w:val="00571D24"/>
    <w:rsid w:val="005723B9"/>
    <w:rsid w:val="00572464"/>
    <w:rsid w:val="005725E6"/>
    <w:rsid w:val="005726BA"/>
    <w:rsid w:val="0057299B"/>
    <w:rsid w:val="00574C83"/>
    <w:rsid w:val="00575BB5"/>
    <w:rsid w:val="00576E1D"/>
    <w:rsid w:val="005807D2"/>
    <w:rsid w:val="00581001"/>
    <w:rsid w:val="005810DF"/>
    <w:rsid w:val="00583101"/>
    <w:rsid w:val="005836B3"/>
    <w:rsid w:val="00583EC9"/>
    <w:rsid w:val="00584D72"/>
    <w:rsid w:val="0058662D"/>
    <w:rsid w:val="00586E6A"/>
    <w:rsid w:val="00587143"/>
    <w:rsid w:val="005877C1"/>
    <w:rsid w:val="00587832"/>
    <w:rsid w:val="005900C3"/>
    <w:rsid w:val="00590A21"/>
    <w:rsid w:val="005932EC"/>
    <w:rsid w:val="00594D4D"/>
    <w:rsid w:val="005966D8"/>
    <w:rsid w:val="005971E8"/>
    <w:rsid w:val="0059769C"/>
    <w:rsid w:val="005976D2"/>
    <w:rsid w:val="005A0F75"/>
    <w:rsid w:val="005A129A"/>
    <w:rsid w:val="005A26F6"/>
    <w:rsid w:val="005A35B4"/>
    <w:rsid w:val="005A422E"/>
    <w:rsid w:val="005A6133"/>
    <w:rsid w:val="005A7235"/>
    <w:rsid w:val="005A7AA2"/>
    <w:rsid w:val="005A7BA6"/>
    <w:rsid w:val="005B3D8E"/>
    <w:rsid w:val="005B429D"/>
    <w:rsid w:val="005B499E"/>
    <w:rsid w:val="005B6A8D"/>
    <w:rsid w:val="005B7B34"/>
    <w:rsid w:val="005C195D"/>
    <w:rsid w:val="005C2031"/>
    <w:rsid w:val="005C2769"/>
    <w:rsid w:val="005C4174"/>
    <w:rsid w:val="005C5F3D"/>
    <w:rsid w:val="005D08AC"/>
    <w:rsid w:val="005D0ACB"/>
    <w:rsid w:val="005D140B"/>
    <w:rsid w:val="005D1C36"/>
    <w:rsid w:val="005D1F2E"/>
    <w:rsid w:val="005D1FE3"/>
    <w:rsid w:val="005D2654"/>
    <w:rsid w:val="005D2E6F"/>
    <w:rsid w:val="005D4E2E"/>
    <w:rsid w:val="005D5624"/>
    <w:rsid w:val="005D5865"/>
    <w:rsid w:val="005D5F1D"/>
    <w:rsid w:val="005D6E97"/>
    <w:rsid w:val="005E0244"/>
    <w:rsid w:val="005E03A2"/>
    <w:rsid w:val="005E1B1E"/>
    <w:rsid w:val="005E35C4"/>
    <w:rsid w:val="005E3A3A"/>
    <w:rsid w:val="005E4A7B"/>
    <w:rsid w:val="005E5476"/>
    <w:rsid w:val="005E588F"/>
    <w:rsid w:val="005E5BEC"/>
    <w:rsid w:val="005E5D2D"/>
    <w:rsid w:val="005E6FAB"/>
    <w:rsid w:val="005E77D9"/>
    <w:rsid w:val="005F1234"/>
    <w:rsid w:val="005F13AA"/>
    <w:rsid w:val="005F174F"/>
    <w:rsid w:val="005F2FA2"/>
    <w:rsid w:val="005F31C1"/>
    <w:rsid w:val="005F3879"/>
    <w:rsid w:val="005F3BEB"/>
    <w:rsid w:val="005F484B"/>
    <w:rsid w:val="005F4F33"/>
    <w:rsid w:val="0060025B"/>
    <w:rsid w:val="006003A1"/>
    <w:rsid w:val="00601282"/>
    <w:rsid w:val="00601B3B"/>
    <w:rsid w:val="00602349"/>
    <w:rsid w:val="00602636"/>
    <w:rsid w:val="00602E36"/>
    <w:rsid w:val="006034D3"/>
    <w:rsid w:val="006036CD"/>
    <w:rsid w:val="00603CAA"/>
    <w:rsid w:val="00603CC1"/>
    <w:rsid w:val="006041E5"/>
    <w:rsid w:val="0060451D"/>
    <w:rsid w:val="00604681"/>
    <w:rsid w:val="00604D35"/>
    <w:rsid w:val="0060549C"/>
    <w:rsid w:val="006060CB"/>
    <w:rsid w:val="006071E2"/>
    <w:rsid w:val="0060750F"/>
    <w:rsid w:val="006079C2"/>
    <w:rsid w:val="00611426"/>
    <w:rsid w:val="00612514"/>
    <w:rsid w:val="00612A76"/>
    <w:rsid w:val="00613362"/>
    <w:rsid w:val="006133F1"/>
    <w:rsid w:val="00613ABE"/>
    <w:rsid w:val="006150A3"/>
    <w:rsid w:val="006161DD"/>
    <w:rsid w:val="0061689C"/>
    <w:rsid w:val="006210DF"/>
    <w:rsid w:val="00621249"/>
    <w:rsid w:val="0062163B"/>
    <w:rsid w:val="00622434"/>
    <w:rsid w:val="00622500"/>
    <w:rsid w:val="00622738"/>
    <w:rsid w:val="00623817"/>
    <w:rsid w:val="00624119"/>
    <w:rsid w:val="00624BE7"/>
    <w:rsid w:val="0062570F"/>
    <w:rsid w:val="00625BBD"/>
    <w:rsid w:val="006262C0"/>
    <w:rsid w:val="00626650"/>
    <w:rsid w:val="00627768"/>
    <w:rsid w:val="00633EEE"/>
    <w:rsid w:val="00634355"/>
    <w:rsid w:val="00634BCF"/>
    <w:rsid w:val="00634BFF"/>
    <w:rsid w:val="00635E0F"/>
    <w:rsid w:val="00635E63"/>
    <w:rsid w:val="006364B9"/>
    <w:rsid w:val="00637244"/>
    <w:rsid w:val="00640646"/>
    <w:rsid w:val="006406C5"/>
    <w:rsid w:val="00640DB6"/>
    <w:rsid w:val="00640E8B"/>
    <w:rsid w:val="00641D4C"/>
    <w:rsid w:val="00642467"/>
    <w:rsid w:val="00642CED"/>
    <w:rsid w:val="00642D76"/>
    <w:rsid w:val="00643FF8"/>
    <w:rsid w:val="00644925"/>
    <w:rsid w:val="00644EBE"/>
    <w:rsid w:val="00645B0D"/>
    <w:rsid w:val="00646AA2"/>
    <w:rsid w:val="00651606"/>
    <w:rsid w:val="0065161C"/>
    <w:rsid w:val="0065257F"/>
    <w:rsid w:val="00652B35"/>
    <w:rsid w:val="00652EE5"/>
    <w:rsid w:val="00654131"/>
    <w:rsid w:val="0065454C"/>
    <w:rsid w:val="00655A98"/>
    <w:rsid w:val="00660027"/>
    <w:rsid w:val="00660B98"/>
    <w:rsid w:val="006611A4"/>
    <w:rsid w:val="006627F3"/>
    <w:rsid w:val="00663DC7"/>
    <w:rsid w:val="00665360"/>
    <w:rsid w:val="00665CD8"/>
    <w:rsid w:val="00665EAF"/>
    <w:rsid w:val="00666566"/>
    <w:rsid w:val="00666D5A"/>
    <w:rsid w:val="006702A9"/>
    <w:rsid w:val="00670897"/>
    <w:rsid w:val="00670A2A"/>
    <w:rsid w:val="00672A20"/>
    <w:rsid w:val="00672F2D"/>
    <w:rsid w:val="006737EC"/>
    <w:rsid w:val="006739CE"/>
    <w:rsid w:val="00674026"/>
    <w:rsid w:val="00675483"/>
    <w:rsid w:val="0067551D"/>
    <w:rsid w:val="00675F67"/>
    <w:rsid w:val="00677071"/>
    <w:rsid w:val="00681232"/>
    <w:rsid w:val="0068167F"/>
    <w:rsid w:val="0068304A"/>
    <w:rsid w:val="00683207"/>
    <w:rsid w:val="00686D59"/>
    <w:rsid w:val="00687254"/>
    <w:rsid w:val="00687583"/>
    <w:rsid w:val="00690B27"/>
    <w:rsid w:val="00691828"/>
    <w:rsid w:val="00691A07"/>
    <w:rsid w:val="00692B88"/>
    <w:rsid w:val="00693D40"/>
    <w:rsid w:val="006971C6"/>
    <w:rsid w:val="00697598"/>
    <w:rsid w:val="006A0156"/>
    <w:rsid w:val="006A01ED"/>
    <w:rsid w:val="006A0811"/>
    <w:rsid w:val="006A173F"/>
    <w:rsid w:val="006A1AC5"/>
    <w:rsid w:val="006A231D"/>
    <w:rsid w:val="006A29EB"/>
    <w:rsid w:val="006A2D49"/>
    <w:rsid w:val="006A6B18"/>
    <w:rsid w:val="006A6EDB"/>
    <w:rsid w:val="006A6EFF"/>
    <w:rsid w:val="006B024F"/>
    <w:rsid w:val="006B102F"/>
    <w:rsid w:val="006B15F9"/>
    <w:rsid w:val="006B174F"/>
    <w:rsid w:val="006B18D6"/>
    <w:rsid w:val="006B1F43"/>
    <w:rsid w:val="006B20E9"/>
    <w:rsid w:val="006B24AE"/>
    <w:rsid w:val="006B2749"/>
    <w:rsid w:val="006B2AD1"/>
    <w:rsid w:val="006B40B2"/>
    <w:rsid w:val="006B41DF"/>
    <w:rsid w:val="006B42B0"/>
    <w:rsid w:val="006B490F"/>
    <w:rsid w:val="006B57A3"/>
    <w:rsid w:val="006B58DB"/>
    <w:rsid w:val="006B6448"/>
    <w:rsid w:val="006B6B7D"/>
    <w:rsid w:val="006B738C"/>
    <w:rsid w:val="006B770D"/>
    <w:rsid w:val="006C0666"/>
    <w:rsid w:val="006C137C"/>
    <w:rsid w:val="006C1677"/>
    <w:rsid w:val="006C1A46"/>
    <w:rsid w:val="006C1B75"/>
    <w:rsid w:val="006C2198"/>
    <w:rsid w:val="006C29AE"/>
    <w:rsid w:val="006C30D6"/>
    <w:rsid w:val="006C32EB"/>
    <w:rsid w:val="006C3382"/>
    <w:rsid w:val="006C4CAA"/>
    <w:rsid w:val="006C68A7"/>
    <w:rsid w:val="006C6E24"/>
    <w:rsid w:val="006C780F"/>
    <w:rsid w:val="006C79DB"/>
    <w:rsid w:val="006D09D6"/>
    <w:rsid w:val="006D1400"/>
    <w:rsid w:val="006D419B"/>
    <w:rsid w:val="006D4666"/>
    <w:rsid w:val="006D5658"/>
    <w:rsid w:val="006D59EA"/>
    <w:rsid w:val="006D7A1A"/>
    <w:rsid w:val="006E009D"/>
    <w:rsid w:val="006E0122"/>
    <w:rsid w:val="006E0960"/>
    <w:rsid w:val="006E116F"/>
    <w:rsid w:val="006E13FF"/>
    <w:rsid w:val="006E197A"/>
    <w:rsid w:val="006E1DC0"/>
    <w:rsid w:val="006E41DD"/>
    <w:rsid w:val="006E4817"/>
    <w:rsid w:val="006E487E"/>
    <w:rsid w:val="006E5795"/>
    <w:rsid w:val="006E5E9D"/>
    <w:rsid w:val="006E6819"/>
    <w:rsid w:val="006E6A2C"/>
    <w:rsid w:val="006E6C7E"/>
    <w:rsid w:val="006E7D37"/>
    <w:rsid w:val="006F0BF3"/>
    <w:rsid w:val="006F0F3A"/>
    <w:rsid w:val="006F1F1D"/>
    <w:rsid w:val="006F2BE5"/>
    <w:rsid w:val="006F4532"/>
    <w:rsid w:val="006F4946"/>
    <w:rsid w:val="006F5D1E"/>
    <w:rsid w:val="006F6DCB"/>
    <w:rsid w:val="006F7F79"/>
    <w:rsid w:val="00700983"/>
    <w:rsid w:val="007020F8"/>
    <w:rsid w:val="00702188"/>
    <w:rsid w:val="0070218D"/>
    <w:rsid w:val="007029CB"/>
    <w:rsid w:val="00702E91"/>
    <w:rsid w:val="00702F36"/>
    <w:rsid w:val="00703FEF"/>
    <w:rsid w:val="00704459"/>
    <w:rsid w:val="007045C4"/>
    <w:rsid w:val="00704CBA"/>
    <w:rsid w:val="007058D2"/>
    <w:rsid w:val="00706B15"/>
    <w:rsid w:val="00706F41"/>
    <w:rsid w:val="00707F86"/>
    <w:rsid w:val="0071077E"/>
    <w:rsid w:val="00710A21"/>
    <w:rsid w:val="00711655"/>
    <w:rsid w:val="00712749"/>
    <w:rsid w:val="007127C6"/>
    <w:rsid w:val="007128E1"/>
    <w:rsid w:val="0071323F"/>
    <w:rsid w:val="007139DB"/>
    <w:rsid w:val="00714D14"/>
    <w:rsid w:val="00714E66"/>
    <w:rsid w:val="00715F64"/>
    <w:rsid w:val="00716672"/>
    <w:rsid w:val="007167A3"/>
    <w:rsid w:val="00716971"/>
    <w:rsid w:val="00716CE1"/>
    <w:rsid w:val="00716D1D"/>
    <w:rsid w:val="0072384B"/>
    <w:rsid w:val="00724442"/>
    <w:rsid w:val="00724562"/>
    <w:rsid w:val="00724815"/>
    <w:rsid w:val="00726EFA"/>
    <w:rsid w:val="007279D9"/>
    <w:rsid w:val="00730723"/>
    <w:rsid w:val="007309B5"/>
    <w:rsid w:val="00730D00"/>
    <w:rsid w:val="00732759"/>
    <w:rsid w:val="00732A40"/>
    <w:rsid w:val="00735197"/>
    <w:rsid w:val="00735BDA"/>
    <w:rsid w:val="00735C37"/>
    <w:rsid w:val="00735DEF"/>
    <w:rsid w:val="0073767D"/>
    <w:rsid w:val="0074077E"/>
    <w:rsid w:val="00741CD7"/>
    <w:rsid w:val="007422F9"/>
    <w:rsid w:val="00742631"/>
    <w:rsid w:val="00742DE0"/>
    <w:rsid w:val="007430B4"/>
    <w:rsid w:val="00743A10"/>
    <w:rsid w:val="00743BAD"/>
    <w:rsid w:val="00745A5F"/>
    <w:rsid w:val="00746F8F"/>
    <w:rsid w:val="0074708F"/>
    <w:rsid w:val="00747678"/>
    <w:rsid w:val="0074784B"/>
    <w:rsid w:val="00750300"/>
    <w:rsid w:val="00750796"/>
    <w:rsid w:val="00750A63"/>
    <w:rsid w:val="00751337"/>
    <w:rsid w:val="007519CF"/>
    <w:rsid w:val="007534F8"/>
    <w:rsid w:val="0075404F"/>
    <w:rsid w:val="007558ED"/>
    <w:rsid w:val="007560F1"/>
    <w:rsid w:val="00756E02"/>
    <w:rsid w:val="00760B85"/>
    <w:rsid w:val="00762228"/>
    <w:rsid w:val="007639B0"/>
    <w:rsid w:val="00763E34"/>
    <w:rsid w:val="00764EF9"/>
    <w:rsid w:val="00766C6D"/>
    <w:rsid w:val="00767070"/>
    <w:rsid w:val="007670D8"/>
    <w:rsid w:val="00770A34"/>
    <w:rsid w:val="00770FC4"/>
    <w:rsid w:val="007711BC"/>
    <w:rsid w:val="007711D8"/>
    <w:rsid w:val="007713C7"/>
    <w:rsid w:val="00772C06"/>
    <w:rsid w:val="00772C87"/>
    <w:rsid w:val="00772D61"/>
    <w:rsid w:val="007734F3"/>
    <w:rsid w:val="00775025"/>
    <w:rsid w:val="00776C0D"/>
    <w:rsid w:val="0077747C"/>
    <w:rsid w:val="00780312"/>
    <w:rsid w:val="00780787"/>
    <w:rsid w:val="00781FF3"/>
    <w:rsid w:val="0078289D"/>
    <w:rsid w:val="00783590"/>
    <w:rsid w:val="007837C6"/>
    <w:rsid w:val="007838DA"/>
    <w:rsid w:val="0078463B"/>
    <w:rsid w:val="007853D4"/>
    <w:rsid w:val="007860F8"/>
    <w:rsid w:val="00786880"/>
    <w:rsid w:val="00791DFE"/>
    <w:rsid w:val="0079210C"/>
    <w:rsid w:val="00792764"/>
    <w:rsid w:val="007927B8"/>
    <w:rsid w:val="007937AD"/>
    <w:rsid w:val="00794978"/>
    <w:rsid w:val="00796ED4"/>
    <w:rsid w:val="00796F65"/>
    <w:rsid w:val="00797259"/>
    <w:rsid w:val="007975D8"/>
    <w:rsid w:val="007A0115"/>
    <w:rsid w:val="007A076F"/>
    <w:rsid w:val="007A19ED"/>
    <w:rsid w:val="007A2883"/>
    <w:rsid w:val="007A32F7"/>
    <w:rsid w:val="007A33F6"/>
    <w:rsid w:val="007A3403"/>
    <w:rsid w:val="007A3539"/>
    <w:rsid w:val="007A3C78"/>
    <w:rsid w:val="007A4ADE"/>
    <w:rsid w:val="007A5180"/>
    <w:rsid w:val="007A5A6C"/>
    <w:rsid w:val="007A5B79"/>
    <w:rsid w:val="007A5EC9"/>
    <w:rsid w:val="007A5EE5"/>
    <w:rsid w:val="007A6797"/>
    <w:rsid w:val="007A6D06"/>
    <w:rsid w:val="007A74D6"/>
    <w:rsid w:val="007B00E3"/>
    <w:rsid w:val="007B0C76"/>
    <w:rsid w:val="007B14AA"/>
    <w:rsid w:val="007B22C1"/>
    <w:rsid w:val="007B2A30"/>
    <w:rsid w:val="007B41DD"/>
    <w:rsid w:val="007B5199"/>
    <w:rsid w:val="007B74AA"/>
    <w:rsid w:val="007C0678"/>
    <w:rsid w:val="007C285F"/>
    <w:rsid w:val="007C2F44"/>
    <w:rsid w:val="007C3A41"/>
    <w:rsid w:val="007C461B"/>
    <w:rsid w:val="007C660F"/>
    <w:rsid w:val="007C7191"/>
    <w:rsid w:val="007C7392"/>
    <w:rsid w:val="007D0912"/>
    <w:rsid w:val="007D1451"/>
    <w:rsid w:val="007D1B8B"/>
    <w:rsid w:val="007D2824"/>
    <w:rsid w:val="007D2F2A"/>
    <w:rsid w:val="007D3C4B"/>
    <w:rsid w:val="007D4381"/>
    <w:rsid w:val="007D47D8"/>
    <w:rsid w:val="007D51A3"/>
    <w:rsid w:val="007D58A8"/>
    <w:rsid w:val="007D799B"/>
    <w:rsid w:val="007D7E55"/>
    <w:rsid w:val="007E0597"/>
    <w:rsid w:val="007E0985"/>
    <w:rsid w:val="007E13D7"/>
    <w:rsid w:val="007E1BD7"/>
    <w:rsid w:val="007E1DEB"/>
    <w:rsid w:val="007E2E4D"/>
    <w:rsid w:val="007E403E"/>
    <w:rsid w:val="007E4500"/>
    <w:rsid w:val="007E4B86"/>
    <w:rsid w:val="007E6E0D"/>
    <w:rsid w:val="007F0063"/>
    <w:rsid w:val="007F1FD4"/>
    <w:rsid w:val="007F224F"/>
    <w:rsid w:val="007F246C"/>
    <w:rsid w:val="007F2A90"/>
    <w:rsid w:val="007F396F"/>
    <w:rsid w:val="007F4927"/>
    <w:rsid w:val="007F5265"/>
    <w:rsid w:val="007F54DF"/>
    <w:rsid w:val="007F60B7"/>
    <w:rsid w:val="007F7757"/>
    <w:rsid w:val="00800D32"/>
    <w:rsid w:val="0080187D"/>
    <w:rsid w:val="00802495"/>
    <w:rsid w:val="0080293D"/>
    <w:rsid w:val="00802BE3"/>
    <w:rsid w:val="00803457"/>
    <w:rsid w:val="00803795"/>
    <w:rsid w:val="008042DB"/>
    <w:rsid w:val="00804422"/>
    <w:rsid w:val="00804CB6"/>
    <w:rsid w:val="0080597F"/>
    <w:rsid w:val="0080654F"/>
    <w:rsid w:val="00806D50"/>
    <w:rsid w:val="00807003"/>
    <w:rsid w:val="0080704C"/>
    <w:rsid w:val="00807B4F"/>
    <w:rsid w:val="00811D22"/>
    <w:rsid w:val="00811FC2"/>
    <w:rsid w:val="008129E7"/>
    <w:rsid w:val="008144DD"/>
    <w:rsid w:val="0081485B"/>
    <w:rsid w:val="00815637"/>
    <w:rsid w:val="00815A4C"/>
    <w:rsid w:val="00816010"/>
    <w:rsid w:val="008201BE"/>
    <w:rsid w:val="008202C9"/>
    <w:rsid w:val="008208CD"/>
    <w:rsid w:val="008215E3"/>
    <w:rsid w:val="008219AA"/>
    <w:rsid w:val="008240E3"/>
    <w:rsid w:val="00824837"/>
    <w:rsid w:val="00826C37"/>
    <w:rsid w:val="00827596"/>
    <w:rsid w:val="0082798D"/>
    <w:rsid w:val="00830F44"/>
    <w:rsid w:val="008310D5"/>
    <w:rsid w:val="008316D7"/>
    <w:rsid w:val="00831910"/>
    <w:rsid w:val="00831944"/>
    <w:rsid w:val="00831B47"/>
    <w:rsid w:val="008334C2"/>
    <w:rsid w:val="008343F1"/>
    <w:rsid w:val="0083465E"/>
    <w:rsid w:val="00834950"/>
    <w:rsid w:val="00835105"/>
    <w:rsid w:val="00835B1F"/>
    <w:rsid w:val="008366EC"/>
    <w:rsid w:val="008401F6"/>
    <w:rsid w:val="0084028F"/>
    <w:rsid w:val="00840AE4"/>
    <w:rsid w:val="008416DF"/>
    <w:rsid w:val="008443B3"/>
    <w:rsid w:val="00846433"/>
    <w:rsid w:val="0084668A"/>
    <w:rsid w:val="00850DF4"/>
    <w:rsid w:val="008510C7"/>
    <w:rsid w:val="008514D8"/>
    <w:rsid w:val="0085150A"/>
    <w:rsid w:val="0085160F"/>
    <w:rsid w:val="00851B8B"/>
    <w:rsid w:val="008522DF"/>
    <w:rsid w:val="008526E1"/>
    <w:rsid w:val="0085327B"/>
    <w:rsid w:val="00853B1E"/>
    <w:rsid w:val="00854AAE"/>
    <w:rsid w:val="0085571B"/>
    <w:rsid w:val="00856CDB"/>
    <w:rsid w:val="0086000F"/>
    <w:rsid w:val="00860243"/>
    <w:rsid w:val="00862ACA"/>
    <w:rsid w:val="00863B5C"/>
    <w:rsid w:val="00863E35"/>
    <w:rsid w:val="0086480C"/>
    <w:rsid w:val="0086527A"/>
    <w:rsid w:val="00865552"/>
    <w:rsid w:val="0086680C"/>
    <w:rsid w:val="00866A4F"/>
    <w:rsid w:val="00866F44"/>
    <w:rsid w:val="0086710A"/>
    <w:rsid w:val="0086743A"/>
    <w:rsid w:val="00867AF8"/>
    <w:rsid w:val="00870905"/>
    <w:rsid w:val="00870F86"/>
    <w:rsid w:val="008716F5"/>
    <w:rsid w:val="008719E2"/>
    <w:rsid w:val="00872792"/>
    <w:rsid w:val="00872AD0"/>
    <w:rsid w:val="00873EFF"/>
    <w:rsid w:val="008744C2"/>
    <w:rsid w:val="008749E8"/>
    <w:rsid w:val="00874A17"/>
    <w:rsid w:val="00876336"/>
    <w:rsid w:val="00876774"/>
    <w:rsid w:val="00876C6F"/>
    <w:rsid w:val="008770D7"/>
    <w:rsid w:val="00880093"/>
    <w:rsid w:val="008803DA"/>
    <w:rsid w:val="00881794"/>
    <w:rsid w:val="00881CAD"/>
    <w:rsid w:val="00881DED"/>
    <w:rsid w:val="00883A46"/>
    <w:rsid w:val="00883A58"/>
    <w:rsid w:val="00883D98"/>
    <w:rsid w:val="008845C6"/>
    <w:rsid w:val="00886FC2"/>
    <w:rsid w:val="008879C1"/>
    <w:rsid w:val="00891D79"/>
    <w:rsid w:val="008920EB"/>
    <w:rsid w:val="00892EF0"/>
    <w:rsid w:val="0089326A"/>
    <w:rsid w:val="0089358E"/>
    <w:rsid w:val="00893F67"/>
    <w:rsid w:val="00895339"/>
    <w:rsid w:val="00895E6F"/>
    <w:rsid w:val="00896DC0"/>
    <w:rsid w:val="00897D7A"/>
    <w:rsid w:val="008A0297"/>
    <w:rsid w:val="008A034D"/>
    <w:rsid w:val="008A1004"/>
    <w:rsid w:val="008A15C2"/>
    <w:rsid w:val="008A24DF"/>
    <w:rsid w:val="008A2961"/>
    <w:rsid w:val="008A2F96"/>
    <w:rsid w:val="008A34CB"/>
    <w:rsid w:val="008A424D"/>
    <w:rsid w:val="008A474D"/>
    <w:rsid w:val="008A6835"/>
    <w:rsid w:val="008B0300"/>
    <w:rsid w:val="008B09A2"/>
    <w:rsid w:val="008B11C4"/>
    <w:rsid w:val="008B170E"/>
    <w:rsid w:val="008B37A1"/>
    <w:rsid w:val="008B3B3E"/>
    <w:rsid w:val="008B4625"/>
    <w:rsid w:val="008B467F"/>
    <w:rsid w:val="008B57B0"/>
    <w:rsid w:val="008B5ADE"/>
    <w:rsid w:val="008B7531"/>
    <w:rsid w:val="008C06CB"/>
    <w:rsid w:val="008C0C83"/>
    <w:rsid w:val="008C1597"/>
    <w:rsid w:val="008C3A3E"/>
    <w:rsid w:val="008C582D"/>
    <w:rsid w:val="008C6879"/>
    <w:rsid w:val="008C6A5F"/>
    <w:rsid w:val="008C7F35"/>
    <w:rsid w:val="008D07DF"/>
    <w:rsid w:val="008D0D3E"/>
    <w:rsid w:val="008D0EE6"/>
    <w:rsid w:val="008D10E3"/>
    <w:rsid w:val="008D1707"/>
    <w:rsid w:val="008D27C8"/>
    <w:rsid w:val="008D2979"/>
    <w:rsid w:val="008D2A1E"/>
    <w:rsid w:val="008D2CA0"/>
    <w:rsid w:val="008D3B33"/>
    <w:rsid w:val="008D4703"/>
    <w:rsid w:val="008D473E"/>
    <w:rsid w:val="008D659E"/>
    <w:rsid w:val="008D6656"/>
    <w:rsid w:val="008D7BB6"/>
    <w:rsid w:val="008E02E7"/>
    <w:rsid w:val="008E0312"/>
    <w:rsid w:val="008E152A"/>
    <w:rsid w:val="008E2B3A"/>
    <w:rsid w:val="008E3EF5"/>
    <w:rsid w:val="008E4DC6"/>
    <w:rsid w:val="008E591C"/>
    <w:rsid w:val="008E5DFF"/>
    <w:rsid w:val="008E6266"/>
    <w:rsid w:val="008E6B0E"/>
    <w:rsid w:val="008E6B14"/>
    <w:rsid w:val="008E6FC3"/>
    <w:rsid w:val="008F0A00"/>
    <w:rsid w:val="008F0EEB"/>
    <w:rsid w:val="008F1F04"/>
    <w:rsid w:val="008F2B76"/>
    <w:rsid w:val="008F2C24"/>
    <w:rsid w:val="008F48A5"/>
    <w:rsid w:val="008F4B28"/>
    <w:rsid w:val="008F5FAF"/>
    <w:rsid w:val="008F74C2"/>
    <w:rsid w:val="008F7BD9"/>
    <w:rsid w:val="008F7CEE"/>
    <w:rsid w:val="008F7E25"/>
    <w:rsid w:val="00900E6F"/>
    <w:rsid w:val="00900FC4"/>
    <w:rsid w:val="00901C53"/>
    <w:rsid w:val="00902767"/>
    <w:rsid w:val="00902BB7"/>
    <w:rsid w:val="009034EE"/>
    <w:rsid w:val="0090417B"/>
    <w:rsid w:val="009048BF"/>
    <w:rsid w:val="009073E3"/>
    <w:rsid w:val="00907808"/>
    <w:rsid w:val="009108CF"/>
    <w:rsid w:val="00910BEB"/>
    <w:rsid w:val="00911736"/>
    <w:rsid w:val="00911E06"/>
    <w:rsid w:val="00912037"/>
    <w:rsid w:val="009124E7"/>
    <w:rsid w:val="00912F15"/>
    <w:rsid w:val="00916658"/>
    <w:rsid w:val="00916674"/>
    <w:rsid w:val="00916680"/>
    <w:rsid w:val="00916D23"/>
    <w:rsid w:val="00916FAC"/>
    <w:rsid w:val="009174D9"/>
    <w:rsid w:val="0091768B"/>
    <w:rsid w:val="00917A32"/>
    <w:rsid w:val="009218D4"/>
    <w:rsid w:val="0092194B"/>
    <w:rsid w:val="00922AA7"/>
    <w:rsid w:val="00922C6F"/>
    <w:rsid w:val="00922D6B"/>
    <w:rsid w:val="00923155"/>
    <w:rsid w:val="00923311"/>
    <w:rsid w:val="00925391"/>
    <w:rsid w:val="009254E0"/>
    <w:rsid w:val="00925CEA"/>
    <w:rsid w:val="00927A0F"/>
    <w:rsid w:val="00927A30"/>
    <w:rsid w:val="00927DC6"/>
    <w:rsid w:val="00931E9D"/>
    <w:rsid w:val="0093248A"/>
    <w:rsid w:val="009328B3"/>
    <w:rsid w:val="00936A54"/>
    <w:rsid w:val="00936EFB"/>
    <w:rsid w:val="00937543"/>
    <w:rsid w:val="00937AC9"/>
    <w:rsid w:val="00940939"/>
    <w:rsid w:val="00940B0E"/>
    <w:rsid w:val="00940B32"/>
    <w:rsid w:val="00940F81"/>
    <w:rsid w:val="00941552"/>
    <w:rsid w:val="00942B82"/>
    <w:rsid w:val="00943774"/>
    <w:rsid w:val="00943C5A"/>
    <w:rsid w:val="00944273"/>
    <w:rsid w:val="00944C1D"/>
    <w:rsid w:val="00945D12"/>
    <w:rsid w:val="00947ADE"/>
    <w:rsid w:val="009507A1"/>
    <w:rsid w:val="009508DF"/>
    <w:rsid w:val="0095227C"/>
    <w:rsid w:val="009523A7"/>
    <w:rsid w:val="009523F2"/>
    <w:rsid w:val="00952EF4"/>
    <w:rsid w:val="00953FB7"/>
    <w:rsid w:val="0095444C"/>
    <w:rsid w:val="00954A54"/>
    <w:rsid w:val="009551C5"/>
    <w:rsid w:val="00956636"/>
    <w:rsid w:val="00961107"/>
    <w:rsid w:val="00961523"/>
    <w:rsid w:val="00961FE9"/>
    <w:rsid w:val="009620C0"/>
    <w:rsid w:val="009628DB"/>
    <w:rsid w:val="00963312"/>
    <w:rsid w:val="0096386A"/>
    <w:rsid w:val="0096508A"/>
    <w:rsid w:val="00965636"/>
    <w:rsid w:val="00965ABF"/>
    <w:rsid w:val="00966210"/>
    <w:rsid w:val="00971A41"/>
    <w:rsid w:val="00975BE8"/>
    <w:rsid w:val="00976A58"/>
    <w:rsid w:val="00977AA1"/>
    <w:rsid w:val="00980058"/>
    <w:rsid w:val="009815C1"/>
    <w:rsid w:val="00982445"/>
    <w:rsid w:val="00982777"/>
    <w:rsid w:val="00982BBB"/>
    <w:rsid w:val="00982C40"/>
    <w:rsid w:val="00982EC2"/>
    <w:rsid w:val="009836B9"/>
    <w:rsid w:val="0098375D"/>
    <w:rsid w:val="009848BC"/>
    <w:rsid w:val="009849F8"/>
    <w:rsid w:val="00985709"/>
    <w:rsid w:val="009858B1"/>
    <w:rsid w:val="00986137"/>
    <w:rsid w:val="00986389"/>
    <w:rsid w:val="009865DD"/>
    <w:rsid w:val="009870F3"/>
    <w:rsid w:val="009871E0"/>
    <w:rsid w:val="009872CD"/>
    <w:rsid w:val="00987A8B"/>
    <w:rsid w:val="00987EF1"/>
    <w:rsid w:val="00990A46"/>
    <w:rsid w:val="00990AB9"/>
    <w:rsid w:val="009912BB"/>
    <w:rsid w:val="009920E2"/>
    <w:rsid w:val="009931A9"/>
    <w:rsid w:val="00994217"/>
    <w:rsid w:val="00994618"/>
    <w:rsid w:val="00995B20"/>
    <w:rsid w:val="00996430"/>
    <w:rsid w:val="00996CD5"/>
    <w:rsid w:val="00997E71"/>
    <w:rsid w:val="009A09EC"/>
    <w:rsid w:val="009A0E02"/>
    <w:rsid w:val="009A13AE"/>
    <w:rsid w:val="009A151F"/>
    <w:rsid w:val="009A24BC"/>
    <w:rsid w:val="009A442C"/>
    <w:rsid w:val="009A5C07"/>
    <w:rsid w:val="009A5C98"/>
    <w:rsid w:val="009A6AF8"/>
    <w:rsid w:val="009A7EF0"/>
    <w:rsid w:val="009B06A9"/>
    <w:rsid w:val="009B07BF"/>
    <w:rsid w:val="009B2712"/>
    <w:rsid w:val="009B2A92"/>
    <w:rsid w:val="009B3C05"/>
    <w:rsid w:val="009B3EB2"/>
    <w:rsid w:val="009B4660"/>
    <w:rsid w:val="009B46F6"/>
    <w:rsid w:val="009B5CB4"/>
    <w:rsid w:val="009B5E96"/>
    <w:rsid w:val="009B76F3"/>
    <w:rsid w:val="009B7753"/>
    <w:rsid w:val="009C0CFB"/>
    <w:rsid w:val="009C1799"/>
    <w:rsid w:val="009C2087"/>
    <w:rsid w:val="009C24FF"/>
    <w:rsid w:val="009C2DE1"/>
    <w:rsid w:val="009C3712"/>
    <w:rsid w:val="009C3901"/>
    <w:rsid w:val="009C3BA8"/>
    <w:rsid w:val="009C3C64"/>
    <w:rsid w:val="009C4CDF"/>
    <w:rsid w:val="009C66BD"/>
    <w:rsid w:val="009C670A"/>
    <w:rsid w:val="009D002C"/>
    <w:rsid w:val="009D040F"/>
    <w:rsid w:val="009D043F"/>
    <w:rsid w:val="009D0609"/>
    <w:rsid w:val="009D065B"/>
    <w:rsid w:val="009D1603"/>
    <w:rsid w:val="009D23AF"/>
    <w:rsid w:val="009D2486"/>
    <w:rsid w:val="009D2F92"/>
    <w:rsid w:val="009D38A3"/>
    <w:rsid w:val="009D4058"/>
    <w:rsid w:val="009D4B0D"/>
    <w:rsid w:val="009D57EC"/>
    <w:rsid w:val="009D5839"/>
    <w:rsid w:val="009D5AD5"/>
    <w:rsid w:val="009D5F26"/>
    <w:rsid w:val="009D607F"/>
    <w:rsid w:val="009D6591"/>
    <w:rsid w:val="009D6EDD"/>
    <w:rsid w:val="009D75E4"/>
    <w:rsid w:val="009D7CC1"/>
    <w:rsid w:val="009E0CD5"/>
    <w:rsid w:val="009E107C"/>
    <w:rsid w:val="009E1340"/>
    <w:rsid w:val="009E1EB9"/>
    <w:rsid w:val="009E25DF"/>
    <w:rsid w:val="009E33E8"/>
    <w:rsid w:val="009E3400"/>
    <w:rsid w:val="009E39DB"/>
    <w:rsid w:val="009E3B37"/>
    <w:rsid w:val="009E3F6A"/>
    <w:rsid w:val="009E40F8"/>
    <w:rsid w:val="009E5EDB"/>
    <w:rsid w:val="009E6212"/>
    <w:rsid w:val="009E6781"/>
    <w:rsid w:val="009E6FFF"/>
    <w:rsid w:val="009F06DE"/>
    <w:rsid w:val="009F1184"/>
    <w:rsid w:val="009F1E00"/>
    <w:rsid w:val="009F3011"/>
    <w:rsid w:val="009F3BBC"/>
    <w:rsid w:val="009F44D0"/>
    <w:rsid w:val="009F45ED"/>
    <w:rsid w:val="00A02B2F"/>
    <w:rsid w:val="00A02D1A"/>
    <w:rsid w:val="00A03078"/>
    <w:rsid w:val="00A0627A"/>
    <w:rsid w:val="00A102CA"/>
    <w:rsid w:val="00A10781"/>
    <w:rsid w:val="00A10C30"/>
    <w:rsid w:val="00A1101A"/>
    <w:rsid w:val="00A1234B"/>
    <w:rsid w:val="00A12BD8"/>
    <w:rsid w:val="00A15F64"/>
    <w:rsid w:val="00A177F4"/>
    <w:rsid w:val="00A20BC1"/>
    <w:rsid w:val="00A2127E"/>
    <w:rsid w:val="00A2263F"/>
    <w:rsid w:val="00A227CE"/>
    <w:rsid w:val="00A233E0"/>
    <w:rsid w:val="00A24178"/>
    <w:rsid w:val="00A24F5B"/>
    <w:rsid w:val="00A26353"/>
    <w:rsid w:val="00A26C3B"/>
    <w:rsid w:val="00A26E89"/>
    <w:rsid w:val="00A274B4"/>
    <w:rsid w:val="00A27E5C"/>
    <w:rsid w:val="00A306EB"/>
    <w:rsid w:val="00A31484"/>
    <w:rsid w:val="00A31E86"/>
    <w:rsid w:val="00A352DB"/>
    <w:rsid w:val="00A358CC"/>
    <w:rsid w:val="00A35918"/>
    <w:rsid w:val="00A35BC3"/>
    <w:rsid w:val="00A35F5B"/>
    <w:rsid w:val="00A361CE"/>
    <w:rsid w:val="00A40279"/>
    <w:rsid w:val="00A40AAF"/>
    <w:rsid w:val="00A40D08"/>
    <w:rsid w:val="00A4141C"/>
    <w:rsid w:val="00A4178A"/>
    <w:rsid w:val="00A4269E"/>
    <w:rsid w:val="00A428AD"/>
    <w:rsid w:val="00A42D49"/>
    <w:rsid w:val="00A45593"/>
    <w:rsid w:val="00A45770"/>
    <w:rsid w:val="00A45865"/>
    <w:rsid w:val="00A503CE"/>
    <w:rsid w:val="00A50C4F"/>
    <w:rsid w:val="00A5112E"/>
    <w:rsid w:val="00A51450"/>
    <w:rsid w:val="00A514BF"/>
    <w:rsid w:val="00A5226D"/>
    <w:rsid w:val="00A53BD4"/>
    <w:rsid w:val="00A53C9A"/>
    <w:rsid w:val="00A5549C"/>
    <w:rsid w:val="00A55764"/>
    <w:rsid w:val="00A56C84"/>
    <w:rsid w:val="00A56E2F"/>
    <w:rsid w:val="00A57182"/>
    <w:rsid w:val="00A57230"/>
    <w:rsid w:val="00A576AD"/>
    <w:rsid w:val="00A60384"/>
    <w:rsid w:val="00A614C3"/>
    <w:rsid w:val="00A6282F"/>
    <w:rsid w:val="00A6293F"/>
    <w:rsid w:val="00A62AFA"/>
    <w:rsid w:val="00A62CD8"/>
    <w:rsid w:val="00A63E8A"/>
    <w:rsid w:val="00A64B54"/>
    <w:rsid w:val="00A66160"/>
    <w:rsid w:val="00A66283"/>
    <w:rsid w:val="00A67729"/>
    <w:rsid w:val="00A67FC6"/>
    <w:rsid w:val="00A68791"/>
    <w:rsid w:val="00A71397"/>
    <w:rsid w:val="00A71F84"/>
    <w:rsid w:val="00A72623"/>
    <w:rsid w:val="00A768D2"/>
    <w:rsid w:val="00A77DBB"/>
    <w:rsid w:val="00A77DBE"/>
    <w:rsid w:val="00A80208"/>
    <w:rsid w:val="00A8043B"/>
    <w:rsid w:val="00A80A27"/>
    <w:rsid w:val="00A816BC"/>
    <w:rsid w:val="00A81808"/>
    <w:rsid w:val="00A82647"/>
    <w:rsid w:val="00A82DAD"/>
    <w:rsid w:val="00A8542E"/>
    <w:rsid w:val="00A8593A"/>
    <w:rsid w:val="00A8676F"/>
    <w:rsid w:val="00A86A51"/>
    <w:rsid w:val="00A91550"/>
    <w:rsid w:val="00A9188B"/>
    <w:rsid w:val="00A91EFC"/>
    <w:rsid w:val="00A9208F"/>
    <w:rsid w:val="00A955EC"/>
    <w:rsid w:val="00A9734E"/>
    <w:rsid w:val="00A975AC"/>
    <w:rsid w:val="00A975FF"/>
    <w:rsid w:val="00A97EE9"/>
    <w:rsid w:val="00AA0FBF"/>
    <w:rsid w:val="00AA26C8"/>
    <w:rsid w:val="00AA2AE3"/>
    <w:rsid w:val="00AA3857"/>
    <w:rsid w:val="00AA3D35"/>
    <w:rsid w:val="00AA4A5E"/>
    <w:rsid w:val="00AA4F24"/>
    <w:rsid w:val="00AA5BD7"/>
    <w:rsid w:val="00AA67A0"/>
    <w:rsid w:val="00AA74E9"/>
    <w:rsid w:val="00AA76AF"/>
    <w:rsid w:val="00AB3227"/>
    <w:rsid w:val="00AB45CE"/>
    <w:rsid w:val="00AB533A"/>
    <w:rsid w:val="00AB58D2"/>
    <w:rsid w:val="00AB6141"/>
    <w:rsid w:val="00AB6385"/>
    <w:rsid w:val="00AB78D3"/>
    <w:rsid w:val="00AC046C"/>
    <w:rsid w:val="00AC0E90"/>
    <w:rsid w:val="00AC105E"/>
    <w:rsid w:val="00AC1131"/>
    <w:rsid w:val="00AC1AC4"/>
    <w:rsid w:val="00AC289A"/>
    <w:rsid w:val="00AC32D5"/>
    <w:rsid w:val="00AC408A"/>
    <w:rsid w:val="00AC4D8E"/>
    <w:rsid w:val="00AC5472"/>
    <w:rsid w:val="00AC550C"/>
    <w:rsid w:val="00AC706E"/>
    <w:rsid w:val="00AC781C"/>
    <w:rsid w:val="00AD02CE"/>
    <w:rsid w:val="00AD0C11"/>
    <w:rsid w:val="00AD15AC"/>
    <w:rsid w:val="00AD1B66"/>
    <w:rsid w:val="00AD1CFF"/>
    <w:rsid w:val="00AD210A"/>
    <w:rsid w:val="00AD2447"/>
    <w:rsid w:val="00AD3F78"/>
    <w:rsid w:val="00AD4053"/>
    <w:rsid w:val="00AD41FD"/>
    <w:rsid w:val="00AD46F7"/>
    <w:rsid w:val="00AD5DE9"/>
    <w:rsid w:val="00AE026A"/>
    <w:rsid w:val="00AE0BEC"/>
    <w:rsid w:val="00AE1346"/>
    <w:rsid w:val="00AE2594"/>
    <w:rsid w:val="00AE274D"/>
    <w:rsid w:val="00AE306C"/>
    <w:rsid w:val="00AE3624"/>
    <w:rsid w:val="00AE3760"/>
    <w:rsid w:val="00AE3F7E"/>
    <w:rsid w:val="00AE56C3"/>
    <w:rsid w:val="00AE624C"/>
    <w:rsid w:val="00AE63B1"/>
    <w:rsid w:val="00AE676B"/>
    <w:rsid w:val="00AE6C21"/>
    <w:rsid w:val="00AE6ECA"/>
    <w:rsid w:val="00AE7BAA"/>
    <w:rsid w:val="00AE7BE7"/>
    <w:rsid w:val="00AE7FC5"/>
    <w:rsid w:val="00AF0B9C"/>
    <w:rsid w:val="00AF0FAD"/>
    <w:rsid w:val="00AF13F7"/>
    <w:rsid w:val="00AF1A19"/>
    <w:rsid w:val="00AF2486"/>
    <w:rsid w:val="00AF279B"/>
    <w:rsid w:val="00AF3C5F"/>
    <w:rsid w:val="00AF3D20"/>
    <w:rsid w:val="00AF400B"/>
    <w:rsid w:val="00AF4218"/>
    <w:rsid w:val="00AF4B24"/>
    <w:rsid w:val="00AF60A2"/>
    <w:rsid w:val="00AF6ED5"/>
    <w:rsid w:val="00AF6F5C"/>
    <w:rsid w:val="00AF7541"/>
    <w:rsid w:val="00B0076C"/>
    <w:rsid w:val="00B027C5"/>
    <w:rsid w:val="00B02874"/>
    <w:rsid w:val="00B03085"/>
    <w:rsid w:val="00B0333C"/>
    <w:rsid w:val="00B043B1"/>
    <w:rsid w:val="00B044A6"/>
    <w:rsid w:val="00B04655"/>
    <w:rsid w:val="00B0514D"/>
    <w:rsid w:val="00B0550B"/>
    <w:rsid w:val="00B05593"/>
    <w:rsid w:val="00B06750"/>
    <w:rsid w:val="00B07337"/>
    <w:rsid w:val="00B11888"/>
    <w:rsid w:val="00B11B2A"/>
    <w:rsid w:val="00B11ED0"/>
    <w:rsid w:val="00B13545"/>
    <w:rsid w:val="00B13DEC"/>
    <w:rsid w:val="00B151F1"/>
    <w:rsid w:val="00B15AEE"/>
    <w:rsid w:val="00B15B9E"/>
    <w:rsid w:val="00B15BAF"/>
    <w:rsid w:val="00B174D1"/>
    <w:rsid w:val="00B20F6C"/>
    <w:rsid w:val="00B219AE"/>
    <w:rsid w:val="00B222EC"/>
    <w:rsid w:val="00B22810"/>
    <w:rsid w:val="00B22F84"/>
    <w:rsid w:val="00B2326A"/>
    <w:rsid w:val="00B23E0D"/>
    <w:rsid w:val="00B23F96"/>
    <w:rsid w:val="00B24852"/>
    <w:rsid w:val="00B25696"/>
    <w:rsid w:val="00B26757"/>
    <w:rsid w:val="00B30B4B"/>
    <w:rsid w:val="00B31C31"/>
    <w:rsid w:val="00B31FA7"/>
    <w:rsid w:val="00B326E6"/>
    <w:rsid w:val="00B34334"/>
    <w:rsid w:val="00B3442C"/>
    <w:rsid w:val="00B368CF"/>
    <w:rsid w:val="00B36E6E"/>
    <w:rsid w:val="00B374CB"/>
    <w:rsid w:val="00B379BB"/>
    <w:rsid w:val="00B37C28"/>
    <w:rsid w:val="00B400AE"/>
    <w:rsid w:val="00B41807"/>
    <w:rsid w:val="00B4223F"/>
    <w:rsid w:val="00B42CEE"/>
    <w:rsid w:val="00B434D7"/>
    <w:rsid w:val="00B43604"/>
    <w:rsid w:val="00B459AD"/>
    <w:rsid w:val="00B45BEF"/>
    <w:rsid w:val="00B4684B"/>
    <w:rsid w:val="00B47058"/>
    <w:rsid w:val="00B5068E"/>
    <w:rsid w:val="00B51024"/>
    <w:rsid w:val="00B51335"/>
    <w:rsid w:val="00B524A9"/>
    <w:rsid w:val="00B52E1D"/>
    <w:rsid w:val="00B53730"/>
    <w:rsid w:val="00B540E6"/>
    <w:rsid w:val="00B603E4"/>
    <w:rsid w:val="00B6077A"/>
    <w:rsid w:val="00B60C29"/>
    <w:rsid w:val="00B61942"/>
    <w:rsid w:val="00B61F41"/>
    <w:rsid w:val="00B62988"/>
    <w:rsid w:val="00B63B97"/>
    <w:rsid w:val="00B641FF"/>
    <w:rsid w:val="00B64C8D"/>
    <w:rsid w:val="00B65237"/>
    <w:rsid w:val="00B666CD"/>
    <w:rsid w:val="00B66FC9"/>
    <w:rsid w:val="00B67894"/>
    <w:rsid w:val="00B6794A"/>
    <w:rsid w:val="00B67D36"/>
    <w:rsid w:val="00B7081B"/>
    <w:rsid w:val="00B71204"/>
    <w:rsid w:val="00B71516"/>
    <w:rsid w:val="00B71978"/>
    <w:rsid w:val="00B72371"/>
    <w:rsid w:val="00B737EF"/>
    <w:rsid w:val="00B74D25"/>
    <w:rsid w:val="00B7519D"/>
    <w:rsid w:val="00B75C61"/>
    <w:rsid w:val="00B766C9"/>
    <w:rsid w:val="00B77477"/>
    <w:rsid w:val="00B77C81"/>
    <w:rsid w:val="00B80F08"/>
    <w:rsid w:val="00B80F76"/>
    <w:rsid w:val="00B818B8"/>
    <w:rsid w:val="00B81A2E"/>
    <w:rsid w:val="00B83587"/>
    <w:rsid w:val="00B83F5C"/>
    <w:rsid w:val="00B8407F"/>
    <w:rsid w:val="00B843DE"/>
    <w:rsid w:val="00B8491D"/>
    <w:rsid w:val="00B84E83"/>
    <w:rsid w:val="00B85499"/>
    <w:rsid w:val="00B857AF"/>
    <w:rsid w:val="00B85B34"/>
    <w:rsid w:val="00B8742C"/>
    <w:rsid w:val="00B87787"/>
    <w:rsid w:val="00B90437"/>
    <w:rsid w:val="00B910D4"/>
    <w:rsid w:val="00B92284"/>
    <w:rsid w:val="00B93433"/>
    <w:rsid w:val="00B9379D"/>
    <w:rsid w:val="00B93A47"/>
    <w:rsid w:val="00B93F50"/>
    <w:rsid w:val="00B9424F"/>
    <w:rsid w:val="00B9504D"/>
    <w:rsid w:val="00B957FA"/>
    <w:rsid w:val="00B95BD0"/>
    <w:rsid w:val="00B9602F"/>
    <w:rsid w:val="00BA1A18"/>
    <w:rsid w:val="00BA2B38"/>
    <w:rsid w:val="00BA45E6"/>
    <w:rsid w:val="00BA4FF4"/>
    <w:rsid w:val="00BA5E6F"/>
    <w:rsid w:val="00BA711E"/>
    <w:rsid w:val="00BB0D04"/>
    <w:rsid w:val="00BB104E"/>
    <w:rsid w:val="00BB1EA8"/>
    <w:rsid w:val="00BB2302"/>
    <w:rsid w:val="00BB29FA"/>
    <w:rsid w:val="00BB2B15"/>
    <w:rsid w:val="00BB337A"/>
    <w:rsid w:val="00BB3410"/>
    <w:rsid w:val="00BB3811"/>
    <w:rsid w:val="00BB3B29"/>
    <w:rsid w:val="00BB432F"/>
    <w:rsid w:val="00BB49A7"/>
    <w:rsid w:val="00BB49C0"/>
    <w:rsid w:val="00BB4E89"/>
    <w:rsid w:val="00BB5F47"/>
    <w:rsid w:val="00BB6E54"/>
    <w:rsid w:val="00BB6F4C"/>
    <w:rsid w:val="00BB6FB5"/>
    <w:rsid w:val="00BB753F"/>
    <w:rsid w:val="00BB7DA0"/>
    <w:rsid w:val="00BB7FF2"/>
    <w:rsid w:val="00BC0B1A"/>
    <w:rsid w:val="00BC1522"/>
    <w:rsid w:val="00BC1BF0"/>
    <w:rsid w:val="00BC2553"/>
    <w:rsid w:val="00BC3541"/>
    <w:rsid w:val="00BC3DD2"/>
    <w:rsid w:val="00BC452B"/>
    <w:rsid w:val="00BC4CD6"/>
    <w:rsid w:val="00BC6413"/>
    <w:rsid w:val="00BC74DC"/>
    <w:rsid w:val="00BC790B"/>
    <w:rsid w:val="00BD120F"/>
    <w:rsid w:val="00BD12E4"/>
    <w:rsid w:val="00BD1B21"/>
    <w:rsid w:val="00BD326F"/>
    <w:rsid w:val="00BD6B16"/>
    <w:rsid w:val="00BD75CB"/>
    <w:rsid w:val="00BE0058"/>
    <w:rsid w:val="00BE102B"/>
    <w:rsid w:val="00BE12E1"/>
    <w:rsid w:val="00BE1A31"/>
    <w:rsid w:val="00BE1B26"/>
    <w:rsid w:val="00BE1F44"/>
    <w:rsid w:val="00BE3672"/>
    <w:rsid w:val="00BE3D6F"/>
    <w:rsid w:val="00BE4338"/>
    <w:rsid w:val="00BE4548"/>
    <w:rsid w:val="00BE4759"/>
    <w:rsid w:val="00BE53BF"/>
    <w:rsid w:val="00BE63D7"/>
    <w:rsid w:val="00BE644D"/>
    <w:rsid w:val="00BE6D5F"/>
    <w:rsid w:val="00BE755A"/>
    <w:rsid w:val="00BE7AFF"/>
    <w:rsid w:val="00BF07FF"/>
    <w:rsid w:val="00BF0CAD"/>
    <w:rsid w:val="00BF13BE"/>
    <w:rsid w:val="00BF2700"/>
    <w:rsid w:val="00BF2A34"/>
    <w:rsid w:val="00BF2DF6"/>
    <w:rsid w:val="00BF52BD"/>
    <w:rsid w:val="00BF5699"/>
    <w:rsid w:val="00BF6721"/>
    <w:rsid w:val="00C01365"/>
    <w:rsid w:val="00C0267B"/>
    <w:rsid w:val="00C02D9A"/>
    <w:rsid w:val="00C033E9"/>
    <w:rsid w:val="00C0389F"/>
    <w:rsid w:val="00C04326"/>
    <w:rsid w:val="00C046AD"/>
    <w:rsid w:val="00C04C56"/>
    <w:rsid w:val="00C054E3"/>
    <w:rsid w:val="00C066B7"/>
    <w:rsid w:val="00C0784D"/>
    <w:rsid w:val="00C07AAE"/>
    <w:rsid w:val="00C07D74"/>
    <w:rsid w:val="00C11AB8"/>
    <w:rsid w:val="00C11ED5"/>
    <w:rsid w:val="00C12AEA"/>
    <w:rsid w:val="00C13B84"/>
    <w:rsid w:val="00C148BC"/>
    <w:rsid w:val="00C14B7B"/>
    <w:rsid w:val="00C14D9D"/>
    <w:rsid w:val="00C1628D"/>
    <w:rsid w:val="00C20372"/>
    <w:rsid w:val="00C2356F"/>
    <w:rsid w:val="00C2410E"/>
    <w:rsid w:val="00C24C6C"/>
    <w:rsid w:val="00C24D58"/>
    <w:rsid w:val="00C25A7A"/>
    <w:rsid w:val="00C265A5"/>
    <w:rsid w:val="00C27150"/>
    <w:rsid w:val="00C30469"/>
    <w:rsid w:val="00C3183C"/>
    <w:rsid w:val="00C32359"/>
    <w:rsid w:val="00C32D5B"/>
    <w:rsid w:val="00C33E98"/>
    <w:rsid w:val="00C346AB"/>
    <w:rsid w:val="00C347F1"/>
    <w:rsid w:val="00C34842"/>
    <w:rsid w:val="00C36AEE"/>
    <w:rsid w:val="00C36E61"/>
    <w:rsid w:val="00C375CA"/>
    <w:rsid w:val="00C4298A"/>
    <w:rsid w:val="00C42F7B"/>
    <w:rsid w:val="00C441E0"/>
    <w:rsid w:val="00C44A9E"/>
    <w:rsid w:val="00C45709"/>
    <w:rsid w:val="00C457F1"/>
    <w:rsid w:val="00C45979"/>
    <w:rsid w:val="00C51D4B"/>
    <w:rsid w:val="00C538F7"/>
    <w:rsid w:val="00C541C4"/>
    <w:rsid w:val="00C54E17"/>
    <w:rsid w:val="00C54FDB"/>
    <w:rsid w:val="00C553B4"/>
    <w:rsid w:val="00C559D0"/>
    <w:rsid w:val="00C55CA6"/>
    <w:rsid w:val="00C573BC"/>
    <w:rsid w:val="00C60122"/>
    <w:rsid w:val="00C60DDA"/>
    <w:rsid w:val="00C60F1B"/>
    <w:rsid w:val="00C61063"/>
    <w:rsid w:val="00C6117E"/>
    <w:rsid w:val="00C615FD"/>
    <w:rsid w:val="00C6228D"/>
    <w:rsid w:val="00C63846"/>
    <w:rsid w:val="00C64A67"/>
    <w:rsid w:val="00C65058"/>
    <w:rsid w:val="00C66CFC"/>
    <w:rsid w:val="00C6761E"/>
    <w:rsid w:val="00C67B57"/>
    <w:rsid w:val="00C67D9C"/>
    <w:rsid w:val="00C706D7"/>
    <w:rsid w:val="00C72590"/>
    <w:rsid w:val="00C72CCD"/>
    <w:rsid w:val="00C733F7"/>
    <w:rsid w:val="00C754FD"/>
    <w:rsid w:val="00C7587D"/>
    <w:rsid w:val="00C76FDB"/>
    <w:rsid w:val="00C77F5B"/>
    <w:rsid w:val="00C80081"/>
    <w:rsid w:val="00C80BE5"/>
    <w:rsid w:val="00C80E50"/>
    <w:rsid w:val="00C81982"/>
    <w:rsid w:val="00C81AA7"/>
    <w:rsid w:val="00C81E8A"/>
    <w:rsid w:val="00C83ECD"/>
    <w:rsid w:val="00C8408B"/>
    <w:rsid w:val="00C855DD"/>
    <w:rsid w:val="00C86836"/>
    <w:rsid w:val="00C868DA"/>
    <w:rsid w:val="00C86ABE"/>
    <w:rsid w:val="00C8720B"/>
    <w:rsid w:val="00C879E9"/>
    <w:rsid w:val="00C87C08"/>
    <w:rsid w:val="00C87E71"/>
    <w:rsid w:val="00C90180"/>
    <w:rsid w:val="00C91270"/>
    <w:rsid w:val="00C9141A"/>
    <w:rsid w:val="00C916DE"/>
    <w:rsid w:val="00C917BF"/>
    <w:rsid w:val="00C93634"/>
    <w:rsid w:val="00C943C6"/>
    <w:rsid w:val="00C94D70"/>
    <w:rsid w:val="00C9517E"/>
    <w:rsid w:val="00C96032"/>
    <w:rsid w:val="00C96BDE"/>
    <w:rsid w:val="00C97EE5"/>
    <w:rsid w:val="00CA2512"/>
    <w:rsid w:val="00CA27B9"/>
    <w:rsid w:val="00CA2B73"/>
    <w:rsid w:val="00CA2F31"/>
    <w:rsid w:val="00CA32FE"/>
    <w:rsid w:val="00CA3A66"/>
    <w:rsid w:val="00CA4137"/>
    <w:rsid w:val="00CA5790"/>
    <w:rsid w:val="00CA5AE4"/>
    <w:rsid w:val="00CA6D14"/>
    <w:rsid w:val="00CA7D74"/>
    <w:rsid w:val="00CB02A1"/>
    <w:rsid w:val="00CB038B"/>
    <w:rsid w:val="00CB04F5"/>
    <w:rsid w:val="00CB127A"/>
    <w:rsid w:val="00CB1797"/>
    <w:rsid w:val="00CB2673"/>
    <w:rsid w:val="00CB44F9"/>
    <w:rsid w:val="00CB4B04"/>
    <w:rsid w:val="00CB6A1C"/>
    <w:rsid w:val="00CB6AD7"/>
    <w:rsid w:val="00CB6EBD"/>
    <w:rsid w:val="00CB6FB7"/>
    <w:rsid w:val="00CC0267"/>
    <w:rsid w:val="00CC03C4"/>
    <w:rsid w:val="00CC15B4"/>
    <w:rsid w:val="00CC1629"/>
    <w:rsid w:val="00CC2643"/>
    <w:rsid w:val="00CC338D"/>
    <w:rsid w:val="00CC3C26"/>
    <w:rsid w:val="00CC43C3"/>
    <w:rsid w:val="00CC43C5"/>
    <w:rsid w:val="00CC43CD"/>
    <w:rsid w:val="00CC4618"/>
    <w:rsid w:val="00CC4B77"/>
    <w:rsid w:val="00CD1614"/>
    <w:rsid w:val="00CD1836"/>
    <w:rsid w:val="00CD275E"/>
    <w:rsid w:val="00CD2A70"/>
    <w:rsid w:val="00CD2EF7"/>
    <w:rsid w:val="00CD34C4"/>
    <w:rsid w:val="00CD38AB"/>
    <w:rsid w:val="00CD400D"/>
    <w:rsid w:val="00CD4100"/>
    <w:rsid w:val="00CD4338"/>
    <w:rsid w:val="00CD4809"/>
    <w:rsid w:val="00CD5A92"/>
    <w:rsid w:val="00CD671B"/>
    <w:rsid w:val="00CD679D"/>
    <w:rsid w:val="00CD71B1"/>
    <w:rsid w:val="00CD7393"/>
    <w:rsid w:val="00CD7D85"/>
    <w:rsid w:val="00CE0942"/>
    <w:rsid w:val="00CE1EF9"/>
    <w:rsid w:val="00CE2CB1"/>
    <w:rsid w:val="00CE3ACF"/>
    <w:rsid w:val="00CE4292"/>
    <w:rsid w:val="00CE4DEB"/>
    <w:rsid w:val="00CE4F47"/>
    <w:rsid w:val="00CE53D6"/>
    <w:rsid w:val="00CE5752"/>
    <w:rsid w:val="00CE6F14"/>
    <w:rsid w:val="00CE6F2D"/>
    <w:rsid w:val="00CE7ED6"/>
    <w:rsid w:val="00CF09F9"/>
    <w:rsid w:val="00CF2359"/>
    <w:rsid w:val="00CF23B4"/>
    <w:rsid w:val="00CF242E"/>
    <w:rsid w:val="00CF2DAC"/>
    <w:rsid w:val="00CF3A5E"/>
    <w:rsid w:val="00CF4018"/>
    <w:rsid w:val="00CF413A"/>
    <w:rsid w:val="00CF4631"/>
    <w:rsid w:val="00CF5A3C"/>
    <w:rsid w:val="00CF5EFF"/>
    <w:rsid w:val="00CF61BA"/>
    <w:rsid w:val="00D00106"/>
    <w:rsid w:val="00D00D33"/>
    <w:rsid w:val="00D01774"/>
    <w:rsid w:val="00D01A8F"/>
    <w:rsid w:val="00D01B40"/>
    <w:rsid w:val="00D04072"/>
    <w:rsid w:val="00D043F3"/>
    <w:rsid w:val="00D073E4"/>
    <w:rsid w:val="00D07865"/>
    <w:rsid w:val="00D10B82"/>
    <w:rsid w:val="00D12D20"/>
    <w:rsid w:val="00D14149"/>
    <w:rsid w:val="00D14210"/>
    <w:rsid w:val="00D14A68"/>
    <w:rsid w:val="00D163B0"/>
    <w:rsid w:val="00D17BB9"/>
    <w:rsid w:val="00D210DB"/>
    <w:rsid w:val="00D225E2"/>
    <w:rsid w:val="00D22852"/>
    <w:rsid w:val="00D22915"/>
    <w:rsid w:val="00D234AD"/>
    <w:rsid w:val="00D24AC0"/>
    <w:rsid w:val="00D25808"/>
    <w:rsid w:val="00D25BE1"/>
    <w:rsid w:val="00D26124"/>
    <w:rsid w:val="00D27607"/>
    <w:rsid w:val="00D313D3"/>
    <w:rsid w:val="00D31DCE"/>
    <w:rsid w:val="00D33817"/>
    <w:rsid w:val="00D34078"/>
    <w:rsid w:val="00D36464"/>
    <w:rsid w:val="00D37D03"/>
    <w:rsid w:val="00D37D3F"/>
    <w:rsid w:val="00D408CD"/>
    <w:rsid w:val="00D414EB"/>
    <w:rsid w:val="00D42538"/>
    <w:rsid w:val="00D4260C"/>
    <w:rsid w:val="00D43278"/>
    <w:rsid w:val="00D432B7"/>
    <w:rsid w:val="00D437E5"/>
    <w:rsid w:val="00D4483E"/>
    <w:rsid w:val="00D45292"/>
    <w:rsid w:val="00D4591C"/>
    <w:rsid w:val="00D45C8A"/>
    <w:rsid w:val="00D45D5C"/>
    <w:rsid w:val="00D461F4"/>
    <w:rsid w:val="00D47C16"/>
    <w:rsid w:val="00D47C2B"/>
    <w:rsid w:val="00D47CB3"/>
    <w:rsid w:val="00D50331"/>
    <w:rsid w:val="00D50C3C"/>
    <w:rsid w:val="00D51356"/>
    <w:rsid w:val="00D517F0"/>
    <w:rsid w:val="00D519FD"/>
    <w:rsid w:val="00D5260D"/>
    <w:rsid w:val="00D54334"/>
    <w:rsid w:val="00D544EC"/>
    <w:rsid w:val="00D55926"/>
    <w:rsid w:val="00D55B70"/>
    <w:rsid w:val="00D55EB1"/>
    <w:rsid w:val="00D57716"/>
    <w:rsid w:val="00D57972"/>
    <w:rsid w:val="00D60139"/>
    <w:rsid w:val="00D6071F"/>
    <w:rsid w:val="00D61EDC"/>
    <w:rsid w:val="00D6373C"/>
    <w:rsid w:val="00D64254"/>
    <w:rsid w:val="00D6433B"/>
    <w:rsid w:val="00D6704A"/>
    <w:rsid w:val="00D70DC3"/>
    <w:rsid w:val="00D7125E"/>
    <w:rsid w:val="00D73509"/>
    <w:rsid w:val="00D73DBE"/>
    <w:rsid w:val="00D73E09"/>
    <w:rsid w:val="00D74290"/>
    <w:rsid w:val="00D750BD"/>
    <w:rsid w:val="00D76DB3"/>
    <w:rsid w:val="00D7796D"/>
    <w:rsid w:val="00D77C8D"/>
    <w:rsid w:val="00D80B9F"/>
    <w:rsid w:val="00D82822"/>
    <w:rsid w:val="00D85359"/>
    <w:rsid w:val="00D87764"/>
    <w:rsid w:val="00D8781F"/>
    <w:rsid w:val="00D87B32"/>
    <w:rsid w:val="00D90653"/>
    <w:rsid w:val="00D924D4"/>
    <w:rsid w:val="00D92ED6"/>
    <w:rsid w:val="00D930CD"/>
    <w:rsid w:val="00D93369"/>
    <w:rsid w:val="00D9599C"/>
    <w:rsid w:val="00D976F1"/>
    <w:rsid w:val="00DA2048"/>
    <w:rsid w:val="00DA35B0"/>
    <w:rsid w:val="00DA4019"/>
    <w:rsid w:val="00DA4E0C"/>
    <w:rsid w:val="00DA53F8"/>
    <w:rsid w:val="00DA695F"/>
    <w:rsid w:val="00DA7843"/>
    <w:rsid w:val="00DA7E80"/>
    <w:rsid w:val="00DB0D3A"/>
    <w:rsid w:val="00DB0E66"/>
    <w:rsid w:val="00DB13CB"/>
    <w:rsid w:val="00DB1C54"/>
    <w:rsid w:val="00DB3243"/>
    <w:rsid w:val="00DB343F"/>
    <w:rsid w:val="00DB4275"/>
    <w:rsid w:val="00DB4705"/>
    <w:rsid w:val="00DB523F"/>
    <w:rsid w:val="00DB52E0"/>
    <w:rsid w:val="00DB55B9"/>
    <w:rsid w:val="00DB5E95"/>
    <w:rsid w:val="00DB6062"/>
    <w:rsid w:val="00DB7775"/>
    <w:rsid w:val="00DB799B"/>
    <w:rsid w:val="00DC1889"/>
    <w:rsid w:val="00DC1EEC"/>
    <w:rsid w:val="00DC2D99"/>
    <w:rsid w:val="00DC5419"/>
    <w:rsid w:val="00DC57CD"/>
    <w:rsid w:val="00DC6593"/>
    <w:rsid w:val="00DC6C80"/>
    <w:rsid w:val="00DD19F9"/>
    <w:rsid w:val="00DD2682"/>
    <w:rsid w:val="00DD2E10"/>
    <w:rsid w:val="00DD35B0"/>
    <w:rsid w:val="00DD4E7A"/>
    <w:rsid w:val="00DD507E"/>
    <w:rsid w:val="00DD6533"/>
    <w:rsid w:val="00DD718B"/>
    <w:rsid w:val="00DE02B9"/>
    <w:rsid w:val="00DE03BE"/>
    <w:rsid w:val="00DE15D8"/>
    <w:rsid w:val="00DE26D9"/>
    <w:rsid w:val="00DE3DF8"/>
    <w:rsid w:val="00DE4E0C"/>
    <w:rsid w:val="00DE50FF"/>
    <w:rsid w:val="00DE60DC"/>
    <w:rsid w:val="00DE657B"/>
    <w:rsid w:val="00DE68CB"/>
    <w:rsid w:val="00DE6FFE"/>
    <w:rsid w:val="00DE7C9D"/>
    <w:rsid w:val="00DF0955"/>
    <w:rsid w:val="00DF125F"/>
    <w:rsid w:val="00DF1670"/>
    <w:rsid w:val="00DF3AA1"/>
    <w:rsid w:val="00DF4973"/>
    <w:rsid w:val="00DF4D86"/>
    <w:rsid w:val="00DF52E9"/>
    <w:rsid w:val="00DF6030"/>
    <w:rsid w:val="00DF623C"/>
    <w:rsid w:val="00DF6E8A"/>
    <w:rsid w:val="00DF7E5D"/>
    <w:rsid w:val="00E00589"/>
    <w:rsid w:val="00E0220E"/>
    <w:rsid w:val="00E034D9"/>
    <w:rsid w:val="00E03889"/>
    <w:rsid w:val="00E03FC8"/>
    <w:rsid w:val="00E04947"/>
    <w:rsid w:val="00E0729E"/>
    <w:rsid w:val="00E076DF"/>
    <w:rsid w:val="00E10927"/>
    <w:rsid w:val="00E128B1"/>
    <w:rsid w:val="00E14467"/>
    <w:rsid w:val="00E14BF3"/>
    <w:rsid w:val="00E16410"/>
    <w:rsid w:val="00E17D42"/>
    <w:rsid w:val="00E205A3"/>
    <w:rsid w:val="00E21B35"/>
    <w:rsid w:val="00E2224E"/>
    <w:rsid w:val="00E2304F"/>
    <w:rsid w:val="00E2389F"/>
    <w:rsid w:val="00E24A1C"/>
    <w:rsid w:val="00E25157"/>
    <w:rsid w:val="00E25C17"/>
    <w:rsid w:val="00E27F78"/>
    <w:rsid w:val="00E27F93"/>
    <w:rsid w:val="00E30F8E"/>
    <w:rsid w:val="00E3122D"/>
    <w:rsid w:val="00E31784"/>
    <w:rsid w:val="00E31866"/>
    <w:rsid w:val="00E33251"/>
    <w:rsid w:val="00E33AAD"/>
    <w:rsid w:val="00E33AE5"/>
    <w:rsid w:val="00E33FC1"/>
    <w:rsid w:val="00E3424C"/>
    <w:rsid w:val="00E3518D"/>
    <w:rsid w:val="00E35BF8"/>
    <w:rsid w:val="00E37A2B"/>
    <w:rsid w:val="00E40D81"/>
    <w:rsid w:val="00E41D12"/>
    <w:rsid w:val="00E42AED"/>
    <w:rsid w:val="00E42EA6"/>
    <w:rsid w:val="00E439D8"/>
    <w:rsid w:val="00E45BF3"/>
    <w:rsid w:val="00E463E4"/>
    <w:rsid w:val="00E47562"/>
    <w:rsid w:val="00E4794D"/>
    <w:rsid w:val="00E50CD6"/>
    <w:rsid w:val="00E521A9"/>
    <w:rsid w:val="00E5311D"/>
    <w:rsid w:val="00E5499F"/>
    <w:rsid w:val="00E54B97"/>
    <w:rsid w:val="00E55F68"/>
    <w:rsid w:val="00E56421"/>
    <w:rsid w:val="00E56DCC"/>
    <w:rsid w:val="00E57944"/>
    <w:rsid w:val="00E604E8"/>
    <w:rsid w:val="00E615C5"/>
    <w:rsid w:val="00E63258"/>
    <w:rsid w:val="00E63B7C"/>
    <w:rsid w:val="00E64357"/>
    <w:rsid w:val="00E64935"/>
    <w:rsid w:val="00E64F9E"/>
    <w:rsid w:val="00E663AF"/>
    <w:rsid w:val="00E66975"/>
    <w:rsid w:val="00E66F48"/>
    <w:rsid w:val="00E6714A"/>
    <w:rsid w:val="00E671A5"/>
    <w:rsid w:val="00E67AA0"/>
    <w:rsid w:val="00E70167"/>
    <w:rsid w:val="00E705EC"/>
    <w:rsid w:val="00E71E8B"/>
    <w:rsid w:val="00E72DB0"/>
    <w:rsid w:val="00E73765"/>
    <w:rsid w:val="00E73D13"/>
    <w:rsid w:val="00E74511"/>
    <w:rsid w:val="00E75438"/>
    <w:rsid w:val="00E75DBD"/>
    <w:rsid w:val="00E777B0"/>
    <w:rsid w:val="00E77E40"/>
    <w:rsid w:val="00E810E9"/>
    <w:rsid w:val="00E815E1"/>
    <w:rsid w:val="00E826A2"/>
    <w:rsid w:val="00E833F8"/>
    <w:rsid w:val="00E83D5C"/>
    <w:rsid w:val="00E84DFE"/>
    <w:rsid w:val="00E85251"/>
    <w:rsid w:val="00E85622"/>
    <w:rsid w:val="00E87F99"/>
    <w:rsid w:val="00E87FCD"/>
    <w:rsid w:val="00E90451"/>
    <w:rsid w:val="00E91C6A"/>
    <w:rsid w:val="00E93B09"/>
    <w:rsid w:val="00E94E34"/>
    <w:rsid w:val="00E957A4"/>
    <w:rsid w:val="00E97093"/>
    <w:rsid w:val="00E97777"/>
    <w:rsid w:val="00E97CDC"/>
    <w:rsid w:val="00EA0CF2"/>
    <w:rsid w:val="00EA0D20"/>
    <w:rsid w:val="00EA3AE4"/>
    <w:rsid w:val="00EA4A33"/>
    <w:rsid w:val="00EA58E6"/>
    <w:rsid w:val="00EA5A8E"/>
    <w:rsid w:val="00EA5D83"/>
    <w:rsid w:val="00EA6184"/>
    <w:rsid w:val="00EA6202"/>
    <w:rsid w:val="00EA6BDC"/>
    <w:rsid w:val="00EA7655"/>
    <w:rsid w:val="00EB0C83"/>
    <w:rsid w:val="00EB1796"/>
    <w:rsid w:val="00EB1912"/>
    <w:rsid w:val="00EB1A40"/>
    <w:rsid w:val="00EB1C08"/>
    <w:rsid w:val="00EB1F91"/>
    <w:rsid w:val="00EB20B8"/>
    <w:rsid w:val="00EB23E2"/>
    <w:rsid w:val="00EB2A3A"/>
    <w:rsid w:val="00EB2E08"/>
    <w:rsid w:val="00EB34A6"/>
    <w:rsid w:val="00EB36F2"/>
    <w:rsid w:val="00EB3FEB"/>
    <w:rsid w:val="00EB4C2F"/>
    <w:rsid w:val="00EB5C82"/>
    <w:rsid w:val="00EC04E3"/>
    <w:rsid w:val="00EC0D68"/>
    <w:rsid w:val="00EC1141"/>
    <w:rsid w:val="00EC11F9"/>
    <w:rsid w:val="00EC122D"/>
    <w:rsid w:val="00EC1979"/>
    <w:rsid w:val="00EC1DF6"/>
    <w:rsid w:val="00EC230D"/>
    <w:rsid w:val="00EC50FD"/>
    <w:rsid w:val="00EC536F"/>
    <w:rsid w:val="00EC5C4C"/>
    <w:rsid w:val="00EC6B27"/>
    <w:rsid w:val="00EC6BD5"/>
    <w:rsid w:val="00EC700B"/>
    <w:rsid w:val="00EC7283"/>
    <w:rsid w:val="00EC7AEE"/>
    <w:rsid w:val="00ED0082"/>
    <w:rsid w:val="00ED1842"/>
    <w:rsid w:val="00ED1C59"/>
    <w:rsid w:val="00ED25C2"/>
    <w:rsid w:val="00ED2C2E"/>
    <w:rsid w:val="00ED31BD"/>
    <w:rsid w:val="00ED3C90"/>
    <w:rsid w:val="00ED40F3"/>
    <w:rsid w:val="00ED4385"/>
    <w:rsid w:val="00ED44A3"/>
    <w:rsid w:val="00ED57A4"/>
    <w:rsid w:val="00ED6496"/>
    <w:rsid w:val="00ED7753"/>
    <w:rsid w:val="00ED7A89"/>
    <w:rsid w:val="00EE038B"/>
    <w:rsid w:val="00EE2072"/>
    <w:rsid w:val="00EE2403"/>
    <w:rsid w:val="00EE2993"/>
    <w:rsid w:val="00EE2B2F"/>
    <w:rsid w:val="00EE5AC9"/>
    <w:rsid w:val="00EE614F"/>
    <w:rsid w:val="00EE6581"/>
    <w:rsid w:val="00EE68B7"/>
    <w:rsid w:val="00EE7609"/>
    <w:rsid w:val="00EE782C"/>
    <w:rsid w:val="00EF1CF5"/>
    <w:rsid w:val="00EF2E9D"/>
    <w:rsid w:val="00EF3772"/>
    <w:rsid w:val="00EF3B34"/>
    <w:rsid w:val="00EF4328"/>
    <w:rsid w:val="00EF46E9"/>
    <w:rsid w:val="00EF4EC2"/>
    <w:rsid w:val="00EF65DF"/>
    <w:rsid w:val="00EF71E8"/>
    <w:rsid w:val="00EF7A31"/>
    <w:rsid w:val="00EF7B2E"/>
    <w:rsid w:val="00F0015C"/>
    <w:rsid w:val="00F005BA"/>
    <w:rsid w:val="00F02003"/>
    <w:rsid w:val="00F02188"/>
    <w:rsid w:val="00F03690"/>
    <w:rsid w:val="00F03D51"/>
    <w:rsid w:val="00F049ED"/>
    <w:rsid w:val="00F06107"/>
    <w:rsid w:val="00F06B30"/>
    <w:rsid w:val="00F0705E"/>
    <w:rsid w:val="00F071BE"/>
    <w:rsid w:val="00F10CF0"/>
    <w:rsid w:val="00F111E3"/>
    <w:rsid w:val="00F11891"/>
    <w:rsid w:val="00F11F11"/>
    <w:rsid w:val="00F128A1"/>
    <w:rsid w:val="00F13918"/>
    <w:rsid w:val="00F15CFE"/>
    <w:rsid w:val="00F171C6"/>
    <w:rsid w:val="00F1773A"/>
    <w:rsid w:val="00F178C4"/>
    <w:rsid w:val="00F17A37"/>
    <w:rsid w:val="00F17A89"/>
    <w:rsid w:val="00F17BF6"/>
    <w:rsid w:val="00F17E88"/>
    <w:rsid w:val="00F17F8C"/>
    <w:rsid w:val="00F22001"/>
    <w:rsid w:val="00F229AC"/>
    <w:rsid w:val="00F252CD"/>
    <w:rsid w:val="00F2554C"/>
    <w:rsid w:val="00F26396"/>
    <w:rsid w:val="00F27BD2"/>
    <w:rsid w:val="00F3002E"/>
    <w:rsid w:val="00F3030A"/>
    <w:rsid w:val="00F31DEE"/>
    <w:rsid w:val="00F321D0"/>
    <w:rsid w:val="00F32BF6"/>
    <w:rsid w:val="00F33388"/>
    <w:rsid w:val="00F33E4D"/>
    <w:rsid w:val="00F34178"/>
    <w:rsid w:val="00F34BCA"/>
    <w:rsid w:val="00F34C6E"/>
    <w:rsid w:val="00F3564C"/>
    <w:rsid w:val="00F36386"/>
    <w:rsid w:val="00F36723"/>
    <w:rsid w:val="00F37D13"/>
    <w:rsid w:val="00F405E9"/>
    <w:rsid w:val="00F43533"/>
    <w:rsid w:val="00F440BC"/>
    <w:rsid w:val="00F462DB"/>
    <w:rsid w:val="00F46E63"/>
    <w:rsid w:val="00F47EAC"/>
    <w:rsid w:val="00F5019F"/>
    <w:rsid w:val="00F50C29"/>
    <w:rsid w:val="00F51F05"/>
    <w:rsid w:val="00F56114"/>
    <w:rsid w:val="00F56689"/>
    <w:rsid w:val="00F573CC"/>
    <w:rsid w:val="00F57EAD"/>
    <w:rsid w:val="00F601B4"/>
    <w:rsid w:val="00F61CBA"/>
    <w:rsid w:val="00F62807"/>
    <w:rsid w:val="00F62C65"/>
    <w:rsid w:val="00F63290"/>
    <w:rsid w:val="00F6345E"/>
    <w:rsid w:val="00F652A6"/>
    <w:rsid w:val="00F654E8"/>
    <w:rsid w:val="00F65717"/>
    <w:rsid w:val="00F66728"/>
    <w:rsid w:val="00F66862"/>
    <w:rsid w:val="00F67649"/>
    <w:rsid w:val="00F67C9A"/>
    <w:rsid w:val="00F7072E"/>
    <w:rsid w:val="00F7185D"/>
    <w:rsid w:val="00F71C27"/>
    <w:rsid w:val="00F7283C"/>
    <w:rsid w:val="00F73BF1"/>
    <w:rsid w:val="00F741CB"/>
    <w:rsid w:val="00F74447"/>
    <w:rsid w:val="00F74A8C"/>
    <w:rsid w:val="00F74C8D"/>
    <w:rsid w:val="00F74FF8"/>
    <w:rsid w:val="00F7776D"/>
    <w:rsid w:val="00F823FF"/>
    <w:rsid w:val="00F84AF9"/>
    <w:rsid w:val="00F85BB1"/>
    <w:rsid w:val="00F8697C"/>
    <w:rsid w:val="00F87679"/>
    <w:rsid w:val="00F904F9"/>
    <w:rsid w:val="00F90ACE"/>
    <w:rsid w:val="00F913FA"/>
    <w:rsid w:val="00F9157A"/>
    <w:rsid w:val="00F916E8"/>
    <w:rsid w:val="00F91707"/>
    <w:rsid w:val="00F919C9"/>
    <w:rsid w:val="00F91EF0"/>
    <w:rsid w:val="00F92596"/>
    <w:rsid w:val="00F939BD"/>
    <w:rsid w:val="00F93B37"/>
    <w:rsid w:val="00F94BF1"/>
    <w:rsid w:val="00F955C1"/>
    <w:rsid w:val="00F95973"/>
    <w:rsid w:val="00F967F7"/>
    <w:rsid w:val="00FA0860"/>
    <w:rsid w:val="00FA0F0D"/>
    <w:rsid w:val="00FA10D0"/>
    <w:rsid w:val="00FA243A"/>
    <w:rsid w:val="00FA4C93"/>
    <w:rsid w:val="00FA5FC1"/>
    <w:rsid w:val="00FA6134"/>
    <w:rsid w:val="00FA7089"/>
    <w:rsid w:val="00FA7579"/>
    <w:rsid w:val="00FA7931"/>
    <w:rsid w:val="00FB012C"/>
    <w:rsid w:val="00FB0CEE"/>
    <w:rsid w:val="00FB2200"/>
    <w:rsid w:val="00FB37E2"/>
    <w:rsid w:val="00FB38ED"/>
    <w:rsid w:val="00FB3B98"/>
    <w:rsid w:val="00FB479C"/>
    <w:rsid w:val="00FB678D"/>
    <w:rsid w:val="00FB6E02"/>
    <w:rsid w:val="00FB72D9"/>
    <w:rsid w:val="00FB7E9F"/>
    <w:rsid w:val="00FC02BD"/>
    <w:rsid w:val="00FC0F42"/>
    <w:rsid w:val="00FC143A"/>
    <w:rsid w:val="00FC2365"/>
    <w:rsid w:val="00FC3651"/>
    <w:rsid w:val="00FC4190"/>
    <w:rsid w:val="00FC4CC6"/>
    <w:rsid w:val="00FC4DA2"/>
    <w:rsid w:val="00FC4FBB"/>
    <w:rsid w:val="00FC53C7"/>
    <w:rsid w:val="00FC601F"/>
    <w:rsid w:val="00FC6545"/>
    <w:rsid w:val="00FC6893"/>
    <w:rsid w:val="00FC7E37"/>
    <w:rsid w:val="00FD0324"/>
    <w:rsid w:val="00FD071A"/>
    <w:rsid w:val="00FD174F"/>
    <w:rsid w:val="00FD2A37"/>
    <w:rsid w:val="00FD3EF8"/>
    <w:rsid w:val="00FD42A6"/>
    <w:rsid w:val="00FD44F4"/>
    <w:rsid w:val="00FD4DD1"/>
    <w:rsid w:val="00FD54EB"/>
    <w:rsid w:val="00FD62EB"/>
    <w:rsid w:val="00FD6642"/>
    <w:rsid w:val="00FD67F6"/>
    <w:rsid w:val="00FD6911"/>
    <w:rsid w:val="00FD7196"/>
    <w:rsid w:val="00FE0BEA"/>
    <w:rsid w:val="00FE0D6A"/>
    <w:rsid w:val="00FE2C1F"/>
    <w:rsid w:val="00FE3048"/>
    <w:rsid w:val="00FE4665"/>
    <w:rsid w:val="00FE4D96"/>
    <w:rsid w:val="00FE539F"/>
    <w:rsid w:val="00FF04B1"/>
    <w:rsid w:val="00FF0CC3"/>
    <w:rsid w:val="00FF0D75"/>
    <w:rsid w:val="00FF0DE8"/>
    <w:rsid w:val="00FF11A9"/>
    <w:rsid w:val="00FF165F"/>
    <w:rsid w:val="00FF16DB"/>
    <w:rsid w:val="00FF3DDF"/>
    <w:rsid w:val="00FF5089"/>
    <w:rsid w:val="00FF5265"/>
    <w:rsid w:val="00FF55F1"/>
    <w:rsid w:val="019BF5F4"/>
    <w:rsid w:val="01AFBD83"/>
    <w:rsid w:val="01DBE774"/>
    <w:rsid w:val="01E559BF"/>
    <w:rsid w:val="01EC0FCD"/>
    <w:rsid w:val="01EE46BA"/>
    <w:rsid w:val="01EF6AF3"/>
    <w:rsid w:val="02369EEC"/>
    <w:rsid w:val="0248A40C"/>
    <w:rsid w:val="025EBAC4"/>
    <w:rsid w:val="02AC709B"/>
    <w:rsid w:val="02D22C48"/>
    <w:rsid w:val="02F783D9"/>
    <w:rsid w:val="02FFC142"/>
    <w:rsid w:val="03324726"/>
    <w:rsid w:val="0340C7B5"/>
    <w:rsid w:val="03563071"/>
    <w:rsid w:val="0358D710"/>
    <w:rsid w:val="0359EF17"/>
    <w:rsid w:val="0365DAEE"/>
    <w:rsid w:val="036BF497"/>
    <w:rsid w:val="0372BE5B"/>
    <w:rsid w:val="0389EECB"/>
    <w:rsid w:val="038B508C"/>
    <w:rsid w:val="039583DE"/>
    <w:rsid w:val="03E4746D"/>
    <w:rsid w:val="042750EA"/>
    <w:rsid w:val="043C87E4"/>
    <w:rsid w:val="0478847D"/>
    <w:rsid w:val="05031D9C"/>
    <w:rsid w:val="0554B4BC"/>
    <w:rsid w:val="056DDD49"/>
    <w:rsid w:val="05846A92"/>
    <w:rsid w:val="0589CF88"/>
    <w:rsid w:val="06070A83"/>
    <w:rsid w:val="0613B2CE"/>
    <w:rsid w:val="065BDB83"/>
    <w:rsid w:val="065EDDB5"/>
    <w:rsid w:val="067503E0"/>
    <w:rsid w:val="0688745E"/>
    <w:rsid w:val="06AD5A6D"/>
    <w:rsid w:val="06D233E7"/>
    <w:rsid w:val="074E5AC4"/>
    <w:rsid w:val="0768A609"/>
    <w:rsid w:val="0776EE05"/>
    <w:rsid w:val="0790AA82"/>
    <w:rsid w:val="07DA50B0"/>
    <w:rsid w:val="07DD329F"/>
    <w:rsid w:val="08462F7E"/>
    <w:rsid w:val="084F7F16"/>
    <w:rsid w:val="0856A253"/>
    <w:rsid w:val="08742A6B"/>
    <w:rsid w:val="09A58165"/>
    <w:rsid w:val="09DA399C"/>
    <w:rsid w:val="09F4A6E0"/>
    <w:rsid w:val="0A3A635C"/>
    <w:rsid w:val="0A60FF51"/>
    <w:rsid w:val="0A61D18E"/>
    <w:rsid w:val="0A7BADC9"/>
    <w:rsid w:val="0A87B1B4"/>
    <w:rsid w:val="0A9A8022"/>
    <w:rsid w:val="0AA3A86F"/>
    <w:rsid w:val="0AFB87B1"/>
    <w:rsid w:val="0B570E9D"/>
    <w:rsid w:val="0C14FBF0"/>
    <w:rsid w:val="0C550549"/>
    <w:rsid w:val="0C8F78EA"/>
    <w:rsid w:val="0C9D8B4A"/>
    <w:rsid w:val="0C9F417C"/>
    <w:rsid w:val="0CAA651B"/>
    <w:rsid w:val="0D05FC5C"/>
    <w:rsid w:val="0D36C0D2"/>
    <w:rsid w:val="0D9C6C8E"/>
    <w:rsid w:val="0E24BC54"/>
    <w:rsid w:val="0E27C4FB"/>
    <w:rsid w:val="0E379206"/>
    <w:rsid w:val="0E421184"/>
    <w:rsid w:val="0E7B3485"/>
    <w:rsid w:val="0F24E44C"/>
    <w:rsid w:val="0F26F43C"/>
    <w:rsid w:val="0F800E6D"/>
    <w:rsid w:val="0FE6717B"/>
    <w:rsid w:val="103916E6"/>
    <w:rsid w:val="104196CA"/>
    <w:rsid w:val="104361D7"/>
    <w:rsid w:val="105625C4"/>
    <w:rsid w:val="106176CF"/>
    <w:rsid w:val="10BBB88C"/>
    <w:rsid w:val="10BE2C18"/>
    <w:rsid w:val="10CC20C5"/>
    <w:rsid w:val="112D3373"/>
    <w:rsid w:val="11410993"/>
    <w:rsid w:val="1162A685"/>
    <w:rsid w:val="11AB4B38"/>
    <w:rsid w:val="120B9C07"/>
    <w:rsid w:val="12701F2B"/>
    <w:rsid w:val="127FC004"/>
    <w:rsid w:val="129B6C98"/>
    <w:rsid w:val="12BD56C3"/>
    <w:rsid w:val="12BD9676"/>
    <w:rsid w:val="131FD8A5"/>
    <w:rsid w:val="13CB0A04"/>
    <w:rsid w:val="13F72327"/>
    <w:rsid w:val="14039317"/>
    <w:rsid w:val="14D17EA9"/>
    <w:rsid w:val="14D9D957"/>
    <w:rsid w:val="1543CD3F"/>
    <w:rsid w:val="1564C5CA"/>
    <w:rsid w:val="15BD4994"/>
    <w:rsid w:val="1655B9ED"/>
    <w:rsid w:val="166451EE"/>
    <w:rsid w:val="16971CCD"/>
    <w:rsid w:val="16B43D83"/>
    <w:rsid w:val="16B4A4E5"/>
    <w:rsid w:val="16C48C2C"/>
    <w:rsid w:val="16D2C752"/>
    <w:rsid w:val="16D612E6"/>
    <w:rsid w:val="173E4C25"/>
    <w:rsid w:val="177504D9"/>
    <w:rsid w:val="17897176"/>
    <w:rsid w:val="17D03F3F"/>
    <w:rsid w:val="17E67368"/>
    <w:rsid w:val="17FE0F76"/>
    <w:rsid w:val="181E39F3"/>
    <w:rsid w:val="184778CF"/>
    <w:rsid w:val="1854DA39"/>
    <w:rsid w:val="1855D6E5"/>
    <w:rsid w:val="187D4DCF"/>
    <w:rsid w:val="18874C03"/>
    <w:rsid w:val="188778EA"/>
    <w:rsid w:val="18A01C93"/>
    <w:rsid w:val="18DC5CAE"/>
    <w:rsid w:val="193C70FB"/>
    <w:rsid w:val="195E7D40"/>
    <w:rsid w:val="197C0B15"/>
    <w:rsid w:val="198CBA07"/>
    <w:rsid w:val="19D0DF69"/>
    <w:rsid w:val="1A342933"/>
    <w:rsid w:val="1A4C914E"/>
    <w:rsid w:val="1A889B5B"/>
    <w:rsid w:val="1A9C409B"/>
    <w:rsid w:val="1ABDABA4"/>
    <w:rsid w:val="1AC73956"/>
    <w:rsid w:val="1ACFC339"/>
    <w:rsid w:val="1BB23D1F"/>
    <w:rsid w:val="1C3ACA4E"/>
    <w:rsid w:val="1C8F0082"/>
    <w:rsid w:val="1CAD739E"/>
    <w:rsid w:val="1CC08656"/>
    <w:rsid w:val="1CDE009B"/>
    <w:rsid w:val="1D24AEC1"/>
    <w:rsid w:val="1D88378A"/>
    <w:rsid w:val="1D92A723"/>
    <w:rsid w:val="1DC75DB1"/>
    <w:rsid w:val="1DE31029"/>
    <w:rsid w:val="1E10ED9A"/>
    <w:rsid w:val="1E453E56"/>
    <w:rsid w:val="1E51F31F"/>
    <w:rsid w:val="1ED51596"/>
    <w:rsid w:val="1F1C394A"/>
    <w:rsid w:val="1F254DC2"/>
    <w:rsid w:val="1F347BFC"/>
    <w:rsid w:val="1F5487D7"/>
    <w:rsid w:val="1F7C4270"/>
    <w:rsid w:val="1FA62F62"/>
    <w:rsid w:val="20050EA7"/>
    <w:rsid w:val="202B8EFF"/>
    <w:rsid w:val="203D5B12"/>
    <w:rsid w:val="20968CC8"/>
    <w:rsid w:val="20DF4F37"/>
    <w:rsid w:val="20FB9EC2"/>
    <w:rsid w:val="20FE5804"/>
    <w:rsid w:val="211AF725"/>
    <w:rsid w:val="213A3980"/>
    <w:rsid w:val="218D4418"/>
    <w:rsid w:val="21AE98AB"/>
    <w:rsid w:val="21D5CA9C"/>
    <w:rsid w:val="21DDEAE3"/>
    <w:rsid w:val="22185B1B"/>
    <w:rsid w:val="221F5CE0"/>
    <w:rsid w:val="222512CE"/>
    <w:rsid w:val="22325D29"/>
    <w:rsid w:val="22773A0F"/>
    <w:rsid w:val="22826A13"/>
    <w:rsid w:val="22A62343"/>
    <w:rsid w:val="23944CC9"/>
    <w:rsid w:val="23B29CB5"/>
    <w:rsid w:val="23C51F63"/>
    <w:rsid w:val="240E6710"/>
    <w:rsid w:val="2465FC40"/>
    <w:rsid w:val="247FD973"/>
    <w:rsid w:val="24B26928"/>
    <w:rsid w:val="24CA7F1E"/>
    <w:rsid w:val="24D2021F"/>
    <w:rsid w:val="2502D460"/>
    <w:rsid w:val="25373DF2"/>
    <w:rsid w:val="25887D1F"/>
    <w:rsid w:val="259A8100"/>
    <w:rsid w:val="25A37DC1"/>
    <w:rsid w:val="25CAEC98"/>
    <w:rsid w:val="25FFFB6F"/>
    <w:rsid w:val="2607B61F"/>
    <w:rsid w:val="261004AE"/>
    <w:rsid w:val="263A7A08"/>
    <w:rsid w:val="2666E5AF"/>
    <w:rsid w:val="266CA112"/>
    <w:rsid w:val="27274B2F"/>
    <w:rsid w:val="27390DDA"/>
    <w:rsid w:val="275FA0AA"/>
    <w:rsid w:val="279052A7"/>
    <w:rsid w:val="2792BB1F"/>
    <w:rsid w:val="27BDE7A1"/>
    <w:rsid w:val="27BE8256"/>
    <w:rsid w:val="27D0DE10"/>
    <w:rsid w:val="27E825D9"/>
    <w:rsid w:val="27F2DECD"/>
    <w:rsid w:val="285B3E65"/>
    <w:rsid w:val="286300B2"/>
    <w:rsid w:val="287DB562"/>
    <w:rsid w:val="28A69260"/>
    <w:rsid w:val="28A8953E"/>
    <w:rsid w:val="28E155BE"/>
    <w:rsid w:val="2912FBA6"/>
    <w:rsid w:val="29624FC3"/>
    <w:rsid w:val="2990A606"/>
    <w:rsid w:val="29F44D2C"/>
    <w:rsid w:val="2A00A404"/>
    <w:rsid w:val="2A190EC6"/>
    <w:rsid w:val="2A8EDDB9"/>
    <w:rsid w:val="2AA44433"/>
    <w:rsid w:val="2AB2567D"/>
    <w:rsid w:val="2B4B5582"/>
    <w:rsid w:val="2BA5F66F"/>
    <w:rsid w:val="2BE32438"/>
    <w:rsid w:val="2C09E29D"/>
    <w:rsid w:val="2C0DB51F"/>
    <w:rsid w:val="2C1AAF81"/>
    <w:rsid w:val="2C4E5B0E"/>
    <w:rsid w:val="2C725668"/>
    <w:rsid w:val="2CD749F8"/>
    <w:rsid w:val="2CD8E3A3"/>
    <w:rsid w:val="2D25E66A"/>
    <w:rsid w:val="2D40FCE6"/>
    <w:rsid w:val="2D4EC63E"/>
    <w:rsid w:val="2D662808"/>
    <w:rsid w:val="2D9223AC"/>
    <w:rsid w:val="2DE4753E"/>
    <w:rsid w:val="2DFF5409"/>
    <w:rsid w:val="2E0AAE18"/>
    <w:rsid w:val="2E33AB83"/>
    <w:rsid w:val="2E4B5F0D"/>
    <w:rsid w:val="2E5E4AEF"/>
    <w:rsid w:val="2E646C94"/>
    <w:rsid w:val="2ED600DC"/>
    <w:rsid w:val="2EE5F300"/>
    <w:rsid w:val="2F01D88F"/>
    <w:rsid w:val="2F21E837"/>
    <w:rsid w:val="2F32839B"/>
    <w:rsid w:val="2F3FE089"/>
    <w:rsid w:val="2F5C5E3F"/>
    <w:rsid w:val="2F89C750"/>
    <w:rsid w:val="2F97CE1F"/>
    <w:rsid w:val="2FB67ED5"/>
    <w:rsid w:val="2FD90668"/>
    <w:rsid w:val="2FE9C979"/>
    <w:rsid w:val="301A4B04"/>
    <w:rsid w:val="3022F585"/>
    <w:rsid w:val="30313B04"/>
    <w:rsid w:val="309F3366"/>
    <w:rsid w:val="31099FF3"/>
    <w:rsid w:val="3121CC31"/>
    <w:rsid w:val="320B6F4B"/>
    <w:rsid w:val="326B2CC6"/>
    <w:rsid w:val="329F570B"/>
    <w:rsid w:val="32B21BC6"/>
    <w:rsid w:val="32E3142D"/>
    <w:rsid w:val="33008BAE"/>
    <w:rsid w:val="331FED17"/>
    <w:rsid w:val="3343CE0C"/>
    <w:rsid w:val="33446247"/>
    <w:rsid w:val="337291F6"/>
    <w:rsid w:val="33B28276"/>
    <w:rsid w:val="33C7D11E"/>
    <w:rsid w:val="3432FB36"/>
    <w:rsid w:val="343A7529"/>
    <w:rsid w:val="34573AA0"/>
    <w:rsid w:val="34FE476C"/>
    <w:rsid w:val="35552FE1"/>
    <w:rsid w:val="35871221"/>
    <w:rsid w:val="35D64091"/>
    <w:rsid w:val="35FD5EF2"/>
    <w:rsid w:val="361FD1CB"/>
    <w:rsid w:val="366A66C8"/>
    <w:rsid w:val="369F0C9C"/>
    <w:rsid w:val="36AD647E"/>
    <w:rsid w:val="37222C91"/>
    <w:rsid w:val="374D12E5"/>
    <w:rsid w:val="37708A51"/>
    <w:rsid w:val="379A89FA"/>
    <w:rsid w:val="37C6A703"/>
    <w:rsid w:val="37DBF8F1"/>
    <w:rsid w:val="37F1FC62"/>
    <w:rsid w:val="3810C2BE"/>
    <w:rsid w:val="382F5CAF"/>
    <w:rsid w:val="384D55EA"/>
    <w:rsid w:val="38547927"/>
    <w:rsid w:val="3893F534"/>
    <w:rsid w:val="38AB8210"/>
    <w:rsid w:val="38B4DFBD"/>
    <w:rsid w:val="38BE1427"/>
    <w:rsid w:val="38CF9107"/>
    <w:rsid w:val="38FF7C49"/>
    <w:rsid w:val="394E6031"/>
    <w:rsid w:val="3963E91D"/>
    <w:rsid w:val="39EDBE89"/>
    <w:rsid w:val="3A1B83DF"/>
    <w:rsid w:val="3A25EE5E"/>
    <w:rsid w:val="3A5210FE"/>
    <w:rsid w:val="3A57C0BD"/>
    <w:rsid w:val="3A6E7F6C"/>
    <w:rsid w:val="3A815CE5"/>
    <w:rsid w:val="3AAD53C7"/>
    <w:rsid w:val="3AB552BC"/>
    <w:rsid w:val="3AFFB97E"/>
    <w:rsid w:val="3B0BE252"/>
    <w:rsid w:val="3B0E920A"/>
    <w:rsid w:val="3BAB6869"/>
    <w:rsid w:val="3BEB04C5"/>
    <w:rsid w:val="3C9B89DF"/>
    <w:rsid w:val="3CB852BE"/>
    <w:rsid w:val="3D15E52A"/>
    <w:rsid w:val="3DF01F7D"/>
    <w:rsid w:val="3E102B8C"/>
    <w:rsid w:val="3E256BBE"/>
    <w:rsid w:val="3E2DE675"/>
    <w:rsid w:val="3E59F633"/>
    <w:rsid w:val="3E65CE30"/>
    <w:rsid w:val="3E9CD3A0"/>
    <w:rsid w:val="3EB7B85F"/>
    <w:rsid w:val="3EE3A51C"/>
    <w:rsid w:val="3EE6D5A6"/>
    <w:rsid w:val="3F14AC8B"/>
    <w:rsid w:val="3F2B31E0"/>
    <w:rsid w:val="3F62E1B1"/>
    <w:rsid w:val="3F8C217C"/>
    <w:rsid w:val="3FA31006"/>
    <w:rsid w:val="4028A860"/>
    <w:rsid w:val="402AD2D5"/>
    <w:rsid w:val="40797F11"/>
    <w:rsid w:val="407CE14E"/>
    <w:rsid w:val="40892050"/>
    <w:rsid w:val="417ABBDB"/>
    <w:rsid w:val="419D6EF2"/>
    <w:rsid w:val="41BFBFA4"/>
    <w:rsid w:val="4242ABD4"/>
    <w:rsid w:val="4261741E"/>
    <w:rsid w:val="42617979"/>
    <w:rsid w:val="42639F15"/>
    <w:rsid w:val="426729F3"/>
    <w:rsid w:val="42E20A01"/>
    <w:rsid w:val="437E5AB7"/>
    <w:rsid w:val="439D51F1"/>
    <w:rsid w:val="43EE9002"/>
    <w:rsid w:val="4421770F"/>
    <w:rsid w:val="446A9110"/>
    <w:rsid w:val="448807DB"/>
    <w:rsid w:val="448F848A"/>
    <w:rsid w:val="44D2B511"/>
    <w:rsid w:val="451ABEE3"/>
    <w:rsid w:val="4520F70F"/>
    <w:rsid w:val="45640C1E"/>
    <w:rsid w:val="457573E6"/>
    <w:rsid w:val="4590F584"/>
    <w:rsid w:val="459C86C9"/>
    <w:rsid w:val="459FC8F5"/>
    <w:rsid w:val="45D22335"/>
    <w:rsid w:val="4613F2F6"/>
    <w:rsid w:val="46201964"/>
    <w:rsid w:val="463B4F11"/>
    <w:rsid w:val="46681301"/>
    <w:rsid w:val="4676D168"/>
    <w:rsid w:val="46985145"/>
    <w:rsid w:val="46BE4883"/>
    <w:rsid w:val="471BF0CD"/>
    <w:rsid w:val="471BF96A"/>
    <w:rsid w:val="472ACC5B"/>
    <w:rsid w:val="474B7B93"/>
    <w:rsid w:val="477A0BC4"/>
    <w:rsid w:val="477FD07D"/>
    <w:rsid w:val="47B55616"/>
    <w:rsid w:val="4804911A"/>
    <w:rsid w:val="4818FDB7"/>
    <w:rsid w:val="481F7EE4"/>
    <w:rsid w:val="48303EED"/>
    <w:rsid w:val="4886390C"/>
    <w:rsid w:val="48CB3D15"/>
    <w:rsid w:val="48CDBC3D"/>
    <w:rsid w:val="48D3DA8E"/>
    <w:rsid w:val="49133A93"/>
    <w:rsid w:val="49248A83"/>
    <w:rsid w:val="497C1FB8"/>
    <w:rsid w:val="498764AB"/>
    <w:rsid w:val="4A018F5E"/>
    <w:rsid w:val="4A28AE09"/>
    <w:rsid w:val="4A2B536C"/>
    <w:rsid w:val="4A332208"/>
    <w:rsid w:val="4A9C43CA"/>
    <w:rsid w:val="4AA48C61"/>
    <w:rsid w:val="4AD72224"/>
    <w:rsid w:val="4AE4E3A0"/>
    <w:rsid w:val="4B344F38"/>
    <w:rsid w:val="4B8C1788"/>
    <w:rsid w:val="4BD35263"/>
    <w:rsid w:val="4BE53EA6"/>
    <w:rsid w:val="4C270B2A"/>
    <w:rsid w:val="4C5807F8"/>
    <w:rsid w:val="4C929F63"/>
    <w:rsid w:val="4C92C1F5"/>
    <w:rsid w:val="4CA5DD10"/>
    <w:rsid w:val="4CB06473"/>
    <w:rsid w:val="4CB581FC"/>
    <w:rsid w:val="4CD146E4"/>
    <w:rsid w:val="4D24F240"/>
    <w:rsid w:val="4D2F15DC"/>
    <w:rsid w:val="4D857A98"/>
    <w:rsid w:val="4DA32AA6"/>
    <w:rsid w:val="4DD9143E"/>
    <w:rsid w:val="4E1EA890"/>
    <w:rsid w:val="4E28B7CE"/>
    <w:rsid w:val="4E391724"/>
    <w:rsid w:val="4E684EAB"/>
    <w:rsid w:val="4EAE4F8E"/>
    <w:rsid w:val="4EB83457"/>
    <w:rsid w:val="4EC8A5E0"/>
    <w:rsid w:val="4ECED983"/>
    <w:rsid w:val="4F344174"/>
    <w:rsid w:val="4F580799"/>
    <w:rsid w:val="4F90C958"/>
    <w:rsid w:val="4FB20D13"/>
    <w:rsid w:val="4FDF4D6F"/>
    <w:rsid w:val="4FE7D2BE"/>
    <w:rsid w:val="5035202F"/>
    <w:rsid w:val="5050A6CE"/>
    <w:rsid w:val="5077F22F"/>
    <w:rsid w:val="50D011D5"/>
    <w:rsid w:val="50DAAFDA"/>
    <w:rsid w:val="51349DCF"/>
    <w:rsid w:val="51CD8467"/>
    <w:rsid w:val="521911B3"/>
    <w:rsid w:val="5270C1F4"/>
    <w:rsid w:val="5286A8AB"/>
    <w:rsid w:val="528A0761"/>
    <w:rsid w:val="52A0F47C"/>
    <w:rsid w:val="52C039F1"/>
    <w:rsid w:val="52C9A661"/>
    <w:rsid w:val="52DA71F9"/>
    <w:rsid w:val="5339D542"/>
    <w:rsid w:val="534A0648"/>
    <w:rsid w:val="53B8BDE3"/>
    <w:rsid w:val="53BC4006"/>
    <w:rsid w:val="541A3765"/>
    <w:rsid w:val="542209E4"/>
    <w:rsid w:val="5433A5D5"/>
    <w:rsid w:val="5452DD9C"/>
    <w:rsid w:val="547BF9C7"/>
    <w:rsid w:val="54BB10B5"/>
    <w:rsid w:val="54C8E03D"/>
    <w:rsid w:val="54D48E16"/>
    <w:rsid w:val="54EB1ECD"/>
    <w:rsid w:val="54EBB54E"/>
    <w:rsid w:val="54EF6163"/>
    <w:rsid w:val="54F09390"/>
    <w:rsid w:val="55264244"/>
    <w:rsid w:val="554A0C96"/>
    <w:rsid w:val="55C46F90"/>
    <w:rsid w:val="562AFBC0"/>
    <w:rsid w:val="5695040C"/>
    <w:rsid w:val="57047F37"/>
    <w:rsid w:val="57AB9424"/>
    <w:rsid w:val="57AC274C"/>
    <w:rsid w:val="5806B8EF"/>
    <w:rsid w:val="580C2EDD"/>
    <w:rsid w:val="5835B083"/>
    <w:rsid w:val="586CBFCD"/>
    <w:rsid w:val="58B028F7"/>
    <w:rsid w:val="58B54621"/>
    <w:rsid w:val="58C0AC5C"/>
    <w:rsid w:val="58E8061A"/>
    <w:rsid w:val="5907D66A"/>
    <w:rsid w:val="59397F5D"/>
    <w:rsid w:val="596A915B"/>
    <w:rsid w:val="59C5FCF1"/>
    <w:rsid w:val="5A0E3882"/>
    <w:rsid w:val="5A199BC4"/>
    <w:rsid w:val="5A268944"/>
    <w:rsid w:val="5A2AA4C5"/>
    <w:rsid w:val="5A5B07D4"/>
    <w:rsid w:val="5A83D67B"/>
    <w:rsid w:val="5B00145C"/>
    <w:rsid w:val="5B2DA956"/>
    <w:rsid w:val="5B3D24DA"/>
    <w:rsid w:val="5B56F2EA"/>
    <w:rsid w:val="5B62618D"/>
    <w:rsid w:val="5B8A39D2"/>
    <w:rsid w:val="5BB14082"/>
    <w:rsid w:val="5BBB9343"/>
    <w:rsid w:val="5C20C024"/>
    <w:rsid w:val="5C37D93F"/>
    <w:rsid w:val="5C7C89F5"/>
    <w:rsid w:val="5C7ED244"/>
    <w:rsid w:val="5CE41191"/>
    <w:rsid w:val="5D05D99B"/>
    <w:rsid w:val="5D312BDA"/>
    <w:rsid w:val="5D661202"/>
    <w:rsid w:val="5D94BA2B"/>
    <w:rsid w:val="5D9A0A59"/>
    <w:rsid w:val="5DAE2CE2"/>
    <w:rsid w:val="5DD1D3A6"/>
    <w:rsid w:val="5E0A2024"/>
    <w:rsid w:val="5E513894"/>
    <w:rsid w:val="5ECAB2A4"/>
    <w:rsid w:val="5F0A01BF"/>
    <w:rsid w:val="5F264E0D"/>
    <w:rsid w:val="5F2C2BBD"/>
    <w:rsid w:val="5F499E23"/>
    <w:rsid w:val="5F9EBE82"/>
    <w:rsid w:val="5FA42750"/>
    <w:rsid w:val="600A041E"/>
    <w:rsid w:val="602069F4"/>
    <w:rsid w:val="605B484E"/>
    <w:rsid w:val="60942B15"/>
    <w:rsid w:val="60B3BB84"/>
    <w:rsid w:val="60BC8CB5"/>
    <w:rsid w:val="60BF5BE7"/>
    <w:rsid w:val="6104CAEA"/>
    <w:rsid w:val="61055CC1"/>
    <w:rsid w:val="61144901"/>
    <w:rsid w:val="61289453"/>
    <w:rsid w:val="6144C413"/>
    <w:rsid w:val="618FD68D"/>
    <w:rsid w:val="61BC3A55"/>
    <w:rsid w:val="61DFBD79"/>
    <w:rsid w:val="6230FBE5"/>
    <w:rsid w:val="62427667"/>
    <w:rsid w:val="6275C003"/>
    <w:rsid w:val="62B17E6C"/>
    <w:rsid w:val="62C6FCEF"/>
    <w:rsid w:val="62C86836"/>
    <w:rsid w:val="62D2B05F"/>
    <w:rsid w:val="62EF0CA2"/>
    <w:rsid w:val="63004559"/>
    <w:rsid w:val="632133F9"/>
    <w:rsid w:val="633062C5"/>
    <w:rsid w:val="636198AD"/>
    <w:rsid w:val="636FF332"/>
    <w:rsid w:val="63753164"/>
    <w:rsid w:val="63B366FE"/>
    <w:rsid w:val="63F1DF7F"/>
    <w:rsid w:val="643A07D3"/>
    <w:rsid w:val="64625D75"/>
    <w:rsid w:val="648F9301"/>
    <w:rsid w:val="6497165D"/>
    <w:rsid w:val="64A95F1A"/>
    <w:rsid w:val="64D1EE2A"/>
    <w:rsid w:val="64D3BA6C"/>
    <w:rsid w:val="6502FD70"/>
    <w:rsid w:val="6505BA04"/>
    <w:rsid w:val="652A4E96"/>
    <w:rsid w:val="658D005D"/>
    <w:rsid w:val="66B54FDB"/>
    <w:rsid w:val="66FC4F7A"/>
    <w:rsid w:val="67A12CA8"/>
    <w:rsid w:val="67B0064B"/>
    <w:rsid w:val="67EAAB8B"/>
    <w:rsid w:val="682DA50A"/>
    <w:rsid w:val="6840832B"/>
    <w:rsid w:val="68BE14DD"/>
    <w:rsid w:val="68C59698"/>
    <w:rsid w:val="6901D01E"/>
    <w:rsid w:val="690A2BDF"/>
    <w:rsid w:val="6919E450"/>
    <w:rsid w:val="693BCAC5"/>
    <w:rsid w:val="6970F6E6"/>
    <w:rsid w:val="69734583"/>
    <w:rsid w:val="69C0983C"/>
    <w:rsid w:val="69C65CF5"/>
    <w:rsid w:val="6A27ADA6"/>
    <w:rsid w:val="6A30AFAF"/>
    <w:rsid w:val="6A3C75AE"/>
    <w:rsid w:val="6A72FDEA"/>
    <w:rsid w:val="6A797A9F"/>
    <w:rsid w:val="6A84908E"/>
    <w:rsid w:val="6AA64786"/>
    <w:rsid w:val="6AA89EEA"/>
    <w:rsid w:val="6AA91BA3"/>
    <w:rsid w:val="6AD20ED4"/>
    <w:rsid w:val="6BAE07D7"/>
    <w:rsid w:val="6BD47994"/>
    <w:rsid w:val="6C06BB6F"/>
    <w:rsid w:val="6C1A47A6"/>
    <w:rsid w:val="6C3A43C9"/>
    <w:rsid w:val="6C662F01"/>
    <w:rsid w:val="6CAD4DC2"/>
    <w:rsid w:val="6CD068BD"/>
    <w:rsid w:val="6D2C9A2B"/>
    <w:rsid w:val="6D31ABFA"/>
    <w:rsid w:val="6D612D38"/>
    <w:rsid w:val="6D72E780"/>
    <w:rsid w:val="6DAEF4CA"/>
    <w:rsid w:val="6DE0BC65"/>
    <w:rsid w:val="6E6D5E88"/>
    <w:rsid w:val="6EBC1B3C"/>
    <w:rsid w:val="6EFA4A49"/>
    <w:rsid w:val="6F4FE255"/>
    <w:rsid w:val="6F6C6E4E"/>
    <w:rsid w:val="6F7C8CC6"/>
    <w:rsid w:val="6F800330"/>
    <w:rsid w:val="700E0452"/>
    <w:rsid w:val="70460CB9"/>
    <w:rsid w:val="70B9CADB"/>
    <w:rsid w:val="71016B6C"/>
    <w:rsid w:val="71083EAF"/>
    <w:rsid w:val="71467248"/>
    <w:rsid w:val="71B73D84"/>
    <w:rsid w:val="71C942A4"/>
    <w:rsid w:val="72100CD5"/>
    <w:rsid w:val="721A1AE9"/>
    <w:rsid w:val="72362C73"/>
    <w:rsid w:val="723B9BBC"/>
    <w:rsid w:val="729599FD"/>
    <w:rsid w:val="72E08E85"/>
    <w:rsid w:val="72FBE242"/>
    <w:rsid w:val="730C8C6A"/>
    <w:rsid w:val="7333BF65"/>
    <w:rsid w:val="733415EF"/>
    <w:rsid w:val="73A2B3E6"/>
    <w:rsid w:val="73EBD8BA"/>
    <w:rsid w:val="73FBB175"/>
    <w:rsid w:val="740E8C24"/>
    <w:rsid w:val="744E3096"/>
    <w:rsid w:val="7483A86B"/>
    <w:rsid w:val="74B96759"/>
    <w:rsid w:val="74C611E6"/>
    <w:rsid w:val="756D3DCA"/>
    <w:rsid w:val="7581AF62"/>
    <w:rsid w:val="75AD869D"/>
    <w:rsid w:val="75CC76F8"/>
    <w:rsid w:val="7621E5A6"/>
    <w:rsid w:val="767124E0"/>
    <w:rsid w:val="767F2AB4"/>
    <w:rsid w:val="7686BC62"/>
    <w:rsid w:val="76D274F7"/>
    <w:rsid w:val="76F5E482"/>
    <w:rsid w:val="771357ED"/>
    <w:rsid w:val="775658DD"/>
    <w:rsid w:val="7758C1E7"/>
    <w:rsid w:val="776ABD96"/>
    <w:rsid w:val="778EDDEE"/>
    <w:rsid w:val="77CE5746"/>
    <w:rsid w:val="77F83150"/>
    <w:rsid w:val="780BEE70"/>
    <w:rsid w:val="78674B66"/>
    <w:rsid w:val="78BF49DD"/>
    <w:rsid w:val="790B3138"/>
    <w:rsid w:val="7993A939"/>
    <w:rsid w:val="799DA319"/>
    <w:rsid w:val="79A48D3C"/>
    <w:rsid w:val="79B20E76"/>
    <w:rsid w:val="79C64322"/>
    <w:rsid w:val="79CA6444"/>
    <w:rsid w:val="79D5BFE7"/>
    <w:rsid w:val="79E3D78C"/>
    <w:rsid w:val="7AB5660E"/>
    <w:rsid w:val="7B3D8774"/>
    <w:rsid w:val="7B84C671"/>
    <w:rsid w:val="7B85C3CB"/>
    <w:rsid w:val="7BD2E15A"/>
    <w:rsid w:val="7C02D676"/>
    <w:rsid w:val="7C1CF487"/>
    <w:rsid w:val="7C55E10E"/>
    <w:rsid w:val="7C6523A7"/>
    <w:rsid w:val="7D0C0225"/>
    <w:rsid w:val="7D4D62A7"/>
    <w:rsid w:val="7D4DE6BD"/>
    <w:rsid w:val="7D5F8B01"/>
    <w:rsid w:val="7D6BAB16"/>
    <w:rsid w:val="7D7D5244"/>
    <w:rsid w:val="7DB070A5"/>
    <w:rsid w:val="7E06B584"/>
    <w:rsid w:val="7E50821F"/>
    <w:rsid w:val="7E68BAC1"/>
    <w:rsid w:val="7ED206A5"/>
    <w:rsid w:val="7F7F9DBB"/>
    <w:rsid w:val="7FD666F9"/>
    <w:rsid w:val="7FF5CC28"/>
    <w:rsid w:val="7FFCF3E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921B27A8-127E-4BF3-9E20-1802E7A4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889"/>
    <w:pPr>
      <w:spacing w:line="259" w:lineRule="auto"/>
      <w:ind w:left="0" w:firstLine="0"/>
    </w:pPr>
    <w:rPr>
      <w:rFonts w:cstheme="minorHAnsi"/>
    </w:rPr>
  </w:style>
  <w:style w:type="paragraph" w:styleId="Heading1">
    <w:name w:val="heading 1"/>
    <w:basedOn w:val="Normal"/>
    <w:next w:val="Normal"/>
    <w:link w:val="Heading1Char"/>
    <w:qFormat/>
    <w:rsid w:val="000F6DEE"/>
    <w:pPr>
      <w:keepNext/>
      <w:keepLines/>
      <w:spacing w:before="320" w:after="0" w:line="240" w:lineRule="auto"/>
      <w:outlineLvl w:val="0"/>
    </w:pPr>
    <w:rPr>
      <w:rFonts w:eastAsiaTheme="majorEastAsia"/>
      <w:b/>
      <w:bCs/>
    </w:rPr>
  </w:style>
  <w:style w:type="paragraph" w:styleId="Heading2">
    <w:name w:val="heading 2"/>
    <w:basedOn w:val="Normal"/>
    <w:next w:val="Normal"/>
    <w:link w:val="Heading2Char"/>
    <w:uiPriority w:val="9"/>
    <w:unhideWhenUsed/>
    <w:qFormat/>
    <w:rsid w:val="00D313D3"/>
    <w:pPr>
      <w:keepNext/>
      <w:keepLines/>
      <w:spacing w:before="40" w:after="0" w:line="240" w:lineRule="auto"/>
      <w:outlineLvl w:val="1"/>
    </w:pPr>
    <w:rPr>
      <w:rFonts w:eastAsiaTheme="majorEastAsia"/>
      <w:b/>
      <w:bCs/>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0F6DEE"/>
    <w:rPr>
      <w:rFonts w:eastAsiaTheme="majorEastAsia" w:cstheme="minorHAnsi"/>
      <w:b/>
      <w:bCs/>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eastAsiaTheme="majorEastAsia" w:cstheme="minorHAnsi"/>
      <w:b/>
      <w:bCs/>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bls.gov/news.release/eci.nr0.ht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07be2550-3e7d-49e3-b5c5-82c51fef8c8a">
      <UserInfo>
        <DisplayName>Basati, Hardeep</DisplayName>
        <AccountId>26</AccountId>
        <AccountType/>
      </UserInfo>
    </SharedWithUsers>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lcf76f155ced4ddcb4097134ff3c332f xmlns="a214b1df-dcb6-4b09-ab1c-2ae254dfb785">
      <Terms xmlns="http://schemas.microsoft.com/office/infopath/2007/PartnerControls"/>
    </lcf76f155ced4ddcb4097134ff3c332f>
    <Record xmlns="4ffa91fb-a0ff-4ac5-b2db-65c790d184a4">Shared</Record>
    <Rights xmlns="4ffa91fb-a0ff-4ac5-b2db-65c790d184a4" xsi:nil="true"/>
    <Document_x0020_Creation_x0020_Date xmlns="4ffa91fb-a0ff-4ac5-b2db-65c790d184a4">2025-10-08T17:46:48+00:00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44E83DB52DF1D46994CD20DDB9DC0A9" ma:contentTypeVersion="17" ma:contentTypeDescription="Create a new document." ma:contentTypeScope="" ma:versionID="77cccd37d248780f350bffb88b50958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214b1df-dcb6-4b09-ab1c-2ae254dfb785" xmlns:ns6="07be2550-3e7d-49e3-b5c5-82c51fef8c8a" targetNamespace="http://schemas.microsoft.com/office/2006/metadata/properties" ma:root="true" ma:fieldsID="4578b1efd13acfa63264a941e4f73ffc" ns1:_="" ns2:_="" ns3:_="" ns4:_="" ns5:_="" ns6:_="">
    <xsd:import namespace="http://schemas.microsoft.com/sharepoint/v3"/>
    <xsd:import namespace="4ffa91fb-a0ff-4ac5-b2db-65c790d184a4"/>
    <xsd:import namespace="http://schemas.microsoft.com/sharepoint.v3"/>
    <xsd:import namespace="http://schemas.microsoft.com/sharepoint/v3/fields"/>
    <xsd:import namespace="a214b1df-dcb6-4b09-ab1c-2ae254dfb785"/>
    <xsd:import namespace="07be2550-3e7d-49e3-b5c5-82c51fef8c8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DateTaken" minOccurs="0"/>
                <xsd:element ref="ns5:MediaServiceObjectDetectorVersions" minOccurs="0"/>
                <xsd:element ref="ns5:MediaServiceSearchProperties" minOccurs="0"/>
                <xsd:element ref="ns5:lcf76f155ced4ddcb4097134ff3c332f"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d43da5d-be1c-4c89-afa7-d01a7f10451a}" ma:internalName="TaxCatchAllLabel" ma:readOnly="true" ma:showField="CatchAllDataLabel" ma:web="07be2550-3e7d-49e3-b5c5-82c51fef8c8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d43da5d-be1c-4c89-afa7-d01a7f10451a}" ma:internalName="TaxCatchAll" ma:showField="CatchAllData" ma:web="07be2550-3e7d-49e3-b5c5-82c51fef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14b1df-dcb6-4b09-ab1c-2ae254dfb78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LengthInSeconds" ma:index="4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be2550-3e7d-49e3-b5c5-82c51fef8c8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3CD2F3-369D-4FA8-9675-E42C47308A41}">
  <ds:schemaRefs>
    <ds:schemaRef ds:uri="Microsoft.SharePoint.Taxonomy.ContentTypeSync"/>
  </ds:schemaRefs>
</ds:datastoreItem>
</file>

<file path=customXml/itemProps2.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07be2550-3e7d-49e3-b5c5-82c51fef8c8a"/>
    <ds:schemaRef ds:uri="http://schemas.microsoft.com/sharepoint/v3/fields"/>
    <ds:schemaRef ds:uri="http://schemas.microsoft.com/sharepoint/v3"/>
    <ds:schemaRef ds:uri="4ffa91fb-a0ff-4ac5-b2db-65c790d184a4"/>
    <ds:schemaRef ds:uri="a214b1df-dcb6-4b09-ab1c-2ae254dfb785"/>
    <ds:schemaRef ds:uri="http://schemas.microsoft.com/sharepoint.v3"/>
  </ds:schemaRefs>
</ds:datastoreItem>
</file>

<file path=customXml/itemProps5.xml><?xml version="1.0" encoding="utf-8"?>
<ds:datastoreItem xmlns:ds="http://schemas.openxmlformats.org/officeDocument/2006/customXml" ds:itemID="{6583846B-DA30-4342-9E34-8308A32B3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214b1df-dcb6-4b09-ab1c-2ae254dfb785"/>
    <ds:schemaRef ds:uri="07be2550-3e7d-49e3-b5c5-82c51fef8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7457</Words>
  <Characters>43703</Characters>
  <Application>Microsoft Office Word</Application>
  <DocSecurity>0</DocSecurity>
  <Lines>693</Lines>
  <Paragraphs>234</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50926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2</cp:revision>
  <dcterms:created xsi:type="dcterms:W3CDTF">2026-06-09T23:20:00Z</dcterms:created>
  <dcterms:modified xsi:type="dcterms:W3CDTF">2026-06-09T23:20:00Z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0x010100D44E83DB52DF1D46994CD20DDB9DC0A9</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MediaServiceImageTags">
    <vt:lpwstr/>
  </property>
  <property fmtid="{D5CDD505-2E9C-101B-9397-08002B2CF9AE}" pid="10" name="TaxKeyword">
    <vt:lpwstr/>
  </property>
  <property fmtid="{D5CDD505-2E9C-101B-9397-08002B2CF9AE}" pid="11" name="_ExtendedDescription">
    <vt:lpwstr/>
  </property>
</Properties>
</file>