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957AA" w:rsidRPr="00994FB7" w:rsidP="00E521DC" w14:paraId="5264A75D" w14:textId="79CB1AB2">
      <w:pPr>
        <w:spacing w:after="0" w:line="240" w:lineRule="auto"/>
        <w:jc w:val="center"/>
        <w:rPr>
          <w:rFonts w:eastAsia="Calibri" w:cs="Times New Roman"/>
          <w:b/>
          <w:szCs w:val="24"/>
        </w:rPr>
      </w:pPr>
      <w:r w:rsidRPr="00994FB7">
        <w:rPr>
          <w:rFonts w:eastAsia="Calibri" w:cs="Times New Roman"/>
          <w:b/>
          <w:szCs w:val="24"/>
        </w:rPr>
        <w:t>Department of Transportation</w:t>
      </w:r>
    </w:p>
    <w:p w:rsidR="00F957AA" w:rsidRPr="00994FB7" w:rsidP="00F957AA" w14:paraId="7A758721" w14:textId="77777777">
      <w:pPr>
        <w:spacing w:after="0" w:line="240" w:lineRule="auto"/>
        <w:jc w:val="center"/>
        <w:rPr>
          <w:rFonts w:eastAsia="Calibri" w:cs="Times New Roman"/>
          <w:b/>
          <w:szCs w:val="24"/>
        </w:rPr>
      </w:pPr>
      <w:r w:rsidRPr="00994FB7">
        <w:rPr>
          <w:rFonts w:eastAsia="Calibri" w:cs="Times New Roman"/>
          <w:b/>
          <w:szCs w:val="24"/>
        </w:rPr>
        <w:t xml:space="preserve">National Highway Traffic Safety Administration </w:t>
      </w:r>
    </w:p>
    <w:p w:rsidR="00F27C2C" w:rsidRPr="00994FB7" w:rsidP="00F27C2C" w14:paraId="72450408" w14:textId="77777777">
      <w:pPr>
        <w:spacing w:after="0" w:line="240" w:lineRule="auto"/>
        <w:jc w:val="center"/>
        <w:rPr>
          <w:rFonts w:eastAsia="Calibri" w:cs="Times New Roman"/>
          <w:b/>
          <w:szCs w:val="24"/>
        </w:rPr>
      </w:pPr>
      <w:r w:rsidRPr="00994FB7">
        <w:rPr>
          <w:rFonts w:eastAsia="Calibri" w:cs="Times New Roman"/>
          <w:b/>
          <w:szCs w:val="24"/>
        </w:rPr>
        <w:t>Information Collection Request Supporting</w:t>
      </w:r>
      <w:r w:rsidRPr="00994FB7">
        <w:rPr>
          <w:b/>
        </w:rPr>
        <w:t xml:space="preserve"> Statements</w:t>
      </w:r>
      <w:r w:rsidRPr="00994FB7">
        <w:rPr>
          <w:rFonts w:eastAsia="Calibri" w:cs="Times New Roman"/>
          <w:b/>
          <w:szCs w:val="24"/>
        </w:rPr>
        <w:t xml:space="preserve">: Part A </w:t>
      </w:r>
    </w:p>
    <w:p w:rsidR="00F27C2C" w:rsidRPr="00994FB7" w:rsidP="00F27C2C" w14:paraId="5CB89EA4" w14:textId="00693915">
      <w:pPr>
        <w:spacing w:after="0" w:line="240" w:lineRule="auto"/>
        <w:jc w:val="center"/>
        <w:rPr>
          <w:b/>
        </w:rPr>
      </w:pPr>
      <w:r w:rsidRPr="00994FB7">
        <w:rPr>
          <w:rFonts w:eastAsia="Calibri" w:cs="Times New Roman"/>
          <w:b/>
          <w:szCs w:val="24"/>
        </w:rPr>
        <w:t>State Data Transfer</w:t>
      </w:r>
      <w:r w:rsidRPr="00994FB7" w:rsidR="002750C9">
        <w:rPr>
          <w:rFonts w:eastAsia="Calibri" w:cs="Times New Roman"/>
          <w:b/>
          <w:szCs w:val="24"/>
        </w:rPr>
        <w:t xml:space="preserve"> </w:t>
      </w:r>
    </w:p>
    <w:p w:rsidR="00F27C2C" w:rsidRPr="00994FB7" w:rsidP="00F27C2C" w14:paraId="31AADD9C" w14:textId="48636BE0">
      <w:pPr>
        <w:spacing w:after="0" w:line="240" w:lineRule="auto"/>
        <w:jc w:val="center"/>
        <w:rPr>
          <w:b/>
        </w:rPr>
      </w:pPr>
      <w:r w:rsidRPr="00994FB7">
        <w:rPr>
          <w:b/>
        </w:rPr>
        <w:t xml:space="preserve">OMB Control </w:t>
      </w:r>
      <w:r w:rsidRPr="00994FB7">
        <w:rPr>
          <w:rFonts w:eastAsia="Calibri" w:cs="Times New Roman"/>
          <w:b/>
          <w:szCs w:val="24"/>
        </w:rPr>
        <w:t>No.</w:t>
      </w:r>
      <w:r w:rsidRPr="00994FB7">
        <w:rPr>
          <w:b/>
        </w:rPr>
        <w:t xml:space="preserve"> 2127</w:t>
      </w:r>
      <w:r w:rsidRPr="00994FB7">
        <w:rPr>
          <w:rFonts w:eastAsia="Calibri" w:cs="Times New Roman"/>
          <w:b/>
          <w:szCs w:val="24"/>
        </w:rPr>
        <w:t>-</w:t>
      </w:r>
      <w:r w:rsidRPr="00994FB7" w:rsidR="00F3032D">
        <w:rPr>
          <w:b/>
        </w:rPr>
        <w:t>0753</w:t>
      </w:r>
    </w:p>
    <w:p w:rsidR="00F27C2C" w:rsidRPr="00994FB7" w:rsidP="00F27C2C" w14:paraId="03046FF5" w14:textId="77777777">
      <w:pPr>
        <w:autoSpaceDE w:val="0"/>
        <w:autoSpaceDN w:val="0"/>
        <w:adjustRightInd w:val="0"/>
        <w:spacing w:after="0" w:line="240" w:lineRule="auto"/>
        <w:rPr>
          <w:rFonts w:cs="Times New Roman"/>
          <w:szCs w:val="24"/>
        </w:rPr>
      </w:pPr>
    </w:p>
    <w:p w:rsidR="00F27C2C" w:rsidRPr="00994FB7" w:rsidP="00D109CC" w14:paraId="5C47CC04" w14:textId="77777777">
      <w:pPr>
        <w:pStyle w:val="Heading1"/>
        <w:rPr>
          <w:bCs/>
        </w:rPr>
      </w:pPr>
      <w:bookmarkStart w:id="0" w:name="_Hlk49938575"/>
      <w:r w:rsidRPr="00994FB7">
        <w:rPr>
          <w:rStyle w:val="Heading1Char"/>
          <w:b/>
          <w:bCs/>
        </w:rPr>
        <w:t>Abstract</w:t>
      </w:r>
      <w:bookmarkStart w:id="1" w:name="_Hlk47077366"/>
      <w:r w:rsidRPr="00994FB7">
        <w:rPr>
          <w:rStyle w:val="Heading1Char"/>
          <w:b/>
          <w:bCs/>
        </w:rPr>
        <w:t>:</w:t>
      </w:r>
      <w:r>
        <w:rPr>
          <w:rStyle w:val="FootnoteReference"/>
          <w:bCs/>
        </w:rPr>
        <w:footnoteReference w:id="3"/>
      </w:r>
      <w:bookmarkEnd w:id="1"/>
    </w:p>
    <w:bookmarkEnd w:id="0"/>
    <w:p w:rsidR="00A50715" w:rsidRPr="00994FB7" w14:paraId="496A9045" w14:textId="77777777"/>
    <w:p w:rsidR="009D4CC8" w:rsidRPr="00994FB7" w:rsidP="5A835761" w14:paraId="5D294A8B" w14:textId="5D38B283">
      <w:pPr>
        <w:rPr>
          <w:rFonts w:cs="Times New Roman"/>
        </w:rPr>
      </w:pPr>
      <w:bookmarkStart w:id="2" w:name="_Hlk66707705"/>
      <w:r w:rsidRPr="00994FB7">
        <w:rPr>
          <w:rFonts w:cs="Times New Roman"/>
        </w:rPr>
        <w:t xml:space="preserve">The National Highway Traffic Safety Administration (NHTSA) is submitting this information collection request (ICR) to </w:t>
      </w:r>
      <w:r w:rsidRPr="00994FB7" w:rsidR="00D17025">
        <w:rPr>
          <w:rFonts w:cs="Times New Roman"/>
        </w:rPr>
        <w:t>request an extension with modification</w:t>
      </w:r>
      <w:r w:rsidRPr="00994FB7" w:rsidR="00094CCC">
        <w:rPr>
          <w:rFonts w:cs="Times New Roman"/>
        </w:rPr>
        <w:t xml:space="preserve"> of</w:t>
      </w:r>
      <w:r w:rsidRPr="00994FB7">
        <w:rPr>
          <w:rFonts w:cs="Times New Roman"/>
        </w:rPr>
        <w:t xml:space="preserve"> its currently approved information collection for the State Data Transfer (SDT) program. </w:t>
      </w:r>
      <w:r w:rsidRPr="00994FB7" w:rsidR="0044002F">
        <w:rPr>
          <w:rFonts w:cs="Times New Roman"/>
        </w:rPr>
        <w:t xml:space="preserve">NHTSA is seeking approval to modify the </w:t>
      </w:r>
      <w:r w:rsidRPr="00994FB7" w:rsidR="00B27BAF">
        <w:rPr>
          <w:rFonts w:cs="Times New Roman"/>
        </w:rPr>
        <w:t xml:space="preserve">collection to update the burdens and remove one </w:t>
      </w:r>
      <w:r w:rsidRPr="00994FB7">
        <w:rPr>
          <w:rFonts w:cs="Times New Roman"/>
        </w:rPr>
        <w:t>data collection protocol.</w:t>
      </w:r>
    </w:p>
    <w:p w:rsidR="00B13675" w:rsidRPr="00994FB7" w:rsidP="5A835761" w14:paraId="06298713" w14:textId="1EE8C739">
      <w:pPr>
        <w:rPr>
          <w:rFonts w:cs="Times New Roman"/>
        </w:rPr>
      </w:pPr>
      <w:r w:rsidRPr="00994FB7">
        <w:rPr>
          <w:rFonts w:cs="Times New Roman"/>
        </w:rPr>
        <w:t xml:space="preserve">NHTSA is authorized </w:t>
      </w:r>
      <w:r w:rsidRPr="00994FB7" w:rsidR="00501199">
        <w:rPr>
          <w:rFonts w:cs="Times New Roman"/>
        </w:rPr>
        <w:t xml:space="preserve">by </w:t>
      </w:r>
      <w:r w:rsidRPr="00994FB7" w:rsidR="00220716">
        <w:rPr>
          <w:rFonts w:cs="Times New Roman"/>
        </w:rPr>
        <w:t>49 U.S.C. 30182, 23 U.S.C. 403</w:t>
      </w:r>
      <w:r w:rsidRPr="00994FB7" w:rsidR="00383F3D">
        <w:rPr>
          <w:rFonts w:cs="Times New Roman"/>
        </w:rPr>
        <w:t xml:space="preserve"> and </w:t>
      </w:r>
      <w:r w:rsidRPr="00994FB7" w:rsidR="003B5103">
        <w:rPr>
          <w:rFonts w:cs="Times New Roman"/>
        </w:rPr>
        <w:t>Public Law 117-58</w:t>
      </w:r>
      <w:r w:rsidRPr="00994FB7" w:rsidR="00845A4C">
        <w:rPr>
          <w:rFonts w:cs="Times New Roman"/>
        </w:rPr>
        <w:t xml:space="preserve"> Section 2</w:t>
      </w:r>
      <w:r w:rsidRPr="00994FB7" w:rsidR="00383F3D">
        <w:rPr>
          <w:rFonts w:cs="Times New Roman"/>
        </w:rPr>
        <w:t>4108</w:t>
      </w:r>
      <w:r w:rsidRPr="00994FB7" w:rsidR="00915698">
        <w:rPr>
          <w:rFonts w:cs="Times New Roman"/>
        </w:rPr>
        <w:t>(d)</w:t>
      </w:r>
      <w:r w:rsidRPr="00994FB7" w:rsidR="00383F3D">
        <w:rPr>
          <w:rFonts w:cs="Times New Roman"/>
        </w:rPr>
        <w:t xml:space="preserve"> </w:t>
      </w:r>
      <w:r w:rsidRPr="00994FB7">
        <w:rPr>
          <w:rFonts w:cs="Times New Roman"/>
        </w:rPr>
        <w:t>to collect data on motor vehicle traffic crashes</w:t>
      </w:r>
      <w:r w:rsidRPr="00994FB7">
        <w:t xml:space="preserve"> </w:t>
      </w:r>
      <w:r w:rsidRPr="00994FB7">
        <w:rPr>
          <w:rFonts w:cs="Times New Roman"/>
        </w:rPr>
        <w:t>to aid in the identification of issues and the development, implementation, and evaluation of motor vehicle and highway safety countermeasures to support efforts to reduce injuries and fatalities caused by motor vehicle crashes.</w:t>
      </w:r>
    </w:p>
    <w:p w:rsidR="00E77F9E" w:rsidRPr="00994FB7" w:rsidP="5A835761" w14:paraId="26A84833" w14:textId="68D59CD6">
      <w:pPr>
        <w:rPr>
          <w:rFonts w:cs="Times New Roman"/>
        </w:rPr>
      </w:pPr>
      <w:r w:rsidRPr="00994FB7">
        <w:rPr>
          <w:rFonts w:cs="Times New Roman"/>
        </w:rPr>
        <w:t xml:space="preserve">The SDT program is a voluntary collection of motor vehicle crash data. State agencies collect motor vehicle crash information on Police </w:t>
      </w:r>
      <w:r w:rsidRPr="00994FB7" w:rsidR="00B5462A">
        <w:rPr>
          <w:rFonts w:cs="Times New Roman"/>
        </w:rPr>
        <w:t>Crash</w:t>
      </w:r>
      <w:r w:rsidRPr="00994FB7">
        <w:rPr>
          <w:rFonts w:cs="Times New Roman"/>
        </w:rPr>
        <w:t xml:space="preserve"> Reports (P</w:t>
      </w:r>
      <w:r w:rsidRPr="00994FB7" w:rsidR="00B5462A">
        <w:rPr>
          <w:rFonts w:cs="Times New Roman"/>
        </w:rPr>
        <w:t>C</w:t>
      </w:r>
      <w:r w:rsidRPr="00994FB7">
        <w:rPr>
          <w:rFonts w:cs="Times New Roman"/>
        </w:rPr>
        <w:t>Rs</w:t>
      </w:r>
      <w:r w:rsidRPr="00994FB7">
        <w:rPr>
          <w:rFonts w:cs="Times New Roman"/>
        </w:rPr>
        <w:t>)</w:t>
      </w:r>
      <w:r w:rsidRPr="00994FB7">
        <w:rPr>
          <w:rFonts w:cs="Times New Roman"/>
          <w:vertAlign w:val="superscript"/>
        </w:rPr>
        <w:t>[</w:t>
      </w:r>
      <w:r w:rsidRPr="00994FB7">
        <w:rPr>
          <w:rFonts w:cs="Times New Roman"/>
          <w:vertAlign w:val="superscript"/>
        </w:rPr>
        <w:t>1]</w:t>
      </w:r>
      <w:r w:rsidRPr="00994FB7">
        <w:rPr>
          <w:rFonts w:cs="Times New Roman"/>
        </w:rPr>
        <w:t xml:space="preserve"> for their own </w:t>
      </w:r>
      <w:r w:rsidRPr="00994FB7" w:rsidR="701FDF16">
        <w:rPr>
          <w:rFonts w:cs="Times New Roman"/>
        </w:rPr>
        <w:t xml:space="preserve">data collection </w:t>
      </w:r>
      <w:r w:rsidRPr="00994FB7">
        <w:rPr>
          <w:rFonts w:cs="Times New Roman"/>
        </w:rPr>
        <w:t>purposes. P</w:t>
      </w:r>
      <w:r w:rsidRPr="00994FB7" w:rsidR="00B82265">
        <w:rPr>
          <w:rFonts w:cs="Times New Roman"/>
        </w:rPr>
        <w:t>C</w:t>
      </w:r>
      <w:r w:rsidRPr="00994FB7">
        <w:rPr>
          <w:rFonts w:cs="Times New Roman"/>
        </w:rPr>
        <w:t xml:space="preserve">Rs generally include information about </w:t>
      </w:r>
      <w:r w:rsidRPr="00994FB7" w:rsidR="00014C4C">
        <w:rPr>
          <w:rFonts w:cs="Times New Roman"/>
        </w:rPr>
        <w:t>vehicles</w:t>
      </w:r>
      <w:r w:rsidRPr="00994FB7">
        <w:rPr>
          <w:rFonts w:cs="Times New Roman"/>
        </w:rPr>
        <w:t xml:space="preserve"> and individuals involved in a crash; injuries or fatalities; roadway and environmental conditions; and details needed to reconstruct crash scenes. Through the SDT process, participating States electronically transfer their </w:t>
      </w:r>
      <w:r w:rsidRPr="00994FB7" w:rsidR="008807FD">
        <w:rPr>
          <w:rFonts w:cs="Times New Roman"/>
        </w:rPr>
        <w:t>PCR</w:t>
      </w:r>
      <w:r w:rsidRPr="00994FB7">
        <w:rPr>
          <w:rFonts w:cs="Times New Roman"/>
        </w:rPr>
        <w:t xml:space="preserve"> data to NHTSA.</w:t>
      </w:r>
    </w:p>
    <w:p w:rsidR="00E77F9E" w:rsidRPr="00994FB7" w:rsidP="133656ED" w14:paraId="20E6A445" w14:textId="7D774259">
      <w:r w:rsidRPr="00994FB7">
        <w:rPr>
          <w:rFonts w:cs="Times New Roman"/>
        </w:rPr>
        <w:t xml:space="preserve">Historically, SDT </w:t>
      </w:r>
      <w:r w:rsidRPr="00994FB7" w:rsidR="7ADCCEC3">
        <w:rPr>
          <w:rFonts w:cs="Times New Roman"/>
        </w:rPr>
        <w:t xml:space="preserve">included </w:t>
      </w:r>
      <w:r w:rsidRPr="00994FB7">
        <w:rPr>
          <w:rFonts w:cs="Times New Roman"/>
        </w:rPr>
        <w:t xml:space="preserve">two </w:t>
      </w:r>
      <w:r w:rsidRPr="00994FB7" w:rsidR="004C48D7">
        <w:rPr>
          <w:rFonts w:cs="Times New Roman"/>
        </w:rPr>
        <w:t>NHTSA</w:t>
      </w:r>
      <w:r w:rsidRPr="00994FB7" w:rsidR="233173BA">
        <w:rPr>
          <w:rFonts w:cs="Times New Roman"/>
        </w:rPr>
        <w:t xml:space="preserve"> defined protocols</w:t>
      </w:r>
      <w:r w:rsidRPr="00994FB7" w:rsidR="0EE62BED">
        <w:rPr>
          <w:rFonts w:cs="Times New Roman"/>
        </w:rPr>
        <w:t xml:space="preserve">: the State Data System (SDS) and the electronic data transfer </w:t>
      </w:r>
      <w:r w:rsidRPr="00994FB7" w:rsidR="00371347">
        <w:rPr>
          <w:rFonts w:cs="Times New Roman"/>
        </w:rPr>
        <w:t xml:space="preserve">(EDT) </w:t>
      </w:r>
      <w:r w:rsidRPr="00994FB7" w:rsidR="0EE62BED">
        <w:rPr>
          <w:rFonts w:cs="Times New Roman"/>
        </w:rPr>
        <w:t xml:space="preserve">protocol. </w:t>
      </w:r>
      <w:r w:rsidRPr="00994FB7" w:rsidR="00400454">
        <w:rPr>
          <w:rFonts w:cs="Times New Roman"/>
        </w:rPr>
        <w:t>NHTSA plans to sunset the SDS protocol</w:t>
      </w:r>
      <w:r w:rsidRPr="00994FB7" w:rsidR="0EE62BED">
        <w:rPr>
          <w:rFonts w:cs="Times New Roman"/>
        </w:rPr>
        <w:t xml:space="preserve">, </w:t>
      </w:r>
      <w:r w:rsidRPr="00994FB7" w:rsidR="2E146498">
        <w:rPr>
          <w:rFonts w:cs="Times New Roman"/>
        </w:rPr>
        <w:t xml:space="preserve">leaving only the </w:t>
      </w:r>
      <w:r w:rsidRPr="00994FB7" w:rsidR="001A5A48">
        <w:rPr>
          <w:rFonts w:cs="Times New Roman"/>
        </w:rPr>
        <w:t>EDT</w:t>
      </w:r>
      <w:r w:rsidRPr="00994FB7" w:rsidR="2E146498">
        <w:rPr>
          <w:rFonts w:cs="Times New Roman"/>
        </w:rPr>
        <w:t xml:space="preserve"> </w:t>
      </w:r>
      <w:r w:rsidRPr="00994FB7">
        <w:rPr>
          <w:rFonts w:cs="Times New Roman"/>
        </w:rPr>
        <w:t>protocol</w:t>
      </w:r>
      <w:r w:rsidRPr="00994FB7" w:rsidR="00B26556">
        <w:rPr>
          <w:rFonts w:cs="Times New Roman"/>
        </w:rPr>
        <w:t xml:space="preserve"> in SDT</w:t>
      </w:r>
      <w:r w:rsidRPr="00994FB7">
        <w:rPr>
          <w:rFonts w:cs="Times New Roman"/>
        </w:rPr>
        <w:t>.</w:t>
      </w:r>
    </w:p>
    <w:p w:rsidR="00B720CE" w:rsidRPr="00994FB7" w:rsidP="00B720CE" w14:paraId="7202B0FB" w14:textId="5BA8E856">
      <w:pPr>
        <w:pStyle w:val="ListParagraph"/>
        <w:numPr>
          <w:ilvl w:val="0"/>
          <w:numId w:val="24"/>
        </w:numPr>
        <w:spacing w:after="160" w:line="278" w:lineRule="auto"/>
        <w:rPr>
          <w:rFonts w:cs="Times New Roman"/>
        </w:rPr>
      </w:pPr>
      <w:bookmarkStart w:id="3" w:name="_Hlk66261734"/>
      <w:bookmarkEnd w:id="2"/>
      <w:r w:rsidRPr="00994FB7">
        <w:rPr>
          <w:rFonts w:cs="Times New Roman"/>
        </w:rPr>
        <w:t xml:space="preserve">SDS </w:t>
      </w:r>
      <w:r w:rsidRPr="00994FB7" w:rsidR="001B4CB6">
        <w:rPr>
          <w:rFonts w:cs="Times New Roman"/>
        </w:rPr>
        <w:t>P</w:t>
      </w:r>
      <w:r w:rsidRPr="00994FB7">
        <w:rPr>
          <w:rFonts w:cs="Times New Roman"/>
        </w:rPr>
        <w:t>rotocol (</w:t>
      </w:r>
      <w:r w:rsidRPr="00994FB7" w:rsidR="006C6FAB">
        <w:rPr>
          <w:rFonts w:cs="Times New Roman"/>
        </w:rPr>
        <w:t>s</w:t>
      </w:r>
      <w:r w:rsidRPr="00994FB7">
        <w:rPr>
          <w:rFonts w:cs="Times New Roman"/>
        </w:rPr>
        <w:t>unset)</w:t>
      </w:r>
    </w:p>
    <w:p w:rsidR="00B720CE" w:rsidRPr="00994FB7" w:rsidP="001504E1" w14:paraId="12476E77" w14:textId="2137B985">
      <w:pPr>
        <w:ind w:left="720"/>
        <w:rPr>
          <w:rFonts w:cs="Times New Roman"/>
        </w:rPr>
      </w:pPr>
      <w:r w:rsidRPr="00994FB7">
        <w:rPr>
          <w:rFonts w:cs="Times New Roman"/>
        </w:rPr>
        <w:t xml:space="preserve">Established in the early 1980s, the </w:t>
      </w:r>
      <w:r w:rsidRPr="00994FB7" w:rsidR="00C27D14">
        <w:rPr>
          <w:rFonts w:cs="Times New Roman"/>
        </w:rPr>
        <w:t>NCSA receive</w:t>
      </w:r>
      <w:r w:rsidRPr="00994FB7" w:rsidR="005C7637">
        <w:rPr>
          <w:rFonts w:cs="Times New Roman"/>
        </w:rPr>
        <w:t>d</w:t>
      </w:r>
      <w:r w:rsidRPr="00994FB7" w:rsidR="00C27D14">
        <w:rPr>
          <w:rFonts w:cs="Times New Roman"/>
        </w:rPr>
        <w:t xml:space="preserve"> </w:t>
      </w:r>
      <w:r w:rsidRPr="00994FB7">
        <w:rPr>
          <w:rFonts w:cs="Times New Roman"/>
        </w:rPr>
        <w:t>P</w:t>
      </w:r>
      <w:r w:rsidRPr="00994FB7" w:rsidR="00B5462A">
        <w:rPr>
          <w:rFonts w:cs="Times New Roman"/>
        </w:rPr>
        <w:t>C</w:t>
      </w:r>
      <w:r w:rsidRPr="00994FB7">
        <w:rPr>
          <w:rFonts w:cs="Times New Roman"/>
        </w:rPr>
        <w:t>R crash data from participating States via electronic media such as encrypted CD-ROM/DVD, secure mail, or secure file transfer protocol (SFTP)</w:t>
      </w:r>
      <w:r w:rsidRPr="00994FB7" w:rsidR="005F7EAF">
        <w:rPr>
          <w:rFonts w:cs="Times New Roman"/>
        </w:rPr>
        <w:t xml:space="preserve"> through SDS protocol</w:t>
      </w:r>
      <w:r w:rsidRPr="00994FB7">
        <w:rPr>
          <w:rFonts w:cs="Times New Roman"/>
        </w:rPr>
        <w:t xml:space="preserve">. These “annual crash files” became inconsistent over time as States stopped or reduced submissions, creating gaps in data collection. The </w:t>
      </w:r>
      <w:r w:rsidRPr="00994FB7" w:rsidR="005F7EAF">
        <w:rPr>
          <w:rFonts w:cs="Times New Roman"/>
        </w:rPr>
        <w:t>NHTSA’s</w:t>
      </w:r>
      <w:r w:rsidRPr="00994FB7">
        <w:rPr>
          <w:rFonts w:cs="Times New Roman"/>
        </w:rPr>
        <w:t xml:space="preserve"> supporting contract expired, making the protocol unsustainable, and </w:t>
      </w:r>
      <w:r w:rsidRPr="00994FB7" w:rsidR="00B32E9D">
        <w:rPr>
          <w:rFonts w:cs="Times New Roman"/>
        </w:rPr>
        <w:t xml:space="preserve">NHTSA plans to </w:t>
      </w:r>
      <w:r w:rsidRPr="00994FB7">
        <w:rPr>
          <w:rFonts w:cs="Times New Roman"/>
        </w:rPr>
        <w:t>sunset</w:t>
      </w:r>
      <w:r w:rsidRPr="00994FB7" w:rsidR="00B32E9D">
        <w:rPr>
          <w:rFonts w:cs="Times New Roman"/>
        </w:rPr>
        <w:t xml:space="preserve"> the data collected using this protocol</w:t>
      </w:r>
      <w:r w:rsidRPr="00994FB7">
        <w:rPr>
          <w:rFonts w:cs="Times New Roman"/>
        </w:rPr>
        <w:t>.</w:t>
      </w:r>
    </w:p>
    <w:p w:rsidR="00B720CE" w:rsidRPr="00994FB7" w:rsidP="008359E3" w14:paraId="5800EB2C" w14:textId="489892D8">
      <w:pPr>
        <w:pStyle w:val="ListParagraph"/>
        <w:numPr>
          <w:ilvl w:val="0"/>
          <w:numId w:val="24"/>
        </w:numPr>
        <w:spacing w:after="160" w:line="278" w:lineRule="auto"/>
        <w:rPr>
          <w:rFonts w:cs="Times New Roman"/>
        </w:rPr>
      </w:pPr>
      <w:r w:rsidRPr="00994FB7">
        <w:rPr>
          <w:rFonts w:cs="Times New Roman"/>
        </w:rPr>
        <w:t>EDT Protocol</w:t>
      </w:r>
    </w:p>
    <w:p w:rsidR="00B720CE" w:rsidRPr="00994FB7" w:rsidP="008359E3" w14:paraId="364ACC1B" w14:textId="59282F68">
      <w:pPr>
        <w:ind w:left="720"/>
        <w:rPr>
          <w:rFonts w:cs="Times New Roman"/>
        </w:rPr>
      </w:pPr>
      <w:r w:rsidRPr="00994FB7">
        <w:rPr>
          <w:rFonts w:cs="Times New Roman"/>
        </w:rPr>
        <w:t xml:space="preserve">Implemented in 2015, EDT obtains </w:t>
      </w:r>
      <w:r w:rsidRPr="00994FB7" w:rsidR="001C6EC4">
        <w:rPr>
          <w:rFonts w:cs="Times New Roman"/>
        </w:rPr>
        <w:t xml:space="preserve">PCRs and its associated </w:t>
      </w:r>
      <w:r w:rsidRPr="00994FB7">
        <w:rPr>
          <w:rFonts w:cs="Times New Roman"/>
        </w:rPr>
        <w:t xml:space="preserve">crash data, </w:t>
      </w:r>
      <w:r w:rsidRPr="00994FB7" w:rsidR="001C6EC4">
        <w:rPr>
          <w:rFonts w:cs="Times New Roman"/>
        </w:rPr>
        <w:t xml:space="preserve">supplemental </w:t>
      </w:r>
      <w:r w:rsidRPr="00994FB7">
        <w:rPr>
          <w:rFonts w:cs="Times New Roman"/>
        </w:rPr>
        <w:t xml:space="preserve">crash reports, and crash images through automated electronic transfers. Transfers typically occur nightly after State quality control checks and acceptance into each State’s centralized crash data repository. Data is transmitted in State-specific (non-standardized) formats using </w:t>
      </w:r>
      <w:r w:rsidRPr="00994FB7">
        <w:rPr>
          <w:rFonts w:eastAsia="Times New Roman" w:cs="Times New Roman"/>
        </w:rPr>
        <w:t>Extensible Markup Language (</w:t>
      </w:r>
      <w:r w:rsidRPr="00994FB7">
        <w:rPr>
          <w:rFonts w:cs="Times New Roman"/>
        </w:rPr>
        <w:t xml:space="preserve">XML) or </w:t>
      </w:r>
      <w:r w:rsidRPr="00994FB7">
        <w:rPr>
          <w:rFonts w:eastAsia="Times New Roman" w:cs="Times New Roman"/>
        </w:rPr>
        <w:t>JavaScript Object Notation (</w:t>
      </w:r>
      <w:r w:rsidRPr="00994FB7">
        <w:rPr>
          <w:rFonts w:cs="Times New Roman"/>
        </w:rPr>
        <w:t>JSON) through a web service using the Hypertext</w:t>
      </w:r>
      <w:r w:rsidRPr="00994FB7">
        <w:rPr>
          <w:rFonts w:eastAsia="Times New Roman" w:cs="Times New Roman"/>
        </w:rPr>
        <w:t xml:space="preserve"> Transfer Protocol Secure (HTTPS)</w:t>
      </w:r>
      <w:r w:rsidRPr="00994FB7">
        <w:rPr>
          <w:rFonts w:cs="Times New Roman"/>
        </w:rPr>
        <w:t xml:space="preserve">. NHTSA does not currently provide routine funding for </w:t>
      </w:r>
      <w:r w:rsidRPr="00994FB7" w:rsidR="000B689D">
        <w:rPr>
          <w:rFonts w:cs="Times New Roman"/>
        </w:rPr>
        <w:t xml:space="preserve">these </w:t>
      </w:r>
      <w:r w:rsidRPr="00994FB7">
        <w:rPr>
          <w:rFonts w:cs="Times New Roman"/>
        </w:rPr>
        <w:t>State</w:t>
      </w:r>
      <w:r w:rsidRPr="00994FB7" w:rsidR="000B689D">
        <w:rPr>
          <w:rFonts w:cs="Times New Roman"/>
        </w:rPr>
        <w:t>s</w:t>
      </w:r>
      <w:r w:rsidRPr="00994FB7">
        <w:rPr>
          <w:rFonts w:cs="Times New Roman"/>
        </w:rPr>
        <w:t>.</w:t>
      </w:r>
    </w:p>
    <w:p w:rsidR="000E2F77" w:rsidRPr="00994FB7" w:rsidP="008359E3" w14:paraId="0F009C07" w14:textId="75AF926D">
      <w:pPr>
        <w:ind w:left="720"/>
        <w:rPr>
          <w:rFonts w:cs="Times New Roman"/>
        </w:rPr>
      </w:pPr>
      <w:r w:rsidRPr="00994FB7">
        <w:rPr>
          <w:rFonts w:cs="Times New Roman"/>
        </w:rPr>
        <w:t>Starting November 15, 2021</w:t>
      </w:r>
      <w:r w:rsidRPr="00994FB7" w:rsidR="00E01E6A">
        <w:rPr>
          <w:rFonts w:cs="Times New Roman"/>
        </w:rPr>
        <w:t>,</w:t>
      </w:r>
      <w:r w:rsidRPr="00994FB7">
        <w:rPr>
          <w:rFonts w:cs="Times New Roman"/>
        </w:rPr>
        <w:t xml:space="preserve"> and a</w:t>
      </w:r>
      <w:r w:rsidRPr="00994FB7" w:rsidR="00B720CE">
        <w:rPr>
          <w:rFonts w:cs="Times New Roman"/>
        </w:rPr>
        <w:t xml:space="preserve">uthorized under Section 24108(d) of the Public Law 117‑58, </w:t>
      </w:r>
      <w:r w:rsidRPr="00994FB7" w:rsidR="000B689D">
        <w:rPr>
          <w:rFonts w:cs="Times New Roman"/>
        </w:rPr>
        <w:t xml:space="preserve">NHTSA established the State Electronic Data Collection (SEDC) program. The </w:t>
      </w:r>
      <w:r w:rsidRPr="00994FB7" w:rsidR="00B720CE">
        <w:rPr>
          <w:rFonts w:cs="Times New Roman"/>
        </w:rPr>
        <w:t xml:space="preserve">SEDC program </w:t>
      </w:r>
      <w:r w:rsidRPr="00994FB7" w:rsidR="00085238">
        <w:rPr>
          <w:rFonts w:cs="Times New Roman"/>
        </w:rPr>
        <w:t>is a</w:t>
      </w:r>
      <w:r w:rsidRPr="00994FB7" w:rsidR="0099478C">
        <w:rPr>
          <w:rFonts w:cs="Times New Roman"/>
        </w:rPr>
        <w:t xml:space="preserve"> discretionary</w:t>
      </w:r>
      <w:r w:rsidRPr="00994FB7" w:rsidR="002B4677">
        <w:rPr>
          <w:rFonts w:cs="Times New Roman"/>
        </w:rPr>
        <w:t>,</w:t>
      </w:r>
      <w:r w:rsidRPr="00994FB7" w:rsidR="0099478C">
        <w:rPr>
          <w:rFonts w:cs="Times New Roman"/>
        </w:rPr>
        <w:t xml:space="preserve"> grant</w:t>
      </w:r>
      <w:r w:rsidRPr="00994FB7" w:rsidR="002B4677">
        <w:rPr>
          <w:rFonts w:cs="Times New Roman"/>
        </w:rPr>
        <w:t>-</w:t>
      </w:r>
      <w:r w:rsidRPr="00994FB7" w:rsidR="0099478C">
        <w:rPr>
          <w:rFonts w:cs="Times New Roman"/>
        </w:rPr>
        <w:t>fund</w:t>
      </w:r>
      <w:r w:rsidRPr="00994FB7" w:rsidR="00085238">
        <w:rPr>
          <w:rFonts w:cs="Times New Roman"/>
        </w:rPr>
        <w:t xml:space="preserve">ed </w:t>
      </w:r>
      <w:r w:rsidRPr="00994FB7" w:rsidR="006B5295">
        <w:rPr>
          <w:rFonts w:cs="Times New Roman"/>
        </w:rPr>
        <w:t>initiative that helps States</w:t>
      </w:r>
      <w:r w:rsidRPr="00994FB7" w:rsidR="002050E8">
        <w:rPr>
          <w:rFonts w:cs="Times New Roman"/>
        </w:rPr>
        <w:t xml:space="preserve"> </w:t>
      </w:r>
      <w:r w:rsidRPr="00994FB7" w:rsidR="00B720CE">
        <w:rPr>
          <w:rFonts w:cs="Times New Roman"/>
        </w:rPr>
        <w:t>establish</w:t>
      </w:r>
      <w:r w:rsidRPr="00994FB7" w:rsidR="006B5295">
        <w:rPr>
          <w:rFonts w:cs="Times New Roman"/>
        </w:rPr>
        <w:t xml:space="preserve">, </w:t>
      </w:r>
      <w:r w:rsidRPr="00994FB7" w:rsidR="00191771">
        <w:rPr>
          <w:rFonts w:cs="Times New Roman"/>
        </w:rPr>
        <w:t>upgrade</w:t>
      </w:r>
      <w:r w:rsidRPr="00994FB7" w:rsidR="00CA570D">
        <w:rPr>
          <w:rFonts w:cs="Times New Roman"/>
        </w:rPr>
        <w:t>,</w:t>
      </w:r>
      <w:r w:rsidRPr="00994FB7" w:rsidR="00191771">
        <w:rPr>
          <w:rFonts w:cs="Times New Roman"/>
        </w:rPr>
        <w:t xml:space="preserve"> and</w:t>
      </w:r>
      <w:r w:rsidRPr="00994FB7" w:rsidR="00B720CE">
        <w:rPr>
          <w:rFonts w:cs="Times New Roman"/>
        </w:rPr>
        <w:t xml:space="preserve"> standardize centralized </w:t>
      </w:r>
      <w:r w:rsidRPr="00994FB7" w:rsidR="00B720CE">
        <w:rPr>
          <w:rFonts w:cs="Times New Roman"/>
        </w:rPr>
        <w:t>statewide crash</w:t>
      </w:r>
      <w:r w:rsidRPr="00994FB7" w:rsidR="00B720CE">
        <w:rPr>
          <w:rFonts w:cs="Times New Roman"/>
        </w:rPr>
        <w:t xml:space="preserve"> data repositories</w:t>
      </w:r>
      <w:r w:rsidRPr="00994FB7" w:rsidR="00F13F54">
        <w:rPr>
          <w:rFonts w:cs="Times New Roman"/>
        </w:rPr>
        <w:t xml:space="preserve"> </w:t>
      </w:r>
      <w:r w:rsidRPr="00994FB7" w:rsidR="00931BCF">
        <w:rPr>
          <w:rFonts w:cs="Times New Roman"/>
        </w:rPr>
        <w:t>for electronic</w:t>
      </w:r>
      <w:r w:rsidRPr="00994FB7" w:rsidR="00C94C3C">
        <w:rPr>
          <w:rFonts w:cs="Times New Roman"/>
        </w:rPr>
        <w:t xml:space="preserve"> transmission </w:t>
      </w:r>
      <w:r w:rsidRPr="00994FB7" w:rsidR="00F13F54">
        <w:rPr>
          <w:rFonts w:cs="Times New Roman"/>
        </w:rPr>
        <w:t>to NHTSA</w:t>
      </w:r>
      <w:r w:rsidRPr="00994FB7" w:rsidR="00B720CE">
        <w:rPr>
          <w:rFonts w:cs="Times New Roman"/>
        </w:rPr>
        <w:t xml:space="preserve">. </w:t>
      </w:r>
      <w:r w:rsidRPr="00994FB7" w:rsidR="00C94C3C">
        <w:rPr>
          <w:rFonts w:cs="Times New Roman"/>
        </w:rPr>
        <w:t>Grant</w:t>
      </w:r>
      <w:r w:rsidRPr="00994FB7" w:rsidR="007C259F">
        <w:rPr>
          <w:rFonts w:cs="Times New Roman"/>
        </w:rPr>
        <w:t xml:space="preserve"> </w:t>
      </w:r>
      <w:r w:rsidRPr="00994FB7" w:rsidR="00B702B9">
        <w:rPr>
          <w:rFonts w:cs="Times New Roman"/>
        </w:rPr>
        <w:t>re</w:t>
      </w:r>
      <w:r w:rsidRPr="00994FB7" w:rsidR="00B84AA4">
        <w:rPr>
          <w:rFonts w:cs="Times New Roman"/>
        </w:rPr>
        <w:t>quire</w:t>
      </w:r>
      <w:r w:rsidRPr="00994FB7" w:rsidR="00B702B9">
        <w:rPr>
          <w:rFonts w:cs="Times New Roman"/>
        </w:rPr>
        <w:t xml:space="preserve">ments include </w:t>
      </w:r>
      <w:r w:rsidRPr="00994FB7" w:rsidR="00B720CE">
        <w:rPr>
          <w:rFonts w:cs="Times New Roman"/>
        </w:rPr>
        <w:t xml:space="preserve">electronic data collection, intrastate data sharing, and electronic data transfer to NHTSA. </w:t>
      </w:r>
      <w:r w:rsidRPr="00994FB7" w:rsidR="00C94C3C">
        <w:rPr>
          <w:rFonts w:cs="Times New Roman"/>
        </w:rPr>
        <w:t>The program objec</w:t>
      </w:r>
      <w:r w:rsidRPr="00994FB7" w:rsidR="00B6401F">
        <w:rPr>
          <w:rFonts w:cs="Times New Roman"/>
        </w:rPr>
        <w:t>tives are</w:t>
      </w:r>
      <w:r w:rsidRPr="00994FB7" w:rsidR="00B720CE">
        <w:rPr>
          <w:rFonts w:cs="Times New Roman"/>
        </w:rPr>
        <w:t xml:space="preserve"> to improve data accuracy, timeliness, and accessibility, </w:t>
      </w:r>
      <w:r w:rsidRPr="00994FB7" w:rsidR="00B6401F">
        <w:rPr>
          <w:rFonts w:cs="Times New Roman"/>
        </w:rPr>
        <w:t xml:space="preserve">particularly for </w:t>
      </w:r>
      <w:r w:rsidRPr="00994FB7" w:rsidR="00761BE1">
        <w:rPr>
          <w:rFonts w:cs="Times New Roman"/>
        </w:rPr>
        <w:t>crashes involving v</w:t>
      </w:r>
      <w:r w:rsidRPr="00994FB7" w:rsidR="00B720CE">
        <w:rPr>
          <w:rFonts w:cs="Times New Roman"/>
        </w:rPr>
        <w:t>ulnerable road users</w:t>
      </w:r>
      <w:r w:rsidRPr="00994FB7" w:rsidR="00761BE1">
        <w:rPr>
          <w:rFonts w:cs="Times New Roman"/>
        </w:rPr>
        <w:t xml:space="preserve">, by supporting </w:t>
      </w:r>
      <w:r w:rsidRPr="00994FB7" w:rsidR="00B720CE">
        <w:rPr>
          <w:rFonts w:cs="Times New Roman"/>
        </w:rPr>
        <w:t>State</w:t>
      </w:r>
      <w:r w:rsidRPr="00994FB7" w:rsidR="00137030">
        <w:rPr>
          <w:rFonts w:cs="Times New Roman"/>
        </w:rPr>
        <w:t xml:space="preserve"> projects to</w:t>
      </w:r>
      <w:r w:rsidRPr="00994FB7" w:rsidR="00B720CE">
        <w:rPr>
          <w:rFonts w:cs="Times New Roman"/>
        </w:rPr>
        <w:t xml:space="preserve"> modernize or build their crash data repositories, enable full electronic data transfer to NHTSA, increase alignment with the Model Minimum Uniform Crash Criteria (MMUCC) Sixth Edition, and transmit data in a standardized format. </w:t>
      </w:r>
    </w:p>
    <w:p w:rsidR="00B720CE" w:rsidRPr="00994FB7" w:rsidP="008359E3" w14:paraId="37BE6F88" w14:textId="3BB225DD">
      <w:pPr>
        <w:ind w:left="720"/>
        <w:rPr>
          <w:rFonts w:cs="Times New Roman"/>
        </w:rPr>
      </w:pPr>
      <w:r w:rsidRPr="00994FB7">
        <w:rPr>
          <w:rFonts w:cs="Times New Roman"/>
        </w:rPr>
        <w:t>States funded under</w:t>
      </w:r>
      <w:r w:rsidRPr="00994FB7" w:rsidR="00524DB2">
        <w:rPr>
          <w:rFonts w:cs="Times New Roman"/>
        </w:rPr>
        <w:t xml:space="preserve"> the</w:t>
      </w:r>
      <w:r w:rsidRPr="00994FB7">
        <w:rPr>
          <w:rFonts w:cs="Times New Roman"/>
        </w:rPr>
        <w:t xml:space="preserve"> SEDC will be referred to as SEDC States; States continuing to transmit data via the existing EDT protocol without SEDC-funded enhancements will be referred to as </w:t>
      </w:r>
      <w:r w:rsidRPr="00994FB7" w:rsidR="00C92595">
        <w:rPr>
          <w:rFonts w:cs="Times New Roman"/>
        </w:rPr>
        <w:t>N</w:t>
      </w:r>
      <w:r w:rsidRPr="00994FB7">
        <w:rPr>
          <w:rFonts w:cs="Times New Roman"/>
        </w:rPr>
        <w:t xml:space="preserve">on‑SEDC </w:t>
      </w:r>
      <w:r w:rsidRPr="00994FB7" w:rsidR="00C92595">
        <w:rPr>
          <w:rFonts w:cs="Times New Roman"/>
        </w:rPr>
        <w:t xml:space="preserve">EDT </w:t>
      </w:r>
      <w:r w:rsidRPr="00994FB7">
        <w:rPr>
          <w:rFonts w:cs="Times New Roman"/>
        </w:rPr>
        <w:t>States.</w:t>
      </w:r>
      <w:r w:rsidRPr="00994FB7" w:rsidR="009F7690">
        <w:rPr>
          <w:rFonts w:cs="Times New Roman"/>
        </w:rPr>
        <w:t xml:space="preserve"> This ICR reflects the inclusion of both the Non-SEDC EDT and the SEDC EDT.</w:t>
      </w:r>
    </w:p>
    <w:p w:rsidR="00B720CE" w:rsidRPr="00994FB7" w:rsidP="008359E3" w14:paraId="1FC978E5" w14:textId="6EC452DE">
      <w:pPr>
        <w:ind w:left="720"/>
        <w:rPr>
          <w:rFonts w:cs="Times New Roman"/>
        </w:rPr>
      </w:pPr>
      <w:r w:rsidRPr="00994FB7">
        <w:rPr>
          <w:rFonts w:cs="Times New Roman"/>
        </w:rPr>
        <w:t>The SDT process enables States to submit complete P</w:t>
      </w:r>
      <w:r w:rsidRPr="00994FB7" w:rsidR="001B40A2">
        <w:rPr>
          <w:rFonts w:cs="Times New Roman"/>
        </w:rPr>
        <w:t>C</w:t>
      </w:r>
      <w:r w:rsidRPr="00994FB7">
        <w:rPr>
          <w:rFonts w:cs="Times New Roman"/>
        </w:rPr>
        <w:t xml:space="preserve">R data to </w:t>
      </w:r>
      <w:r w:rsidRPr="00994FB7" w:rsidR="006F1A2C">
        <w:rPr>
          <w:rFonts w:cs="Times New Roman"/>
        </w:rPr>
        <w:t>NHTSA by</w:t>
      </w:r>
      <w:r w:rsidRPr="00994FB7">
        <w:rPr>
          <w:rFonts w:cs="Times New Roman"/>
        </w:rPr>
        <w:t xml:space="preserve"> applying the EDT protocol. NCSA uses these data to create a census of participating States’ crashes, identify highway safety trends, and evaluate the effectiveness of motor vehicle safety standards and emerging technologies. </w:t>
      </w:r>
      <w:r w:rsidRPr="00994FB7" w:rsidR="004366D1">
        <w:rPr>
          <w:rFonts w:cs="Times New Roman"/>
        </w:rPr>
        <w:t xml:space="preserve">The </w:t>
      </w:r>
      <w:r w:rsidRPr="00994FB7" w:rsidR="000559D3">
        <w:rPr>
          <w:rFonts w:cs="Times New Roman"/>
        </w:rPr>
        <w:t xml:space="preserve">multiple </w:t>
      </w:r>
      <w:r w:rsidRPr="00994FB7">
        <w:rPr>
          <w:rFonts w:cs="Times New Roman"/>
        </w:rPr>
        <w:t>NHTSA</w:t>
      </w:r>
      <w:r w:rsidRPr="00994FB7" w:rsidR="000559D3">
        <w:rPr>
          <w:rFonts w:cs="Times New Roman"/>
        </w:rPr>
        <w:t xml:space="preserve"> programs</w:t>
      </w:r>
      <w:r w:rsidRPr="00994FB7" w:rsidR="004366D1">
        <w:rPr>
          <w:rFonts w:cs="Times New Roman"/>
        </w:rPr>
        <w:t xml:space="preserve"> the SDT supports include</w:t>
      </w:r>
      <w:r w:rsidRPr="00994FB7" w:rsidR="00C51E25">
        <w:rPr>
          <w:rFonts w:cs="Times New Roman"/>
        </w:rPr>
        <w:t xml:space="preserve"> the</w:t>
      </w:r>
      <w:r w:rsidRPr="00994FB7" w:rsidR="005743CD">
        <w:rPr>
          <w:rFonts w:cs="Times New Roman"/>
        </w:rPr>
        <w:t xml:space="preserve"> Fatality Analysis Reporting System (FARS), Crash Report Sampling System (CRSS), Crash Investigation Sampling System (CISS), Special Crash Investigations (SCI), Non-Traffic Surveillance (NTS), Crash Injury Research and Engineering Network (CIREN),</w:t>
      </w:r>
      <w:r w:rsidRPr="00994FB7" w:rsidR="00E407F2">
        <w:rPr>
          <w:rFonts w:cs="Times New Roman"/>
        </w:rPr>
        <w:t xml:space="preserve"> and </w:t>
      </w:r>
      <w:r w:rsidRPr="00994FB7">
        <w:rPr>
          <w:rFonts w:cs="Times New Roman"/>
        </w:rPr>
        <w:t>the Corporate Average Fuel Economy (CAFE) program</w:t>
      </w:r>
      <w:r w:rsidRPr="00994FB7" w:rsidR="00C51E25">
        <w:rPr>
          <w:rFonts w:cs="Times New Roman"/>
        </w:rPr>
        <w:t xml:space="preserve">.  </w:t>
      </w:r>
      <w:r w:rsidRPr="00994FB7" w:rsidR="004F041B">
        <w:rPr>
          <w:rFonts w:cs="Times New Roman"/>
        </w:rPr>
        <w:t>NHTSA also shares crash data with other Department of Transportation (DOT) agencies for motor vehicle and traffic safety analyses.</w:t>
      </w:r>
      <w:r w:rsidRPr="00994FB7" w:rsidR="00F908FF">
        <w:rPr>
          <w:rFonts w:cs="Times New Roman"/>
        </w:rPr>
        <w:t xml:space="preserve"> Under </w:t>
      </w:r>
      <w:r w:rsidRPr="00994FB7" w:rsidR="003C2343">
        <w:rPr>
          <w:rFonts w:cs="Times New Roman"/>
        </w:rPr>
        <w:t>Public</w:t>
      </w:r>
      <w:r w:rsidRPr="00994FB7" w:rsidR="00EA7663">
        <w:rPr>
          <w:rFonts w:cs="Times New Roman"/>
        </w:rPr>
        <w:t xml:space="preserve"> Law 117‑58 </w:t>
      </w:r>
      <w:r w:rsidRPr="00994FB7" w:rsidR="00915698">
        <w:rPr>
          <w:rFonts w:cs="Times New Roman"/>
        </w:rPr>
        <w:t>Section 24108(d)</w:t>
      </w:r>
      <w:r w:rsidRPr="00994FB7" w:rsidR="00DC1376">
        <w:rPr>
          <w:rFonts w:cs="Times New Roman"/>
        </w:rPr>
        <w:t xml:space="preserve">, the </w:t>
      </w:r>
      <w:r w:rsidRPr="00994FB7" w:rsidR="001A1294">
        <w:rPr>
          <w:rFonts w:cs="Times New Roman"/>
        </w:rPr>
        <w:t>data collected through</w:t>
      </w:r>
      <w:r w:rsidRPr="00994FB7" w:rsidR="00DC1376">
        <w:rPr>
          <w:rFonts w:cs="Times New Roman"/>
        </w:rPr>
        <w:t xml:space="preserve"> the SEDC program will be publicly available in the future. </w:t>
      </w:r>
    </w:p>
    <w:p w:rsidR="007B1391" w:rsidRPr="00994FB7" w:rsidP="008359E3" w14:paraId="47DF42F7" w14:textId="0402E057">
      <w:pPr>
        <w:pStyle w:val="CommentText"/>
        <w:ind w:left="720"/>
        <w:rPr>
          <w:rFonts w:ascii="Times New Roman" w:hAnsi="Times New Roman"/>
          <w:sz w:val="24"/>
          <w:szCs w:val="24"/>
        </w:rPr>
      </w:pPr>
      <w:r w:rsidRPr="00994FB7">
        <w:rPr>
          <w:rFonts w:ascii="Times New Roman" w:hAnsi="Times New Roman"/>
          <w:sz w:val="24"/>
          <w:szCs w:val="24"/>
        </w:rPr>
        <w:t xml:space="preserve">This ICR is a modification to the </w:t>
      </w:r>
      <w:r w:rsidRPr="00994FB7" w:rsidR="6704FA22">
        <w:rPr>
          <w:rFonts w:ascii="Times New Roman" w:hAnsi="Times New Roman"/>
          <w:sz w:val="24"/>
          <w:szCs w:val="24"/>
        </w:rPr>
        <w:t>currently</w:t>
      </w:r>
      <w:r w:rsidRPr="00994FB7">
        <w:rPr>
          <w:rFonts w:ascii="Times New Roman" w:hAnsi="Times New Roman"/>
          <w:sz w:val="24"/>
          <w:szCs w:val="24"/>
        </w:rPr>
        <w:t xml:space="preserve"> </w:t>
      </w:r>
      <w:r w:rsidRPr="00994FB7" w:rsidR="00E31625">
        <w:rPr>
          <w:rFonts w:ascii="Times New Roman" w:hAnsi="Times New Roman"/>
          <w:sz w:val="24"/>
          <w:szCs w:val="24"/>
        </w:rPr>
        <w:t>approved</w:t>
      </w:r>
      <w:r w:rsidRPr="00994FB7">
        <w:rPr>
          <w:rFonts w:ascii="Times New Roman" w:hAnsi="Times New Roman"/>
          <w:sz w:val="24"/>
          <w:szCs w:val="24"/>
        </w:rPr>
        <w:t xml:space="preserve"> OMB Control No. 2127-0753</w:t>
      </w:r>
      <w:r w:rsidRPr="00994FB7" w:rsidR="00ED1FD8">
        <w:rPr>
          <w:rFonts w:ascii="Times New Roman" w:hAnsi="Times New Roman"/>
          <w:sz w:val="24"/>
          <w:szCs w:val="24"/>
        </w:rPr>
        <w:t xml:space="preserve"> </w:t>
      </w:r>
      <w:r w:rsidRPr="00994FB7">
        <w:rPr>
          <w:rFonts w:ascii="Times New Roman" w:hAnsi="Times New Roman"/>
          <w:sz w:val="24"/>
          <w:szCs w:val="24"/>
        </w:rPr>
        <w:t>(</w:t>
      </w:r>
      <w:r w:rsidRPr="75505625">
        <w:rPr>
          <w:rFonts w:ascii="Times New Roman" w:hAnsi="Times New Roman"/>
          <w:sz w:val="24"/>
          <w:szCs w:val="24"/>
        </w:rPr>
        <w:t>expiration</w:t>
      </w:r>
      <w:r w:rsidRPr="75505625">
        <w:rPr>
          <w:rFonts w:ascii="Times New Roman" w:hAnsi="Times New Roman"/>
          <w:sz w:val="24"/>
          <w:szCs w:val="24"/>
        </w:rPr>
        <w:t> Date: 12/31/2026).</w:t>
      </w:r>
      <w:r w:rsidRPr="00994FB7" w:rsidR="0064332F">
        <w:rPr>
          <w:rFonts w:ascii="Times New Roman" w:hAnsi="Times New Roman"/>
          <w:sz w:val="24"/>
          <w:szCs w:val="24"/>
        </w:rPr>
        <w:t xml:space="preserve"> The </w:t>
      </w:r>
      <w:r w:rsidRPr="00994FB7" w:rsidR="01524327">
        <w:rPr>
          <w:rFonts w:ascii="Times New Roman" w:hAnsi="Times New Roman"/>
          <w:sz w:val="24"/>
          <w:szCs w:val="24"/>
        </w:rPr>
        <w:t>current</w:t>
      </w:r>
      <w:r w:rsidRPr="00994FB7" w:rsidR="0064332F">
        <w:rPr>
          <w:rFonts w:ascii="Times New Roman" w:hAnsi="Times New Roman"/>
          <w:sz w:val="24"/>
          <w:szCs w:val="24"/>
        </w:rPr>
        <w:t> request for this information collection estimated the annual burden to be 312,663 hours and $</w:t>
      </w:r>
      <w:r w:rsidRPr="00994FB7" w:rsidR="007B78CE">
        <w:rPr>
          <w:rFonts w:ascii="Times New Roman" w:hAnsi="Times New Roman"/>
          <w:sz w:val="24"/>
          <w:szCs w:val="24"/>
        </w:rPr>
        <w:t>5,000</w:t>
      </w:r>
      <w:r w:rsidRPr="00994FB7" w:rsidR="0051547C">
        <w:rPr>
          <w:rFonts w:ascii="Times New Roman" w:hAnsi="Times New Roman"/>
          <w:sz w:val="24"/>
          <w:szCs w:val="24"/>
        </w:rPr>
        <w:t>,000</w:t>
      </w:r>
      <w:r>
        <w:rPr>
          <w:rStyle w:val="FootnoteReference"/>
          <w:rFonts w:ascii="Times New Roman" w:hAnsi="Times New Roman"/>
          <w:sz w:val="24"/>
          <w:szCs w:val="24"/>
        </w:rPr>
        <w:footnoteReference w:id="4"/>
      </w:r>
      <w:r w:rsidRPr="00994FB7" w:rsidR="0064332F">
        <w:rPr>
          <w:rFonts w:ascii="Times New Roman" w:hAnsi="Times New Roman"/>
          <w:sz w:val="24"/>
          <w:szCs w:val="24"/>
        </w:rPr>
        <w:t xml:space="preserve">. </w:t>
      </w:r>
      <w:r w:rsidRPr="00994FB7" w:rsidR="00263C89">
        <w:rPr>
          <w:rFonts w:ascii="Times New Roman" w:hAnsi="Times New Roman"/>
          <w:sz w:val="24"/>
          <w:szCs w:val="24"/>
        </w:rPr>
        <w:t xml:space="preserve">This </w:t>
      </w:r>
      <w:r w:rsidRPr="00994FB7" w:rsidR="00883922">
        <w:rPr>
          <w:rFonts w:ascii="Times New Roman" w:hAnsi="Times New Roman"/>
          <w:sz w:val="24"/>
          <w:szCs w:val="24"/>
        </w:rPr>
        <w:t>request</w:t>
      </w:r>
      <w:r w:rsidRPr="00994FB7" w:rsidR="72CB06ED">
        <w:rPr>
          <w:rFonts w:ascii="Times New Roman" w:hAnsi="Times New Roman"/>
          <w:sz w:val="24"/>
          <w:szCs w:val="24"/>
        </w:rPr>
        <w:t xml:space="preserve"> we are seeking approval</w:t>
      </w:r>
      <w:r w:rsidRPr="00994FB7" w:rsidR="00883922">
        <w:rPr>
          <w:rFonts w:ascii="Times New Roman" w:hAnsi="Times New Roman"/>
          <w:sz w:val="24"/>
          <w:szCs w:val="24"/>
        </w:rPr>
        <w:t xml:space="preserve"> changes the </w:t>
      </w:r>
      <w:r w:rsidRPr="00994FB7" w:rsidR="00A979EA">
        <w:rPr>
          <w:rFonts w:ascii="Times New Roman" w:hAnsi="Times New Roman"/>
          <w:sz w:val="24"/>
          <w:szCs w:val="24"/>
        </w:rPr>
        <w:t xml:space="preserve">labor </w:t>
      </w:r>
      <w:r w:rsidRPr="00994FB7" w:rsidR="00883922">
        <w:rPr>
          <w:rFonts w:ascii="Times New Roman" w:hAnsi="Times New Roman"/>
          <w:sz w:val="24"/>
          <w:szCs w:val="24"/>
        </w:rPr>
        <w:t xml:space="preserve">burden to </w:t>
      </w:r>
      <w:r w:rsidRPr="00994FB7" w:rsidR="007E1925">
        <w:rPr>
          <w:rFonts w:ascii="Times New Roman" w:hAnsi="Times New Roman"/>
          <w:sz w:val="24"/>
          <w:szCs w:val="24"/>
        </w:rPr>
        <w:t>14,</w:t>
      </w:r>
      <w:r w:rsidRPr="00994FB7" w:rsidR="004C74D5">
        <w:rPr>
          <w:rFonts w:ascii="Times New Roman" w:hAnsi="Times New Roman"/>
          <w:sz w:val="24"/>
          <w:szCs w:val="24"/>
        </w:rPr>
        <w:t>38</w:t>
      </w:r>
      <w:r w:rsidRPr="75505625" w:rsidR="004C74D5">
        <w:rPr>
          <w:rFonts w:ascii="Times New Roman" w:hAnsi="Times New Roman"/>
          <w:sz w:val="24"/>
          <w:szCs w:val="24"/>
        </w:rPr>
        <w:t>9</w:t>
      </w:r>
      <w:r w:rsidRPr="75505625" w:rsidR="004C74D5">
        <w:rPr>
          <w:rFonts w:ascii="Times New Roman" w:hAnsi="Times New Roman"/>
          <w:sz w:val="24"/>
          <w:szCs w:val="24"/>
        </w:rPr>
        <w:t xml:space="preserve"> </w:t>
      </w:r>
      <w:r w:rsidRPr="75505625" w:rsidR="00883922">
        <w:rPr>
          <w:rFonts w:ascii="Times New Roman" w:hAnsi="Times New Roman"/>
          <w:sz w:val="24"/>
          <w:szCs w:val="24"/>
        </w:rPr>
        <w:t>hours</w:t>
      </w:r>
      <w:r w:rsidRPr="75505625" w:rsidR="003E19CC">
        <w:rPr>
          <w:rFonts w:ascii="Times New Roman" w:hAnsi="Times New Roman"/>
          <w:sz w:val="24"/>
          <w:szCs w:val="24"/>
        </w:rPr>
        <w:t xml:space="preserve"> </w:t>
      </w:r>
      <w:r w:rsidRPr="75505625" w:rsidR="00616B9C">
        <w:rPr>
          <w:rFonts w:ascii="Times New Roman" w:hAnsi="Times New Roman"/>
          <w:sz w:val="24"/>
          <w:szCs w:val="24"/>
        </w:rPr>
        <w:t xml:space="preserve">and cost burden of </w:t>
      </w:r>
      <w:r w:rsidRPr="75505625" w:rsidR="009F33F8">
        <w:rPr>
          <w:rFonts w:ascii="Times New Roman" w:hAnsi="Times New Roman"/>
          <w:sz w:val="24"/>
          <w:szCs w:val="24"/>
        </w:rPr>
        <w:t xml:space="preserve">$6,262,231.02 (an increase of </w:t>
      </w:r>
      <w:r w:rsidRPr="75505625" w:rsidR="008E1301">
        <w:rPr>
          <w:rFonts w:ascii="Times New Roman" w:hAnsi="Times New Roman"/>
          <w:sz w:val="24"/>
          <w:szCs w:val="24"/>
        </w:rPr>
        <w:t>$1,262,231.02)</w:t>
      </w:r>
      <w:bookmarkStart w:id="4" w:name="_Hlk90640644"/>
      <w:bookmarkEnd w:id="3"/>
      <w:r w:rsidRPr="75505625" w:rsidR="003E2FD1">
        <w:rPr>
          <w:rFonts w:ascii="Times New Roman" w:hAnsi="Times New Roman"/>
          <w:sz w:val="24"/>
          <w:szCs w:val="24"/>
        </w:rPr>
        <w:t xml:space="preserve">. </w:t>
      </w:r>
      <w:r w:rsidRPr="75505625" w:rsidR="00800E34">
        <w:rPr>
          <w:rFonts w:ascii="Times New Roman" w:hAnsi="Times New Roman"/>
          <w:sz w:val="24"/>
          <w:szCs w:val="24"/>
        </w:rPr>
        <w:t xml:space="preserve">This ICR is adjusted due to a) removing the SDS data collection protocol; b) adjusting the burden estimate for SEDC EDT </w:t>
      </w:r>
      <w:r w:rsidRPr="75505625" w:rsidR="00DC2A0B">
        <w:rPr>
          <w:rFonts w:ascii="Times New Roman" w:hAnsi="Times New Roman"/>
          <w:sz w:val="24"/>
          <w:szCs w:val="24"/>
        </w:rPr>
        <w:t>based on the</w:t>
      </w:r>
      <w:r w:rsidRPr="75505625" w:rsidR="00800E34">
        <w:rPr>
          <w:rFonts w:ascii="Times New Roman" w:hAnsi="Times New Roman"/>
          <w:sz w:val="24"/>
          <w:szCs w:val="24"/>
        </w:rPr>
        <w:t xml:space="preserve"> latest information</w:t>
      </w:r>
      <w:r w:rsidRPr="75505625" w:rsidR="00C437AF">
        <w:rPr>
          <w:rFonts w:ascii="Times New Roman" w:hAnsi="Times New Roman"/>
          <w:sz w:val="24"/>
          <w:szCs w:val="24"/>
        </w:rPr>
        <w:t xml:space="preserve"> after the </w:t>
      </w:r>
      <w:r w:rsidRPr="75505625" w:rsidR="0014769C">
        <w:rPr>
          <w:rFonts w:ascii="Times New Roman" w:hAnsi="Times New Roman"/>
          <w:sz w:val="24"/>
          <w:szCs w:val="24"/>
        </w:rPr>
        <w:t xml:space="preserve">awarding of the grants to </w:t>
      </w:r>
      <w:bookmarkEnd w:id="4"/>
      <w:r w:rsidRPr="75505625" w:rsidR="00C714DC">
        <w:rPr>
          <w:rFonts w:ascii="Times New Roman" w:hAnsi="Times New Roman"/>
          <w:sz w:val="24"/>
          <w:szCs w:val="24"/>
        </w:rPr>
        <w:t>18 States</w:t>
      </w:r>
      <w:r w:rsidRPr="75505625" w:rsidR="0014769C">
        <w:rPr>
          <w:rFonts w:ascii="Times New Roman" w:hAnsi="Times New Roman"/>
          <w:sz w:val="24"/>
          <w:szCs w:val="24"/>
        </w:rPr>
        <w:t>.</w:t>
      </w:r>
      <w:r w:rsidRPr="75505625" w:rsidR="006807D7">
        <w:rPr>
          <w:rFonts w:ascii="Times New Roman" w:hAnsi="Times New Roman"/>
          <w:sz w:val="24"/>
          <w:szCs w:val="24"/>
        </w:rPr>
        <w:t xml:space="preserve"> </w:t>
      </w:r>
    </w:p>
    <w:p w:rsidR="0086290E" w:rsidRPr="001504E1" w:rsidP="0086290E" w14:paraId="344EF4DB" w14:textId="77777777">
      <w:pPr>
        <w:pStyle w:val="Default"/>
        <w:rPr>
          <w:color w:val="auto"/>
        </w:rPr>
      </w:pPr>
    </w:p>
    <w:p w:rsidR="000154D7" w:rsidRPr="00994FB7" w:rsidP="005271A9" w14:paraId="54144AFA" w14:textId="77777777">
      <w:pPr>
        <w:pStyle w:val="ListParagraph"/>
        <w:keepNext/>
        <w:numPr>
          <w:ilvl w:val="0"/>
          <w:numId w:val="8"/>
        </w:numPr>
        <w:autoSpaceDE w:val="0"/>
        <w:autoSpaceDN w:val="0"/>
        <w:adjustRightInd w:val="0"/>
        <w:spacing w:after="0" w:line="240" w:lineRule="auto"/>
        <w:outlineLvl w:val="0"/>
        <w:rPr>
          <w:rFonts w:eastAsia="Times New Roman" w:cs="Times New Roman"/>
          <w:b/>
          <w:bCs/>
          <w:szCs w:val="16"/>
          <w:u w:val="single"/>
        </w:rPr>
      </w:pPr>
      <w:r w:rsidRPr="00994FB7">
        <w:rPr>
          <w:rFonts w:eastAsia="Times New Roman" w:cs="Times New Roman"/>
          <w:b/>
          <w:bCs/>
          <w:szCs w:val="16"/>
          <w:u w:val="single"/>
        </w:rPr>
        <w:t>Justification</w:t>
      </w:r>
    </w:p>
    <w:p w:rsidR="000A650D" w:rsidRPr="00994FB7" w:rsidP="00970234" w14:paraId="298D355C" w14:textId="77777777">
      <w:pPr>
        <w:spacing w:after="0"/>
      </w:pPr>
    </w:p>
    <w:p w:rsidR="000154D7" w:rsidRPr="00994FB7" w:rsidP="00D109CC" w14:paraId="2944CA6A" w14:textId="77777777">
      <w:pPr>
        <w:pStyle w:val="Heading2"/>
      </w:pPr>
      <w:bookmarkStart w:id="5" w:name="_Hlk51324508"/>
      <w:r w:rsidRPr="00994FB7">
        <w:rPr>
          <w:rStyle w:val="Heading2Char"/>
          <w:b/>
        </w:rPr>
        <w:t>Explain the circumstances that mak</w:t>
      </w:r>
      <w:r w:rsidRPr="00994FB7" w:rsidR="004668D3">
        <w:rPr>
          <w:rStyle w:val="Heading2Char"/>
          <w:b/>
        </w:rPr>
        <w:t>e the collection of information</w:t>
      </w:r>
      <w:r w:rsidRPr="00994FB7">
        <w:rPr>
          <w:rStyle w:val="Heading2Char"/>
          <w:b/>
        </w:rPr>
        <w:t xml:space="preserve"> necessary. Identify any legal </w:t>
      </w:r>
      <w:r w:rsidRPr="00994FB7">
        <w:t>and administrative requirements that necessitate the collection. Attach a copy of the appropriate section of each statute and regulation mandating or authorizing the collection of information.</w:t>
      </w:r>
    </w:p>
    <w:p w:rsidR="00975B0E" w:rsidRPr="001504E1" w:rsidP="00E2776B" w14:paraId="4F15FCA1" w14:textId="2BBFE0C4">
      <w:pPr>
        <w:autoSpaceDE w:val="0"/>
        <w:autoSpaceDN w:val="0"/>
        <w:adjustRightInd w:val="0"/>
        <w:spacing w:before="120" w:after="120"/>
        <w:ind w:left="720"/>
        <w:rPr>
          <w:rFonts w:cs="Times New Roman"/>
          <w:szCs w:val="24"/>
        </w:rPr>
      </w:pPr>
      <w:bookmarkStart w:id="6" w:name="_Hlk66707783"/>
      <w:bookmarkEnd w:id="5"/>
      <w:r w:rsidRPr="001504E1">
        <w:rPr>
          <w:rFonts w:cs="Times New Roman"/>
          <w:szCs w:val="24"/>
        </w:rPr>
        <w:t>NHTSA is authorized by 49 U.S.C. § 30182</w:t>
      </w:r>
      <w:r w:rsidRPr="001504E1" w:rsidR="009C476B">
        <w:rPr>
          <w:rFonts w:cs="Times New Roman"/>
          <w:szCs w:val="24"/>
        </w:rPr>
        <w:t xml:space="preserve">, </w:t>
      </w:r>
      <w:r w:rsidRPr="001504E1">
        <w:rPr>
          <w:rFonts w:cs="Times New Roman"/>
          <w:szCs w:val="24"/>
        </w:rPr>
        <w:t xml:space="preserve">23 U.S.C. § 403 to collect data on motor vehicle traffic crashes </w:t>
      </w:r>
      <w:r w:rsidRPr="001504E1" w:rsidR="0047644C">
        <w:rPr>
          <w:rFonts w:cs="Times New Roman"/>
          <w:szCs w:val="24"/>
        </w:rPr>
        <w:t>identify</w:t>
      </w:r>
      <w:r w:rsidRPr="001504E1">
        <w:rPr>
          <w:rFonts w:cs="Times New Roman"/>
          <w:szCs w:val="24"/>
        </w:rPr>
        <w:t xml:space="preserve"> issues and develop, implement, and evaluat</w:t>
      </w:r>
      <w:r w:rsidRPr="001504E1" w:rsidR="00B51444">
        <w:rPr>
          <w:rFonts w:cs="Times New Roman"/>
          <w:szCs w:val="24"/>
        </w:rPr>
        <w:t>e</w:t>
      </w:r>
      <w:r w:rsidRPr="001504E1">
        <w:rPr>
          <w:rFonts w:cs="Times New Roman"/>
          <w:szCs w:val="24"/>
        </w:rPr>
        <w:t xml:space="preserve"> motor vehicle and highway safety countermeasures. The information collected serves to identify and develop safety counter</w:t>
      </w:r>
      <w:r w:rsidRPr="001504E1" w:rsidR="00D635CB">
        <w:rPr>
          <w:rFonts w:cs="Times New Roman"/>
          <w:szCs w:val="24"/>
        </w:rPr>
        <w:t xml:space="preserve"> </w:t>
      </w:r>
      <w:r w:rsidRPr="001504E1">
        <w:rPr>
          <w:rFonts w:cs="Times New Roman"/>
          <w:szCs w:val="24"/>
        </w:rPr>
        <w:t>measures that will reduce deaths, injuries, and economic losses resulting from motor vehicle crashes.</w:t>
      </w:r>
    </w:p>
    <w:p w:rsidR="00BC4755" w:rsidRPr="001504E1" w:rsidP="007C3098" w14:paraId="2958C969" w14:textId="7F0F0E27">
      <w:pPr>
        <w:tabs>
          <w:tab w:val="left" w:pos="-720"/>
          <w:tab w:val="left" w:pos="540"/>
        </w:tabs>
        <w:ind w:left="720"/>
        <w:rPr>
          <w:rFonts w:cs="Times New Roman"/>
          <w:szCs w:val="24"/>
        </w:rPr>
      </w:pPr>
      <w:bookmarkStart w:id="7" w:name="_Hlk66707617"/>
      <w:bookmarkEnd w:id="6"/>
      <w:r w:rsidRPr="001504E1">
        <w:rPr>
          <w:rFonts w:cs="Times New Roman"/>
          <w:szCs w:val="24"/>
        </w:rPr>
        <w:t>Furthermore,</w:t>
      </w:r>
      <w:r w:rsidRPr="001504E1" w:rsidR="00550510">
        <w:rPr>
          <w:rFonts w:cs="Times New Roman"/>
          <w:szCs w:val="24"/>
        </w:rPr>
        <w:t xml:space="preserve"> </w:t>
      </w:r>
      <w:r w:rsidRPr="001504E1" w:rsidR="004C6158">
        <w:rPr>
          <w:rFonts w:cs="Times New Roman"/>
          <w:szCs w:val="24"/>
        </w:rPr>
        <w:t xml:space="preserve">enacted on November 15, 2021, </w:t>
      </w:r>
      <w:r w:rsidRPr="001504E1" w:rsidR="00554BAA">
        <w:rPr>
          <w:rFonts w:cs="Times New Roman"/>
          <w:szCs w:val="24"/>
        </w:rPr>
        <w:t>Section 24108(d)</w:t>
      </w:r>
      <w:r w:rsidRPr="001504E1" w:rsidR="00C37A11">
        <w:rPr>
          <w:rFonts w:cs="Times New Roman"/>
          <w:szCs w:val="24"/>
        </w:rPr>
        <w:t xml:space="preserve"> </w:t>
      </w:r>
      <w:r w:rsidRPr="001504E1" w:rsidR="00D07810">
        <w:rPr>
          <w:rFonts w:cs="Times New Roman"/>
          <w:szCs w:val="24"/>
        </w:rPr>
        <w:t xml:space="preserve">of Public Law 117-58 </w:t>
      </w:r>
      <w:r w:rsidRPr="001504E1" w:rsidR="00C37A11">
        <w:rPr>
          <w:rFonts w:cs="Times New Roman"/>
          <w:szCs w:val="24"/>
        </w:rPr>
        <w:t>authorized the Secretary of Transportation to establish</w:t>
      </w:r>
      <w:r w:rsidRPr="001504E1" w:rsidR="00550510">
        <w:rPr>
          <w:rFonts w:cs="Times New Roman"/>
          <w:szCs w:val="24"/>
        </w:rPr>
        <w:t xml:space="preserve"> the SEDC Discretionary Grant Program</w:t>
      </w:r>
      <w:r w:rsidRPr="001504E1" w:rsidR="00D07810">
        <w:rPr>
          <w:rFonts w:cs="Times New Roman"/>
          <w:szCs w:val="24"/>
        </w:rPr>
        <w:t>. This program</w:t>
      </w:r>
      <w:r w:rsidRPr="001504E1" w:rsidR="00550510">
        <w:rPr>
          <w:rFonts w:cs="Times New Roman"/>
          <w:szCs w:val="24"/>
        </w:rPr>
        <w:t xml:space="preserve"> </w:t>
      </w:r>
      <w:r w:rsidRPr="001504E1" w:rsidR="00074D69">
        <w:rPr>
          <w:rFonts w:cs="Times New Roman"/>
          <w:szCs w:val="24"/>
        </w:rPr>
        <w:t>provide</w:t>
      </w:r>
      <w:r w:rsidRPr="001504E1" w:rsidR="002B4363">
        <w:rPr>
          <w:rFonts w:cs="Times New Roman"/>
          <w:szCs w:val="24"/>
        </w:rPr>
        <w:t>s</w:t>
      </w:r>
      <w:r w:rsidRPr="001504E1" w:rsidR="00074D69">
        <w:rPr>
          <w:rFonts w:cs="Times New Roman"/>
          <w:szCs w:val="24"/>
        </w:rPr>
        <w:t xml:space="preserve"> funding to</w:t>
      </w:r>
      <w:r w:rsidRPr="001504E1" w:rsidR="00550510">
        <w:rPr>
          <w:rFonts w:cs="Times New Roman"/>
          <w:szCs w:val="24"/>
        </w:rPr>
        <w:t xml:space="preserve"> States </w:t>
      </w:r>
      <w:r w:rsidRPr="001504E1" w:rsidR="00200F19">
        <w:rPr>
          <w:rFonts w:cs="Times New Roman"/>
          <w:szCs w:val="24"/>
        </w:rPr>
        <w:t>to</w:t>
      </w:r>
      <w:r w:rsidRPr="001504E1" w:rsidR="00550510">
        <w:rPr>
          <w:rFonts w:cs="Times New Roman"/>
          <w:szCs w:val="24"/>
        </w:rPr>
        <w:t xml:space="preserve"> upgrade and standardize their crash data systems for electronic data collection and transfer to NHTSA.</w:t>
      </w:r>
    </w:p>
    <w:p w:rsidR="00D23024" w:rsidRPr="001504E1" w:rsidP="00D23024" w14:paraId="19618234" w14:textId="267D9A63">
      <w:pPr>
        <w:tabs>
          <w:tab w:val="left" w:pos="-720"/>
          <w:tab w:val="left" w:pos="540"/>
        </w:tabs>
        <w:ind w:left="720"/>
        <w:rPr>
          <w:rFonts w:cs="Times New Roman"/>
          <w:szCs w:val="24"/>
        </w:rPr>
      </w:pPr>
      <w:bookmarkStart w:id="8" w:name="_Hlk66708455"/>
      <w:bookmarkEnd w:id="7"/>
      <w:r w:rsidRPr="001504E1">
        <w:rPr>
          <w:rFonts w:cs="Times New Roman"/>
          <w:szCs w:val="24"/>
        </w:rPr>
        <w:t xml:space="preserve">The SDT data are used to generate a census of police reported crashes occurring within the participating States.  The State agencies already collect the information on PCRs for their own needs.  The data </w:t>
      </w:r>
      <w:r w:rsidRPr="001504E1" w:rsidR="005B4843">
        <w:rPr>
          <w:rFonts w:cs="Times New Roman"/>
          <w:szCs w:val="24"/>
        </w:rPr>
        <w:t>is</w:t>
      </w:r>
      <w:r w:rsidRPr="001504E1">
        <w:rPr>
          <w:rFonts w:cs="Times New Roman"/>
          <w:szCs w:val="24"/>
        </w:rPr>
        <w:t xml:space="preserve"> collected in various formats and timelines according to each State’s collection programs and systems.  SDT</w:t>
      </w:r>
      <w:r w:rsidRPr="001504E1">
        <w:rPr>
          <w:rFonts w:cs="Times New Roman"/>
          <w:szCs w:val="24"/>
        </w:rPr>
        <w:t xml:space="preserve"> </w:t>
      </w:r>
      <w:r w:rsidRPr="001504E1">
        <w:rPr>
          <w:rFonts w:cs="Times New Roman"/>
          <w:szCs w:val="24"/>
        </w:rPr>
        <w:t xml:space="preserve">enables NHTSA to develop a census of </w:t>
      </w:r>
      <w:r w:rsidRPr="001504E1" w:rsidR="008359E3">
        <w:rPr>
          <w:rFonts w:cs="Times New Roman"/>
          <w:szCs w:val="24"/>
        </w:rPr>
        <w:t>participating</w:t>
      </w:r>
      <w:r w:rsidRPr="001504E1" w:rsidR="008359E3">
        <w:rPr>
          <w:rFonts w:cs="Times New Roman"/>
          <w:szCs w:val="24"/>
        </w:rPr>
        <w:t xml:space="preserve"> </w:t>
      </w:r>
      <w:r w:rsidRPr="001504E1">
        <w:rPr>
          <w:rFonts w:cs="Times New Roman"/>
          <w:szCs w:val="24"/>
        </w:rPr>
        <w:t>States’ injury and property-damage-only crashes not available through any other NHTSA data collection program.</w:t>
      </w:r>
    </w:p>
    <w:p w:rsidR="00832266" w:rsidRPr="00994FB7" w:rsidP="00832266" w14:paraId="4C3AF2F4" w14:textId="16C8B89B">
      <w:pPr>
        <w:tabs>
          <w:tab w:val="left" w:pos="-720"/>
          <w:tab w:val="left" w:pos="540"/>
        </w:tabs>
        <w:ind w:left="720"/>
      </w:pPr>
      <w:r w:rsidRPr="00994FB7">
        <w:t xml:space="preserve">NHTSA </w:t>
      </w:r>
      <w:r w:rsidRPr="00994FB7" w:rsidR="0051377F">
        <w:t xml:space="preserve">also </w:t>
      </w:r>
      <w:r w:rsidRPr="00994FB7" w:rsidR="003212E5">
        <w:t>collects</w:t>
      </w:r>
      <w:r w:rsidRPr="00994FB7" w:rsidR="0051377F">
        <w:t xml:space="preserve"> th</w:t>
      </w:r>
      <w:r w:rsidRPr="00994FB7" w:rsidR="00C0346F">
        <w:t>e</w:t>
      </w:r>
      <w:r w:rsidRPr="00994FB7" w:rsidR="003212E5">
        <w:t xml:space="preserve"> </w:t>
      </w:r>
      <w:r w:rsidRPr="00994FB7" w:rsidR="006F1A2C">
        <w:t>PCR</w:t>
      </w:r>
      <w:r w:rsidRPr="00994FB7" w:rsidR="00BB7815">
        <w:t xml:space="preserve"> </w:t>
      </w:r>
      <w:r w:rsidRPr="00994FB7" w:rsidR="003212E5">
        <w:t>information</w:t>
      </w:r>
      <w:r w:rsidRPr="00994FB7" w:rsidR="008F3120">
        <w:t xml:space="preserve"> </w:t>
      </w:r>
      <w:r w:rsidRPr="00994FB7" w:rsidR="007D5B20">
        <w:t>via</w:t>
      </w:r>
      <w:r w:rsidRPr="00994FB7" w:rsidR="003212E5">
        <w:t xml:space="preserve"> SDT </w:t>
      </w:r>
      <w:r w:rsidRPr="00994FB7" w:rsidR="008F3120">
        <w:t xml:space="preserve">for </w:t>
      </w:r>
      <w:r w:rsidRPr="00994FB7" w:rsidR="0051377F">
        <w:t xml:space="preserve">additional </w:t>
      </w:r>
      <w:r w:rsidRPr="00994FB7" w:rsidR="008F3120">
        <w:t>use</w:t>
      </w:r>
      <w:r w:rsidRPr="00994FB7" w:rsidR="0051377F">
        <w:t>s</w:t>
      </w:r>
      <w:r w:rsidRPr="00994FB7" w:rsidR="008F3120">
        <w:t xml:space="preserve"> in </w:t>
      </w:r>
      <w:r w:rsidRPr="00994FB7" w:rsidR="003212E5">
        <w:t xml:space="preserve">several </w:t>
      </w:r>
      <w:r w:rsidRPr="00994FB7" w:rsidR="0051377F">
        <w:t xml:space="preserve">existing </w:t>
      </w:r>
      <w:r w:rsidRPr="00994FB7" w:rsidR="003212E5">
        <w:t>data collection programs</w:t>
      </w:r>
      <w:r w:rsidRPr="00994FB7" w:rsidR="008F3120">
        <w:t xml:space="preserve"> and special studies</w:t>
      </w:r>
      <w:r w:rsidRPr="00994FB7" w:rsidR="003212E5">
        <w:t xml:space="preserve">. </w:t>
      </w:r>
      <w:r w:rsidRPr="00994FB7" w:rsidR="007D5B20">
        <w:t xml:space="preserve"> </w:t>
      </w:r>
      <w:r w:rsidRPr="00994FB7">
        <w:t>The following are brief descriptions of these data collection programs:</w:t>
      </w:r>
    </w:p>
    <w:p w:rsidR="00CA5BAA" w:rsidRPr="00994FB7" w:rsidP="008359E3" w14:paraId="205AD7CF" w14:textId="4A2E0966">
      <w:pPr>
        <w:pStyle w:val="ListParagraph"/>
        <w:numPr>
          <w:ilvl w:val="0"/>
          <w:numId w:val="31"/>
        </w:numPr>
        <w:tabs>
          <w:tab w:val="left" w:pos="-720"/>
          <w:tab w:val="left" w:pos="540"/>
        </w:tabs>
        <w:spacing w:after="240"/>
        <w:contextualSpacing w:val="0"/>
        <w:rPr>
          <w:rFonts w:cs="Times New Roman"/>
          <w:szCs w:val="24"/>
        </w:rPr>
      </w:pPr>
      <w:r w:rsidRPr="00994FB7">
        <w:rPr>
          <w:rFonts w:cs="Times New Roman"/>
          <w:szCs w:val="24"/>
        </w:rPr>
        <w:t xml:space="preserve">The </w:t>
      </w:r>
      <w:r w:rsidRPr="00994FB7" w:rsidR="00F36A9A">
        <w:rPr>
          <w:rFonts w:cs="Times New Roman"/>
          <w:szCs w:val="24"/>
        </w:rPr>
        <w:t xml:space="preserve">SEDC </w:t>
      </w:r>
      <w:r w:rsidRPr="00994FB7" w:rsidR="000F7E10">
        <w:rPr>
          <w:rFonts w:cs="Times New Roman"/>
          <w:szCs w:val="24"/>
        </w:rPr>
        <w:t xml:space="preserve">Discretionary Grant Program </w:t>
      </w:r>
      <w:r w:rsidRPr="00994FB7" w:rsidR="00A93C03">
        <w:rPr>
          <w:rFonts w:cs="Times New Roman"/>
          <w:szCs w:val="24"/>
        </w:rPr>
        <w:t>(OMB Control No.</w:t>
      </w:r>
      <w:r w:rsidRPr="00994FB7" w:rsidR="0011042D">
        <w:rPr>
          <w:rFonts w:cs="Times New Roman"/>
          <w:szCs w:val="24"/>
        </w:rPr>
        <w:t xml:space="preserve"> 2127-0753</w:t>
      </w:r>
      <w:r w:rsidRPr="00994FB7" w:rsidR="00A93C03">
        <w:rPr>
          <w:rFonts w:cs="Times New Roman"/>
          <w:szCs w:val="24"/>
        </w:rPr>
        <w:t xml:space="preserve">) </w:t>
      </w:r>
      <w:r w:rsidRPr="00994FB7">
        <w:rPr>
          <w:rFonts w:cs="Times New Roman"/>
          <w:szCs w:val="24"/>
        </w:rPr>
        <w:t xml:space="preserve">was </w:t>
      </w:r>
      <w:r w:rsidRPr="00994FB7" w:rsidR="00265168">
        <w:rPr>
          <w:rFonts w:cs="Times New Roman"/>
          <w:szCs w:val="24"/>
        </w:rPr>
        <w:t>mandated</w:t>
      </w:r>
      <w:r w:rsidRPr="00994FB7">
        <w:rPr>
          <w:rFonts w:cs="Times New Roman"/>
          <w:szCs w:val="24"/>
        </w:rPr>
        <w:t xml:space="preserve"> by the </w:t>
      </w:r>
      <w:r w:rsidRPr="00994FB7" w:rsidR="007A1405">
        <w:rPr>
          <w:rFonts w:cs="Times New Roman"/>
          <w:szCs w:val="24"/>
        </w:rPr>
        <w:t>Infrastructure Investment and Jobs Act (IIJA) P.L. 117-58, section 24108(d)</w:t>
      </w:r>
      <w:r w:rsidRPr="00994FB7" w:rsidR="0045551B">
        <w:rPr>
          <w:rFonts w:cs="Times New Roman"/>
          <w:szCs w:val="24"/>
        </w:rPr>
        <w:t xml:space="preserve"> </w:t>
      </w:r>
      <w:r w:rsidRPr="00994FB7" w:rsidR="00265168">
        <w:rPr>
          <w:rFonts w:cs="Times New Roman"/>
          <w:szCs w:val="24"/>
        </w:rPr>
        <w:t xml:space="preserve">to </w:t>
      </w:r>
      <w:r w:rsidRPr="00994FB7">
        <w:rPr>
          <w:rFonts w:cs="Times New Roman"/>
          <w:szCs w:val="24"/>
        </w:rPr>
        <w:t xml:space="preserve">establish a new </w:t>
      </w:r>
      <w:r w:rsidRPr="00994FB7" w:rsidR="006F148A">
        <w:rPr>
          <w:rFonts w:cs="Times New Roman"/>
          <w:szCs w:val="24"/>
        </w:rPr>
        <w:t>grant program, titled</w:t>
      </w:r>
      <w:r w:rsidRPr="00994FB7">
        <w:rPr>
          <w:rFonts w:cs="Times New Roman"/>
          <w:szCs w:val="24"/>
        </w:rPr>
        <w:t xml:space="preserve"> the State </w:t>
      </w:r>
      <w:r w:rsidRPr="00994FB7" w:rsidR="006F148A">
        <w:rPr>
          <w:rFonts w:cs="Times New Roman"/>
          <w:szCs w:val="24"/>
        </w:rPr>
        <w:t>Electronic Data Collection Program</w:t>
      </w:r>
      <w:r w:rsidRPr="00994FB7">
        <w:rPr>
          <w:rFonts w:cs="Times New Roman"/>
          <w:szCs w:val="24"/>
        </w:rPr>
        <w:t>.  Specifically, section 24108(d)(2) mandated NHTSA to provide grants to States to upgrade and standardize their State crash data systems to enable electronic data collection, intrastate data sharing, and electronic data transfers to NHTSA to increase the accuracy, timeliness, and accessibility of the data including data relating to fatalities involving vulnerable road users. The grants support an</w:t>
      </w:r>
      <w:r w:rsidRPr="00994FB7" w:rsidR="00720B1A">
        <w:rPr>
          <w:rFonts w:cs="Times New Roman"/>
          <w:szCs w:val="24"/>
        </w:rPr>
        <w:t xml:space="preserve"> </w:t>
      </w:r>
      <w:r w:rsidRPr="00994FB7">
        <w:rPr>
          <w:rFonts w:cs="Times New Roman"/>
          <w:szCs w:val="24"/>
        </w:rPr>
        <w:t>increased capacity of the NHTSA data</w:t>
      </w:r>
      <w:r w:rsidRPr="00994FB7" w:rsidR="00720B1A">
        <w:rPr>
          <w:rFonts w:cs="Times New Roman"/>
          <w:szCs w:val="24"/>
        </w:rPr>
        <w:t xml:space="preserve"> </w:t>
      </w:r>
      <w:r w:rsidRPr="00994FB7">
        <w:rPr>
          <w:rFonts w:cs="Times New Roman"/>
          <w:szCs w:val="24"/>
        </w:rPr>
        <w:t>systems, including the Fatality Analysis</w:t>
      </w:r>
      <w:r w:rsidRPr="00994FB7" w:rsidR="00720B1A">
        <w:rPr>
          <w:rFonts w:cs="Times New Roman"/>
          <w:szCs w:val="24"/>
        </w:rPr>
        <w:t xml:space="preserve"> </w:t>
      </w:r>
      <w:r w:rsidRPr="00994FB7">
        <w:rPr>
          <w:rFonts w:cs="Times New Roman"/>
          <w:szCs w:val="24"/>
        </w:rPr>
        <w:t>Reporting System (FARS), the Crash</w:t>
      </w:r>
      <w:r w:rsidRPr="00994FB7" w:rsidR="00720B1A">
        <w:rPr>
          <w:rFonts w:cs="Times New Roman"/>
          <w:szCs w:val="24"/>
        </w:rPr>
        <w:t xml:space="preserve"> </w:t>
      </w:r>
      <w:r w:rsidRPr="00994FB7">
        <w:rPr>
          <w:rFonts w:cs="Times New Roman"/>
          <w:szCs w:val="24"/>
        </w:rPr>
        <w:t>Reporting Sampling System (CRSS), and</w:t>
      </w:r>
      <w:r w:rsidRPr="00994FB7" w:rsidR="00720B1A">
        <w:rPr>
          <w:rFonts w:cs="Times New Roman"/>
          <w:szCs w:val="24"/>
        </w:rPr>
        <w:t xml:space="preserve"> </w:t>
      </w:r>
      <w:r w:rsidRPr="00994FB7">
        <w:rPr>
          <w:rFonts w:cs="Times New Roman"/>
          <w:szCs w:val="24"/>
        </w:rPr>
        <w:t xml:space="preserve">the Crash Investigation </w:t>
      </w:r>
      <w:r w:rsidRPr="00994FB7" w:rsidR="008439D7">
        <w:rPr>
          <w:rFonts w:cs="Times New Roman"/>
          <w:szCs w:val="24"/>
        </w:rPr>
        <w:t>Studies (</w:t>
      </w:r>
      <w:r w:rsidRPr="00994FB7" w:rsidR="00C61E1F">
        <w:rPr>
          <w:rFonts w:cs="Times New Roman"/>
          <w:szCs w:val="24"/>
        </w:rPr>
        <w:t xml:space="preserve">e.g., </w:t>
      </w:r>
      <w:r w:rsidRPr="00994FB7">
        <w:rPr>
          <w:rFonts w:cs="Times New Roman"/>
          <w:szCs w:val="24"/>
        </w:rPr>
        <w:t>Sampling</w:t>
      </w:r>
      <w:r w:rsidRPr="00994FB7" w:rsidR="00720B1A">
        <w:rPr>
          <w:rFonts w:cs="Times New Roman"/>
          <w:szCs w:val="24"/>
        </w:rPr>
        <w:t xml:space="preserve"> </w:t>
      </w:r>
      <w:r w:rsidRPr="00994FB7">
        <w:rPr>
          <w:rFonts w:cs="Times New Roman"/>
          <w:szCs w:val="24"/>
        </w:rPr>
        <w:t xml:space="preserve">System (CISS), </w:t>
      </w:r>
      <w:r w:rsidRPr="00994FB7" w:rsidR="00C61E1F">
        <w:rPr>
          <w:rFonts w:cs="Times New Roman"/>
          <w:szCs w:val="24"/>
        </w:rPr>
        <w:t>Special Crash Investigations (</w:t>
      </w:r>
      <w:r w:rsidRPr="00994FB7" w:rsidR="008439D7">
        <w:rPr>
          <w:rFonts w:cs="Times New Roman"/>
          <w:szCs w:val="24"/>
        </w:rPr>
        <w:t>SCI</w:t>
      </w:r>
      <w:r w:rsidRPr="00994FB7" w:rsidR="00C61E1F">
        <w:rPr>
          <w:rFonts w:cs="Times New Roman"/>
          <w:szCs w:val="24"/>
        </w:rPr>
        <w:t>))</w:t>
      </w:r>
      <w:r w:rsidRPr="00994FB7" w:rsidR="008439D7">
        <w:rPr>
          <w:rFonts w:cs="Times New Roman"/>
          <w:szCs w:val="24"/>
        </w:rPr>
        <w:t xml:space="preserve"> </w:t>
      </w:r>
      <w:r w:rsidRPr="00994FB7" w:rsidR="003D6AF0">
        <w:rPr>
          <w:rFonts w:cs="Times New Roman"/>
          <w:szCs w:val="24"/>
        </w:rPr>
        <w:t xml:space="preserve">among others, </w:t>
      </w:r>
      <w:r w:rsidRPr="00994FB7">
        <w:rPr>
          <w:rFonts w:cs="Times New Roman"/>
          <w:szCs w:val="24"/>
        </w:rPr>
        <w:t>and make State crash</w:t>
      </w:r>
      <w:r w:rsidRPr="00994FB7" w:rsidR="00720B1A">
        <w:rPr>
          <w:rFonts w:cs="Times New Roman"/>
          <w:szCs w:val="24"/>
        </w:rPr>
        <w:t xml:space="preserve"> </w:t>
      </w:r>
      <w:r w:rsidRPr="00994FB7">
        <w:rPr>
          <w:rFonts w:cs="Times New Roman"/>
          <w:szCs w:val="24"/>
        </w:rPr>
        <w:t>data accessible to the public</w:t>
      </w:r>
      <w:r w:rsidRPr="00994FB7" w:rsidR="00720B1A">
        <w:rPr>
          <w:rFonts w:cs="Times New Roman"/>
          <w:szCs w:val="24"/>
        </w:rPr>
        <w:t>.</w:t>
      </w:r>
    </w:p>
    <w:p w:rsidR="00832266" w:rsidRPr="00994FB7" w:rsidP="008359E3" w14:paraId="0C876019" w14:textId="29888E2A">
      <w:pPr>
        <w:pStyle w:val="ListParagraph"/>
        <w:numPr>
          <w:ilvl w:val="0"/>
          <w:numId w:val="31"/>
        </w:numPr>
        <w:tabs>
          <w:tab w:val="left" w:pos="-720"/>
          <w:tab w:val="left" w:pos="540"/>
        </w:tabs>
        <w:spacing w:after="240"/>
        <w:contextualSpacing w:val="0"/>
        <w:rPr>
          <w:rFonts w:cs="Times New Roman"/>
          <w:szCs w:val="24"/>
        </w:rPr>
      </w:pPr>
      <w:r w:rsidRPr="00994FB7">
        <w:rPr>
          <w:rFonts w:cs="Times New Roman"/>
          <w:szCs w:val="24"/>
        </w:rPr>
        <w:t>FARS (O</w:t>
      </w:r>
      <w:r w:rsidRPr="00994FB7" w:rsidR="0051377F">
        <w:rPr>
          <w:rFonts w:cs="Times New Roman"/>
          <w:szCs w:val="24"/>
        </w:rPr>
        <w:t>MB</w:t>
      </w:r>
      <w:r w:rsidRPr="00994FB7">
        <w:rPr>
          <w:rFonts w:cs="Times New Roman"/>
          <w:szCs w:val="24"/>
        </w:rPr>
        <w:t xml:space="preserve"> Control No. 2127-0006) is a nationwide census of fatalities caused by motor vehicle traffic crashes.  In addition to </w:t>
      </w:r>
      <w:r w:rsidRPr="00994FB7" w:rsidR="006F1A2C">
        <w:rPr>
          <w:rFonts w:cs="Times New Roman"/>
          <w:szCs w:val="24"/>
        </w:rPr>
        <w:t>PCR</w:t>
      </w:r>
      <w:r w:rsidRPr="00994FB7">
        <w:rPr>
          <w:rFonts w:cs="Times New Roman"/>
          <w:szCs w:val="24"/>
        </w:rPr>
        <w:t xml:space="preserve"> data</w:t>
      </w:r>
      <w:r w:rsidRPr="00994FB7" w:rsidR="00A23A41">
        <w:rPr>
          <w:rFonts w:cs="Times New Roman"/>
          <w:szCs w:val="24"/>
        </w:rPr>
        <w:t>, FARS</w:t>
      </w:r>
      <w:r w:rsidRPr="00994FB7">
        <w:rPr>
          <w:rFonts w:cs="Times New Roman"/>
          <w:szCs w:val="24"/>
        </w:rPr>
        <w:t xml:space="preserve"> includ</w:t>
      </w:r>
      <w:r w:rsidRPr="00994FB7" w:rsidR="00A23A41">
        <w:rPr>
          <w:rFonts w:cs="Times New Roman"/>
          <w:szCs w:val="24"/>
        </w:rPr>
        <w:t>es</w:t>
      </w:r>
      <w:r w:rsidRPr="00994FB7">
        <w:rPr>
          <w:rFonts w:cs="Times New Roman"/>
          <w:szCs w:val="24"/>
        </w:rPr>
        <w:t xml:space="preserve"> detailed information regarding the location of the crash, the vehicles, and the people involved</w:t>
      </w:r>
      <w:r w:rsidRPr="00994FB7" w:rsidR="00A23A41">
        <w:rPr>
          <w:rFonts w:cs="Times New Roman"/>
          <w:szCs w:val="24"/>
        </w:rPr>
        <w:t>.</w:t>
      </w:r>
      <w:r w:rsidRPr="00994FB7">
        <w:rPr>
          <w:rFonts w:cs="Times New Roman"/>
          <w:szCs w:val="24"/>
        </w:rPr>
        <w:t xml:space="preserve"> </w:t>
      </w:r>
      <w:r w:rsidRPr="00994FB7" w:rsidR="00A23A41">
        <w:rPr>
          <w:rFonts w:cs="Times New Roman"/>
          <w:szCs w:val="24"/>
        </w:rPr>
        <w:t xml:space="preserve"> </w:t>
      </w:r>
      <w:r w:rsidRPr="00994FB7">
        <w:rPr>
          <w:rFonts w:cs="Times New Roman"/>
          <w:szCs w:val="24"/>
        </w:rPr>
        <w:t xml:space="preserve">FARS cases can </w:t>
      </w:r>
      <w:r w:rsidRPr="00994FB7" w:rsidR="00A23A41">
        <w:rPr>
          <w:rFonts w:cs="Times New Roman"/>
          <w:szCs w:val="24"/>
        </w:rPr>
        <w:t xml:space="preserve">also </w:t>
      </w:r>
      <w:r w:rsidRPr="00994FB7">
        <w:rPr>
          <w:rFonts w:cs="Times New Roman"/>
          <w:szCs w:val="24"/>
        </w:rPr>
        <w:t>include toxicology report data, medical records, medical examiner reports, etc.</w:t>
      </w:r>
      <w:r>
        <w:rPr>
          <w:rStyle w:val="FootnoteReference"/>
          <w:rFonts w:cs="Times New Roman"/>
          <w:szCs w:val="24"/>
        </w:rPr>
        <w:footnoteReference w:id="5"/>
      </w:r>
    </w:p>
    <w:p w:rsidR="00832266" w:rsidRPr="00994FB7" w:rsidP="008359E3" w14:paraId="407E504F" w14:textId="76C2B22D">
      <w:pPr>
        <w:pStyle w:val="ListParagraph"/>
        <w:numPr>
          <w:ilvl w:val="0"/>
          <w:numId w:val="31"/>
        </w:numPr>
        <w:tabs>
          <w:tab w:val="left" w:pos="-720"/>
          <w:tab w:val="left" w:pos="540"/>
        </w:tabs>
        <w:spacing w:after="240"/>
        <w:contextualSpacing w:val="0"/>
        <w:rPr>
          <w:rFonts w:cs="Times New Roman"/>
          <w:szCs w:val="24"/>
        </w:rPr>
      </w:pPr>
      <w:r w:rsidRPr="00994FB7">
        <w:rPr>
          <w:rFonts w:cs="Times New Roman"/>
          <w:szCs w:val="24"/>
        </w:rPr>
        <w:t xml:space="preserve">CRSS (OMB Control No. 2127-0714) is a nationally representative sample of police-reported crashes involving all types of motor vehicles, pedestrians, and cyclists, ranging from property-damage-only crashes to those that result in fatalities.  CRSS data elements are a subset of the data elements on each State’s </w:t>
      </w:r>
      <w:r w:rsidRPr="00994FB7" w:rsidR="006F1A2C">
        <w:rPr>
          <w:rFonts w:cs="Times New Roman"/>
          <w:szCs w:val="24"/>
        </w:rPr>
        <w:t>PCR</w:t>
      </w:r>
      <w:r w:rsidRPr="00994FB7">
        <w:rPr>
          <w:rFonts w:cs="Times New Roman"/>
          <w:szCs w:val="24"/>
        </w:rPr>
        <w:t>.</w:t>
      </w:r>
      <w:r>
        <w:rPr>
          <w:rStyle w:val="FootnoteReference"/>
          <w:rFonts w:cs="Times New Roman"/>
          <w:szCs w:val="24"/>
        </w:rPr>
        <w:footnoteReference w:id="6"/>
      </w:r>
      <w:r w:rsidRPr="00994FB7">
        <w:rPr>
          <w:rFonts w:cs="Times New Roman"/>
          <w:szCs w:val="24"/>
          <w:vertAlign w:val="superscript"/>
        </w:rPr>
        <w:t xml:space="preserve"> </w:t>
      </w:r>
    </w:p>
    <w:p w:rsidR="00832266" w:rsidRPr="00994FB7" w:rsidP="008359E3" w14:paraId="48DBCD80" w14:textId="263A6F25">
      <w:pPr>
        <w:pStyle w:val="ListParagraph"/>
        <w:numPr>
          <w:ilvl w:val="0"/>
          <w:numId w:val="31"/>
        </w:numPr>
        <w:tabs>
          <w:tab w:val="left" w:pos="-720"/>
          <w:tab w:val="left" w:pos="540"/>
        </w:tabs>
        <w:rPr>
          <w:rFonts w:cs="Times New Roman"/>
          <w:szCs w:val="24"/>
        </w:rPr>
      </w:pPr>
      <w:r w:rsidRPr="00994FB7">
        <w:rPr>
          <w:rFonts w:cs="Times New Roman"/>
          <w:szCs w:val="24"/>
        </w:rPr>
        <w:t>Investigation-based Crash Data Studies</w:t>
      </w:r>
      <w:r w:rsidRPr="00994FB7">
        <w:rPr>
          <w:rFonts w:cs="Times New Roman"/>
          <w:szCs w:val="24"/>
        </w:rPr>
        <w:t xml:space="preserve"> (OMB Control Number 2127-0706)</w:t>
      </w:r>
      <w:r w:rsidRPr="00994FB7" w:rsidR="00055626">
        <w:rPr>
          <w:rFonts w:cs="Times New Roman"/>
          <w:szCs w:val="24"/>
        </w:rPr>
        <w:t xml:space="preserve"> </w:t>
      </w:r>
      <w:r w:rsidRPr="00994FB7" w:rsidR="000E0333">
        <w:rPr>
          <w:rFonts w:cs="Times New Roman"/>
          <w:szCs w:val="24"/>
        </w:rPr>
        <w:t>includes C</w:t>
      </w:r>
      <w:r w:rsidRPr="00994FB7" w:rsidR="0096409B">
        <w:rPr>
          <w:rFonts w:cs="Times New Roman"/>
          <w:szCs w:val="24"/>
        </w:rPr>
        <w:t>ISS</w:t>
      </w:r>
      <w:r w:rsidRPr="00994FB7" w:rsidR="000E0333">
        <w:rPr>
          <w:rFonts w:cs="Times New Roman"/>
          <w:szCs w:val="24"/>
        </w:rPr>
        <w:t xml:space="preserve">, </w:t>
      </w:r>
      <w:r w:rsidRPr="00994FB7" w:rsidR="003D2D20">
        <w:rPr>
          <w:rFonts w:cs="Times New Roman"/>
          <w:szCs w:val="24"/>
        </w:rPr>
        <w:t>SCI and Special Studies.  CISS</w:t>
      </w:r>
      <w:r w:rsidRPr="00994FB7">
        <w:rPr>
          <w:rFonts w:cs="Times New Roman"/>
          <w:szCs w:val="24"/>
        </w:rPr>
        <w:t xml:space="preserve"> is a nationally representative sample of minor, serious, and fatal crashes involving at least one passenger vehicle—cars, light trucks, sport utility vehicles, and vans—towed from the scene.  CISS collects data at both the crash level through scene analysis and </w:t>
      </w:r>
      <w:r w:rsidRPr="00994FB7" w:rsidR="00A23A41">
        <w:rPr>
          <w:rFonts w:cs="Times New Roman"/>
          <w:szCs w:val="24"/>
        </w:rPr>
        <w:t xml:space="preserve">the </w:t>
      </w:r>
      <w:r w:rsidRPr="00994FB7">
        <w:rPr>
          <w:rFonts w:cs="Times New Roman"/>
          <w:szCs w:val="24"/>
        </w:rPr>
        <w:t xml:space="preserve">vehicle level through vehicle damage assessment together with injury coding.  Data collected through CISS expands upon the information that is collected in a </w:t>
      </w:r>
      <w:r w:rsidRPr="00994FB7" w:rsidR="006F1A2C">
        <w:rPr>
          <w:rFonts w:cs="Times New Roman"/>
          <w:szCs w:val="24"/>
        </w:rPr>
        <w:t>PCR</w:t>
      </w:r>
      <w:r w:rsidRPr="00994FB7">
        <w:rPr>
          <w:rFonts w:cs="Times New Roman"/>
          <w:szCs w:val="24"/>
        </w:rPr>
        <w:t>.</w:t>
      </w:r>
      <w:r>
        <w:rPr>
          <w:rStyle w:val="FootnoteReference"/>
          <w:rFonts w:cs="Times New Roman"/>
          <w:szCs w:val="24"/>
        </w:rPr>
        <w:footnoteReference w:id="7"/>
      </w:r>
    </w:p>
    <w:p w:rsidR="005D21B8" w:rsidRPr="00994FB7" w:rsidP="008359E3" w14:paraId="3367896F" w14:textId="3C5A0EAC">
      <w:pPr>
        <w:tabs>
          <w:tab w:val="left" w:pos="-720"/>
          <w:tab w:val="left" w:pos="540"/>
        </w:tabs>
        <w:ind w:left="1080"/>
        <w:rPr>
          <w:rFonts w:cs="Times New Roman"/>
          <w:szCs w:val="24"/>
        </w:rPr>
      </w:pPr>
      <w:r w:rsidRPr="00994FB7">
        <w:rPr>
          <w:rFonts w:cs="Times New Roman"/>
        </w:rPr>
        <w:t xml:space="preserve">The </w:t>
      </w:r>
      <w:r w:rsidRPr="00994FB7">
        <w:rPr>
          <w:rFonts w:cs="Times New Roman"/>
        </w:rPr>
        <w:t>SCI</w:t>
      </w:r>
      <w:r w:rsidRPr="00994FB7" w:rsidR="00204058">
        <w:rPr>
          <w:rFonts w:cs="Times New Roman"/>
        </w:rPr>
        <w:t xml:space="preserve"> </w:t>
      </w:r>
      <w:r w:rsidRPr="00994FB7" w:rsidR="00204058">
        <w:rPr>
          <w:lang w:val="en"/>
        </w:rPr>
        <w:t xml:space="preserve">Program provides NHTSA with the most in-depth crash data collected by the agency. </w:t>
      </w:r>
      <w:r w:rsidRPr="00994FB7" w:rsidR="007D5B20">
        <w:rPr>
          <w:lang w:val="en"/>
        </w:rPr>
        <w:t xml:space="preserve"> </w:t>
      </w:r>
      <w:r w:rsidRPr="00994FB7" w:rsidR="00204058">
        <w:rPr>
          <w:lang w:val="en"/>
        </w:rPr>
        <w:t xml:space="preserve">The data collected ranges from basic </w:t>
      </w:r>
      <w:r w:rsidRPr="00994FB7" w:rsidR="007D5B20">
        <w:rPr>
          <w:lang w:val="en"/>
        </w:rPr>
        <w:t>information</w:t>
      </w:r>
      <w:r w:rsidRPr="00994FB7" w:rsidR="00204058">
        <w:rPr>
          <w:lang w:val="en"/>
        </w:rPr>
        <w:t xml:space="preserve"> contained in routine police and insurance crash reports, to comprehensive data from special reports </w:t>
      </w:r>
      <w:r w:rsidRPr="00994FB7" w:rsidR="007D5B20">
        <w:rPr>
          <w:lang w:val="en"/>
        </w:rPr>
        <w:t xml:space="preserve">produced </w:t>
      </w:r>
      <w:r w:rsidRPr="00994FB7" w:rsidR="00204058">
        <w:rPr>
          <w:lang w:val="en"/>
        </w:rPr>
        <w:t xml:space="preserve">by professional crash investigation teams. </w:t>
      </w:r>
      <w:r w:rsidRPr="00994FB7" w:rsidR="007D5B20">
        <w:rPr>
          <w:lang w:val="en"/>
        </w:rPr>
        <w:t xml:space="preserve"> </w:t>
      </w:r>
      <w:r w:rsidRPr="00994FB7" w:rsidR="00204058">
        <w:rPr>
          <w:lang w:val="en"/>
        </w:rPr>
        <w:t>Hundreds of data elements relevant to the vehicle, occupants, injury mechanisms, roadway, and safety systems are collected for each of the over 100 crashes designated for study annually.</w:t>
      </w:r>
    </w:p>
    <w:p w:rsidR="00037060" w:rsidRPr="00994FB7" w:rsidP="008359E3" w14:paraId="0F2A08EE" w14:textId="6FF57239">
      <w:pPr>
        <w:pStyle w:val="NormalWeb"/>
        <w:numPr>
          <w:ilvl w:val="0"/>
          <w:numId w:val="31"/>
        </w:numPr>
        <w:spacing w:before="0" w:beforeAutospacing="0" w:line="276" w:lineRule="auto"/>
      </w:pPr>
      <w:r w:rsidRPr="00994FB7">
        <w:rPr>
          <w:rStyle w:val="ui-provider"/>
        </w:rPr>
        <w:t>The Non</w:t>
      </w:r>
      <w:r w:rsidRPr="00994FB7">
        <w:rPr>
          <w:rStyle w:val="ui-provider"/>
        </w:rPr>
        <w:t xml:space="preserve">-Traffic Surveillance (NTS) is an automated data collection effort for collecting information about non-traffic crashes and non-crash incidents.  The NTS data </w:t>
      </w:r>
      <w:r w:rsidRPr="00994FB7">
        <w:rPr>
          <w:rStyle w:val="ui-provider"/>
        </w:rPr>
        <w:t>provide counts and</w:t>
      </w:r>
      <w:r w:rsidRPr="00994FB7">
        <w:rPr>
          <w:rStyle w:val="ui-provider"/>
        </w:rPr>
        <w:t xml:space="preserve"> details regarding fatalities and injuries that occur in non-traffic crashes and in non-crash incidents.  </w:t>
      </w:r>
      <w:r w:rsidRPr="00994FB7">
        <w:t>The NTS non-traffic crash data are obtained through NHTSA’s data collection efforts for the Crash Report Sampling System (CRSS), the Crash Investigation Sampling System (CISS), and the Fatality Analysis Reporting System (FARS). NTS also includes data outside of NHTSA’s own data collections. NTS’ non-crash injury data is based upon emergency department records from a special study conducted by the Consumer Product Safety Commission’s National Electronic Injury Surveillance System (NEISS) All Injury Program.  NTS non-crash fatality data is derived from death certificate information from the Centers for Disease Control’s National Vital Statistics System.</w:t>
      </w:r>
    </w:p>
    <w:p w:rsidR="00204058" w:rsidRPr="00994FB7" w:rsidP="008359E3" w14:paraId="55340160" w14:textId="7ED4EB0D">
      <w:pPr>
        <w:pStyle w:val="ListParagraph"/>
        <w:numPr>
          <w:ilvl w:val="0"/>
          <w:numId w:val="31"/>
        </w:numPr>
        <w:tabs>
          <w:tab w:val="left" w:pos="-720"/>
          <w:tab w:val="left" w:pos="540"/>
        </w:tabs>
        <w:spacing w:before="240"/>
        <w:rPr>
          <w:lang w:val="en"/>
        </w:rPr>
      </w:pPr>
      <w:r w:rsidRPr="00994FB7">
        <w:rPr>
          <w:rFonts w:cs="Times New Roman"/>
        </w:rPr>
        <w:t xml:space="preserve">CIREN </w:t>
      </w:r>
      <w:r w:rsidRPr="00994FB7" w:rsidR="002409C8">
        <w:rPr>
          <w:rFonts w:cs="Times New Roman"/>
          <w:szCs w:val="24"/>
        </w:rPr>
        <w:t>(OMB Control Number 2127-0</w:t>
      </w:r>
      <w:r w:rsidRPr="00994FB7" w:rsidR="00DA0980">
        <w:rPr>
          <w:rFonts w:cs="Times New Roman"/>
          <w:szCs w:val="24"/>
        </w:rPr>
        <w:t>7</w:t>
      </w:r>
      <w:r w:rsidRPr="00994FB7" w:rsidR="002409C8">
        <w:rPr>
          <w:rFonts w:cs="Times New Roman"/>
          <w:szCs w:val="24"/>
        </w:rPr>
        <w:t>74)</w:t>
      </w:r>
      <w:r w:rsidRPr="00994FB7">
        <w:rPr>
          <w:rFonts w:cs="Times New Roman"/>
          <w:szCs w:val="24"/>
        </w:rPr>
        <w:t xml:space="preserve"> </w:t>
      </w:r>
      <w:r w:rsidRPr="00994FB7">
        <w:rPr>
          <w:lang w:val="en"/>
        </w:rPr>
        <w:t xml:space="preserve">combines </w:t>
      </w:r>
      <w:r w:rsidRPr="00994FB7" w:rsidR="00470414">
        <w:rPr>
          <w:lang w:val="en"/>
        </w:rPr>
        <w:t>crash</w:t>
      </w:r>
      <w:r w:rsidRPr="00994FB7">
        <w:rPr>
          <w:lang w:val="en"/>
        </w:rPr>
        <w:t xml:space="preserve"> data collection with professional multidisciplinary analysis of medical and engineering evidence to determine injury causation in every crash investigation conducted.  The mission of the CIREN is to improve the prevention, treatment, and rehabilitation of motor vehicle crash injuries to reduce deaths, disabilities, and human and economic costs.</w:t>
      </w:r>
    </w:p>
    <w:p w:rsidR="002A56F0" w:rsidRPr="00994FB7" w:rsidP="00AB62D0" w14:paraId="47A4B398" w14:textId="62319D54">
      <w:pPr>
        <w:tabs>
          <w:tab w:val="left" w:pos="540"/>
        </w:tabs>
        <w:ind w:left="720"/>
      </w:pPr>
      <w:r w:rsidRPr="00994FB7">
        <w:t xml:space="preserve">Prior to </w:t>
      </w:r>
      <w:r w:rsidRPr="00994FB7" w:rsidR="006C0231">
        <w:t xml:space="preserve">the </w:t>
      </w:r>
      <w:r w:rsidRPr="00994FB7" w:rsidR="000A7E97">
        <w:t xml:space="preserve">introduction of the </w:t>
      </w:r>
      <w:r w:rsidRPr="00994FB7" w:rsidR="00631C4B">
        <w:t>EDT</w:t>
      </w:r>
      <w:r w:rsidRPr="00994FB7" w:rsidR="00CB4403">
        <w:t xml:space="preserve"> </w:t>
      </w:r>
      <w:r w:rsidRPr="00994FB7" w:rsidR="009B0946">
        <w:t>protocol</w:t>
      </w:r>
      <w:r w:rsidRPr="00994FB7" w:rsidR="00832266">
        <w:t xml:space="preserve">, </w:t>
      </w:r>
      <w:r w:rsidRPr="00994FB7" w:rsidR="00495E44">
        <w:t>participating</w:t>
      </w:r>
      <w:r w:rsidRPr="00994FB7" w:rsidR="00462EEA">
        <w:t xml:space="preserve"> States</w:t>
      </w:r>
      <w:r w:rsidRPr="00994FB7" w:rsidR="00880450">
        <w:t>’</w:t>
      </w:r>
      <w:r w:rsidRPr="00994FB7" w:rsidR="00462EEA">
        <w:t xml:space="preserve"> </w:t>
      </w:r>
      <w:r w:rsidRPr="00994FB7" w:rsidR="009B0946">
        <w:t xml:space="preserve">crash data </w:t>
      </w:r>
      <w:r w:rsidRPr="00994FB7" w:rsidR="00304CC3">
        <w:t>had to be</w:t>
      </w:r>
      <w:r w:rsidRPr="00994FB7" w:rsidR="00CB586F">
        <w:t xml:space="preserve"> </w:t>
      </w:r>
      <w:r w:rsidRPr="00994FB7" w:rsidR="009B0946">
        <w:t>manually entered into NHTSA systems</w:t>
      </w:r>
      <w:r w:rsidRPr="00994FB7" w:rsidR="000D3E95">
        <w:t xml:space="preserve"> </w:t>
      </w:r>
      <w:r w:rsidRPr="00994FB7" w:rsidR="00832266">
        <w:t xml:space="preserve">from </w:t>
      </w:r>
      <w:r w:rsidRPr="00994FB7" w:rsidR="00304CC3">
        <w:t>each</w:t>
      </w:r>
      <w:r w:rsidRPr="00994FB7" w:rsidR="00832266">
        <w:t xml:space="preserve"> State’s crash data </w:t>
      </w:r>
      <w:r w:rsidRPr="00994FB7" w:rsidR="00BF405C">
        <w:t xml:space="preserve">repository </w:t>
      </w:r>
      <w:r w:rsidRPr="00994FB7" w:rsidR="000D3E95">
        <w:t>for use by</w:t>
      </w:r>
      <w:r w:rsidRPr="00994FB7" w:rsidR="00832266">
        <w:t xml:space="preserve"> </w:t>
      </w:r>
      <w:r w:rsidRPr="00994FB7" w:rsidR="00C61E1F">
        <w:t xml:space="preserve">FARS, CRSS, CISS, SCI, NTS, </w:t>
      </w:r>
      <w:r w:rsidRPr="00994FB7" w:rsidR="00C61E1F">
        <w:t xml:space="preserve">and </w:t>
      </w:r>
      <w:r w:rsidRPr="00994FB7" w:rsidR="00C61E1F">
        <w:t>CIREN</w:t>
      </w:r>
      <w:r w:rsidRPr="00994FB7" w:rsidR="00832266">
        <w:t>.</w:t>
      </w:r>
      <w:r w:rsidRPr="00994FB7" w:rsidR="00D51E0D">
        <w:t xml:space="preserve">  </w:t>
      </w:r>
      <w:r w:rsidRPr="00994FB7" w:rsidR="00BB7815">
        <w:t xml:space="preserve">The </w:t>
      </w:r>
      <w:r w:rsidRPr="00994FB7" w:rsidR="00D75934">
        <w:t>EDT protocol</w:t>
      </w:r>
      <w:r w:rsidRPr="00994FB7" w:rsidR="006B4A5E">
        <w:t xml:space="preserve">, developed under the SDT program, automated </w:t>
      </w:r>
      <w:r w:rsidRPr="00994FB7" w:rsidR="00D51E0D">
        <w:t>the transfer of State</w:t>
      </w:r>
      <w:r w:rsidRPr="00994FB7" w:rsidR="00BB7815">
        <w:t>s’</w:t>
      </w:r>
      <w:r w:rsidRPr="00994FB7" w:rsidR="00D51E0D">
        <w:t xml:space="preserve"> motor vehicle crash data to NHTSA</w:t>
      </w:r>
      <w:r w:rsidRPr="00994FB7" w:rsidR="00037060">
        <w:t>’s data collection systems</w:t>
      </w:r>
      <w:r w:rsidRPr="00994FB7" w:rsidR="002D353F">
        <w:t xml:space="preserve"> and </w:t>
      </w:r>
      <w:r w:rsidRPr="00994FB7" w:rsidR="000003C3">
        <w:t xml:space="preserve">streamlined certain data coding </w:t>
      </w:r>
      <w:r w:rsidRPr="00994FB7" w:rsidR="008359E3">
        <w:t>processes</w:t>
      </w:r>
      <w:r w:rsidRPr="00994FB7" w:rsidR="00DA36D9">
        <w:t xml:space="preserve"> </w:t>
      </w:r>
      <w:r w:rsidRPr="00994FB7">
        <w:t>with</w:t>
      </w:r>
      <w:r w:rsidRPr="00994FB7" w:rsidR="00EF7CD6">
        <w:t xml:space="preserve">in </w:t>
      </w:r>
      <w:r w:rsidRPr="00994FB7" w:rsidR="00C61E1F">
        <w:t xml:space="preserve">FARS, CRSS, CISS, SCI, NTS, </w:t>
      </w:r>
      <w:r w:rsidRPr="00994FB7" w:rsidR="00C61E1F">
        <w:t xml:space="preserve">and </w:t>
      </w:r>
      <w:r w:rsidRPr="00994FB7" w:rsidR="00C61E1F">
        <w:t>CIREN</w:t>
      </w:r>
      <w:r w:rsidRPr="00994FB7" w:rsidR="00037060">
        <w:t>.</w:t>
      </w:r>
      <w:r w:rsidRPr="00994FB7" w:rsidR="00D51E0D">
        <w:t xml:space="preserve">  </w:t>
      </w:r>
    </w:p>
    <w:p w:rsidR="00B2684E" w:rsidRPr="00994FB7" w:rsidP="00AB62D0" w14:paraId="0BD1273C" w14:textId="2C11125C">
      <w:pPr>
        <w:tabs>
          <w:tab w:val="left" w:pos="-720"/>
          <w:tab w:val="left" w:pos="540"/>
        </w:tabs>
        <w:ind w:left="720"/>
      </w:pPr>
      <w:r w:rsidRPr="00994FB7">
        <w:t xml:space="preserve">NHTSA’s SDT program </w:t>
      </w:r>
      <w:r w:rsidRPr="00994FB7" w:rsidR="001156AA">
        <w:t>enables electronic data trans</w:t>
      </w:r>
      <w:r w:rsidRPr="00994FB7" w:rsidR="00981D0A">
        <w:t>f</w:t>
      </w:r>
      <w:r w:rsidRPr="00994FB7" w:rsidR="001156AA">
        <w:t xml:space="preserve">er directly to NHTSA, reducing the administrative and technical </w:t>
      </w:r>
      <w:r w:rsidRPr="00994FB7" w:rsidR="00981D0A">
        <w:t>burden</w:t>
      </w:r>
      <w:r w:rsidRPr="00994FB7" w:rsidR="001156AA">
        <w:t xml:space="preserve"> on States</w:t>
      </w:r>
      <w:r w:rsidRPr="00994FB7" w:rsidR="00981D0A">
        <w:t xml:space="preserve"> by eliminating manual data submissions, </w:t>
      </w:r>
      <w:r w:rsidRPr="00994FB7" w:rsidR="009B3C9A">
        <w:t xml:space="preserve">and accelerating data availability, </w:t>
      </w:r>
      <w:r w:rsidRPr="00994FB7" w:rsidR="004C2C67">
        <w:t>improving data quality</w:t>
      </w:r>
      <w:r w:rsidRPr="00994FB7" w:rsidR="004B0969">
        <w:t>,</w:t>
      </w:r>
      <w:r w:rsidRPr="00994FB7" w:rsidR="004C2C67">
        <w:t xml:space="preserve"> and standardization</w:t>
      </w:r>
      <w:r w:rsidRPr="00994FB7" w:rsidR="004B0969">
        <w:t xml:space="preserve">.  </w:t>
      </w:r>
      <w:r w:rsidRPr="00994FB7" w:rsidR="00AB3994">
        <w:t xml:space="preserve">The efficiency and benefits of electronic data collection </w:t>
      </w:r>
      <w:r w:rsidRPr="00994FB7" w:rsidR="008B70AF">
        <w:t>and transfer</w:t>
      </w:r>
      <w:r w:rsidRPr="00994FB7">
        <w:t xml:space="preserve"> </w:t>
      </w:r>
      <w:r w:rsidRPr="00994FB7" w:rsidR="00DD28D2">
        <w:t xml:space="preserve">is essential to NHTSA’s ability to carry out its statutory mission to provide comprehensive, timely, and accurate national </w:t>
      </w:r>
      <w:r w:rsidRPr="00994FB7" w:rsidR="007A0DB7">
        <w:t xml:space="preserve">motor vehicle </w:t>
      </w:r>
      <w:r w:rsidRPr="00994FB7" w:rsidR="00DD28D2">
        <w:t>crash data</w:t>
      </w:r>
      <w:r w:rsidRPr="00994FB7" w:rsidR="007A5237">
        <w:t xml:space="preserve"> for crash analysis</w:t>
      </w:r>
      <w:r w:rsidRPr="00994FB7" w:rsidR="007A0DB7">
        <w:t xml:space="preserve">. </w:t>
      </w:r>
    </w:p>
    <w:p w:rsidR="007A7BB5" w:rsidRPr="00994FB7" w:rsidP="008359E3" w14:paraId="0270D073" w14:textId="77777777">
      <w:pPr>
        <w:pStyle w:val="Heading2"/>
      </w:pPr>
      <w:bookmarkStart w:id="9" w:name="_Hlk51325321"/>
      <w:bookmarkEnd w:id="8"/>
      <w:r w:rsidRPr="00994FB7">
        <w:t>Indicate how, by whom, and for what purpose the information is to be used. Except for a new collection, indicate the actual use the agency has made of the information received from the current collection</w:t>
      </w:r>
      <w:bookmarkEnd w:id="9"/>
      <w:r w:rsidRPr="00994FB7">
        <w:t>.</w:t>
      </w:r>
    </w:p>
    <w:p w:rsidR="002A7D1B" w:rsidRPr="00994FB7" w:rsidP="0093233F" w14:paraId="3CF96A6C" w14:textId="2F45DC8D">
      <w:pPr>
        <w:ind w:left="720"/>
      </w:pPr>
      <w:bookmarkStart w:id="10" w:name="_Hlk66708419"/>
      <w:r w:rsidRPr="00994FB7">
        <w:t>NHTSA</w:t>
      </w:r>
      <w:r w:rsidRPr="00994FB7" w:rsidR="004511A5">
        <w:t xml:space="preserve"> </w:t>
      </w:r>
      <w:r w:rsidRPr="00994FB7" w:rsidR="004511A5">
        <w:t>utilize</w:t>
      </w:r>
      <w:r w:rsidRPr="00994FB7" w:rsidR="00CB7D51">
        <w:t>s</w:t>
      </w:r>
      <w:r w:rsidRPr="00994FB7" w:rsidR="004511A5">
        <w:t xml:space="preserve"> </w:t>
      </w:r>
      <w:r w:rsidRPr="00994FB7" w:rsidR="004511A5">
        <w:t>the SDT</w:t>
      </w:r>
      <w:r w:rsidRPr="00994FB7" w:rsidR="004511A5">
        <w:t xml:space="preserve"> data to identify existing and emerging highway safety trends</w:t>
      </w:r>
      <w:r w:rsidRPr="00994FB7" w:rsidR="00C66DD4">
        <w:t xml:space="preserve">, </w:t>
      </w:r>
      <w:r w:rsidRPr="00994FB7" w:rsidR="004511A5">
        <w:t>assess the effectiveness of motor vehicle safety standards</w:t>
      </w:r>
      <w:r w:rsidRPr="00994FB7" w:rsidR="00C66DD4">
        <w:t xml:space="preserve">, and study the impact of </w:t>
      </w:r>
      <w:r w:rsidRPr="00994FB7" w:rsidR="004511A5">
        <w:t xml:space="preserve">new and emerging technologies on vehicle and highway safety programs. </w:t>
      </w:r>
      <w:r w:rsidRPr="00994FB7" w:rsidR="002625AF">
        <w:t xml:space="preserve"> </w:t>
      </w:r>
      <w:r w:rsidRPr="00994FB7" w:rsidR="008F3120">
        <w:t>For example,</w:t>
      </w:r>
      <w:r w:rsidRPr="00994FB7" w:rsidR="004511A5">
        <w:t xml:space="preserve"> </w:t>
      </w:r>
      <w:r w:rsidRPr="00994FB7" w:rsidR="0015691E">
        <w:t>the</w:t>
      </w:r>
      <w:r w:rsidRPr="00994FB7" w:rsidR="007873D1">
        <w:t xml:space="preserve"> data </w:t>
      </w:r>
      <w:r w:rsidRPr="00994FB7" w:rsidR="00D25DEE">
        <w:t>helps study the effectiveness of emerging technologies</w:t>
      </w:r>
      <w:r w:rsidRPr="00994FB7" w:rsidR="00FC178E">
        <w:t>, such as</w:t>
      </w:r>
      <w:r w:rsidRPr="00994FB7" w:rsidR="004511A5">
        <w:t xml:space="preserve"> </w:t>
      </w:r>
      <w:r w:rsidRPr="00994FB7" w:rsidR="006577C7">
        <w:t xml:space="preserve">the </w:t>
      </w:r>
      <w:r w:rsidRPr="00994FB7" w:rsidR="0005410C">
        <w:t>impact</w:t>
      </w:r>
      <w:r w:rsidRPr="00994FB7" w:rsidR="006577C7">
        <w:t xml:space="preserve"> of </w:t>
      </w:r>
      <w:r w:rsidRPr="00994FB7" w:rsidR="004511A5">
        <w:t>a</w:t>
      </w:r>
      <w:r w:rsidRPr="00994FB7" w:rsidR="00E0378D">
        <w:t>dvanced</w:t>
      </w:r>
      <w:r w:rsidRPr="00994FB7" w:rsidR="004511A5">
        <w:t xml:space="preserve"> driver assistance</w:t>
      </w:r>
      <w:r w:rsidRPr="00994FB7" w:rsidR="008F2F46">
        <w:t xml:space="preserve"> systems (ADAS</w:t>
      </w:r>
      <w:r w:rsidRPr="00994FB7" w:rsidR="008F2F46">
        <w:t>)</w:t>
      </w:r>
      <w:r w:rsidRPr="00994FB7" w:rsidR="0005410C">
        <w:t>(</w:t>
      </w:r>
      <w:r w:rsidRPr="00994FB7" w:rsidR="0005410C">
        <w:t>e.g., lane keeping support, automatic emergency braking, blind spot detection, etc.)</w:t>
      </w:r>
      <w:r w:rsidRPr="00994FB7" w:rsidR="006577C7">
        <w:t xml:space="preserve"> </w:t>
      </w:r>
      <w:r w:rsidRPr="00994FB7" w:rsidR="00DF72AC">
        <w:t>on crash</w:t>
      </w:r>
      <w:r w:rsidRPr="00994FB7" w:rsidR="00C66DD4">
        <w:t>-</w:t>
      </w:r>
      <w:r w:rsidRPr="00994FB7" w:rsidR="00DF72AC">
        <w:t>involved vehicles</w:t>
      </w:r>
      <w:r w:rsidRPr="00994FB7" w:rsidR="00D31EEE">
        <w:t>.</w:t>
      </w:r>
      <w:r w:rsidRPr="00994FB7" w:rsidR="00DF72AC">
        <w:t xml:space="preserve"> </w:t>
      </w:r>
    </w:p>
    <w:p w:rsidR="00207438" w:rsidRPr="00994FB7" w:rsidP="00207438" w14:paraId="4774963D" w14:textId="38A7DAEA">
      <w:pPr>
        <w:ind w:left="720"/>
      </w:pPr>
      <w:bookmarkStart w:id="11" w:name="_Hlk66708765"/>
      <w:bookmarkEnd w:id="10"/>
      <w:r w:rsidRPr="00994FB7">
        <w:t>NHTSA also use</w:t>
      </w:r>
      <w:r w:rsidRPr="00994FB7" w:rsidR="00FA33B8">
        <w:t>s</w:t>
      </w:r>
      <w:r w:rsidRPr="00994FB7">
        <w:t xml:space="preserve"> the SDT </w:t>
      </w:r>
      <w:r w:rsidRPr="00994FB7" w:rsidR="00687183">
        <w:t xml:space="preserve">data </w:t>
      </w:r>
      <w:r w:rsidRPr="00994FB7">
        <w:t>to support the cost-benefit analysis for the Corporate Average Fuel Economy (CAF</w:t>
      </w:r>
      <w:r w:rsidRPr="00994FB7" w:rsidR="00F708AC">
        <w:t>E</w:t>
      </w:r>
      <w:r w:rsidRPr="00994FB7">
        <w:t>) rulemaking</w:t>
      </w:r>
      <w:r w:rsidRPr="00994FB7" w:rsidR="005664B5">
        <w:t xml:space="preserve">, </w:t>
      </w:r>
      <w:r w:rsidRPr="00994FB7" w:rsidR="008359E3">
        <w:t>and to</w:t>
      </w:r>
      <w:r w:rsidRPr="00994FB7">
        <w:t xml:space="preserve"> estimate </w:t>
      </w:r>
      <w:r w:rsidRPr="00994FB7" w:rsidR="0053322E">
        <w:t xml:space="preserve">what </w:t>
      </w:r>
      <w:r w:rsidRPr="00994FB7">
        <w:t>effect</w:t>
      </w:r>
      <w:r w:rsidRPr="00994FB7" w:rsidR="0053322E">
        <w:t xml:space="preserve"> </w:t>
      </w:r>
      <w:r w:rsidRPr="00994FB7">
        <w:t xml:space="preserve">vehicle mass </w:t>
      </w:r>
      <w:r w:rsidRPr="00994FB7" w:rsidR="0053322E">
        <w:t xml:space="preserve">has </w:t>
      </w:r>
      <w:r w:rsidRPr="00994FB7">
        <w:t xml:space="preserve">on fatalities. Without the volume of data from the States in </w:t>
      </w:r>
      <w:r w:rsidRPr="00994FB7" w:rsidR="00B17AD1">
        <w:t xml:space="preserve">the </w:t>
      </w:r>
      <w:r w:rsidRPr="00994FB7" w:rsidR="00FA33B8">
        <w:t>SDT dataset</w:t>
      </w:r>
      <w:r w:rsidRPr="00994FB7">
        <w:t>, it would not be feasible to estimate meaningful fatality rates or their relationship with vehicle mass.</w:t>
      </w:r>
    </w:p>
    <w:p w:rsidR="002A7D1B" w:rsidRPr="00994FB7" w:rsidP="0093233F" w14:paraId="5EB48D4E" w14:textId="410FC2FF">
      <w:pPr>
        <w:ind w:left="720"/>
        <w:rPr>
          <w:szCs w:val="24"/>
        </w:rPr>
      </w:pPr>
      <w:r w:rsidRPr="00994FB7">
        <w:t xml:space="preserve">Furthermore, SDT data is </w:t>
      </w:r>
      <w:r w:rsidRPr="00994FB7" w:rsidR="00892B29">
        <w:t>used</w:t>
      </w:r>
      <w:r w:rsidRPr="00994FB7">
        <w:t xml:space="preserve"> </w:t>
      </w:r>
      <w:r w:rsidRPr="00994FB7" w:rsidR="00A55170">
        <w:t>to pre-populate</w:t>
      </w:r>
      <w:r w:rsidRPr="00994FB7">
        <w:t xml:space="preserve"> several </w:t>
      </w:r>
      <w:r w:rsidRPr="00994FB7" w:rsidR="004F4454">
        <w:t xml:space="preserve">of NHTSA’s </w:t>
      </w:r>
      <w:r w:rsidRPr="00994FB7" w:rsidR="00FC1EC5">
        <w:t xml:space="preserve">special </w:t>
      </w:r>
      <w:r w:rsidRPr="00994FB7">
        <w:t xml:space="preserve">studies </w:t>
      </w:r>
      <w:r w:rsidRPr="00994FB7" w:rsidR="006D0F96">
        <w:t>including</w:t>
      </w:r>
      <w:r w:rsidRPr="00994FB7">
        <w:t xml:space="preserve"> </w:t>
      </w:r>
      <w:r w:rsidRPr="00994FB7" w:rsidR="00204058">
        <w:t xml:space="preserve">FARS, CRSS, CISS, SCI, NTS, </w:t>
      </w:r>
      <w:r w:rsidRPr="00994FB7" w:rsidR="00FC1EC5">
        <w:t xml:space="preserve">and </w:t>
      </w:r>
      <w:r w:rsidRPr="00994FB7" w:rsidR="00204058">
        <w:t>CIREN</w:t>
      </w:r>
      <w:r w:rsidRPr="00994FB7" w:rsidR="00FC1EC5">
        <w:t>.</w:t>
      </w:r>
      <w:r w:rsidRPr="00994FB7" w:rsidR="00972465">
        <w:t xml:space="preserve">  </w:t>
      </w:r>
      <w:r w:rsidRPr="00994FB7" w:rsidR="00204058">
        <w:t xml:space="preserve"> </w:t>
      </w:r>
    </w:p>
    <w:p w:rsidR="00182543" w:rsidRPr="00994FB7" w:rsidP="00182543" w14:paraId="24A196F9" w14:textId="2F2ECF7C">
      <w:pPr>
        <w:ind w:left="720"/>
      </w:pPr>
      <w:bookmarkStart w:id="12" w:name="_Hlk66708869"/>
      <w:bookmarkEnd w:id="11"/>
      <w:r w:rsidRPr="00994FB7">
        <w:t>The data is also shared with other DOT agencies like the Federal Highway Administration (FHWA) and the Federal Motor Carrier Safety Administration (FMCSA)</w:t>
      </w:r>
      <w:r w:rsidRPr="00994FB7" w:rsidR="006A6299">
        <w:t xml:space="preserve"> to support their mission to save lives on our national roadways.</w:t>
      </w:r>
      <w:r w:rsidRPr="00994FB7" w:rsidR="00B91B7D">
        <w:t xml:space="preserve"> </w:t>
      </w:r>
      <w:r w:rsidRPr="00994FB7" w:rsidR="00B869E4">
        <w:t xml:space="preserve">The SDT data received through SEDC rant </w:t>
      </w:r>
      <w:r w:rsidRPr="00994FB7">
        <w:t>will be made publicly available</w:t>
      </w:r>
      <w:r w:rsidRPr="00994FB7" w:rsidR="00B869E4">
        <w:t xml:space="preserve"> to facilitate the </w:t>
      </w:r>
      <w:r w:rsidRPr="00994FB7" w:rsidR="00EA075B">
        <w:t>research to save lives</w:t>
      </w:r>
      <w:r w:rsidRPr="00994FB7" w:rsidR="006102A6">
        <w:t xml:space="preserve"> in the </w:t>
      </w:r>
      <w:r w:rsidRPr="00994FB7" w:rsidR="00EA075B">
        <w:t>public</w:t>
      </w:r>
      <w:r w:rsidRPr="00994FB7" w:rsidR="006102A6">
        <w:t xml:space="preserve"> domain</w:t>
      </w:r>
      <w:r w:rsidRPr="00994FB7" w:rsidR="003A2FD3">
        <w:t xml:space="preserve">. </w:t>
      </w:r>
      <w:bookmarkEnd w:id="12"/>
    </w:p>
    <w:p w:rsidR="007A7BB5" w:rsidRPr="00994FB7" w:rsidP="00D109CC" w14:paraId="769F759D" w14:textId="77777777">
      <w:pPr>
        <w:pStyle w:val="Heading2"/>
      </w:pPr>
      <w:bookmarkStart w:id="13" w:name="_Hlk51330129"/>
      <w:r w:rsidRPr="00994FB7">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AF38A4" w:rsidRPr="00994FB7" w:rsidP="008359E3" w14:paraId="4424EE21" w14:textId="539EBAE5">
      <w:pPr>
        <w:tabs>
          <w:tab w:val="left" w:pos="540"/>
        </w:tabs>
        <w:spacing w:before="240"/>
        <w:ind w:left="720"/>
      </w:pPr>
      <w:r w:rsidRPr="00994FB7">
        <w:t xml:space="preserve">SDT </w:t>
      </w:r>
      <w:r w:rsidRPr="00994FB7" w:rsidR="00C66DD4">
        <w:t xml:space="preserve">currently consists </w:t>
      </w:r>
      <w:r w:rsidRPr="00994FB7" w:rsidR="00EF4907">
        <w:t xml:space="preserve">of </w:t>
      </w:r>
      <w:r w:rsidRPr="00994FB7" w:rsidR="006D5C4B">
        <w:t>t</w:t>
      </w:r>
      <w:r w:rsidRPr="00994FB7" w:rsidR="00C66DD4">
        <w:t xml:space="preserve">he EDT </w:t>
      </w:r>
      <w:r w:rsidRPr="00994FB7" w:rsidR="008359E3">
        <w:t>protocol, an</w:t>
      </w:r>
      <w:r w:rsidRPr="00994FB7" w:rsidR="00392CD8">
        <w:t xml:space="preserve"> </w:t>
      </w:r>
      <w:r w:rsidRPr="00994FB7">
        <w:t xml:space="preserve">automated electronic information </w:t>
      </w:r>
      <w:r w:rsidRPr="00994FB7" w:rsidR="008A1A47">
        <w:t xml:space="preserve">process that </w:t>
      </w:r>
      <w:r w:rsidRPr="00994FB7">
        <w:t>reduce</w:t>
      </w:r>
      <w:r w:rsidRPr="00994FB7" w:rsidR="00FF4259">
        <w:t>s</w:t>
      </w:r>
      <w:r w:rsidRPr="00994FB7">
        <w:t xml:space="preserve"> the burden on State respondents by limiting manual </w:t>
      </w:r>
      <w:r w:rsidRPr="00994FB7" w:rsidR="000F3F18">
        <w:t xml:space="preserve">and redundant </w:t>
      </w:r>
      <w:r w:rsidRPr="00994FB7">
        <w:t xml:space="preserve">data </w:t>
      </w:r>
      <w:r w:rsidRPr="00994FB7" w:rsidR="00C61E1F">
        <w:t>entry and</w:t>
      </w:r>
      <w:r w:rsidRPr="00994FB7" w:rsidR="009B55F0">
        <w:t xml:space="preserve"> improving the quality of the data</w:t>
      </w:r>
      <w:r w:rsidRPr="00994FB7" w:rsidR="006267EE">
        <w:t xml:space="preserve"> and the </w:t>
      </w:r>
      <w:r w:rsidRPr="00994FB7" w:rsidR="0077057E">
        <w:t>timeliness of reporting to</w:t>
      </w:r>
      <w:r w:rsidRPr="00994FB7" w:rsidR="00071CD2">
        <w:t xml:space="preserve"> </w:t>
      </w:r>
      <w:r w:rsidRPr="00994FB7" w:rsidR="00392CD8">
        <w:t>NHTSA</w:t>
      </w:r>
      <w:r w:rsidRPr="00994FB7" w:rsidR="38A8A3AF">
        <w:t>’s</w:t>
      </w:r>
      <w:r w:rsidRPr="00994FB7" w:rsidR="00392CD8">
        <w:t xml:space="preserve"> data collection</w:t>
      </w:r>
      <w:r w:rsidRPr="00994FB7" w:rsidR="000F3F18">
        <w:t xml:space="preserve"> program</w:t>
      </w:r>
      <w:r w:rsidRPr="00994FB7" w:rsidR="00245170">
        <w:t xml:space="preserve">. </w:t>
      </w:r>
      <w:r w:rsidRPr="00994FB7" w:rsidR="00071CD2">
        <w:t xml:space="preserve"> EDT data </w:t>
      </w:r>
      <w:r w:rsidRPr="00994FB7" w:rsidR="000F3F18">
        <w:t>is</w:t>
      </w:r>
      <w:r w:rsidRPr="00994FB7" w:rsidR="00071CD2">
        <w:t xml:space="preserve"> used to </w:t>
      </w:r>
      <w:r w:rsidRPr="00994FB7" w:rsidR="00FF4259">
        <w:t xml:space="preserve">structure crash cases, </w:t>
      </w:r>
      <w:r w:rsidRPr="00994FB7" w:rsidR="00071CD2">
        <w:t xml:space="preserve">pre-populate some of the information </w:t>
      </w:r>
      <w:r w:rsidRPr="00994FB7" w:rsidR="000F3F18">
        <w:t>multiple</w:t>
      </w:r>
      <w:r w:rsidRPr="00994FB7" w:rsidR="00392CD8">
        <w:t xml:space="preserve"> data collection</w:t>
      </w:r>
      <w:r w:rsidRPr="00994FB7" w:rsidR="000F3F18">
        <w:t xml:space="preserve"> program</w:t>
      </w:r>
      <w:r w:rsidRPr="00994FB7" w:rsidR="00071CD2">
        <w:t>s</w:t>
      </w:r>
      <w:r w:rsidRPr="00994FB7" w:rsidR="0077057E">
        <w:t xml:space="preserve"> utilize</w:t>
      </w:r>
      <w:r w:rsidRPr="00994FB7" w:rsidR="00345BF5">
        <w:t>,</w:t>
      </w:r>
      <w:r w:rsidRPr="00994FB7" w:rsidR="00245170">
        <w:t xml:space="preserve"> </w:t>
      </w:r>
      <w:r w:rsidRPr="00994FB7" w:rsidR="00071CD2">
        <w:t xml:space="preserve">and </w:t>
      </w:r>
      <w:r w:rsidRPr="00994FB7">
        <w:t>reduce</w:t>
      </w:r>
      <w:r w:rsidRPr="00994FB7" w:rsidR="00FF4259">
        <w:t>s</w:t>
      </w:r>
      <w:r w:rsidRPr="00994FB7">
        <w:t xml:space="preserve"> the State resources </w:t>
      </w:r>
      <w:r w:rsidRPr="00994FB7" w:rsidR="002625AF">
        <w:t xml:space="preserve">required to </w:t>
      </w:r>
      <w:r w:rsidRPr="00994FB7" w:rsidR="00071CD2">
        <w:t>provid</w:t>
      </w:r>
      <w:r w:rsidRPr="00994FB7" w:rsidR="002625AF">
        <w:t>e</w:t>
      </w:r>
      <w:r w:rsidRPr="00994FB7" w:rsidR="00071CD2">
        <w:t xml:space="preserve"> </w:t>
      </w:r>
      <w:r w:rsidRPr="00994FB7" w:rsidR="00345BF5">
        <w:t xml:space="preserve">the </w:t>
      </w:r>
      <w:r w:rsidRPr="00994FB7" w:rsidR="00071CD2">
        <w:t xml:space="preserve">data </w:t>
      </w:r>
      <w:r w:rsidRPr="00994FB7" w:rsidR="002625AF">
        <w:t xml:space="preserve">to </w:t>
      </w:r>
      <w:r w:rsidRPr="00994FB7" w:rsidR="00071CD2">
        <w:t>NHTSA</w:t>
      </w:r>
      <w:r w:rsidRPr="00994FB7">
        <w:t xml:space="preserve">. </w:t>
      </w:r>
    </w:p>
    <w:p w:rsidR="00E24E9D" w:rsidRPr="00994FB7" w:rsidP="00392CD8" w14:paraId="3E1DF75C" w14:textId="05F7613B">
      <w:pPr>
        <w:pStyle w:val="ListParagraph"/>
        <w:tabs>
          <w:tab w:val="left" w:pos="-720"/>
          <w:tab w:val="left" w:pos="540"/>
        </w:tabs>
        <w:spacing w:before="240"/>
      </w:pPr>
      <w:r w:rsidRPr="00994FB7">
        <w:t>EDT data</w:t>
      </w:r>
      <w:r w:rsidRPr="00994FB7" w:rsidR="005461B6">
        <w:t xml:space="preserve"> </w:t>
      </w:r>
      <w:r w:rsidRPr="00994FB7">
        <w:t>transmission</w:t>
      </w:r>
      <w:r w:rsidRPr="00994FB7" w:rsidR="005461B6">
        <w:t xml:space="preserve"> typically occur</w:t>
      </w:r>
      <w:r w:rsidRPr="00994FB7">
        <w:t>s</w:t>
      </w:r>
      <w:r w:rsidRPr="00994FB7" w:rsidR="005461B6">
        <w:t xml:space="preserve"> nightly after State quality control checks are completed. The data is transmitted via a web service using the Hypertext Transfer Protocol Secure (HTTPS) in Extensible Markup Language (XML) or JavaScript Object Notation (JSON). For SEDC Grantees, the grant explicitly funds the modernization of systems so they can transmit data electronically in a standardized format using the Information Exchange Package Documentation (IEPD) data transfer protocol, significantly reducing the burden of manual, redundant data</w:t>
      </w:r>
      <w:r w:rsidRPr="00994FB7" w:rsidR="002E0726">
        <w:t xml:space="preserve"> </w:t>
      </w:r>
      <w:r w:rsidRPr="00994FB7" w:rsidR="005461B6">
        <w:t>entry</w:t>
      </w:r>
      <w:r w:rsidRPr="00994FB7" w:rsidR="00134761">
        <w:t>.</w:t>
      </w:r>
    </w:p>
    <w:p w:rsidR="00C61E1F" w:rsidRPr="00994FB7" w:rsidP="00392CD8" w14:paraId="19D21E94" w14:textId="77777777">
      <w:pPr>
        <w:pStyle w:val="ListParagraph"/>
        <w:tabs>
          <w:tab w:val="left" w:pos="-720"/>
          <w:tab w:val="left" w:pos="540"/>
        </w:tabs>
        <w:spacing w:before="240"/>
      </w:pPr>
    </w:p>
    <w:p w:rsidR="00FB76C8" w:rsidRPr="00994FB7" w:rsidP="00392CD8" w14:paraId="7A32F1D0" w14:textId="5F20D748">
      <w:pPr>
        <w:pStyle w:val="ListParagraph"/>
        <w:tabs>
          <w:tab w:val="left" w:pos="-720"/>
          <w:tab w:val="left" w:pos="540"/>
        </w:tabs>
        <w:spacing w:before="240"/>
      </w:pPr>
      <w:r w:rsidRPr="00994FB7">
        <w:t>NHTSA</w:t>
      </w:r>
      <w:r w:rsidRPr="00994FB7">
        <w:t xml:space="preserve"> </w:t>
      </w:r>
      <w:r w:rsidRPr="00994FB7">
        <w:t>work</w:t>
      </w:r>
      <w:r w:rsidRPr="00994FB7" w:rsidR="00FF4259">
        <w:t>s</w:t>
      </w:r>
      <w:r w:rsidRPr="00994FB7" w:rsidR="00C008F9">
        <w:t xml:space="preserve"> with</w:t>
      </w:r>
      <w:r w:rsidRPr="00994FB7">
        <w:t xml:space="preserve"> State</w:t>
      </w:r>
      <w:r w:rsidRPr="00994FB7" w:rsidR="00C008F9">
        <w:t>s that choose to participate in EDT to establish</w:t>
      </w:r>
      <w:r w:rsidRPr="00994FB7">
        <w:t xml:space="preserve"> automatic data feed</w:t>
      </w:r>
      <w:r w:rsidRPr="00994FB7" w:rsidR="00C008F9">
        <w:t>s</w:t>
      </w:r>
      <w:r w:rsidRPr="00994FB7">
        <w:t>.  Th</w:t>
      </w:r>
      <w:r w:rsidRPr="00994FB7" w:rsidR="000F3F18">
        <w:t>e</w:t>
      </w:r>
      <w:r w:rsidRPr="00994FB7">
        <w:t xml:space="preserve"> data </w:t>
      </w:r>
      <w:r w:rsidRPr="00994FB7" w:rsidR="00C61E1F">
        <w:t>is</w:t>
      </w:r>
      <w:r w:rsidRPr="00994FB7">
        <w:t xml:space="preserve"> then populated into NHTSA’s data collection systems</w:t>
      </w:r>
      <w:r w:rsidRPr="00994FB7" w:rsidR="000F3F18">
        <w:t>,</w:t>
      </w:r>
      <w:r w:rsidRPr="00994FB7">
        <w:t xml:space="preserve"> wherever possible</w:t>
      </w:r>
      <w:r w:rsidRPr="00994FB7" w:rsidR="000F3F18">
        <w:t>,</w:t>
      </w:r>
      <w:r w:rsidRPr="00994FB7">
        <w:t xml:space="preserve"> </w:t>
      </w:r>
      <w:r w:rsidRPr="00994FB7" w:rsidR="002C7824">
        <w:t>to reduce the burden on States.</w:t>
      </w:r>
      <w:r w:rsidRPr="00994FB7" w:rsidR="000F3F18">
        <w:t xml:space="preserve"> In addition, </w:t>
      </w:r>
      <w:r w:rsidRPr="00994FB7" w:rsidR="00A03BBD">
        <w:t xml:space="preserve">NHTSA will use the data to </w:t>
      </w:r>
      <w:r w:rsidRPr="00994FB7" w:rsidR="000F3F18">
        <w:t>populate</w:t>
      </w:r>
      <w:r w:rsidRPr="00994FB7" w:rsidR="00A03BBD">
        <w:t xml:space="preserve"> a separate</w:t>
      </w:r>
      <w:r w:rsidRPr="00994FB7" w:rsidR="000F3F18">
        <w:t>, uniform</w:t>
      </w:r>
      <w:r w:rsidRPr="00994FB7" w:rsidR="008A1F3E">
        <w:t xml:space="preserve"> census</w:t>
      </w:r>
      <w:r w:rsidRPr="00994FB7" w:rsidR="00A03BBD">
        <w:t xml:space="preserve"> data </w:t>
      </w:r>
      <w:r w:rsidRPr="00994FB7" w:rsidR="00C62593">
        <w:t>repository</w:t>
      </w:r>
      <w:r w:rsidRPr="00994FB7" w:rsidR="00CF4C63">
        <w:t xml:space="preserve"> </w:t>
      </w:r>
      <w:r w:rsidRPr="00994FB7" w:rsidR="000F3F18">
        <w:t>of</w:t>
      </w:r>
      <w:r w:rsidRPr="00994FB7" w:rsidR="008A1F3E">
        <w:t xml:space="preserve"> all crash</w:t>
      </w:r>
      <w:r w:rsidRPr="00994FB7" w:rsidR="000F3F18">
        <w:t xml:space="preserve"> data </w:t>
      </w:r>
      <w:r w:rsidRPr="00994FB7" w:rsidR="00AB5424">
        <w:t>received</w:t>
      </w:r>
      <w:r w:rsidRPr="00994FB7" w:rsidR="008A1F3E">
        <w:t xml:space="preserve"> from the participating States.</w:t>
      </w:r>
      <w:r w:rsidRPr="00994FB7">
        <w:t xml:space="preserve"> During the implementation phase, </w:t>
      </w:r>
      <w:r w:rsidRPr="00994FB7" w:rsidR="008758A6">
        <w:t xml:space="preserve">the </w:t>
      </w:r>
      <w:r w:rsidRPr="00994FB7" w:rsidR="00C72016">
        <w:t>N</w:t>
      </w:r>
      <w:r w:rsidRPr="00994FB7" w:rsidR="008758A6">
        <w:t xml:space="preserve">on-SEDC </w:t>
      </w:r>
      <w:r w:rsidRPr="00994FB7" w:rsidR="00C61E1F">
        <w:t>States</w:t>
      </w:r>
      <w:r w:rsidRPr="00994FB7" w:rsidR="008758A6">
        <w:t xml:space="preserve"> </w:t>
      </w:r>
      <w:r w:rsidRPr="00994FB7" w:rsidR="00AF4B65">
        <w:t>will have minimum burden to contend with</w:t>
      </w:r>
      <w:r w:rsidRPr="00994FB7" w:rsidR="000F3F18">
        <w:t xml:space="preserve"> since </w:t>
      </w:r>
      <w:r w:rsidRPr="00994FB7">
        <w:t xml:space="preserve">NHTSA and its IT contractor </w:t>
      </w:r>
      <w:r w:rsidRPr="00994FB7" w:rsidR="004F4471">
        <w:t xml:space="preserve">have </w:t>
      </w:r>
      <w:r w:rsidRPr="00994FB7">
        <w:t>carr</w:t>
      </w:r>
      <w:r w:rsidRPr="00994FB7" w:rsidR="004915C8">
        <w:t>ied</w:t>
      </w:r>
      <w:r w:rsidRPr="00994FB7">
        <w:t xml:space="preserve"> out most of the development work </w:t>
      </w:r>
      <w:r w:rsidRPr="00994FB7" w:rsidR="000F3F18">
        <w:t>associated with the EDT protocol</w:t>
      </w:r>
      <w:r w:rsidRPr="00994FB7" w:rsidR="004915C8">
        <w:t>;</w:t>
      </w:r>
      <w:r w:rsidRPr="00994FB7" w:rsidR="004915C8">
        <w:t xml:space="preserve"> </w:t>
      </w:r>
      <w:r w:rsidRPr="00994FB7" w:rsidR="004915C8">
        <w:t xml:space="preserve">future SEDC States </w:t>
      </w:r>
      <w:r w:rsidRPr="00994FB7" w:rsidR="000F3F18">
        <w:t>will have an increase</w:t>
      </w:r>
      <w:r w:rsidRPr="00994FB7" w:rsidR="00972D54">
        <w:t>d</w:t>
      </w:r>
      <w:r w:rsidRPr="00994FB7" w:rsidR="000F3F18">
        <w:t xml:space="preserve"> bu</w:t>
      </w:r>
      <w:r w:rsidRPr="00994FB7" w:rsidR="00972D54">
        <w:t>r</w:t>
      </w:r>
      <w:r w:rsidRPr="00994FB7" w:rsidR="000F3F18">
        <w:t xml:space="preserve">den </w:t>
      </w:r>
      <w:r w:rsidRPr="00994FB7" w:rsidR="004915C8">
        <w:t xml:space="preserve">due to the </w:t>
      </w:r>
      <w:r w:rsidRPr="00994FB7" w:rsidR="00684A95">
        <w:t xml:space="preserve">IIJA </w:t>
      </w:r>
      <w:r w:rsidRPr="00994FB7" w:rsidR="004915C8">
        <w:t>requirements</w:t>
      </w:r>
      <w:r w:rsidRPr="00994FB7" w:rsidR="000F3F18">
        <w:t xml:space="preserve"> that </w:t>
      </w:r>
      <w:r w:rsidRPr="00994FB7" w:rsidR="00972D54">
        <w:t>specify a need to increase alignment to a</w:t>
      </w:r>
      <w:r w:rsidRPr="00994FB7" w:rsidR="004915C8">
        <w:t xml:space="preserve"> </w:t>
      </w:r>
      <w:r w:rsidRPr="00994FB7" w:rsidR="00972D54">
        <w:t xml:space="preserve">specific data </w:t>
      </w:r>
      <w:r w:rsidRPr="00994FB7" w:rsidR="004915C8">
        <w:t>standardization</w:t>
      </w:r>
      <w:r w:rsidRPr="00994FB7" w:rsidR="00567D52">
        <w:t xml:space="preserve"> </w:t>
      </w:r>
      <w:r w:rsidRPr="00994FB7" w:rsidR="00972D54">
        <w:t xml:space="preserve">(MMUCC </w:t>
      </w:r>
      <w:r w:rsidRPr="00994FB7" w:rsidR="00E07685">
        <w:t>Sixth Edition</w:t>
      </w:r>
      <w:r w:rsidRPr="00994FB7" w:rsidR="00972D54">
        <w:t>)</w:t>
      </w:r>
      <w:r w:rsidRPr="00994FB7" w:rsidR="000E7470">
        <w:t>.</w:t>
      </w:r>
      <w:r w:rsidRPr="00994FB7" w:rsidR="00972D54">
        <w:t xml:space="preserve">  SEDC States will use the </w:t>
      </w:r>
      <w:r w:rsidRPr="00994FB7" w:rsidR="00C1657B">
        <w:t xml:space="preserve">awarded </w:t>
      </w:r>
      <w:r w:rsidRPr="00994FB7" w:rsidR="00972D54">
        <w:t xml:space="preserve">discretionary grant funds to help with </w:t>
      </w:r>
      <w:r w:rsidRPr="00994FB7" w:rsidR="00C61E1F">
        <w:t>their</w:t>
      </w:r>
      <w:r w:rsidRPr="00994FB7" w:rsidR="00972D54">
        <w:t xml:space="preserve"> </w:t>
      </w:r>
      <w:r w:rsidRPr="00994FB7" w:rsidR="00567D52">
        <w:t>data standardization effort</w:t>
      </w:r>
      <w:r w:rsidRPr="00994FB7" w:rsidR="00972D54">
        <w:t xml:space="preserve">s. </w:t>
      </w:r>
      <w:r w:rsidRPr="00994FB7">
        <w:t xml:space="preserve">Following implementation, NHTSA and the State will review the data transfer process annually to determine if there are any required updates to the data feed from either NHTSA or </w:t>
      </w:r>
      <w:r w:rsidRPr="00994FB7" w:rsidR="00972D54">
        <w:t xml:space="preserve">the </w:t>
      </w:r>
      <w:r w:rsidRPr="00994FB7">
        <w:t xml:space="preserve">State, including adding or removing fields, data schema changes, </w:t>
      </w:r>
      <w:r w:rsidRPr="00994FB7" w:rsidR="00F70879">
        <w:t xml:space="preserve">and </w:t>
      </w:r>
      <w:r w:rsidRPr="00994FB7">
        <w:t>data attribute changes, etc.</w:t>
      </w:r>
    </w:p>
    <w:p w:rsidR="008A6B31" w:rsidRPr="00994FB7" w:rsidP="00D109CC" w14:paraId="64A0F317" w14:textId="77777777">
      <w:pPr>
        <w:pStyle w:val="Heading2"/>
      </w:pPr>
      <w:bookmarkStart w:id="14" w:name="_Hlk51330199"/>
      <w:bookmarkEnd w:id="13"/>
      <w:r w:rsidRPr="00994FB7">
        <w:t xml:space="preserve">Describe efforts to identify duplication. </w:t>
      </w:r>
      <w:bookmarkStart w:id="15" w:name="_Hlk45117781"/>
      <w:r w:rsidRPr="00994FB7">
        <w:t>Show specifically why any similar information already available cannot be used or modified for use for the purposes described in Item 2 above.</w:t>
      </w:r>
      <w:bookmarkEnd w:id="15"/>
    </w:p>
    <w:bookmarkEnd w:id="14"/>
    <w:p w:rsidR="008A6B31" w:rsidRPr="00994FB7" w:rsidP="008A6B31" w14:paraId="0D9AA568" w14:textId="77777777">
      <w:pPr>
        <w:autoSpaceDE w:val="0"/>
        <w:autoSpaceDN w:val="0"/>
        <w:adjustRightInd w:val="0"/>
        <w:spacing w:after="0" w:line="240" w:lineRule="auto"/>
        <w:rPr>
          <w:rFonts w:cs="Times New Roman"/>
          <w:szCs w:val="24"/>
        </w:rPr>
      </w:pPr>
    </w:p>
    <w:p w:rsidR="00EE72BA" w:rsidRPr="00994FB7" w:rsidP="00EE72BA" w14:paraId="6EE72C4C" w14:textId="4CD75153">
      <w:pPr>
        <w:ind w:left="720"/>
      </w:pPr>
      <w:r w:rsidRPr="00994FB7">
        <w:t xml:space="preserve">While SDT data overlaps with information collected in FARS, CRSS, CISS, and other studies, there is no duplication. The EDT protocol </w:t>
      </w:r>
      <w:r w:rsidRPr="00994FB7" w:rsidR="00C61E1F">
        <w:t>reduces</w:t>
      </w:r>
      <w:r w:rsidRPr="00994FB7">
        <w:t xml:space="preserve"> existing redundancy and manual data entry by automatically pre-populating data directly into NHTSA’s </w:t>
      </w:r>
      <w:r w:rsidRPr="00994FB7" w:rsidR="00C61E1F">
        <w:t>FARS, CRSS, CISS, SCI, NTS, CIREN</w:t>
      </w:r>
      <w:r w:rsidRPr="00994FB7" w:rsidR="00C61E1F">
        <w:t xml:space="preserve"> </w:t>
      </w:r>
      <w:r w:rsidRPr="00994FB7">
        <w:t xml:space="preserve">databases. States participating in EDT have seen improved efficiencies and data accuracy. Because of these benefits, </w:t>
      </w:r>
      <w:r w:rsidRPr="00994FB7" w:rsidR="00BC0C37">
        <w:t xml:space="preserve">the NHTSA </w:t>
      </w:r>
      <w:r w:rsidRPr="00994FB7">
        <w:t xml:space="preserve">advocates for broader SDT adoption as a best practice for crash data management. </w:t>
      </w:r>
    </w:p>
    <w:p w:rsidR="00A25538" w:rsidRPr="00994FB7" w:rsidP="0084322F" w14:paraId="1C028C91" w14:textId="7DAD394B">
      <w:pPr>
        <w:ind w:left="720"/>
        <w:rPr>
          <w:rFonts w:cs="Times New Roman"/>
          <w:szCs w:val="24"/>
        </w:rPr>
      </w:pPr>
      <w:r w:rsidRPr="00994FB7">
        <w:t>Broader SDT adoption by more States will support further efficiencies in FARS, CRSS, CISS</w:t>
      </w:r>
      <w:r w:rsidRPr="00994FB7" w:rsidR="0057336A">
        <w:t>, SCI, NTS, CIREN</w:t>
      </w:r>
      <w:r w:rsidRPr="00994FB7">
        <w:t xml:space="preserve"> and safety analysis throughout DOT.  This is a goal typically shared by both the States and the Federal offices responsible for management of the data.  As a result, </w:t>
      </w:r>
      <w:r w:rsidRPr="00994FB7" w:rsidR="00C66DD4">
        <w:t xml:space="preserve">DOT will advocate for </w:t>
      </w:r>
      <w:r w:rsidRPr="00994FB7" w:rsidR="00077F7A">
        <w:t>E</w:t>
      </w:r>
      <w:r w:rsidRPr="00994FB7" w:rsidR="00077F7A">
        <w:t>DT</w:t>
      </w:r>
      <w:r w:rsidRPr="00994FB7">
        <w:t xml:space="preserve"> adoption in the States as a best practice to improve the data management between State and Federal entities specific to crash and associated safety data</w:t>
      </w:r>
      <w:r w:rsidRPr="00994FB7">
        <w:t>.</w:t>
      </w:r>
    </w:p>
    <w:p w:rsidR="008A6B31" w:rsidRPr="00994FB7" w:rsidP="00D109CC" w14:paraId="28D74CDA" w14:textId="77777777">
      <w:pPr>
        <w:pStyle w:val="Heading2"/>
      </w:pPr>
      <w:bookmarkStart w:id="16" w:name="_Hlk51330529"/>
      <w:r w:rsidRPr="00994FB7">
        <w:t>If the collection of information impacts small businesses or other small entities, describe any methods used to minimize burden</w:t>
      </w:r>
      <w:bookmarkEnd w:id="16"/>
      <w:r w:rsidRPr="00994FB7">
        <w:t>.</w:t>
      </w:r>
    </w:p>
    <w:p w:rsidR="008E55F8" w:rsidRPr="00994FB7" w:rsidP="0084322F" w14:paraId="66AC12AF" w14:textId="017B50CA">
      <w:pPr>
        <w:tabs>
          <w:tab w:val="left" w:pos="-720"/>
          <w:tab w:val="left" w:pos="540"/>
        </w:tabs>
        <w:ind w:left="720"/>
      </w:pPr>
      <w:r w:rsidRPr="00994FB7">
        <w:t xml:space="preserve">This collection does not impact small </w:t>
      </w:r>
      <w:r w:rsidRPr="00994FB7" w:rsidR="002C427E">
        <w:t>businesses</w:t>
      </w:r>
      <w:r w:rsidRPr="00994FB7" w:rsidR="00737AC6">
        <w:t xml:space="preserve"> or other small </w:t>
      </w:r>
      <w:r w:rsidRPr="00994FB7">
        <w:t xml:space="preserve">entities.  </w:t>
      </w:r>
    </w:p>
    <w:p w:rsidR="005A3AB8" w:rsidRPr="00994FB7" w:rsidP="008359E3" w14:paraId="7AE890A5" w14:textId="44B207C0">
      <w:pPr>
        <w:ind w:left="720"/>
      </w:pPr>
      <w:r w:rsidRPr="00994FB7">
        <w:t xml:space="preserve">This voluntary information collection involves State agencies that collect crash data. Specifically, the collection involves </w:t>
      </w:r>
      <w:r w:rsidRPr="00994FB7">
        <w:rPr>
          <w:iCs/>
        </w:rPr>
        <w:t>State governments, the District of Columbia government, U.S. Territory governments and the Secretary of the Interior, acting on behalf of an Indian Tribe</w:t>
      </w:r>
      <w:r w:rsidRPr="00994FB7">
        <w:t>. For purposes of this collection, we refer to the respondents generically as “States.”</w:t>
      </w:r>
    </w:p>
    <w:p w:rsidR="008A6B31" w:rsidRPr="00994FB7" w:rsidP="00D109CC" w14:paraId="7255B0B4" w14:textId="72D71658">
      <w:pPr>
        <w:pStyle w:val="Heading2"/>
      </w:pPr>
      <w:bookmarkStart w:id="17" w:name="_Hlk51330653"/>
      <w:r w:rsidRPr="00994FB7">
        <w:t xml:space="preserve">Describe the </w:t>
      </w:r>
      <w:r w:rsidRPr="00994FB7" w:rsidR="00362AEB">
        <w:t>consequences</w:t>
      </w:r>
      <w:r w:rsidRPr="00994FB7">
        <w:t xml:space="preserve"> </w:t>
      </w:r>
      <w:r w:rsidRPr="00994FB7">
        <w:t>to</w:t>
      </w:r>
      <w:r w:rsidRPr="00994FB7">
        <w:t xml:space="preserve"> Federal program or policy activities if the collection is not conducted or is conducted less frequently, as well as any technical or legal obstacles to reducing burden.</w:t>
      </w:r>
    </w:p>
    <w:bookmarkEnd w:id="17"/>
    <w:p w:rsidR="007C5573" w:rsidRPr="00994FB7" w:rsidP="0093233F" w14:paraId="5C68EBEA" w14:textId="3AB2AC42">
      <w:pPr>
        <w:ind w:left="720"/>
      </w:pPr>
      <w:r w:rsidRPr="00994FB7">
        <w:t>SDT</w:t>
      </w:r>
      <w:r w:rsidRPr="00994FB7">
        <w:t xml:space="preserve"> </w:t>
      </w:r>
      <w:r w:rsidRPr="00994FB7" w:rsidR="006453C7">
        <w:t>serves as the sole source</w:t>
      </w:r>
      <w:r w:rsidRPr="00994FB7">
        <w:t xml:space="preserve"> </w:t>
      </w:r>
      <w:r w:rsidRPr="00994FB7" w:rsidR="004E3E00">
        <w:t xml:space="preserve">of </w:t>
      </w:r>
      <w:r w:rsidRPr="00994FB7" w:rsidR="002625AF">
        <w:t>comprehensive</w:t>
      </w:r>
      <w:r w:rsidRPr="00994FB7" w:rsidR="00F4461E">
        <w:t xml:space="preserve"> </w:t>
      </w:r>
      <w:r w:rsidRPr="00994FB7" w:rsidR="006F1A2C">
        <w:t>PCR</w:t>
      </w:r>
      <w:r w:rsidRPr="00994FB7" w:rsidR="00A50715">
        <w:t xml:space="preserve"> information</w:t>
      </w:r>
      <w:r w:rsidRPr="00994FB7" w:rsidR="007E52AA">
        <w:t>, consolidating</w:t>
      </w:r>
      <w:r w:rsidRPr="00994FB7" w:rsidR="00FF2501">
        <w:t xml:space="preserve"> data on </w:t>
      </w:r>
      <w:r w:rsidRPr="00994FB7">
        <w:t xml:space="preserve">injury and property-damage-only crashes </w:t>
      </w:r>
      <w:r w:rsidRPr="00994FB7" w:rsidR="00FF2501">
        <w:t xml:space="preserve">from </w:t>
      </w:r>
      <w:r w:rsidRPr="00994FB7" w:rsidR="00D80133">
        <w:t>participating states into a</w:t>
      </w:r>
      <w:r w:rsidRPr="00994FB7" w:rsidR="00A50715">
        <w:t xml:space="preserve"> </w:t>
      </w:r>
      <w:r w:rsidRPr="00994FB7" w:rsidR="00E83B0E">
        <w:t>single</w:t>
      </w:r>
      <w:r w:rsidRPr="00994FB7" w:rsidR="00A50715">
        <w:t xml:space="preserve"> data feed</w:t>
      </w:r>
      <w:r w:rsidRPr="00994FB7" w:rsidR="00B60FEA">
        <w:t xml:space="preserve">.  </w:t>
      </w:r>
      <w:r w:rsidRPr="00994FB7">
        <w:t xml:space="preserve">SDT data </w:t>
      </w:r>
      <w:r w:rsidRPr="00994FB7" w:rsidR="00A45D4D">
        <w:t>is</w:t>
      </w:r>
      <w:r w:rsidRPr="00994FB7" w:rsidR="00B70A4E">
        <w:t xml:space="preserve"> </w:t>
      </w:r>
      <w:r w:rsidRPr="00994FB7">
        <w:t xml:space="preserve">used to </w:t>
      </w:r>
      <w:r w:rsidRPr="00994FB7" w:rsidR="00B70A4E">
        <w:t xml:space="preserve">identify, </w:t>
      </w:r>
      <w:r w:rsidRPr="00994FB7" w:rsidR="002C6433">
        <w:t>evaluate,</w:t>
      </w:r>
      <w:r w:rsidRPr="00994FB7">
        <w:t xml:space="preserve"> and respond to changes in safety on </w:t>
      </w:r>
      <w:r w:rsidRPr="00994FB7" w:rsidR="00691A74">
        <w:t xml:space="preserve">our </w:t>
      </w:r>
      <w:r w:rsidRPr="00994FB7" w:rsidR="00970234">
        <w:t>N</w:t>
      </w:r>
      <w:r w:rsidRPr="00994FB7" w:rsidR="00691A74">
        <w:t>at</w:t>
      </w:r>
      <w:r w:rsidRPr="00994FB7" w:rsidR="00CE396C">
        <w:t>i</w:t>
      </w:r>
      <w:r w:rsidRPr="00994FB7" w:rsidR="00691A74">
        <w:t>on</w:t>
      </w:r>
      <w:r w:rsidRPr="00994FB7" w:rsidR="00970234">
        <w:t>’</w:t>
      </w:r>
      <w:r w:rsidRPr="00994FB7" w:rsidR="00691A74">
        <w:t>s</w:t>
      </w:r>
      <w:r w:rsidRPr="00994FB7">
        <w:t xml:space="preserve"> roadways. Studies in safety include vehicle technology</w:t>
      </w:r>
      <w:r w:rsidRPr="00994FB7" w:rsidR="00EA6658">
        <w:t>,</w:t>
      </w:r>
      <w:r w:rsidRPr="00994FB7">
        <w:t xml:space="preserve"> roadway</w:t>
      </w:r>
      <w:r w:rsidRPr="00994FB7" w:rsidR="00DE783D">
        <w:t xml:space="preserve"> infrastructure, </w:t>
      </w:r>
      <w:r w:rsidRPr="00994FB7">
        <w:t>passenger safety</w:t>
      </w:r>
      <w:r w:rsidRPr="00994FB7" w:rsidR="00691A74">
        <w:t>,</w:t>
      </w:r>
      <w:r w:rsidRPr="00994FB7">
        <w:t xml:space="preserve"> </w:t>
      </w:r>
      <w:r w:rsidRPr="00994FB7" w:rsidR="00691A74">
        <w:t>other road users and underserved populations</w:t>
      </w:r>
      <w:r w:rsidRPr="00994FB7">
        <w:t xml:space="preserve">. Absent the SDT program and the </w:t>
      </w:r>
      <w:r w:rsidRPr="00994FB7">
        <w:t>data</w:t>
      </w:r>
      <w:r w:rsidRPr="00994FB7">
        <w:t xml:space="preserve"> it collect</w:t>
      </w:r>
      <w:r w:rsidRPr="00994FB7" w:rsidR="00C652E1">
        <w:t>s</w:t>
      </w:r>
      <w:r w:rsidRPr="00994FB7">
        <w:t>, NHTSA</w:t>
      </w:r>
      <w:r w:rsidRPr="00994FB7" w:rsidR="0048243C">
        <w:t xml:space="preserve">’s ability to </w:t>
      </w:r>
      <w:r w:rsidRPr="00994FB7" w:rsidR="00A11F9E">
        <w:t>identify emerging highway safety trends, assess the effectiveness of motor vehicle safety standards and the impact of new and emerging technologies</w:t>
      </w:r>
      <w:r w:rsidRPr="00994FB7" w:rsidR="00CB2CFA">
        <w:t xml:space="preserve"> would be </w:t>
      </w:r>
      <w:r w:rsidRPr="00994FB7" w:rsidR="00D76C8F">
        <w:t>severely compromised</w:t>
      </w:r>
      <w:r w:rsidRPr="00994FB7" w:rsidR="00A11F9E">
        <w:t xml:space="preserve">.  </w:t>
      </w:r>
      <w:r w:rsidRPr="00994FB7" w:rsidR="001C6209">
        <w:t xml:space="preserve">Furthermore, </w:t>
      </w:r>
      <w:r w:rsidRPr="00994FB7" w:rsidR="00A11F9E">
        <w:t xml:space="preserve">NHTSA </w:t>
      </w:r>
      <w:r w:rsidRPr="00994FB7" w:rsidR="007E1D58">
        <w:t>would lack the</w:t>
      </w:r>
      <w:r w:rsidRPr="00994FB7" w:rsidR="00A02F6F">
        <w:t xml:space="preserve"> critical </w:t>
      </w:r>
      <w:r w:rsidRPr="00994FB7" w:rsidR="009A3D34">
        <w:t>data</w:t>
      </w:r>
      <w:r w:rsidRPr="00994FB7" w:rsidR="007E1D58">
        <w:t xml:space="preserve"> volume </w:t>
      </w:r>
      <w:r w:rsidRPr="00994FB7" w:rsidR="00407EE8">
        <w:t>required</w:t>
      </w:r>
      <w:r w:rsidRPr="00994FB7" w:rsidR="007E1D58">
        <w:t xml:space="preserve"> to estimate meaningful fatality rates</w:t>
      </w:r>
      <w:r w:rsidRPr="00994FB7" w:rsidR="00164304">
        <w:t>, especially</w:t>
      </w:r>
      <w:r w:rsidRPr="00994FB7" w:rsidR="007E1D58">
        <w:t xml:space="preserve"> regarding vehicle mass for CAFE rulemakings</w:t>
      </w:r>
      <w:r w:rsidRPr="00994FB7" w:rsidR="002516BB">
        <w:t>.</w:t>
      </w:r>
      <w:r w:rsidRPr="00994FB7">
        <w:t xml:space="preserve">  </w:t>
      </w:r>
    </w:p>
    <w:p w:rsidR="00FE0A40" w:rsidRPr="00994FB7" w:rsidP="0093233F" w14:paraId="402F5A08" w14:textId="7A8D5865">
      <w:pPr>
        <w:ind w:left="720"/>
      </w:pPr>
      <w:r w:rsidRPr="00994FB7">
        <w:t xml:space="preserve"> NHTSA uses the SDT data to estimate the effects of reducing vehicle mass (to help meet fuel economy targets) on fatalities. Without the volume of data from the States in the sample, it would not be feasible to estimate meaningful fatality rates or their relationship with vehicle mass.</w:t>
      </w:r>
      <w:r w:rsidRPr="00994FB7" w:rsidR="008359E3">
        <w:t xml:space="preserve"> </w:t>
      </w:r>
      <w:r w:rsidRPr="00994FB7" w:rsidR="00691A74">
        <w:t>NHTSA utilize</w:t>
      </w:r>
      <w:r w:rsidRPr="00994FB7" w:rsidR="00C652E1">
        <w:t>s</w:t>
      </w:r>
      <w:r w:rsidRPr="00994FB7" w:rsidR="00691A74">
        <w:t xml:space="preserve"> the </w:t>
      </w:r>
      <w:r w:rsidRPr="00994FB7" w:rsidR="007C5573">
        <w:t xml:space="preserve">SDT data </w:t>
      </w:r>
      <w:r w:rsidRPr="00994FB7" w:rsidR="00691A74">
        <w:t xml:space="preserve">to </w:t>
      </w:r>
      <w:r w:rsidRPr="00994FB7" w:rsidR="0012542F">
        <w:t>iden</w:t>
      </w:r>
      <w:r w:rsidRPr="00994FB7" w:rsidR="000B2FD8">
        <w:t>tify</w:t>
      </w:r>
      <w:r w:rsidRPr="00994FB7" w:rsidR="0012542F">
        <w:t xml:space="preserve"> crash-involved vehicles with </w:t>
      </w:r>
      <w:r w:rsidRPr="00994FB7" w:rsidR="00E0378D">
        <w:t>advanced driver assistance technologies</w:t>
      </w:r>
      <w:r w:rsidRPr="00994FB7" w:rsidR="0012542F">
        <w:t xml:space="preserve"> and </w:t>
      </w:r>
      <w:r w:rsidRPr="00994FB7" w:rsidR="007C5573">
        <w:t>evaluat</w:t>
      </w:r>
      <w:r w:rsidRPr="00994FB7" w:rsidR="0012542F">
        <w:t xml:space="preserve">e </w:t>
      </w:r>
      <w:r w:rsidRPr="00994FB7" w:rsidR="007C5573">
        <w:t>effectiveness</w:t>
      </w:r>
      <w:r w:rsidRPr="00994FB7" w:rsidR="006357C4">
        <w:t xml:space="preserve"> of the </w:t>
      </w:r>
      <w:r w:rsidRPr="00994FB7" w:rsidR="00E0378D">
        <w:t>s</w:t>
      </w:r>
      <w:r w:rsidRPr="00994FB7" w:rsidR="006357C4">
        <w:t>ystems</w:t>
      </w:r>
      <w:r w:rsidRPr="00994FB7" w:rsidR="007C5573">
        <w:t>.  W</w:t>
      </w:r>
      <w:r w:rsidRPr="00994FB7" w:rsidR="007834C6">
        <w:t xml:space="preserve">ithout SDT data, NHTSA would </w:t>
      </w:r>
      <w:r w:rsidRPr="00994FB7" w:rsidR="00AA454D">
        <w:t>not be</w:t>
      </w:r>
      <w:r w:rsidRPr="00994FB7" w:rsidR="00F6227F">
        <w:t xml:space="preserve"> </w:t>
      </w:r>
      <w:r w:rsidRPr="00994FB7" w:rsidR="007834C6">
        <w:t>able to</w:t>
      </w:r>
      <w:r w:rsidRPr="00994FB7" w:rsidR="005E213F">
        <w:t xml:space="preserve"> estimate the effectiveness of vehicles equipped with a</w:t>
      </w:r>
      <w:r w:rsidRPr="00994FB7" w:rsidR="00E0378D">
        <w:t>dvanced</w:t>
      </w:r>
      <w:r w:rsidRPr="00994FB7" w:rsidR="005E213F">
        <w:t xml:space="preserve"> driver assistance technologies.  A</w:t>
      </w:r>
      <w:r w:rsidRPr="00994FB7" w:rsidR="00E0378D">
        <w:t>dvanced</w:t>
      </w:r>
      <w:r w:rsidRPr="00994FB7" w:rsidR="005E213F">
        <w:t xml:space="preserve"> driver assistance technologies are </w:t>
      </w:r>
      <w:r w:rsidRPr="00994FB7" w:rsidR="00B511AF">
        <w:t xml:space="preserve">relatively </w:t>
      </w:r>
      <w:r w:rsidRPr="00994FB7" w:rsidR="005E213F">
        <w:t xml:space="preserve">new and </w:t>
      </w:r>
      <w:r w:rsidRPr="00994FB7" w:rsidR="00B511AF">
        <w:t>are</w:t>
      </w:r>
      <w:r w:rsidRPr="00994FB7" w:rsidR="005E213F">
        <w:t xml:space="preserve"> only offer</w:t>
      </w:r>
      <w:r w:rsidRPr="00994FB7" w:rsidR="009A593D">
        <w:t>ed</w:t>
      </w:r>
      <w:r w:rsidRPr="00994FB7" w:rsidR="005E213F">
        <w:t xml:space="preserve"> in new vehicles</w:t>
      </w:r>
      <w:r w:rsidRPr="00994FB7" w:rsidR="009A593D">
        <w:t>,</w:t>
      </w:r>
      <w:r w:rsidRPr="00994FB7" w:rsidR="005E213F">
        <w:t xml:space="preserve"> </w:t>
      </w:r>
      <w:r w:rsidRPr="00994FB7" w:rsidR="009A593D">
        <w:t xml:space="preserve">which </w:t>
      </w:r>
      <w:r w:rsidRPr="00994FB7" w:rsidR="005E213F">
        <w:t xml:space="preserve">represent </w:t>
      </w:r>
      <w:r w:rsidRPr="00994FB7" w:rsidR="009A593D">
        <w:t xml:space="preserve">a </w:t>
      </w:r>
      <w:r w:rsidRPr="00994FB7" w:rsidR="005E213F">
        <w:t>small proportion of all vehicles</w:t>
      </w:r>
      <w:r w:rsidRPr="00994FB7" w:rsidR="00DB10A0">
        <w:t xml:space="preserve">, </w:t>
      </w:r>
      <w:r w:rsidRPr="00994FB7" w:rsidR="005E213F">
        <w:t xml:space="preserve">and </w:t>
      </w:r>
      <w:r w:rsidRPr="00994FB7" w:rsidR="00B511AF">
        <w:t xml:space="preserve">an </w:t>
      </w:r>
      <w:r w:rsidRPr="00994FB7" w:rsidR="005E213F">
        <w:t>even small</w:t>
      </w:r>
      <w:r w:rsidRPr="00994FB7" w:rsidR="009A593D">
        <w:t>er</w:t>
      </w:r>
      <w:r w:rsidRPr="00994FB7" w:rsidR="005E213F">
        <w:t xml:space="preserve"> proportion of vehicles involved in crashes.  SDT </w:t>
      </w:r>
      <w:r w:rsidRPr="00994FB7" w:rsidR="009175BF">
        <w:t>is</w:t>
      </w:r>
      <w:r w:rsidRPr="00994FB7" w:rsidR="005E213F">
        <w:t xml:space="preserve"> the </w:t>
      </w:r>
      <w:r w:rsidRPr="00994FB7" w:rsidR="00B511AF">
        <w:t xml:space="preserve">most effective way to collect data on </w:t>
      </w:r>
      <w:r w:rsidRPr="00994FB7" w:rsidR="005E213F">
        <w:t>vehicles with th</w:t>
      </w:r>
      <w:r w:rsidRPr="00994FB7" w:rsidR="00B511AF">
        <w:t>ese</w:t>
      </w:r>
      <w:r w:rsidRPr="00994FB7" w:rsidR="005E213F">
        <w:t xml:space="preserve"> new technolog</w:t>
      </w:r>
      <w:r w:rsidRPr="00994FB7" w:rsidR="00B511AF">
        <w:t>ies</w:t>
      </w:r>
      <w:r w:rsidRPr="00994FB7" w:rsidR="005E213F">
        <w:t xml:space="preserve">.  </w:t>
      </w:r>
      <w:r w:rsidRPr="00994FB7" w:rsidR="00B60FEA">
        <w:t xml:space="preserve">The </w:t>
      </w:r>
      <w:r w:rsidRPr="00994FB7">
        <w:t xml:space="preserve">SDT data </w:t>
      </w:r>
      <w:r w:rsidRPr="00994FB7" w:rsidR="00B60FEA">
        <w:t xml:space="preserve">collection </w:t>
      </w:r>
      <w:r w:rsidRPr="00994FB7" w:rsidR="00520BFD">
        <w:t xml:space="preserve">provides NHTSA with </w:t>
      </w:r>
      <w:r w:rsidRPr="00994FB7" w:rsidR="00DB10A0">
        <w:t>a</w:t>
      </w:r>
      <w:r w:rsidRPr="00994FB7" w:rsidR="00520BFD">
        <w:t xml:space="preserve"> large dataset </w:t>
      </w:r>
      <w:r w:rsidRPr="00994FB7" w:rsidR="00B60FEA">
        <w:t>and enhance</w:t>
      </w:r>
      <w:r w:rsidRPr="00994FB7" w:rsidR="00DB10A0">
        <w:t>s</w:t>
      </w:r>
      <w:r w:rsidRPr="00994FB7">
        <w:t xml:space="preserve"> NHTSA</w:t>
      </w:r>
      <w:r w:rsidRPr="00994FB7" w:rsidR="00B60FEA">
        <w:t>’s</w:t>
      </w:r>
      <w:r w:rsidRPr="00994FB7">
        <w:t xml:space="preserve"> ability to estimate effectiveness of </w:t>
      </w:r>
      <w:r w:rsidRPr="00994FB7" w:rsidR="00B60FEA">
        <w:t xml:space="preserve">these </w:t>
      </w:r>
      <w:r w:rsidRPr="00994FB7">
        <w:t>new technologies.</w:t>
      </w:r>
    </w:p>
    <w:p w:rsidR="00A25538" w:rsidRPr="00994FB7" w:rsidP="008A6B31" w14:paraId="05CB15A4" w14:textId="7C5C0303">
      <w:pPr>
        <w:ind w:left="720"/>
      </w:pPr>
      <w:r w:rsidRPr="00994FB7">
        <w:t>Furthermore, the SDT program</w:t>
      </w:r>
      <w:r w:rsidRPr="00994FB7">
        <w:t xml:space="preserve"> </w:t>
      </w:r>
      <w:r w:rsidRPr="00994FB7">
        <w:t>allow</w:t>
      </w:r>
      <w:r w:rsidRPr="00994FB7" w:rsidR="00D845C6">
        <w:t>s</w:t>
      </w:r>
      <w:r w:rsidRPr="00994FB7">
        <w:t xml:space="preserve"> NHTSA to decrease the burden on States associated with NHTSA’s existing motor vehicle crash data collections </w:t>
      </w:r>
      <w:r w:rsidRPr="00994FB7" w:rsidR="00B60FEA">
        <w:t xml:space="preserve">as </w:t>
      </w:r>
      <w:r w:rsidRPr="00994FB7">
        <w:t xml:space="preserve">described above.  Absent implementation of the SDT program, States will continue to provide the data separately for each motor vehicle crash data collection, which frequently requires manual data entry.  By establishing one electronic transfer of State motor vehicle crash data under SDT, the burden on the participating States </w:t>
      </w:r>
      <w:r w:rsidRPr="00994FB7" w:rsidR="009A4967">
        <w:t>is</w:t>
      </w:r>
      <w:r w:rsidRPr="00994FB7">
        <w:t xml:space="preserve"> reduced and the data timeliness and accuracy increased.  The electronic nature of the SDT program provides higher frequency data transfer with lower effort</w:t>
      </w:r>
      <w:r w:rsidRPr="00994FB7" w:rsidR="00267709">
        <w:t xml:space="preserve">; </w:t>
      </w:r>
      <w:r w:rsidRPr="00994FB7" w:rsidR="003A2353">
        <w:t>without the SDT program, States would be forced to revert to manually entering and providing data separately for each NHTSA crash study, drastically increasing their administrative burden</w:t>
      </w:r>
      <w:r w:rsidRPr="00994FB7">
        <w:t>.</w:t>
      </w:r>
    </w:p>
    <w:p w:rsidR="008A6B31" w:rsidRPr="00994FB7" w:rsidP="00D109CC" w14:paraId="5B09E0B6" w14:textId="77777777">
      <w:pPr>
        <w:pStyle w:val="Heading2"/>
      </w:pPr>
      <w:bookmarkStart w:id="18" w:name="_Hlk51330697"/>
      <w:r w:rsidRPr="00994FB7">
        <w:t>Explain any special circumstances that would cause an information collection to be conducted in a manner:</w:t>
      </w:r>
    </w:p>
    <w:p w:rsidR="008A6B31" w:rsidRPr="00994FB7" w:rsidP="008A6B31" w14:paraId="24FE7F6F" w14:textId="77777777">
      <w:pPr>
        <w:pStyle w:val="ListParagraph"/>
        <w:numPr>
          <w:ilvl w:val="1"/>
          <w:numId w:val="2"/>
        </w:numPr>
        <w:autoSpaceDE w:val="0"/>
        <w:autoSpaceDN w:val="0"/>
        <w:adjustRightInd w:val="0"/>
        <w:spacing w:after="0" w:line="240" w:lineRule="auto"/>
        <w:rPr>
          <w:rFonts w:cs="Times New Roman"/>
          <w:b/>
          <w:szCs w:val="24"/>
        </w:rPr>
      </w:pPr>
      <w:r w:rsidRPr="00994FB7">
        <w:rPr>
          <w:rFonts w:cs="Times New Roman"/>
          <w:b/>
          <w:szCs w:val="24"/>
        </w:rPr>
        <w:t>requiring respondents to report information to the agency more often than quarterly;</w:t>
      </w:r>
    </w:p>
    <w:p w:rsidR="008A6B31" w:rsidRPr="00994FB7" w:rsidP="008A6B31" w14:paraId="526B8C95" w14:textId="77777777">
      <w:pPr>
        <w:pStyle w:val="ListParagraph"/>
        <w:numPr>
          <w:ilvl w:val="1"/>
          <w:numId w:val="2"/>
        </w:numPr>
        <w:autoSpaceDE w:val="0"/>
        <w:autoSpaceDN w:val="0"/>
        <w:adjustRightInd w:val="0"/>
        <w:spacing w:after="0" w:line="240" w:lineRule="auto"/>
        <w:rPr>
          <w:rFonts w:cs="Times New Roman"/>
          <w:b/>
          <w:szCs w:val="24"/>
        </w:rPr>
      </w:pPr>
      <w:r w:rsidRPr="00994FB7">
        <w:rPr>
          <w:rFonts w:cs="Times New Roman"/>
          <w:b/>
          <w:szCs w:val="24"/>
        </w:rPr>
        <w:t>requiring respondents to prepare a written response to a collection of information in fewer than 30 days after receipt of it;</w:t>
      </w:r>
    </w:p>
    <w:p w:rsidR="008A6B31" w:rsidRPr="00994FB7" w:rsidP="008A6B31" w14:paraId="02FD0002" w14:textId="77777777">
      <w:pPr>
        <w:pStyle w:val="ListParagraph"/>
        <w:numPr>
          <w:ilvl w:val="1"/>
          <w:numId w:val="2"/>
        </w:numPr>
        <w:autoSpaceDE w:val="0"/>
        <w:autoSpaceDN w:val="0"/>
        <w:adjustRightInd w:val="0"/>
        <w:spacing w:after="0" w:line="240" w:lineRule="auto"/>
        <w:rPr>
          <w:rFonts w:cs="Times New Roman"/>
          <w:b/>
          <w:szCs w:val="24"/>
        </w:rPr>
      </w:pPr>
      <w:r w:rsidRPr="00994FB7">
        <w:rPr>
          <w:rFonts w:cs="Times New Roman"/>
          <w:b/>
          <w:szCs w:val="24"/>
        </w:rPr>
        <w:t>requiring respondents to submit more than an original and two copies of any document;</w:t>
      </w:r>
    </w:p>
    <w:p w:rsidR="008A6B31" w:rsidRPr="00994FB7" w:rsidP="008A6B31" w14:paraId="3EF5F1F7" w14:textId="77777777">
      <w:pPr>
        <w:pStyle w:val="ListParagraph"/>
        <w:numPr>
          <w:ilvl w:val="1"/>
          <w:numId w:val="2"/>
        </w:numPr>
        <w:autoSpaceDE w:val="0"/>
        <w:autoSpaceDN w:val="0"/>
        <w:adjustRightInd w:val="0"/>
        <w:spacing w:after="0" w:line="240" w:lineRule="auto"/>
        <w:rPr>
          <w:rFonts w:cs="Times New Roman"/>
          <w:b/>
          <w:szCs w:val="24"/>
        </w:rPr>
      </w:pPr>
      <w:r w:rsidRPr="00994FB7">
        <w:rPr>
          <w:rFonts w:cs="Times New Roman"/>
          <w:b/>
          <w:szCs w:val="24"/>
        </w:rPr>
        <w:t>requiring respondents to retain records, other than health, medical, government contract, grant-in-aid, or tax records, for more than three years;</w:t>
      </w:r>
    </w:p>
    <w:p w:rsidR="008A6B31" w:rsidRPr="00994FB7" w:rsidP="008A6B31" w14:paraId="7C507522" w14:textId="77777777">
      <w:pPr>
        <w:pStyle w:val="ListParagraph"/>
        <w:numPr>
          <w:ilvl w:val="1"/>
          <w:numId w:val="2"/>
        </w:numPr>
        <w:autoSpaceDE w:val="0"/>
        <w:autoSpaceDN w:val="0"/>
        <w:adjustRightInd w:val="0"/>
        <w:spacing w:after="0" w:line="240" w:lineRule="auto"/>
        <w:rPr>
          <w:rFonts w:cs="Times New Roman"/>
          <w:b/>
          <w:szCs w:val="24"/>
        </w:rPr>
      </w:pPr>
      <w:r w:rsidRPr="00994FB7">
        <w:rPr>
          <w:rFonts w:cs="Times New Roman"/>
          <w:b/>
          <w:szCs w:val="24"/>
        </w:rPr>
        <w:t>in connection with a statistical survey, that is not designed to produce valid and reliable results that can be generalized to the universe of study;</w:t>
      </w:r>
    </w:p>
    <w:p w:rsidR="008A6B31" w:rsidRPr="00994FB7" w:rsidP="008A6B31" w14:paraId="35AA997B" w14:textId="77777777">
      <w:pPr>
        <w:pStyle w:val="ListParagraph"/>
        <w:numPr>
          <w:ilvl w:val="1"/>
          <w:numId w:val="2"/>
        </w:numPr>
        <w:autoSpaceDE w:val="0"/>
        <w:autoSpaceDN w:val="0"/>
        <w:adjustRightInd w:val="0"/>
        <w:spacing w:after="0" w:line="240" w:lineRule="auto"/>
        <w:rPr>
          <w:rFonts w:cs="Times New Roman"/>
          <w:b/>
          <w:szCs w:val="24"/>
        </w:rPr>
      </w:pPr>
      <w:r w:rsidRPr="00994FB7">
        <w:rPr>
          <w:rFonts w:cs="Times New Roman"/>
          <w:b/>
          <w:szCs w:val="24"/>
        </w:rPr>
        <w:t>requiring the use of a statistical data classification that has not been reviewed and approved by OMB;</w:t>
      </w:r>
    </w:p>
    <w:p w:rsidR="008A6B31" w:rsidRPr="00994FB7" w:rsidP="008A6B31" w14:paraId="6CCECE89" w14:textId="77777777">
      <w:pPr>
        <w:pStyle w:val="ListParagraph"/>
        <w:numPr>
          <w:ilvl w:val="1"/>
          <w:numId w:val="2"/>
        </w:numPr>
        <w:autoSpaceDE w:val="0"/>
        <w:autoSpaceDN w:val="0"/>
        <w:adjustRightInd w:val="0"/>
        <w:spacing w:after="0" w:line="240" w:lineRule="auto"/>
        <w:rPr>
          <w:rFonts w:cs="Times New Roman"/>
          <w:b/>
          <w:szCs w:val="24"/>
        </w:rPr>
      </w:pPr>
      <w:r w:rsidRPr="00994FB7">
        <w:rPr>
          <w:rFonts w:cs="Times New Roman"/>
          <w:b/>
          <w:szCs w:val="24"/>
        </w:rPr>
        <w:t>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8A6B31" w:rsidRPr="00994FB7" w:rsidP="008A6B31" w14:paraId="54D64937" w14:textId="77777777">
      <w:pPr>
        <w:pStyle w:val="ListParagraph"/>
        <w:numPr>
          <w:ilvl w:val="1"/>
          <w:numId w:val="2"/>
        </w:numPr>
        <w:autoSpaceDE w:val="0"/>
        <w:autoSpaceDN w:val="0"/>
        <w:adjustRightInd w:val="0"/>
        <w:spacing w:after="0" w:line="240" w:lineRule="auto"/>
        <w:rPr>
          <w:rFonts w:cs="Times New Roman"/>
          <w:b/>
          <w:szCs w:val="24"/>
        </w:rPr>
      </w:pPr>
      <w:bookmarkStart w:id="19" w:name="_Hlk45117573"/>
      <w:r w:rsidRPr="00994FB7">
        <w:rPr>
          <w:rFonts w:cs="Times New Roman"/>
          <w:b/>
          <w:szCs w:val="24"/>
        </w:rPr>
        <w:t>requiring respondents to submit proprietary trade secrets, or other confidential information unless the agency can demonstrate that it has instituted procedures to protect the information's confidentiality to the extent permitted by law.</w:t>
      </w:r>
    </w:p>
    <w:bookmarkEnd w:id="18"/>
    <w:bookmarkEnd w:id="19"/>
    <w:p w:rsidR="008A6B31" w:rsidRPr="00994FB7" w:rsidP="008A6B31" w14:paraId="3BC3AF1A" w14:textId="77777777">
      <w:pPr>
        <w:autoSpaceDE w:val="0"/>
        <w:autoSpaceDN w:val="0"/>
        <w:adjustRightInd w:val="0"/>
        <w:spacing w:after="0" w:line="240" w:lineRule="auto"/>
        <w:rPr>
          <w:rFonts w:cs="Times New Roman"/>
          <w:szCs w:val="24"/>
        </w:rPr>
      </w:pPr>
    </w:p>
    <w:p w:rsidR="00757DEF" w:rsidRPr="00994FB7" w:rsidP="692EEF07" w14:paraId="5D215667" w14:textId="7DC56313">
      <w:pPr>
        <w:ind w:left="720"/>
      </w:pPr>
      <w:r w:rsidRPr="00994FB7">
        <w:t>Most</w:t>
      </w:r>
      <w:r w:rsidRPr="00994FB7" w:rsidR="00535C00">
        <w:t xml:space="preserve"> d</w:t>
      </w:r>
      <w:r w:rsidRPr="00994FB7" w:rsidR="00C57D58">
        <w:t xml:space="preserve">ata </w:t>
      </w:r>
      <w:r w:rsidRPr="00994FB7" w:rsidR="009D1BA4">
        <w:t>received</w:t>
      </w:r>
      <w:r w:rsidRPr="00994FB7" w:rsidR="00535C00">
        <w:t xml:space="preserve"> from respondents is </w:t>
      </w:r>
      <w:r w:rsidRPr="00994FB7" w:rsidR="00AC1795">
        <w:t>daily/</w:t>
      </w:r>
      <w:r w:rsidRPr="00994FB7" w:rsidR="00535C00">
        <w:t xml:space="preserve">nightly, there are some respondents that </w:t>
      </w:r>
      <w:r w:rsidRPr="00994FB7" w:rsidR="00B335A9">
        <w:t>submit</w:t>
      </w:r>
      <w:r w:rsidRPr="00994FB7" w:rsidR="00AC1795">
        <w:t xml:space="preserve"> </w:t>
      </w:r>
      <w:r w:rsidRPr="00994FB7" w:rsidR="00535C00">
        <w:t>weekly</w:t>
      </w:r>
      <w:r w:rsidRPr="00994FB7" w:rsidR="00C57D58">
        <w:t xml:space="preserve"> </w:t>
      </w:r>
      <w:r w:rsidRPr="00994FB7" w:rsidR="00AC1795">
        <w:t xml:space="preserve">or monthly, which is </w:t>
      </w:r>
      <w:r w:rsidRPr="00994FB7" w:rsidR="00C57D58">
        <w:t>more often than quarterly because the EDT protocol relies on automated, nightly electronic feed</w:t>
      </w:r>
      <w:r w:rsidRPr="00994FB7" w:rsidR="00AC1795">
        <w:t>s</w:t>
      </w:r>
      <w:r w:rsidRPr="00994FB7" w:rsidR="00391BDB">
        <w:t>.</w:t>
      </w:r>
      <w:r w:rsidRPr="00994FB7" w:rsidR="2C516FEF">
        <w:t xml:space="preserve"> </w:t>
      </w:r>
      <w:r w:rsidRPr="00994FB7" w:rsidR="00056E38">
        <w:t xml:space="preserve">The information is </w:t>
      </w:r>
      <w:r w:rsidRPr="00994FB7">
        <w:t xml:space="preserve">submitted electronically using secure protocols </w:t>
      </w:r>
      <w:r w:rsidRPr="00994FB7" w:rsidR="00862DA7">
        <w:t xml:space="preserve">and at a frequency </w:t>
      </w:r>
      <w:r w:rsidRPr="00994FB7">
        <w:t xml:space="preserve">agreed upon by both State and Federal offices. </w:t>
      </w:r>
      <w:r w:rsidRPr="00994FB7" w:rsidR="00B60FEA">
        <w:t xml:space="preserve"> </w:t>
      </w:r>
      <w:r w:rsidRPr="00994FB7">
        <w:t xml:space="preserve">The electronic-only submittal is </w:t>
      </w:r>
      <w:r w:rsidRPr="00994FB7" w:rsidR="00605871">
        <w:t xml:space="preserve">intended </w:t>
      </w:r>
      <w:r w:rsidRPr="00994FB7">
        <w:t xml:space="preserve">to decrease the data management and communication burden on all </w:t>
      </w:r>
      <w:r w:rsidRPr="00994FB7">
        <w:t>involved parties</w:t>
      </w:r>
      <w:r w:rsidRPr="00994FB7">
        <w:t xml:space="preserve">.  When </w:t>
      </w:r>
      <w:r w:rsidRPr="00994FB7" w:rsidR="00C80D18">
        <w:t xml:space="preserve">adopted, the EDT protocol </w:t>
      </w:r>
      <w:r w:rsidRPr="00994FB7">
        <w:t>replaces costly and time-consuming manual or paper-based processes.</w:t>
      </w:r>
    </w:p>
    <w:p w:rsidR="008A6B31" w:rsidRPr="00994FB7" w:rsidP="0093233F" w14:paraId="62FCA514" w14:textId="227DFAB6">
      <w:pPr>
        <w:ind w:left="720"/>
        <w:rPr>
          <w:rFonts w:cs="Times New Roman"/>
        </w:rPr>
      </w:pPr>
      <w:r w:rsidRPr="00994FB7">
        <w:rPr>
          <w:rFonts w:cs="Times New Roman"/>
        </w:rPr>
        <w:t>This collection does not require respondents to submit more than an original and two copies of any document</w:t>
      </w:r>
      <w:r w:rsidRPr="00994FB7" w:rsidR="00B60FEA">
        <w:rPr>
          <w:rFonts w:cs="Times New Roman"/>
        </w:rPr>
        <w:t>, though</w:t>
      </w:r>
      <w:r w:rsidRPr="00994FB7" w:rsidR="006429C6">
        <w:rPr>
          <w:rFonts w:cs="Times New Roman"/>
        </w:rPr>
        <w:t xml:space="preserve"> respondents </w:t>
      </w:r>
      <w:r w:rsidRPr="00994FB7" w:rsidR="00B60FEA">
        <w:rPr>
          <w:rFonts w:cs="Times New Roman"/>
        </w:rPr>
        <w:t>may</w:t>
      </w:r>
      <w:r w:rsidRPr="00994FB7" w:rsidR="006429C6">
        <w:rPr>
          <w:rFonts w:cs="Times New Roman"/>
        </w:rPr>
        <w:t xml:space="preserve"> send several copies of one P</w:t>
      </w:r>
      <w:r w:rsidRPr="00994FB7" w:rsidR="0000062A">
        <w:rPr>
          <w:rFonts w:cs="Times New Roman"/>
        </w:rPr>
        <w:t>C</w:t>
      </w:r>
      <w:r w:rsidRPr="00994FB7" w:rsidR="006429C6">
        <w:rPr>
          <w:rFonts w:cs="Times New Roman"/>
        </w:rPr>
        <w:t>R if there are updates to a crash</w:t>
      </w:r>
      <w:r w:rsidRPr="00994FB7" w:rsidR="009D1BA4">
        <w:rPr>
          <w:rFonts w:cs="Times New Roman"/>
        </w:rPr>
        <w:t xml:space="preserve"> report</w:t>
      </w:r>
      <w:r w:rsidRPr="00994FB7" w:rsidR="006429C6">
        <w:rPr>
          <w:rFonts w:cs="Times New Roman"/>
        </w:rPr>
        <w:t xml:space="preserve">. </w:t>
      </w:r>
      <w:r w:rsidRPr="00994FB7" w:rsidR="00B60FEA">
        <w:rPr>
          <w:rFonts w:cs="Times New Roman"/>
        </w:rPr>
        <w:t xml:space="preserve"> </w:t>
      </w:r>
      <w:r w:rsidRPr="00994FB7" w:rsidR="00D10617">
        <w:rPr>
          <w:rFonts w:cs="Times New Roman"/>
        </w:rPr>
        <w:t>T</w:t>
      </w:r>
      <w:r w:rsidRPr="00994FB7" w:rsidR="006429C6">
        <w:rPr>
          <w:rFonts w:cs="Times New Roman"/>
        </w:rPr>
        <w:t xml:space="preserve">he process is automated and happens without human intervention. </w:t>
      </w:r>
      <w:r w:rsidRPr="00994FB7" w:rsidR="00B60FEA">
        <w:rPr>
          <w:rFonts w:cs="Times New Roman"/>
        </w:rPr>
        <w:t xml:space="preserve"> </w:t>
      </w:r>
      <w:r w:rsidRPr="00994FB7" w:rsidR="006429C6">
        <w:rPr>
          <w:rFonts w:cs="Times New Roman"/>
        </w:rPr>
        <w:t>If there are any updates for a crash after the information has been sent to NHTSA, the States’ electronic system</w:t>
      </w:r>
      <w:r w:rsidRPr="00994FB7" w:rsidR="00B746FF">
        <w:rPr>
          <w:rFonts w:cs="Times New Roman"/>
        </w:rPr>
        <w:t>s</w:t>
      </w:r>
      <w:r w:rsidRPr="00994FB7" w:rsidR="006429C6">
        <w:rPr>
          <w:rFonts w:cs="Times New Roman"/>
        </w:rPr>
        <w:t xml:space="preserve"> send updates automatically and NHTSA’s EDT process receives the information and updates </w:t>
      </w:r>
      <w:r w:rsidRPr="00994FB7" w:rsidR="00B746FF">
        <w:rPr>
          <w:rFonts w:cs="Times New Roman"/>
        </w:rPr>
        <w:t xml:space="preserve">its </w:t>
      </w:r>
      <w:r w:rsidRPr="00994FB7" w:rsidR="006429C6">
        <w:rPr>
          <w:rFonts w:cs="Times New Roman"/>
        </w:rPr>
        <w:t>records automatically.</w:t>
      </w:r>
    </w:p>
    <w:p w:rsidR="00DF4500" w:rsidRPr="00994FB7" w:rsidP="128DDDFD" w14:paraId="0C87693F" w14:textId="32643888">
      <w:pPr>
        <w:ind w:left="720"/>
        <w:rPr>
          <w:rFonts w:cs="Times New Roman"/>
        </w:rPr>
      </w:pPr>
      <w:r w:rsidRPr="128DDDFD">
        <w:rPr>
          <w:rFonts w:cs="Times New Roman"/>
        </w:rPr>
        <w:t xml:space="preserve">Through </w:t>
      </w:r>
      <w:r w:rsidRPr="128DDDFD" w:rsidR="00D87915">
        <w:rPr>
          <w:rFonts w:cs="Times New Roman"/>
        </w:rPr>
        <w:t xml:space="preserve">the </w:t>
      </w:r>
      <w:r w:rsidRPr="128DDDFD">
        <w:rPr>
          <w:rFonts w:cs="Times New Roman"/>
        </w:rPr>
        <w:t>EDT</w:t>
      </w:r>
      <w:r w:rsidRPr="128DDDFD" w:rsidR="00D87915">
        <w:rPr>
          <w:rFonts w:cs="Times New Roman"/>
        </w:rPr>
        <w:t xml:space="preserve"> protocol</w:t>
      </w:r>
      <w:r w:rsidRPr="128DDDFD">
        <w:rPr>
          <w:rFonts w:cs="Times New Roman"/>
        </w:rPr>
        <w:t xml:space="preserve">, NHTSA </w:t>
      </w:r>
      <w:r w:rsidRPr="128DDDFD" w:rsidR="00D87915">
        <w:rPr>
          <w:rFonts w:cs="Times New Roman"/>
        </w:rPr>
        <w:t>receives</w:t>
      </w:r>
      <w:r w:rsidRPr="128DDDFD">
        <w:rPr>
          <w:rFonts w:cs="Times New Roman"/>
        </w:rPr>
        <w:t xml:space="preserve"> race</w:t>
      </w:r>
      <w:r w:rsidRPr="128DDDFD" w:rsidR="00D87915">
        <w:rPr>
          <w:rFonts w:cs="Times New Roman"/>
        </w:rPr>
        <w:t xml:space="preserve"> and </w:t>
      </w:r>
      <w:r w:rsidRPr="128DDDFD">
        <w:rPr>
          <w:rFonts w:cs="Times New Roman"/>
        </w:rPr>
        <w:t xml:space="preserve">ethnicity information from </w:t>
      </w:r>
      <w:r w:rsidRPr="128DDDFD" w:rsidR="00D87915">
        <w:rPr>
          <w:rFonts w:cs="Times New Roman"/>
        </w:rPr>
        <w:t>a subset</w:t>
      </w:r>
      <w:r w:rsidRPr="128DDDFD">
        <w:rPr>
          <w:rFonts w:cs="Times New Roman"/>
        </w:rPr>
        <w:t xml:space="preserve"> </w:t>
      </w:r>
      <w:r w:rsidRPr="128DDDFD" w:rsidR="00345812">
        <w:rPr>
          <w:rFonts w:cs="Times New Roman"/>
        </w:rPr>
        <w:t xml:space="preserve">of </w:t>
      </w:r>
      <w:r w:rsidRPr="128DDDFD" w:rsidR="00460FAE">
        <w:rPr>
          <w:rFonts w:cs="Times New Roman"/>
        </w:rPr>
        <w:t xml:space="preserve">participating </w:t>
      </w:r>
      <w:r w:rsidRPr="128DDDFD" w:rsidR="00D87915">
        <w:rPr>
          <w:rFonts w:cs="Times New Roman"/>
        </w:rPr>
        <w:t xml:space="preserve">states. Because this </w:t>
      </w:r>
      <w:r w:rsidRPr="128DDDFD" w:rsidR="00B31495">
        <w:rPr>
          <w:rFonts w:cs="Times New Roman"/>
        </w:rPr>
        <w:t xml:space="preserve">data originates from </w:t>
      </w:r>
      <w:r w:rsidRPr="128DDDFD" w:rsidR="00D87915">
        <w:rPr>
          <w:rFonts w:cs="Times New Roman"/>
        </w:rPr>
        <w:t>disparate</w:t>
      </w:r>
      <w:r w:rsidRPr="128DDDFD" w:rsidR="00B335A9">
        <w:rPr>
          <w:rFonts w:cs="Times New Roman"/>
        </w:rPr>
        <w:t xml:space="preserve">, non-standardized, </w:t>
      </w:r>
      <w:r w:rsidRPr="128DDDFD" w:rsidR="00D87915">
        <w:rPr>
          <w:rFonts w:cs="Times New Roman"/>
        </w:rPr>
        <w:t xml:space="preserve">state-level </w:t>
      </w:r>
      <w:r w:rsidRPr="128DDDFD" w:rsidR="00B31495">
        <w:rPr>
          <w:rFonts w:cs="Times New Roman"/>
        </w:rPr>
        <w:t>sources</w:t>
      </w:r>
      <w:r w:rsidRPr="128DDDFD" w:rsidR="00D87915">
        <w:rPr>
          <w:rFonts w:cs="Times New Roman"/>
        </w:rPr>
        <w:t>, it generally lacks the granularity required for full compliance with Statistical Policy Directive No. 15 (</w:t>
      </w:r>
      <w:r w:rsidRPr="128DDDFD" w:rsidR="00B31495">
        <w:rPr>
          <w:rFonts w:cs="Times New Roman"/>
        </w:rPr>
        <w:t>SPD-15</w:t>
      </w:r>
      <w:r w:rsidRPr="128DDDFD" w:rsidR="00D87915">
        <w:rPr>
          <w:rFonts w:cs="Times New Roman"/>
        </w:rPr>
        <w:t xml:space="preserve">). </w:t>
      </w:r>
      <w:r w:rsidRPr="128DDDFD" w:rsidR="00B335A9">
        <w:rPr>
          <w:rFonts w:cs="Times New Roman"/>
        </w:rPr>
        <w:t>Therefore,</w:t>
      </w:r>
      <w:r w:rsidRPr="128DDDFD" w:rsidR="00D87915">
        <w:rPr>
          <w:rFonts w:cs="Times New Roman"/>
        </w:rPr>
        <w:t xml:space="preserve"> NHTSA does not currently intend to standardize or publish this specific data subset</w:t>
      </w:r>
      <w:r w:rsidR="00E617A9">
        <w:rPr>
          <w:rFonts w:cs="Times New Roman"/>
        </w:rPr>
        <w:t>.</w:t>
      </w:r>
      <w:r w:rsidRPr="128DDDFD" w:rsidR="008C4BDB">
        <w:rPr>
          <w:rFonts w:cs="Times New Roman"/>
        </w:rPr>
        <w:t>  </w:t>
      </w:r>
    </w:p>
    <w:p w:rsidR="00027332" w:rsidRPr="00994FB7" w:rsidP="0093233F" w14:paraId="4AE5C750" w14:textId="6CC414C7">
      <w:pPr>
        <w:ind w:left="720"/>
        <w:rPr>
          <w:rFonts w:cs="Times New Roman"/>
          <w:szCs w:val="24"/>
        </w:rPr>
      </w:pPr>
      <w:r w:rsidRPr="00994FB7">
        <w:rPr>
          <w:rFonts w:cs="Times New Roman"/>
          <w:szCs w:val="24"/>
        </w:rPr>
        <w:t xml:space="preserve">Other than </w:t>
      </w:r>
      <w:r w:rsidRPr="00994FB7" w:rsidR="00BC2507">
        <w:rPr>
          <w:rFonts w:cs="Times New Roman"/>
          <w:szCs w:val="24"/>
        </w:rPr>
        <w:t>above</w:t>
      </w:r>
      <w:r w:rsidRPr="00994FB7">
        <w:rPr>
          <w:rFonts w:cs="Times New Roman"/>
          <w:szCs w:val="24"/>
        </w:rPr>
        <w:t xml:space="preserve"> descri</w:t>
      </w:r>
      <w:r w:rsidRPr="00994FB7" w:rsidR="005765FC">
        <w:rPr>
          <w:rFonts w:cs="Times New Roman"/>
          <w:szCs w:val="24"/>
        </w:rPr>
        <w:t xml:space="preserve">ption about </w:t>
      </w:r>
      <w:r w:rsidRPr="00994FB7" w:rsidR="00F937AA">
        <w:rPr>
          <w:rFonts w:cs="Times New Roman"/>
          <w:szCs w:val="24"/>
        </w:rPr>
        <w:t xml:space="preserve">the </w:t>
      </w:r>
      <w:r w:rsidRPr="00994FB7" w:rsidR="005765FC">
        <w:rPr>
          <w:rFonts w:cs="Times New Roman"/>
          <w:szCs w:val="24"/>
        </w:rPr>
        <w:t xml:space="preserve">automatic </w:t>
      </w:r>
      <w:r w:rsidRPr="00994FB7" w:rsidR="00F937AA">
        <w:rPr>
          <w:rFonts w:cs="Times New Roman"/>
          <w:szCs w:val="24"/>
        </w:rPr>
        <w:t xml:space="preserve">information collection frequency </w:t>
      </w:r>
      <w:r w:rsidRPr="00994FB7" w:rsidR="00FA7BFF">
        <w:rPr>
          <w:rFonts w:cs="Times New Roman"/>
          <w:szCs w:val="24"/>
        </w:rPr>
        <w:t>and SPD-15</w:t>
      </w:r>
      <w:r w:rsidRPr="00994FB7" w:rsidR="00F937AA">
        <w:rPr>
          <w:rFonts w:cs="Times New Roman"/>
          <w:szCs w:val="24"/>
        </w:rPr>
        <w:t xml:space="preserve">, there are no other special circumstances </w:t>
      </w:r>
      <w:r w:rsidRPr="00994FB7" w:rsidR="00BC2507">
        <w:rPr>
          <w:rFonts w:cs="Times New Roman"/>
          <w:szCs w:val="24"/>
        </w:rPr>
        <w:t xml:space="preserve">that would cause this collection to be collected in a manner inconsistent with 5 CFR 1320.5(d)(2). </w:t>
      </w:r>
    </w:p>
    <w:p w:rsidR="00150F00" w:rsidRPr="00994FB7" w:rsidP="00D109CC" w14:paraId="12391E72" w14:textId="77777777">
      <w:pPr>
        <w:pStyle w:val="Heading2"/>
      </w:pPr>
      <w:bookmarkStart w:id="20" w:name="_Hlk51330779"/>
      <w:r w:rsidRPr="00994FB7">
        <w:t xml:space="preserve">If applicable, provide a copy and identify the date and page number of </w:t>
      </w:r>
      <w:r w:rsidRPr="00994FB7">
        <w:t>publication</w:t>
      </w:r>
      <w:r w:rsidRPr="00994FB7">
        <w:t xml:space="preserve"> in the Federal Register of the agency’s notice, required by 5 CFR 1320.8(d), soliciting comments on the information collection prior to submission to OMB. Summarize public comments received in response to that notice and describe actions taken by the agency in response to the comments. Specifically address comments received on cost and hour burden. Describe efforts to consult with </w:t>
      </w:r>
      <w:r w:rsidRPr="00994FB7">
        <w:t>persons</w:t>
      </w:r>
      <w:r w:rsidRPr="00994FB7">
        <w:t xml:space="preserve"> outside the agency to obtain their views</w:t>
      </w:r>
      <w:r w:rsidRPr="00994FB7" w:rsidR="00484767">
        <w:t>.</w:t>
      </w:r>
      <w:r w:rsidRPr="00994FB7">
        <w:t xml:space="preserve"> </w:t>
      </w:r>
    </w:p>
    <w:bookmarkEnd w:id="20"/>
    <w:p w:rsidR="00821768" w:rsidRPr="00821768" w:rsidP="007213F5" w14:paraId="05BCEB6B" w14:textId="0D6B0D77">
      <w:pPr>
        <w:autoSpaceDE w:val="0"/>
        <w:autoSpaceDN w:val="0"/>
        <w:adjustRightInd w:val="0"/>
        <w:spacing w:line="240" w:lineRule="auto"/>
        <w:ind w:left="720"/>
        <w:rPr>
          <w:rFonts w:eastAsia="Times New Roman" w:cs="Times New Roman"/>
          <w:color w:val="000000" w:themeColor="text1"/>
          <w:szCs w:val="24"/>
        </w:rPr>
      </w:pPr>
      <w:r w:rsidRPr="00821768">
        <w:rPr>
          <w:rFonts w:eastAsia="Times New Roman" w:cs="Times New Roman"/>
          <w:color w:val="000000" w:themeColor="text1"/>
          <w:szCs w:val="24"/>
        </w:rPr>
        <w:t>NHTSA published a 60-day notice on June 25, 2026, requesting comment on NHTSA’s intention to submit this ICR to OMB for approval (91 FR 38472). During the comment period, NHTSA received one comment from Mr. Eric Hein.</w:t>
      </w:r>
    </w:p>
    <w:p w:rsidR="00821768" w:rsidRPr="00821768" w:rsidP="007213F5" w14:paraId="3BA0246A" w14:textId="77777777">
      <w:pPr>
        <w:autoSpaceDE w:val="0"/>
        <w:autoSpaceDN w:val="0"/>
        <w:adjustRightInd w:val="0"/>
        <w:spacing w:line="240" w:lineRule="auto"/>
        <w:ind w:left="720"/>
        <w:rPr>
          <w:rFonts w:eastAsia="Times New Roman" w:cs="Times New Roman"/>
          <w:color w:val="000000" w:themeColor="text1"/>
          <w:szCs w:val="24"/>
        </w:rPr>
      </w:pPr>
      <w:r w:rsidRPr="00821768">
        <w:rPr>
          <w:rFonts w:eastAsia="Times New Roman" w:cs="Times New Roman"/>
          <w:color w:val="000000" w:themeColor="text1"/>
          <w:szCs w:val="24"/>
        </w:rPr>
        <w:t>Mr. Hein’s comment supported the renewal of the State Data Transfer (SDT) program but was critical of how underride crashes are currently captured and transferred into NHTSA's national crash databases (such as FARS, CRSS, and CISS). He argued that underreporting and misclassification of underride crashes is a practical utility issue under the Paperwork Reduction Act (PRA). To resolve these data deficiencies at the source, Mr. Hein urged NHTSA to use its existing authorities under the SDT program, specifically by adding a dedicated underride data element to the State Electronic Data Collection (SEDC) discretionary grant requirements and Non-SEDC States, operating under a Memoranda of Understanding (MOUs) and data mapping.  This would require participating States to capture and transfer a discrete underride field electronically. He also requested that NHTSA establish adoption timelines and completeness benchmarks for underride reporting, track vulnerable road user underride events separately from passenger-vehicle crashes, and report on progress in the administrative record.</w:t>
      </w:r>
    </w:p>
    <w:p w:rsidR="00821768" w:rsidRPr="00821768" w:rsidP="007213F5" w14:paraId="09A1C75C" w14:textId="77777777">
      <w:pPr>
        <w:autoSpaceDE w:val="0"/>
        <w:autoSpaceDN w:val="0"/>
        <w:adjustRightInd w:val="0"/>
        <w:spacing w:line="240" w:lineRule="auto"/>
        <w:ind w:left="720"/>
        <w:rPr>
          <w:rFonts w:eastAsia="Times New Roman" w:cs="Times New Roman"/>
          <w:color w:val="000000" w:themeColor="text1"/>
          <w:szCs w:val="24"/>
        </w:rPr>
      </w:pPr>
      <w:r w:rsidRPr="00821768">
        <w:rPr>
          <w:rFonts w:eastAsia="Times New Roman" w:cs="Times New Roman"/>
          <w:color w:val="000000" w:themeColor="text1"/>
          <w:szCs w:val="24"/>
        </w:rPr>
        <w:t>In response to Mr. Hein’s comments, NHTSA has taken several significant steps to enhance the quality, utility, and accuracy of underride data collections, while ensuring consistency with the agency's statutory authorities:</w:t>
      </w:r>
    </w:p>
    <w:p w:rsidR="00821768" w:rsidRPr="00821768" w:rsidP="007213F5" w14:paraId="1E69C786" w14:textId="77777777">
      <w:pPr>
        <w:autoSpaceDE w:val="0"/>
        <w:autoSpaceDN w:val="0"/>
        <w:adjustRightInd w:val="0"/>
        <w:spacing w:line="240" w:lineRule="auto"/>
        <w:ind w:left="720"/>
        <w:rPr>
          <w:rFonts w:eastAsia="Times New Roman" w:cs="Times New Roman"/>
          <w:color w:val="000000" w:themeColor="text1"/>
          <w:szCs w:val="24"/>
        </w:rPr>
      </w:pPr>
      <w:r w:rsidRPr="00821768">
        <w:rPr>
          <w:rFonts w:eastAsia="Times New Roman" w:cs="Times New Roman"/>
          <w:color w:val="000000" w:themeColor="text1"/>
          <w:szCs w:val="24"/>
        </w:rPr>
        <w:t xml:space="preserve">Model Minimum Uniform Crash Criteria (MMUCC) Sixth Edition Alignment: In February 2023, NHTSA published a draft 6th edition of MMUCC for public comment. The 6th edition of MMUCC was finalized and published in January 2024, formally incorporating the standardized "Vehicle Underride or Override" data element (with attributes: None or Not Applicable, Underride, Override, and Unknown) along with an Initial Contact Point clock points element. Under the SEDC discretionary grant program, participating States are required to align their centralized statewide crash repositories with the latest MMUCC 6th Edition standards at a minimum of 25 to 34 percent. While achieving 100 percent alignment is voluntary, the grant program offers a direct, funded pathway, whereas alignment remains fully voluntary for non-SEDC States.  </w:t>
      </w:r>
    </w:p>
    <w:p w:rsidR="00821768" w:rsidRPr="00821768" w:rsidP="007213F5" w14:paraId="5B1834DF" w14:textId="77777777">
      <w:pPr>
        <w:autoSpaceDE w:val="0"/>
        <w:autoSpaceDN w:val="0"/>
        <w:adjustRightInd w:val="0"/>
        <w:spacing w:line="240" w:lineRule="auto"/>
        <w:ind w:left="720"/>
        <w:rPr>
          <w:rFonts w:eastAsia="Times New Roman" w:cs="Times New Roman"/>
          <w:color w:val="000000" w:themeColor="text1"/>
          <w:szCs w:val="24"/>
        </w:rPr>
      </w:pPr>
      <w:r w:rsidRPr="00821768">
        <w:rPr>
          <w:rFonts w:eastAsia="Times New Roman" w:cs="Times New Roman"/>
          <w:color w:val="000000" w:themeColor="text1"/>
          <w:szCs w:val="24"/>
        </w:rPr>
        <w:t xml:space="preserve">Standardization of Definition and Database Integration: NHTSA has implemented this standardized MMUCC definition of underride and override across both the Fatality Analysis Reporting System (FARS) and the Crash Report Sampling System (CRSS) data collection programs and related documentation. </w:t>
      </w:r>
    </w:p>
    <w:p w:rsidR="00821768" w:rsidRPr="00821768" w:rsidP="007213F5" w14:paraId="4AB13D02" w14:textId="77777777">
      <w:pPr>
        <w:autoSpaceDE w:val="0"/>
        <w:autoSpaceDN w:val="0"/>
        <w:adjustRightInd w:val="0"/>
        <w:spacing w:line="240" w:lineRule="auto"/>
        <w:ind w:left="720"/>
        <w:rPr>
          <w:rFonts w:eastAsia="Times New Roman" w:cs="Times New Roman"/>
          <w:color w:val="000000" w:themeColor="text1"/>
          <w:szCs w:val="24"/>
        </w:rPr>
      </w:pPr>
      <w:r w:rsidRPr="00821768">
        <w:rPr>
          <w:rFonts w:eastAsia="Times New Roman" w:cs="Times New Roman"/>
          <w:color w:val="000000" w:themeColor="text1"/>
          <w:szCs w:val="24"/>
        </w:rPr>
        <w:t>Statutory Limitations on Mandating Crash Reports: While Mr. Hein requested that NHTSA mandate an underride/override "checkbox" on all State police crash reports, NHTSA published a denial of a related request in April 2025, explaining that the agency lacks the statutory authority to mandate specific data fields, formats, or modifications to individual State crash report forms. Participation in SDT, FARS, the SEDC grant program, and the non-SEDC electronic data transfer (EDT) protocol by States is voluntary. However, NHTSA continues to actively encourage and support States in adopting the MMUCC 6th Edition. Once a State implements the MMUCC underride data element, the SDT automated (EDT) protocol automatically maps and transfers this data nightly to NHTSA's databases.</w:t>
      </w:r>
    </w:p>
    <w:p w:rsidR="00821768" w:rsidRPr="00821768" w:rsidP="007213F5" w14:paraId="0C7E4215" w14:textId="77777777">
      <w:pPr>
        <w:autoSpaceDE w:val="0"/>
        <w:autoSpaceDN w:val="0"/>
        <w:adjustRightInd w:val="0"/>
        <w:spacing w:line="240" w:lineRule="auto"/>
        <w:ind w:left="720"/>
        <w:rPr>
          <w:rFonts w:eastAsia="Times New Roman" w:cs="Times New Roman"/>
          <w:color w:val="000000" w:themeColor="text1"/>
          <w:szCs w:val="24"/>
        </w:rPr>
      </w:pPr>
      <w:r w:rsidRPr="00821768">
        <w:rPr>
          <w:rFonts w:eastAsia="Times New Roman" w:cs="Times New Roman"/>
          <w:color w:val="000000" w:themeColor="text1"/>
          <w:szCs w:val="24"/>
        </w:rPr>
        <w:t>Improved Database Coding and Quality Checks: Based on a 2020 internal study, NHTSA has implemented multiple updates to improve the accuracy of vehicle underride/override reporting in its crash databases starting in 2021. These updates include:</w:t>
      </w:r>
    </w:p>
    <w:p w:rsidR="00821768" w:rsidRPr="007213F5" w:rsidP="007213F5" w14:paraId="62B9D6A0" w14:textId="77777777">
      <w:pPr>
        <w:pStyle w:val="ListParagraph"/>
        <w:numPr>
          <w:ilvl w:val="0"/>
          <w:numId w:val="38"/>
        </w:numPr>
        <w:autoSpaceDE w:val="0"/>
        <w:autoSpaceDN w:val="0"/>
        <w:adjustRightInd w:val="0"/>
        <w:spacing w:line="240" w:lineRule="auto"/>
        <w:rPr>
          <w:rFonts w:eastAsia="Times New Roman" w:cs="Times New Roman"/>
          <w:color w:val="000000" w:themeColor="text1"/>
          <w:szCs w:val="24"/>
        </w:rPr>
      </w:pPr>
      <w:r w:rsidRPr="007213F5">
        <w:rPr>
          <w:rFonts w:eastAsia="Times New Roman" w:cs="Times New Roman"/>
          <w:color w:val="000000" w:themeColor="text1"/>
          <w:szCs w:val="24"/>
        </w:rPr>
        <w:t xml:space="preserve">Simplified underride/override coding (assessed for each vehicle in every vehicle-to-vehicle collision), </w:t>
      </w:r>
    </w:p>
    <w:p w:rsidR="00821768" w:rsidRPr="007213F5" w:rsidP="007213F5" w14:paraId="0E6B9E68" w14:textId="77777777">
      <w:pPr>
        <w:pStyle w:val="ListParagraph"/>
        <w:numPr>
          <w:ilvl w:val="0"/>
          <w:numId w:val="38"/>
        </w:numPr>
        <w:autoSpaceDE w:val="0"/>
        <w:autoSpaceDN w:val="0"/>
        <w:adjustRightInd w:val="0"/>
        <w:spacing w:line="240" w:lineRule="auto"/>
        <w:rPr>
          <w:rFonts w:eastAsia="Times New Roman" w:cs="Times New Roman"/>
          <w:color w:val="000000" w:themeColor="text1"/>
          <w:szCs w:val="24"/>
        </w:rPr>
      </w:pPr>
      <w:r w:rsidRPr="007213F5">
        <w:rPr>
          <w:rFonts w:eastAsia="Times New Roman" w:cs="Times New Roman"/>
          <w:color w:val="000000" w:themeColor="text1"/>
          <w:szCs w:val="24"/>
        </w:rPr>
        <w:t xml:space="preserve">Replaced coding guidance in manuals, </w:t>
      </w:r>
    </w:p>
    <w:p w:rsidR="00821768" w:rsidRPr="007213F5" w:rsidP="007213F5" w14:paraId="51A8ACEF" w14:textId="77777777">
      <w:pPr>
        <w:pStyle w:val="ListParagraph"/>
        <w:numPr>
          <w:ilvl w:val="0"/>
          <w:numId w:val="38"/>
        </w:numPr>
        <w:autoSpaceDE w:val="0"/>
        <w:autoSpaceDN w:val="0"/>
        <w:adjustRightInd w:val="0"/>
        <w:spacing w:line="240" w:lineRule="auto"/>
        <w:rPr>
          <w:rFonts w:eastAsia="Times New Roman" w:cs="Times New Roman"/>
          <w:color w:val="000000" w:themeColor="text1"/>
          <w:szCs w:val="24"/>
        </w:rPr>
      </w:pPr>
      <w:r w:rsidRPr="007213F5">
        <w:rPr>
          <w:rFonts w:eastAsia="Times New Roman" w:cs="Times New Roman"/>
          <w:color w:val="000000" w:themeColor="text1"/>
          <w:szCs w:val="24"/>
        </w:rPr>
        <w:t xml:space="preserve">Enhanced training for analysts and coders to note the difference in procedures with the combination of underride and override crashes verse a single occurrence for the vehicle performing the action. </w:t>
      </w:r>
    </w:p>
    <w:p w:rsidR="00821768" w:rsidRPr="007213F5" w:rsidP="007213F5" w14:paraId="4EFF2CA8" w14:textId="77777777">
      <w:pPr>
        <w:pStyle w:val="ListParagraph"/>
        <w:numPr>
          <w:ilvl w:val="0"/>
          <w:numId w:val="38"/>
        </w:numPr>
        <w:autoSpaceDE w:val="0"/>
        <w:autoSpaceDN w:val="0"/>
        <w:adjustRightInd w:val="0"/>
        <w:spacing w:line="240" w:lineRule="auto"/>
        <w:rPr>
          <w:rFonts w:eastAsia="Times New Roman" w:cs="Times New Roman"/>
          <w:color w:val="000000" w:themeColor="text1"/>
          <w:szCs w:val="24"/>
        </w:rPr>
      </w:pPr>
      <w:r w:rsidRPr="007213F5">
        <w:rPr>
          <w:rFonts w:eastAsia="Times New Roman" w:cs="Times New Roman"/>
          <w:color w:val="000000" w:themeColor="text1"/>
          <w:szCs w:val="24"/>
        </w:rPr>
        <w:t>Developed new automated edit checks to verify coding accuracy by recording the action of both vehicles.</w:t>
      </w:r>
    </w:p>
    <w:p w:rsidR="00821768" w:rsidRPr="00821768" w:rsidP="007213F5" w14:paraId="2E610F16" w14:textId="77777777">
      <w:pPr>
        <w:autoSpaceDE w:val="0"/>
        <w:autoSpaceDN w:val="0"/>
        <w:adjustRightInd w:val="0"/>
        <w:spacing w:line="240" w:lineRule="auto"/>
        <w:ind w:left="720"/>
        <w:rPr>
          <w:rFonts w:eastAsia="Times New Roman" w:cs="Times New Roman"/>
          <w:color w:val="000000" w:themeColor="text1"/>
          <w:szCs w:val="24"/>
        </w:rPr>
      </w:pPr>
      <w:r w:rsidRPr="00821768">
        <w:rPr>
          <w:rFonts w:eastAsia="Times New Roman" w:cs="Times New Roman"/>
          <w:color w:val="000000" w:themeColor="text1"/>
          <w:szCs w:val="24"/>
        </w:rPr>
        <w:t xml:space="preserve">GAO Recommendations Addressed: NHTSA has successfully addressed and closed three March 2019 Government Accountability Office (GAO) recommendations (Report GAO-19-264) regarding improved underride data collection and research. This included developing and distributing an underride training pamphlet to State and local law enforcement. </w:t>
      </w:r>
    </w:p>
    <w:p w:rsidR="00821768" w:rsidRPr="00821768" w:rsidP="007213F5" w14:paraId="5C8C819A" w14:textId="77777777">
      <w:pPr>
        <w:autoSpaceDE w:val="0"/>
        <w:autoSpaceDN w:val="0"/>
        <w:adjustRightInd w:val="0"/>
        <w:spacing w:line="240" w:lineRule="auto"/>
        <w:ind w:left="720"/>
        <w:rPr>
          <w:rFonts w:eastAsia="Times New Roman" w:cs="Times New Roman"/>
          <w:color w:val="000000" w:themeColor="text1"/>
          <w:szCs w:val="24"/>
        </w:rPr>
      </w:pPr>
      <w:r w:rsidRPr="00821768">
        <w:rPr>
          <w:rFonts w:eastAsia="Times New Roman" w:cs="Times New Roman"/>
          <w:color w:val="000000" w:themeColor="text1"/>
          <w:szCs w:val="24"/>
        </w:rPr>
        <w:t>Vulnerable Road User Tracking: Regarding separate tracking of vulnerable road users, researchers can currently determine underride or override details in FARS and CRSS by combining the standardized Vehicle Underride or Override data element with Sequence of Events, Initial Contact Point, Damaged Areas, and other crash-level elements.</w:t>
      </w:r>
    </w:p>
    <w:p w:rsidR="00027332" w:rsidRPr="001504E1" w:rsidP="32AD57CE" w14:paraId="0C9E3FFE" w14:textId="0BD09734">
      <w:pPr>
        <w:suppressLineNumbers w:val="0"/>
        <w:bidi w:val="0"/>
        <w:spacing w:before="0" w:beforeAutospacing="0" w:afterAutospacing="0"/>
        <w:ind w:left="360" w:right="0"/>
        <w:jc w:val="left"/>
        <w:rPr>
          <w:rFonts w:eastAsia="Times New Roman" w:cs="Times New Roman"/>
          <w:color w:val="000000" w:themeColor="text1" w:themeShade="FF" w:themeTint="FF"/>
        </w:rPr>
      </w:pPr>
      <w:r w:rsidRPr="32AD57CE">
        <w:rPr>
          <w:rFonts w:eastAsia="Times New Roman" w:cs="Times New Roman"/>
          <w:color w:val="000000" w:themeColor="text1" w:themeShade="FF" w:themeTint="FF"/>
        </w:rPr>
        <w:t xml:space="preserve">NHTSA published a 30-day notice on </w:t>
      </w:r>
      <w:r w:rsidRPr="32AD57CE" w:rsidR="3CE8AE2C">
        <w:rPr>
          <w:rFonts w:eastAsia="Times New Roman" w:cs="Times New Roman"/>
          <w:color w:val="000000" w:themeColor="text1" w:themeShade="FF" w:themeTint="FF"/>
        </w:rPr>
        <w:t>October 30</w:t>
      </w:r>
      <w:r w:rsidRPr="32AD57CE">
        <w:rPr>
          <w:rFonts w:eastAsia="Times New Roman" w:cs="Times New Roman"/>
          <w:color w:val="000000" w:themeColor="text1" w:themeShade="FF" w:themeTint="FF"/>
        </w:rPr>
        <w:t>,</w:t>
      </w:r>
      <w:r w:rsidRPr="32AD57CE">
        <w:rPr>
          <w:rFonts w:eastAsia="Times New Roman" w:cs="Times New Roman"/>
          <w:color w:val="000000" w:themeColor="text1" w:themeShade="FF" w:themeTint="FF"/>
        </w:rPr>
        <w:t xml:space="preserve"> 2026, that </w:t>
      </w:r>
      <w:r w:rsidRPr="32AD57CE">
        <w:rPr>
          <w:rFonts w:eastAsia="Times New Roman" w:cs="Times New Roman"/>
          <w:color w:val="000000" w:themeColor="text1" w:themeShade="FF" w:themeTint="FF"/>
        </w:rPr>
        <w:t>stated</w:t>
      </w:r>
      <w:r w:rsidRPr="32AD57CE">
        <w:rPr>
          <w:rFonts w:eastAsia="Times New Roman" w:cs="Times New Roman"/>
          <w:color w:val="000000" w:themeColor="text1" w:themeShade="FF" w:themeTint="FF"/>
        </w:rPr>
        <w:t xml:space="preserve"> NHTSA’s intention to </w:t>
      </w:r>
      <w:r w:rsidRPr="32AD57CE">
        <w:rPr>
          <w:rFonts w:eastAsia="Times New Roman" w:cs="Times New Roman"/>
          <w:color w:val="000000" w:themeColor="text1" w:themeShade="FF" w:themeTint="FF"/>
        </w:rPr>
        <w:t>submit</w:t>
      </w:r>
      <w:r w:rsidRPr="32AD57CE">
        <w:rPr>
          <w:rFonts w:eastAsia="Times New Roman" w:cs="Times New Roman"/>
          <w:color w:val="000000" w:themeColor="text1" w:themeShade="FF" w:themeTint="FF"/>
        </w:rPr>
        <w:t xml:space="preserve"> this ICR to OMB for approval </w:t>
      </w:r>
      <w:r w:rsidRPr="32AD57CE">
        <w:rPr>
          <w:rFonts w:eastAsia="Times New Roman" w:cs="Times New Roman"/>
          <w:color w:val="000000" w:themeColor="text1" w:themeShade="FF" w:themeTint="FF"/>
        </w:rPr>
        <w:t>(</w:t>
      </w:r>
      <w:r w:rsidRPr="32AD57CE" w:rsidR="00F70169">
        <w:rPr>
          <w:rFonts w:cs="Times New Roman"/>
        </w:rPr>
        <w:t xml:space="preserve">91 FR </w:t>
      </w:r>
      <w:r w:rsidRPr="32AD57CE" w:rsidR="47017086">
        <w:rPr>
          <w:rFonts w:cs="Times New Roman"/>
        </w:rPr>
        <w:t>68595</w:t>
      </w:r>
      <w:r w:rsidRPr="32AD57CE">
        <w:rPr>
          <w:rFonts w:eastAsia="Times New Roman" w:cs="Times New Roman"/>
          <w:color w:val="000000" w:themeColor="text1" w:themeShade="FF" w:themeTint="FF"/>
        </w:rPr>
        <w:t>).</w:t>
      </w:r>
    </w:p>
    <w:p w:rsidR="000373A8" w:rsidRPr="00994FB7" w:rsidP="00D109CC" w14:paraId="2A81A043" w14:textId="77777777">
      <w:pPr>
        <w:pStyle w:val="Heading2"/>
      </w:pPr>
      <w:bookmarkStart w:id="21" w:name="_Hlk51330973"/>
      <w:r w:rsidRPr="00994FB7">
        <w:t>Explain any decision to provide any payment or gift to respondents, other than remuneration of contractors or grantees.</w:t>
      </w:r>
    </w:p>
    <w:bookmarkEnd w:id="21"/>
    <w:p w:rsidR="000373A8" w:rsidRPr="00994FB7" w:rsidP="000373A8" w14:paraId="49EDFD6F" w14:textId="77777777">
      <w:pPr>
        <w:autoSpaceDE w:val="0"/>
        <w:autoSpaceDN w:val="0"/>
        <w:adjustRightInd w:val="0"/>
        <w:spacing w:after="0" w:line="240" w:lineRule="auto"/>
        <w:ind w:left="360"/>
        <w:rPr>
          <w:rFonts w:cs="Times New Roman"/>
          <w:szCs w:val="24"/>
        </w:rPr>
      </w:pPr>
    </w:p>
    <w:p w:rsidR="00BE2D00" w:rsidRPr="00994FB7" w:rsidP="00BE2D00" w14:paraId="150664BC" w14:textId="48D0DC4B">
      <w:pPr>
        <w:ind w:left="720"/>
      </w:pPr>
      <w:r w:rsidRPr="00994FB7">
        <w:t xml:space="preserve">No payments or gifts are provided to respondents in connection with this discretionary grant program other than the remuneration of contractors or grantees. As stated in </w:t>
      </w:r>
      <w:r w:rsidRPr="00994FB7" w:rsidR="000310E2">
        <w:t xml:space="preserve">the </w:t>
      </w:r>
      <w:r w:rsidRPr="00994FB7" w:rsidR="1801B771">
        <w:t>IIJA</w:t>
      </w:r>
      <w:r w:rsidRPr="00994FB7">
        <w:t>, NHTSA shall provide grants to States to upgrade and standardize State crash data collection systems to enable electronic data collection, intrastate data sharing, and electronic data transfers to the National Highway Traffic Safety Administration to increase the accuracy, timeliness, and accessibility of the data, including data relating to fatalities involving vulnerable road users. NHTSA can provide up to eighty (80) percent of the funding for the SEDC grants. The State is responsible</w:t>
      </w:r>
      <w:r w:rsidRPr="00994FB7" w:rsidR="35C7D3C8">
        <w:t xml:space="preserve"> </w:t>
      </w:r>
      <w:r w:rsidRPr="00994FB7" w:rsidR="7C70B1C8">
        <w:t xml:space="preserve">for </w:t>
      </w:r>
      <w:r w:rsidRPr="00994FB7" w:rsidR="006F23E8">
        <w:t xml:space="preserve">no less than </w:t>
      </w:r>
      <w:r w:rsidRPr="00994FB7" w:rsidR="00D146EE">
        <w:t>twenty</w:t>
      </w:r>
      <w:r w:rsidRPr="00994FB7">
        <w:t xml:space="preserve"> (20) percent of the funding, but the State can provide more than </w:t>
      </w:r>
      <w:r w:rsidRPr="00994FB7" w:rsidR="000310E2">
        <w:t>twenty</w:t>
      </w:r>
      <w:r w:rsidRPr="00994FB7">
        <w:t xml:space="preserve"> (20) percent.  Eligible activities for grant funding include the following three cost</w:t>
      </w:r>
      <w:r w:rsidRPr="00994FB7" w:rsidR="00DE3D99">
        <w:t xml:space="preserve"> categories</w:t>
      </w:r>
      <w:r w:rsidRPr="00994FB7">
        <w:t>:</w:t>
      </w:r>
    </w:p>
    <w:p w:rsidR="00BE2D00" w:rsidRPr="00994FB7" w:rsidP="00BE2D00" w14:paraId="315337F8" w14:textId="77777777">
      <w:pPr>
        <w:pStyle w:val="ListParagraph"/>
        <w:numPr>
          <w:ilvl w:val="0"/>
          <w:numId w:val="34"/>
        </w:numPr>
        <w:spacing w:after="0"/>
        <w:ind w:left="1440"/>
        <w:contextualSpacing w:val="0"/>
      </w:pPr>
      <w:r w:rsidRPr="00994FB7">
        <w:t>equipment to upgrade a statewide crash data repository;</w:t>
      </w:r>
    </w:p>
    <w:p w:rsidR="00BE2D00" w:rsidRPr="00994FB7" w:rsidP="00BE2D00" w14:paraId="6096FD5C" w14:textId="77777777">
      <w:pPr>
        <w:pStyle w:val="ListParagraph"/>
        <w:numPr>
          <w:ilvl w:val="0"/>
          <w:numId w:val="34"/>
        </w:numPr>
        <w:spacing w:after="0"/>
        <w:ind w:left="1440"/>
        <w:contextualSpacing w:val="0"/>
      </w:pPr>
      <w:r w:rsidRPr="00994FB7">
        <w:t xml:space="preserve">adoption of electronic crash reporting by law enforcement agencies; and </w:t>
      </w:r>
    </w:p>
    <w:p w:rsidR="00BE2D00" w:rsidRPr="00994FB7" w:rsidP="00BE2D00" w14:paraId="1B828B37" w14:textId="77777777">
      <w:pPr>
        <w:pStyle w:val="ListParagraph"/>
        <w:numPr>
          <w:ilvl w:val="0"/>
          <w:numId w:val="34"/>
        </w:numPr>
        <w:spacing w:after="240"/>
        <w:ind w:left="1440"/>
      </w:pPr>
      <w:r w:rsidRPr="00994FB7">
        <w:t>increasing alignment of State crash data with the latest Model Minimum Uniform Crash Criteria.</w:t>
      </w:r>
    </w:p>
    <w:p w:rsidR="00BE2D00" w:rsidRPr="00994FB7" w:rsidP="00BE2D00" w14:paraId="7A2379D2" w14:textId="1E353524">
      <w:pPr>
        <w:pStyle w:val="BodyText"/>
        <w:ind w:left="720"/>
      </w:pPr>
      <w:r w:rsidRPr="00994FB7">
        <w:t xml:space="preserve">The 20 percent funding that the States </w:t>
      </w:r>
      <w:r w:rsidRPr="00994FB7" w:rsidR="000310E2">
        <w:t>commit</w:t>
      </w:r>
      <w:r w:rsidRPr="00994FB7">
        <w:t xml:space="preserve"> can be labor hours </w:t>
      </w:r>
      <w:r w:rsidRPr="00994FB7" w:rsidR="008359E3">
        <w:t xml:space="preserve">or a percentage of </w:t>
      </w:r>
      <w:r w:rsidRPr="00994FB7" w:rsidR="00BD73A9">
        <w:t>eligible</w:t>
      </w:r>
      <w:r w:rsidRPr="00994FB7" w:rsidR="008359E3">
        <w:t xml:space="preserve"> costs associated with </w:t>
      </w:r>
      <w:r w:rsidRPr="00994FB7">
        <w:t>state employee</w:t>
      </w:r>
      <w:r w:rsidRPr="00994FB7" w:rsidR="003D4FED">
        <w:t>s</w:t>
      </w:r>
      <w:r w:rsidRPr="00994FB7">
        <w:t>, contract</w:t>
      </w:r>
      <w:r w:rsidRPr="00994FB7" w:rsidR="000310E2">
        <w:t xml:space="preserve">ual </w:t>
      </w:r>
      <w:r w:rsidRPr="00994FB7" w:rsidR="00DE3D99">
        <w:t xml:space="preserve">needs, </w:t>
      </w:r>
      <w:r w:rsidRPr="00994FB7" w:rsidR="000310E2">
        <w:t>IT</w:t>
      </w:r>
      <w:r w:rsidRPr="00994FB7" w:rsidR="00DE3D99">
        <w:t xml:space="preserve">, and </w:t>
      </w:r>
      <w:r w:rsidRPr="00994FB7">
        <w:t>equipment</w:t>
      </w:r>
      <w:r w:rsidRPr="00994FB7" w:rsidR="00DE3D99">
        <w:t xml:space="preserve"> costs.</w:t>
      </w:r>
    </w:p>
    <w:p w:rsidR="000373A8" w:rsidRPr="00994FB7" w:rsidP="00D109CC" w14:paraId="5A5C90D4" w14:textId="77777777">
      <w:pPr>
        <w:pStyle w:val="Heading2"/>
      </w:pPr>
      <w:bookmarkStart w:id="22" w:name="_Hlk51331000"/>
      <w:r w:rsidRPr="00994FB7">
        <w:t xml:space="preserve">Describe any assurance of confidentiality provided to respondents and the basis for the assurance in statute, regulation, or agency policy. If the collection requires a </w:t>
      </w:r>
      <w:r w:rsidRPr="00994FB7">
        <w:t>systems</w:t>
      </w:r>
      <w:r w:rsidRPr="00994FB7">
        <w:t xml:space="preserve"> of records notice (SORN) or privacy impact assessment (PIA), those should be cited and described here.</w:t>
      </w:r>
    </w:p>
    <w:bookmarkEnd w:id="22"/>
    <w:p w:rsidR="000373A8" w:rsidRPr="00994FB7" w:rsidP="000373A8" w14:paraId="2C2D0E40" w14:textId="77777777">
      <w:pPr>
        <w:autoSpaceDE w:val="0"/>
        <w:autoSpaceDN w:val="0"/>
        <w:adjustRightInd w:val="0"/>
        <w:spacing w:after="0" w:line="240" w:lineRule="auto"/>
        <w:rPr>
          <w:rFonts w:cs="Times New Roman"/>
          <w:szCs w:val="24"/>
        </w:rPr>
      </w:pPr>
    </w:p>
    <w:p w:rsidR="003C50F6" w:rsidRPr="00994FB7" w:rsidP="004D2CEE" w14:paraId="5788830B" w14:textId="385A3C21">
      <w:pPr>
        <w:ind w:left="720"/>
      </w:pPr>
      <w:r w:rsidRPr="00994FB7">
        <w:t xml:space="preserve">All data is handled in accordance with </w:t>
      </w:r>
      <w:r w:rsidRPr="00994FB7">
        <w:t>participating</w:t>
      </w:r>
      <w:r w:rsidRPr="00994FB7">
        <w:t xml:space="preserve"> State </w:t>
      </w:r>
      <w:r w:rsidRPr="00994FB7" w:rsidR="00B92C65">
        <w:t>Memoranda of Understandings (</w:t>
      </w:r>
      <w:r w:rsidRPr="00994FB7">
        <w:t>MOUs</w:t>
      </w:r>
      <w:r w:rsidRPr="00994FB7" w:rsidR="00B92C65">
        <w:t>)</w:t>
      </w:r>
      <w:r w:rsidRPr="00994FB7">
        <w:t xml:space="preserve"> or grant awards and complies with the Privacy Act, HIPAA Privacy Rights, and FISMA</w:t>
      </w:r>
      <w:r w:rsidRPr="00994FB7" w:rsidR="00702C9B">
        <w:t xml:space="preserve">. </w:t>
      </w:r>
      <w:r w:rsidRPr="00994FB7">
        <w:t xml:space="preserve">OMB and DOT data protection mandates and policies are </w:t>
      </w:r>
      <w:r w:rsidRPr="00994FB7" w:rsidR="00702C9B">
        <w:t xml:space="preserve">also </w:t>
      </w:r>
      <w:r w:rsidRPr="00994FB7">
        <w:t>being followed.</w:t>
      </w:r>
    </w:p>
    <w:p w:rsidR="0069588D" w:rsidRPr="00994FB7" w:rsidP="0084322F" w14:paraId="2B181603" w14:textId="4679E634">
      <w:pPr>
        <w:ind w:left="720"/>
      </w:pPr>
      <w:r w:rsidRPr="00994FB7">
        <w:t xml:space="preserve">SDT </w:t>
      </w:r>
      <w:r w:rsidRPr="00994FB7" w:rsidR="00702C9B">
        <w:t>operates under</w:t>
      </w:r>
      <w:r w:rsidRPr="00994FB7">
        <w:t xml:space="preserve"> NHTSA</w:t>
      </w:r>
      <w:r w:rsidRPr="00994FB7" w:rsidR="00B746FF">
        <w:t>’s</w:t>
      </w:r>
      <w:r w:rsidRPr="00994FB7">
        <w:t xml:space="preserve"> Crash Data Acquisition Network</w:t>
      </w:r>
      <w:r w:rsidRPr="00994FB7" w:rsidR="00BB0640">
        <w:t xml:space="preserve"> </w:t>
      </w:r>
      <w:r w:rsidRPr="00994FB7">
        <w:t>(CDAN)</w:t>
      </w:r>
      <w:r w:rsidRPr="00994FB7" w:rsidR="00EE5CBB">
        <w:t xml:space="preserve">, which has a published </w:t>
      </w:r>
      <w:r w:rsidRPr="00994FB7" w:rsidR="00156D5F">
        <w:t>Privacy Impact Assessment. (</w:t>
      </w:r>
      <w:r w:rsidRPr="001504E1">
        <w:t xml:space="preserve"> </w:t>
      </w:r>
      <w:r w:rsidRPr="001504E1" w:rsidR="008359E3">
        <w:t xml:space="preserve"> </w:t>
      </w:r>
      <w:hyperlink r:id="rId9" w:history="1">
        <w:r w:rsidRPr="001504E1" w:rsidR="008359E3">
          <w:rPr>
            <w:rStyle w:val="Hyperlink"/>
            <w:color w:val="auto"/>
          </w:rPr>
          <w:t>https://www.transportation.gov/individuals/privacy/crash-data-acquisition-network-cdan-pia</w:t>
        </w:r>
      </w:hyperlink>
      <w:r w:rsidRPr="001504E1" w:rsidR="007B4E49">
        <w:rPr>
          <w:rStyle w:val="Hyperlink"/>
          <w:color w:val="auto"/>
        </w:rPr>
        <w:t>)</w:t>
      </w:r>
    </w:p>
    <w:p w:rsidR="00D10590" w:rsidRPr="00994FB7" w:rsidP="7B1E8D90" w14:paraId="6F3DEC19" w14:textId="42841598">
      <w:pPr>
        <w:ind w:left="720"/>
        <w:rPr>
          <w:rFonts w:cs="Times New Roman"/>
        </w:rPr>
      </w:pPr>
      <w:r w:rsidRPr="00994FB7">
        <w:rPr>
          <w:rFonts w:cs="Times New Roman"/>
          <w:szCs w:val="24"/>
        </w:rPr>
        <w:t xml:space="preserve">While Police Crash Reports </w:t>
      </w:r>
      <w:r w:rsidRPr="00994FB7" w:rsidR="00D214BF">
        <w:rPr>
          <w:rFonts w:cs="Times New Roman"/>
          <w:szCs w:val="24"/>
        </w:rPr>
        <w:t>transmitted to NHTSA may</w:t>
      </w:r>
      <w:r w:rsidRPr="00994FB7">
        <w:rPr>
          <w:rFonts w:cs="Times New Roman"/>
          <w:szCs w:val="24"/>
        </w:rPr>
        <w:t xml:space="preserve"> contain Personally Identifiable Information (PII) such as names, addresses, dates of birth, VINs, and license plate numbers, it is up to the participating State to determine whether they submit PII to NHTSA. Furthermore, NHTSA uses this data solely for crash analysis and does not publicly disclose PII from State crash data.</w:t>
      </w:r>
      <w:r w:rsidRPr="00994FB7">
        <w:rPr>
          <w:rFonts w:cs="Times New Roman"/>
        </w:rPr>
        <w:t xml:space="preserve"> This data is used by NHTSA for crash analysis to identify national trends in road safety and influence the development, deployment, and evaluation of lifesaving safety countermeasures.</w:t>
      </w:r>
    </w:p>
    <w:p w:rsidR="0069588D" w:rsidRPr="00994FB7" w:rsidP="00D109CC" w14:paraId="35976B8D" w14:textId="77777777">
      <w:pPr>
        <w:pStyle w:val="Heading2"/>
      </w:pPr>
      <w:bookmarkStart w:id="23" w:name="_Hlk51331086"/>
      <w:r w:rsidRPr="00994FB7">
        <w:t xml:space="preserve">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w:t>
      </w:r>
      <w:r w:rsidRPr="00994FB7">
        <w:t>persons</w:t>
      </w:r>
      <w:r w:rsidRPr="00994FB7">
        <w:t xml:space="preserve"> from whom the information is requested, and any steps to be taken to obtain their consent.</w:t>
      </w:r>
    </w:p>
    <w:p w:rsidR="00913280" w:rsidRPr="00994FB7" w:rsidP="00913280" w14:paraId="30E6A543" w14:textId="281676E4">
      <w:pPr>
        <w:ind w:left="720"/>
      </w:pPr>
      <w:r w:rsidRPr="00994FB7">
        <w:t>The SDT program does not ask questions or collect</w:t>
      </w:r>
      <w:r w:rsidRPr="00994FB7" w:rsidR="00FA04CE">
        <w:t xml:space="preserve"> information </w:t>
      </w:r>
      <w:r w:rsidRPr="00994FB7">
        <w:t>of a sensitive nature, such as sexual behavior, attitudes, religious beliefs, or other commonly private matters</w:t>
      </w:r>
      <w:r w:rsidRPr="00994FB7" w:rsidR="00FA04CE">
        <w:t xml:space="preserve">. </w:t>
      </w:r>
      <w:bookmarkStart w:id="24" w:name="_Hlk51332070"/>
      <w:bookmarkEnd w:id="23"/>
    </w:p>
    <w:p w:rsidR="0069588D" w:rsidRPr="00994FB7" w:rsidP="00D109CC" w14:paraId="32804106" w14:textId="77777777">
      <w:pPr>
        <w:pStyle w:val="Heading2"/>
      </w:pPr>
      <w:r w:rsidRPr="00994FB7">
        <w:t xml:space="preserve">Provide estimates of the hour burden of the collection of information on the respondents and estimates of the annualized labor cost to respondents associated with that hour burden. </w:t>
      </w:r>
    </w:p>
    <w:p w:rsidR="000471D4" w:rsidRPr="00994FB7" w:rsidP="008359E3" w14:paraId="41F7BA09" w14:textId="671CB09E">
      <w:pPr>
        <w:ind w:left="720"/>
      </w:pPr>
      <w:r w:rsidRPr="00994FB7">
        <w:t xml:space="preserve">The SDT </w:t>
      </w:r>
      <w:r w:rsidRPr="00994FB7" w:rsidR="0098271B">
        <w:t xml:space="preserve">Program </w:t>
      </w:r>
      <w:r w:rsidRPr="00994FB7">
        <w:t xml:space="preserve">receives crash data from States in two ways: (1) the </w:t>
      </w:r>
      <w:r w:rsidRPr="00994FB7" w:rsidR="008A2F9B">
        <w:t xml:space="preserve">Non-SEDC </w:t>
      </w:r>
      <w:r w:rsidRPr="00994FB7">
        <w:t xml:space="preserve">protocol, under a voluntary MOU between NHTSA and each State, </w:t>
      </w:r>
      <w:r w:rsidRPr="00994FB7" w:rsidR="00FB616C">
        <w:t>of which there are currently 22</w:t>
      </w:r>
      <w:r w:rsidRPr="00994FB7" w:rsidR="00F55FC4">
        <w:t xml:space="preserve"> participating States, </w:t>
      </w:r>
      <w:r w:rsidRPr="00994FB7">
        <w:t>and (2) the SEDC</w:t>
      </w:r>
      <w:r w:rsidRPr="00994FB7" w:rsidR="004A43BF">
        <w:t xml:space="preserve"> </w:t>
      </w:r>
      <w:r w:rsidRPr="00994FB7">
        <w:t>grant, which imposes specific grant requirements</w:t>
      </w:r>
      <w:r w:rsidRPr="00994FB7" w:rsidR="008D3240">
        <w:t>;</w:t>
      </w:r>
      <w:r w:rsidRPr="00994FB7" w:rsidR="00F55FC4">
        <w:t xml:space="preserve"> there are 18 SEDC grantees</w:t>
      </w:r>
      <w:r w:rsidRPr="00994FB7">
        <w:t xml:space="preserve">. </w:t>
      </w:r>
      <w:r w:rsidRPr="00994FB7" w:rsidR="008A2F9B">
        <w:t xml:space="preserve">Of the </w:t>
      </w:r>
      <w:r w:rsidRPr="00994FB7" w:rsidR="00821F7A">
        <w:t>22</w:t>
      </w:r>
      <w:r w:rsidRPr="00994FB7">
        <w:t xml:space="preserve"> </w:t>
      </w:r>
      <w:r w:rsidRPr="00994FB7" w:rsidR="001C54E3">
        <w:t xml:space="preserve">Non-SEDC </w:t>
      </w:r>
      <w:r w:rsidRPr="00994FB7">
        <w:t>States</w:t>
      </w:r>
      <w:r w:rsidRPr="00994FB7" w:rsidR="00481EBD">
        <w:t>,</w:t>
      </w:r>
      <w:r w:rsidRPr="00994FB7">
        <w:t xml:space="preserve"> </w:t>
      </w:r>
      <w:r w:rsidRPr="00994FB7" w:rsidR="009451A4">
        <w:t>1</w:t>
      </w:r>
      <w:r w:rsidRPr="00994FB7" w:rsidR="00846A6C">
        <w:t>0</w:t>
      </w:r>
      <w:r w:rsidRPr="00994FB7">
        <w:t xml:space="preserve"> </w:t>
      </w:r>
      <w:r w:rsidRPr="00994FB7" w:rsidR="008D3240">
        <w:t>have</w:t>
      </w:r>
      <w:r w:rsidRPr="00994FB7">
        <w:t xml:space="preserve"> been awarded SEDC grants and will transition to SEDC transmission requirements by January 2030. The remaining eight participating </w:t>
      </w:r>
      <w:r w:rsidRPr="00994FB7" w:rsidR="00196B8F">
        <w:t xml:space="preserve">SEDC </w:t>
      </w:r>
      <w:r w:rsidRPr="00994FB7" w:rsidR="00B12291">
        <w:t>grantees</w:t>
      </w:r>
      <w:r w:rsidRPr="00994FB7" w:rsidR="00196B8F">
        <w:t xml:space="preserve"> </w:t>
      </w:r>
      <w:r w:rsidRPr="00994FB7">
        <w:t xml:space="preserve">are actively </w:t>
      </w:r>
      <w:r w:rsidRPr="00994FB7" w:rsidR="009F4960">
        <w:t>developing</w:t>
      </w:r>
      <w:r w:rsidRPr="00994FB7" w:rsidR="00AB6548">
        <w:t xml:space="preserve"> their capabilities</w:t>
      </w:r>
      <w:r w:rsidRPr="00994FB7">
        <w:t xml:space="preserve"> to implement electronic </w:t>
      </w:r>
      <w:r w:rsidRPr="00994FB7" w:rsidR="00ED4515">
        <w:t xml:space="preserve">data </w:t>
      </w:r>
      <w:r w:rsidRPr="00994FB7">
        <w:t>transmission under the SEDC requirements</w:t>
      </w:r>
      <w:r w:rsidRPr="00994FB7" w:rsidR="00ED4515">
        <w:t xml:space="preserve"> by </w:t>
      </w:r>
      <w:r w:rsidRPr="00994FB7" w:rsidR="00F002E7">
        <w:t>that same deadline</w:t>
      </w:r>
      <w:r w:rsidRPr="00994FB7">
        <w:t>.</w:t>
      </w:r>
    </w:p>
    <w:p w:rsidR="00E03FF8" w:rsidRPr="00994FB7" w:rsidP="008359E3" w14:paraId="3066E9AE" w14:textId="73917569">
      <w:pPr>
        <w:ind w:left="720"/>
      </w:pPr>
      <w:r w:rsidRPr="00994FB7">
        <w:t xml:space="preserve">This </w:t>
      </w:r>
      <w:r w:rsidRPr="00994FB7" w:rsidR="00F002E7">
        <w:t>ICR</w:t>
      </w:r>
      <w:r w:rsidRPr="00994FB7">
        <w:t xml:space="preserve"> is being modified to remove the </w:t>
      </w:r>
      <w:r w:rsidRPr="00994FB7" w:rsidR="00563AE2">
        <w:t xml:space="preserve">legacy </w:t>
      </w:r>
      <w:r w:rsidRPr="00994FB7">
        <w:t xml:space="preserve">SDS protocol and to </w:t>
      </w:r>
      <w:r w:rsidRPr="00994FB7" w:rsidR="00563AE2">
        <w:t>reflect the ongoing</w:t>
      </w:r>
      <w:r w:rsidRPr="00994FB7">
        <w:t xml:space="preserve"> EDT </w:t>
      </w:r>
      <w:r w:rsidRPr="00994FB7" w:rsidR="00563AE2">
        <w:t xml:space="preserve">participation </w:t>
      </w:r>
      <w:r w:rsidRPr="00994FB7">
        <w:t>by</w:t>
      </w:r>
      <w:r w:rsidRPr="00994FB7" w:rsidR="00563AE2">
        <w:t xml:space="preserve"> both </w:t>
      </w:r>
      <w:r w:rsidRPr="00994FB7">
        <w:t xml:space="preserve">Non‑SEDC States and SEDC </w:t>
      </w:r>
      <w:r w:rsidRPr="00994FB7" w:rsidR="002179BF">
        <w:t>grantees</w:t>
      </w:r>
      <w:r w:rsidRPr="00994FB7">
        <w:t xml:space="preserve">. </w:t>
      </w:r>
      <w:r w:rsidRPr="00994FB7" w:rsidR="001E52B7">
        <w:t>As a result</w:t>
      </w:r>
      <w:r w:rsidRPr="00994FB7">
        <w:t xml:space="preserve">, NHTSA </w:t>
      </w:r>
      <w:r w:rsidRPr="00994FB7" w:rsidR="001E52B7">
        <w:t>projects</w:t>
      </w:r>
      <w:r w:rsidRPr="00994FB7" w:rsidR="00064B32">
        <w:t xml:space="preserve"> a total of </w:t>
      </w:r>
      <w:r w:rsidRPr="00994FB7" w:rsidR="00FE189A">
        <w:t xml:space="preserve">33 </w:t>
      </w:r>
      <w:r w:rsidRPr="00994FB7" w:rsidR="00064B32">
        <w:t xml:space="preserve">annual respondents by </w:t>
      </w:r>
      <w:r w:rsidRPr="00994FB7" w:rsidR="001E0F38">
        <w:t>January</w:t>
      </w:r>
      <w:r w:rsidRPr="00994FB7" w:rsidR="00064B32">
        <w:t xml:space="preserve"> 20</w:t>
      </w:r>
      <w:r w:rsidRPr="00994FB7" w:rsidR="001E0F38">
        <w:t>30</w:t>
      </w:r>
      <w:r w:rsidRPr="00994FB7" w:rsidR="00064B32">
        <w:t xml:space="preserve">: </w:t>
      </w:r>
      <w:r w:rsidRPr="00994FB7">
        <w:t xml:space="preserve">12 Non‑SEDC States (the 22 </w:t>
      </w:r>
      <w:r w:rsidRPr="00994FB7" w:rsidR="001A4612">
        <w:t xml:space="preserve">original </w:t>
      </w:r>
      <w:r w:rsidRPr="00994FB7">
        <w:t xml:space="preserve">States minus the </w:t>
      </w:r>
      <w:r w:rsidRPr="00994FB7" w:rsidR="00E01E9A">
        <w:t>1</w:t>
      </w:r>
      <w:r w:rsidRPr="00994FB7">
        <w:t xml:space="preserve">0 </w:t>
      </w:r>
      <w:r w:rsidRPr="00994FB7" w:rsidR="001A4612">
        <w:t>transitioning to</w:t>
      </w:r>
      <w:r w:rsidRPr="00994FB7">
        <w:t xml:space="preserve"> SEDC) and 18 SEDC grantees (the</w:t>
      </w:r>
      <w:r w:rsidRPr="00994FB7" w:rsidR="00A308C3">
        <w:t xml:space="preserve"> </w:t>
      </w:r>
      <w:r w:rsidRPr="00994FB7">
        <w:t xml:space="preserve">10 transitioning EDT States plus the 8 SEDC‑only </w:t>
      </w:r>
      <w:r w:rsidRPr="00994FB7" w:rsidR="00336363">
        <w:t>States</w:t>
      </w:r>
      <w:r w:rsidRPr="00994FB7">
        <w:t xml:space="preserve">). </w:t>
      </w:r>
      <w:r w:rsidRPr="00994FB7" w:rsidR="00336363">
        <w:t>The</w:t>
      </w:r>
      <w:r w:rsidRPr="00994FB7">
        <w:t xml:space="preserve"> transition</w:t>
      </w:r>
      <w:r w:rsidRPr="00994FB7" w:rsidR="00336363">
        <w:t xml:space="preserve"> </w:t>
      </w:r>
      <w:r w:rsidRPr="00994FB7">
        <w:t xml:space="preserve">to </w:t>
      </w:r>
      <w:r w:rsidRPr="00994FB7" w:rsidR="00CA1A9F">
        <w:t xml:space="preserve">the </w:t>
      </w:r>
      <w:r w:rsidRPr="00994FB7">
        <w:t xml:space="preserve">SEDC transmission will </w:t>
      </w:r>
      <w:r w:rsidRPr="00994FB7" w:rsidR="00665015">
        <w:t xml:space="preserve">happen gradually, with approximately three States migrating per year until all </w:t>
      </w:r>
      <w:r w:rsidRPr="00994FB7" w:rsidR="000F4F75">
        <w:t xml:space="preserve">10 complete the shift by </w:t>
      </w:r>
      <w:r w:rsidRPr="00994FB7" w:rsidR="001E0F38">
        <w:t>January 2030</w:t>
      </w:r>
      <w:r w:rsidRPr="00994FB7" w:rsidR="000F4F75">
        <w:t xml:space="preserve">. </w:t>
      </w:r>
      <w:r w:rsidRPr="00994FB7">
        <w:t xml:space="preserve"> </w:t>
      </w:r>
      <w:r w:rsidRPr="00994FB7" w:rsidR="007B547D">
        <w:t>T</w:t>
      </w:r>
      <w:r w:rsidRPr="00994FB7">
        <w:t xml:space="preserve">he eight SEDC‑only States will also begin </w:t>
      </w:r>
      <w:r w:rsidRPr="00994FB7" w:rsidR="00A70F79">
        <w:t xml:space="preserve">their </w:t>
      </w:r>
      <w:r w:rsidRPr="00994FB7">
        <w:t>SEDC transmission</w:t>
      </w:r>
      <w:r w:rsidRPr="00994FB7" w:rsidR="00A70F79">
        <w:t>s</w:t>
      </w:r>
      <w:r w:rsidRPr="00994FB7">
        <w:t xml:space="preserve"> </w:t>
      </w:r>
      <w:r w:rsidRPr="00994FB7" w:rsidR="00A70F79">
        <w:t>over this period</w:t>
      </w:r>
      <w:r w:rsidRPr="00994FB7">
        <w:t xml:space="preserve">. Because the transmission requirements differ for Non‑SEDC and SEDC </w:t>
      </w:r>
      <w:r w:rsidRPr="00994FB7" w:rsidR="002179BF">
        <w:t>grantees</w:t>
      </w:r>
      <w:r w:rsidRPr="00994FB7">
        <w:t xml:space="preserve">, the annual burden for each </w:t>
      </w:r>
      <w:r w:rsidRPr="00994FB7" w:rsidR="00B12291">
        <w:t>group is</w:t>
      </w:r>
      <w:r w:rsidRPr="00994FB7">
        <w:t xml:space="preserve"> </w:t>
      </w:r>
      <w:r w:rsidRPr="00994FB7" w:rsidR="00A70F79">
        <w:t>detailed</w:t>
      </w:r>
      <w:r w:rsidRPr="00994FB7">
        <w:t xml:space="preserve"> separately</w:t>
      </w:r>
      <w:r w:rsidRPr="00994FB7" w:rsidR="00662B32">
        <w:t xml:space="preserve"> below.</w:t>
      </w:r>
    </w:p>
    <w:p w:rsidR="00A23407" w:rsidRPr="00994FB7" w:rsidP="004B6737" w14:paraId="09E7C409" w14:textId="0F295826">
      <w:pPr>
        <w:pStyle w:val="Heading3"/>
      </w:pPr>
      <w:r w:rsidRPr="00994FB7">
        <w:t xml:space="preserve"> </w:t>
      </w:r>
      <w:bookmarkStart w:id="25" w:name="_Hlk71224710"/>
      <w:bookmarkEnd w:id="24"/>
      <w:r w:rsidRPr="00994FB7">
        <w:t>States using SDS Protocol</w:t>
      </w:r>
    </w:p>
    <w:p w:rsidR="001C7523" w:rsidRPr="00994FB7" w:rsidP="008359E3" w14:paraId="18AE8B7B" w14:textId="27637EAF">
      <w:pPr>
        <w:pStyle w:val="ListParagraph"/>
        <w:rPr>
          <w:rFonts w:cs="Times New Roman"/>
          <w:szCs w:val="24"/>
        </w:rPr>
      </w:pPr>
      <w:r w:rsidRPr="001504E1">
        <w:rPr>
          <w:rFonts w:cs="Times New Roman"/>
        </w:rPr>
        <w:t xml:space="preserve">SDS information </w:t>
      </w:r>
      <w:r w:rsidRPr="001504E1" w:rsidR="00614162">
        <w:rPr>
          <w:rFonts w:cs="Times New Roman"/>
        </w:rPr>
        <w:t xml:space="preserve">was </w:t>
      </w:r>
      <w:r w:rsidRPr="001504E1" w:rsidR="00F56688">
        <w:rPr>
          <w:rFonts w:cs="Times New Roman"/>
        </w:rPr>
        <w:t xml:space="preserve">previously </w:t>
      </w:r>
      <w:r w:rsidRPr="001504E1" w:rsidR="00D63324">
        <w:rPr>
          <w:rFonts w:cs="Times New Roman"/>
        </w:rPr>
        <w:t xml:space="preserve">obtained </w:t>
      </w:r>
      <w:r w:rsidRPr="001504E1" w:rsidR="00614162">
        <w:rPr>
          <w:rFonts w:cs="Times New Roman"/>
        </w:rPr>
        <w:t xml:space="preserve">using a </w:t>
      </w:r>
      <w:r w:rsidRPr="001504E1" w:rsidR="00147B34">
        <w:rPr>
          <w:rFonts w:cs="Times New Roman"/>
        </w:rPr>
        <w:t>traditional method</w:t>
      </w:r>
      <w:r w:rsidRPr="001504E1" w:rsidR="00207992">
        <w:rPr>
          <w:rFonts w:cs="Times New Roman"/>
        </w:rPr>
        <w:t xml:space="preserve"> </w:t>
      </w:r>
      <w:r w:rsidRPr="00994FB7" w:rsidR="00147B34">
        <w:rPr>
          <w:rFonts w:eastAsia="Times New Roman" w:cs="Times New Roman"/>
        </w:rPr>
        <w:t xml:space="preserve">via electronic media through secured mail or a </w:t>
      </w:r>
      <w:r w:rsidRPr="00994FB7" w:rsidR="00EC5691">
        <w:rPr>
          <w:rFonts w:eastAsia="Times New Roman" w:cs="Times New Roman"/>
        </w:rPr>
        <w:t>Secure File Transfer Protocol (SFTP)</w:t>
      </w:r>
      <w:r w:rsidRPr="00994FB7" w:rsidR="00614162">
        <w:rPr>
          <w:rFonts w:eastAsia="Times New Roman" w:cs="Times New Roman"/>
        </w:rPr>
        <w:t xml:space="preserve"> from participating States on an annual basis</w:t>
      </w:r>
      <w:r w:rsidRPr="00994FB7" w:rsidR="00B87157">
        <w:rPr>
          <w:rFonts w:eastAsia="Times New Roman" w:cs="Times New Roman"/>
        </w:rPr>
        <w:t>.</w:t>
      </w:r>
      <w:r w:rsidRPr="00994FB7" w:rsidR="002647CB">
        <w:rPr>
          <w:rFonts w:eastAsia="Times New Roman" w:cs="Times New Roman"/>
        </w:rPr>
        <w:t xml:space="preserve"> </w:t>
      </w:r>
      <w:r w:rsidRPr="00994FB7" w:rsidR="00B87157">
        <w:rPr>
          <w:rFonts w:eastAsia="Times New Roman" w:cs="Times New Roman"/>
        </w:rPr>
        <w:t>H</w:t>
      </w:r>
      <w:r w:rsidRPr="00994FB7" w:rsidR="002647CB">
        <w:rPr>
          <w:rFonts w:eastAsia="Times New Roman" w:cs="Times New Roman"/>
        </w:rPr>
        <w:t xml:space="preserve">owever, this collection </w:t>
      </w:r>
      <w:r w:rsidRPr="00994FB7" w:rsidR="0098704E">
        <w:rPr>
          <w:rFonts w:eastAsia="Times New Roman" w:cs="Times New Roman"/>
        </w:rPr>
        <w:t>has been sunset</w:t>
      </w:r>
      <w:r w:rsidRPr="00994FB7" w:rsidR="002647CB">
        <w:rPr>
          <w:rFonts w:eastAsia="Times New Roman" w:cs="Times New Roman"/>
        </w:rPr>
        <w:t xml:space="preserve">, removing </w:t>
      </w:r>
      <w:r w:rsidRPr="00994FB7" w:rsidR="006F735F">
        <w:rPr>
          <w:rFonts w:eastAsia="Times New Roman" w:cs="Times New Roman"/>
        </w:rPr>
        <w:t xml:space="preserve">the </w:t>
      </w:r>
      <w:r w:rsidRPr="00994FB7" w:rsidR="00537CD6">
        <w:rPr>
          <w:rFonts w:eastAsia="Times New Roman" w:cs="Times New Roman"/>
        </w:rPr>
        <w:t>a</w:t>
      </w:r>
      <w:r w:rsidRPr="00994FB7" w:rsidR="006F735F">
        <w:rPr>
          <w:rFonts w:eastAsia="Times New Roman" w:cs="Times New Roman"/>
        </w:rPr>
        <w:t>ssociated</w:t>
      </w:r>
      <w:r w:rsidRPr="00994FB7" w:rsidR="002647CB">
        <w:rPr>
          <w:rFonts w:eastAsia="Times New Roman" w:cs="Times New Roman"/>
        </w:rPr>
        <w:t xml:space="preserve"> </w:t>
      </w:r>
      <w:r w:rsidRPr="00994FB7" w:rsidR="001F73B3">
        <w:rPr>
          <w:rFonts w:eastAsia="Times New Roman" w:cs="Times New Roman"/>
        </w:rPr>
        <w:t>State burden</w:t>
      </w:r>
      <w:r w:rsidRPr="00994FB7" w:rsidR="00147B34">
        <w:rPr>
          <w:rFonts w:eastAsia="Times New Roman" w:cs="Times New Roman"/>
        </w:rPr>
        <w:t xml:space="preserve">.  </w:t>
      </w:r>
      <w:bookmarkStart w:id="26" w:name="_Hlk71226762"/>
      <w:bookmarkEnd w:id="25"/>
    </w:p>
    <w:p w:rsidR="00093216" w:rsidRPr="00994FB7" w:rsidP="00731F08" w14:paraId="5A2CBC5E" w14:textId="2EFFD00C">
      <w:pPr>
        <w:pStyle w:val="Heading3"/>
      </w:pPr>
      <w:r w:rsidRPr="00994FB7">
        <w:t xml:space="preserve">Non-SEDC </w:t>
      </w:r>
      <w:r w:rsidRPr="00994FB7">
        <w:t>EDT Protocol</w:t>
      </w:r>
    </w:p>
    <w:p w:rsidR="005E60DA" w:rsidRPr="00994FB7" w:rsidP="008359E3" w14:paraId="2A4518A5" w14:textId="7B62660D">
      <w:pPr>
        <w:ind w:left="720"/>
      </w:pPr>
      <w:bookmarkStart w:id="27" w:name="_Hlk71282223"/>
      <w:bookmarkEnd w:id="26"/>
      <w:r w:rsidRPr="00994FB7">
        <w:t xml:space="preserve">The </w:t>
      </w:r>
      <w:r w:rsidRPr="00994FB7" w:rsidR="00093866">
        <w:t xml:space="preserve">State burden associated with </w:t>
      </w:r>
      <w:r w:rsidRPr="00994FB7">
        <w:t>the EDT protocol var</w:t>
      </w:r>
      <w:r w:rsidRPr="00994FB7" w:rsidR="00093866">
        <w:t>ies</w:t>
      </w:r>
      <w:r w:rsidRPr="00994FB7">
        <w:t xml:space="preserve"> between </w:t>
      </w:r>
      <w:r w:rsidRPr="00994FB7" w:rsidR="00732E1F">
        <w:t>N</w:t>
      </w:r>
      <w:r w:rsidRPr="00994FB7">
        <w:t xml:space="preserve">on-SEDC States and SEDC </w:t>
      </w:r>
      <w:r w:rsidRPr="00994FB7" w:rsidR="002179BF">
        <w:t>g</w:t>
      </w:r>
      <w:r w:rsidRPr="00994FB7">
        <w:t xml:space="preserve">rantees. This difference is driven by the distinct requirements placed on each group, such as </w:t>
      </w:r>
      <w:r w:rsidRPr="00994FB7" w:rsidR="00B946DF">
        <w:t xml:space="preserve">mutually agreed upon data sharing memorandum of understanding for Non-SEDC States or </w:t>
      </w:r>
      <w:r w:rsidRPr="00994FB7">
        <w:t>mandatory data standardization and MMUCC alignment</w:t>
      </w:r>
      <w:r w:rsidRPr="00994FB7" w:rsidR="005512F9">
        <w:t xml:space="preserve"> for SEDC </w:t>
      </w:r>
      <w:r w:rsidRPr="00994FB7" w:rsidR="002179BF">
        <w:t>grantees</w:t>
      </w:r>
      <w:r w:rsidRPr="00994FB7" w:rsidR="00B946DF">
        <w:t xml:space="preserve">. </w:t>
      </w:r>
      <w:r w:rsidRPr="00994FB7" w:rsidR="00A60621">
        <w:t xml:space="preserve"> </w:t>
      </w:r>
    </w:p>
    <w:p w:rsidR="00783ACC" w:rsidRPr="00994FB7" w:rsidP="009573CB" w14:paraId="7C90DDC2" w14:textId="52794D66">
      <w:pPr>
        <w:tabs>
          <w:tab w:val="left" w:pos="-720"/>
          <w:tab w:val="left" w:pos="540"/>
        </w:tabs>
        <w:ind w:left="720"/>
      </w:pPr>
      <w:r w:rsidRPr="00994FB7">
        <w:t xml:space="preserve">The burden estimate for Non-SEDC States is derived from the actual level of effort reported by states currently using the Non-SEDC EDT protocol. NHTSA projects that each year, one additional state will implement the protocol, while </w:t>
      </w:r>
      <w:r w:rsidRPr="00994FB7" w:rsidR="00EF69D2">
        <w:t>several</w:t>
      </w:r>
      <w:r w:rsidRPr="00994FB7" w:rsidR="00CA3098">
        <w:t xml:space="preserve"> </w:t>
      </w:r>
      <w:r w:rsidRPr="00994FB7">
        <w:t>existing SEDC grantees will transition from Non-SEDC to SEDC requirements</w:t>
      </w:r>
      <w:r w:rsidRPr="00994FB7" w:rsidR="00EF69D2">
        <w:t xml:space="preserve"> annually</w:t>
      </w:r>
      <w:r w:rsidRPr="00994FB7">
        <w:t>. Consequently, NHTSA anticipates an average of 17 active Non-SEDC states annually over the next three years (</w:t>
      </w:r>
      <w:r w:rsidRPr="00994FB7" w:rsidR="00EF69D2">
        <w:t>2</w:t>
      </w:r>
      <w:r w:rsidRPr="00994FB7" w:rsidR="00FC784D">
        <w:t>2</w:t>
      </w:r>
      <w:r w:rsidRPr="00994FB7" w:rsidR="00EF69D2">
        <w:t xml:space="preserve"> </w:t>
      </w:r>
      <w:r w:rsidRPr="00994FB7">
        <w:t xml:space="preserve">in Year 1, </w:t>
      </w:r>
      <w:r w:rsidRPr="00994FB7" w:rsidR="00FC784D">
        <w:t>20</w:t>
      </w:r>
      <w:r w:rsidRPr="00994FB7" w:rsidR="00EF69D2">
        <w:t xml:space="preserve"> </w:t>
      </w:r>
      <w:r w:rsidRPr="00994FB7">
        <w:t xml:space="preserve">in Year 2, and </w:t>
      </w:r>
      <w:r w:rsidRPr="00994FB7" w:rsidR="001E6114">
        <w:t>18</w:t>
      </w:r>
      <w:r w:rsidRPr="00994FB7" w:rsidR="00EF69D2">
        <w:t xml:space="preserve"> </w:t>
      </w:r>
      <w:r w:rsidRPr="00994FB7">
        <w:t>in Year 3)</w:t>
      </w:r>
      <w:r w:rsidRPr="00994FB7" w:rsidR="00051254">
        <w:t xml:space="preserve"> as shown in</w:t>
      </w:r>
      <w:r w:rsidRPr="00994FB7" w:rsidR="002C3672">
        <w:t xml:space="preserve"> </w:t>
      </w:r>
      <w:r w:rsidRPr="00994FB7" w:rsidR="002C3672">
        <w:fldChar w:fldCharType="begin"/>
      </w:r>
      <w:r w:rsidRPr="00994FB7" w:rsidR="002C3672">
        <w:instrText xml:space="preserve"> REF _Ref231286649 \h </w:instrText>
      </w:r>
      <w:r w:rsidRPr="00994FB7" w:rsidR="00994FB7">
        <w:instrText xml:space="preserve"> \* MERGEFORMAT </w:instrText>
      </w:r>
      <w:r w:rsidRPr="00994FB7" w:rsidR="002C3672">
        <w:fldChar w:fldCharType="separate"/>
      </w:r>
      <w:r w:rsidRPr="00994FB7" w:rsidR="002C3672">
        <w:t xml:space="preserve">Table </w:t>
      </w:r>
      <w:r w:rsidRPr="00994FB7" w:rsidR="002C3672">
        <w:rPr>
          <w:noProof/>
        </w:rPr>
        <w:t>1</w:t>
      </w:r>
      <w:r w:rsidRPr="00994FB7" w:rsidR="002C3672">
        <w:fldChar w:fldCharType="end"/>
      </w:r>
      <w:r w:rsidRPr="00994FB7">
        <w:t xml:space="preserve">. For these states, the burden is limited to annual maintenance, </w:t>
      </w:r>
      <w:r w:rsidRPr="00994FB7" w:rsidR="000D7DCF">
        <w:t>apart from</w:t>
      </w:r>
      <w:r w:rsidRPr="00994FB7">
        <w:t xml:space="preserve"> the newly added state, which also includes implementation costs.</w:t>
      </w:r>
      <w:bookmarkEnd w:id="27"/>
    </w:p>
    <w:p w:rsidR="00C67BD3" w:rsidRPr="001504E1" w:rsidP="00994FB7" w14:paraId="35E22339" w14:textId="72FA6E0A">
      <w:pPr>
        <w:pStyle w:val="Caption"/>
        <w:rPr>
          <w:color w:val="auto"/>
        </w:rPr>
      </w:pPr>
      <w:bookmarkStart w:id="28" w:name="_Ref231286649"/>
      <w:r w:rsidRPr="001504E1">
        <w:rPr>
          <w:color w:val="auto"/>
        </w:rPr>
        <w:t xml:space="preserve">Table </w:t>
      </w:r>
      <w:r w:rsidRPr="001504E1">
        <w:rPr>
          <w:color w:val="auto"/>
        </w:rPr>
        <w:fldChar w:fldCharType="begin"/>
      </w:r>
      <w:r w:rsidRPr="001504E1">
        <w:rPr>
          <w:color w:val="auto"/>
        </w:rPr>
        <w:instrText xml:space="preserve"> SEQ Table \* ARABIC </w:instrText>
      </w:r>
      <w:r w:rsidRPr="001504E1">
        <w:rPr>
          <w:color w:val="auto"/>
        </w:rPr>
        <w:fldChar w:fldCharType="separate"/>
      </w:r>
      <w:r w:rsidRPr="001504E1" w:rsidR="00A5297E">
        <w:rPr>
          <w:noProof/>
          <w:color w:val="auto"/>
        </w:rPr>
        <w:t>1</w:t>
      </w:r>
      <w:r w:rsidRPr="001504E1">
        <w:rPr>
          <w:color w:val="auto"/>
        </w:rPr>
        <w:fldChar w:fldCharType="end"/>
      </w:r>
      <w:bookmarkEnd w:id="28"/>
      <w:r w:rsidRPr="001504E1">
        <w:rPr>
          <w:color w:val="auto"/>
        </w:rPr>
        <w:t xml:space="preserve">. </w:t>
      </w:r>
      <w:r w:rsidRPr="001504E1">
        <w:rPr>
          <w:color w:val="auto"/>
        </w:rPr>
        <w:t>Number of Non-SEDC Protocol</w:t>
      </w:r>
      <w:r w:rsidRPr="001504E1" w:rsidR="00F85032">
        <w:rPr>
          <w:color w:val="auto"/>
        </w:rPr>
        <w:t xml:space="preserve"> States</w:t>
      </w:r>
    </w:p>
    <w:tbl>
      <w:tblPr>
        <w:tblW w:w="0" w:type="auto"/>
        <w:tblInd w:w="1340" w:type="dxa"/>
        <w:tblLook w:val="04A0"/>
      </w:tblPr>
      <w:tblGrid>
        <w:gridCol w:w="2616"/>
        <w:gridCol w:w="1770"/>
        <w:gridCol w:w="2379"/>
        <w:gridCol w:w="1463"/>
        <w:gridCol w:w="222"/>
      </w:tblGrid>
      <w:tr w14:paraId="0FD6A3DA" w14:textId="77777777" w:rsidTr="00994FB7">
        <w:tblPrEx>
          <w:tblW w:w="0" w:type="auto"/>
          <w:tblInd w:w="1340" w:type="dxa"/>
          <w:tblLook w:val="04A0"/>
        </w:tblPrEx>
        <w:trPr>
          <w:gridAfter w:val="1"/>
          <w:trHeight w:val="517"/>
        </w:trPr>
        <w:tc>
          <w:tcPr>
            <w:tcW w:w="2615" w:type="dxa"/>
            <w:vMerge w:val="restart"/>
            <w:tcBorders>
              <w:top w:val="single" w:sz="8" w:space="0" w:color="auto"/>
              <w:left w:val="single" w:sz="8" w:space="0" w:color="auto"/>
              <w:bottom w:val="single" w:sz="4" w:space="0" w:color="auto"/>
              <w:right w:val="single" w:sz="8" w:space="0" w:color="auto"/>
            </w:tcBorders>
            <w:noWrap/>
            <w:vAlign w:val="center"/>
            <w:hideMark/>
          </w:tcPr>
          <w:p w:rsidR="00FD3123" w:rsidRPr="001504E1" w:rsidP="00FD3123" w14:paraId="0E974D83" w14:textId="629FC22A">
            <w:pPr>
              <w:spacing w:after="0" w:line="240" w:lineRule="auto"/>
              <w:jc w:val="center"/>
              <w:rPr>
                <w:rFonts w:eastAsia="Times New Roman" w:cs="Times New Roman"/>
                <w:b/>
                <w:bCs/>
                <w:sz w:val="22"/>
                <w:lang w:eastAsia="zh-CN"/>
              </w:rPr>
            </w:pPr>
            <w:r w:rsidRPr="001504E1">
              <w:rPr>
                <w:rFonts w:eastAsia="Times New Roman" w:cs="Times New Roman"/>
                <w:b/>
                <w:bCs/>
                <w:sz w:val="22"/>
                <w:lang w:eastAsia="zh-CN"/>
              </w:rPr>
              <w:t>Non-SEDC Protocol</w:t>
            </w:r>
            <w:r w:rsidRPr="001504E1" w:rsidR="00C67BD3">
              <w:rPr>
                <w:rFonts w:eastAsia="Times New Roman" w:cs="Times New Roman"/>
                <w:b/>
                <w:bCs/>
                <w:sz w:val="22"/>
                <w:lang w:eastAsia="zh-CN"/>
              </w:rPr>
              <w:t xml:space="preserve"> State</w:t>
            </w:r>
          </w:p>
        </w:tc>
        <w:tc>
          <w:tcPr>
            <w:tcW w:w="0" w:type="auto"/>
            <w:vMerge w:val="restart"/>
            <w:tcBorders>
              <w:top w:val="single" w:sz="8" w:space="0" w:color="auto"/>
              <w:left w:val="nil"/>
              <w:bottom w:val="single" w:sz="4" w:space="0" w:color="auto"/>
              <w:right w:val="single" w:sz="4" w:space="0" w:color="auto"/>
            </w:tcBorders>
            <w:hideMark/>
          </w:tcPr>
          <w:p w:rsidR="00FD3123" w:rsidRPr="001504E1" w:rsidP="00994FB7" w14:paraId="5D854BD1" w14:textId="7BBB4D84">
            <w:pPr>
              <w:spacing w:after="0" w:line="240" w:lineRule="auto"/>
              <w:jc w:val="center"/>
              <w:rPr>
                <w:rFonts w:eastAsia="Times New Roman" w:cs="Times New Roman"/>
                <w:b/>
                <w:bCs/>
                <w:sz w:val="22"/>
                <w:lang w:eastAsia="zh-CN"/>
              </w:rPr>
            </w:pPr>
            <w:r w:rsidRPr="001504E1">
              <w:rPr>
                <w:rFonts w:eastAsia="Times New Roman" w:cs="Times New Roman"/>
                <w:b/>
                <w:bCs/>
                <w:sz w:val="22"/>
                <w:lang w:eastAsia="zh-CN"/>
              </w:rPr>
              <w:t>Number of Non-SEDC State Each Year</w:t>
            </w:r>
          </w:p>
        </w:tc>
        <w:tc>
          <w:tcPr>
            <w:tcW w:w="0" w:type="auto"/>
            <w:vMerge w:val="restart"/>
            <w:tcBorders>
              <w:top w:val="single" w:sz="8" w:space="0" w:color="auto"/>
              <w:left w:val="single" w:sz="4" w:space="0" w:color="auto"/>
              <w:bottom w:val="single" w:sz="4" w:space="0" w:color="auto"/>
              <w:right w:val="single" w:sz="4" w:space="0" w:color="auto"/>
            </w:tcBorders>
            <w:hideMark/>
          </w:tcPr>
          <w:p w:rsidR="00FD3123" w:rsidRPr="001504E1" w:rsidP="00994FB7" w14:paraId="5DBA77BA" w14:textId="57AB19D8">
            <w:pPr>
              <w:spacing w:after="0" w:line="240" w:lineRule="auto"/>
              <w:jc w:val="center"/>
              <w:rPr>
                <w:rFonts w:eastAsia="Times New Roman" w:cs="Times New Roman"/>
                <w:b/>
                <w:bCs/>
                <w:sz w:val="22"/>
                <w:lang w:eastAsia="zh-CN"/>
              </w:rPr>
            </w:pPr>
            <w:r w:rsidRPr="001504E1">
              <w:rPr>
                <w:rFonts w:eastAsia="Times New Roman" w:cs="Times New Roman"/>
                <w:b/>
                <w:bCs/>
                <w:sz w:val="22"/>
                <w:lang w:eastAsia="zh-CN"/>
              </w:rPr>
              <w:t>Numb</w:t>
            </w:r>
            <w:r w:rsidRPr="001504E1" w:rsidR="00994FB7">
              <w:rPr>
                <w:rFonts w:eastAsia="Times New Roman" w:cs="Times New Roman"/>
                <w:b/>
                <w:bCs/>
                <w:sz w:val="22"/>
                <w:lang w:eastAsia="zh-CN"/>
              </w:rPr>
              <w:t>e</w:t>
            </w:r>
            <w:r w:rsidRPr="001504E1">
              <w:rPr>
                <w:rFonts w:eastAsia="Times New Roman" w:cs="Times New Roman"/>
                <w:b/>
                <w:bCs/>
                <w:sz w:val="22"/>
                <w:lang w:eastAsia="zh-CN"/>
              </w:rPr>
              <w:t>r of Non-SEDC State to SEDC State Conversion</w:t>
            </w:r>
          </w:p>
        </w:tc>
        <w:tc>
          <w:tcPr>
            <w:tcW w:w="0" w:type="auto"/>
            <w:vMerge w:val="restart"/>
            <w:tcBorders>
              <w:top w:val="single" w:sz="8" w:space="0" w:color="auto"/>
              <w:left w:val="single" w:sz="4" w:space="0" w:color="auto"/>
              <w:bottom w:val="single" w:sz="4" w:space="0" w:color="auto"/>
              <w:right w:val="single" w:sz="8" w:space="0" w:color="auto"/>
            </w:tcBorders>
            <w:hideMark/>
          </w:tcPr>
          <w:p w:rsidR="00FD3123" w:rsidRPr="001504E1" w:rsidP="00994FB7" w14:paraId="558FFC80" w14:textId="77777777">
            <w:pPr>
              <w:spacing w:after="0" w:line="240" w:lineRule="auto"/>
              <w:jc w:val="center"/>
              <w:rPr>
                <w:rFonts w:eastAsia="Times New Roman" w:cs="Times New Roman"/>
                <w:b/>
                <w:bCs/>
                <w:sz w:val="22"/>
                <w:lang w:eastAsia="zh-CN"/>
              </w:rPr>
            </w:pPr>
            <w:r w:rsidRPr="001504E1">
              <w:rPr>
                <w:rFonts w:eastAsia="Times New Roman" w:cs="Times New Roman"/>
                <w:b/>
                <w:bCs/>
                <w:sz w:val="22"/>
                <w:lang w:eastAsia="zh-CN"/>
              </w:rPr>
              <w:t>Newly Added Non-SEDC States</w:t>
            </w:r>
          </w:p>
        </w:tc>
      </w:tr>
      <w:tr w14:paraId="7B4894B6" w14:textId="77777777" w:rsidTr="00994FB7">
        <w:tblPrEx>
          <w:tblW w:w="0" w:type="auto"/>
          <w:tblInd w:w="1340" w:type="dxa"/>
          <w:tblLook w:val="04A0"/>
        </w:tblPrEx>
        <w:trPr>
          <w:trHeight w:val="268"/>
        </w:trPr>
        <w:tc>
          <w:tcPr>
            <w:tcW w:w="2615" w:type="dxa"/>
            <w:vMerge/>
            <w:tcBorders>
              <w:top w:val="single" w:sz="8" w:space="0" w:color="auto"/>
              <w:left w:val="single" w:sz="8" w:space="0" w:color="auto"/>
              <w:bottom w:val="single" w:sz="4" w:space="0" w:color="auto"/>
              <w:right w:val="single" w:sz="8" w:space="0" w:color="auto"/>
            </w:tcBorders>
            <w:vAlign w:val="center"/>
            <w:hideMark/>
          </w:tcPr>
          <w:p w:rsidR="00FD3123" w:rsidRPr="001504E1" w:rsidP="00FD3123" w14:paraId="3858A482" w14:textId="77777777">
            <w:pPr>
              <w:spacing w:after="0" w:line="240" w:lineRule="auto"/>
              <w:rPr>
                <w:rFonts w:eastAsia="Times New Roman" w:cs="Times New Roman"/>
                <w:b/>
                <w:bCs/>
                <w:sz w:val="22"/>
                <w:lang w:eastAsia="zh-CN"/>
              </w:rPr>
            </w:pPr>
          </w:p>
        </w:tc>
        <w:tc>
          <w:tcPr>
            <w:tcW w:w="0" w:type="auto"/>
            <w:vMerge/>
            <w:tcBorders>
              <w:top w:val="single" w:sz="8" w:space="0" w:color="auto"/>
              <w:left w:val="nil"/>
              <w:bottom w:val="single" w:sz="4" w:space="0" w:color="auto"/>
              <w:right w:val="single" w:sz="4" w:space="0" w:color="auto"/>
            </w:tcBorders>
            <w:vAlign w:val="center"/>
            <w:hideMark/>
          </w:tcPr>
          <w:p w:rsidR="00FD3123" w:rsidRPr="001504E1" w:rsidP="00FD3123" w14:paraId="3BABDF8D" w14:textId="77777777">
            <w:pPr>
              <w:spacing w:after="0" w:line="240" w:lineRule="auto"/>
              <w:rPr>
                <w:rFonts w:eastAsia="Times New Roman" w:cs="Times New Roman"/>
                <w:b/>
                <w:bCs/>
                <w:sz w:val="22"/>
                <w:lang w:eastAsia="zh-CN"/>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FD3123" w:rsidRPr="001504E1" w:rsidP="00FD3123" w14:paraId="4BABF346" w14:textId="77777777">
            <w:pPr>
              <w:spacing w:after="0" w:line="240" w:lineRule="auto"/>
              <w:rPr>
                <w:rFonts w:eastAsia="Times New Roman" w:cs="Times New Roman"/>
                <w:b/>
                <w:bCs/>
                <w:sz w:val="22"/>
                <w:lang w:eastAsia="zh-CN"/>
              </w:rPr>
            </w:pPr>
          </w:p>
        </w:tc>
        <w:tc>
          <w:tcPr>
            <w:tcW w:w="0" w:type="auto"/>
            <w:vMerge/>
            <w:tcBorders>
              <w:top w:val="single" w:sz="8" w:space="0" w:color="auto"/>
              <w:left w:val="single" w:sz="4" w:space="0" w:color="auto"/>
              <w:bottom w:val="single" w:sz="4" w:space="0" w:color="auto"/>
              <w:right w:val="single" w:sz="8" w:space="0" w:color="auto"/>
            </w:tcBorders>
            <w:vAlign w:val="center"/>
            <w:hideMark/>
          </w:tcPr>
          <w:p w:rsidR="00FD3123" w:rsidRPr="001504E1" w:rsidP="00FD3123" w14:paraId="1EA0901C" w14:textId="77777777">
            <w:pPr>
              <w:spacing w:after="0" w:line="240" w:lineRule="auto"/>
              <w:rPr>
                <w:rFonts w:eastAsia="Times New Roman" w:cs="Times New Roman"/>
                <w:b/>
                <w:bCs/>
                <w:sz w:val="22"/>
                <w:lang w:eastAsia="zh-CN"/>
              </w:rPr>
            </w:pPr>
          </w:p>
        </w:tc>
        <w:tc>
          <w:tcPr>
            <w:tcW w:w="0" w:type="auto"/>
            <w:tcBorders>
              <w:top w:val="nil"/>
              <w:left w:val="nil"/>
              <w:bottom w:val="nil"/>
              <w:right w:val="nil"/>
            </w:tcBorders>
            <w:noWrap/>
            <w:vAlign w:val="bottom"/>
            <w:hideMark/>
          </w:tcPr>
          <w:p w:rsidR="00FD3123" w:rsidRPr="001504E1" w:rsidP="00FD3123" w14:paraId="10C5472F" w14:textId="77777777">
            <w:pPr>
              <w:spacing w:after="0" w:line="240" w:lineRule="auto"/>
              <w:rPr>
                <w:rFonts w:eastAsia="Times New Roman" w:cs="Times New Roman"/>
                <w:b/>
                <w:bCs/>
                <w:sz w:val="22"/>
                <w:lang w:eastAsia="zh-CN"/>
              </w:rPr>
            </w:pPr>
          </w:p>
        </w:tc>
      </w:tr>
      <w:tr w14:paraId="21A0B566" w14:textId="77777777" w:rsidTr="00994FB7">
        <w:tblPrEx>
          <w:tblW w:w="0" w:type="auto"/>
          <w:tblInd w:w="1340" w:type="dxa"/>
          <w:tblLook w:val="04A0"/>
        </w:tblPrEx>
        <w:trPr>
          <w:trHeight w:val="300"/>
        </w:trPr>
        <w:tc>
          <w:tcPr>
            <w:tcW w:w="2615" w:type="dxa"/>
            <w:tcBorders>
              <w:top w:val="single" w:sz="8" w:space="0" w:color="auto"/>
              <w:left w:val="single" w:sz="8" w:space="0" w:color="auto"/>
              <w:bottom w:val="single" w:sz="4" w:space="0" w:color="auto"/>
              <w:right w:val="single" w:sz="8" w:space="0" w:color="auto"/>
            </w:tcBorders>
            <w:noWrap/>
            <w:vAlign w:val="bottom"/>
            <w:hideMark/>
          </w:tcPr>
          <w:p w:rsidR="00FD3123" w:rsidRPr="001504E1" w:rsidP="00FD3123" w14:paraId="2A7E04A0" w14:textId="77777777">
            <w:pPr>
              <w:spacing w:after="0" w:line="240" w:lineRule="auto"/>
              <w:rPr>
                <w:rFonts w:eastAsia="Times New Roman" w:cs="Times New Roman"/>
                <w:sz w:val="22"/>
                <w:lang w:eastAsia="zh-CN"/>
              </w:rPr>
            </w:pPr>
            <w:r w:rsidRPr="001504E1">
              <w:rPr>
                <w:rFonts w:eastAsia="Times New Roman" w:cs="Times New Roman"/>
                <w:sz w:val="22"/>
                <w:lang w:eastAsia="zh-CN"/>
              </w:rPr>
              <w:t>Current Year</w:t>
            </w:r>
          </w:p>
        </w:tc>
        <w:tc>
          <w:tcPr>
            <w:tcW w:w="0" w:type="auto"/>
            <w:tcBorders>
              <w:top w:val="single" w:sz="8" w:space="0" w:color="auto"/>
              <w:left w:val="nil"/>
              <w:bottom w:val="single" w:sz="4" w:space="0" w:color="auto"/>
              <w:right w:val="single" w:sz="4" w:space="0" w:color="auto"/>
            </w:tcBorders>
            <w:noWrap/>
            <w:vAlign w:val="bottom"/>
            <w:hideMark/>
          </w:tcPr>
          <w:p w:rsidR="00FD3123" w:rsidRPr="001504E1" w:rsidP="00994FB7" w14:paraId="3F84475D" w14:textId="77777777">
            <w:pPr>
              <w:spacing w:after="0" w:line="240" w:lineRule="auto"/>
              <w:jc w:val="center"/>
              <w:rPr>
                <w:rFonts w:eastAsia="Times New Roman" w:cs="Times New Roman"/>
                <w:sz w:val="22"/>
                <w:lang w:eastAsia="zh-CN"/>
              </w:rPr>
            </w:pPr>
            <w:r w:rsidRPr="001504E1">
              <w:rPr>
                <w:rFonts w:eastAsia="Times New Roman" w:cs="Times New Roman"/>
                <w:sz w:val="22"/>
                <w:lang w:eastAsia="zh-CN"/>
              </w:rPr>
              <w:t>22</w:t>
            </w:r>
          </w:p>
        </w:tc>
        <w:tc>
          <w:tcPr>
            <w:tcW w:w="0" w:type="auto"/>
            <w:tcBorders>
              <w:top w:val="single" w:sz="8" w:space="0" w:color="auto"/>
              <w:left w:val="nil"/>
              <w:bottom w:val="single" w:sz="4" w:space="0" w:color="auto"/>
              <w:right w:val="single" w:sz="4" w:space="0" w:color="auto"/>
            </w:tcBorders>
            <w:noWrap/>
            <w:vAlign w:val="bottom"/>
            <w:hideMark/>
          </w:tcPr>
          <w:p w:rsidR="00FD3123" w:rsidRPr="001504E1" w:rsidP="00994FB7" w14:paraId="50B2A170" w14:textId="77777777">
            <w:pPr>
              <w:spacing w:after="0" w:line="240" w:lineRule="auto"/>
              <w:jc w:val="center"/>
              <w:rPr>
                <w:rFonts w:eastAsia="Times New Roman" w:cs="Times New Roman"/>
                <w:sz w:val="22"/>
                <w:lang w:eastAsia="zh-CN"/>
              </w:rPr>
            </w:pPr>
            <w:r w:rsidRPr="001504E1">
              <w:rPr>
                <w:rFonts w:eastAsia="Times New Roman" w:cs="Times New Roman"/>
                <w:sz w:val="22"/>
                <w:lang w:eastAsia="zh-CN"/>
              </w:rPr>
              <w:t>0</w:t>
            </w:r>
          </w:p>
        </w:tc>
        <w:tc>
          <w:tcPr>
            <w:tcW w:w="0" w:type="auto"/>
            <w:tcBorders>
              <w:top w:val="single" w:sz="8" w:space="0" w:color="auto"/>
              <w:left w:val="nil"/>
              <w:bottom w:val="single" w:sz="4" w:space="0" w:color="auto"/>
              <w:right w:val="single" w:sz="8" w:space="0" w:color="auto"/>
            </w:tcBorders>
            <w:noWrap/>
            <w:vAlign w:val="bottom"/>
            <w:hideMark/>
          </w:tcPr>
          <w:p w:rsidR="00FD3123" w:rsidRPr="001504E1" w:rsidP="00994FB7" w14:paraId="6FE819AE" w14:textId="77777777">
            <w:pPr>
              <w:spacing w:after="0" w:line="240" w:lineRule="auto"/>
              <w:jc w:val="center"/>
              <w:rPr>
                <w:rFonts w:eastAsia="Times New Roman" w:cs="Times New Roman"/>
                <w:sz w:val="22"/>
                <w:lang w:eastAsia="zh-CN"/>
              </w:rPr>
            </w:pPr>
            <w:r w:rsidRPr="001504E1">
              <w:rPr>
                <w:rFonts w:eastAsia="Times New Roman" w:cs="Times New Roman"/>
                <w:sz w:val="22"/>
                <w:lang w:eastAsia="zh-CN"/>
              </w:rPr>
              <w:t>0</w:t>
            </w:r>
          </w:p>
        </w:tc>
        <w:tc>
          <w:tcPr>
            <w:tcW w:w="0" w:type="auto"/>
            <w:vAlign w:val="center"/>
            <w:hideMark/>
          </w:tcPr>
          <w:p w:rsidR="00FD3123" w:rsidRPr="00994FB7" w:rsidP="00FD3123" w14:paraId="362E19CE" w14:textId="77777777">
            <w:pPr>
              <w:spacing w:after="0" w:line="240" w:lineRule="auto"/>
              <w:rPr>
                <w:rFonts w:eastAsia="Times New Roman" w:cs="Times New Roman"/>
                <w:sz w:val="20"/>
                <w:szCs w:val="20"/>
                <w:lang w:eastAsia="zh-CN"/>
              </w:rPr>
            </w:pPr>
          </w:p>
        </w:tc>
      </w:tr>
      <w:tr w14:paraId="0C417C19" w14:textId="77777777" w:rsidTr="00994FB7">
        <w:tblPrEx>
          <w:tblW w:w="0" w:type="auto"/>
          <w:tblInd w:w="1340" w:type="dxa"/>
          <w:tblLook w:val="04A0"/>
        </w:tblPrEx>
        <w:trPr>
          <w:trHeight w:val="300"/>
        </w:trPr>
        <w:tc>
          <w:tcPr>
            <w:tcW w:w="2615" w:type="dxa"/>
            <w:tcBorders>
              <w:top w:val="nil"/>
              <w:left w:val="single" w:sz="8" w:space="0" w:color="auto"/>
              <w:bottom w:val="single" w:sz="4" w:space="0" w:color="auto"/>
              <w:right w:val="single" w:sz="8" w:space="0" w:color="auto"/>
            </w:tcBorders>
            <w:noWrap/>
            <w:vAlign w:val="bottom"/>
            <w:hideMark/>
          </w:tcPr>
          <w:p w:rsidR="00FD3123" w:rsidRPr="001504E1" w:rsidP="00FD3123" w14:paraId="2D5BE16C" w14:textId="5CF3CB2B">
            <w:pPr>
              <w:spacing w:after="0" w:line="240" w:lineRule="auto"/>
              <w:rPr>
                <w:rFonts w:eastAsia="Times New Roman" w:cs="Times New Roman"/>
                <w:sz w:val="22"/>
                <w:lang w:eastAsia="zh-CN"/>
              </w:rPr>
            </w:pPr>
            <w:r w:rsidRPr="001504E1">
              <w:rPr>
                <w:rFonts w:eastAsia="Times New Roman" w:cs="Times New Roman"/>
                <w:sz w:val="22"/>
                <w:lang w:eastAsia="zh-CN"/>
              </w:rPr>
              <w:t xml:space="preserve">Current </w:t>
            </w:r>
            <w:r w:rsidRPr="001504E1" w:rsidR="005F7AB2">
              <w:rPr>
                <w:rFonts w:eastAsia="Times New Roman" w:cs="Times New Roman"/>
                <w:sz w:val="22"/>
                <w:lang w:eastAsia="zh-CN"/>
              </w:rPr>
              <w:t>+</w:t>
            </w:r>
            <w:r w:rsidRPr="001504E1">
              <w:rPr>
                <w:rFonts w:eastAsia="Times New Roman" w:cs="Times New Roman"/>
                <w:sz w:val="22"/>
                <w:lang w:eastAsia="zh-CN"/>
              </w:rPr>
              <w:t xml:space="preserve"> 1</w:t>
            </w:r>
          </w:p>
        </w:tc>
        <w:tc>
          <w:tcPr>
            <w:tcW w:w="0" w:type="auto"/>
            <w:tcBorders>
              <w:top w:val="nil"/>
              <w:left w:val="nil"/>
              <w:bottom w:val="single" w:sz="4" w:space="0" w:color="auto"/>
              <w:right w:val="single" w:sz="4" w:space="0" w:color="auto"/>
            </w:tcBorders>
            <w:noWrap/>
            <w:vAlign w:val="bottom"/>
            <w:hideMark/>
          </w:tcPr>
          <w:p w:rsidR="00FD3123" w:rsidRPr="001504E1" w:rsidP="00994FB7" w14:paraId="38E3BE22" w14:textId="3E7D1B40">
            <w:pPr>
              <w:spacing w:after="0" w:line="240" w:lineRule="auto"/>
              <w:jc w:val="center"/>
              <w:rPr>
                <w:rFonts w:eastAsia="Times New Roman" w:cs="Times New Roman"/>
                <w:sz w:val="22"/>
                <w:lang w:eastAsia="zh-CN"/>
              </w:rPr>
            </w:pPr>
            <w:r w:rsidRPr="001504E1">
              <w:rPr>
                <w:rFonts w:eastAsia="Times New Roman" w:cs="Times New Roman"/>
                <w:sz w:val="22"/>
                <w:lang w:eastAsia="zh-CN"/>
              </w:rPr>
              <w:t>2</w:t>
            </w:r>
            <w:r w:rsidRPr="001504E1" w:rsidR="002C3F0F">
              <w:rPr>
                <w:rFonts w:eastAsia="Times New Roman" w:cs="Times New Roman"/>
                <w:sz w:val="22"/>
                <w:lang w:eastAsia="zh-CN"/>
              </w:rPr>
              <w:t>2</w:t>
            </w:r>
          </w:p>
        </w:tc>
        <w:tc>
          <w:tcPr>
            <w:tcW w:w="0" w:type="auto"/>
            <w:tcBorders>
              <w:top w:val="nil"/>
              <w:left w:val="nil"/>
              <w:bottom w:val="single" w:sz="4" w:space="0" w:color="auto"/>
              <w:right w:val="single" w:sz="4" w:space="0" w:color="auto"/>
            </w:tcBorders>
            <w:noWrap/>
            <w:vAlign w:val="bottom"/>
            <w:hideMark/>
          </w:tcPr>
          <w:p w:rsidR="00FD3123" w:rsidRPr="001504E1" w:rsidP="00994FB7" w14:paraId="1401E649" w14:textId="7ABDF6C2">
            <w:pPr>
              <w:spacing w:after="0" w:line="240" w:lineRule="auto"/>
              <w:jc w:val="center"/>
              <w:rPr>
                <w:rFonts w:eastAsia="Times New Roman" w:cs="Times New Roman"/>
                <w:sz w:val="22"/>
                <w:lang w:eastAsia="zh-CN"/>
              </w:rPr>
            </w:pPr>
            <w:r w:rsidRPr="001504E1">
              <w:rPr>
                <w:rFonts w:eastAsia="Times New Roman" w:cs="Times New Roman"/>
                <w:sz w:val="22"/>
                <w:lang w:eastAsia="zh-CN"/>
              </w:rPr>
              <w:t>1</w:t>
            </w:r>
          </w:p>
        </w:tc>
        <w:tc>
          <w:tcPr>
            <w:tcW w:w="0" w:type="auto"/>
            <w:tcBorders>
              <w:top w:val="nil"/>
              <w:left w:val="nil"/>
              <w:bottom w:val="single" w:sz="4" w:space="0" w:color="auto"/>
              <w:right w:val="single" w:sz="8" w:space="0" w:color="auto"/>
            </w:tcBorders>
            <w:noWrap/>
            <w:vAlign w:val="bottom"/>
            <w:hideMark/>
          </w:tcPr>
          <w:p w:rsidR="00FD3123" w:rsidRPr="001504E1" w:rsidP="00994FB7" w14:paraId="27EC4062" w14:textId="77777777">
            <w:pPr>
              <w:spacing w:after="0" w:line="240" w:lineRule="auto"/>
              <w:jc w:val="center"/>
              <w:rPr>
                <w:rFonts w:eastAsia="Times New Roman" w:cs="Times New Roman"/>
                <w:sz w:val="22"/>
                <w:lang w:eastAsia="zh-CN"/>
              </w:rPr>
            </w:pPr>
            <w:r w:rsidRPr="001504E1">
              <w:rPr>
                <w:rFonts w:eastAsia="Times New Roman" w:cs="Times New Roman"/>
                <w:sz w:val="22"/>
                <w:lang w:eastAsia="zh-CN"/>
              </w:rPr>
              <w:t>1</w:t>
            </w:r>
          </w:p>
        </w:tc>
        <w:tc>
          <w:tcPr>
            <w:tcW w:w="0" w:type="auto"/>
            <w:vAlign w:val="center"/>
            <w:hideMark/>
          </w:tcPr>
          <w:p w:rsidR="00FD3123" w:rsidRPr="00994FB7" w:rsidP="00FD3123" w14:paraId="2D6EBC7B" w14:textId="77777777">
            <w:pPr>
              <w:spacing w:after="0" w:line="240" w:lineRule="auto"/>
              <w:rPr>
                <w:rFonts w:eastAsia="Times New Roman" w:cs="Times New Roman"/>
                <w:sz w:val="20"/>
                <w:szCs w:val="20"/>
                <w:lang w:eastAsia="zh-CN"/>
              </w:rPr>
            </w:pPr>
          </w:p>
        </w:tc>
      </w:tr>
      <w:tr w14:paraId="5C18B6FA" w14:textId="77777777" w:rsidTr="00994FB7">
        <w:tblPrEx>
          <w:tblW w:w="0" w:type="auto"/>
          <w:tblInd w:w="1340" w:type="dxa"/>
          <w:tblLook w:val="04A0"/>
        </w:tblPrEx>
        <w:trPr>
          <w:trHeight w:val="300"/>
        </w:trPr>
        <w:tc>
          <w:tcPr>
            <w:tcW w:w="2615" w:type="dxa"/>
            <w:tcBorders>
              <w:top w:val="nil"/>
              <w:left w:val="single" w:sz="8" w:space="0" w:color="auto"/>
              <w:bottom w:val="single" w:sz="4" w:space="0" w:color="auto"/>
              <w:right w:val="single" w:sz="8" w:space="0" w:color="auto"/>
            </w:tcBorders>
            <w:noWrap/>
            <w:vAlign w:val="bottom"/>
            <w:hideMark/>
          </w:tcPr>
          <w:p w:rsidR="00FD3123" w:rsidRPr="001504E1" w:rsidP="00FD3123" w14:paraId="47429483" w14:textId="3D4FCB05">
            <w:pPr>
              <w:spacing w:after="0" w:line="240" w:lineRule="auto"/>
              <w:rPr>
                <w:rFonts w:eastAsia="Times New Roman" w:cs="Times New Roman"/>
                <w:sz w:val="22"/>
                <w:lang w:eastAsia="zh-CN"/>
              </w:rPr>
            </w:pPr>
            <w:r w:rsidRPr="001504E1">
              <w:rPr>
                <w:rFonts w:eastAsia="Times New Roman" w:cs="Times New Roman"/>
                <w:sz w:val="22"/>
                <w:lang w:eastAsia="zh-CN"/>
              </w:rPr>
              <w:t xml:space="preserve">Current </w:t>
            </w:r>
            <w:r w:rsidRPr="001504E1" w:rsidR="005F7AB2">
              <w:rPr>
                <w:rFonts w:eastAsia="Times New Roman" w:cs="Times New Roman"/>
                <w:sz w:val="22"/>
                <w:lang w:eastAsia="zh-CN"/>
              </w:rPr>
              <w:t>+</w:t>
            </w:r>
            <w:r w:rsidRPr="001504E1">
              <w:rPr>
                <w:rFonts w:eastAsia="Times New Roman" w:cs="Times New Roman"/>
                <w:sz w:val="22"/>
                <w:lang w:eastAsia="zh-CN"/>
              </w:rPr>
              <w:t xml:space="preserve"> 2</w:t>
            </w:r>
          </w:p>
        </w:tc>
        <w:tc>
          <w:tcPr>
            <w:tcW w:w="0" w:type="auto"/>
            <w:tcBorders>
              <w:top w:val="nil"/>
              <w:left w:val="nil"/>
              <w:bottom w:val="single" w:sz="4" w:space="0" w:color="auto"/>
              <w:right w:val="single" w:sz="4" w:space="0" w:color="auto"/>
            </w:tcBorders>
            <w:noWrap/>
            <w:vAlign w:val="bottom"/>
            <w:hideMark/>
          </w:tcPr>
          <w:p w:rsidR="002C3F0F" w:rsidRPr="001504E1" w:rsidP="00994FB7" w14:paraId="60483FBA" w14:textId="26E086E5">
            <w:pPr>
              <w:spacing w:after="0" w:line="240" w:lineRule="auto"/>
              <w:jc w:val="center"/>
              <w:rPr>
                <w:rFonts w:eastAsia="Times New Roman" w:cs="Times New Roman"/>
                <w:sz w:val="22"/>
                <w:lang w:eastAsia="zh-CN"/>
              </w:rPr>
            </w:pPr>
            <w:r w:rsidRPr="001504E1">
              <w:rPr>
                <w:rFonts w:eastAsia="Times New Roman" w:cs="Times New Roman"/>
                <w:sz w:val="22"/>
                <w:lang w:eastAsia="zh-CN"/>
              </w:rPr>
              <w:t>20</w:t>
            </w:r>
          </w:p>
        </w:tc>
        <w:tc>
          <w:tcPr>
            <w:tcW w:w="0" w:type="auto"/>
            <w:tcBorders>
              <w:top w:val="nil"/>
              <w:left w:val="nil"/>
              <w:bottom w:val="single" w:sz="4" w:space="0" w:color="auto"/>
              <w:right w:val="single" w:sz="4" w:space="0" w:color="auto"/>
            </w:tcBorders>
            <w:noWrap/>
            <w:vAlign w:val="bottom"/>
            <w:hideMark/>
          </w:tcPr>
          <w:p w:rsidR="00FD3123" w:rsidRPr="001504E1" w:rsidP="00994FB7" w14:paraId="4EC1B01D" w14:textId="504C6B47">
            <w:pPr>
              <w:spacing w:after="0" w:line="240" w:lineRule="auto"/>
              <w:jc w:val="center"/>
              <w:rPr>
                <w:rFonts w:eastAsia="Times New Roman" w:cs="Times New Roman"/>
                <w:sz w:val="22"/>
                <w:lang w:eastAsia="zh-CN"/>
              </w:rPr>
            </w:pPr>
            <w:r w:rsidRPr="001504E1">
              <w:rPr>
                <w:rFonts w:eastAsia="Times New Roman" w:cs="Times New Roman"/>
                <w:sz w:val="22"/>
                <w:lang w:eastAsia="zh-CN"/>
              </w:rPr>
              <w:t>3</w:t>
            </w:r>
          </w:p>
        </w:tc>
        <w:tc>
          <w:tcPr>
            <w:tcW w:w="0" w:type="auto"/>
            <w:tcBorders>
              <w:top w:val="nil"/>
              <w:left w:val="nil"/>
              <w:bottom w:val="single" w:sz="4" w:space="0" w:color="auto"/>
              <w:right w:val="single" w:sz="8" w:space="0" w:color="auto"/>
            </w:tcBorders>
            <w:noWrap/>
            <w:vAlign w:val="bottom"/>
            <w:hideMark/>
          </w:tcPr>
          <w:p w:rsidR="00FD3123" w:rsidRPr="001504E1" w:rsidP="00994FB7" w14:paraId="778E37CD" w14:textId="77777777">
            <w:pPr>
              <w:spacing w:after="0" w:line="240" w:lineRule="auto"/>
              <w:jc w:val="center"/>
              <w:rPr>
                <w:rFonts w:eastAsia="Times New Roman" w:cs="Times New Roman"/>
                <w:sz w:val="22"/>
                <w:lang w:eastAsia="zh-CN"/>
              </w:rPr>
            </w:pPr>
            <w:r w:rsidRPr="001504E1">
              <w:rPr>
                <w:rFonts w:eastAsia="Times New Roman" w:cs="Times New Roman"/>
                <w:sz w:val="22"/>
                <w:lang w:eastAsia="zh-CN"/>
              </w:rPr>
              <w:t>1</w:t>
            </w:r>
          </w:p>
        </w:tc>
        <w:tc>
          <w:tcPr>
            <w:tcW w:w="0" w:type="auto"/>
            <w:vAlign w:val="center"/>
            <w:hideMark/>
          </w:tcPr>
          <w:p w:rsidR="00FD3123" w:rsidRPr="00994FB7" w:rsidP="00FD3123" w14:paraId="25FFA990" w14:textId="77777777">
            <w:pPr>
              <w:spacing w:after="0" w:line="240" w:lineRule="auto"/>
              <w:rPr>
                <w:rFonts w:eastAsia="Times New Roman" w:cs="Times New Roman"/>
                <w:sz w:val="20"/>
                <w:szCs w:val="20"/>
                <w:lang w:eastAsia="zh-CN"/>
              </w:rPr>
            </w:pPr>
          </w:p>
        </w:tc>
      </w:tr>
      <w:tr w14:paraId="56981CFA" w14:textId="77777777" w:rsidTr="00994FB7">
        <w:tblPrEx>
          <w:tblW w:w="0" w:type="auto"/>
          <w:tblInd w:w="1340" w:type="dxa"/>
          <w:tblLook w:val="04A0"/>
        </w:tblPrEx>
        <w:trPr>
          <w:trHeight w:val="315"/>
        </w:trPr>
        <w:tc>
          <w:tcPr>
            <w:tcW w:w="2615" w:type="dxa"/>
            <w:tcBorders>
              <w:top w:val="nil"/>
              <w:left w:val="single" w:sz="8" w:space="0" w:color="auto"/>
              <w:bottom w:val="single" w:sz="8" w:space="0" w:color="auto"/>
              <w:right w:val="single" w:sz="8" w:space="0" w:color="auto"/>
            </w:tcBorders>
            <w:noWrap/>
            <w:vAlign w:val="bottom"/>
            <w:hideMark/>
          </w:tcPr>
          <w:p w:rsidR="00FD3123" w:rsidRPr="001504E1" w:rsidP="00FD3123" w14:paraId="3B308178" w14:textId="78B00A6E">
            <w:pPr>
              <w:spacing w:after="0" w:line="240" w:lineRule="auto"/>
              <w:rPr>
                <w:rFonts w:eastAsia="Times New Roman" w:cs="Times New Roman"/>
                <w:sz w:val="22"/>
                <w:lang w:eastAsia="zh-CN"/>
              </w:rPr>
            </w:pPr>
            <w:r w:rsidRPr="001504E1">
              <w:rPr>
                <w:rFonts w:eastAsia="Times New Roman" w:cs="Times New Roman"/>
                <w:sz w:val="22"/>
                <w:lang w:eastAsia="zh-CN"/>
              </w:rPr>
              <w:t xml:space="preserve">Current </w:t>
            </w:r>
            <w:r w:rsidRPr="001504E1" w:rsidR="005F7AB2">
              <w:rPr>
                <w:rFonts w:eastAsia="Times New Roman" w:cs="Times New Roman"/>
                <w:sz w:val="22"/>
                <w:lang w:eastAsia="zh-CN"/>
              </w:rPr>
              <w:t>+</w:t>
            </w:r>
            <w:r w:rsidRPr="001504E1">
              <w:rPr>
                <w:rFonts w:eastAsia="Times New Roman" w:cs="Times New Roman"/>
                <w:sz w:val="22"/>
                <w:lang w:eastAsia="zh-CN"/>
              </w:rPr>
              <w:t xml:space="preserve"> 3</w:t>
            </w:r>
          </w:p>
        </w:tc>
        <w:tc>
          <w:tcPr>
            <w:tcW w:w="0" w:type="auto"/>
            <w:tcBorders>
              <w:top w:val="nil"/>
              <w:left w:val="nil"/>
              <w:bottom w:val="single" w:sz="8" w:space="0" w:color="auto"/>
              <w:right w:val="single" w:sz="4" w:space="0" w:color="auto"/>
            </w:tcBorders>
            <w:noWrap/>
            <w:vAlign w:val="bottom"/>
            <w:hideMark/>
          </w:tcPr>
          <w:p w:rsidR="001337EE" w:rsidRPr="001504E1" w:rsidP="00994FB7" w14:paraId="4EE39A9B" w14:textId="56B37E66">
            <w:pPr>
              <w:spacing w:after="0" w:line="240" w:lineRule="auto"/>
              <w:jc w:val="center"/>
              <w:rPr>
                <w:rFonts w:eastAsia="Times New Roman" w:cs="Times New Roman"/>
                <w:sz w:val="22"/>
                <w:lang w:eastAsia="zh-CN"/>
              </w:rPr>
            </w:pPr>
            <w:r w:rsidRPr="001504E1">
              <w:rPr>
                <w:rFonts w:eastAsia="Times New Roman" w:cs="Times New Roman"/>
                <w:sz w:val="22"/>
                <w:lang w:eastAsia="zh-CN"/>
              </w:rPr>
              <w:t>1</w:t>
            </w:r>
            <w:r w:rsidRPr="001504E1">
              <w:rPr>
                <w:rFonts w:eastAsia="Times New Roman" w:cs="Times New Roman"/>
                <w:sz w:val="22"/>
                <w:lang w:eastAsia="zh-CN"/>
              </w:rPr>
              <w:t>8</w:t>
            </w:r>
          </w:p>
        </w:tc>
        <w:tc>
          <w:tcPr>
            <w:tcW w:w="0" w:type="auto"/>
            <w:tcBorders>
              <w:top w:val="nil"/>
              <w:left w:val="nil"/>
              <w:bottom w:val="single" w:sz="8" w:space="0" w:color="auto"/>
              <w:right w:val="single" w:sz="4" w:space="0" w:color="auto"/>
            </w:tcBorders>
            <w:noWrap/>
            <w:vAlign w:val="bottom"/>
            <w:hideMark/>
          </w:tcPr>
          <w:p w:rsidR="00FD3123" w:rsidRPr="001504E1" w:rsidP="00994FB7" w14:paraId="0CAF0720" w14:textId="3671C192">
            <w:pPr>
              <w:spacing w:after="0" w:line="240" w:lineRule="auto"/>
              <w:jc w:val="center"/>
              <w:rPr>
                <w:rFonts w:eastAsia="Times New Roman" w:cs="Times New Roman"/>
                <w:sz w:val="22"/>
                <w:lang w:eastAsia="zh-CN"/>
              </w:rPr>
            </w:pPr>
            <w:r w:rsidRPr="001504E1">
              <w:rPr>
                <w:rFonts w:eastAsia="Times New Roman" w:cs="Times New Roman"/>
                <w:sz w:val="22"/>
                <w:lang w:eastAsia="zh-CN"/>
              </w:rPr>
              <w:t>3</w:t>
            </w:r>
          </w:p>
        </w:tc>
        <w:tc>
          <w:tcPr>
            <w:tcW w:w="0" w:type="auto"/>
            <w:tcBorders>
              <w:top w:val="nil"/>
              <w:left w:val="nil"/>
              <w:bottom w:val="single" w:sz="8" w:space="0" w:color="auto"/>
              <w:right w:val="single" w:sz="8" w:space="0" w:color="auto"/>
            </w:tcBorders>
            <w:noWrap/>
            <w:vAlign w:val="bottom"/>
            <w:hideMark/>
          </w:tcPr>
          <w:p w:rsidR="00FD3123" w:rsidRPr="001504E1" w:rsidP="00994FB7" w14:paraId="31B10FCC" w14:textId="77777777">
            <w:pPr>
              <w:spacing w:after="0" w:line="240" w:lineRule="auto"/>
              <w:jc w:val="center"/>
              <w:rPr>
                <w:rFonts w:eastAsia="Times New Roman" w:cs="Times New Roman"/>
                <w:sz w:val="22"/>
                <w:lang w:eastAsia="zh-CN"/>
              </w:rPr>
            </w:pPr>
            <w:r w:rsidRPr="001504E1">
              <w:rPr>
                <w:rFonts w:eastAsia="Times New Roman" w:cs="Times New Roman"/>
                <w:sz w:val="22"/>
                <w:lang w:eastAsia="zh-CN"/>
              </w:rPr>
              <w:t>1</w:t>
            </w:r>
          </w:p>
        </w:tc>
        <w:tc>
          <w:tcPr>
            <w:tcW w:w="0" w:type="auto"/>
            <w:vAlign w:val="center"/>
            <w:hideMark/>
          </w:tcPr>
          <w:p w:rsidR="00FD3123" w:rsidRPr="00994FB7" w:rsidP="00FD3123" w14:paraId="70B7CF49" w14:textId="77777777">
            <w:pPr>
              <w:spacing w:after="0" w:line="240" w:lineRule="auto"/>
              <w:rPr>
                <w:rFonts w:eastAsia="Times New Roman" w:cs="Times New Roman"/>
                <w:sz w:val="20"/>
                <w:szCs w:val="20"/>
                <w:lang w:eastAsia="zh-CN"/>
              </w:rPr>
            </w:pPr>
          </w:p>
        </w:tc>
      </w:tr>
      <w:tr w14:paraId="3BEC8A51" w14:textId="77777777" w:rsidTr="00994FB7">
        <w:tblPrEx>
          <w:tblW w:w="0" w:type="auto"/>
          <w:tblInd w:w="1340" w:type="dxa"/>
          <w:tblLook w:val="04A0"/>
        </w:tblPrEx>
        <w:trPr>
          <w:trHeight w:val="315"/>
        </w:trPr>
        <w:tc>
          <w:tcPr>
            <w:tcW w:w="2615" w:type="dxa"/>
            <w:tcBorders>
              <w:top w:val="single" w:sz="4" w:space="0" w:color="auto"/>
              <w:left w:val="single" w:sz="8" w:space="0" w:color="auto"/>
              <w:bottom w:val="single" w:sz="8" w:space="0" w:color="auto"/>
              <w:right w:val="single" w:sz="8" w:space="0" w:color="auto"/>
            </w:tcBorders>
            <w:noWrap/>
            <w:vAlign w:val="bottom"/>
            <w:hideMark/>
          </w:tcPr>
          <w:p w:rsidR="00FD3123" w:rsidRPr="001504E1" w:rsidP="00FD3123" w14:paraId="249C8D98" w14:textId="77777777">
            <w:pPr>
              <w:spacing w:after="0" w:line="240" w:lineRule="auto"/>
              <w:rPr>
                <w:rFonts w:eastAsia="Times New Roman" w:cs="Times New Roman"/>
                <w:b/>
                <w:bCs/>
                <w:sz w:val="22"/>
                <w:lang w:eastAsia="zh-CN"/>
              </w:rPr>
            </w:pPr>
            <w:r w:rsidRPr="001504E1">
              <w:rPr>
                <w:rFonts w:eastAsia="Times New Roman" w:cs="Times New Roman"/>
                <w:b/>
                <w:bCs/>
                <w:sz w:val="22"/>
                <w:lang w:eastAsia="zh-CN"/>
              </w:rPr>
              <w:t>Average Per Year for Next Three Years</w:t>
            </w:r>
          </w:p>
        </w:tc>
        <w:tc>
          <w:tcPr>
            <w:tcW w:w="0" w:type="auto"/>
            <w:tcBorders>
              <w:top w:val="single" w:sz="4" w:space="0" w:color="auto"/>
              <w:left w:val="nil"/>
              <w:bottom w:val="single" w:sz="8" w:space="0" w:color="auto"/>
              <w:right w:val="single" w:sz="4" w:space="0" w:color="auto"/>
            </w:tcBorders>
            <w:noWrap/>
            <w:vAlign w:val="bottom"/>
            <w:hideMark/>
          </w:tcPr>
          <w:p w:rsidR="00FD3123" w:rsidRPr="001504E1" w:rsidP="00994FB7" w14:paraId="24F0D3D7" w14:textId="5A2CA738">
            <w:pPr>
              <w:spacing w:after="0" w:line="240" w:lineRule="auto"/>
              <w:jc w:val="center"/>
              <w:rPr>
                <w:rFonts w:eastAsia="Times New Roman" w:cs="Times New Roman"/>
                <w:sz w:val="22"/>
                <w:lang w:eastAsia="zh-CN"/>
              </w:rPr>
            </w:pPr>
            <w:r w:rsidRPr="001504E1">
              <w:rPr>
                <w:rFonts w:eastAsia="Times New Roman" w:cs="Times New Roman"/>
                <w:sz w:val="22"/>
                <w:lang w:eastAsia="zh-CN"/>
              </w:rPr>
              <w:t>20</w:t>
            </w:r>
          </w:p>
        </w:tc>
        <w:tc>
          <w:tcPr>
            <w:tcW w:w="0" w:type="auto"/>
            <w:tcBorders>
              <w:top w:val="single" w:sz="4" w:space="0" w:color="auto"/>
              <w:left w:val="nil"/>
              <w:bottom w:val="single" w:sz="8" w:space="0" w:color="auto"/>
              <w:right w:val="single" w:sz="4" w:space="0" w:color="auto"/>
            </w:tcBorders>
            <w:noWrap/>
            <w:vAlign w:val="bottom"/>
            <w:hideMark/>
          </w:tcPr>
          <w:p w:rsidR="00FD3123" w:rsidRPr="001504E1" w:rsidP="00994FB7" w14:paraId="45FBADDB" w14:textId="77777777">
            <w:pPr>
              <w:spacing w:after="0" w:line="240" w:lineRule="auto"/>
              <w:jc w:val="center"/>
              <w:rPr>
                <w:rFonts w:eastAsia="Times New Roman" w:cs="Times New Roman"/>
                <w:sz w:val="22"/>
                <w:lang w:eastAsia="zh-CN"/>
              </w:rPr>
            </w:pPr>
            <w:r w:rsidRPr="001504E1">
              <w:rPr>
                <w:rFonts w:eastAsia="Times New Roman" w:cs="Times New Roman"/>
                <w:sz w:val="22"/>
                <w:lang w:eastAsia="zh-CN"/>
              </w:rPr>
              <w:t>3</w:t>
            </w:r>
          </w:p>
        </w:tc>
        <w:tc>
          <w:tcPr>
            <w:tcW w:w="0" w:type="auto"/>
            <w:tcBorders>
              <w:top w:val="single" w:sz="4" w:space="0" w:color="auto"/>
              <w:left w:val="nil"/>
              <w:bottom w:val="single" w:sz="8" w:space="0" w:color="auto"/>
              <w:right w:val="single" w:sz="8" w:space="0" w:color="auto"/>
            </w:tcBorders>
            <w:noWrap/>
            <w:vAlign w:val="bottom"/>
            <w:hideMark/>
          </w:tcPr>
          <w:p w:rsidR="00FD3123" w:rsidRPr="001504E1" w:rsidP="00994FB7" w14:paraId="634980B9" w14:textId="77777777">
            <w:pPr>
              <w:spacing w:after="0" w:line="240" w:lineRule="auto"/>
              <w:jc w:val="center"/>
              <w:rPr>
                <w:rFonts w:eastAsia="Times New Roman" w:cs="Times New Roman"/>
                <w:sz w:val="22"/>
                <w:lang w:eastAsia="zh-CN"/>
              </w:rPr>
            </w:pPr>
            <w:r w:rsidRPr="001504E1">
              <w:rPr>
                <w:rFonts w:eastAsia="Times New Roman" w:cs="Times New Roman"/>
                <w:sz w:val="22"/>
                <w:lang w:eastAsia="zh-CN"/>
              </w:rPr>
              <w:t>1</w:t>
            </w:r>
          </w:p>
        </w:tc>
        <w:tc>
          <w:tcPr>
            <w:tcW w:w="0" w:type="auto"/>
            <w:vAlign w:val="center"/>
            <w:hideMark/>
          </w:tcPr>
          <w:p w:rsidR="00FD3123" w:rsidRPr="00994FB7" w:rsidP="00FD3123" w14:paraId="15DC3511" w14:textId="77777777">
            <w:pPr>
              <w:spacing w:after="0" w:line="240" w:lineRule="auto"/>
              <w:rPr>
                <w:rFonts w:eastAsia="Times New Roman" w:cs="Times New Roman"/>
                <w:sz w:val="20"/>
                <w:szCs w:val="20"/>
                <w:lang w:eastAsia="zh-CN"/>
              </w:rPr>
            </w:pPr>
          </w:p>
        </w:tc>
      </w:tr>
    </w:tbl>
    <w:p w:rsidR="00EF69D2" w:rsidRPr="00994FB7" w:rsidP="009573CB" w14:paraId="50688E3A" w14:textId="77777777">
      <w:pPr>
        <w:tabs>
          <w:tab w:val="left" w:pos="-720"/>
          <w:tab w:val="left" w:pos="540"/>
        </w:tabs>
        <w:ind w:left="720"/>
      </w:pPr>
    </w:p>
    <w:p w:rsidR="00927744" w:rsidRPr="00994FB7" w:rsidP="008359E3" w14:paraId="4444CCBC" w14:textId="41C979E9">
      <w:pPr>
        <w:tabs>
          <w:tab w:val="left" w:pos="-720"/>
          <w:tab w:val="left" w:pos="540"/>
        </w:tabs>
        <w:ind w:left="1440"/>
        <w:rPr>
          <w:b/>
          <w:bCs/>
          <w:i/>
          <w:iCs/>
        </w:rPr>
      </w:pPr>
      <w:r w:rsidRPr="00994FB7">
        <w:rPr>
          <w:b/>
          <w:bCs/>
          <w:i/>
          <w:iCs/>
        </w:rPr>
        <w:t>Maintenance Burden Calculation for Non-SEDC States</w:t>
      </w:r>
    </w:p>
    <w:p w:rsidR="00F33514" w:rsidRPr="00994FB7" w:rsidP="6BFE8905" w14:paraId="587B011E" w14:textId="0009CF4B">
      <w:pPr>
        <w:tabs>
          <w:tab w:val="left" w:pos="540"/>
        </w:tabs>
        <w:ind w:left="720"/>
      </w:pPr>
      <w:r w:rsidRPr="00994FB7">
        <w:t>Non-SEDC States report an annual maintenance burden of five (5) hours per respondent, primarily dedicated to troubleshooting connections and refining data mapping protocols. To calculate the economic impact, NHTSA utilizes the May 2024 BLS mean wage for Software and Web Developers ($71.54/hour</w:t>
      </w:r>
      <w:r>
        <w:rPr>
          <w:rStyle w:val="FootnoteReference"/>
        </w:rPr>
        <w:footnoteReference w:id="8"/>
      </w:r>
      <w:r w:rsidRPr="00994FB7" w:rsidR="00644991">
        <w:rPr>
          <w:vertAlign w:val="superscript"/>
        </w:rPr>
        <w:t xml:space="preserve"> </w:t>
      </w:r>
      <w:r w:rsidRPr="00994FB7">
        <w:t>). Adjusting for total compensation</w:t>
      </w:r>
      <w:r w:rsidRPr="00994FB7" w:rsidR="00685B75">
        <w:t xml:space="preserve">, </w:t>
      </w:r>
      <w:r w:rsidRPr="00994FB7">
        <w:t>where wages comprise 61.7%</w:t>
      </w:r>
      <w:r>
        <w:rPr>
          <w:rStyle w:val="FootnoteReference"/>
        </w:rPr>
        <w:footnoteReference w:id="9"/>
      </w:r>
      <w:r w:rsidRPr="00994FB7" w:rsidR="00644991">
        <w:t xml:space="preserve"> </w:t>
      </w:r>
      <w:r w:rsidRPr="00994FB7">
        <w:t>of the package</w:t>
      </w:r>
      <w:r w:rsidRPr="00994FB7" w:rsidR="00644991">
        <w:t xml:space="preserve">, </w:t>
      </w:r>
      <w:r w:rsidRPr="00994FB7">
        <w:t xml:space="preserve">the fully loaded hourly rate is $115.95. Consequently, the annual maintenance cost per state is approximately $579.75. Based on a projected average of </w:t>
      </w:r>
      <w:r w:rsidRPr="00994FB7" w:rsidR="0057024E">
        <w:t xml:space="preserve">20 </w:t>
      </w:r>
      <w:r w:rsidRPr="00994FB7">
        <w:t xml:space="preserve">participating Non-SEDC States, the total annual collective burden is estimated at </w:t>
      </w:r>
      <w:r w:rsidRPr="00994FB7" w:rsidR="00366571">
        <w:t xml:space="preserve">100 </w:t>
      </w:r>
      <w:r w:rsidRPr="00994FB7">
        <w:t>hours and $</w:t>
      </w:r>
      <w:r w:rsidRPr="00994FB7" w:rsidR="00366571">
        <w:t>11,595.00</w:t>
      </w:r>
      <w:r w:rsidRPr="00994FB7">
        <w:t xml:space="preserve"> in labor costs.</w:t>
      </w:r>
    </w:p>
    <w:p w:rsidR="004754CC" w:rsidRPr="00994FB7" w:rsidP="008359E3" w14:paraId="5E05B558" w14:textId="7C7DAA13">
      <w:pPr>
        <w:tabs>
          <w:tab w:val="left" w:pos="-720"/>
          <w:tab w:val="left" w:pos="540"/>
        </w:tabs>
        <w:ind w:left="1440"/>
      </w:pPr>
      <w:r w:rsidRPr="00994FB7">
        <w:rPr>
          <w:b/>
          <w:bCs/>
          <w:i/>
          <w:iCs/>
        </w:rPr>
        <w:t>Implementation Burden Calculation for Non-SEDC States</w:t>
      </w:r>
    </w:p>
    <w:p w:rsidR="00207992" w:rsidRPr="00994FB7" w:rsidP="00863CF2" w14:paraId="43320476" w14:textId="0EBF57A4">
      <w:pPr>
        <w:tabs>
          <w:tab w:val="left" w:pos="-720"/>
          <w:tab w:val="left" w:pos="540"/>
        </w:tabs>
        <w:ind w:left="720"/>
      </w:pPr>
      <w:r w:rsidRPr="00994FB7">
        <w:t>States report an initial implementation burden of 150 hours per respondent. To calculate the economic impact, NHTSA utilizes the May 2024 BLS mean wage for Software and Web Developers ($71.54/hour). Adjusting for total compensation, where wages comprise 61.7% of the package, the fully loaded hourly rate is $115.95. Consequently, the implementation cost for a new Non-SEDC EDT State is approximately $</w:t>
      </w:r>
      <w:r w:rsidRPr="00994FB7" w:rsidR="005D506D">
        <w:t>17,</w:t>
      </w:r>
      <w:r w:rsidRPr="00994FB7" w:rsidR="00595D46">
        <w:t>392.50</w:t>
      </w:r>
      <w:r w:rsidRPr="00994FB7">
        <w:t xml:space="preserve"> in labor costs. Based on the addition of one new participating State, the total collective implementation burden is estimated at 150 hours and </w:t>
      </w:r>
      <w:r w:rsidRPr="00994FB7" w:rsidR="00595D46">
        <w:t xml:space="preserve">$17,392.50 </w:t>
      </w:r>
      <w:r w:rsidRPr="00994FB7">
        <w:t>in labor costs.</w:t>
      </w:r>
    </w:p>
    <w:p w:rsidR="00BC0101" w:rsidRPr="00994FB7" w:rsidP="000310E2" w14:paraId="1353D9AE" w14:textId="3EEDB807">
      <w:pPr>
        <w:pStyle w:val="Heading3"/>
      </w:pPr>
      <w:r w:rsidRPr="00994FB7">
        <w:t>SEDC</w:t>
      </w:r>
      <w:r w:rsidRPr="00994FB7">
        <w:t xml:space="preserve"> </w:t>
      </w:r>
      <w:r w:rsidRPr="00994FB7" w:rsidR="00A23407">
        <w:t>EDT Protocol</w:t>
      </w:r>
    </w:p>
    <w:p w:rsidR="00CD358A" w:rsidRPr="00994FB7" w:rsidP="008359E3" w14:paraId="09D2C9C2" w14:textId="53BC8469">
      <w:pPr>
        <w:ind w:left="720"/>
      </w:pPr>
      <w:r w:rsidRPr="00994FB7">
        <w:t xml:space="preserve">On </w:t>
      </w:r>
      <w:r w:rsidRPr="00994FB7">
        <w:t>January</w:t>
      </w:r>
      <w:r w:rsidRPr="00994FB7">
        <w:t xml:space="preserve"> 31</w:t>
      </w:r>
      <w:r w:rsidR="001504E1">
        <w:t>,</w:t>
      </w:r>
      <w:r w:rsidRPr="00994FB7">
        <w:t xml:space="preserve"> 2024, NHTSA issued a Notice of Funding Opportunity (NOFO) to modernize state crash data systems and facilitate electronic data transfer to NHTSA</w:t>
      </w:r>
      <w:r w:rsidRPr="00994FB7" w:rsidR="00B100EF">
        <w:t>, which is the SEDC program</w:t>
      </w:r>
      <w:r w:rsidRPr="00994FB7">
        <w:t>. Twenty-six jurisdictions</w:t>
      </w:r>
      <w:r w:rsidRPr="00994FB7" w:rsidR="000310E2">
        <w:t xml:space="preserve">, </w:t>
      </w:r>
      <w:r w:rsidRPr="00994FB7">
        <w:t>including States, Territories, and the Bureau of Indian Affairs</w:t>
      </w:r>
      <w:r w:rsidRPr="00994FB7" w:rsidR="000310E2">
        <w:t xml:space="preserve">, </w:t>
      </w:r>
      <w:r w:rsidRPr="00994FB7">
        <w:t xml:space="preserve">applied for the SEDC grant. </w:t>
      </w:r>
      <w:r w:rsidRPr="00994FB7" w:rsidR="00C30EFB">
        <w:t>Nineteen a</w:t>
      </w:r>
      <w:r w:rsidRPr="00994FB7">
        <w:t xml:space="preserve">pplicants </w:t>
      </w:r>
      <w:r w:rsidRPr="00994FB7" w:rsidR="00C30EFB">
        <w:t xml:space="preserve">were awarded the SEDC Grant. There are currently eighteen active SEDC </w:t>
      </w:r>
      <w:r w:rsidRPr="00994FB7" w:rsidR="002179BF">
        <w:t>g</w:t>
      </w:r>
      <w:r w:rsidRPr="00994FB7" w:rsidR="00C30EFB">
        <w:t xml:space="preserve">rantees, with one grantee terminating their agreement in the first year of the project. </w:t>
      </w:r>
    </w:p>
    <w:p w:rsidR="00200C8A" w:rsidRPr="00994FB7" w:rsidP="00200C8A" w14:paraId="7184B975" w14:textId="590CA424">
      <w:pPr>
        <w:ind w:left="720"/>
      </w:pPr>
      <w:r w:rsidRPr="00994FB7">
        <w:t xml:space="preserve">SEDC </w:t>
      </w:r>
      <w:r w:rsidRPr="00994FB7" w:rsidR="002179BF">
        <w:t>grantees</w:t>
      </w:r>
      <w:r w:rsidRPr="00994FB7" w:rsidR="00DE3D99">
        <w:t xml:space="preserve"> </w:t>
      </w:r>
      <w:r w:rsidRPr="00994FB7">
        <w:t xml:space="preserve">must commit to electronically transferring standardized crash data to NHTSA within five years of the award. Key implementation actions </w:t>
      </w:r>
      <w:r w:rsidRPr="00994FB7" w:rsidR="00DE3D99">
        <w:t xml:space="preserve">and funding uses were </w:t>
      </w:r>
      <w:r w:rsidRPr="00994FB7">
        <w:t xml:space="preserve">identified from </w:t>
      </w:r>
      <w:r w:rsidRPr="00994FB7" w:rsidR="00DE3D99">
        <w:t>each State’s</w:t>
      </w:r>
      <w:r w:rsidRPr="00994FB7">
        <w:t xml:space="preserve"> workplan</w:t>
      </w:r>
      <w:r w:rsidRPr="00994FB7" w:rsidR="00DE3D99">
        <w:t xml:space="preserve"> and budget </w:t>
      </w:r>
      <w:r w:rsidRPr="00994FB7" w:rsidR="002179BF">
        <w:t>for the following</w:t>
      </w:r>
      <w:r w:rsidRPr="00994FB7" w:rsidR="00DE3D99">
        <w:t xml:space="preserve"> three goals</w:t>
      </w:r>
      <w:r w:rsidRPr="00994FB7">
        <w:t>:</w:t>
      </w:r>
    </w:p>
    <w:p w:rsidR="00DE3D99" w:rsidRPr="00994FB7" w:rsidP="00DE3D99" w14:paraId="7A445C8C" w14:textId="77777777">
      <w:pPr>
        <w:pStyle w:val="ListParagraph"/>
        <w:numPr>
          <w:ilvl w:val="0"/>
          <w:numId w:val="35"/>
        </w:numPr>
        <w:spacing w:after="0"/>
        <w:contextualSpacing w:val="0"/>
      </w:pPr>
      <w:r w:rsidRPr="00994FB7">
        <w:t>equipment to upgrade a statewide crash data repository;</w:t>
      </w:r>
    </w:p>
    <w:p w:rsidR="00DE3D99" w:rsidRPr="00994FB7" w:rsidP="00DE3D99" w14:paraId="2B9F6916" w14:textId="77777777">
      <w:pPr>
        <w:pStyle w:val="ListParagraph"/>
        <w:numPr>
          <w:ilvl w:val="0"/>
          <w:numId w:val="35"/>
        </w:numPr>
        <w:spacing w:after="0"/>
        <w:contextualSpacing w:val="0"/>
      </w:pPr>
      <w:r w:rsidRPr="00994FB7">
        <w:t xml:space="preserve">adoption of electronic crash reporting by law enforcement agencies; and </w:t>
      </w:r>
    </w:p>
    <w:p w:rsidR="00DE3D99" w:rsidRPr="00994FB7" w:rsidP="00DE3D99" w14:paraId="1D8F3F25" w14:textId="77777777">
      <w:pPr>
        <w:pStyle w:val="ListParagraph"/>
        <w:numPr>
          <w:ilvl w:val="0"/>
          <w:numId w:val="35"/>
        </w:numPr>
        <w:spacing w:after="240"/>
      </w:pPr>
      <w:r w:rsidRPr="00994FB7">
        <w:t>increasing alignment of State crash data with the latest Model Minimum Uniform Crash Criteria.</w:t>
      </w:r>
    </w:p>
    <w:p w:rsidR="002179BF" w:rsidRPr="00994FB7" w:rsidP="002179BF" w14:paraId="4B09F350" w14:textId="02422F9C">
      <w:pPr>
        <w:ind w:left="720"/>
        <w:rPr>
          <w:rFonts w:eastAsia="Times New Roman" w:cs="Times New Roman"/>
          <w:szCs w:val="24"/>
        </w:rPr>
      </w:pPr>
      <w:r w:rsidRPr="00994FB7">
        <w:t xml:space="preserve">Under the SEDC grant, States (excluding American Samoa) are required to provide a 20% non-federal match of the total </w:t>
      </w:r>
      <w:r w:rsidRPr="00994FB7">
        <w:t xml:space="preserve">grant </w:t>
      </w:r>
      <w:r w:rsidRPr="00994FB7">
        <w:t xml:space="preserve">award. Because grant applications required total budget commitments rather than granular labor categories, NHTSA’s State burden estimates are derived directly from these </w:t>
      </w:r>
      <w:r w:rsidRPr="00994FB7" w:rsidR="00AD1232">
        <w:t>matching funds committed</w:t>
      </w:r>
      <w:r w:rsidRPr="00994FB7">
        <w:t>. These costs cover both the initial development effort</w:t>
      </w:r>
      <w:r w:rsidRPr="00994FB7">
        <w:rPr>
          <w:b/>
          <w:bCs/>
          <w:i/>
          <w:iCs/>
        </w:rPr>
        <w:t xml:space="preserve">, </w:t>
      </w:r>
      <w:r w:rsidRPr="00994FB7">
        <w:t>such as repository updates and MMUCC alignment</w:t>
      </w:r>
      <w:r w:rsidRPr="00994FB7">
        <w:rPr>
          <w:b/>
          <w:bCs/>
          <w:i/>
          <w:iCs/>
        </w:rPr>
        <w:t xml:space="preserve">, </w:t>
      </w:r>
      <w:r w:rsidRPr="00994FB7">
        <w:t>and the ongoing implementation of standardized data transmissions</w:t>
      </w:r>
      <w:r w:rsidRPr="00994FB7">
        <w:rPr>
          <w:b/>
          <w:bCs/>
          <w:i/>
          <w:iCs/>
        </w:rPr>
        <w:t>.</w:t>
      </w:r>
      <w:r w:rsidRPr="00994FB7">
        <w:rPr>
          <w:b/>
          <w:bCs/>
          <w:i/>
          <w:iCs/>
        </w:rPr>
        <w:t xml:space="preserve"> </w:t>
      </w:r>
      <w:r w:rsidRPr="00994FB7">
        <w:t xml:space="preserve">The SEDC grant does not </w:t>
      </w:r>
      <w:r w:rsidRPr="00994FB7" w:rsidR="00EA3A22">
        <w:t>allow</w:t>
      </w:r>
      <w:r w:rsidRPr="00994FB7">
        <w:t xml:space="preserve"> operation and maintenance </w:t>
      </w:r>
      <w:r w:rsidRPr="00994FB7">
        <w:t>costs,</w:t>
      </w:r>
      <w:r w:rsidRPr="00994FB7">
        <w:t xml:space="preserve"> therefore, the </w:t>
      </w:r>
      <w:r w:rsidRPr="00994FB7">
        <w:rPr>
          <w:rFonts w:eastAsia="Times New Roman" w:cs="Times New Roman"/>
        </w:rPr>
        <w:t>same Non-SEDC State calculations are used to estimate the maintenance burden cost for the SEDC grantees.</w:t>
      </w:r>
    </w:p>
    <w:p w:rsidR="00087B61" w:rsidRPr="00994FB7" w14:paraId="4EF7F440" w14:textId="129B1A40">
      <w:pPr>
        <w:tabs>
          <w:tab w:val="left" w:pos="540"/>
        </w:tabs>
        <w:ind w:left="720"/>
      </w:pPr>
      <w:r w:rsidRPr="00994FB7">
        <w:t xml:space="preserve">NHTSA anticipates that during the first two (2) years of the grant, i.e. </w:t>
      </w:r>
      <w:r w:rsidRPr="00994FB7" w:rsidR="0008496B">
        <w:t xml:space="preserve">the </w:t>
      </w:r>
      <w:r w:rsidRPr="00994FB7" w:rsidR="70204BB5">
        <w:t xml:space="preserve">previous </w:t>
      </w:r>
      <w:r w:rsidRPr="00994FB7" w:rsidR="0008496B">
        <w:t>and current year</w:t>
      </w:r>
      <w:r w:rsidRPr="00994FB7">
        <w:t xml:space="preserve">, </w:t>
      </w:r>
      <w:r w:rsidRPr="00994FB7" w:rsidR="0008496B">
        <w:t xml:space="preserve">all </w:t>
      </w:r>
      <w:r w:rsidRPr="00994FB7">
        <w:t xml:space="preserve">States will be in the development and implementation phase, </w:t>
      </w:r>
      <w:r w:rsidRPr="00994FB7" w:rsidR="001F34A2">
        <w:t>meaning no</w:t>
      </w:r>
      <w:r w:rsidRPr="00994FB7">
        <w:t xml:space="preserve"> data transmission</w:t>
      </w:r>
      <w:r w:rsidRPr="00994FB7" w:rsidR="00777478">
        <w:t xml:space="preserve"> </w:t>
      </w:r>
      <w:r w:rsidRPr="00994FB7" w:rsidR="001F34A2">
        <w:t>is</w:t>
      </w:r>
      <w:r w:rsidRPr="00994FB7">
        <w:t xml:space="preserve"> expected. Beginning </w:t>
      </w:r>
      <w:r w:rsidRPr="00994FB7" w:rsidR="0008496B">
        <w:t>next year</w:t>
      </w:r>
      <w:r w:rsidRPr="00994FB7" w:rsidR="00985533">
        <w:t xml:space="preserve"> (</w:t>
      </w:r>
      <w:r w:rsidRPr="00994FB7" w:rsidR="00C924BA">
        <w:t>Current+1</w:t>
      </w:r>
      <w:r w:rsidRPr="00994FB7" w:rsidR="00985533">
        <w:t>)</w:t>
      </w:r>
      <w:r w:rsidRPr="00994FB7" w:rsidR="00C924BA">
        <w:t xml:space="preserve">, </w:t>
      </w:r>
      <w:r w:rsidRPr="00994FB7" w:rsidR="00985533">
        <w:t xml:space="preserve">States will gradually begin transmitting data using the SEDC protocol, either by converting from an existing Non-SEDC EDT system or joining as a brand-new SEDC state. Specifically, NHTSA estimates that 2 states will begin transmitting </w:t>
      </w:r>
      <w:r w:rsidRPr="00994FB7" w:rsidR="4CCBCB4A">
        <w:t xml:space="preserve">data </w:t>
      </w:r>
      <w:r w:rsidRPr="00994FB7" w:rsidR="00985533">
        <w:t>in Year</w:t>
      </w:r>
      <w:r w:rsidRPr="00994FB7" w:rsidR="00197530">
        <w:t xml:space="preserve"> (</w:t>
      </w:r>
      <w:r w:rsidRPr="00994FB7" w:rsidR="00985533">
        <w:t>Current+1</w:t>
      </w:r>
      <w:r w:rsidRPr="00994FB7" w:rsidR="00576A3B">
        <w:t>)</w:t>
      </w:r>
      <w:r w:rsidRPr="00994FB7" w:rsidR="00985533">
        <w:t xml:space="preserve">, 5 in Year </w:t>
      </w:r>
      <w:r w:rsidRPr="00994FB7" w:rsidR="00197530">
        <w:t>(</w:t>
      </w:r>
      <w:r w:rsidRPr="00994FB7" w:rsidR="00985533">
        <w:t>Current+2</w:t>
      </w:r>
      <w:r w:rsidRPr="00994FB7" w:rsidR="00197530">
        <w:t>)</w:t>
      </w:r>
      <w:r w:rsidRPr="00994FB7" w:rsidR="00985533">
        <w:t xml:space="preserve">, and 5 in Year </w:t>
      </w:r>
      <w:r w:rsidRPr="00994FB7" w:rsidR="00197530">
        <w:t>(</w:t>
      </w:r>
      <w:r w:rsidRPr="00994FB7" w:rsidR="00985533">
        <w:t>Current+3</w:t>
      </w:r>
      <w:r w:rsidRPr="00994FB7" w:rsidR="00197530">
        <w:t>)</w:t>
      </w:r>
      <w:r w:rsidRPr="00994FB7" w:rsidR="00985533">
        <w:t xml:space="preserve">, </w:t>
      </w:r>
      <w:r w:rsidRPr="00994FB7" w:rsidR="00197530">
        <w:t>averaging</w:t>
      </w:r>
      <w:r w:rsidRPr="00994FB7" w:rsidR="00985533">
        <w:t xml:space="preserve"> </w:t>
      </w:r>
      <w:r w:rsidRPr="00994FB7" w:rsidR="00742F74">
        <w:t>4</w:t>
      </w:r>
      <w:r w:rsidRPr="00994FB7" w:rsidR="00985533">
        <w:t xml:space="preserve"> states </w:t>
      </w:r>
      <w:r w:rsidRPr="00994FB7" w:rsidR="00742F74">
        <w:t>per year</w:t>
      </w:r>
      <w:r w:rsidRPr="00994FB7" w:rsidR="00985533">
        <w:t xml:space="preserve">. Over these </w:t>
      </w:r>
      <w:r w:rsidRPr="00994FB7" w:rsidR="2840D580">
        <w:t xml:space="preserve">next </w:t>
      </w:r>
      <w:r w:rsidRPr="00994FB7" w:rsidR="00985533">
        <w:t>three years, an average of 7 states per year will be actively transmitting data.</w:t>
      </w:r>
      <w:r w:rsidRPr="00994FB7" w:rsidR="000E2928">
        <w:t xml:space="preserve"> </w:t>
      </w:r>
      <w:r w:rsidRPr="00994FB7" w:rsidR="00576A3B">
        <w:t xml:space="preserve">Concurrently, for the next three years, the number of states in the maintenance phase will scale </w:t>
      </w:r>
      <w:r w:rsidRPr="00994FB7" w:rsidR="00AD1232">
        <w:t>from 0 Year (Current+1)</w:t>
      </w:r>
      <w:r w:rsidRPr="00994FB7" w:rsidR="00576A3B">
        <w:t xml:space="preserve"> to 2 </w:t>
      </w:r>
      <w:r w:rsidRPr="00994FB7" w:rsidR="00AD1232">
        <w:t>Year (Current+2)</w:t>
      </w:r>
      <w:r w:rsidRPr="00994FB7" w:rsidR="00576A3B">
        <w:t xml:space="preserve">, and 7 Year </w:t>
      </w:r>
      <w:r w:rsidRPr="00994FB7" w:rsidR="00AD1232">
        <w:t>(Current+3)</w:t>
      </w:r>
      <w:r w:rsidRPr="00994FB7" w:rsidR="00576A3B">
        <w:t xml:space="preserve">, averaging 3 states per year. Meanwhile, the number of states remaining in the implementation phase will decrease </w:t>
      </w:r>
      <w:r w:rsidRPr="00994FB7" w:rsidR="00AD1232">
        <w:t>from 16 Year (Current+1)</w:t>
      </w:r>
      <w:r w:rsidRPr="00994FB7" w:rsidR="00576A3B">
        <w:t xml:space="preserve"> to 11 </w:t>
      </w:r>
      <w:r w:rsidRPr="00994FB7" w:rsidR="00AD1232">
        <w:t>Year (Current+2)</w:t>
      </w:r>
      <w:r w:rsidRPr="00994FB7" w:rsidR="00576A3B">
        <w:t xml:space="preserve">, and 6 </w:t>
      </w:r>
      <w:r w:rsidRPr="00994FB7" w:rsidR="00AD1232">
        <w:t>(Current+3)</w:t>
      </w:r>
      <w:r w:rsidRPr="00994FB7" w:rsidR="00576A3B">
        <w:t>, averaging 11 states per year.</w:t>
      </w:r>
      <w:r w:rsidRPr="00994FB7" w:rsidR="00AD1232">
        <w:t xml:space="preserve"> </w:t>
      </w:r>
      <w:r w:rsidRPr="00994FB7" w:rsidR="00C924BA">
        <w:t xml:space="preserve">The details are shown in </w:t>
      </w:r>
      <w:r w:rsidRPr="00994FB7">
        <w:fldChar w:fldCharType="begin"/>
      </w:r>
      <w:r w:rsidRPr="00994FB7">
        <w:instrText xml:space="preserve"> REF _Ref231288504 \h </w:instrText>
      </w:r>
      <w:r w:rsidRPr="00994FB7" w:rsidR="00994FB7">
        <w:instrText xml:space="preserve"> \* MERGEFORMAT </w:instrText>
      </w:r>
      <w:r w:rsidRPr="00994FB7">
        <w:fldChar w:fldCharType="separate"/>
      </w:r>
      <w:r w:rsidRPr="00994FB7" w:rsidR="00C924BA">
        <w:t xml:space="preserve">Table </w:t>
      </w:r>
      <w:r w:rsidRPr="00994FB7" w:rsidR="00C924BA">
        <w:rPr>
          <w:noProof/>
        </w:rPr>
        <w:t>2</w:t>
      </w:r>
      <w:r w:rsidRPr="00994FB7">
        <w:fldChar w:fldCharType="end"/>
      </w:r>
      <w:r w:rsidRPr="00994FB7" w:rsidR="00C924BA">
        <w:t>.</w:t>
      </w:r>
    </w:p>
    <w:p w:rsidR="00BC4F49" w:rsidRPr="001504E1" w:rsidP="00994FB7" w14:paraId="05F2173F" w14:textId="112F027F">
      <w:pPr>
        <w:pStyle w:val="Caption"/>
        <w:keepNext/>
        <w:rPr>
          <w:color w:val="auto"/>
        </w:rPr>
      </w:pPr>
      <w:bookmarkStart w:id="29" w:name="_Ref231288504"/>
      <w:r w:rsidRPr="001504E1">
        <w:rPr>
          <w:color w:val="auto"/>
        </w:rPr>
        <w:t xml:space="preserve">Table </w:t>
      </w:r>
      <w:r w:rsidRPr="001504E1">
        <w:rPr>
          <w:color w:val="auto"/>
        </w:rPr>
        <w:fldChar w:fldCharType="begin"/>
      </w:r>
      <w:r w:rsidRPr="001504E1">
        <w:rPr>
          <w:color w:val="auto"/>
        </w:rPr>
        <w:instrText xml:space="preserve"> SEQ Table \* ARABIC </w:instrText>
      </w:r>
      <w:r w:rsidRPr="001504E1">
        <w:rPr>
          <w:color w:val="auto"/>
        </w:rPr>
        <w:fldChar w:fldCharType="separate"/>
      </w:r>
      <w:r w:rsidRPr="001504E1" w:rsidR="00A5297E">
        <w:rPr>
          <w:noProof/>
          <w:color w:val="auto"/>
        </w:rPr>
        <w:t>2</w:t>
      </w:r>
      <w:r w:rsidRPr="001504E1">
        <w:rPr>
          <w:color w:val="auto"/>
        </w:rPr>
        <w:fldChar w:fldCharType="end"/>
      </w:r>
      <w:bookmarkEnd w:id="29"/>
      <w:r w:rsidRPr="001504E1">
        <w:rPr>
          <w:color w:val="auto"/>
        </w:rPr>
        <w:t xml:space="preserve">.  </w:t>
      </w:r>
      <w:r w:rsidRPr="001504E1">
        <w:rPr>
          <w:color w:val="auto"/>
        </w:rPr>
        <w:t>Number of SEDC Protocol States</w:t>
      </w:r>
    </w:p>
    <w:tbl>
      <w:tblPr>
        <w:tblW w:w="0" w:type="auto"/>
        <w:tblLook w:val="04A0"/>
      </w:tblPr>
      <w:tblGrid>
        <w:gridCol w:w="3955"/>
        <w:gridCol w:w="1899"/>
        <w:gridCol w:w="2213"/>
        <w:gridCol w:w="1728"/>
      </w:tblGrid>
      <w:tr w14:paraId="70143A85" w14:textId="77777777" w:rsidTr="00994FB7">
        <w:tblPrEx>
          <w:tblW w:w="0" w:type="auto"/>
          <w:tblLook w:val="04A0"/>
        </w:tblPrEx>
        <w:trPr>
          <w:trHeight w:val="900"/>
        </w:trPr>
        <w:tc>
          <w:tcPr>
            <w:tcW w:w="0" w:type="auto"/>
            <w:tcBorders>
              <w:top w:val="single" w:sz="8" w:space="0" w:color="auto"/>
              <w:left w:val="single" w:sz="8" w:space="0" w:color="auto"/>
              <w:bottom w:val="single" w:sz="4" w:space="0" w:color="auto"/>
              <w:right w:val="single" w:sz="4" w:space="0" w:color="auto"/>
            </w:tcBorders>
            <w:vAlign w:val="bottom"/>
            <w:hideMark/>
          </w:tcPr>
          <w:p w:rsidR="00E61038" w:rsidRPr="001504E1" w:rsidP="00BC4F49" w14:paraId="233A588B" w14:textId="77777777">
            <w:pPr>
              <w:spacing w:after="0" w:line="240" w:lineRule="auto"/>
              <w:jc w:val="center"/>
              <w:rPr>
                <w:rFonts w:eastAsia="Times New Roman" w:cs="Times New Roman"/>
                <w:b/>
                <w:bCs/>
                <w:sz w:val="22"/>
                <w:lang w:eastAsia="zh-CN"/>
              </w:rPr>
            </w:pPr>
            <w:r w:rsidRPr="001504E1">
              <w:rPr>
                <w:rFonts w:eastAsia="Times New Roman" w:cs="Times New Roman"/>
                <w:b/>
                <w:bCs/>
                <w:sz w:val="22"/>
                <w:lang w:eastAsia="zh-CN"/>
              </w:rPr>
              <w:t>SEDC Protocol</w:t>
            </w:r>
          </w:p>
        </w:tc>
        <w:tc>
          <w:tcPr>
            <w:tcW w:w="0" w:type="auto"/>
            <w:tcBorders>
              <w:top w:val="single" w:sz="8" w:space="0" w:color="auto"/>
              <w:left w:val="nil"/>
              <w:bottom w:val="single" w:sz="4" w:space="0" w:color="auto"/>
              <w:right w:val="single" w:sz="4" w:space="0" w:color="auto"/>
            </w:tcBorders>
            <w:vAlign w:val="bottom"/>
            <w:hideMark/>
          </w:tcPr>
          <w:p w:rsidR="00E61038" w:rsidRPr="001504E1" w:rsidP="00BC4F49" w14:paraId="10639D1F" w14:textId="0BBCEEDA">
            <w:pPr>
              <w:spacing w:after="0" w:line="240" w:lineRule="auto"/>
              <w:jc w:val="center"/>
              <w:rPr>
                <w:rFonts w:eastAsia="Times New Roman" w:cs="Times New Roman"/>
                <w:b/>
                <w:bCs/>
                <w:sz w:val="22"/>
                <w:lang w:eastAsia="zh-CN"/>
              </w:rPr>
            </w:pPr>
            <w:r w:rsidRPr="001504E1">
              <w:rPr>
                <w:rFonts w:eastAsia="Times New Roman" w:cs="Times New Roman"/>
                <w:b/>
                <w:bCs/>
                <w:sz w:val="22"/>
                <w:lang w:eastAsia="zh-CN"/>
              </w:rPr>
              <w:t>States Finish Implementation</w:t>
            </w:r>
          </w:p>
        </w:tc>
        <w:tc>
          <w:tcPr>
            <w:tcW w:w="0" w:type="auto"/>
            <w:tcBorders>
              <w:top w:val="single" w:sz="8" w:space="0" w:color="auto"/>
              <w:left w:val="nil"/>
              <w:bottom w:val="single" w:sz="4" w:space="0" w:color="auto"/>
              <w:right w:val="single" w:sz="4" w:space="0" w:color="auto"/>
            </w:tcBorders>
            <w:vAlign w:val="bottom"/>
            <w:hideMark/>
          </w:tcPr>
          <w:p w:rsidR="00E61038" w:rsidRPr="001504E1" w:rsidP="00BC4F49" w14:paraId="588F72D2" w14:textId="1DF3A397">
            <w:pPr>
              <w:spacing w:after="0" w:line="240" w:lineRule="auto"/>
              <w:jc w:val="center"/>
              <w:rPr>
                <w:rFonts w:eastAsia="Times New Roman" w:cs="Times New Roman"/>
                <w:b/>
                <w:bCs/>
                <w:sz w:val="22"/>
                <w:lang w:eastAsia="zh-CN"/>
              </w:rPr>
            </w:pPr>
            <w:r w:rsidRPr="001504E1">
              <w:rPr>
                <w:rFonts w:eastAsia="Times New Roman" w:cs="Times New Roman"/>
                <w:b/>
                <w:bCs/>
                <w:sz w:val="22"/>
                <w:lang w:eastAsia="zh-CN"/>
              </w:rPr>
              <w:t>Total Number of SEDC State Under Implementation</w:t>
            </w:r>
          </w:p>
        </w:tc>
        <w:tc>
          <w:tcPr>
            <w:tcW w:w="0" w:type="auto"/>
            <w:tcBorders>
              <w:top w:val="single" w:sz="8" w:space="0" w:color="auto"/>
              <w:left w:val="nil"/>
              <w:bottom w:val="single" w:sz="4" w:space="0" w:color="auto"/>
              <w:right w:val="single" w:sz="4" w:space="0" w:color="auto"/>
            </w:tcBorders>
            <w:vAlign w:val="bottom"/>
            <w:hideMark/>
          </w:tcPr>
          <w:p w:rsidR="00E61038" w:rsidRPr="001504E1" w:rsidP="00BC4F49" w14:paraId="1234C3D9" w14:textId="21E8A7E1">
            <w:pPr>
              <w:spacing w:after="0" w:line="240" w:lineRule="auto"/>
              <w:jc w:val="center"/>
              <w:rPr>
                <w:rFonts w:eastAsia="Times New Roman" w:cs="Times New Roman"/>
                <w:b/>
                <w:bCs/>
                <w:sz w:val="22"/>
                <w:lang w:eastAsia="zh-CN"/>
              </w:rPr>
            </w:pPr>
            <w:r w:rsidRPr="001504E1">
              <w:rPr>
                <w:rFonts w:eastAsia="Times New Roman" w:cs="Times New Roman"/>
                <w:b/>
                <w:bCs/>
                <w:sz w:val="22"/>
                <w:lang w:eastAsia="zh-CN"/>
              </w:rPr>
              <w:t>Number of States for Maintenance</w:t>
            </w:r>
          </w:p>
        </w:tc>
      </w:tr>
      <w:tr w14:paraId="1A6B39BA" w14:textId="77777777" w:rsidTr="00994FB7">
        <w:tblPrEx>
          <w:tblW w:w="0" w:type="auto"/>
          <w:tblLook w:val="04A0"/>
        </w:tblPrEx>
        <w:trPr>
          <w:trHeight w:val="300"/>
        </w:trPr>
        <w:tc>
          <w:tcPr>
            <w:tcW w:w="0" w:type="auto"/>
            <w:tcBorders>
              <w:top w:val="nil"/>
              <w:left w:val="single" w:sz="8" w:space="0" w:color="auto"/>
              <w:bottom w:val="single" w:sz="4" w:space="0" w:color="auto"/>
              <w:right w:val="single" w:sz="4" w:space="0" w:color="auto"/>
            </w:tcBorders>
            <w:noWrap/>
            <w:vAlign w:val="bottom"/>
            <w:hideMark/>
          </w:tcPr>
          <w:p w:rsidR="00E61038" w:rsidRPr="001504E1" w:rsidP="00BC4F49" w14:paraId="5315F521" w14:textId="77777777">
            <w:pPr>
              <w:spacing w:after="0" w:line="240" w:lineRule="auto"/>
              <w:rPr>
                <w:rFonts w:eastAsia="Times New Roman" w:cs="Times New Roman"/>
                <w:sz w:val="22"/>
                <w:lang w:eastAsia="zh-CN"/>
              </w:rPr>
            </w:pPr>
            <w:r w:rsidRPr="001504E1">
              <w:rPr>
                <w:rFonts w:eastAsia="Times New Roman" w:cs="Times New Roman"/>
                <w:sz w:val="22"/>
                <w:lang w:eastAsia="zh-CN"/>
              </w:rPr>
              <w:t>Current Year</w:t>
            </w:r>
          </w:p>
        </w:tc>
        <w:tc>
          <w:tcPr>
            <w:tcW w:w="0" w:type="auto"/>
            <w:tcBorders>
              <w:top w:val="nil"/>
              <w:left w:val="nil"/>
              <w:bottom w:val="single" w:sz="4" w:space="0" w:color="auto"/>
              <w:right w:val="single" w:sz="4" w:space="0" w:color="auto"/>
            </w:tcBorders>
            <w:noWrap/>
            <w:vAlign w:val="bottom"/>
            <w:hideMark/>
          </w:tcPr>
          <w:p w:rsidR="00E61038" w:rsidRPr="001504E1" w:rsidP="00994FB7" w14:paraId="0C69D3B9" w14:textId="77777777">
            <w:pPr>
              <w:spacing w:after="0" w:line="240" w:lineRule="auto"/>
              <w:jc w:val="center"/>
              <w:rPr>
                <w:rFonts w:eastAsia="Times New Roman" w:cs="Times New Roman"/>
                <w:sz w:val="22"/>
                <w:lang w:eastAsia="zh-CN"/>
              </w:rPr>
            </w:pPr>
            <w:r w:rsidRPr="001504E1">
              <w:rPr>
                <w:rFonts w:eastAsia="Times New Roman" w:cs="Times New Roman"/>
                <w:sz w:val="22"/>
                <w:lang w:eastAsia="zh-CN"/>
              </w:rPr>
              <w:t>0</w:t>
            </w:r>
          </w:p>
        </w:tc>
        <w:tc>
          <w:tcPr>
            <w:tcW w:w="0" w:type="auto"/>
            <w:tcBorders>
              <w:top w:val="nil"/>
              <w:left w:val="nil"/>
              <w:bottom w:val="single" w:sz="4" w:space="0" w:color="auto"/>
              <w:right w:val="single" w:sz="4" w:space="0" w:color="auto"/>
            </w:tcBorders>
            <w:noWrap/>
            <w:vAlign w:val="bottom"/>
            <w:hideMark/>
          </w:tcPr>
          <w:p w:rsidR="00E61038" w:rsidRPr="001504E1" w:rsidP="00994FB7" w14:paraId="52EC26CA" w14:textId="6C1B2ACD">
            <w:pPr>
              <w:spacing w:after="0" w:line="240" w:lineRule="auto"/>
              <w:jc w:val="center"/>
              <w:rPr>
                <w:rFonts w:eastAsia="Times New Roman" w:cs="Times New Roman"/>
                <w:sz w:val="22"/>
                <w:lang w:eastAsia="zh-CN"/>
              </w:rPr>
            </w:pPr>
            <w:r w:rsidRPr="001504E1">
              <w:rPr>
                <w:rFonts w:eastAsia="Times New Roman" w:cs="Times New Roman"/>
                <w:sz w:val="22"/>
                <w:lang w:eastAsia="zh-CN"/>
              </w:rPr>
              <w:t>18</w:t>
            </w:r>
          </w:p>
        </w:tc>
        <w:tc>
          <w:tcPr>
            <w:tcW w:w="0" w:type="auto"/>
            <w:tcBorders>
              <w:top w:val="nil"/>
              <w:left w:val="nil"/>
              <w:bottom w:val="single" w:sz="4" w:space="0" w:color="auto"/>
              <w:right w:val="single" w:sz="4" w:space="0" w:color="auto"/>
            </w:tcBorders>
            <w:noWrap/>
            <w:vAlign w:val="bottom"/>
            <w:hideMark/>
          </w:tcPr>
          <w:p w:rsidR="00E61038" w:rsidRPr="001504E1" w:rsidP="00994FB7" w14:paraId="4898F145" w14:textId="77777777">
            <w:pPr>
              <w:spacing w:after="0" w:line="240" w:lineRule="auto"/>
              <w:jc w:val="center"/>
              <w:rPr>
                <w:rFonts w:eastAsia="Times New Roman" w:cs="Times New Roman"/>
                <w:sz w:val="22"/>
                <w:lang w:eastAsia="zh-CN"/>
              </w:rPr>
            </w:pPr>
            <w:r w:rsidRPr="001504E1">
              <w:rPr>
                <w:rFonts w:eastAsia="Times New Roman" w:cs="Times New Roman"/>
                <w:sz w:val="22"/>
                <w:lang w:eastAsia="zh-CN"/>
              </w:rPr>
              <w:t>0</w:t>
            </w:r>
          </w:p>
        </w:tc>
      </w:tr>
      <w:tr w14:paraId="21C9865B" w14:textId="77777777" w:rsidTr="00994FB7">
        <w:tblPrEx>
          <w:tblW w:w="0" w:type="auto"/>
          <w:tblLook w:val="04A0"/>
        </w:tblPrEx>
        <w:trPr>
          <w:trHeight w:val="300"/>
        </w:trPr>
        <w:tc>
          <w:tcPr>
            <w:tcW w:w="0" w:type="auto"/>
            <w:tcBorders>
              <w:top w:val="nil"/>
              <w:left w:val="single" w:sz="8" w:space="0" w:color="auto"/>
              <w:bottom w:val="single" w:sz="4" w:space="0" w:color="auto"/>
              <w:right w:val="single" w:sz="8" w:space="0" w:color="auto"/>
            </w:tcBorders>
            <w:noWrap/>
            <w:vAlign w:val="bottom"/>
            <w:hideMark/>
          </w:tcPr>
          <w:p w:rsidR="00E61038" w:rsidRPr="001504E1" w:rsidP="00BC4F49" w14:paraId="1E9250AA" w14:textId="77777777">
            <w:pPr>
              <w:spacing w:after="0" w:line="240" w:lineRule="auto"/>
              <w:rPr>
                <w:rFonts w:eastAsia="Times New Roman" w:cs="Times New Roman"/>
                <w:sz w:val="22"/>
                <w:lang w:eastAsia="zh-CN"/>
              </w:rPr>
            </w:pPr>
            <w:r w:rsidRPr="001504E1">
              <w:rPr>
                <w:rFonts w:eastAsia="Times New Roman" w:cs="Times New Roman"/>
                <w:sz w:val="22"/>
                <w:lang w:eastAsia="zh-CN"/>
              </w:rPr>
              <w:t>Current + 1</w:t>
            </w:r>
          </w:p>
        </w:tc>
        <w:tc>
          <w:tcPr>
            <w:tcW w:w="0" w:type="auto"/>
            <w:tcBorders>
              <w:top w:val="nil"/>
              <w:left w:val="single" w:sz="4" w:space="0" w:color="auto"/>
              <w:bottom w:val="single" w:sz="4" w:space="0" w:color="auto"/>
              <w:right w:val="single" w:sz="4" w:space="0" w:color="auto"/>
            </w:tcBorders>
            <w:noWrap/>
            <w:vAlign w:val="bottom"/>
            <w:hideMark/>
          </w:tcPr>
          <w:p w:rsidR="00E61038" w:rsidRPr="001504E1" w:rsidP="00994FB7" w14:paraId="6E2D5728" w14:textId="77777777">
            <w:pPr>
              <w:spacing w:after="0" w:line="240" w:lineRule="auto"/>
              <w:jc w:val="center"/>
              <w:rPr>
                <w:rFonts w:eastAsia="Times New Roman" w:cs="Times New Roman"/>
                <w:sz w:val="22"/>
                <w:lang w:eastAsia="zh-CN"/>
              </w:rPr>
            </w:pPr>
            <w:r w:rsidRPr="001504E1">
              <w:rPr>
                <w:rFonts w:eastAsia="Times New Roman" w:cs="Times New Roman"/>
                <w:sz w:val="22"/>
                <w:lang w:eastAsia="zh-CN"/>
              </w:rPr>
              <w:t>2</w:t>
            </w:r>
          </w:p>
        </w:tc>
        <w:tc>
          <w:tcPr>
            <w:tcW w:w="0" w:type="auto"/>
            <w:tcBorders>
              <w:top w:val="nil"/>
              <w:left w:val="nil"/>
              <w:bottom w:val="single" w:sz="4" w:space="0" w:color="auto"/>
              <w:right w:val="single" w:sz="4" w:space="0" w:color="auto"/>
            </w:tcBorders>
            <w:noWrap/>
            <w:vAlign w:val="bottom"/>
            <w:hideMark/>
          </w:tcPr>
          <w:p w:rsidR="00E61038" w:rsidRPr="001504E1" w:rsidP="00994FB7" w14:paraId="5C758BB8" w14:textId="576071F6">
            <w:pPr>
              <w:spacing w:after="0" w:line="240" w:lineRule="auto"/>
              <w:jc w:val="center"/>
              <w:rPr>
                <w:rFonts w:eastAsia="Times New Roman" w:cs="Times New Roman"/>
                <w:sz w:val="22"/>
                <w:lang w:eastAsia="zh-CN"/>
              </w:rPr>
            </w:pPr>
            <w:r w:rsidRPr="001504E1">
              <w:rPr>
                <w:rFonts w:eastAsia="Times New Roman" w:cs="Times New Roman"/>
                <w:sz w:val="22"/>
                <w:lang w:eastAsia="zh-CN"/>
              </w:rPr>
              <w:t>16</w:t>
            </w:r>
          </w:p>
        </w:tc>
        <w:tc>
          <w:tcPr>
            <w:tcW w:w="0" w:type="auto"/>
            <w:tcBorders>
              <w:top w:val="nil"/>
              <w:left w:val="nil"/>
              <w:bottom w:val="single" w:sz="4" w:space="0" w:color="auto"/>
              <w:right w:val="single" w:sz="4" w:space="0" w:color="auto"/>
            </w:tcBorders>
            <w:noWrap/>
            <w:vAlign w:val="bottom"/>
            <w:hideMark/>
          </w:tcPr>
          <w:p w:rsidR="00E61038" w:rsidRPr="001504E1" w:rsidP="00994FB7" w14:paraId="247E0B28" w14:textId="77777777">
            <w:pPr>
              <w:spacing w:after="0" w:line="240" w:lineRule="auto"/>
              <w:jc w:val="center"/>
              <w:rPr>
                <w:rFonts w:eastAsia="Times New Roman" w:cs="Times New Roman"/>
                <w:sz w:val="22"/>
                <w:lang w:eastAsia="zh-CN"/>
              </w:rPr>
            </w:pPr>
            <w:r w:rsidRPr="001504E1">
              <w:rPr>
                <w:rFonts w:eastAsia="Times New Roman" w:cs="Times New Roman"/>
                <w:sz w:val="22"/>
                <w:lang w:eastAsia="zh-CN"/>
              </w:rPr>
              <w:t>0</w:t>
            </w:r>
          </w:p>
        </w:tc>
      </w:tr>
      <w:tr w14:paraId="3957A892" w14:textId="77777777" w:rsidTr="00994FB7">
        <w:tblPrEx>
          <w:tblW w:w="0" w:type="auto"/>
          <w:tblLook w:val="04A0"/>
        </w:tblPrEx>
        <w:trPr>
          <w:trHeight w:val="300"/>
        </w:trPr>
        <w:tc>
          <w:tcPr>
            <w:tcW w:w="0" w:type="auto"/>
            <w:tcBorders>
              <w:top w:val="nil"/>
              <w:left w:val="single" w:sz="8" w:space="0" w:color="auto"/>
              <w:bottom w:val="single" w:sz="4" w:space="0" w:color="auto"/>
              <w:right w:val="single" w:sz="8" w:space="0" w:color="auto"/>
            </w:tcBorders>
            <w:noWrap/>
            <w:vAlign w:val="bottom"/>
            <w:hideMark/>
          </w:tcPr>
          <w:p w:rsidR="00E61038" w:rsidRPr="001504E1" w:rsidP="00BC4F49" w14:paraId="4B34232E" w14:textId="77777777">
            <w:pPr>
              <w:spacing w:after="0" w:line="240" w:lineRule="auto"/>
              <w:rPr>
                <w:rFonts w:eastAsia="Times New Roman" w:cs="Times New Roman"/>
                <w:sz w:val="22"/>
                <w:lang w:eastAsia="zh-CN"/>
              </w:rPr>
            </w:pPr>
            <w:r w:rsidRPr="001504E1">
              <w:rPr>
                <w:rFonts w:eastAsia="Times New Roman" w:cs="Times New Roman"/>
                <w:sz w:val="22"/>
                <w:lang w:eastAsia="zh-CN"/>
              </w:rPr>
              <w:t>Current + 2</w:t>
            </w:r>
          </w:p>
        </w:tc>
        <w:tc>
          <w:tcPr>
            <w:tcW w:w="0" w:type="auto"/>
            <w:tcBorders>
              <w:top w:val="nil"/>
              <w:left w:val="single" w:sz="4" w:space="0" w:color="auto"/>
              <w:bottom w:val="single" w:sz="4" w:space="0" w:color="auto"/>
              <w:right w:val="single" w:sz="4" w:space="0" w:color="auto"/>
            </w:tcBorders>
            <w:noWrap/>
            <w:vAlign w:val="bottom"/>
            <w:hideMark/>
          </w:tcPr>
          <w:p w:rsidR="00E61038" w:rsidRPr="001504E1" w:rsidP="00994FB7" w14:paraId="2A36788C" w14:textId="77777777">
            <w:pPr>
              <w:spacing w:after="0" w:line="240" w:lineRule="auto"/>
              <w:jc w:val="center"/>
              <w:rPr>
                <w:rFonts w:eastAsia="Times New Roman" w:cs="Times New Roman"/>
                <w:sz w:val="22"/>
                <w:lang w:eastAsia="zh-CN"/>
              </w:rPr>
            </w:pPr>
            <w:r w:rsidRPr="001504E1">
              <w:rPr>
                <w:rFonts w:eastAsia="Times New Roman" w:cs="Times New Roman"/>
                <w:sz w:val="22"/>
                <w:lang w:eastAsia="zh-CN"/>
              </w:rPr>
              <w:t>5</w:t>
            </w:r>
          </w:p>
        </w:tc>
        <w:tc>
          <w:tcPr>
            <w:tcW w:w="0" w:type="auto"/>
            <w:tcBorders>
              <w:top w:val="nil"/>
              <w:left w:val="nil"/>
              <w:bottom w:val="single" w:sz="4" w:space="0" w:color="auto"/>
              <w:right w:val="single" w:sz="4" w:space="0" w:color="auto"/>
            </w:tcBorders>
            <w:noWrap/>
            <w:vAlign w:val="bottom"/>
            <w:hideMark/>
          </w:tcPr>
          <w:p w:rsidR="00E61038" w:rsidRPr="001504E1" w:rsidP="00994FB7" w14:paraId="06BB6EBA" w14:textId="2580D037">
            <w:pPr>
              <w:spacing w:after="0" w:line="240" w:lineRule="auto"/>
              <w:jc w:val="center"/>
              <w:rPr>
                <w:rFonts w:eastAsia="Times New Roman" w:cs="Times New Roman"/>
                <w:sz w:val="22"/>
                <w:lang w:eastAsia="zh-CN"/>
              </w:rPr>
            </w:pPr>
            <w:r w:rsidRPr="001504E1">
              <w:rPr>
                <w:rFonts w:eastAsia="Times New Roman" w:cs="Times New Roman"/>
                <w:sz w:val="22"/>
                <w:lang w:eastAsia="zh-CN"/>
              </w:rPr>
              <w:t>11</w:t>
            </w:r>
          </w:p>
        </w:tc>
        <w:tc>
          <w:tcPr>
            <w:tcW w:w="0" w:type="auto"/>
            <w:tcBorders>
              <w:top w:val="nil"/>
              <w:left w:val="nil"/>
              <w:bottom w:val="single" w:sz="4" w:space="0" w:color="auto"/>
              <w:right w:val="single" w:sz="4" w:space="0" w:color="auto"/>
            </w:tcBorders>
            <w:noWrap/>
            <w:vAlign w:val="bottom"/>
            <w:hideMark/>
          </w:tcPr>
          <w:p w:rsidR="00E61038" w:rsidRPr="001504E1" w:rsidP="00994FB7" w14:paraId="5F937D35" w14:textId="77777777">
            <w:pPr>
              <w:spacing w:after="0" w:line="240" w:lineRule="auto"/>
              <w:jc w:val="center"/>
              <w:rPr>
                <w:rFonts w:eastAsia="Times New Roman" w:cs="Times New Roman"/>
                <w:sz w:val="22"/>
                <w:lang w:eastAsia="zh-CN"/>
              </w:rPr>
            </w:pPr>
            <w:r w:rsidRPr="001504E1">
              <w:rPr>
                <w:rFonts w:eastAsia="Times New Roman" w:cs="Times New Roman"/>
                <w:sz w:val="22"/>
                <w:lang w:eastAsia="zh-CN"/>
              </w:rPr>
              <w:t>2</w:t>
            </w:r>
          </w:p>
        </w:tc>
      </w:tr>
      <w:tr w14:paraId="1898911F" w14:textId="77777777" w:rsidTr="00994FB7">
        <w:tblPrEx>
          <w:tblW w:w="0" w:type="auto"/>
          <w:tblLook w:val="04A0"/>
        </w:tblPrEx>
        <w:trPr>
          <w:trHeight w:val="315"/>
        </w:trPr>
        <w:tc>
          <w:tcPr>
            <w:tcW w:w="0" w:type="auto"/>
            <w:tcBorders>
              <w:top w:val="nil"/>
              <w:left w:val="single" w:sz="8" w:space="0" w:color="auto"/>
              <w:bottom w:val="single" w:sz="8" w:space="0" w:color="auto"/>
              <w:right w:val="single" w:sz="8" w:space="0" w:color="auto"/>
            </w:tcBorders>
            <w:noWrap/>
            <w:vAlign w:val="bottom"/>
            <w:hideMark/>
          </w:tcPr>
          <w:p w:rsidR="00E61038" w:rsidRPr="001504E1" w:rsidP="00BC4F49" w14:paraId="72EAC8CB" w14:textId="77777777">
            <w:pPr>
              <w:spacing w:after="0" w:line="240" w:lineRule="auto"/>
              <w:rPr>
                <w:rFonts w:eastAsia="Times New Roman" w:cs="Times New Roman"/>
                <w:sz w:val="22"/>
                <w:lang w:eastAsia="zh-CN"/>
              </w:rPr>
            </w:pPr>
            <w:r w:rsidRPr="001504E1">
              <w:rPr>
                <w:rFonts w:eastAsia="Times New Roman" w:cs="Times New Roman"/>
                <w:sz w:val="22"/>
                <w:lang w:eastAsia="zh-CN"/>
              </w:rPr>
              <w:t>Current + 3</w:t>
            </w:r>
          </w:p>
        </w:tc>
        <w:tc>
          <w:tcPr>
            <w:tcW w:w="0" w:type="auto"/>
            <w:tcBorders>
              <w:top w:val="nil"/>
              <w:left w:val="single" w:sz="4" w:space="0" w:color="auto"/>
              <w:bottom w:val="single" w:sz="4" w:space="0" w:color="auto"/>
              <w:right w:val="single" w:sz="4" w:space="0" w:color="auto"/>
            </w:tcBorders>
            <w:noWrap/>
            <w:vAlign w:val="bottom"/>
            <w:hideMark/>
          </w:tcPr>
          <w:p w:rsidR="00E61038" w:rsidRPr="001504E1" w:rsidP="00994FB7" w14:paraId="34261932" w14:textId="77777777">
            <w:pPr>
              <w:spacing w:after="0" w:line="240" w:lineRule="auto"/>
              <w:jc w:val="center"/>
              <w:rPr>
                <w:rFonts w:eastAsia="Times New Roman" w:cs="Times New Roman"/>
                <w:sz w:val="22"/>
                <w:lang w:eastAsia="zh-CN"/>
              </w:rPr>
            </w:pPr>
            <w:r w:rsidRPr="001504E1">
              <w:rPr>
                <w:rFonts w:eastAsia="Times New Roman" w:cs="Times New Roman"/>
                <w:sz w:val="22"/>
                <w:lang w:eastAsia="zh-CN"/>
              </w:rPr>
              <w:t>5</w:t>
            </w:r>
          </w:p>
        </w:tc>
        <w:tc>
          <w:tcPr>
            <w:tcW w:w="0" w:type="auto"/>
            <w:tcBorders>
              <w:top w:val="nil"/>
              <w:left w:val="nil"/>
              <w:bottom w:val="single" w:sz="4" w:space="0" w:color="auto"/>
              <w:right w:val="single" w:sz="4" w:space="0" w:color="auto"/>
            </w:tcBorders>
            <w:noWrap/>
            <w:vAlign w:val="bottom"/>
            <w:hideMark/>
          </w:tcPr>
          <w:p w:rsidR="00E61038" w:rsidRPr="001504E1" w:rsidP="00994FB7" w14:paraId="34A159F9" w14:textId="2600B973">
            <w:pPr>
              <w:spacing w:after="0" w:line="240" w:lineRule="auto"/>
              <w:jc w:val="center"/>
              <w:rPr>
                <w:rFonts w:eastAsia="Times New Roman" w:cs="Times New Roman"/>
                <w:sz w:val="22"/>
                <w:lang w:eastAsia="zh-CN"/>
              </w:rPr>
            </w:pPr>
            <w:r w:rsidRPr="001504E1">
              <w:rPr>
                <w:rFonts w:eastAsia="Times New Roman" w:cs="Times New Roman"/>
                <w:sz w:val="22"/>
                <w:lang w:eastAsia="zh-CN"/>
              </w:rPr>
              <w:t>6</w:t>
            </w:r>
          </w:p>
        </w:tc>
        <w:tc>
          <w:tcPr>
            <w:tcW w:w="0" w:type="auto"/>
            <w:tcBorders>
              <w:top w:val="nil"/>
              <w:left w:val="nil"/>
              <w:bottom w:val="single" w:sz="4" w:space="0" w:color="auto"/>
              <w:right w:val="single" w:sz="4" w:space="0" w:color="auto"/>
            </w:tcBorders>
            <w:noWrap/>
            <w:vAlign w:val="bottom"/>
            <w:hideMark/>
          </w:tcPr>
          <w:p w:rsidR="00E61038" w:rsidRPr="001504E1" w:rsidP="00994FB7" w14:paraId="2D0571E3" w14:textId="77777777">
            <w:pPr>
              <w:spacing w:after="0" w:line="240" w:lineRule="auto"/>
              <w:jc w:val="center"/>
              <w:rPr>
                <w:rFonts w:eastAsia="Times New Roman" w:cs="Times New Roman"/>
                <w:sz w:val="22"/>
                <w:lang w:eastAsia="zh-CN"/>
              </w:rPr>
            </w:pPr>
            <w:r w:rsidRPr="001504E1">
              <w:rPr>
                <w:rFonts w:eastAsia="Times New Roman" w:cs="Times New Roman"/>
                <w:sz w:val="22"/>
                <w:lang w:eastAsia="zh-CN"/>
              </w:rPr>
              <w:t>7</w:t>
            </w:r>
          </w:p>
        </w:tc>
      </w:tr>
      <w:tr w14:paraId="4E5F4569" w14:textId="77777777" w:rsidTr="00994FB7">
        <w:tblPrEx>
          <w:tblW w:w="0" w:type="auto"/>
          <w:tblLook w:val="04A0"/>
        </w:tblPrEx>
        <w:trPr>
          <w:trHeight w:val="315"/>
        </w:trPr>
        <w:tc>
          <w:tcPr>
            <w:tcW w:w="0" w:type="auto"/>
            <w:tcBorders>
              <w:top w:val="single" w:sz="4" w:space="0" w:color="auto"/>
              <w:left w:val="single" w:sz="8" w:space="0" w:color="auto"/>
              <w:bottom w:val="single" w:sz="8" w:space="0" w:color="auto"/>
              <w:right w:val="single" w:sz="4" w:space="0" w:color="auto"/>
            </w:tcBorders>
            <w:noWrap/>
            <w:vAlign w:val="bottom"/>
            <w:hideMark/>
          </w:tcPr>
          <w:p w:rsidR="00E61038" w:rsidRPr="001504E1" w:rsidP="00BC4F49" w14:paraId="300403CA" w14:textId="77777777">
            <w:pPr>
              <w:spacing w:after="0" w:line="240" w:lineRule="auto"/>
              <w:rPr>
                <w:rFonts w:eastAsia="Times New Roman" w:cs="Times New Roman"/>
                <w:b/>
                <w:bCs/>
                <w:sz w:val="22"/>
                <w:lang w:eastAsia="zh-CN"/>
              </w:rPr>
            </w:pPr>
            <w:r w:rsidRPr="001504E1">
              <w:rPr>
                <w:rFonts w:eastAsia="Times New Roman" w:cs="Times New Roman"/>
                <w:b/>
                <w:bCs/>
                <w:sz w:val="22"/>
                <w:lang w:eastAsia="zh-CN"/>
              </w:rPr>
              <w:t>Average Per Year for Next Three Years</w:t>
            </w:r>
          </w:p>
        </w:tc>
        <w:tc>
          <w:tcPr>
            <w:tcW w:w="0" w:type="auto"/>
            <w:tcBorders>
              <w:top w:val="nil"/>
              <w:left w:val="nil"/>
              <w:bottom w:val="single" w:sz="8" w:space="0" w:color="auto"/>
              <w:right w:val="single" w:sz="4" w:space="0" w:color="auto"/>
            </w:tcBorders>
            <w:noWrap/>
            <w:vAlign w:val="center"/>
            <w:hideMark/>
          </w:tcPr>
          <w:p w:rsidR="00E61038" w:rsidRPr="001504E1" w:rsidP="00994FB7" w14:paraId="251238B2" w14:textId="77777777">
            <w:pPr>
              <w:spacing w:after="0" w:line="240" w:lineRule="auto"/>
              <w:jc w:val="center"/>
              <w:rPr>
                <w:rFonts w:eastAsia="Times New Roman" w:cs="Times New Roman"/>
                <w:sz w:val="22"/>
                <w:lang w:eastAsia="zh-CN"/>
              </w:rPr>
            </w:pPr>
            <w:r w:rsidRPr="001504E1">
              <w:rPr>
                <w:rFonts w:eastAsia="Times New Roman" w:cs="Times New Roman"/>
                <w:sz w:val="22"/>
                <w:lang w:eastAsia="zh-CN"/>
              </w:rPr>
              <w:t>4</w:t>
            </w:r>
          </w:p>
        </w:tc>
        <w:tc>
          <w:tcPr>
            <w:tcW w:w="0" w:type="auto"/>
            <w:tcBorders>
              <w:top w:val="nil"/>
              <w:left w:val="nil"/>
              <w:bottom w:val="single" w:sz="8" w:space="0" w:color="auto"/>
              <w:right w:val="single" w:sz="4" w:space="0" w:color="auto"/>
            </w:tcBorders>
            <w:noWrap/>
            <w:vAlign w:val="center"/>
            <w:hideMark/>
          </w:tcPr>
          <w:p w:rsidR="00E61038" w:rsidRPr="001504E1" w:rsidP="00994FB7" w14:paraId="4715D61C" w14:textId="64653A96">
            <w:pPr>
              <w:spacing w:after="0" w:line="240" w:lineRule="auto"/>
              <w:jc w:val="center"/>
              <w:rPr>
                <w:rFonts w:eastAsia="Times New Roman" w:cs="Times New Roman"/>
                <w:sz w:val="22"/>
                <w:lang w:eastAsia="zh-CN"/>
              </w:rPr>
            </w:pPr>
            <w:r w:rsidRPr="001504E1">
              <w:rPr>
                <w:rFonts w:eastAsia="Times New Roman" w:cs="Times New Roman"/>
                <w:sz w:val="22"/>
                <w:lang w:eastAsia="zh-CN"/>
              </w:rPr>
              <w:t>11</w:t>
            </w:r>
          </w:p>
        </w:tc>
        <w:tc>
          <w:tcPr>
            <w:tcW w:w="0" w:type="auto"/>
            <w:tcBorders>
              <w:top w:val="nil"/>
              <w:left w:val="nil"/>
              <w:bottom w:val="single" w:sz="8" w:space="0" w:color="auto"/>
              <w:right w:val="single" w:sz="4" w:space="0" w:color="auto"/>
            </w:tcBorders>
            <w:noWrap/>
            <w:vAlign w:val="center"/>
            <w:hideMark/>
          </w:tcPr>
          <w:p w:rsidR="00E61038" w:rsidRPr="001504E1" w:rsidP="00994FB7" w14:paraId="2BC3DB05" w14:textId="77777777">
            <w:pPr>
              <w:spacing w:after="0" w:line="240" w:lineRule="auto"/>
              <w:jc w:val="center"/>
              <w:rPr>
                <w:rFonts w:eastAsia="Times New Roman" w:cs="Times New Roman"/>
                <w:sz w:val="22"/>
                <w:lang w:eastAsia="zh-CN"/>
              </w:rPr>
            </w:pPr>
            <w:r w:rsidRPr="001504E1">
              <w:rPr>
                <w:rFonts w:eastAsia="Times New Roman" w:cs="Times New Roman"/>
                <w:sz w:val="22"/>
                <w:lang w:eastAsia="zh-CN"/>
              </w:rPr>
              <w:t>3</w:t>
            </w:r>
          </w:p>
        </w:tc>
      </w:tr>
    </w:tbl>
    <w:p w:rsidR="00087B61" w:rsidRPr="00994FB7" w:rsidP="002179BF" w14:paraId="03EE3101" w14:textId="77777777">
      <w:pPr>
        <w:ind w:left="720"/>
        <w:rPr>
          <w:rFonts w:eastAsia="Times New Roman" w:cs="Times New Roman"/>
          <w:szCs w:val="24"/>
        </w:rPr>
      </w:pPr>
    </w:p>
    <w:p w:rsidR="00C21DA2" w:rsidRPr="00994FB7" w:rsidP="00C21DA2" w14:paraId="2A0EB718" w14:textId="77777777">
      <w:pPr>
        <w:tabs>
          <w:tab w:val="left" w:pos="-720"/>
          <w:tab w:val="left" w:pos="540"/>
        </w:tabs>
        <w:ind w:left="1440"/>
      </w:pPr>
      <w:r w:rsidRPr="00994FB7">
        <w:rPr>
          <w:b/>
          <w:bCs/>
          <w:i/>
          <w:iCs/>
        </w:rPr>
        <w:t>Implementation Burden Calculation for SEDC States</w:t>
      </w:r>
    </w:p>
    <w:p w:rsidR="00C21DA2" w:rsidRPr="00994FB7" w:rsidP="61DDEE15" w14:paraId="136175D9" w14:textId="6E40DBD1">
      <w:pPr>
        <w:tabs>
          <w:tab w:val="left" w:pos="540"/>
        </w:tabs>
        <w:ind w:left="720"/>
      </w:pPr>
      <w:r w:rsidRPr="00994FB7">
        <w:t xml:space="preserve">The </w:t>
      </w:r>
      <w:r w:rsidRPr="00994FB7" w:rsidR="00DE3D99">
        <w:t xml:space="preserve">collective burden calculation for the </w:t>
      </w:r>
      <w:r w:rsidRPr="00994FB7" w:rsidR="2294BC75">
        <w:t>17</w:t>
      </w:r>
      <w:r w:rsidRPr="00994FB7" w:rsidR="00677B32">
        <w:t xml:space="preserve"> </w:t>
      </w:r>
      <w:r w:rsidRPr="00994FB7">
        <w:t xml:space="preserve">SEDC </w:t>
      </w:r>
      <w:r w:rsidRPr="00994FB7" w:rsidR="00DE3D99">
        <w:t>States</w:t>
      </w:r>
      <w:r w:rsidRPr="00994FB7" w:rsidR="00D40473">
        <w:t xml:space="preserve"> based on the State’s matching fund</w:t>
      </w:r>
      <w:r w:rsidRPr="00994FB7" w:rsidR="00DE3D99">
        <w:t>, except for</w:t>
      </w:r>
      <w:r w:rsidRPr="00994FB7" w:rsidR="002616DE">
        <w:t xml:space="preserve"> American Samoa</w:t>
      </w:r>
      <w:r w:rsidRPr="00994FB7" w:rsidR="00485FD1">
        <w:t xml:space="preserve"> which is not required to provide matching fund</w:t>
      </w:r>
      <w:r w:rsidRPr="00994FB7" w:rsidR="00DE3D99">
        <w:t>. T</w:t>
      </w:r>
      <w:r w:rsidRPr="00994FB7">
        <w:t xml:space="preserve">hese matching funds </w:t>
      </w:r>
      <w:r w:rsidRPr="00994FB7" w:rsidR="00724261">
        <w:t>represent</w:t>
      </w:r>
      <w:r w:rsidRPr="00994FB7">
        <w:t xml:space="preserve"> eligible expenses </w:t>
      </w:r>
      <w:r w:rsidRPr="00994FB7" w:rsidR="00DE3D99">
        <w:t>such as</w:t>
      </w:r>
      <w:r w:rsidRPr="00994FB7">
        <w:t xml:space="preserve"> state </w:t>
      </w:r>
      <w:r w:rsidRPr="00994FB7" w:rsidR="00DE3D99">
        <w:t>employee</w:t>
      </w:r>
      <w:r w:rsidRPr="00994FB7" w:rsidR="005F169C">
        <w:t xml:space="preserve"> labor</w:t>
      </w:r>
      <w:r w:rsidRPr="00994FB7">
        <w:t>,</w:t>
      </w:r>
      <w:r w:rsidRPr="00994FB7" w:rsidR="005F169C">
        <w:t xml:space="preserve"> contractual services, IT, and </w:t>
      </w:r>
      <w:r w:rsidRPr="00994FB7">
        <w:t>equipment</w:t>
      </w:r>
      <w:r w:rsidRPr="00994FB7" w:rsidR="005F169C">
        <w:t xml:space="preserve"> costs</w:t>
      </w:r>
      <w:r w:rsidRPr="00994FB7" w:rsidR="00EA3A22">
        <w:t xml:space="preserve">. </w:t>
      </w:r>
      <w:r w:rsidRPr="00994FB7">
        <w:t xml:space="preserve">Because </w:t>
      </w:r>
      <w:r w:rsidRPr="00994FB7" w:rsidR="005F169C">
        <w:t>this</w:t>
      </w:r>
      <w:r w:rsidRPr="00994FB7">
        <w:t xml:space="preserve"> comprehensive project inherently </w:t>
      </w:r>
      <w:r w:rsidRPr="00994FB7" w:rsidR="005F169C">
        <w:t>demands</w:t>
      </w:r>
      <w:r w:rsidRPr="00994FB7">
        <w:t xml:space="preserve"> a mix of</w:t>
      </w:r>
      <w:r w:rsidRPr="00994FB7" w:rsidR="005F169C">
        <w:t xml:space="preserve"> contractual services, </w:t>
      </w:r>
      <w:r w:rsidRPr="00994FB7">
        <w:t>IT</w:t>
      </w:r>
      <w:r w:rsidRPr="00994FB7" w:rsidR="005F169C">
        <w:t xml:space="preserve"> or</w:t>
      </w:r>
      <w:r w:rsidRPr="00994FB7">
        <w:t xml:space="preserve"> equipment</w:t>
      </w:r>
      <w:r w:rsidRPr="00994FB7" w:rsidR="005F169C">
        <w:t xml:space="preserve"> needs</w:t>
      </w:r>
      <w:r w:rsidRPr="00994FB7">
        <w:t xml:space="preserve">, </w:t>
      </w:r>
      <w:r w:rsidRPr="00994FB7" w:rsidR="00724261">
        <w:t xml:space="preserve">in addition to </w:t>
      </w:r>
      <w:r w:rsidRPr="00994FB7" w:rsidR="009717DA">
        <w:t xml:space="preserve">State’s </w:t>
      </w:r>
      <w:r w:rsidRPr="00994FB7" w:rsidR="00724261">
        <w:t xml:space="preserve">personnel costs, </w:t>
      </w:r>
      <w:r w:rsidRPr="00994FB7" w:rsidR="00EA3A22">
        <w:t xml:space="preserve">some </w:t>
      </w:r>
      <w:r w:rsidRPr="00994FB7" w:rsidR="005F169C">
        <w:t>S</w:t>
      </w:r>
      <w:r w:rsidRPr="00994FB7">
        <w:t>tates agree</w:t>
      </w:r>
      <w:r w:rsidRPr="00994FB7" w:rsidR="005F169C">
        <w:t>d</w:t>
      </w:r>
      <w:r w:rsidRPr="00994FB7" w:rsidR="00936F46">
        <w:t xml:space="preserve"> </w:t>
      </w:r>
      <w:r w:rsidRPr="00994FB7">
        <w:t xml:space="preserve">to </w:t>
      </w:r>
      <w:r w:rsidRPr="00994FB7" w:rsidR="005F169C">
        <w:t xml:space="preserve">a flat </w:t>
      </w:r>
      <w:r w:rsidRPr="00994FB7">
        <w:t>20%</w:t>
      </w:r>
      <w:r w:rsidRPr="00994FB7" w:rsidR="005F169C">
        <w:t xml:space="preserve"> match under personnel, contractual or a </w:t>
      </w:r>
      <w:r w:rsidRPr="00994FB7">
        <w:t>combin</w:t>
      </w:r>
      <w:r w:rsidRPr="00994FB7" w:rsidR="005F169C">
        <w:t xml:space="preserve">ation of eligible cost categories </w:t>
      </w:r>
      <w:r w:rsidRPr="00994FB7">
        <w:t>rather than calculating an exact mathematical breakdown for each individual line item.</w:t>
      </w:r>
    </w:p>
    <w:p w:rsidR="001947F9" w:rsidRPr="00994FB7" w:rsidP="61DDEE15" w14:paraId="4EAC41BD" w14:textId="2572066D">
      <w:pPr>
        <w:tabs>
          <w:tab w:val="left" w:pos="540"/>
        </w:tabs>
        <w:ind w:left="720"/>
      </w:pPr>
      <w:r w:rsidRPr="00994FB7">
        <w:t xml:space="preserve">Out of the eighteen SEDC </w:t>
      </w:r>
      <w:r w:rsidRPr="00994FB7" w:rsidR="002616DE">
        <w:t>States</w:t>
      </w:r>
      <w:r w:rsidRPr="00994FB7">
        <w:t xml:space="preserve">, </w:t>
      </w:r>
      <w:r w:rsidRPr="00994FB7" w:rsidR="00554D29">
        <w:t xml:space="preserve">15 </w:t>
      </w:r>
      <w:r w:rsidRPr="00994FB7">
        <w:t xml:space="preserve">committed matching funds for </w:t>
      </w:r>
      <w:r w:rsidRPr="00994FB7" w:rsidR="00936F46">
        <w:t>State personnel costs</w:t>
      </w:r>
      <w:r w:rsidRPr="00994FB7">
        <w:t xml:space="preserve">. </w:t>
      </w:r>
      <w:r w:rsidRPr="00994FB7" w:rsidR="00554D29">
        <w:t>Among these</w:t>
      </w:r>
      <w:r w:rsidRPr="00994FB7" w:rsidR="004B0612">
        <w:t>, only</w:t>
      </w:r>
      <w:r w:rsidRPr="00994FB7">
        <w:t xml:space="preserve"> four States </w:t>
      </w:r>
      <w:r w:rsidRPr="00994FB7" w:rsidR="00554D29">
        <w:t>itemized</w:t>
      </w:r>
      <w:r w:rsidRPr="00994FB7">
        <w:t xml:space="preserve"> </w:t>
      </w:r>
      <w:r w:rsidRPr="00994FB7" w:rsidR="00554D29">
        <w:t xml:space="preserve">their </w:t>
      </w:r>
      <w:r w:rsidRPr="00994FB7">
        <w:t xml:space="preserve">actual labor costs and burden hours, </w:t>
      </w:r>
      <w:r w:rsidRPr="00994FB7" w:rsidR="000956C8">
        <w:t xml:space="preserve">while </w:t>
      </w:r>
      <w:r w:rsidRPr="00994FB7">
        <w:t xml:space="preserve">the remaining </w:t>
      </w:r>
      <w:r w:rsidRPr="00994FB7" w:rsidR="000956C8">
        <w:t xml:space="preserve">11 </w:t>
      </w:r>
      <w:r w:rsidRPr="00994FB7">
        <w:t xml:space="preserve">committed to a </w:t>
      </w:r>
      <w:r w:rsidRPr="00994FB7" w:rsidR="004B0612">
        <w:t>flat percentage</w:t>
      </w:r>
      <w:r w:rsidRPr="00994FB7">
        <w:t xml:space="preserve">.  Based on the four states that explicitly provided estimated burden hours for their matching personnel costs, the </w:t>
      </w:r>
      <w:r w:rsidRPr="00994FB7" w:rsidR="00240350">
        <w:t xml:space="preserve">baseline </w:t>
      </w:r>
      <w:r w:rsidRPr="00994FB7">
        <w:t xml:space="preserve">average </w:t>
      </w:r>
      <w:r w:rsidRPr="00994FB7" w:rsidR="00240350">
        <w:t xml:space="preserve">per State </w:t>
      </w:r>
      <w:r w:rsidRPr="00994FB7">
        <w:t>is 1</w:t>
      </w:r>
      <w:r w:rsidRPr="00994FB7" w:rsidR="00590909">
        <w:t>,</w:t>
      </w:r>
      <w:r w:rsidRPr="00994FB7">
        <w:t>28</w:t>
      </w:r>
      <w:r w:rsidRPr="00994FB7" w:rsidR="00D84307">
        <w:t>4</w:t>
      </w:r>
      <w:r w:rsidRPr="00994FB7">
        <w:t xml:space="preserve"> burden hours annually</w:t>
      </w:r>
      <w:r w:rsidRPr="00994FB7" w:rsidR="0089448D">
        <w:t>,</w:t>
      </w:r>
      <w:r w:rsidRPr="00994FB7" w:rsidR="00EA47B2">
        <w:t xml:space="preserve"> with </w:t>
      </w:r>
      <w:r w:rsidRPr="00994FB7" w:rsidR="0089448D">
        <w:t>a</w:t>
      </w:r>
      <w:r w:rsidRPr="00994FB7" w:rsidR="00EA47B2">
        <w:t xml:space="preserve"> </w:t>
      </w:r>
      <w:r w:rsidRPr="00994FB7" w:rsidR="00454DD8">
        <w:t xml:space="preserve">corresponding </w:t>
      </w:r>
      <w:r w:rsidRPr="00994FB7" w:rsidR="00EA47B2">
        <w:t>average</w:t>
      </w:r>
      <w:r w:rsidRPr="00994FB7" w:rsidR="00454DD8">
        <w:t xml:space="preserve"> labor cost of $198,512.65</w:t>
      </w:r>
      <w:r w:rsidRPr="00994FB7">
        <w:t xml:space="preserve">. </w:t>
      </w:r>
      <w:r w:rsidRPr="00994FB7" w:rsidR="00587E90">
        <w:t xml:space="preserve">Applying </w:t>
      </w:r>
      <w:r w:rsidRPr="00994FB7" w:rsidR="008E1301">
        <w:t>these averages</w:t>
      </w:r>
      <w:r w:rsidRPr="00994FB7" w:rsidR="0089448D">
        <w:t xml:space="preserve"> to the</w:t>
      </w:r>
      <w:r w:rsidRPr="00994FB7" w:rsidR="00944C1A">
        <w:t xml:space="preserve"> 11 </w:t>
      </w:r>
      <w:r w:rsidRPr="00994FB7" w:rsidR="550F3D38">
        <w:t>S</w:t>
      </w:r>
      <w:r w:rsidRPr="00994FB7" w:rsidR="00944C1A">
        <w:t xml:space="preserve">tates </w:t>
      </w:r>
      <w:r w:rsidRPr="00994FB7" w:rsidR="0089448D">
        <w:t xml:space="preserve">projected to be in the </w:t>
      </w:r>
      <w:r w:rsidRPr="00994FB7" w:rsidR="00944C1A">
        <w:t>implementation phase each year</w:t>
      </w:r>
      <w:r w:rsidRPr="00994FB7" w:rsidR="00587E90">
        <w:t xml:space="preserve">, the total </w:t>
      </w:r>
      <w:r w:rsidRPr="00994FB7" w:rsidR="00B64758">
        <w:t xml:space="preserve">labor </w:t>
      </w:r>
      <w:r w:rsidRPr="00994FB7" w:rsidR="00587E90">
        <w:t xml:space="preserve">burden hours and </w:t>
      </w:r>
      <w:r w:rsidRPr="00994FB7" w:rsidR="00B64758">
        <w:t xml:space="preserve">cost are </w:t>
      </w:r>
      <w:r w:rsidRPr="00994FB7">
        <w:t>14,121 hours and $2,183,639.15</w:t>
      </w:r>
      <w:r w:rsidRPr="00994FB7" w:rsidR="00944C1A">
        <w:t>.</w:t>
      </w:r>
    </w:p>
    <w:p w:rsidR="00C21DA2" w:rsidRPr="00994FB7" w:rsidP="61DDEE15" w14:paraId="2316E373" w14:textId="47149E1D">
      <w:pPr>
        <w:tabs>
          <w:tab w:val="left" w:pos="540"/>
        </w:tabs>
        <w:ind w:left="720"/>
      </w:pPr>
      <w:r>
        <w:t xml:space="preserve">Nine out of these fifteen States also committed a percentage of their </w:t>
      </w:r>
      <w:r>
        <w:t>State</w:t>
      </w:r>
      <w:r w:rsidR="2A110DB2">
        <w:t>-</w:t>
      </w:r>
      <w:r>
        <w:t>match</w:t>
      </w:r>
      <w:r>
        <w:t xml:space="preserve"> to contractual costs, which </w:t>
      </w:r>
      <w:r w:rsidR="00D84307">
        <w:t xml:space="preserve">may be used for </w:t>
      </w:r>
      <w:r>
        <w:t>contractor, IT, or equipment activity</w:t>
      </w:r>
      <w:r w:rsidR="00D84307">
        <w:t xml:space="preserve"> costs</w:t>
      </w:r>
      <w:r>
        <w:t>.  The remaining three States committed their entire matching requirement to the contractual cost category</w:t>
      </w:r>
      <w:r w:rsidR="00200C8A">
        <w:t xml:space="preserve"> without exact breakdowns </w:t>
      </w:r>
      <w:r w:rsidR="00D674AC">
        <w:t>for contractual services,</w:t>
      </w:r>
      <w:r w:rsidR="00200C8A">
        <w:t xml:space="preserve"> IT and equipment costs. </w:t>
      </w:r>
      <w:r>
        <w:t xml:space="preserve">   </w:t>
      </w:r>
    </w:p>
    <w:p w:rsidR="00C21DA2" w:rsidRPr="00994FB7" w:rsidP="00C21DA2" w14:paraId="480A4E29" w14:textId="77777777">
      <w:pPr>
        <w:tabs>
          <w:tab w:val="left" w:pos="-720"/>
          <w:tab w:val="left" w:pos="540"/>
        </w:tabs>
        <w:ind w:left="1440"/>
        <w:rPr>
          <w:b/>
          <w:bCs/>
          <w:i/>
          <w:iCs/>
        </w:rPr>
      </w:pPr>
      <w:r w:rsidRPr="00994FB7">
        <w:rPr>
          <w:b/>
          <w:bCs/>
          <w:i/>
          <w:iCs/>
        </w:rPr>
        <w:t>Maintenance Burden Calculation for SEDC States</w:t>
      </w:r>
    </w:p>
    <w:p w:rsidR="009F48E3" w:rsidRPr="00994FB7" w:rsidP="009F48E3" w14:paraId="5B128C31" w14:textId="0F2ABA5B">
      <w:pPr>
        <w:tabs>
          <w:tab w:val="left" w:pos="-720"/>
          <w:tab w:val="left" w:pos="540"/>
        </w:tabs>
        <w:ind w:left="720"/>
      </w:pPr>
      <w:r w:rsidRPr="00994FB7">
        <w:t xml:space="preserve">Non-SEDC States report an annual maintenance burden of five (5) hours per respondent, primarily dedicated to troubleshooting connections and refining data mapping protocols.  NHTSA will apply this same annual maintenance burden to the SEDC </w:t>
      </w:r>
      <w:r w:rsidRPr="00994FB7" w:rsidR="00D674AC">
        <w:t>grantees</w:t>
      </w:r>
      <w:r w:rsidRPr="00994FB7">
        <w:t>. To calculate the economic impact, NHTSA utilizes the May 2024 BLS mean wage for Software and Web Developers ($71.54/hour</w:t>
      </w:r>
      <w:r>
        <w:rPr>
          <w:rStyle w:val="FootnoteReference"/>
        </w:rPr>
        <w:footnoteReference w:id="10"/>
      </w:r>
      <w:r w:rsidRPr="00994FB7">
        <w:rPr>
          <w:vertAlign w:val="superscript"/>
        </w:rPr>
        <w:t xml:space="preserve"> </w:t>
      </w:r>
      <w:r w:rsidRPr="00994FB7">
        <w:t>). Adjusting for total compensation, where wages comprise 61.7%</w:t>
      </w:r>
      <w:r>
        <w:rPr>
          <w:rStyle w:val="FootnoteReference"/>
        </w:rPr>
        <w:footnoteReference w:id="11"/>
      </w:r>
      <w:r w:rsidRPr="00994FB7">
        <w:t xml:space="preserve">  of the package, the fully loaded hourly rate is $115.95. Consequently, the annual maintenance cost per state is approximately $579.75. Based on a projected average of </w:t>
      </w:r>
      <w:r w:rsidRPr="00994FB7" w:rsidR="004F6490">
        <w:t>3</w:t>
      </w:r>
      <w:r w:rsidRPr="00994FB7" w:rsidR="00FF226F">
        <w:t xml:space="preserve"> </w:t>
      </w:r>
      <w:r w:rsidRPr="00994FB7">
        <w:t>participating SEDC States</w:t>
      </w:r>
      <w:r w:rsidRPr="00994FB7" w:rsidR="00E10D5D">
        <w:t xml:space="preserve"> under maintenance phase</w:t>
      </w:r>
      <w:r w:rsidRPr="00994FB7">
        <w:t xml:space="preserve">, the total annual collective burden is estimated at </w:t>
      </w:r>
      <w:r w:rsidRPr="00994FB7" w:rsidR="004F6490">
        <w:t xml:space="preserve">15 </w:t>
      </w:r>
      <w:r w:rsidRPr="00994FB7">
        <w:t xml:space="preserve">hours and </w:t>
      </w:r>
      <w:r w:rsidRPr="00994FB7" w:rsidR="000D7A7C">
        <w:t xml:space="preserve">$1,739.25 </w:t>
      </w:r>
      <w:r w:rsidRPr="00994FB7">
        <w:t>in labor costs.</w:t>
      </w:r>
    </w:p>
    <w:p w:rsidR="0013656B" w:rsidRPr="00994FB7" w:rsidP="0013656B" w14:paraId="01A45C3F" w14:textId="634AB4B5">
      <w:pPr>
        <w:tabs>
          <w:tab w:val="left" w:pos="-720"/>
          <w:tab w:val="left" w:pos="540"/>
        </w:tabs>
        <w:ind w:left="720"/>
      </w:pPr>
      <w:r w:rsidRPr="00994FB7">
        <w:fldChar w:fldCharType="begin"/>
      </w:r>
      <w:r w:rsidRPr="00994FB7">
        <w:instrText xml:space="preserve"> REF _Ref231286671 \h </w:instrText>
      </w:r>
      <w:r w:rsidRPr="00994FB7" w:rsidR="00994FB7">
        <w:instrText xml:space="preserve"> \* MERGEFORMAT </w:instrText>
      </w:r>
      <w:r w:rsidRPr="00994FB7">
        <w:fldChar w:fldCharType="separate"/>
      </w:r>
      <w:r w:rsidRPr="00994FB7">
        <w:t xml:space="preserve">Table </w:t>
      </w:r>
      <w:r w:rsidRPr="00994FB7">
        <w:rPr>
          <w:noProof/>
        </w:rPr>
        <w:t>3</w:t>
      </w:r>
      <w:r w:rsidRPr="00994FB7">
        <w:fldChar w:fldCharType="end"/>
      </w:r>
      <w:r w:rsidRPr="00994FB7">
        <w:t xml:space="preserve"> is a </w:t>
      </w:r>
      <w:r w:rsidRPr="00994FB7" w:rsidR="00D674AC">
        <w:t xml:space="preserve">representation of </w:t>
      </w:r>
      <w:r w:rsidRPr="00994FB7">
        <w:t xml:space="preserve">implementation </w:t>
      </w:r>
      <w:r w:rsidRPr="00994FB7" w:rsidR="00D674AC">
        <w:t>and maintenance burden.  The breakdown is</w:t>
      </w:r>
      <w:r w:rsidRPr="00994FB7">
        <w:t xml:space="preserve"> based on information received from every </w:t>
      </w:r>
      <w:r w:rsidRPr="00994FB7" w:rsidR="00C14EF1">
        <w:t xml:space="preserve">SEDC </w:t>
      </w:r>
      <w:r w:rsidRPr="00994FB7" w:rsidR="00D674AC">
        <w:t>grantees’</w:t>
      </w:r>
      <w:r w:rsidRPr="00994FB7">
        <w:t xml:space="preserve"> workplan and budget descriptions. NHTSA estimates </w:t>
      </w:r>
      <w:r w:rsidRPr="00994FB7" w:rsidR="00D674AC">
        <w:t>burden</w:t>
      </w:r>
      <w:r w:rsidRPr="00994FB7">
        <w:t xml:space="preserve"> for development and implementation using actual </w:t>
      </w:r>
      <w:r w:rsidRPr="00994FB7" w:rsidR="00D674AC">
        <w:t xml:space="preserve">labor </w:t>
      </w:r>
      <w:r w:rsidRPr="00994FB7" w:rsidR="00D674AC">
        <w:t>hour</w:t>
      </w:r>
      <w:r w:rsidRPr="00994FB7" w:rsidR="00D674AC">
        <w:t xml:space="preserve"> and cost</w:t>
      </w:r>
      <w:r w:rsidRPr="00994FB7">
        <w:t xml:space="preserve"> breakdowns when available, percent cost commitment, or actual monetary figures provided. Maintenance costs are based on known State maintenance burden reported by Non-SEDC EDT States currently maintaining the EDT protocol. </w:t>
      </w:r>
    </w:p>
    <w:p w:rsidR="00191346" w:rsidRPr="00994FB7" w:rsidP="006C3AAD" w14:paraId="209854E6" w14:textId="7FFCF157">
      <w:pPr>
        <w:pStyle w:val="Caption"/>
        <w:keepNext/>
        <w:rPr>
          <w:rFonts w:eastAsia="Times New Roman" w:cs="Times New Roman"/>
          <w:color w:val="auto"/>
        </w:rPr>
      </w:pPr>
      <w:bookmarkStart w:id="30" w:name="_Ref231286671"/>
      <w:r w:rsidRPr="00994FB7">
        <w:rPr>
          <w:color w:val="auto"/>
        </w:rPr>
        <w:t xml:space="preserve">Table </w:t>
      </w:r>
      <w:r w:rsidRPr="00994FB7">
        <w:rPr>
          <w:color w:val="auto"/>
        </w:rPr>
        <w:fldChar w:fldCharType="begin"/>
      </w:r>
      <w:r w:rsidRPr="00994FB7">
        <w:rPr>
          <w:color w:val="auto"/>
        </w:rPr>
        <w:instrText xml:space="preserve"> SEQ Table \* ARABIC </w:instrText>
      </w:r>
      <w:r w:rsidRPr="00994FB7">
        <w:rPr>
          <w:color w:val="auto"/>
        </w:rPr>
        <w:fldChar w:fldCharType="separate"/>
      </w:r>
      <w:r w:rsidRPr="00994FB7" w:rsidR="00A5297E">
        <w:rPr>
          <w:noProof/>
          <w:color w:val="auto"/>
        </w:rPr>
        <w:t>3</w:t>
      </w:r>
      <w:r w:rsidRPr="00994FB7">
        <w:rPr>
          <w:color w:val="auto"/>
        </w:rPr>
        <w:fldChar w:fldCharType="end"/>
      </w:r>
      <w:bookmarkEnd w:id="30"/>
      <w:r w:rsidRPr="00994FB7">
        <w:rPr>
          <w:color w:val="auto"/>
        </w:rPr>
        <w:t xml:space="preserve">. </w:t>
      </w:r>
      <w:r w:rsidRPr="00994FB7" w:rsidR="007C5CB0">
        <w:rPr>
          <w:rFonts w:eastAsia="Times New Roman" w:cs="Times New Roman"/>
          <w:color w:val="auto"/>
        </w:rPr>
        <w:t xml:space="preserve">Total </w:t>
      </w:r>
      <w:r w:rsidRPr="00994FB7" w:rsidR="00AB2E0F">
        <w:rPr>
          <w:rFonts w:eastAsia="Times New Roman" w:cs="Times New Roman"/>
          <w:color w:val="auto"/>
        </w:rPr>
        <w:t xml:space="preserve">Annual </w:t>
      </w:r>
      <w:r w:rsidRPr="00994FB7" w:rsidR="00D674AC">
        <w:rPr>
          <w:rFonts w:eastAsia="Times New Roman" w:cs="Times New Roman"/>
          <w:color w:val="auto"/>
        </w:rPr>
        <w:t xml:space="preserve">State </w:t>
      </w:r>
      <w:r w:rsidRPr="00994FB7" w:rsidR="007C5CB0">
        <w:rPr>
          <w:rFonts w:eastAsia="Times New Roman" w:cs="Times New Roman"/>
          <w:color w:val="auto"/>
        </w:rPr>
        <w:t xml:space="preserve">Implementation and Maintenance </w:t>
      </w:r>
      <w:r w:rsidRPr="00994FB7" w:rsidR="00D674AC">
        <w:rPr>
          <w:rFonts w:eastAsia="Times New Roman" w:cs="Times New Roman"/>
          <w:color w:val="auto"/>
        </w:rPr>
        <w:t>Burden</w:t>
      </w:r>
    </w:p>
    <w:tbl>
      <w:tblPr>
        <w:tblW w:w="10345" w:type="dxa"/>
        <w:tblLayout w:type="fixed"/>
        <w:tblLook w:val="04A0"/>
      </w:tblPr>
      <w:tblGrid>
        <w:gridCol w:w="1435"/>
        <w:gridCol w:w="1260"/>
        <w:gridCol w:w="1170"/>
        <w:gridCol w:w="990"/>
        <w:gridCol w:w="990"/>
        <w:gridCol w:w="810"/>
        <w:gridCol w:w="1170"/>
        <w:gridCol w:w="1170"/>
        <w:gridCol w:w="1350"/>
      </w:tblGrid>
      <w:tr w14:paraId="741D5EE8" w14:textId="77777777" w:rsidTr="00994FB7">
        <w:tblPrEx>
          <w:tblW w:w="10345" w:type="dxa"/>
          <w:tblLayout w:type="fixed"/>
          <w:tblLook w:val="04A0"/>
        </w:tblPrEx>
        <w:trPr>
          <w:trHeight w:val="1425"/>
        </w:trPr>
        <w:tc>
          <w:tcPr>
            <w:tcW w:w="1435" w:type="dxa"/>
            <w:tcBorders>
              <w:top w:val="single" w:sz="4" w:space="0" w:color="auto"/>
              <w:left w:val="single" w:sz="4" w:space="0" w:color="auto"/>
              <w:bottom w:val="nil"/>
              <w:right w:val="single" w:sz="4" w:space="0" w:color="auto"/>
            </w:tcBorders>
            <w:vAlign w:val="center"/>
            <w:hideMark/>
          </w:tcPr>
          <w:p w:rsidR="00A61867" w:rsidRPr="001504E1" w:rsidP="00A61867" w14:paraId="5E1E65EA" w14:textId="77777777">
            <w:pPr>
              <w:spacing w:after="0" w:line="240" w:lineRule="auto"/>
              <w:jc w:val="center"/>
              <w:rPr>
                <w:rFonts w:ascii="Aptos Narrow" w:eastAsia="Times New Roman" w:hAnsi="Aptos Narrow" w:cs="Times New Roman"/>
                <w:b/>
                <w:bCs/>
                <w:sz w:val="18"/>
                <w:szCs w:val="18"/>
                <w:lang w:eastAsia="zh-CN"/>
              </w:rPr>
            </w:pPr>
            <w:r w:rsidRPr="001504E1">
              <w:rPr>
                <w:rFonts w:ascii="Aptos Narrow" w:eastAsia="Times New Roman" w:hAnsi="Aptos Narrow" w:cs="Times New Roman"/>
                <w:b/>
                <w:bCs/>
                <w:sz w:val="18"/>
                <w:szCs w:val="18"/>
                <w:lang w:eastAsia="zh-CN"/>
              </w:rPr>
              <w:t>Category</w:t>
            </w:r>
          </w:p>
        </w:tc>
        <w:tc>
          <w:tcPr>
            <w:tcW w:w="1260" w:type="dxa"/>
            <w:tcBorders>
              <w:top w:val="single" w:sz="4" w:space="0" w:color="auto"/>
              <w:left w:val="nil"/>
              <w:bottom w:val="nil"/>
              <w:right w:val="single" w:sz="4" w:space="0" w:color="auto"/>
            </w:tcBorders>
            <w:vAlign w:val="center"/>
            <w:hideMark/>
          </w:tcPr>
          <w:p w:rsidR="00A61867" w:rsidRPr="001504E1" w:rsidP="00A61867" w14:paraId="4F38A822" w14:textId="77777777">
            <w:pPr>
              <w:spacing w:after="0" w:line="240" w:lineRule="auto"/>
              <w:jc w:val="center"/>
              <w:rPr>
                <w:rFonts w:ascii="Aptos Narrow" w:eastAsia="Times New Roman" w:hAnsi="Aptos Narrow" w:cs="Times New Roman"/>
                <w:b/>
                <w:bCs/>
                <w:sz w:val="18"/>
                <w:szCs w:val="18"/>
                <w:lang w:eastAsia="zh-CN"/>
              </w:rPr>
            </w:pPr>
            <w:r w:rsidRPr="001504E1">
              <w:rPr>
                <w:rFonts w:ascii="Aptos Narrow" w:eastAsia="Times New Roman" w:hAnsi="Aptos Narrow" w:cs="Times New Roman"/>
                <w:b/>
                <w:bCs/>
                <w:sz w:val="18"/>
                <w:szCs w:val="18"/>
                <w:lang w:eastAsia="zh-CN"/>
              </w:rPr>
              <w:t>Annual Respondents</w:t>
            </w:r>
            <w:r w:rsidRPr="001504E1">
              <w:rPr>
                <w:rFonts w:ascii="Aptos Narrow" w:eastAsia="Times New Roman" w:hAnsi="Aptos Narrow" w:cs="Times New Roman"/>
                <w:b/>
                <w:bCs/>
                <w:sz w:val="18"/>
                <w:szCs w:val="18"/>
                <w:lang w:eastAsia="zh-CN"/>
              </w:rPr>
              <w:br/>
            </w:r>
            <w:r w:rsidRPr="001504E1">
              <w:rPr>
                <w:rFonts w:ascii="Aptos Narrow" w:eastAsia="Times New Roman" w:hAnsi="Aptos Narrow" w:cs="Times New Roman"/>
                <w:b/>
                <w:bCs/>
                <w:sz w:val="18"/>
                <w:szCs w:val="18"/>
                <w:lang w:eastAsia="zh-CN"/>
              </w:rPr>
              <w:t>(States)</w:t>
            </w:r>
          </w:p>
        </w:tc>
        <w:tc>
          <w:tcPr>
            <w:tcW w:w="1170" w:type="dxa"/>
            <w:tcBorders>
              <w:top w:val="single" w:sz="4" w:space="0" w:color="auto"/>
              <w:left w:val="nil"/>
              <w:bottom w:val="nil"/>
              <w:right w:val="single" w:sz="4" w:space="0" w:color="auto"/>
            </w:tcBorders>
            <w:vAlign w:val="center"/>
            <w:hideMark/>
          </w:tcPr>
          <w:p w:rsidR="00A61867" w:rsidRPr="001504E1" w:rsidP="00A61867" w14:paraId="4B97104B" w14:textId="77777777">
            <w:pPr>
              <w:spacing w:after="0" w:line="240" w:lineRule="auto"/>
              <w:jc w:val="center"/>
              <w:rPr>
                <w:rFonts w:ascii="Aptos Narrow" w:eastAsia="Times New Roman" w:hAnsi="Aptos Narrow" w:cs="Times New Roman"/>
                <w:b/>
                <w:bCs/>
                <w:sz w:val="18"/>
                <w:szCs w:val="18"/>
                <w:lang w:eastAsia="zh-CN"/>
              </w:rPr>
            </w:pPr>
            <w:r w:rsidRPr="001504E1">
              <w:rPr>
                <w:rFonts w:ascii="Aptos Narrow" w:eastAsia="Times New Roman" w:hAnsi="Aptos Narrow" w:cs="Times New Roman"/>
                <w:b/>
                <w:bCs/>
                <w:sz w:val="18"/>
                <w:szCs w:val="18"/>
                <w:lang w:eastAsia="zh-CN"/>
              </w:rPr>
              <w:t>Burden Per Respondent</w:t>
            </w:r>
            <w:r w:rsidRPr="001504E1">
              <w:rPr>
                <w:rFonts w:ascii="Aptos Narrow" w:eastAsia="Times New Roman" w:hAnsi="Aptos Narrow" w:cs="Times New Roman"/>
                <w:b/>
                <w:bCs/>
                <w:sz w:val="18"/>
                <w:szCs w:val="18"/>
                <w:lang w:eastAsia="zh-CN"/>
              </w:rPr>
              <w:br/>
            </w:r>
            <w:r w:rsidRPr="001504E1">
              <w:rPr>
                <w:rFonts w:ascii="Aptos Narrow" w:eastAsia="Times New Roman" w:hAnsi="Aptos Narrow" w:cs="Times New Roman"/>
                <w:b/>
                <w:bCs/>
                <w:sz w:val="18"/>
                <w:szCs w:val="18"/>
                <w:lang w:eastAsia="zh-CN"/>
              </w:rPr>
              <w:t>(Hours)</w:t>
            </w:r>
          </w:p>
        </w:tc>
        <w:tc>
          <w:tcPr>
            <w:tcW w:w="990" w:type="dxa"/>
            <w:tcBorders>
              <w:top w:val="single" w:sz="4" w:space="0" w:color="auto"/>
              <w:left w:val="nil"/>
              <w:bottom w:val="nil"/>
              <w:right w:val="nil"/>
            </w:tcBorders>
            <w:vAlign w:val="center"/>
            <w:hideMark/>
          </w:tcPr>
          <w:p w:rsidR="00A61867" w:rsidRPr="001504E1" w:rsidP="00A61867" w14:paraId="3FD8135C" w14:textId="77777777">
            <w:pPr>
              <w:spacing w:after="0" w:line="240" w:lineRule="auto"/>
              <w:jc w:val="center"/>
              <w:rPr>
                <w:rFonts w:ascii="Aptos Narrow" w:eastAsia="Times New Roman" w:hAnsi="Aptos Narrow" w:cs="Times New Roman"/>
                <w:b/>
                <w:bCs/>
                <w:sz w:val="18"/>
                <w:szCs w:val="18"/>
                <w:lang w:eastAsia="zh-CN"/>
              </w:rPr>
            </w:pPr>
            <w:r w:rsidRPr="001504E1">
              <w:rPr>
                <w:rFonts w:ascii="Aptos Narrow" w:eastAsia="Times New Roman" w:hAnsi="Aptos Narrow" w:cs="Times New Roman"/>
                <w:b/>
                <w:bCs/>
                <w:sz w:val="18"/>
                <w:szCs w:val="18"/>
                <w:lang w:eastAsia="zh-CN"/>
              </w:rPr>
              <w:t>Annual Total Burden Hours</w:t>
            </w:r>
          </w:p>
          <w:p w:rsidR="00205087" w:rsidRPr="001504E1" w:rsidP="00A61867" w14:paraId="7D58F551" w14:textId="277E5483">
            <w:pPr>
              <w:spacing w:after="0" w:line="240" w:lineRule="auto"/>
              <w:jc w:val="center"/>
              <w:rPr>
                <w:rFonts w:ascii="Aptos Narrow" w:eastAsia="Times New Roman" w:hAnsi="Aptos Narrow" w:cs="Times New Roman"/>
                <w:b/>
                <w:bCs/>
                <w:sz w:val="18"/>
                <w:szCs w:val="18"/>
                <w:lang w:eastAsia="zh-CN"/>
              </w:rPr>
            </w:pPr>
            <w:r w:rsidRPr="001504E1">
              <w:rPr>
                <w:rFonts w:ascii="Aptos Narrow" w:eastAsia="Times New Roman" w:hAnsi="Aptos Narrow" w:cs="Times New Roman"/>
                <w:b/>
                <w:bCs/>
                <w:sz w:val="18"/>
                <w:szCs w:val="18"/>
                <w:lang w:eastAsia="zh-CN"/>
              </w:rPr>
              <w:t>(Hours)</w:t>
            </w:r>
          </w:p>
        </w:tc>
        <w:tc>
          <w:tcPr>
            <w:tcW w:w="990" w:type="dxa"/>
            <w:tcBorders>
              <w:top w:val="single" w:sz="4" w:space="0" w:color="000000" w:themeColor="text1"/>
              <w:left w:val="single" w:sz="4" w:space="0" w:color="000000" w:themeColor="text1"/>
              <w:bottom w:val="nil"/>
              <w:right w:val="single" w:sz="4" w:space="0" w:color="000000" w:themeColor="text1"/>
            </w:tcBorders>
            <w:vAlign w:val="center"/>
            <w:hideMark/>
          </w:tcPr>
          <w:p w:rsidR="00A61867" w:rsidRPr="001504E1" w:rsidP="00A61867" w14:paraId="00BD86B4" w14:textId="77777777">
            <w:pPr>
              <w:spacing w:after="0" w:line="240" w:lineRule="auto"/>
              <w:jc w:val="center"/>
              <w:rPr>
                <w:rFonts w:ascii="Aptos Narrow" w:eastAsia="Times New Roman" w:hAnsi="Aptos Narrow" w:cs="Times New Roman"/>
                <w:b/>
                <w:bCs/>
                <w:sz w:val="18"/>
                <w:szCs w:val="18"/>
                <w:lang w:eastAsia="zh-CN"/>
              </w:rPr>
            </w:pPr>
            <w:r w:rsidRPr="001504E1">
              <w:rPr>
                <w:rFonts w:ascii="Aptos Narrow" w:eastAsia="Times New Roman" w:hAnsi="Aptos Narrow" w:cs="Times New Roman"/>
                <w:b/>
                <w:bCs/>
                <w:sz w:val="18"/>
                <w:szCs w:val="18"/>
                <w:lang w:eastAsia="zh-CN"/>
              </w:rPr>
              <w:t xml:space="preserve"> Labor Rate w/o Overhead </w:t>
            </w:r>
          </w:p>
          <w:p w:rsidR="00205087" w:rsidRPr="001504E1" w:rsidP="00A61867" w14:paraId="58C83017" w14:textId="107F4114">
            <w:pPr>
              <w:spacing w:after="0" w:line="240" w:lineRule="auto"/>
              <w:jc w:val="center"/>
              <w:rPr>
                <w:rFonts w:ascii="Aptos Narrow" w:eastAsia="Times New Roman" w:hAnsi="Aptos Narrow" w:cs="Times New Roman"/>
                <w:b/>
                <w:bCs/>
                <w:sz w:val="18"/>
                <w:szCs w:val="18"/>
                <w:lang w:eastAsia="zh-CN"/>
              </w:rPr>
            </w:pPr>
            <w:r w:rsidRPr="001504E1">
              <w:rPr>
                <w:rFonts w:ascii="Aptos Narrow" w:eastAsia="Times New Roman" w:hAnsi="Aptos Narrow" w:cs="Times New Roman"/>
                <w:b/>
                <w:bCs/>
                <w:sz w:val="18"/>
                <w:szCs w:val="18"/>
                <w:lang w:eastAsia="zh-CN"/>
              </w:rPr>
              <w:t>($)</w:t>
            </w:r>
          </w:p>
        </w:tc>
        <w:tc>
          <w:tcPr>
            <w:tcW w:w="810" w:type="dxa"/>
            <w:tcBorders>
              <w:top w:val="single" w:sz="4" w:space="0" w:color="auto"/>
              <w:left w:val="nil"/>
              <w:bottom w:val="nil"/>
              <w:right w:val="single" w:sz="4" w:space="0" w:color="auto"/>
            </w:tcBorders>
            <w:vAlign w:val="center"/>
            <w:hideMark/>
          </w:tcPr>
          <w:p w:rsidR="00A61867" w:rsidRPr="001504E1" w:rsidP="00A61867" w14:paraId="12E9D260" w14:textId="77777777">
            <w:pPr>
              <w:spacing w:after="0" w:line="240" w:lineRule="auto"/>
              <w:jc w:val="center"/>
              <w:rPr>
                <w:rFonts w:ascii="Aptos Narrow" w:eastAsia="Times New Roman" w:hAnsi="Aptos Narrow" w:cs="Times New Roman"/>
                <w:b/>
                <w:bCs/>
                <w:sz w:val="18"/>
                <w:szCs w:val="18"/>
                <w:lang w:eastAsia="zh-CN"/>
              </w:rPr>
            </w:pPr>
            <w:r w:rsidRPr="001504E1">
              <w:rPr>
                <w:rFonts w:ascii="Aptos Narrow" w:eastAsia="Times New Roman" w:hAnsi="Aptos Narrow" w:cs="Times New Roman"/>
                <w:b/>
                <w:bCs/>
                <w:sz w:val="18"/>
                <w:szCs w:val="18"/>
                <w:lang w:eastAsia="zh-CN"/>
              </w:rPr>
              <w:t>Overhead Rate</w:t>
            </w:r>
            <w:r w:rsidRPr="001504E1">
              <w:rPr>
                <w:rFonts w:ascii="Aptos Narrow" w:eastAsia="Times New Roman" w:hAnsi="Aptos Narrow" w:cs="Times New Roman"/>
                <w:b/>
                <w:bCs/>
                <w:sz w:val="18"/>
                <w:szCs w:val="18"/>
                <w:lang w:eastAsia="zh-CN"/>
              </w:rPr>
              <w:br/>
            </w:r>
            <w:r w:rsidRPr="001504E1">
              <w:rPr>
                <w:rFonts w:ascii="Aptos Narrow" w:eastAsia="Times New Roman" w:hAnsi="Aptos Narrow" w:cs="Times New Roman"/>
                <w:b/>
                <w:bCs/>
                <w:sz w:val="18"/>
                <w:szCs w:val="18"/>
                <w:lang w:eastAsia="zh-CN"/>
              </w:rPr>
              <w:t>(%)</w:t>
            </w:r>
          </w:p>
        </w:tc>
        <w:tc>
          <w:tcPr>
            <w:tcW w:w="1170" w:type="dxa"/>
            <w:tcBorders>
              <w:top w:val="single" w:sz="4" w:space="0" w:color="auto"/>
              <w:left w:val="nil"/>
              <w:bottom w:val="nil"/>
              <w:right w:val="single" w:sz="4" w:space="0" w:color="auto"/>
            </w:tcBorders>
            <w:vAlign w:val="center"/>
            <w:hideMark/>
          </w:tcPr>
          <w:p w:rsidR="00A61867" w:rsidRPr="001504E1" w:rsidP="00A61867" w14:paraId="2F38758F" w14:textId="77777777">
            <w:pPr>
              <w:spacing w:after="0" w:line="240" w:lineRule="auto"/>
              <w:jc w:val="center"/>
              <w:rPr>
                <w:rFonts w:ascii="Aptos Narrow" w:eastAsia="Times New Roman" w:hAnsi="Aptos Narrow" w:cs="Times New Roman"/>
                <w:b/>
                <w:bCs/>
                <w:sz w:val="18"/>
                <w:szCs w:val="18"/>
                <w:lang w:eastAsia="zh-CN"/>
              </w:rPr>
            </w:pPr>
            <w:r w:rsidRPr="001504E1">
              <w:rPr>
                <w:rFonts w:ascii="Aptos Narrow" w:eastAsia="Times New Roman" w:hAnsi="Aptos Narrow" w:cs="Times New Roman"/>
                <w:b/>
                <w:bCs/>
                <w:sz w:val="18"/>
                <w:szCs w:val="18"/>
                <w:lang w:eastAsia="zh-CN"/>
              </w:rPr>
              <w:t>Labor Rate w/Overhead</w:t>
            </w:r>
            <w:r w:rsidRPr="001504E1">
              <w:rPr>
                <w:rFonts w:ascii="Aptos Narrow" w:eastAsia="Times New Roman" w:hAnsi="Aptos Narrow" w:cs="Times New Roman"/>
                <w:b/>
                <w:bCs/>
                <w:sz w:val="18"/>
                <w:szCs w:val="18"/>
                <w:lang w:eastAsia="zh-CN"/>
              </w:rPr>
              <w:br/>
            </w:r>
            <w:r w:rsidRPr="001504E1">
              <w:rPr>
                <w:rFonts w:ascii="Aptos Narrow" w:eastAsia="Times New Roman" w:hAnsi="Aptos Narrow" w:cs="Times New Roman"/>
                <w:b/>
                <w:bCs/>
                <w:sz w:val="18"/>
                <w:szCs w:val="18"/>
                <w:lang w:eastAsia="zh-CN"/>
              </w:rPr>
              <w:t>($)</w:t>
            </w:r>
          </w:p>
        </w:tc>
        <w:tc>
          <w:tcPr>
            <w:tcW w:w="1170" w:type="dxa"/>
            <w:tcBorders>
              <w:top w:val="single" w:sz="4" w:space="0" w:color="auto"/>
              <w:left w:val="nil"/>
              <w:bottom w:val="nil"/>
              <w:right w:val="single" w:sz="4" w:space="0" w:color="auto"/>
            </w:tcBorders>
            <w:vAlign w:val="center"/>
            <w:hideMark/>
          </w:tcPr>
          <w:p w:rsidR="00A61867" w:rsidRPr="001504E1" w:rsidP="61DDEE15" w14:paraId="2402A9C5" w14:textId="77777777">
            <w:pPr>
              <w:spacing w:after="0" w:line="240" w:lineRule="auto"/>
              <w:jc w:val="center"/>
              <w:rPr>
                <w:rFonts w:ascii="Aptos Narrow" w:eastAsia="Times New Roman" w:hAnsi="Aptos Narrow" w:cs="Times New Roman"/>
                <w:b/>
                <w:bCs/>
                <w:sz w:val="18"/>
                <w:szCs w:val="18"/>
                <w:lang w:eastAsia="zh-CN"/>
              </w:rPr>
            </w:pPr>
            <w:r w:rsidRPr="001504E1">
              <w:rPr>
                <w:rFonts w:ascii="Aptos Narrow" w:eastAsia="Times New Roman" w:hAnsi="Aptos Narrow" w:cs="Times New Roman"/>
                <w:b/>
                <w:bCs/>
                <w:sz w:val="18"/>
                <w:szCs w:val="18"/>
                <w:lang w:eastAsia="zh-CN"/>
              </w:rPr>
              <w:t xml:space="preserve">Burden Cost Per Respondent </w:t>
            </w:r>
            <w:r w:rsidRPr="00994FB7" w:rsidR="38407A8B">
              <w:br/>
            </w:r>
            <w:r w:rsidRPr="001504E1">
              <w:rPr>
                <w:rFonts w:ascii="Aptos Narrow" w:eastAsia="Times New Roman" w:hAnsi="Aptos Narrow" w:cs="Times New Roman"/>
                <w:b/>
                <w:bCs/>
                <w:sz w:val="18"/>
                <w:szCs w:val="18"/>
                <w:lang w:eastAsia="zh-CN"/>
              </w:rPr>
              <w:t>($)</w:t>
            </w:r>
          </w:p>
        </w:tc>
        <w:tc>
          <w:tcPr>
            <w:tcW w:w="1350" w:type="dxa"/>
            <w:tcBorders>
              <w:top w:val="single" w:sz="4" w:space="0" w:color="auto"/>
              <w:left w:val="nil"/>
              <w:bottom w:val="nil"/>
              <w:right w:val="single" w:sz="4" w:space="0" w:color="auto"/>
            </w:tcBorders>
            <w:vAlign w:val="center"/>
            <w:hideMark/>
          </w:tcPr>
          <w:p w:rsidR="00A61867" w:rsidRPr="001504E1" w:rsidP="61DDEE15" w14:paraId="1537B499" w14:textId="0CACB088">
            <w:pPr>
              <w:spacing w:after="0" w:line="240" w:lineRule="auto"/>
              <w:jc w:val="center"/>
              <w:rPr>
                <w:rFonts w:ascii="Aptos Narrow" w:eastAsia="Times New Roman" w:hAnsi="Aptos Narrow" w:cs="Times New Roman"/>
                <w:b/>
                <w:bCs/>
                <w:sz w:val="18"/>
                <w:szCs w:val="18"/>
                <w:lang w:eastAsia="zh-CN"/>
              </w:rPr>
            </w:pPr>
            <w:r w:rsidRPr="001504E1">
              <w:rPr>
                <w:rFonts w:ascii="Aptos Narrow" w:eastAsia="Times New Roman" w:hAnsi="Aptos Narrow" w:cs="Times New Roman"/>
                <w:b/>
                <w:bCs/>
                <w:sz w:val="18"/>
                <w:szCs w:val="18"/>
                <w:lang w:eastAsia="zh-CN"/>
              </w:rPr>
              <w:t xml:space="preserve">Total </w:t>
            </w:r>
            <w:r w:rsidRPr="001504E1" w:rsidR="0FF9A1FD">
              <w:rPr>
                <w:rFonts w:ascii="Aptos Narrow" w:eastAsia="Times New Roman" w:hAnsi="Aptos Narrow" w:cs="Times New Roman"/>
                <w:b/>
                <w:bCs/>
                <w:sz w:val="18"/>
                <w:szCs w:val="18"/>
                <w:lang w:eastAsia="zh-CN"/>
              </w:rPr>
              <w:t>Labor</w:t>
            </w:r>
            <w:r w:rsidRPr="001504E1">
              <w:rPr>
                <w:rFonts w:ascii="Aptos Narrow" w:eastAsia="Times New Roman" w:hAnsi="Aptos Narrow" w:cs="Times New Roman"/>
                <w:b/>
                <w:bCs/>
                <w:sz w:val="18"/>
                <w:szCs w:val="18"/>
                <w:lang w:eastAsia="zh-CN"/>
              </w:rPr>
              <w:t xml:space="preserve"> Cost</w:t>
            </w:r>
            <w:r w:rsidRPr="00994FB7">
              <w:br/>
            </w:r>
            <w:r w:rsidRPr="001504E1">
              <w:rPr>
                <w:rFonts w:ascii="Aptos Narrow" w:eastAsia="Times New Roman" w:hAnsi="Aptos Narrow" w:cs="Times New Roman"/>
                <w:b/>
                <w:bCs/>
                <w:sz w:val="18"/>
                <w:szCs w:val="18"/>
                <w:lang w:eastAsia="zh-CN"/>
              </w:rPr>
              <w:t>($)</w:t>
            </w:r>
          </w:p>
        </w:tc>
      </w:tr>
      <w:tr w14:paraId="1DD187E5" w14:textId="77777777" w:rsidTr="00994FB7">
        <w:tblPrEx>
          <w:tblW w:w="10345" w:type="dxa"/>
          <w:tblLayout w:type="fixed"/>
          <w:tblLook w:val="04A0"/>
        </w:tblPrEx>
        <w:trPr>
          <w:trHeight w:val="300"/>
        </w:trPr>
        <w:tc>
          <w:tcPr>
            <w:tcW w:w="1435" w:type="dxa"/>
            <w:tcBorders>
              <w:top w:val="single" w:sz="4" w:space="0" w:color="auto"/>
              <w:left w:val="single" w:sz="4" w:space="0" w:color="auto"/>
              <w:bottom w:val="single" w:sz="4" w:space="0" w:color="auto"/>
              <w:right w:val="single" w:sz="4" w:space="0" w:color="auto"/>
            </w:tcBorders>
            <w:noWrap/>
            <w:vAlign w:val="bottom"/>
            <w:hideMark/>
          </w:tcPr>
          <w:p w:rsidR="00A61867" w:rsidRPr="001504E1" w:rsidP="00A61867" w14:paraId="582D4399" w14:textId="77777777">
            <w:pPr>
              <w:spacing w:after="0" w:line="240" w:lineRule="auto"/>
              <w:rPr>
                <w:rFonts w:ascii="Aptos Narrow" w:eastAsia="Times New Roman" w:hAnsi="Aptos Narrow" w:cs="Times New Roman"/>
                <w:b/>
                <w:bCs/>
                <w:sz w:val="18"/>
                <w:szCs w:val="18"/>
                <w:lang w:eastAsia="zh-CN"/>
              </w:rPr>
            </w:pPr>
            <w:r w:rsidRPr="001504E1">
              <w:rPr>
                <w:rFonts w:ascii="Aptos Narrow" w:eastAsia="Times New Roman" w:hAnsi="Aptos Narrow" w:cs="Times New Roman"/>
                <w:b/>
                <w:bCs/>
                <w:sz w:val="18"/>
                <w:szCs w:val="18"/>
                <w:lang w:eastAsia="zh-CN"/>
              </w:rPr>
              <w:t>Non-SEDC Implementation</w:t>
            </w:r>
          </w:p>
        </w:tc>
        <w:tc>
          <w:tcPr>
            <w:tcW w:w="1260" w:type="dxa"/>
            <w:tcBorders>
              <w:top w:val="single" w:sz="4" w:space="0" w:color="auto"/>
              <w:left w:val="nil"/>
              <w:bottom w:val="single" w:sz="4" w:space="0" w:color="auto"/>
              <w:right w:val="single" w:sz="4" w:space="0" w:color="auto"/>
            </w:tcBorders>
            <w:noWrap/>
            <w:vAlign w:val="center"/>
            <w:hideMark/>
          </w:tcPr>
          <w:p w:rsidR="00A61867" w:rsidRPr="001504E1" w:rsidP="00A61867" w14:paraId="5B8736D9" w14:textId="77777777">
            <w:pPr>
              <w:spacing w:after="0" w:line="240" w:lineRule="auto"/>
              <w:jc w:val="center"/>
              <w:rPr>
                <w:rFonts w:ascii="Aptos Narrow" w:eastAsia="Times New Roman" w:hAnsi="Aptos Narrow" w:cs="Times New Roman"/>
                <w:sz w:val="18"/>
                <w:szCs w:val="18"/>
                <w:lang w:eastAsia="zh-CN"/>
              </w:rPr>
            </w:pPr>
            <w:r w:rsidRPr="001504E1">
              <w:rPr>
                <w:rFonts w:ascii="Aptos Narrow" w:eastAsia="Times New Roman" w:hAnsi="Aptos Narrow" w:cs="Times New Roman"/>
                <w:sz w:val="18"/>
                <w:szCs w:val="18"/>
                <w:lang w:eastAsia="zh-CN"/>
              </w:rPr>
              <w:t>1</w:t>
            </w:r>
          </w:p>
        </w:tc>
        <w:tc>
          <w:tcPr>
            <w:tcW w:w="1170" w:type="dxa"/>
            <w:tcBorders>
              <w:top w:val="single" w:sz="4" w:space="0" w:color="auto"/>
              <w:left w:val="nil"/>
              <w:bottom w:val="single" w:sz="4" w:space="0" w:color="auto"/>
              <w:right w:val="single" w:sz="4" w:space="0" w:color="auto"/>
            </w:tcBorders>
            <w:noWrap/>
            <w:vAlign w:val="bottom"/>
            <w:hideMark/>
          </w:tcPr>
          <w:p w:rsidR="00A61867" w:rsidRPr="001504E1" w:rsidP="00A61867" w14:paraId="6D4FFCBE" w14:textId="77777777">
            <w:pPr>
              <w:spacing w:after="0" w:line="240" w:lineRule="auto"/>
              <w:jc w:val="center"/>
              <w:rPr>
                <w:rFonts w:ascii="Aptos Narrow" w:eastAsia="Times New Roman" w:hAnsi="Aptos Narrow" w:cs="Times New Roman"/>
                <w:sz w:val="18"/>
                <w:szCs w:val="18"/>
                <w:lang w:eastAsia="zh-CN"/>
              </w:rPr>
            </w:pPr>
            <w:r w:rsidRPr="001504E1">
              <w:rPr>
                <w:rFonts w:ascii="Aptos Narrow" w:eastAsia="Times New Roman" w:hAnsi="Aptos Narrow" w:cs="Times New Roman"/>
                <w:sz w:val="18"/>
                <w:szCs w:val="18"/>
                <w:lang w:eastAsia="zh-CN"/>
              </w:rPr>
              <w:t>150</w:t>
            </w:r>
          </w:p>
        </w:tc>
        <w:tc>
          <w:tcPr>
            <w:tcW w:w="990" w:type="dxa"/>
            <w:tcBorders>
              <w:top w:val="single" w:sz="4" w:space="0" w:color="auto"/>
              <w:left w:val="nil"/>
              <w:bottom w:val="single" w:sz="4" w:space="0" w:color="auto"/>
              <w:right w:val="single" w:sz="4" w:space="0" w:color="auto"/>
            </w:tcBorders>
            <w:noWrap/>
            <w:vAlign w:val="bottom"/>
            <w:hideMark/>
          </w:tcPr>
          <w:p w:rsidR="00A61867" w:rsidRPr="001504E1" w:rsidP="00A61867" w14:paraId="30A00407" w14:textId="77777777">
            <w:pPr>
              <w:spacing w:after="0" w:line="240" w:lineRule="auto"/>
              <w:jc w:val="center"/>
              <w:rPr>
                <w:rFonts w:ascii="Aptos Narrow" w:eastAsia="Times New Roman" w:hAnsi="Aptos Narrow" w:cs="Times New Roman"/>
                <w:sz w:val="18"/>
                <w:szCs w:val="18"/>
                <w:lang w:eastAsia="zh-CN"/>
              </w:rPr>
            </w:pPr>
            <w:r w:rsidRPr="001504E1">
              <w:rPr>
                <w:rFonts w:ascii="Aptos Narrow" w:eastAsia="Times New Roman" w:hAnsi="Aptos Narrow" w:cs="Times New Roman"/>
                <w:sz w:val="18"/>
                <w:szCs w:val="18"/>
                <w:lang w:eastAsia="zh-CN"/>
              </w:rPr>
              <w:t>150</w:t>
            </w:r>
          </w:p>
        </w:tc>
        <w:tc>
          <w:tcPr>
            <w:tcW w:w="990" w:type="dxa"/>
            <w:tcBorders>
              <w:top w:val="single" w:sz="4" w:space="0" w:color="auto"/>
              <w:left w:val="nil"/>
              <w:bottom w:val="single" w:sz="4" w:space="0" w:color="auto"/>
              <w:right w:val="single" w:sz="4" w:space="0" w:color="auto"/>
            </w:tcBorders>
            <w:noWrap/>
            <w:vAlign w:val="bottom"/>
            <w:hideMark/>
          </w:tcPr>
          <w:p w:rsidR="00A61867" w:rsidRPr="001504E1" w:rsidP="00A61867" w14:paraId="05C755E4" w14:textId="77777777">
            <w:pPr>
              <w:spacing w:after="0" w:line="240" w:lineRule="auto"/>
              <w:jc w:val="center"/>
              <w:rPr>
                <w:rFonts w:ascii="Aptos Narrow" w:eastAsia="Times New Roman" w:hAnsi="Aptos Narrow" w:cs="Times New Roman"/>
                <w:sz w:val="18"/>
                <w:szCs w:val="18"/>
                <w:lang w:eastAsia="zh-CN"/>
              </w:rPr>
            </w:pPr>
            <w:r w:rsidRPr="001504E1">
              <w:rPr>
                <w:rFonts w:ascii="Aptos Narrow" w:eastAsia="Times New Roman" w:hAnsi="Aptos Narrow" w:cs="Times New Roman"/>
                <w:sz w:val="18"/>
                <w:szCs w:val="18"/>
                <w:lang w:eastAsia="zh-CN"/>
              </w:rPr>
              <w:t xml:space="preserve">$71.54 </w:t>
            </w:r>
          </w:p>
        </w:tc>
        <w:tc>
          <w:tcPr>
            <w:tcW w:w="810" w:type="dxa"/>
            <w:tcBorders>
              <w:top w:val="single" w:sz="4" w:space="0" w:color="auto"/>
              <w:left w:val="nil"/>
              <w:bottom w:val="single" w:sz="4" w:space="0" w:color="auto"/>
              <w:right w:val="single" w:sz="4" w:space="0" w:color="auto"/>
            </w:tcBorders>
            <w:noWrap/>
            <w:vAlign w:val="bottom"/>
            <w:hideMark/>
          </w:tcPr>
          <w:p w:rsidR="00A61867" w:rsidRPr="001504E1" w:rsidP="00A61867" w14:paraId="4B36BB08" w14:textId="77777777">
            <w:pPr>
              <w:spacing w:after="0" w:line="240" w:lineRule="auto"/>
              <w:jc w:val="center"/>
              <w:rPr>
                <w:rFonts w:ascii="Aptos Narrow" w:eastAsia="Times New Roman" w:hAnsi="Aptos Narrow" w:cs="Times New Roman"/>
                <w:sz w:val="18"/>
                <w:szCs w:val="18"/>
                <w:lang w:eastAsia="zh-CN"/>
              </w:rPr>
            </w:pPr>
            <w:r w:rsidRPr="001504E1">
              <w:rPr>
                <w:rFonts w:ascii="Aptos Narrow" w:eastAsia="Times New Roman" w:hAnsi="Aptos Narrow" w:cs="Times New Roman"/>
                <w:sz w:val="18"/>
                <w:szCs w:val="18"/>
                <w:lang w:eastAsia="zh-CN"/>
              </w:rPr>
              <w:t>61.70%</w:t>
            </w:r>
          </w:p>
        </w:tc>
        <w:tc>
          <w:tcPr>
            <w:tcW w:w="1170" w:type="dxa"/>
            <w:tcBorders>
              <w:top w:val="single" w:sz="4" w:space="0" w:color="auto"/>
              <w:left w:val="nil"/>
              <w:bottom w:val="single" w:sz="4" w:space="0" w:color="auto"/>
              <w:right w:val="single" w:sz="4" w:space="0" w:color="auto"/>
            </w:tcBorders>
            <w:noWrap/>
            <w:vAlign w:val="bottom"/>
            <w:hideMark/>
          </w:tcPr>
          <w:p w:rsidR="00A61867" w:rsidRPr="001504E1" w:rsidP="00A61867" w14:paraId="0DB20C62" w14:textId="77777777">
            <w:pPr>
              <w:spacing w:after="0" w:line="240" w:lineRule="auto"/>
              <w:jc w:val="center"/>
              <w:rPr>
                <w:rFonts w:ascii="Aptos Narrow" w:eastAsia="Times New Roman" w:hAnsi="Aptos Narrow" w:cs="Times New Roman"/>
                <w:sz w:val="18"/>
                <w:szCs w:val="18"/>
                <w:lang w:eastAsia="zh-CN"/>
              </w:rPr>
            </w:pPr>
            <w:r w:rsidRPr="001504E1">
              <w:rPr>
                <w:rFonts w:ascii="Aptos Narrow" w:eastAsia="Times New Roman" w:hAnsi="Aptos Narrow" w:cs="Times New Roman"/>
                <w:sz w:val="18"/>
                <w:szCs w:val="18"/>
                <w:lang w:eastAsia="zh-CN"/>
              </w:rPr>
              <w:t xml:space="preserve">$115.95 </w:t>
            </w:r>
          </w:p>
        </w:tc>
        <w:tc>
          <w:tcPr>
            <w:tcW w:w="1170" w:type="dxa"/>
            <w:tcBorders>
              <w:top w:val="single" w:sz="4" w:space="0" w:color="auto"/>
              <w:left w:val="nil"/>
              <w:bottom w:val="single" w:sz="4" w:space="0" w:color="auto"/>
              <w:right w:val="single" w:sz="4" w:space="0" w:color="auto"/>
            </w:tcBorders>
            <w:noWrap/>
            <w:vAlign w:val="bottom"/>
            <w:hideMark/>
          </w:tcPr>
          <w:p w:rsidR="00A61867" w:rsidRPr="001504E1" w:rsidP="00A61867" w14:paraId="0291C35A" w14:textId="77777777">
            <w:pPr>
              <w:spacing w:after="0" w:line="240" w:lineRule="auto"/>
              <w:jc w:val="center"/>
              <w:rPr>
                <w:rFonts w:ascii="Aptos Narrow" w:eastAsia="Times New Roman" w:hAnsi="Aptos Narrow" w:cs="Times New Roman"/>
                <w:sz w:val="18"/>
                <w:szCs w:val="18"/>
                <w:lang w:eastAsia="zh-CN"/>
              </w:rPr>
            </w:pPr>
            <w:r w:rsidRPr="001504E1">
              <w:rPr>
                <w:rFonts w:ascii="Aptos Narrow" w:eastAsia="Times New Roman" w:hAnsi="Aptos Narrow" w:cs="Times New Roman"/>
                <w:sz w:val="18"/>
                <w:szCs w:val="18"/>
                <w:lang w:eastAsia="zh-CN"/>
              </w:rPr>
              <w:t xml:space="preserve">$17,392.50 </w:t>
            </w:r>
          </w:p>
        </w:tc>
        <w:tc>
          <w:tcPr>
            <w:tcW w:w="1350" w:type="dxa"/>
            <w:tcBorders>
              <w:top w:val="single" w:sz="4" w:space="0" w:color="auto"/>
              <w:left w:val="nil"/>
              <w:bottom w:val="single" w:sz="4" w:space="0" w:color="auto"/>
              <w:right w:val="single" w:sz="4" w:space="0" w:color="auto"/>
            </w:tcBorders>
            <w:noWrap/>
            <w:vAlign w:val="bottom"/>
            <w:hideMark/>
          </w:tcPr>
          <w:p w:rsidR="00A61867" w:rsidRPr="001504E1" w:rsidP="00A61867" w14:paraId="2D000C91" w14:textId="77777777">
            <w:pPr>
              <w:spacing w:after="0" w:line="240" w:lineRule="auto"/>
              <w:jc w:val="center"/>
              <w:rPr>
                <w:rFonts w:ascii="Aptos Narrow" w:eastAsia="Times New Roman" w:hAnsi="Aptos Narrow" w:cs="Times New Roman"/>
                <w:sz w:val="18"/>
                <w:szCs w:val="18"/>
                <w:lang w:eastAsia="zh-CN"/>
              </w:rPr>
            </w:pPr>
            <w:r w:rsidRPr="001504E1">
              <w:rPr>
                <w:rFonts w:ascii="Aptos Narrow" w:eastAsia="Times New Roman" w:hAnsi="Aptos Narrow" w:cs="Times New Roman"/>
                <w:sz w:val="18"/>
                <w:szCs w:val="18"/>
                <w:lang w:eastAsia="zh-CN"/>
              </w:rPr>
              <w:t xml:space="preserve">$17,392.50 </w:t>
            </w:r>
          </w:p>
        </w:tc>
      </w:tr>
      <w:tr w14:paraId="620C1CEE" w14:textId="77777777" w:rsidTr="00994FB7">
        <w:tblPrEx>
          <w:tblW w:w="10345" w:type="dxa"/>
          <w:tblLayout w:type="fixed"/>
          <w:tblLook w:val="04A0"/>
        </w:tblPrEx>
        <w:trPr>
          <w:trHeight w:val="300"/>
        </w:trPr>
        <w:tc>
          <w:tcPr>
            <w:tcW w:w="1435" w:type="dxa"/>
            <w:tcBorders>
              <w:top w:val="nil"/>
              <w:left w:val="single" w:sz="4" w:space="0" w:color="auto"/>
              <w:bottom w:val="single" w:sz="4" w:space="0" w:color="auto"/>
              <w:right w:val="single" w:sz="4" w:space="0" w:color="auto"/>
            </w:tcBorders>
            <w:noWrap/>
            <w:vAlign w:val="bottom"/>
            <w:hideMark/>
          </w:tcPr>
          <w:p w:rsidR="00A61867" w:rsidRPr="001504E1" w:rsidP="00A61867" w14:paraId="69C7898D" w14:textId="77777777">
            <w:pPr>
              <w:spacing w:after="0" w:line="240" w:lineRule="auto"/>
              <w:rPr>
                <w:rFonts w:ascii="Aptos Narrow" w:eastAsia="Times New Roman" w:hAnsi="Aptos Narrow" w:cs="Times New Roman"/>
                <w:b/>
                <w:bCs/>
                <w:sz w:val="18"/>
                <w:szCs w:val="18"/>
                <w:lang w:eastAsia="zh-CN"/>
              </w:rPr>
            </w:pPr>
            <w:r w:rsidRPr="001504E1">
              <w:rPr>
                <w:rFonts w:ascii="Aptos Narrow" w:eastAsia="Times New Roman" w:hAnsi="Aptos Narrow" w:cs="Times New Roman"/>
                <w:b/>
                <w:bCs/>
                <w:sz w:val="18"/>
                <w:szCs w:val="18"/>
                <w:lang w:eastAsia="zh-CN"/>
              </w:rPr>
              <w:t>Non-SEDC Maintenance</w:t>
            </w:r>
          </w:p>
        </w:tc>
        <w:tc>
          <w:tcPr>
            <w:tcW w:w="1260" w:type="dxa"/>
            <w:tcBorders>
              <w:top w:val="nil"/>
              <w:left w:val="nil"/>
              <w:bottom w:val="single" w:sz="4" w:space="0" w:color="auto"/>
              <w:right w:val="single" w:sz="4" w:space="0" w:color="auto"/>
            </w:tcBorders>
            <w:noWrap/>
            <w:vAlign w:val="center"/>
            <w:hideMark/>
          </w:tcPr>
          <w:p w:rsidR="00A61867" w:rsidRPr="001504E1" w:rsidP="00A61867" w14:paraId="26F4C65C" w14:textId="6700AEC5">
            <w:pPr>
              <w:spacing w:after="0" w:line="240" w:lineRule="auto"/>
              <w:jc w:val="center"/>
              <w:rPr>
                <w:rFonts w:ascii="Aptos Narrow" w:eastAsia="Times New Roman" w:hAnsi="Aptos Narrow" w:cs="Times New Roman"/>
                <w:sz w:val="18"/>
                <w:szCs w:val="18"/>
                <w:lang w:eastAsia="zh-CN"/>
              </w:rPr>
            </w:pPr>
            <w:r w:rsidRPr="001504E1">
              <w:rPr>
                <w:rFonts w:ascii="Aptos Narrow" w:eastAsia="Times New Roman" w:hAnsi="Aptos Narrow" w:cs="Times New Roman"/>
                <w:sz w:val="18"/>
                <w:szCs w:val="18"/>
                <w:lang w:eastAsia="zh-CN"/>
              </w:rPr>
              <w:t>2</w:t>
            </w:r>
            <w:r w:rsidRPr="001504E1">
              <w:rPr>
                <w:rFonts w:ascii="Aptos Narrow" w:eastAsia="Times New Roman" w:hAnsi="Aptos Narrow" w:cs="Times New Roman"/>
                <w:sz w:val="18"/>
                <w:szCs w:val="18"/>
                <w:lang w:eastAsia="zh-CN"/>
              </w:rPr>
              <w:t>0</w:t>
            </w:r>
          </w:p>
        </w:tc>
        <w:tc>
          <w:tcPr>
            <w:tcW w:w="1170" w:type="dxa"/>
            <w:tcBorders>
              <w:top w:val="nil"/>
              <w:left w:val="nil"/>
              <w:bottom w:val="single" w:sz="4" w:space="0" w:color="auto"/>
              <w:right w:val="single" w:sz="4" w:space="0" w:color="auto"/>
            </w:tcBorders>
            <w:noWrap/>
            <w:vAlign w:val="bottom"/>
            <w:hideMark/>
          </w:tcPr>
          <w:p w:rsidR="00A61867" w:rsidRPr="001504E1" w:rsidP="00A61867" w14:paraId="176A6CA0" w14:textId="77777777">
            <w:pPr>
              <w:spacing w:after="0" w:line="240" w:lineRule="auto"/>
              <w:jc w:val="center"/>
              <w:rPr>
                <w:rFonts w:ascii="Aptos Narrow" w:eastAsia="Times New Roman" w:hAnsi="Aptos Narrow" w:cs="Times New Roman"/>
                <w:sz w:val="18"/>
                <w:szCs w:val="18"/>
                <w:lang w:eastAsia="zh-CN"/>
              </w:rPr>
            </w:pPr>
            <w:r w:rsidRPr="001504E1">
              <w:rPr>
                <w:rFonts w:ascii="Aptos Narrow" w:eastAsia="Times New Roman" w:hAnsi="Aptos Narrow" w:cs="Times New Roman"/>
                <w:sz w:val="18"/>
                <w:szCs w:val="18"/>
                <w:lang w:eastAsia="zh-CN"/>
              </w:rPr>
              <w:t>5</w:t>
            </w:r>
          </w:p>
        </w:tc>
        <w:tc>
          <w:tcPr>
            <w:tcW w:w="990" w:type="dxa"/>
            <w:tcBorders>
              <w:top w:val="nil"/>
              <w:left w:val="nil"/>
              <w:bottom w:val="single" w:sz="4" w:space="0" w:color="auto"/>
              <w:right w:val="single" w:sz="4" w:space="0" w:color="auto"/>
            </w:tcBorders>
            <w:noWrap/>
            <w:vAlign w:val="bottom"/>
            <w:hideMark/>
          </w:tcPr>
          <w:p w:rsidR="00A61867" w:rsidRPr="001504E1" w:rsidP="00A61867" w14:paraId="68D5E840" w14:textId="04B52B5E">
            <w:pPr>
              <w:spacing w:after="0" w:line="240" w:lineRule="auto"/>
              <w:jc w:val="center"/>
              <w:rPr>
                <w:rFonts w:ascii="Aptos Narrow" w:eastAsia="Times New Roman" w:hAnsi="Aptos Narrow" w:cs="Times New Roman"/>
                <w:sz w:val="18"/>
                <w:szCs w:val="18"/>
                <w:lang w:eastAsia="zh-CN"/>
              </w:rPr>
            </w:pPr>
            <w:r w:rsidRPr="001504E1">
              <w:rPr>
                <w:rFonts w:ascii="Aptos Narrow" w:eastAsia="Times New Roman" w:hAnsi="Aptos Narrow" w:cs="Times New Roman"/>
                <w:sz w:val="18"/>
                <w:szCs w:val="18"/>
                <w:lang w:eastAsia="zh-CN"/>
              </w:rPr>
              <w:t>10</w:t>
            </w:r>
            <w:r w:rsidRPr="001504E1">
              <w:rPr>
                <w:rFonts w:ascii="Aptos Narrow" w:eastAsia="Times New Roman" w:hAnsi="Aptos Narrow" w:cs="Times New Roman"/>
                <w:sz w:val="18"/>
                <w:szCs w:val="18"/>
                <w:lang w:eastAsia="zh-CN"/>
              </w:rPr>
              <w:t>0</w:t>
            </w:r>
          </w:p>
        </w:tc>
        <w:tc>
          <w:tcPr>
            <w:tcW w:w="990" w:type="dxa"/>
            <w:tcBorders>
              <w:top w:val="nil"/>
              <w:left w:val="nil"/>
              <w:bottom w:val="single" w:sz="4" w:space="0" w:color="auto"/>
              <w:right w:val="single" w:sz="4" w:space="0" w:color="auto"/>
            </w:tcBorders>
            <w:noWrap/>
            <w:vAlign w:val="bottom"/>
            <w:hideMark/>
          </w:tcPr>
          <w:p w:rsidR="00A61867" w:rsidRPr="001504E1" w:rsidP="00A61867" w14:paraId="713BCCF1" w14:textId="77777777">
            <w:pPr>
              <w:spacing w:after="0" w:line="240" w:lineRule="auto"/>
              <w:jc w:val="center"/>
              <w:rPr>
                <w:rFonts w:ascii="Aptos Narrow" w:eastAsia="Times New Roman" w:hAnsi="Aptos Narrow" w:cs="Times New Roman"/>
                <w:sz w:val="18"/>
                <w:szCs w:val="18"/>
                <w:lang w:eastAsia="zh-CN"/>
              </w:rPr>
            </w:pPr>
            <w:r w:rsidRPr="001504E1">
              <w:rPr>
                <w:rFonts w:ascii="Aptos Narrow" w:eastAsia="Times New Roman" w:hAnsi="Aptos Narrow" w:cs="Times New Roman"/>
                <w:sz w:val="18"/>
                <w:szCs w:val="18"/>
                <w:lang w:eastAsia="zh-CN"/>
              </w:rPr>
              <w:t xml:space="preserve">$71.54 </w:t>
            </w:r>
          </w:p>
        </w:tc>
        <w:tc>
          <w:tcPr>
            <w:tcW w:w="810" w:type="dxa"/>
            <w:tcBorders>
              <w:top w:val="nil"/>
              <w:left w:val="nil"/>
              <w:bottom w:val="single" w:sz="4" w:space="0" w:color="auto"/>
              <w:right w:val="single" w:sz="4" w:space="0" w:color="auto"/>
            </w:tcBorders>
            <w:noWrap/>
            <w:vAlign w:val="bottom"/>
            <w:hideMark/>
          </w:tcPr>
          <w:p w:rsidR="00A61867" w:rsidRPr="001504E1" w:rsidP="00A61867" w14:paraId="1E3236C2" w14:textId="77777777">
            <w:pPr>
              <w:spacing w:after="0" w:line="240" w:lineRule="auto"/>
              <w:jc w:val="center"/>
              <w:rPr>
                <w:rFonts w:ascii="Aptos Narrow" w:eastAsia="Times New Roman" w:hAnsi="Aptos Narrow" w:cs="Times New Roman"/>
                <w:sz w:val="18"/>
                <w:szCs w:val="18"/>
                <w:lang w:eastAsia="zh-CN"/>
              </w:rPr>
            </w:pPr>
            <w:r w:rsidRPr="001504E1">
              <w:rPr>
                <w:rFonts w:ascii="Aptos Narrow" w:eastAsia="Times New Roman" w:hAnsi="Aptos Narrow" w:cs="Times New Roman"/>
                <w:sz w:val="18"/>
                <w:szCs w:val="18"/>
                <w:lang w:eastAsia="zh-CN"/>
              </w:rPr>
              <w:t>61.70%</w:t>
            </w:r>
          </w:p>
        </w:tc>
        <w:tc>
          <w:tcPr>
            <w:tcW w:w="1170" w:type="dxa"/>
            <w:tcBorders>
              <w:top w:val="nil"/>
              <w:left w:val="nil"/>
              <w:bottom w:val="single" w:sz="4" w:space="0" w:color="auto"/>
              <w:right w:val="single" w:sz="4" w:space="0" w:color="auto"/>
            </w:tcBorders>
            <w:noWrap/>
            <w:vAlign w:val="bottom"/>
            <w:hideMark/>
          </w:tcPr>
          <w:p w:rsidR="00A61867" w:rsidRPr="001504E1" w:rsidP="00A61867" w14:paraId="076B7809" w14:textId="77777777">
            <w:pPr>
              <w:spacing w:after="0" w:line="240" w:lineRule="auto"/>
              <w:jc w:val="center"/>
              <w:rPr>
                <w:rFonts w:ascii="Aptos Narrow" w:eastAsia="Times New Roman" w:hAnsi="Aptos Narrow" w:cs="Times New Roman"/>
                <w:sz w:val="18"/>
                <w:szCs w:val="18"/>
                <w:lang w:eastAsia="zh-CN"/>
              </w:rPr>
            </w:pPr>
            <w:r w:rsidRPr="001504E1">
              <w:rPr>
                <w:rFonts w:ascii="Aptos Narrow" w:eastAsia="Times New Roman" w:hAnsi="Aptos Narrow" w:cs="Times New Roman"/>
                <w:sz w:val="18"/>
                <w:szCs w:val="18"/>
                <w:lang w:eastAsia="zh-CN"/>
              </w:rPr>
              <w:t xml:space="preserve">$115.95 </w:t>
            </w:r>
          </w:p>
        </w:tc>
        <w:tc>
          <w:tcPr>
            <w:tcW w:w="1170" w:type="dxa"/>
            <w:tcBorders>
              <w:top w:val="nil"/>
              <w:left w:val="nil"/>
              <w:bottom w:val="single" w:sz="4" w:space="0" w:color="auto"/>
              <w:right w:val="single" w:sz="4" w:space="0" w:color="auto"/>
            </w:tcBorders>
            <w:noWrap/>
            <w:vAlign w:val="bottom"/>
            <w:hideMark/>
          </w:tcPr>
          <w:p w:rsidR="00A61867" w:rsidRPr="001504E1" w:rsidP="00A61867" w14:paraId="40E8B6A7" w14:textId="77777777">
            <w:pPr>
              <w:spacing w:after="0" w:line="240" w:lineRule="auto"/>
              <w:jc w:val="center"/>
              <w:rPr>
                <w:rFonts w:ascii="Aptos Narrow" w:eastAsia="Times New Roman" w:hAnsi="Aptos Narrow" w:cs="Times New Roman"/>
                <w:sz w:val="18"/>
                <w:szCs w:val="18"/>
                <w:lang w:eastAsia="zh-CN"/>
              </w:rPr>
            </w:pPr>
            <w:r w:rsidRPr="001504E1">
              <w:rPr>
                <w:rFonts w:ascii="Aptos Narrow" w:eastAsia="Times New Roman" w:hAnsi="Aptos Narrow" w:cs="Times New Roman"/>
                <w:sz w:val="18"/>
                <w:szCs w:val="18"/>
                <w:lang w:eastAsia="zh-CN"/>
              </w:rPr>
              <w:t xml:space="preserve">$579.75 </w:t>
            </w:r>
          </w:p>
        </w:tc>
        <w:tc>
          <w:tcPr>
            <w:tcW w:w="1350" w:type="dxa"/>
            <w:tcBorders>
              <w:top w:val="nil"/>
              <w:left w:val="nil"/>
              <w:bottom w:val="single" w:sz="4" w:space="0" w:color="auto"/>
              <w:right w:val="single" w:sz="4" w:space="0" w:color="auto"/>
            </w:tcBorders>
            <w:noWrap/>
            <w:vAlign w:val="bottom"/>
            <w:hideMark/>
          </w:tcPr>
          <w:p w:rsidR="00A61867" w:rsidRPr="001504E1" w:rsidP="00A61867" w14:paraId="3AB40626" w14:textId="1EAFE109">
            <w:pPr>
              <w:spacing w:after="0" w:line="240" w:lineRule="auto"/>
              <w:jc w:val="center"/>
              <w:rPr>
                <w:rFonts w:ascii="Aptos Narrow" w:eastAsia="Times New Roman" w:hAnsi="Aptos Narrow" w:cs="Times New Roman"/>
                <w:sz w:val="18"/>
                <w:szCs w:val="18"/>
                <w:lang w:eastAsia="zh-CN"/>
              </w:rPr>
            </w:pPr>
            <w:r w:rsidRPr="001504E1">
              <w:rPr>
                <w:rFonts w:ascii="Aptos Narrow" w:eastAsia="Times New Roman" w:hAnsi="Aptos Narrow" w:cs="Times New Roman"/>
                <w:sz w:val="18"/>
                <w:szCs w:val="18"/>
                <w:lang w:eastAsia="zh-CN"/>
              </w:rPr>
              <w:t>$11,595.00</w:t>
            </w:r>
          </w:p>
        </w:tc>
      </w:tr>
      <w:tr w14:paraId="7A6E1B8A" w14:textId="77777777" w:rsidTr="00994FB7">
        <w:tblPrEx>
          <w:tblW w:w="10345" w:type="dxa"/>
          <w:tblLayout w:type="fixed"/>
          <w:tblLook w:val="04A0"/>
        </w:tblPrEx>
        <w:trPr>
          <w:trHeight w:val="300"/>
        </w:trPr>
        <w:tc>
          <w:tcPr>
            <w:tcW w:w="1435" w:type="dxa"/>
            <w:tcBorders>
              <w:top w:val="nil"/>
              <w:left w:val="single" w:sz="4" w:space="0" w:color="auto"/>
              <w:bottom w:val="single" w:sz="4" w:space="0" w:color="auto"/>
              <w:right w:val="single" w:sz="4" w:space="0" w:color="auto"/>
            </w:tcBorders>
            <w:noWrap/>
            <w:vAlign w:val="bottom"/>
            <w:hideMark/>
          </w:tcPr>
          <w:p w:rsidR="00A61867" w:rsidRPr="001504E1" w:rsidP="00A61867" w14:paraId="2D198BCB" w14:textId="77777777">
            <w:pPr>
              <w:spacing w:after="0" w:line="240" w:lineRule="auto"/>
              <w:rPr>
                <w:rFonts w:ascii="Aptos Narrow" w:eastAsia="Times New Roman" w:hAnsi="Aptos Narrow" w:cs="Times New Roman"/>
                <w:b/>
                <w:bCs/>
                <w:sz w:val="18"/>
                <w:szCs w:val="18"/>
                <w:lang w:eastAsia="zh-CN"/>
              </w:rPr>
            </w:pPr>
            <w:r w:rsidRPr="001504E1">
              <w:rPr>
                <w:rFonts w:ascii="Aptos Narrow" w:eastAsia="Times New Roman" w:hAnsi="Aptos Narrow" w:cs="Times New Roman"/>
                <w:b/>
                <w:bCs/>
                <w:sz w:val="18"/>
                <w:szCs w:val="18"/>
                <w:lang w:eastAsia="zh-CN"/>
              </w:rPr>
              <w:t>SEDC Implementation</w:t>
            </w:r>
          </w:p>
        </w:tc>
        <w:tc>
          <w:tcPr>
            <w:tcW w:w="1260" w:type="dxa"/>
            <w:tcBorders>
              <w:top w:val="nil"/>
              <w:left w:val="nil"/>
              <w:bottom w:val="single" w:sz="4" w:space="0" w:color="auto"/>
              <w:right w:val="single" w:sz="4" w:space="0" w:color="auto"/>
            </w:tcBorders>
            <w:noWrap/>
            <w:vAlign w:val="center"/>
            <w:hideMark/>
          </w:tcPr>
          <w:p w:rsidR="00A61867" w:rsidRPr="001504E1" w:rsidP="00A61867" w14:paraId="4814B8D2" w14:textId="77777777">
            <w:pPr>
              <w:spacing w:after="0" w:line="240" w:lineRule="auto"/>
              <w:jc w:val="center"/>
              <w:rPr>
                <w:rFonts w:ascii="Aptos Narrow" w:eastAsia="Times New Roman" w:hAnsi="Aptos Narrow" w:cs="Times New Roman"/>
                <w:sz w:val="18"/>
                <w:szCs w:val="18"/>
                <w:lang w:eastAsia="zh-CN"/>
              </w:rPr>
            </w:pPr>
            <w:r w:rsidRPr="001504E1">
              <w:rPr>
                <w:rFonts w:ascii="Aptos Narrow" w:eastAsia="Times New Roman" w:hAnsi="Aptos Narrow" w:cs="Times New Roman"/>
                <w:sz w:val="18"/>
                <w:szCs w:val="18"/>
                <w:lang w:eastAsia="zh-CN"/>
              </w:rPr>
              <w:t>11</w:t>
            </w:r>
          </w:p>
        </w:tc>
        <w:tc>
          <w:tcPr>
            <w:tcW w:w="1170" w:type="dxa"/>
            <w:tcBorders>
              <w:top w:val="nil"/>
              <w:left w:val="nil"/>
              <w:bottom w:val="single" w:sz="4" w:space="0" w:color="auto"/>
              <w:right w:val="single" w:sz="4" w:space="0" w:color="auto"/>
            </w:tcBorders>
            <w:noWrap/>
            <w:vAlign w:val="bottom"/>
            <w:hideMark/>
          </w:tcPr>
          <w:p w:rsidR="00A61867" w:rsidRPr="001504E1" w:rsidP="00A61867" w14:paraId="5E033477" w14:textId="7FD0A95C">
            <w:pPr>
              <w:spacing w:after="0" w:line="240" w:lineRule="auto"/>
              <w:jc w:val="center"/>
              <w:rPr>
                <w:rFonts w:ascii="Aptos Narrow" w:eastAsia="Times New Roman" w:hAnsi="Aptos Narrow" w:cs="Times New Roman"/>
                <w:sz w:val="18"/>
                <w:szCs w:val="18"/>
                <w:lang w:eastAsia="zh-CN"/>
              </w:rPr>
            </w:pPr>
            <w:r w:rsidRPr="001504E1">
              <w:rPr>
                <w:rFonts w:ascii="Aptos Narrow" w:eastAsia="Times New Roman" w:hAnsi="Aptos Narrow" w:cs="Times New Roman"/>
                <w:sz w:val="18"/>
                <w:szCs w:val="18"/>
                <w:lang w:eastAsia="zh-CN"/>
              </w:rPr>
              <w:t>1</w:t>
            </w:r>
            <w:r w:rsidRPr="001504E1" w:rsidR="004821C3">
              <w:rPr>
                <w:rFonts w:ascii="Aptos Narrow" w:eastAsia="Times New Roman" w:hAnsi="Aptos Narrow" w:cs="Times New Roman"/>
                <w:sz w:val="18"/>
                <w:szCs w:val="18"/>
                <w:lang w:eastAsia="zh-CN"/>
              </w:rPr>
              <w:t>,</w:t>
            </w:r>
            <w:r w:rsidRPr="001504E1">
              <w:rPr>
                <w:rFonts w:ascii="Aptos Narrow" w:eastAsia="Times New Roman" w:hAnsi="Aptos Narrow" w:cs="Times New Roman"/>
                <w:sz w:val="18"/>
                <w:szCs w:val="18"/>
                <w:lang w:eastAsia="zh-CN"/>
              </w:rPr>
              <w:t>284</w:t>
            </w:r>
          </w:p>
        </w:tc>
        <w:tc>
          <w:tcPr>
            <w:tcW w:w="990" w:type="dxa"/>
            <w:tcBorders>
              <w:top w:val="nil"/>
              <w:left w:val="nil"/>
              <w:bottom w:val="single" w:sz="4" w:space="0" w:color="auto"/>
              <w:right w:val="single" w:sz="4" w:space="0" w:color="auto"/>
            </w:tcBorders>
            <w:noWrap/>
            <w:vAlign w:val="bottom"/>
            <w:hideMark/>
          </w:tcPr>
          <w:p w:rsidR="00A61867" w:rsidRPr="001504E1" w:rsidP="00A61867" w14:paraId="3C00B3D0" w14:textId="7E431360">
            <w:pPr>
              <w:spacing w:after="0" w:line="240" w:lineRule="auto"/>
              <w:jc w:val="center"/>
              <w:rPr>
                <w:rFonts w:ascii="Aptos Narrow" w:eastAsia="Times New Roman" w:hAnsi="Aptos Narrow" w:cs="Times New Roman"/>
                <w:sz w:val="18"/>
                <w:szCs w:val="18"/>
                <w:lang w:eastAsia="zh-CN"/>
              </w:rPr>
            </w:pPr>
            <w:r w:rsidRPr="001504E1">
              <w:rPr>
                <w:rFonts w:ascii="Aptos Narrow" w:eastAsia="Times New Roman" w:hAnsi="Aptos Narrow" w:cs="Times New Roman"/>
                <w:sz w:val="18"/>
                <w:szCs w:val="18"/>
                <w:lang w:eastAsia="zh-CN"/>
              </w:rPr>
              <w:t>14</w:t>
            </w:r>
            <w:r w:rsidRPr="001504E1" w:rsidR="004821C3">
              <w:rPr>
                <w:rFonts w:ascii="Aptos Narrow" w:eastAsia="Times New Roman" w:hAnsi="Aptos Narrow" w:cs="Times New Roman"/>
                <w:sz w:val="18"/>
                <w:szCs w:val="18"/>
                <w:lang w:eastAsia="zh-CN"/>
              </w:rPr>
              <w:t>,</w:t>
            </w:r>
            <w:r w:rsidRPr="001504E1">
              <w:rPr>
                <w:rFonts w:ascii="Aptos Narrow" w:eastAsia="Times New Roman" w:hAnsi="Aptos Narrow" w:cs="Times New Roman"/>
                <w:sz w:val="18"/>
                <w:szCs w:val="18"/>
                <w:lang w:eastAsia="zh-CN"/>
              </w:rPr>
              <w:t>124</w:t>
            </w:r>
          </w:p>
        </w:tc>
        <w:tc>
          <w:tcPr>
            <w:tcW w:w="990" w:type="dxa"/>
            <w:tcBorders>
              <w:top w:val="nil"/>
              <w:left w:val="nil"/>
              <w:bottom w:val="single" w:sz="4" w:space="0" w:color="auto"/>
              <w:right w:val="single" w:sz="4" w:space="0" w:color="auto"/>
            </w:tcBorders>
            <w:noWrap/>
            <w:vAlign w:val="bottom"/>
            <w:hideMark/>
          </w:tcPr>
          <w:p w:rsidR="00A61867" w:rsidRPr="001504E1" w:rsidP="00A61867" w14:paraId="01FF12B3" w14:textId="77777777">
            <w:pPr>
              <w:spacing w:after="0" w:line="240" w:lineRule="auto"/>
              <w:jc w:val="center"/>
              <w:rPr>
                <w:rFonts w:ascii="Aptos Narrow" w:eastAsia="Times New Roman" w:hAnsi="Aptos Narrow" w:cs="Times New Roman"/>
                <w:sz w:val="18"/>
                <w:szCs w:val="18"/>
                <w:lang w:eastAsia="zh-CN"/>
              </w:rPr>
            </w:pPr>
            <w:r w:rsidRPr="001504E1">
              <w:rPr>
                <w:rFonts w:ascii="Aptos Narrow" w:eastAsia="Times New Roman" w:hAnsi="Aptos Narrow" w:cs="Times New Roman"/>
                <w:sz w:val="18"/>
                <w:szCs w:val="18"/>
                <w:lang w:eastAsia="zh-CN"/>
              </w:rPr>
              <w:t>NA</w:t>
            </w:r>
          </w:p>
        </w:tc>
        <w:tc>
          <w:tcPr>
            <w:tcW w:w="810" w:type="dxa"/>
            <w:tcBorders>
              <w:top w:val="nil"/>
              <w:left w:val="nil"/>
              <w:bottom w:val="single" w:sz="4" w:space="0" w:color="auto"/>
              <w:right w:val="single" w:sz="4" w:space="0" w:color="auto"/>
            </w:tcBorders>
            <w:noWrap/>
            <w:vAlign w:val="bottom"/>
            <w:hideMark/>
          </w:tcPr>
          <w:p w:rsidR="00A61867" w:rsidRPr="001504E1" w:rsidP="00A61867" w14:paraId="317D123A" w14:textId="77777777">
            <w:pPr>
              <w:spacing w:after="0" w:line="240" w:lineRule="auto"/>
              <w:jc w:val="center"/>
              <w:rPr>
                <w:rFonts w:ascii="Aptos Narrow" w:eastAsia="Times New Roman" w:hAnsi="Aptos Narrow" w:cs="Times New Roman"/>
                <w:sz w:val="18"/>
                <w:szCs w:val="18"/>
                <w:lang w:eastAsia="zh-CN"/>
              </w:rPr>
            </w:pPr>
            <w:r w:rsidRPr="001504E1">
              <w:rPr>
                <w:rFonts w:ascii="Aptos Narrow" w:eastAsia="Times New Roman" w:hAnsi="Aptos Narrow" w:cs="Times New Roman"/>
                <w:sz w:val="18"/>
                <w:szCs w:val="18"/>
                <w:lang w:eastAsia="zh-CN"/>
              </w:rPr>
              <w:t>NA</w:t>
            </w:r>
          </w:p>
        </w:tc>
        <w:tc>
          <w:tcPr>
            <w:tcW w:w="1170" w:type="dxa"/>
            <w:tcBorders>
              <w:top w:val="nil"/>
              <w:left w:val="nil"/>
              <w:bottom w:val="single" w:sz="4" w:space="0" w:color="auto"/>
              <w:right w:val="single" w:sz="4" w:space="0" w:color="auto"/>
            </w:tcBorders>
            <w:noWrap/>
            <w:vAlign w:val="bottom"/>
            <w:hideMark/>
          </w:tcPr>
          <w:p w:rsidR="00A61867" w:rsidRPr="001504E1" w:rsidP="00A61867" w14:paraId="26311391" w14:textId="77777777">
            <w:pPr>
              <w:spacing w:after="0" w:line="240" w:lineRule="auto"/>
              <w:jc w:val="center"/>
              <w:rPr>
                <w:rFonts w:ascii="Aptos Narrow" w:eastAsia="Times New Roman" w:hAnsi="Aptos Narrow" w:cs="Times New Roman"/>
                <w:sz w:val="18"/>
                <w:szCs w:val="18"/>
                <w:lang w:eastAsia="zh-CN"/>
              </w:rPr>
            </w:pPr>
            <w:r w:rsidRPr="001504E1">
              <w:rPr>
                <w:rFonts w:ascii="Aptos Narrow" w:eastAsia="Times New Roman" w:hAnsi="Aptos Narrow" w:cs="Times New Roman"/>
                <w:sz w:val="18"/>
                <w:szCs w:val="18"/>
                <w:lang w:eastAsia="zh-CN"/>
              </w:rPr>
              <w:t>NA</w:t>
            </w:r>
          </w:p>
        </w:tc>
        <w:tc>
          <w:tcPr>
            <w:tcW w:w="1170" w:type="dxa"/>
            <w:tcBorders>
              <w:top w:val="nil"/>
              <w:left w:val="nil"/>
              <w:bottom w:val="single" w:sz="4" w:space="0" w:color="auto"/>
              <w:right w:val="single" w:sz="4" w:space="0" w:color="auto"/>
            </w:tcBorders>
            <w:noWrap/>
            <w:vAlign w:val="bottom"/>
            <w:hideMark/>
          </w:tcPr>
          <w:p w:rsidR="00A61867" w:rsidRPr="001504E1" w:rsidP="00A61867" w14:paraId="43C859A6" w14:textId="61D501E7">
            <w:pPr>
              <w:spacing w:after="0" w:line="240" w:lineRule="auto"/>
              <w:jc w:val="center"/>
              <w:rPr>
                <w:rFonts w:ascii="Aptos Narrow" w:eastAsia="Times New Roman" w:hAnsi="Aptos Narrow" w:cs="Times New Roman"/>
                <w:sz w:val="18"/>
                <w:szCs w:val="18"/>
                <w:lang w:eastAsia="zh-CN"/>
              </w:rPr>
            </w:pPr>
            <w:r w:rsidRPr="001504E1">
              <w:rPr>
                <w:rFonts w:ascii="Aptos Narrow" w:eastAsia="Times New Roman" w:hAnsi="Aptos Narrow" w:cs="Times New Roman"/>
                <w:sz w:val="18"/>
                <w:szCs w:val="18"/>
                <w:lang w:eastAsia="zh-CN"/>
              </w:rPr>
              <w:t>$198,512.65</w:t>
            </w:r>
          </w:p>
        </w:tc>
        <w:tc>
          <w:tcPr>
            <w:tcW w:w="1350" w:type="dxa"/>
            <w:tcBorders>
              <w:top w:val="nil"/>
              <w:left w:val="nil"/>
              <w:bottom w:val="single" w:sz="4" w:space="0" w:color="auto"/>
              <w:right w:val="single" w:sz="4" w:space="0" w:color="auto"/>
            </w:tcBorders>
            <w:noWrap/>
            <w:vAlign w:val="bottom"/>
            <w:hideMark/>
          </w:tcPr>
          <w:p w:rsidR="00A61867" w:rsidRPr="001504E1" w:rsidP="00A61867" w14:paraId="78240314" w14:textId="3860E515">
            <w:pPr>
              <w:spacing w:after="0" w:line="240" w:lineRule="auto"/>
              <w:jc w:val="center"/>
              <w:rPr>
                <w:rFonts w:ascii="Aptos Narrow" w:eastAsia="Times New Roman" w:hAnsi="Aptos Narrow" w:cs="Times New Roman"/>
                <w:sz w:val="18"/>
                <w:szCs w:val="18"/>
                <w:lang w:eastAsia="zh-CN"/>
              </w:rPr>
            </w:pPr>
            <w:r w:rsidRPr="001504E1">
              <w:rPr>
                <w:rFonts w:ascii="Aptos Narrow" w:eastAsia="Times New Roman" w:hAnsi="Aptos Narrow" w:cs="Times New Roman"/>
                <w:sz w:val="18"/>
                <w:szCs w:val="18"/>
                <w:lang w:eastAsia="zh-CN"/>
              </w:rPr>
              <w:t>$2,183,639.15</w:t>
            </w:r>
          </w:p>
        </w:tc>
      </w:tr>
      <w:tr w14:paraId="5CA92F6B" w14:textId="77777777" w:rsidTr="00994FB7">
        <w:tblPrEx>
          <w:tblW w:w="10345" w:type="dxa"/>
          <w:tblLayout w:type="fixed"/>
          <w:tblLook w:val="04A0"/>
        </w:tblPrEx>
        <w:trPr>
          <w:trHeight w:val="300"/>
        </w:trPr>
        <w:tc>
          <w:tcPr>
            <w:tcW w:w="1435" w:type="dxa"/>
            <w:tcBorders>
              <w:top w:val="nil"/>
              <w:left w:val="single" w:sz="4" w:space="0" w:color="auto"/>
              <w:bottom w:val="single" w:sz="4" w:space="0" w:color="auto"/>
              <w:right w:val="single" w:sz="4" w:space="0" w:color="auto"/>
            </w:tcBorders>
            <w:noWrap/>
            <w:vAlign w:val="bottom"/>
            <w:hideMark/>
          </w:tcPr>
          <w:p w:rsidR="00A61867" w:rsidRPr="001504E1" w:rsidP="00A61867" w14:paraId="74A5299A" w14:textId="77777777">
            <w:pPr>
              <w:spacing w:after="0" w:line="240" w:lineRule="auto"/>
              <w:rPr>
                <w:rFonts w:ascii="Aptos Narrow" w:eastAsia="Times New Roman" w:hAnsi="Aptos Narrow" w:cs="Times New Roman"/>
                <w:b/>
                <w:bCs/>
                <w:sz w:val="18"/>
                <w:szCs w:val="18"/>
                <w:lang w:eastAsia="zh-CN"/>
              </w:rPr>
            </w:pPr>
            <w:r w:rsidRPr="001504E1">
              <w:rPr>
                <w:rFonts w:ascii="Aptos Narrow" w:eastAsia="Times New Roman" w:hAnsi="Aptos Narrow" w:cs="Times New Roman"/>
                <w:b/>
                <w:bCs/>
                <w:sz w:val="18"/>
                <w:szCs w:val="18"/>
                <w:lang w:eastAsia="zh-CN"/>
              </w:rPr>
              <w:t>SEDC Maintenance</w:t>
            </w:r>
          </w:p>
        </w:tc>
        <w:tc>
          <w:tcPr>
            <w:tcW w:w="1260" w:type="dxa"/>
            <w:tcBorders>
              <w:top w:val="nil"/>
              <w:left w:val="nil"/>
              <w:bottom w:val="single" w:sz="4" w:space="0" w:color="auto"/>
              <w:right w:val="single" w:sz="4" w:space="0" w:color="auto"/>
            </w:tcBorders>
            <w:noWrap/>
            <w:vAlign w:val="bottom"/>
            <w:hideMark/>
          </w:tcPr>
          <w:p w:rsidR="00A61867" w:rsidRPr="001504E1" w:rsidP="00A61867" w14:paraId="7F39DE8B" w14:textId="77777777">
            <w:pPr>
              <w:spacing w:after="0" w:line="240" w:lineRule="auto"/>
              <w:jc w:val="center"/>
              <w:rPr>
                <w:rFonts w:ascii="Aptos Narrow" w:eastAsia="Times New Roman" w:hAnsi="Aptos Narrow" w:cs="Times New Roman"/>
                <w:sz w:val="18"/>
                <w:szCs w:val="18"/>
                <w:lang w:eastAsia="zh-CN"/>
              </w:rPr>
            </w:pPr>
            <w:r w:rsidRPr="001504E1">
              <w:rPr>
                <w:rFonts w:ascii="Aptos Narrow" w:eastAsia="Times New Roman" w:hAnsi="Aptos Narrow" w:cs="Times New Roman"/>
                <w:sz w:val="18"/>
                <w:szCs w:val="18"/>
                <w:lang w:eastAsia="zh-CN"/>
              </w:rPr>
              <w:t>3</w:t>
            </w:r>
          </w:p>
        </w:tc>
        <w:tc>
          <w:tcPr>
            <w:tcW w:w="1170" w:type="dxa"/>
            <w:tcBorders>
              <w:top w:val="nil"/>
              <w:left w:val="nil"/>
              <w:bottom w:val="single" w:sz="4" w:space="0" w:color="auto"/>
              <w:right w:val="single" w:sz="4" w:space="0" w:color="auto"/>
            </w:tcBorders>
            <w:noWrap/>
            <w:vAlign w:val="bottom"/>
            <w:hideMark/>
          </w:tcPr>
          <w:p w:rsidR="00A61867" w:rsidRPr="001504E1" w:rsidP="00A61867" w14:paraId="6A1B8663" w14:textId="77777777">
            <w:pPr>
              <w:spacing w:after="0" w:line="240" w:lineRule="auto"/>
              <w:jc w:val="center"/>
              <w:rPr>
                <w:rFonts w:ascii="Aptos Narrow" w:eastAsia="Times New Roman" w:hAnsi="Aptos Narrow" w:cs="Times New Roman"/>
                <w:sz w:val="18"/>
                <w:szCs w:val="18"/>
                <w:lang w:eastAsia="zh-CN"/>
              </w:rPr>
            </w:pPr>
            <w:r w:rsidRPr="001504E1">
              <w:rPr>
                <w:rFonts w:ascii="Aptos Narrow" w:eastAsia="Times New Roman" w:hAnsi="Aptos Narrow" w:cs="Times New Roman"/>
                <w:sz w:val="18"/>
                <w:szCs w:val="18"/>
                <w:lang w:eastAsia="zh-CN"/>
              </w:rPr>
              <w:t>5</w:t>
            </w:r>
          </w:p>
        </w:tc>
        <w:tc>
          <w:tcPr>
            <w:tcW w:w="990" w:type="dxa"/>
            <w:tcBorders>
              <w:top w:val="nil"/>
              <w:left w:val="nil"/>
              <w:bottom w:val="single" w:sz="4" w:space="0" w:color="auto"/>
              <w:right w:val="single" w:sz="4" w:space="0" w:color="auto"/>
            </w:tcBorders>
            <w:noWrap/>
            <w:vAlign w:val="bottom"/>
            <w:hideMark/>
          </w:tcPr>
          <w:p w:rsidR="00A61867" w:rsidRPr="001504E1" w:rsidP="00A61867" w14:paraId="3CFF629A" w14:textId="77777777">
            <w:pPr>
              <w:spacing w:after="0" w:line="240" w:lineRule="auto"/>
              <w:jc w:val="center"/>
              <w:rPr>
                <w:rFonts w:ascii="Aptos Narrow" w:eastAsia="Times New Roman" w:hAnsi="Aptos Narrow" w:cs="Times New Roman"/>
                <w:sz w:val="18"/>
                <w:szCs w:val="18"/>
                <w:lang w:eastAsia="zh-CN"/>
              </w:rPr>
            </w:pPr>
            <w:r w:rsidRPr="001504E1">
              <w:rPr>
                <w:rFonts w:ascii="Aptos Narrow" w:eastAsia="Times New Roman" w:hAnsi="Aptos Narrow" w:cs="Times New Roman"/>
                <w:sz w:val="18"/>
                <w:szCs w:val="18"/>
                <w:lang w:eastAsia="zh-CN"/>
              </w:rPr>
              <w:t>15</w:t>
            </w:r>
          </w:p>
        </w:tc>
        <w:tc>
          <w:tcPr>
            <w:tcW w:w="990" w:type="dxa"/>
            <w:tcBorders>
              <w:top w:val="nil"/>
              <w:left w:val="nil"/>
              <w:bottom w:val="single" w:sz="4" w:space="0" w:color="auto"/>
              <w:right w:val="single" w:sz="4" w:space="0" w:color="auto"/>
            </w:tcBorders>
            <w:noWrap/>
            <w:vAlign w:val="bottom"/>
            <w:hideMark/>
          </w:tcPr>
          <w:p w:rsidR="00A61867" w:rsidRPr="001504E1" w:rsidP="00A61867" w14:paraId="2C76713C" w14:textId="77777777">
            <w:pPr>
              <w:spacing w:after="0" w:line="240" w:lineRule="auto"/>
              <w:jc w:val="center"/>
              <w:rPr>
                <w:rFonts w:ascii="Aptos Narrow" w:eastAsia="Times New Roman" w:hAnsi="Aptos Narrow" w:cs="Times New Roman"/>
                <w:sz w:val="18"/>
                <w:szCs w:val="18"/>
                <w:lang w:eastAsia="zh-CN"/>
              </w:rPr>
            </w:pPr>
            <w:r w:rsidRPr="001504E1">
              <w:rPr>
                <w:rFonts w:ascii="Aptos Narrow" w:eastAsia="Times New Roman" w:hAnsi="Aptos Narrow" w:cs="Times New Roman"/>
                <w:sz w:val="18"/>
                <w:szCs w:val="18"/>
                <w:lang w:eastAsia="zh-CN"/>
              </w:rPr>
              <w:t xml:space="preserve">$71.54 </w:t>
            </w:r>
          </w:p>
        </w:tc>
        <w:tc>
          <w:tcPr>
            <w:tcW w:w="810" w:type="dxa"/>
            <w:tcBorders>
              <w:top w:val="nil"/>
              <w:left w:val="nil"/>
              <w:bottom w:val="single" w:sz="4" w:space="0" w:color="auto"/>
              <w:right w:val="single" w:sz="4" w:space="0" w:color="auto"/>
            </w:tcBorders>
            <w:noWrap/>
            <w:vAlign w:val="bottom"/>
            <w:hideMark/>
          </w:tcPr>
          <w:p w:rsidR="00A61867" w:rsidRPr="001504E1" w:rsidP="00A61867" w14:paraId="56E2C29E" w14:textId="77777777">
            <w:pPr>
              <w:spacing w:after="0" w:line="240" w:lineRule="auto"/>
              <w:jc w:val="center"/>
              <w:rPr>
                <w:rFonts w:ascii="Aptos Narrow" w:eastAsia="Times New Roman" w:hAnsi="Aptos Narrow" w:cs="Times New Roman"/>
                <w:sz w:val="18"/>
                <w:szCs w:val="18"/>
                <w:lang w:eastAsia="zh-CN"/>
              </w:rPr>
            </w:pPr>
            <w:r w:rsidRPr="001504E1">
              <w:rPr>
                <w:rFonts w:ascii="Aptos Narrow" w:eastAsia="Times New Roman" w:hAnsi="Aptos Narrow" w:cs="Times New Roman"/>
                <w:sz w:val="18"/>
                <w:szCs w:val="18"/>
                <w:lang w:eastAsia="zh-CN"/>
              </w:rPr>
              <w:t>61.70%</w:t>
            </w:r>
          </w:p>
        </w:tc>
        <w:tc>
          <w:tcPr>
            <w:tcW w:w="1170" w:type="dxa"/>
            <w:tcBorders>
              <w:top w:val="nil"/>
              <w:left w:val="nil"/>
              <w:bottom w:val="single" w:sz="4" w:space="0" w:color="auto"/>
              <w:right w:val="single" w:sz="4" w:space="0" w:color="auto"/>
            </w:tcBorders>
            <w:noWrap/>
            <w:vAlign w:val="bottom"/>
            <w:hideMark/>
          </w:tcPr>
          <w:p w:rsidR="00A61867" w:rsidRPr="001504E1" w:rsidP="00A61867" w14:paraId="54510D9A" w14:textId="77777777">
            <w:pPr>
              <w:spacing w:after="0" w:line="240" w:lineRule="auto"/>
              <w:jc w:val="center"/>
              <w:rPr>
                <w:rFonts w:ascii="Aptos Narrow" w:eastAsia="Times New Roman" w:hAnsi="Aptos Narrow" w:cs="Times New Roman"/>
                <w:sz w:val="18"/>
                <w:szCs w:val="18"/>
                <w:lang w:eastAsia="zh-CN"/>
              </w:rPr>
            </w:pPr>
            <w:r w:rsidRPr="001504E1">
              <w:rPr>
                <w:rFonts w:ascii="Aptos Narrow" w:eastAsia="Times New Roman" w:hAnsi="Aptos Narrow" w:cs="Times New Roman"/>
                <w:sz w:val="18"/>
                <w:szCs w:val="18"/>
                <w:lang w:eastAsia="zh-CN"/>
              </w:rPr>
              <w:t xml:space="preserve">$115.95 </w:t>
            </w:r>
          </w:p>
        </w:tc>
        <w:tc>
          <w:tcPr>
            <w:tcW w:w="1170" w:type="dxa"/>
            <w:tcBorders>
              <w:top w:val="nil"/>
              <w:left w:val="nil"/>
              <w:bottom w:val="single" w:sz="4" w:space="0" w:color="auto"/>
              <w:right w:val="single" w:sz="4" w:space="0" w:color="auto"/>
            </w:tcBorders>
            <w:noWrap/>
            <w:vAlign w:val="bottom"/>
            <w:hideMark/>
          </w:tcPr>
          <w:p w:rsidR="00A61867" w:rsidRPr="001504E1" w:rsidP="00A61867" w14:paraId="44839D7E" w14:textId="77777777">
            <w:pPr>
              <w:spacing w:after="0" w:line="240" w:lineRule="auto"/>
              <w:jc w:val="center"/>
              <w:rPr>
                <w:rFonts w:ascii="Aptos Narrow" w:eastAsia="Times New Roman" w:hAnsi="Aptos Narrow" w:cs="Times New Roman"/>
                <w:sz w:val="18"/>
                <w:szCs w:val="18"/>
                <w:lang w:eastAsia="zh-CN"/>
              </w:rPr>
            </w:pPr>
            <w:r w:rsidRPr="001504E1">
              <w:rPr>
                <w:rFonts w:ascii="Aptos Narrow" w:eastAsia="Times New Roman" w:hAnsi="Aptos Narrow" w:cs="Times New Roman"/>
                <w:sz w:val="18"/>
                <w:szCs w:val="18"/>
                <w:lang w:eastAsia="zh-CN"/>
              </w:rPr>
              <w:t xml:space="preserve">$579.75 </w:t>
            </w:r>
          </w:p>
        </w:tc>
        <w:tc>
          <w:tcPr>
            <w:tcW w:w="1350" w:type="dxa"/>
            <w:tcBorders>
              <w:top w:val="nil"/>
              <w:left w:val="nil"/>
              <w:bottom w:val="single" w:sz="4" w:space="0" w:color="auto"/>
              <w:right w:val="single" w:sz="4" w:space="0" w:color="auto"/>
            </w:tcBorders>
            <w:noWrap/>
            <w:vAlign w:val="bottom"/>
            <w:hideMark/>
          </w:tcPr>
          <w:p w:rsidR="00A61867" w:rsidRPr="001504E1" w:rsidP="00A61867" w14:paraId="083DCEBB" w14:textId="77777777">
            <w:pPr>
              <w:spacing w:after="0" w:line="240" w:lineRule="auto"/>
              <w:jc w:val="center"/>
              <w:rPr>
                <w:rFonts w:ascii="Aptos Narrow" w:eastAsia="Times New Roman" w:hAnsi="Aptos Narrow" w:cs="Times New Roman"/>
                <w:sz w:val="18"/>
                <w:szCs w:val="18"/>
                <w:lang w:eastAsia="zh-CN"/>
              </w:rPr>
            </w:pPr>
            <w:r w:rsidRPr="001504E1">
              <w:rPr>
                <w:rFonts w:ascii="Aptos Narrow" w:eastAsia="Times New Roman" w:hAnsi="Aptos Narrow" w:cs="Times New Roman"/>
                <w:sz w:val="18"/>
                <w:szCs w:val="18"/>
                <w:lang w:eastAsia="zh-CN"/>
              </w:rPr>
              <w:t xml:space="preserve">$1,739.25 </w:t>
            </w:r>
          </w:p>
        </w:tc>
      </w:tr>
      <w:tr w14:paraId="49FF3B17" w14:textId="77777777" w:rsidTr="00994FB7">
        <w:tblPrEx>
          <w:tblW w:w="10345" w:type="dxa"/>
          <w:tblLayout w:type="fixed"/>
          <w:tblLook w:val="04A0"/>
        </w:tblPrEx>
        <w:trPr>
          <w:trHeight w:val="300"/>
        </w:trPr>
        <w:tc>
          <w:tcPr>
            <w:tcW w:w="1435" w:type="dxa"/>
            <w:tcBorders>
              <w:top w:val="nil"/>
              <w:left w:val="single" w:sz="4" w:space="0" w:color="auto"/>
              <w:bottom w:val="single" w:sz="4" w:space="0" w:color="auto"/>
              <w:right w:val="single" w:sz="4" w:space="0" w:color="auto"/>
            </w:tcBorders>
            <w:noWrap/>
            <w:vAlign w:val="bottom"/>
            <w:hideMark/>
          </w:tcPr>
          <w:p w:rsidR="00A61867" w:rsidRPr="001504E1" w:rsidP="00A61867" w14:paraId="51C0AC62" w14:textId="77777777">
            <w:pPr>
              <w:spacing w:after="0" w:line="240" w:lineRule="auto"/>
              <w:rPr>
                <w:rFonts w:ascii="Aptos Narrow" w:eastAsia="Times New Roman" w:hAnsi="Aptos Narrow" w:cs="Times New Roman"/>
                <w:b/>
                <w:bCs/>
                <w:sz w:val="18"/>
                <w:szCs w:val="18"/>
                <w:lang w:eastAsia="zh-CN"/>
              </w:rPr>
            </w:pPr>
            <w:r w:rsidRPr="001504E1">
              <w:rPr>
                <w:rFonts w:ascii="Aptos Narrow" w:eastAsia="Times New Roman" w:hAnsi="Aptos Narrow" w:cs="Times New Roman"/>
                <w:b/>
                <w:bCs/>
                <w:sz w:val="18"/>
                <w:szCs w:val="18"/>
                <w:lang w:eastAsia="zh-CN"/>
              </w:rPr>
              <w:t>Total</w:t>
            </w:r>
          </w:p>
        </w:tc>
        <w:tc>
          <w:tcPr>
            <w:tcW w:w="1260" w:type="dxa"/>
            <w:tcBorders>
              <w:top w:val="nil"/>
              <w:left w:val="nil"/>
              <w:bottom w:val="single" w:sz="4" w:space="0" w:color="auto"/>
              <w:right w:val="single" w:sz="4" w:space="0" w:color="auto"/>
            </w:tcBorders>
            <w:noWrap/>
            <w:vAlign w:val="bottom"/>
            <w:hideMark/>
          </w:tcPr>
          <w:p w:rsidR="00A61867" w:rsidRPr="001504E1" w:rsidP="00A61867" w14:paraId="67A2060A" w14:textId="42330594">
            <w:pPr>
              <w:spacing w:after="0" w:line="240" w:lineRule="auto"/>
              <w:jc w:val="center"/>
              <w:rPr>
                <w:rFonts w:ascii="Aptos Narrow" w:eastAsia="Times New Roman" w:hAnsi="Aptos Narrow" w:cs="Times New Roman"/>
                <w:sz w:val="18"/>
                <w:szCs w:val="18"/>
                <w:lang w:eastAsia="zh-CN"/>
              </w:rPr>
            </w:pPr>
            <w:r w:rsidRPr="001504E1">
              <w:rPr>
                <w:rFonts w:ascii="Aptos Narrow" w:eastAsia="Times New Roman" w:hAnsi="Aptos Narrow" w:cs="Times New Roman"/>
                <w:sz w:val="18"/>
                <w:szCs w:val="18"/>
                <w:lang w:eastAsia="zh-CN"/>
              </w:rPr>
              <w:t>3</w:t>
            </w:r>
            <w:r w:rsidRPr="001504E1">
              <w:rPr>
                <w:rFonts w:ascii="Aptos Narrow" w:eastAsia="Times New Roman" w:hAnsi="Aptos Narrow" w:cs="Times New Roman"/>
                <w:sz w:val="18"/>
                <w:szCs w:val="18"/>
                <w:lang w:eastAsia="zh-CN"/>
              </w:rPr>
              <w:t>5</w:t>
            </w:r>
          </w:p>
        </w:tc>
        <w:tc>
          <w:tcPr>
            <w:tcW w:w="1170" w:type="dxa"/>
            <w:tcBorders>
              <w:top w:val="nil"/>
              <w:left w:val="nil"/>
              <w:bottom w:val="single" w:sz="4" w:space="0" w:color="auto"/>
              <w:right w:val="single" w:sz="4" w:space="0" w:color="auto"/>
            </w:tcBorders>
            <w:noWrap/>
            <w:vAlign w:val="bottom"/>
            <w:hideMark/>
          </w:tcPr>
          <w:p w:rsidR="00A61867" w:rsidRPr="001504E1" w:rsidP="00A61867" w14:paraId="4DCE90B0" w14:textId="2F25CAA2">
            <w:pPr>
              <w:spacing w:after="0" w:line="240" w:lineRule="auto"/>
              <w:jc w:val="center"/>
              <w:rPr>
                <w:rFonts w:ascii="Aptos Narrow" w:eastAsia="Times New Roman" w:hAnsi="Aptos Narrow" w:cs="Times New Roman"/>
                <w:sz w:val="18"/>
                <w:szCs w:val="18"/>
                <w:lang w:eastAsia="zh-CN"/>
              </w:rPr>
            </w:pPr>
            <w:r w:rsidRPr="001504E1">
              <w:rPr>
                <w:rFonts w:ascii="Aptos Narrow" w:eastAsia="Times New Roman" w:hAnsi="Aptos Narrow" w:cs="Times New Roman"/>
                <w:sz w:val="18"/>
                <w:szCs w:val="18"/>
                <w:lang w:eastAsia="zh-CN"/>
              </w:rPr>
              <w:t>1</w:t>
            </w:r>
            <w:r w:rsidRPr="001504E1" w:rsidR="004821C3">
              <w:rPr>
                <w:rFonts w:ascii="Aptos Narrow" w:eastAsia="Times New Roman" w:hAnsi="Aptos Narrow" w:cs="Times New Roman"/>
                <w:sz w:val="18"/>
                <w:szCs w:val="18"/>
                <w:lang w:eastAsia="zh-CN"/>
              </w:rPr>
              <w:t>,</w:t>
            </w:r>
            <w:r w:rsidRPr="001504E1">
              <w:rPr>
                <w:rFonts w:ascii="Aptos Narrow" w:eastAsia="Times New Roman" w:hAnsi="Aptos Narrow" w:cs="Times New Roman"/>
                <w:sz w:val="18"/>
                <w:szCs w:val="18"/>
                <w:lang w:eastAsia="zh-CN"/>
              </w:rPr>
              <w:t>444</w:t>
            </w:r>
          </w:p>
        </w:tc>
        <w:tc>
          <w:tcPr>
            <w:tcW w:w="990" w:type="dxa"/>
            <w:tcBorders>
              <w:top w:val="nil"/>
              <w:left w:val="nil"/>
              <w:bottom w:val="single" w:sz="4" w:space="0" w:color="auto"/>
              <w:right w:val="single" w:sz="4" w:space="0" w:color="auto"/>
            </w:tcBorders>
            <w:noWrap/>
            <w:vAlign w:val="bottom"/>
            <w:hideMark/>
          </w:tcPr>
          <w:p w:rsidR="00A61867" w:rsidRPr="001504E1" w:rsidP="00A61867" w14:paraId="08918EBA" w14:textId="6D51C204">
            <w:pPr>
              <w:spacing w:after="0" w:line="240" w:lineRule="auto"/>
              <w:jc w:val="center"/>
              <w:rPr>
                <w:rFonts w:ascii="Aptos Narrow" w:eastAsia="Times New Roman" w:hAnsi="Aptos Narrow" w:cs="Times New Roman"/>
                <w:sz w:val="18"/>
                <w:szCs w:val="18"/>
                <w:lang w:eastAsia="zh-CN"/>
              </w:rPr>
            </w:pPr>
            <w:r w:rsidRPr="001504E1">
              <w:rPr>
                <w:rFonts w:ascii="Aptos Narrow" w:eastAsia="Times New Roman" w:hAnsi="Aptos Narrow" w:cs="Times New Roman"/>
                <w:sz w:val="18"/>
                <w:szCs w:val="18"/>
                <w:lang w:eastAsia="zh-CN"/>
              </w:rPr>
              <w:t>14</w:t>
            </w:r>
            <w:r w:rsidRPr="001504E1" w:rsidR="004821C3">
              <w:rPr>
                <w:rFonts w:ascii="Aptos Narrow" w:eastAsia="Times New Roman" w:hAnsi="Aptos Narrow" w:cs="Times New Roman"/>
                <w:sz w:val="18"/>
                <w:szCs w:val="18"/>
                <w:lang w:eastAsia="zh-CN"/>
              </w:rPr>
              <w:t>,</w:t>
            </w:r>
            <w:r w:rsidRPr="001504E1" w:rsidR="00C83EB8">
              <w:rPr>
                <w:rFonts w:ascii="Aptos Narrow" w:eastAsia="Times New Roman" w:hAnsi="Aptos Narrow" w:cs="Times New Roman"/>
                <w:sz w:val="18"/>
                <w:szCs w:val="18"/>
                <w:lang w:eastAsia="zh-CN"/>
              </w:rPr>
              <w:t>3</w:t>
            </w:r>
            <w:r w:rsidRPr="001504E1">
              <w:rPr>
                <w:rFonts w:ascii="Aptos Narrow" w:eastAsia="Times New Roman" w:hAnsi="Aptos Narrow" w:cs="Times New Roman"/>
                <w:sz w:val="18"/>
                <w:szCs w:val="18"/>
                <w:lang w:eastAsia="zh-CN"/>
              </w:rPr>
              <w:t>89</w:t>
            </w:r>
          </w:p>
        </w:tc>
        <w:tc>
          <w:tcPr>
            <w:tcW w:w="990" w:type="dxa"/>
            <w:tcBorders>
              <w:top w:val="nil"/>
              <w:left w:val="nil"/>
              <w:bottom w:val="single" w:sz="4" w:space="0" w:color="auto"/>
              <w:right w:val="single" w:sz="4" w:space="0" w:color="auto"/>
            </w:tcBorders>
            <w:noWrap/>
            <w:vAlign w:val="bottom"/>
            <w:hideMark/>
          </w:tcPr>
          <w:p w:rsidR="00A61867" w:rsidRPr="001504E1" w:rsidP="00A61867" w14:paraId="531D206E" w14:textId="77777777">
            <w:pPr>
              <w:spacing w:after="0" w:line="240" w:lineRule="auto"/>
              <w:jc w:val="center"/>
              <w:rPr>
                <w:rFonts w:ascii="Aptos Narrow" w:eastAsia="Times New Roman" w:hAnsi="Aptos Narrow" w:cs="Times New Roman"/>
                <w:sz w:val="18"/>
                <w:szCs w:val="18"/>
                <w:lang w:eastAsia="zh-CN"/>
              </w:rPr>
            </w:pPr>
            <w:r w:rsidRPr="001504E1">
              <w:rPr>
                <w:rFonts w:ascii="Aptos Narrow" w:eastAsia="Times New Roman" w:hAnsi="Aptos Narrow" w:cs="Times New Roman"/>
                <w:sz w:val="18"/>
                <w:szCs w:val="18"/>
                <w:lang w:eastAsia="zh-CN"/>
              </w:rPr>
              <w:t> </w:t>
            </w:r>
          </w:p>
        </w:tc>
        <w:tc>
          <w:tcPr>
            <w:tcW w:w="810" w:type="dxa"/>
            <w:tcBorders>
              <w:top w:val="nil"/>
              <w:left w:val="nil"/>
              <w:bottom w:val="single" w:sz="4" w:space="0" w:color="auto"/>
              <w:right w:val="single" w:sz="4" w:space="0" w:color="auto"/>
            </w:tcBorders>
            <w:noWrap/>
            <w:vAlign w:val="bottom"/>
            <w:hideMark/>
          </w:tcPr>
          <w:p w:rsidR="00A61867" w:rsidRPr="001504E1" w:rsidP="00A61867" w14:paraId="1F71F1E8" w14:textId="77777777">
            <w:pPr>
              <w:spacing w:after="0" w:line="240" w:lineRule="auto"/>
              <w:jc w:val="center"/>
              <w:rPr>
                <w:rFonts w:ascii="Aptos Narrow" w:eastAsia="Times New Roman" w:hAnsi="Aptos Narrow" w:cs="Times New Roman"/>
                <w:sz w:val="18"/>
                <w:szCs w:val="18"/>
                <w:lang w:eastAsia="zh-CN"/>
              </w:rPr>
            </w:pPr>
            <w:r w:rsidRPr="001504E1">
              <w:rPr>
                <w:rFonts w:ascii="Aptos Narrow" w:eastAsia="Times New Roman" w:hAnsi="Aptos Narrow" w:cs="Times New Roman"/>
                <w:sz w:val="18"/>
                <w:szCs w:val="18"/>
                <w:lang w:eastAsia="zh-CN"/>
              </w:rPr>
              <w:t> </w:t>
            </w:r>
          </w:p>
        </w:tc>
        <w:tc>
          <w:tcPr>
            <w:tcW w:w="1170" w:type="dxa"/>
            <w:tcBorders>
              <w:top w:val="nil"/>
              <w:left w:val="nil"/>
              <w:bottom w:val="single" w:sz="4" w:space="0" w:color="auto"/>
              <w:right w:val="single" w:sz="4" w:space="0" w:color="auto"/>
            </w:tcBorders>
            <w:noWrap/>
            <w:vAlign w:val="bottom"/>
            <w:hideMark/>
          </w:tcPr>
          <w:p w:rsidR="00A61867" w:rsidRPr="001504E1" w:rsidP="00A61867" w14:paraId="715A11DE" w14:textId="77777777">
            <w:pPr>
              <w:spacing w:after="0" w:line="240" w:lineRule="auto"/>
              <w:jc w:val="center"/>
              <w:rPr>
                <w:rFonts w:ascii="Aptos Narrow" w:eastAsia="Times New Roman" w:hAnsi="Aptos Narrow" w:cs="Times New Roman"/>
                <w:sz w:val="18"/>
                <w:szCs w:val="18"/>
                <w:lang w:eastAsia="zh-CN"/>
              </w:rPr>
            </w:pPr>
            <w:r w:rsidRPr="001504E1">
              <w:rPr>
                <w:rFonts w:ascii="Aptos Narrow" w:eastAsia="Times New Roman" w:hAnsi="Aptos Narrow" w:cs="Times New Roman"/>
                <w:sz w:val="18"/>
                <w:szCs w:val="18"/>
                <w:lang w:eastAsia="zh-CN"/>
              </w:rPr>
              <w:t> </w:t>
            </w:r>
          </w:p>
        </w:tc>
        <w:tc>
          <w:tcPr>
            <w:tcW w:w="1170" w:type="dxa"/>
            <w:tcBorders>
              <w:top w:val="nil"/>
              <w:left w:val="nil"/>
              <w:bottom w:val="single" w:sz="4" w:space="0" w:color="auto"/>
              <w:right w:val="single" w:sz="4" w:space="0" w:color="auto"/>
            </w:tcBorders>
            <w:noWrap/>
            <w:vAlign w:val="bottom"/>
            <w:hideMark/>
          </w:tcPr>
          <w:p w:rsidR="00A61867" w:rsidRPr="001504E1" w:rsidP="00A61867" w14:paraId="276C6185" w14:textId="77777777">
            <w:pPr>
              <w:spacing w:after="0" w:line="240" w:lineRule="auto"/>
              <w:jc w:val="center"/>
              <w:rPr>
                <w:rFonts w:ascii="Aptos Narrow" w:eastAsia="Times New Roman" w:hAnsi="Aptos Narrow" w:cs="Times New Roman"/>
                <w:sz w:val="18"/>
                <w:szCs w:val="18"/>
                <w:lang w:eastAsia="zh-CN"/>
              </w:rPr>
            </w:pPr>
            <w:r w:rsidRPr="001504E1">
              <w:rPr>
                <w:rFonts w:ascii="Aptos Narrow" w:eastAsia="Times New Roman" w:hAnsi="Aptos Narrow" w:cs="Times New Roman"/>
                <w:sz w:val="18"/>
                <w:szCs w:val="18"/>
                <w:lang w:eastAsia="zh-CN"/>
              </w:rPr>
              <w:t> </w:t>
            </w:r>
          </w:p>
        </w:tc>
        <w:tc>
          <w:tcPr>
            <w:tcW w:w="1350" w:type="dxa"/>
            <w:tcBorders>
              <w:top w:val="nil"/>
              <w:left w:val="nil"/>
              <w:bottom w:val="single" w:sz="4" w:space="0" w:color="auto"/>
              <w:right w:val="single" w:sz="4" w:space="0" w:color="auto"/>
            </w:tcBorders>
            <w:noWrap/>
            <w:vAlign w:val="bottom"/>
            <w:hideMark/>
          </w:tcPr>
          <w:p w:rsidR="00A61867" w:rsidRPr="001504E1" w:rsidP="00A61867" w14:paraId="03E5E624" w14:textId="636F52B3">
            <w:pPr>
              <w:spacing w:after="0" w:line="240" w:lineRule="auto"/>
              <w:jc w:val="center"/>
              <w:rPr>
                <w:rFonts w:ascii="Aptos Narrow" w:eastAsia="Times New Roman" w:hAnsi="Aptos Narrow" w:cs="Times New Roman"/>
                <w:sz w:val="18"/>
                <w:szCs w:val="18"/>
                <w:lang w:eastAsia="zh-CN"/>
              </w:rPr>
            </w:pPr>
            <w:r w:rsidRPr="001504E1">
              <w:rPr>
                <w:rFonts w:ascii="Aptos Narrow" w:eastAsia="Times New Roman" w:hAnsi="Aptos Narrow" w:cs="Times New Roman"/>
                <w:sz w:val="18"/>
                <w:szCs w:val="18"/>
                <w:lang w:eastAsia="zh-CN"/>
              </w:rPr>
              <w:t>$2,214,365.90</w:t>
            </w:r>
          </w:p>
        </w:tc>
      </w:tr>
    </w:tbl>
    <w:p w:rsidR="00A61867" w:rsidRPr="00994FB7" w:rsidP="00A61867" w14:paraId="624DC03E" w14:textId="77777777"/>
    <w:p w:rsidR="00DF3DC9" w:rsidRPr="00994FB7" w:rsidP="00D109CC" w14:paraId="09C0D62E" w14:textId="77777777">
      <w:pPr>
        <w:pStyle w:val="Heading2"/>
      </w:pPr>
      <w:bookmarkStart w:id="31" w:name="_Hlk51332101"/>
      <w:r w:rsidRPr="00994FB7">
        <w:t xml:space="preserve">Provide an estimate of the total annual cost burden to respondents or record keepers resulting from the collection of information. Do not include the cost of any hour burden already reflected in the response provided in question 12.  </w:t>
      </w:r>
    </w:p>
    <w:bookmarkEnd w:id="31"/>
    <w:p w:rsidR="00A5297E" w:rsidRPr="00994FB7" w:rsidP="00A502D7" w14:paraId="5F891DD5" w14:textId="3BF29D5F">
      <w:pPr>
        <w:pStyle w:val="BodyText"/>
        <w:ind w:left="720"/>
      </w:pPr>
      <w:r>
        <w:t xml:space="preserve">The </w:t>
      </w:r>
      <w:r w:rsidR="52A18786">
        <w:t>SEDC</w:t>
      </w:r>
      <w:r w:rsidR="005F24D3">
        <w:t xml:space="preserve"> grant</w:t>
      </w:r>
      <w:r w:rsidR="52A18786">
        <w:t xml:space="preserve">, in compliance with </w:t>
      </w:r>
      <w:r w:rsidR="00613BBB">
        <w:t>IIJA</w:t>
      </w:r>
      <w:r w:rsidR="005F24D3">
        <w:t>,</w:t>
      </w:r>
      <w:r>
        <w:t xml:space="preserve"> requires a </w:t>
      </w:r>
      <w:r w:rsidR="398D64D8">
        <w:t>20%</w:t>
      </w:r>
      <w:r>
        <w:t xml:space="preserve"> match from </w:t>
      </w:r>
      <w:r w:rsidR="7A1BDE19">
        <w:t>participating</w:t>
      </w:r>
      <w:r>
        <w:t xml:space="preserve"> State respondents</w:t>
      </w:r>
      <w:r w:rsidR="00F8232D">
        <w:t>.</w:t>
      </w:r>
      <w:r w:rsidR="00BF606B">
        <w:t xml:space="preserve"> </w:t>
      </w:r>
      <w:r w:rsidR="00C7299A">
        <w:t>Based on information provided by the SEDC grantees as part of the required 20% match from each grantee with the exception of American Samoa</w:t>
      </w:r>
      <w:r w:rsidRPr="6BFE8905" w:rsidR="00C7299A">
        <w:rPr>
          <w:rStyle w:val="CommentReference"/>
          <w:rFonts w:asciiTheme="minorHAnsi" w:eastAsiaTheme="minorEastAsia" w:hAnsiTheme="minorHAnsi" w:cstheme="minorBidi"/>
        </w:rPr>
        <w:t xml:space="preserve">, </w:t>
      </w:r>
      <w:r w:rsidR="00BF606B">
        <w:t xml:space="preserve">NHTSA estimates the annual </w:t>
      </w:r>
      <w:r w:rsidR="008E3340">
        <w:t xml:space="preserve">average per State </w:t>
      </w:r>
      <w:r w:rsidR="00BF606B">
        <w:t>burden cost for the SEDC program (beyond the labor costs discussed in question 12</w:t>
      </w:r>
      <w:r w:rsidR="28314B0B">
        <w:t>)</w:t>
      </w:r>
      <w:r w:rsidR="00BF606B">
        <w:t xml:space="preserve"> will be about </w:t>
      </w:r>
      <w:r w:rsidR="00F542F9">
        <w:t>$569,293.73</w:t>
      </w:r>
      <w:r w:rsidR="00A502D7">
        <w:t xml:space="preserve"> for the non-labor burdens, which includes contracts, equipment, IT cost and other miscellaneous burdens. For the eleven states under implementation</w:t>
      </w:r>
      <w:r w:rsidR="008E3340">
        <w:t>, t</w:t>
      </w:r>
      <w:r w:rsidR="00FE5023">
        <w:t>he total</w:t>
      </w:r>
      <w:r w:rsidR="008E3340">
        <w:t xml:space="preserve"> burden cost is </w:t>
      </w:r>
      <w:r w:rsidR="00C7299A">
        <w:t xml:space="preserve">$6,262,231.02. </w:t>
      </w:r>
    </w:p>
    <w:p w:rsidR="008F5CC6" w:rsidRPr="001504E1" w:rsidP="001504E1" w14:paraId="36563031" w14:textId="2AA8B32E">
      <w:pPr>
        <w:pStyle w:val="BodyText"/>
        <w:ind w:left="720"/>
      </w:pPr>
      <w:r>
        <w:t xml:space="preserve">NHTSA does not expect respondents to </w:t>
      </w:r>
      <w:r>
        <w:t xml:space="preserve">incur </w:t>
      </w:r>
      <w:r w:rsidR="0B35AA9F">
        <w:t>in</w:t>
      </w:r>
      <w:r w:rsidR="0B35AA9F">
        <w:t xml:space="preserve"> </w:t>
      </w:r>
      <w:r>
        <w:t>any additional costs for non-SEDC States using EDT Protocol (beyond labor costs as discussed in question 12).</w:t>
      </w:r>
    </w:p>
    <w:p w:rsidR="00DF3DC9" w:rsidRPr="00994FB7" w:rsidP="00D109CC" w14:paraId="76584B70" w14:textId="77777777">
      <w:pPr>
        <w:pStyle w:val="Heading2"/>
      </w:pPr>
      <w:bookmarkStart w:id="32" w:name="_Hlk51332118"/>
      <w:r w:rsidRPr="00994FB7">
        <w:t xml:space="preserve">Provide estimates of annualized costs to the Federal government. Provide a description of the method used to estimate </w:t>
      </w:r>
      <w:r w:rsidRPr="00994FB7">
        <w:t>cost</w:t>
      </w:r>
      <w:r w:rsidRPr="00994FB7">
        <w:t xml:space="preserve">, which should include quantification of hours, operational expenses (such as equipment, overhead, printing, and support staff), and any other </w:t>
      </w:r>
      <w:r w:rsidRPr="00994FB7">
        <w:t>expense</w:t>
      </w:r>
      <w:r w:rsidRPr="00994FB7">
        <w:t xml:space="preserve"> that would not have been incurred without this collection of information. </w:t>
      </w:r>
    </w:p>
    <w:bookmarkEnd w:id="32"/>
    <w:p w:rsidR="00B93C1E" w:rsidRPr="00994FB7" w:rsidP="00B93C1E" w14:paraId="0ED11B78" w14:textId="4C45F670">
      <w:pPr>
        <w:ind w:left="720"/>
      </w:pPr>
      <w:r w:rsidRPr="00994FB7">
        <w:t xml:space="preserve">The total annual cost to the Federal government for the State Data System (SDS) is estimated to be </w:t>
      </w:r>
      <w:r w:rsidRPr="00994FB7" w:rsidR="00A67014">
        <w:rPr>
          <w:b/>
          <w:bCs/>
        </w:rPr>
        <w:t xml:space="preserve">$41,280,237 </w:t>
      </w:r>
      <w:r w:rsidRPr="00994FB7">
        <w:t xml:space="preserve">(rounded from </w:t>
      </w:r>
      <w:r w:rsidRPr="00994FB7" w:rsidR="00A67014">
        <w:t>$41,280,236.78</w:t>
      </w:r>
      <w:r w:rsidRPr="00994FB7">
        <w:t>). This total comprises internal Federal staff salaries and benefits, external technical support contracts, and discretionary grant funding to support data transmission</w:t>
      </w:r>
      <w:r w:rsidRPr="00994FB7" w:rsidR="00054342">
        <w:t xml:space="preserve"> to NHTSA.</w:t>
      </w:r>
    </w:p>
    <w:p w:rsidR="00B93C1E" w:rsidRPr="00994FB7" w:rsidP="00B93C1E" w14:paraId="07178E55" w14:textId="77777777">
      <w:pPr>
        <w:ind w:left="720"/>
      </w:pPr>
      <w:r w:rsidRPr="00994FB7">
        <w:t>The specific cost breakdown is detailed below:</w:t>
      </w:r>
    </w:p>
    <w:p w:rsidR="00B93C1E" w:rsidRPr="00994FB7" w:rsidP="00B93C1E" w14:paraId="2DBC0E26" w14:textId="6FFE3B62">
      <w:pPr>
        <w:ind w:left="720"/>
        <w:rPr>
          <w:b/>
          <w:bCs/>
        </w:rPr>
      </w:pPr>
      <w:r w:rsidRPr="00994FB7">
        <w:rPr>
          <w:b/>
          <w:bCs/>
        </w:rPr>
        <w:t>1. Internal Federal Staff Costs: $1,</w:t>
      </w:r>
      <w:r w:rsidRPr="00994FB7" w:rsidR="00C50B10">
        <w:rPr>
          <w:b/>
          <w:bCs/>
        </w:rPr>
        <w:t>778</w:t>
      </w:r>
      <w:r w:rsidRPr="00994FB7">
        <w:rPr>
          <w:b/>
          <w:bCs/>
        </w:rPr>
        <w:t>,</w:t>
      </w:r>
      <w:r w:rsidRPr="00994FB7" w:rsidR="00FC6FF8">
        <w:rPr>
          <w:b/>
          <w:bCs/>
        </w:rPr>
        <w:t>422</w:t>
      </w:r>
    </w:p>
    <w:p w:rsidR="00B93C1E" w:rsidRPr="00994FB7" w:rsidP="00B93C1E" w14:paraId="22779548" w14:textId="15EAA93B">
      <w:pPr>
        <w:ind w:left="720"/>
      </w:pPr>
      <w:r w:rsidRPr="00994FB7">
        <w:t xml:space="preserve">The annual cost for Federal employee time devoted to the management, development, implementation, and monitoring of the Non-SEDC EDT and SEDC EDT protocols including contract oversight is estimated at </w:t>
      </w:r>
      <w:r w:rsidRPr="00994FB7">
        <w:rPr>
          <w:b/>
          <w:bCs/>
        </w:rPr>
        <w:t>$1,</w:t>
      </w:r>
      <w:r w:rsidRPr="00994FB7" w:rsidR="00FC6FF8">
        <w:rPr>
          <w:b/>
          <w:bCs/>
        </w:rPr>
        <w:t>778</w:t>
      </w:r>
      <w:r w:rsidRPr="00994FB7">
        <w:rPr>
          <w:b/>
          <w:bCs/>
        </w:rPr>
        <w:t>,</w:t>
      </w:r>
      <w:r w:rsidRPr="00994FB7" w:rsidR="00FC6FF8">
        <w:rPr>
          <w:b/>
          <w:bCs/>
        </w:rPr>
        <w:t>421</w:t>
      </w:r>
      <w:r w:rsidRPr="00994FB7">
        <w:rPr>
          <w:b/>
          <w:bCs/>
        </w:rPr>
        <w:t>.</w:t>
      </w:r>
      <w:r w:rsidRPr="00994FB7" w:rsidR="00FC6FF8">
        <w:rPr>
          <w:b/>
          <w:bCs/>
        </w:rPr>
        <w:t>64</w:t>
      </w:r>
      <w:r w:rsidRPr="00994FB7">
        <w:t>.</w:t>
      </w:r>
    </w:p>
    <w:p w:rsidR="00B93C1E" w:rsidRPr="00994FB7" w:rsidP="00B93C1E" w14:paraId="60A6BDF3" w14:textId="77777777">
      <w:pPr>
        <w:pStyle w:val="ListParagraph"/>
        <w:numPr>
          <w:ilvl w:val="0"/>
          <w:numId w:val="37"/>
        </w:numPr>
      </w:pPr>
      <w:r w:rsidRPr="00994FB7">
        <w:rPr>
          <w:b/>
          <w:bCs/>
        </w:rPr>
        <w:t>Labor Allocation:</w:t>
      </w:r>
      <w:r w:rsidRPr="00994FB7">
        <w:t xml:space="preserve"> A total of 29 Federal employees (ranging from GS-13 to GS-15) support the SDS, dedicating between 1.5% and 100% of their annual work hours to the program. Individual staff commitments range from a minimum of 35 hours to a maximum of 2,087 hours per year. In total, NHTSA estimates that Federal staff devote </w:t>
      </w:r>
      <w:r w:rsidRPr="00994FB7">
        <w:rPr>
          <w:b/>
          <w:bCs/>
        </w:rPr>
        <w:t>16,141 work hours</w:t>
      </w:r>
      <w:r w:rsidRPr="00994FB7">
        <w:t xml:space="preserve"> annually to the SDS.</w:t>
      </w:r>
    </w:p>
    <w:p w:rsidR="00B93C1E" w:rsidRPr="00994FB7" w:rsidP="00B93C1E" w14:paraId="77D20876" w14:textId="77777777">
      <w:pPr>
        <w:pStyle w:val="ListParagraph"/>
        <w:numPr>
          <w:ilvl w:val="0"/>
          <w:numId w:val="37"/>
        </w:numPr>
      </w:pPr>
      <w:r w:rsidRPr="00994FB7">
        <w:rPr>
          <w:b/>
          <w:bCs/>
        </w:rPr>
        <w:t>Wage and Compensation Basis:</w:t>
      </w:r>
      <w:r w:rsidRPr="00994FB7">
        <w:t xml:space="preserve"> Hourly base wages range from $55.13 to $81.33, based on the Office of Personnel Management (OPM) 2026 Locality Pay Schedule for the Washington-Baltimore-Arlington, DC-MD-VA-WV-PA area (Step 1</w:t>
      </w:r>
      <w:r w:rsidRPr="00994FB7">
        <w:t>).¹</w:t>
      </w:r>
    </w:p>
    <w:p w:rsidR="00B93C1E" w:rsidRPr="00994FB7" w:rsidP="00B93C1E" w14:paraId="4F9B9A5E" w14:textId="77777777">
      <w:pPr>
        <w:pStyle w:val="ListParagraph"/>
        <w:numPr>
          <w:ilvl w:val="0"/>
          <w:numId w:val="37"/>
        </w:numPr>
      </w:pPr>
      <w:r w:rsidRPr="00994FB7">
        <w:rPr>
          <w:b/>
          <w:bCs/>
        </w:rPr>
        <w:t>Fully Loaded Wage Rate:</w:t>
      </w:r>
      <w:r w:rsidRPr="00994FB7">
        <w:t xml:space="preserve"> To account for benefits, NHTSA utilized the Bureau of Labor Statistics (BLS) March 2026 Employer Costs for Employee Compensation report, which estimates that wages represent 61.7% of total compensation for public sector </w:t>
      </w:r>
      <w:r w:rsidRPr="00994FB7">
        <w:t>workers.²</w:t>
      </w:r>
      <w:r w:rsidRPr="00994FB7">
        <w:t xml:space="preserve"> Dividing the base hourly wages by 61.7% yields fully loaded hourly compensation rates of </w:t>
      </w:r>
      <w:r w:rsidRPr="00994FB7">
        <w:rPr>
          <w:b/>
          <w:bCs/>
        </w:rPr>
        <w:t>$89.15</w:t>
      </w:r>
      <w:r w:rsidRPr="00994FB7">
        <w:t xml:space="preserve"> (GS-13), </w:t>
      </w:r>
      <w:r w:rsidRPr="00994FB7">
        <w:rPr>
          <w:b/>
          <w:bCs/>
        </w:rPr>
        <w:t>$111.88</w:t>
      </w:r>
      <w:r w:rsidRPr="00994FB7">
        <w:t xml:space="preserve"> (GS-14), and </w:t>
      </w:r>
      <w:r w:rsidRPr="00994FB7">
        <w:rPr>
          <w:b/>
          <w:bCs/>
        </w:rPr>
        <w:t>$131.60</w:t>
      </w:r>
      <w:r w:rsidRPr="00994FB7">
        <w:t xml:space="preserve"> (GS-15).</w:t>
      </w:r>
    </w:p>
    <w:p w:rsidR="00054342" w:rsidRPr="00994FB7" w:rsidP="00054342" w14:paraId="20775090" w14:textId="174B430F">
      <w:pPr>
        <w:ind w:left="720"/>
        <w:rPr>
          <w:rFonts w:cs="Times New Roman"/>
          <w:szCs w:val="24"/>
        </w:rPr>
      </w:pPr>
      <w:r w:rsidRPr="00994FB7">
        <w:t xml:space="preserve">The </w:t>
      </w:r>
      <w:r w:rsidRPr="00994FB7" w:rsidR="00581BC9">
        <w:t xml:space="preserve">estimated </w:t>
      </w:r>
      <w:r w:rsidRPr="00994FB7">
        <w:t xml:space="preserve">Federal staff cost </w:t>
      </w:r>
      <w:r w:rsidRPr="00994FB7">
        <w:t>include</w:t>
      </w:r>
      <w:r w:rsidRPr="00994FB7">
        <w:t xml:space="preserve"> </w:t>
      </w:r>
      <w:r w:rsidRPr="00994FB7" w:rsidR="001C72D6">
        <w:t>labor</w:t>
      </w:r>
      <w:r w:rsidRPr="00994FB7">
        <w:t xml:space="preserve"> hours required to </w:t>
      </w:r>
      <w:r w:rsidRPr="00994FB7">
        <w:rPr>
          <w:rFonts w:cs="Times New Roman"/>
          <w:szCs w:val="24"/>
        </w:rPr>
        <w:t xml:space="preserve">manage the SEDC grant. The </w:t>
      </w:r>
      <w:r w:rsidRPr="00994FB7" w:rsidR="001C72D6">
        <w:rPr>
          <w:rFonts w:cs="Times New Roman"/>
          <w:szCs w:val="24"/>
        </w:rPr>
        <w:t>costs include</w:t>
      </w:r>
      <w:r w:rsidRPr="00994FB7">
        <w:rPr>
          <w:rFonts w:cs="Times New Roman"/>
          <w:szCs w:val="24"/>
        </w:rPr>
        <w:t xml:space="preserve"> </w:t>
      </w:r>
      <w:r w:rsidRPr="00994FB7" w:rsidR="001C72D6">
        <w:rPr>
          <w:rFonts w:cs="Times New Roman"/>
          <w:szCs w:val="24"/>
        </w:rPr>
        <w:t xml:space="preserve">labor </w:t>
      </w:r>
      <w:r w:rsidRPr="00994FB7" w:rsidR="000D7DCF">
        <w:rPr>
          <w:rFonts w:cs="Times New Roman"/>
          <w:szCs w:val="24"/>
        </w:rPr>
        <w:t xml:space="preserve">hours associated with </w:t>
      </w:r>
      <w:r w:rsidRPr="00994FB7">
        <w:rPr>
          <w:rFonts w:cs="Times New Roman"/>
          <w:szCs w:val="24"/>
        </w:rPr>
        <w:t>COR</w:t>
      </w:r>
      <w:r w:rsidRPr="00994FB7" w:rsidR="000D7DCF">
        <w:rPr>
          <w:rFonts w:cs="Times New Roman"/>
          <w:szCs w:val="24"/>
        </w:rPr>
        <w:t xml:space="preserve"> and </w:t>
      </w:r>
      <w:r w:rsidRPr="00994FB7">
        <w:rPr>
          <w:rFonts w:cs="Times New Roman"/>
          <w:szCs w:val="24"/>
        </w:rPr>
        <w:t>ACOR</w:t>
      </w:r>
      <w:r w:rsidRPr="00994FB7" w:rsidR="000D7DCF">
        <w:rPr>
          <w:rFonts w:cs="Times New Roman"/>
          <w:szCs w:val="24"/>
        </w:rPr>
        <w:t xml:space="preserve"> duties</w:t>
      </w:r>
      <w:r w:rsidRPr="00994FB7" w:rsidR="001C72D6">
        <w:rPr>
          <w:rFonts w:cs="Times New Roman"/>
          <w:szCs w:val="24"/>
        </w:rPr>
        <w:t xml:space="preserve">, and </w:t>
      </w:r>
      <w:r w:rsidRPr="00994FB7" w:rsidR="000D7DCF">
        <w:rPr>
          <w:rFonts w:cs="Times New Roman"/>
          <w:szCs w:val="24"/>
        </w:rPr>
        <w:t>two</w:t>
      </w:r>
      <w:r w:rsidRPr="00994FB7" w:rsidR="001C72D6">
        <w:rPr>
          <w:rFonts w:cs="Times New Roman"/>
          <w:szCs w:val="24"/>
        </w:rPr>
        <w:t xml:space="preserve"> (2)</w:t>
      </w:r>
      <w:r w:rsidRPr="00994FB7" w:rsidR="000D7DCF">
        <w:rPr>
          <w:rFonts w:cs="Times New Roman"/>
          <w:szCs w:val="24"/>
        </w:rPr>
        <w:t xml:space="preserve"> highway safety </w:t>
      </w:r>
      <w:r w:rsidRPr="00994FB7" w:rsidR="000C42C8">
        <w:rPr>
          <w:rFonts w:cs="Times New Roman"/>
          <w:szCs w:val="24"/>
        </w:rPr>
        <w:t>analysts</w:t>
      </w:r>
      <w:r w:rsidRPr="00994FB7">
        <w:rPr>
          <w:rFonts w:cs="Times New Roman"/>
          <w:szCs w:val="24"/>
        </w:rPr>
        <w:t xml:space="preserve"> </w:t>
      </w:r>
      <w:r w:rsidRPr="00994FB7" w:rsidR="000D7DCF">
        <w:rPr>
          <w:rFonts w:cs="Times New Roman"/>
          <w:szCs w:val="24"/>
        </w:rPr>
        <w:t>dedicated on</w:t>
      </w:r>
      <w:r w:rsidRPr="00994FB7">
        <w:rPr>
          <w:rFonts w:cs="Times New Roman"/>
          <w:szCs w:val="24"/>
        </w:rPr>
        <w:t>e hundred (100) percent to the SEDC program</w:t>
      </w:r>
      <w:r w:rsidRPr="00994FB7" w:rsidR="001C72D6">
        <w:rPr>
          <w:rFonts w:cs="Times New Roman"/>
          <w:szCs w:val="24"/>
        </w:rPr>
        <w:t>. These costs also account for the coordination, implementation, and maintenance of the Non-SEDC EDT States.</w:t>
      </w:r>
      <w:r w:rsidRPr="00994FB7" w:rsidR="00581BC9">
        <w:rPr>
          <w:rFonts w:cs="Times New Roman"/>
          <w:szCs w:val="24"/>
        </w:rPr>
        <w:t xml:space="preserve"> There are additional staff that participate in data processing, access, publication, quality assurance and control, </w:t>
      </w:r>
      <w:r w:rsidRPr="00994FB7" w:rsidR="00F01C1A">
        <w:rPr>
          <w:rFonts w:cs="Times New Roman"/>
          <w:szCs w:val="24"/>
        </w:rPr>
        <w:t xml:space="preserve">traffic records </w:t>
      </w:r>
      <w:r w:rsidRPr="00994FB7" w:rsidR="00581BC9">
        <w:rPr>
          <w:rFonts w:cs="Times New Roman"/>
          <w:szCs w:val="24"/>
        </w:rPr>
        <w:t xml:space="preserve">and </w:t>
      </w:r>
      <w:r w:rsidRPr="00994FB7" w:rsidR="00F01C1A">
        <w:rPr>
          <w:rFonts w:cs="Times New Roman"/>
          <w:szCs w:val="24"/>
        </w:rPr>
        <w:t>analysis that support the development and implementation efforts associated with the SDS.</w:t>
      </w:r>
    </w:p>
    <w:p w:rsidR="000D7DCF" w:rsidRPr="00994FB7" w:rsidP="00054342" w14:paraId="0E52659C" w14:textId="44036B15">
      <w:pPr>
        <w:ind w:left="720"/>
      </w:pPr>
      <w:r w:rsidRPr="00994FB7">
        <w:rPr>
          <w:rFonts w:cs="Times New Roman"/>
          <w:szCs w:val="24"/>
        </w:rPr>
        <w:t xml:space="preserve">Additional Federal staff cost estimates </w:t>
      </w:r>
      <w:r w:rsidRPr="00994FB7" w:rsidR="00581BC9">
        <w:rPr>
          <w:rFonts w:cs="Times New Roman"/>
          <w:szCs w:val="24"/>
        </w:rPr>
        <w:t>associated</w:t>
      </w:r>
      <w:r w:rsidRPr="00994FB7">
        <w:rPr>
          <w:rFonts w:cs="Times New Roman"/>
          <w:szCs w:val="24"/>
        </w:rPr>
        <w:t xml:space="preserve"> with the management of the supporting contracts are accounted for in this overall Federal staff cost estimate and broken down in </w:t>
      </w:r>
      <w:r w:rsidRPr="00994FB7" w:rsidR="0043244B">
        <w:rPr>
          <w:rFonts w:cs="Times New Roman"/>
          <w:szCs w:val="24"/>
        </w:rPr>
        <w:fldChar w:fldCharType="begin"/>
      </w:r>
      <w:r w:rsidRPr="00994FB7" w:rsidR="0043244B">
        <w:rPr>
          <w:rFonts w:cs="Times New Roman"/>
          <w:szCs w:val="24"/>
        </w:rPr>
        <w:instrText xml:space="preserve"> REF _Ref231290534 \h </w:instrText>
      </w:r>
      <w:r w:rsidRPr="00994FB7" w:rsidR="00994FB7">
        <w:rPr>
          <w:rFonts w:cs="Times New Roman"/>
          <w:szCs w:val="24"/>
        </w:rPr>
        <w:instrText xml:space="preserve"> \* MERGEFORMAT </w:instrText>
      </w:r>
      <w:r w:rsidRPr="00994FB7" w:rsidR="0043244B">
        <w:rPr>
          <w:rFonts w:cs="Times New Roman"/>
          <w:szCs w:val="24"/>
        </w:rPr>
        <w:fldChar w:fldCharType="separate"/>
      </w:r>
      <w:r w:rsidRPr="00994FB7" w:rsidR="0043244B">
        <w:t xml:space="preserve">Table </w:t>
      </w:r>
      <w:r w:rsidRPr="00994FB7" w:rsidR="0043244B">
        <w:rPr>
          <w:noProof/>
        </w:rPr>
        <w:t>4</w:t>
      </w:r>
      <w:r w:rsidRPr="00994FB7" w:rsidR="0043244B">
        <w:rPr>
          <w:rFonts w:cs="Times New Roman"/>
          <w:szCs w:val="24"/>
        </w:rPr>
        <w:fldChar w:fldCharType="end"/>
      </w:r>
      <w:r w:rsidRPr="00994FB7">
        <w:rPr>
          <w:rFonts w:cs="Times New Roman"/>
          <w:szCs w:val="24"/>
        </w:rPr>
        <w:t xml:space="preserve">.  </w:t>
      </w:r>
      <w:r w:rsidRPr="00994FB7">
        <w:t>Summary of Federal Cost Components.</w:t>
      </w:r>
    </w:p>
    <w:p w:rsidR="00B93C1E" w:rsidRPr="00994FB7" w:rsidP="00B93C1E" w14:paraId="1F7DD999" w14:textId="32B8AA55">
      <w:pPr>
        <w:ind w:left="720"/>
        <w:rPr>
          <w:b/>
          <w:bCs/>
        </w:rPr>
      </w:pPr>
      <w:r w:rsidRPr="00994FB7">
        <w:rPr>
          <w:b/>
          <w:bCs/>
        </w:rPr>
        <w:t>2. Contractual Support Costs: $</w:t>
      </w:r>
      <w:r w:rsidRPr="00994FB7" w:rsidR="00555DF1">
        <w:rPr>
          <w:b/>
          <w:bCs/>
        </w:rPr>
        <w:t>6,614,499</w:t>
      </w:r>
    </w:p>
    <w:p w:rsidR="00B93C1E" w:rsidRPr="00994FB7" w:rsidP="00B93C1E" w14:paraId="3A118711" w14:textId="716B3C8B">
      <w:pPr>
        <w:ind w:left="720"/>
      </w:pPr>
      <w:r w:rsidRPr="00994FB7">
        <w:t xml:space="preserve">Because participating States supply data in varying formats and layouts, external IT and infrastructure support is required to process the information into a standardized, usable form. </w:t>
      </w:r>
      <w:r w:rsidRPr="00994FB7" w:rsidR="00F01C1A">
        <w:rPr>
          <w:rFonts w:cs="Times New Roman"/>
        </w:rPr>
        <w:t xml:space="preserve">Federal contracting support will be needed to implement and maintain the electronic data transfer process for EDT to ensure NHTSA receives the data securely and accurately. </w:t>
      </w:r>
      <w:r w:rsidRPr="00994FB7">
        <w:t xml:space="preserve">The annual contractual cost to provide </w:t>
      </w:r>
      <w:r w:rsidRPr="00994FB7" w:rsidR="001C72D6">
        <w:t xml:space="preserve">quality assurance and control support services, </w:t>
      </w:r>
      <w:r w:rsidRPr="00994FB7">
        <w:t xml:space="preserve">IT infrastructure, data processing, and technical support for the SDS is </w:t>
      </w:r>
      <w:r w:rsidRPr="00994FB7">
        <w:rPr>
          <w:b/>
          <w:bCs/>
        </w:rPr>
        <w:t>$</w:t>
      </w:r>
      <w:r w:rsidRPr="00994FB7" w:rsidR="00FE4A08">
        <w:rPr>
          <w:b/>
          <w:bCs/>
        </w:rPr>
        <w:t>6,614,499</w:t>
      </w:r>
      <w:r w:rsidRPr="00994FB7">
        <w:t>.</w:t>
      </w:r>
      <w:r w:rsidRPr="00994FB7" w:rsidR="001C72D6">
        <w:t xml:space="preserve"> The contract costs </w:t>
      </w:r>
      <w:r w:rsidRPr="00994FB7" w:rsidR="00650441">
        <w:t>are based on an estimated percentage of</w:t>
      </w:r>
      <w:r w:rsidRPr="00994FB7" w:rsidR="002B2A5D">
        <w:t xml:space="preserve"> time and resources devoted </w:t>
      </w:r>
      <w:r w:rsidRPr="00994FB7" w:rsidR="00F01C1A">
        <w:t>by f</w:t>
      </w:r>
      <w:r w:rsidRPr="00994FB7" w:rsidR="002B2A5D">
        <w:t>ederal staff (COR, ACOR, support staff)</w:t>
      </w:r>
      <w:r w:rsidRPr="00994FB7" w:rsidR="00F01C1A">
        <w:t xml:space="preserve"> and an estimated burden percentage of the overall contractual cost for the Quality Assurance and Contro</w:t>
      </w:r>
      <w:r w:rsidRPr="00994FB7" w:rsidR="00C85956">
        <w:t>l, Crash Data Acquisition Network (CDAN)</w:t>
      </w:r>
      <w:r w:rsidRPr="00994FB7" w:rsidR="00F01C1A">
        <w:t xml:space="preserve"> </w:t>
      </w:r>
      <w:r w:rsidRPr="00994FB7" w:rsidR="00C85956">
        <w:t>development, operation, and maintenance contracts</w:t>
      </w:r>
      <w:r w:rsidRPr="00994FB7" w:rsidR="00F01C1A">
        <w:t>.</w:t>
      </w:r>
    </w:p>
    <w:p w:rsidR="00B93C1E" w:rsidRPr="00994FB7" w:rsidP="00B93C1E" w14:paraId="4D7771C3" w14:textId="77777777">
      <w:pPr>
        <w:ind w:left="720"/>
        <w:rPr>
          <w:b/>
          <w:bCs/>
        </w:rPr>
      </w:pPr>
      <w:r w:rsidRPr="00994FB7">
        <w:rPr>
          <w:b/>
          <w:bCs/>
        </w:rPr>
        <w:t>3. Grant Program Transmission Costs: $32,887,316</w:t>
      </w:r>
    </w:p>
    <w:p w:rsidR="00B93C1E" w:rsidRPr="00994FB7" w:rsidP="00B93C1E" w14:paraId="7A5436D4" w14:textId="11EA8228">
      <w:pPr>
        <w:ind w:left="720"/>
      </w:pPr>
      <w:r w:rsidRPr="00994FB7">
        <w:t xml:space="preserve">NHTSA estimates the total annual Federal cost </w:t>
      </w:r>
      <w:r w:rsidRPr="00994FB7" w:rsidR="008D3059">
        <w:t xml:space="preserve">to support the </w:t>
      </w:r>
      <w:r w:rsidRPr="00994FB7">
        <w:t xml:space="preserve">SEDC States to be </w:t>
      </w:r>
      <w:r w:rsidRPr="00994FB7">
        <w:rPr>
          <w:b/>
          <w:bCs/>
        </w:rPr>
        <w:t>$32,887,315.95</w:t>
      </w:r>
      <w:r w:rsidRPr="00994FB7">
        <w:t xml:space="preserve">. This sum represents the </w:t>
      </w:r>
      <w:r w:rsidRPr="00994FB7" w:rsidR="008D3059">
        <w:t xml:space="preserve">annual </w:t>
      </w:r>
      <w:r w:rsidRPr="00994FB7">
        <w:t>discretionary grant fund</w:t>
      </w:r>
      <w:r w:rsidRPr="00994FB7" w:rsidR="008D3059">
        <w:t>ing</w:t>
      </w:r>
      <w:r w:rsidRPr="00994FB7">
        <w:t xml:space="preserve"> </w:t>
      </w:r>
      <w:r w:rsidRPr="00994FB7" w:rsidR="008D3059">
        <w:t xml:space="preserve">awarded to the </w:t>
      </w:r>
      <w:r w:rsidRPr="00994FB7">
        <w:t>18 SEDC grantees</w:t>
      </w:r>
      <w:r w:rsidRPr="00994FB7" w:rsidR="001C72D6">
        <w:t xml:space="preserve"> </w:t>
      </w:r>
      <w:r w:rsidRPr="00994FB7" w:rsidR="008D3059">
        <w:t xml:space="preserve">to </w:t>
      </w:r>
      <w:r w:rsidRPr="00994FB7" w:rsidR="001C72D6">
        <w:t>develop and update statewide crash repositories</w:t>
      </w:r>
      <w:r w:rsidRPr="00994FB7" w:rsidR="008D3059">
        <w:t xml:space="preserve">, increase participation in electronic data transfer by local law enforcement, and achieve the agreed upon alignment to MMUCC 6.  </w:t>
      </w:r>
      <w:r w:rsidRPr="00994FB7" w:rsidR="00F01C1A">
        <w:t xml:space="preserve">The SEDC grants were awarded to States based on the grant application, evaluation, and award process conducted by NHTSA.  The cost is an annualized accounting of federal discretionary grant funds awarded to 18 States. </w:t>
      </w:r>
    </w:p>
    <w:p w:rsidR="00033145" w:rsidRPr="00994FB7" w:rsidP="00B93C1E" w14:paraId="01A8E6BA" w14:textId="39FE8D25">
      <w:pPr>
        <w:ind w:left="720"/>
      </w:pPr>
    </w:p>
    <w:p w:rsidR="00B93C1E" w:rsidRPr="001504E1" w:rsidP="00994FB7" w14:paraId="04C1A1AD" w14:textId="447DBCC6">
      <w:pPr>
        <w:pStyle w:val="Caption"/>
        <w:keepNext/>
        <w:rPr>
          <w:color w:val="auto"/>
        </w:rPr>
      </w:pPr>
      <w:bookmarkStart w:id="33" w:name="_Ref231290534"/>
      <w:r w:rsidRPr="001504E1">
        <w:rPr>
          <w:color w:val="auto"/>
        </w:rPr>
        <w:t xml:space="preserve">Table </w:t>
      </w:r>
      <w:r w:rsidRPr="001504E1">
        <w:rPr>
          <w:color w:val="auto"/>
        </w:rPr>
        <w:fldChar w:fldCharType="begin"/>
      </w:r>
      <w:r w:rsidRPr="001504E1">
        <w:rPr>
          <w:color w:val="auto"/>
        </w:rPr>
        <w:instrText xml:space="preserve"> SEQ Table \* ARABIC </w:instrText>
      </w:r>
      <w:r w:rsidRPr="001504E1">
        <w:rPr>
          <w:color w:val="auto"/>
        </w:rPr>
        <w:fldChar w:fldCharType="separate"/>
      </w:r>
      <w:r w:rsidRPr="001504E1" w:rsidR="00A5297E">
        <w:rPr>
          <w:noProof/>
          <w:color w:val="auto"/>
        </w:rPr>
        <w:t>5</w:t>
      </w:r>
      <w:r w:rsidRPr="001504E1">
        <w:rPr>
          <w:color w:val="auto"/>
        </w:rPr>
        <w:fldChar w:fldCharType="end"/>
      </w:r>
      <w:bookmarkEnd w:id="33"/>
      <w:r w:rsidRPr="001504E1">
        <w:rPr>
          <w:color w:val="auto"/>
        </w:rPr>
        <w:t xml:space="preserve">. </w:t>
      </w:r>
      <w:r w:rsidRPr="001504E1">
        <w:rPr>
          <w:color w:val="auto"/>
        </w:rPr>
        <w:t>Summary of Federal Cost Components</w:t>
      </w:r>
    </w:p>
    <w:tbl>
      <w:tblPr>
        <w:tblW w:w="0" w:type="auto"/>
        <w:tblCellSpacing w:w="15"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2818"/>
        <w:gridCol w:w="3297"/>
        <w:gridCol w:w="2700"/>
      </w:tblGrid>
      <w:tr w14:paraId="40D592C2" w14:textId="77777777" w:rsidTr="00B93C1E">
        <w:tblPrEx>
          <w:tblW w:w="0" w:type="auto"/>
          <w:tblCellSpacing w:w="15"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Ex>
        <w:trPr>
          <w:trHeight w:val="667"/>
          <w:tblHeader/>
          <w:tblCellSpacing w:w="15" w:type="dxa"/>
        </w:trPr>
        <w:tc>
          <w:tcPr>
            <w:tcW w:w="2773" w:type="dxa"/>
            <w:tcMar>
              <w:top w:w="120" w:type="dxa"/>
              <w:left w:w="180" w:type="dxa"/>
              <w:bottom w:w="120" w:type="dxa"/>
              <w:right w:w="180" w:type="dxa"/>
            </w:tcMar>
            <w:vAlign w:val="center"/>
            <w:hideMark/>
          </w:tcPr>
          <w:p w:rsidR="00B93C1E" w:rsidRPr="00994FB7" w:rsidP="00B93C1E" w14:paraId="13641622" w14:textId="77777777">
            <w:r w:rsidRPr="00994FB7">
              <w:rPr>
                <w:b/>
                <w:bCs/>
              </w:rPr>
              <w:t>Cost Component</w:t>
            </w:r>
          </w:p>
        </w:tc>
        <w:tc>
          <w:tcPr>
            <w:tcW w:w="3267" w:type="dxa"/>
            <w:tcMar>
              <w:top w:w="120" w:type="dxa"/>
              <w:left w:w="180" w:type="dxa"/>
              <w:bottom w:w="120" w:type="dxa"/>
              <w:right w:w="180" w:type="dxa"/>
            </w:tcMar>
            <w:vAlign w:val="center"/>
            <w:hideMark/>
          </w:tcPr>
          <w:p w:rsidR="00B93C1E" w:rsidRPr="00994FB7" w:rsidP="00B93C1E" w14:paraId="01B1D73E" w14:textId="77777777">
            <w:pPr>
              <w:jc w:val="center"/>
            </w:pPr>
            <w:r w:rsidRPr="00994FB7">
              <w:rPr>
                <w:b/>
                <w:bCs/>
              </w:rPr>
              <w:t>Calculation / Description</w:t>
            </w:r>
          </w:p>
        </w:tc>
        <w:tc>
          <w:tcPr>
            <w:tcW w:w="2655" w:type="dxa"/>
            <w:tcMar>
              <w:top w:w="120" w:type="dxa"/>
              <w:left w:w="180" w:type="dxa"/>
              <w:bottom w:w="120" w:type="dxa"/>
              <w:right w:w="180" w:type="dxa"/>
            </w:tcMar>
            <w:vAlign w:val="center"/>
            <w:hideMark/>
          </w:tcPr>
          <w:p w:rsidR="00B93C1E" w:rsidRPr="00994FB7" w:rsidP="00B93C1E" w14:paraId="1E9B248A" w14:textId="77777777">
            <w:r w:rsidRPr="00994FB7">
              <w:rPr>
                <w:b/>
                <w:bCs/>
              </w:rPr>
              <w:t>Annual Cost to Federal Government</w:t>
            </w:r>
          </w:p>
        </w:tc>
      </w:tr>
      <w:tr w14:paraId="195687D9" w14:textId="77777777" w:rsidTr="00B93C1E">
        <w:tblPrEx>
          <w:tblW w:w="0" w:type="auto"/>
          <w:tblCellSpacing w:w="15" w:type="dxa"/>
          <w:tblInd w:w="715" w:type="dxa"/>
          <w:tblLayout w:type="fixed"/>
          <w:tblCellMar>
            <w:top w:w="15" w:type="dxa"/>
            <w:left w:w="15" w:type="dxa"/>
            <w:bottom w:w="15" w:type="dxa"/>
            <w:right w:w="15" w:type="dxa"/>
          </w:tblCellMar>
          <w:tblLook w:val="04A0"/>
        </w:tblPrEx>
        <w:trPr>
          <w:trHeight w:val="710"/>
          <w:tblCellSpacing w:w="15" w:type="dxa"/>
        </w:trPr>
        <w:tc>
          <w:tcPr>
            <w:tcW w:w="2773" w:type="dxa"/>
            <w:tcMar>
              <w:top w:w="120" w:type="dxa"/>
              <w:left w:w="180" w:type="dxa"/>
              <w:bottom w:w="120" w:type="dxa"/>
              <w:right w:w="180" w:type="dxa"/>
            </w:tcMar>
            <w:vAlign w:val="center"/>
            <w:hideMark/>
          </w:tcPr>
          <w:p w:rsidR="00B93C1E" w:rsidRPr="00994FB7" w:rsidP="00B93C1E" w14:paraId="5C6BF80A" w14:textId="77777777">
            <w:r w:rsidRPr="00994FB7">
              <w:rPr>
                <w:b/>
                <w:bCs/>
              </w:rPr>
              <w:t>Federal Staff (Internal)</w:t>
            </w:r>
          </w:p>
        </w:tc>
        <w:tc>
          <w:tcPr>
            <w:tcW w:w="3267" w:type="dxa"/>
            <w:tcMar>
              <w:top w:w="120" w:type="dxa"/>
              <w:left w:w="180" w:type="dxa"/>
              <w:bottom w:w="120" w:type="dxa"/>
              <w:right w:w="180" w:type="dxa"/>
            </w:tcMar>
            <w:vAlign w:val="center"/>
            <w:hideMark/>
          </w:tcPr>
          <w:p w:rsidR="00B93C1E" w:rsidRPr="00994FB7" w:rsidP="00B93C1E" w14:paraId="35177020" w14:textId="77777777">
            <w:r w:rsidRPr="00994FB7">
              <w:t>16,141 total hours across 29 GS 13–15 staff (fully loaded)</w:t>
            </w:r>
          </w:p>
        </w:tc>
        <w:tc>
          <w:tcPr>
            <w:tcW w:w="2655" w:type="dxa"/>
            <w:tcMar>
              <w:top w:w="120" w:type="dxa"/>
              <w:left w:w="180" w:type="dxa"/>
              <w:bottom w:w="120" w:type="dxa"/>
              <w:right w:w="180" w:type="dxa"/>
            </w:tcMar>
            <w:vAlign w:val="center"/>
            <w:hideMark/>
          </w:tcPr>
          <w:p w:rsidR="00B93C1E" w:rsidRPr="00994FB7" w:rsidP="00B93C1E" w14:paraId="5F3542F5" w14:textId="0F9CC7C6">
            <w:pPr>
              <w:jc w:val="center"/>
            </w:pPr>
            <w:r w:rsidRPr="00994FB7">
              <w:t>$1,</w:t>
            </w:r>
            <w:r w:rsidRPr="00994FB7" w:rsidR="00AB31F9">
              <w:t>778</w:t>
            </w:r>
            <w:r w:rsidRPr="00994FB7">
              <w:t>,</w:t>
            </w:r>
            <w:r w:rsidRPr="00994FB7" w:rsidR="00AB31F9">
              <w:t>421</w:t>
            </w:r>
            <w:r w:rsidRPr="00994FB7">
              <w:t>.</w:t>
            </w:r>
            <w:r w:rsidRPr="00994FB7" w:rsidR="00AB31F9">
              <w:t>64</w:t>
            </w:r>
          </w:p>
        </w:tc>
      </w:tr>
      <w:tr w14:paraId="1FB6EA49" w14:textId="77777777" w:rsidTr="00B93C1E">
        <w:tblPrEx>
          <w:tblW w:w="0" w:type="auto"/>
          <w:tblCellSpacing w:w="15" w:type="dxa"/>
          <w:tblInd w:w="715" w:type="dxa"/>
          <w:tblLayout w:type="fixed"/>
          <w:tblCellMar>
            <w:top w:w="15" w:type="dxa"/>
            <w:left w:w="15" w:type="dxa"/>
            <w:bottom w:w="15" w:type="dxa"/>
            <w:right w:w="15" w:type="dxa"/>
          </w:tblCellMar>
          <w:tblLook w:val="04A0"/>
        </w:tblPrEx>
        <w:trPr>
          <w:trHeight w:val="665"/>
          <w:tblCellSpacing w:w="15" w:type="dxa"/>
        </w:trPr>
        <w:tc>
          <w:tcPr>
            <w:tcW w:w="2773" w:type="dxa"/>
            <w:tcMar>
              <w:top w:w="120" w:type="dxa"/>
              <w:left w:w="180" w:type="dxa"/>
              <w:bottom w:w="120" w:type="dxa"/>
              <w:right w:w="180" w:type="dxa"/>
            </w:tcMar>
            <w:vAlign w:val="center"/>
            <w:hideMark/>
          </w:tcPr>
          <w:p w:rsidR="00B93C1E" w:rsidRPr="00994FB7" w:rsidP="00B93C1E" w14:paraId="27A65751" w14:textId="77777777">
            <w:r w:rsidRPr="00994FB7">
              <w:rPr>
                <w:b/>
                <w:bCs/>
              </w:rPr>
              <w:t>Contractual Support</w:t>
            </w:r>
          </w:p>
        </w:tc>
        <w:tc>
          <w:tcPr>
            <w:tcW w:w="3267" w:type="dxa"/>
            <w:tcMar>
              <w:top w:w="120" w:type="dxa"/>
              <w:left w:w="180" w:type="dxa"/>
              <w:bottom w:w="120" w:type="dxa"/>
              <w:right w:w="180" w:type="dxa"/>
            </w:tcMar>
            <w:vAlign w:val="center"/>
            <w:hideMark/>
          </w:tcPr>
          <w:p w:rsidR="00B93C1E" w:rsidRPr="00994FB7" w:rsidP="00B93C1E" w14:paraId="33707CD8" w14:textId="3E98703B">
            <w:r w:rsidRPr="00994FB7">
              <w:t>IT infrastructure and data standardization processing</w:t>
            </w:r>
          </w:p>
        </w:tc>
        <w:tc>
          <w:tcPr>
            <w:tcW w:w="2655" w:type="dxa"/>
            <w:tcMar>
              <w:top w:w="120" w:type="dxa"/>
              <w:left w:w="180" w:type="dxa"/>
              <w:bottom w:w="120" w:type="dxa"/>
              <w:right w:w="180" w:type="dxa"/>
            </w:tcMar>
            <w:vAlign w:val="center"/>
            <w:hideMark/>
          </w:tcPr>
          <w:p w:rsidR="00B93C1E" w:rsidRPr="00994FB7" w:rsidP="00B93C1E" w14:paraId="7D7229B4" w14:textId="0CA8BB58">
            <w:pPr>
              <w:jc w:val="center"/>
            </w:pPr>
            <w:r w:rsidRPr="00994FB7">
              <w:t>$6,614,499.19</w:t>
            </w:r>
          </w:p>
        </w:tc>
      </w:tr>
      <w:tr w14:paraId="047EBEA3" w14:textId="77777777" w:rsidTr="00B93C1E">
        <w:tblPrEx>
          <w:tblW w:w="0" w:type="auto"/>
          <w:tblCellSpacing w:w="15" w:type="dxa"/>
          <w:tblInd w:w="715" w:type="dxa"/>
          <w:tblLayout w:type="fixed"/>
          <w:tblCellMar>
            <w:top w:w="15" w:type="dxa"/>
            <w:left w:w="15" w:type="dxa"/>
            <w:bottom w:w="15" w:type="dxa"/>
            <w:right w:w="15" w:type="dxa"/>
          </w:tblCellMar>
          <w:tblLook w:val="04A0"/>
        </w:tblPrEx>
        <w:trPr>
          <w:trHeight w:val="719"/>
          <w:tblCellSpacing w:w="15" w:type="dxa"/>
        </w:trPr>
        <w:tc>
          <w:tcPr>
            <w:tcW w:w="2773" w:type="dxa"/>
            <w:tcMar>
              <w:top w:w="120" w:type="dxa"/>
              <w:left w:w="180" w:type="dxa"/>
              <w:bottom w:w="120" w:type="dxa"/>
              <w:right w:w="180" w:type="dxa"/>
            </w:tcMar>
            <w:vAlign w:val="center"/>
            <w:hideMark/>
          </w:tcPr>
          <w:p w:rsidR="00B93C1E" w:rsidRPr="00994FB7" w:rsidP="00B93C1E" w14:paraId="4746AACA" w14:textId="5449BB23">
            <w:r w:rsidRPr="00994FB7">
              <w:rPr>
                <w:b/>
                <w:bCs/>
              </w:rPr>
              <w:t xml:space="preserve">SEDC Grant </w:t>
            </w:r>
          </w:p>
        </w:tc>
        <w:tc>
          <w:tcPr>
            <w:tcW w:w="3267" w:type="dxa"/>
            <w:tcMar>
              <w:top w:w="120" w:type="dxa"/>
              <w:left w:w="180" w:type="dxa"/>
              <w:bottom w:w="120" w:type="dxa"/>
              <w:right w:w="180" w:type="dxa"/>
            </w:tcMar>
            <w:vAlign w:val="center"/>
            <w:hideMark/>
          </w:tcPr>
          <w:p w:rsidR="00B93C1E" w:rsidRPr="00994FB7" w:rsidP="00B93C1E" w14:paraId="7D12F107" w14:textId="77777777">
            <w:r w:rsidRPr="00994FB7">
              <w:t>Discretionary grant funding for 18 SEDC grantees</w:t>
            </w:r>
          </w:p>
        </w:tc>
        <w:tc>
          <w:tcPr>
            <w:tcW w:w="2655" w:type="dxa"/>
            <w:tcMar>
              <w:top w:w="120" w:type="dxa"/>
              <w:left w:w="180" w:type="dxa"/>
              <w:bottom w:w="120" w:type="dxa"/>
              <w:right w:w="180" w:type="dxa"/>
            </w:tcMar>
            <w:vAlign w:val="center"/>
            <w:hideMark/>
          </w:tcPr>
          <w:p w:rsidR="00B93C1E" w:rsidRPr="00994FB7" w:rsidP="00B93C1E" w14:paraId="5AB59E17" w14:textId="77777777">
            <w:pPr>
              <w:jc w:val="center"/>
            </w:pPr>
            <w:r w:rsidRPr="00994FB7">
              <w:t>$32,887,315.95</w:t>
            </w:r>
          </w:p>
        </w:tc>
      </w:tr>
      <w:tr w14:paraId="21018EC6" w14:textId="77777777" w:rsidTr="00B93C1E">
        <w:tblPrEx>
          <w:tblW w:w="0" w:type="auto"/>
          <w:tblCellSpacing w:w="15" w:type="dxa"/>
          <w:tblInd w:w="715" w:type="dxa"/>
          <w:tblLayout w:type="fixed"/>
          <w:tblCellMar>
            <w:top w:w="15" w:type="dxa"/>
            <w:left w:w="15" w:type="dxa"/>
            <w:bottom w:w="15" w:type="dxa"/>
            <w:right w:w="15" w:type="dxa"/>
          </w:tblCellMar>
          <w:tblLook w:val="04A0"/>
        </w:tblPrEx>
        <w:trPr>
          <w:trHeight w:val="404"/>
          <w:tblCellSpacing w:w="15" w:type="dxa"/>
        </w:trPr>
        <w:tc>
          <w:tcPr>
            <w:tcW w:w="2773" w:type="dxa"/>
            <w:tcMar>
              <w:top w:w="120" w:type="dxa"/>
              <w:left w:w="180" w:type="dxa"/>
              <w:bottom w:w="120" w:type="dxa"/>
              <w:right w:w="180" w:type="dxa"/>
            </w:tcMar>
            <w:vAlign w:val="center"/>
            <w:hideMark/>
          </w:tcPr>
          <w:p w:rsidR="00B93C1E" w:rsidRPr="00994FB7" w:rsidP="00B93C1E" w14:paraId="0D64245F" w14:textId="77777777">
            <w:pPr>
              <w:ind w:left="720"/>
            </w:pPr>
            <w:r w:rsidRPr="00994FB7">
              <w:rPr>
                <w:b/>
                <w:bCs/>
              </w:rPr>
              <w:t>TOTAL</w:t>
            </w:r>
          </w:p>
        </w:tc>
        <w:tc>
          <w:tcPr>
            <w:tcW w:w="3267" w:type="dxa"/>
            <w:tcMar>
              <w:top w:w="120" w:type="dxa"/>
              <w:left w:w="180" w:type="dxa"/>
              <w:bottom w:w="120" w:type="dxa"/>
              <w:right w:w="180" w:type="dxa"/>
            </w:tcMar>
            <w:vAlign w:val="center"/>
            <w:hideMark/>
          </w:tcPr>
          <w:p w:rsidR="00B93C1E" w:rsidRPr="00994FB7" w:rsidP="00B93C1E" w14:paraId="55D409FB" w14:textId="77777777">
            <w:pPr>
              <w:ind w:left="720"/>
            </w:pPr>
          </w:p>
        </w:tc>
        <w:tc>
          <w:tcPr>
            <w:tcW w:w="2655" w:type="dxa"/>
            <w:tcMar>
              <w:top w:w="120" w:type="dxa"/>
              <w:left w:w="180" w:type="dxa"/>
              <w:bottom w:w="120" w:type="dxa"/>
              <w:right w:w="180" w:type="dxa"/>
            </w:tcMar>
            <w:vAlign w:val="center"/>
            <w:hideMark/>
          </w:tcPr>
          <w:p w:rsidR="00B93C1E" w:rsidRPr="00994FB7" w:rsidP="00B93C1E" w14:paraId="428FC83C" w14:textId="4027CC3A">
            <w:pPr>
              <w:jc w:val="center"/>
            </w:pPr>
            <w:r w:rsidRPr="00994FB7">
              <w:rPr>
                <w:b/>
                <w:bCs/>
              </w:rPr>
              <w:t>$41,280,236.78</w:t>
            </w:r>
          </w:p>
        </w:tc>
      </w:tr>
    </w:tbl>
    <w:p w:rsidR="00B93C1E" w:rsidRPr="00994FB7" w:rsidP="00B93C1E" w14:paraId="7574E5CE" w14:textId="77777777">
      <w:pPr>
        <w:ind w:left="720"/>
      </w:pPr>
    </w:p>
    <w:p w:rsidR="00CB055C" w:rsidRPr="00994FB7" w:rsidP="61DDEE15" w14:paraId="12FA9204" w14:textId="20E233E3">
      <w:pPr>
        <w:tabs>
          <w:tab w:val="left" w:pos="540"/>
          <w:tab w:val="left" w:pos="2880"/>
        </w:tabs>
        <w:ind w:left="720"/>
        <w:rPr>
          <w:rFonts w:cs="Times New Roman"/>
          <w:vertAlign w:val="subscript"/>
        </w:rPr>
      </w:pPr>
      <w:r w:rsidRPr="6BFE8905">
        <w:rPr>
          <w:rFonts w:eastAsia="Times New Roman" w:cs="Times New Roman"/>
        </w:rPr>
        <w:t xml:space="preserve">Therefore, NHTSA </w:t>
      </w:r>
      <w:r w:rsidRPr="6BFE8905">
        <w:rPr>
          <w:rFonts w:cs="Times New Roman"/>
        </w:rPr>
        <w:t xml:space="preserve">estimates the total </w:t>
      </w:r>
      <w:r w:rsidRPr="6BFE8905" w:rsidR="00C85956">
        <w:rPr>
          <w:rFonts w:cs="Times New Roman"/>
        </w:rPr>
        <w:t>burden hours</w:t>
      </w:r>
      <w:r w:rsidRPr="6BFE8905">
        <w:rPr>
          <w:rFonts w:cs="Times New Roman"/>
        </w:rPr>
        <w:t xml:space="preserve"> for federal staff to manage the </w:t>
      </w:r>
      <w:r w:rsidRPr="6BFE8905" w:rsidR="00C85956">
        <w:rPr>
          <w:rFonts w:cs="Times New Roman"/>
        </w:rPr>
        <w:t xml:space="preserve">SDT </w:t>
      </w:r>
      <w:r w:rsidRPr="6BFE8905">
        <w:rPr>
          <w:rFonts w:cs="Times New Roman"/>
        </w:rPr>
        <w:t xml:space="preserve">will be </w:t>
      </w:r>
      <w:r w:rsidRPr="6BFE8905" w:rsidR="00C85956">
        <w:rPr>
          <w:rFonts w:cs="Times New Roman"/>
        </w:rPr>
        <w:t xml:space="preserve">16,141.  </w:t>
      </w:r>
      <w:r w:rsidRPr="00994FB7">
        <w:rPr>
          <w:rFonts w:cs="Times New Roman"/>
        </w:rPr>
        <w:t xml:space="preserve">The total annual Federal cost for </w:t>
      </w:r>
      <w:r w:rsidRPr="00994FB7" w:rsidR="00C85956">
        <w:rPr>
          <w:rFonts w:cs="Times New Roman"/>
        </w:rPr>
        <w:t>SDT</w:t>
      </w:r>
      <w:r w:rsidRPr="00994FB7">
        <w:rPr>
          <w:rFonts w:cs="Times New Roman"/>
        </w:rPr>
        <w:t xml:space="preserve"> is estimated to be </w:t>
      </w:r>
      <w:r w:rsidRPr="00994FB7" w:rsidR="00D32164">
        <w:rPr>
          <w:rFonts w:cs="Times New Roman"/>
        </w:rPr>
        <w:t xml:space="preserve">$41,280,236.78 </w:t>
      </w:r>
      <w:r w:rsidRPr="00994FB7" w:rsidR="001840E9">
        <w:rPr>
          <w:rFonts w:cs="Times New Roman"/>
        </w:rPr>
        <w:t>(</w:t>
      </w:r>
      <w:r w:rsidRPr="00994FB7" w:rsidR="00D32164">
        <w:rPr>
          <w:rFonts w:cs="Times New Roman"/>
        </w:rPr>
        <w:t>$1,778,421.64</w:t>
      </w:r>
      <w:r w:rsidR="001504E1">
        <w:rPr>
          <w:rFonts w:cs="Times New Roman"/>
        </w:rPr>
        <w:t xml:space="preserve"> </w:t>
      </w:r>
      <w:r w:rsidRPr="00994FB7" w:rsidR="002F11C5">
        <w:rPr>
          <w:rFonts w:cs="Times New Roman"/>
        </w:rPr>
        <w:t xml:space="preserve">for </w:t>
      </w:r>
      <w:r w:rsidRPr="00994FB7" w:rsidR="00C85956">
        <w:rPr>
          <w:rFonts w:cs="Times New Roman"/>
        </w:rPr>
        <w:t>Federal employees</w:t>
      </w:r>
      <w:r w:rsidRPr="00994FB7" w:rsidR="002F11C5">
        <w:rPr>
          <w:rFonts w:cs="Times New Roman"/>
        </w:rPr>
        <w:t xml:space="preserve"> </w:t>
      </w:r>
      <w:r w:rsidRPr="00994FB7" w:rsidR="001840E9">
        <w:rPr>
          <w:rFonts w:cs="Times New Roman"/>
        </w:rPr>
        <w:t xml:space="preserve">+ </w:t>
      </w:r>
      <w:r w:rsidRPr="00994FB7" w:rsidR="00D32164">
        <w:rPr>
          <w:rFonts w:cs="Times New Roman"/>
        </w:rPr>
        <w:t>$6,614,499.19</w:t>
      </w:r>
      <w:r w:rsidRPr="00994FB7" w:rsidR="00C85956">
        <w:t xml:space="preserve"> </w:t>
      </w:r>
      <w:r w:rsidRPr="00994FB7" w:rsidR="002F11C5">
        <w:rPr>
          <w:rFonts w:cs="Times New Roman"/>
        </w:rPr>
        <w:t xml:space="preserve">for </w:t>
      </w:r>
      <w:r w:rsidRPr="00994FB7" w:rsidR="00C85956">
        <w:rPr>
          <w:rFonts w:cs="Times New Roman"/>
        </w:rPr>
        <w:t>contractual services and management</w:t>
      </w:r>
      <w:r w:rsidRPr="00994FB7" w:rsidR="002F11C5">
        <w:rPr>
          <w:rFonts w:cs="Times New Roman"/>
        </w:rPr>
        <w:t xml:space="preserve"> </w:t>
      </w:r>
      <w:r w:rsidRPr="00994FB7" w:rsidR="007519CA">
        <w:rPr>
          <w:rFonts w:cs="Times New Roman"/>
        </w:rPr>
        <w:t>+</w:t>
      </w:r>
      <w:r w:rsidRPr="00994FB7" w:rsidR="002F11C5">
        <w:rPr>
          <w:rFonts w:cs="Times New Roman"/>
        </w:rPr>
        <w:t xml:space="preserve"> $</w:t>
      </w:r>
      <w:r w:rsidRPr="00994FB7" w:rsidR="00C85956">
        <w:t xml:space="preserve">32,887,315.95 </w:t>
      </w:r>
      <w:r w:rsidRPr="00994FB7" w:rsidR="002C46C5">
        <w:rPr>
          <w:rFonts w:cs="Times New Roman"/>
        </w:rPr>
        <w:t>for</w:t>
      </w:r>
      <w:r w:rsidRPr="00994FB7" w:rsidR="007519CA">
        <w:rPr>
          <w:rFonts w:cs="Times New Roman"/>
        </w:rPr>
        <w:t xml:space="preserve"> </w:t>
      </w:r>
      <w:r w:rsidRPr="00994FB7" w:rsidR="003431DD">
        <w:rPr>
          <w:rFonts w:cs="Times New Roman"/>
        </w:rPr>
        <w:t>SEDC</w:t>
      </w:r>
      <w:r w:rsidRPr="00994FB7" w:rsidR="00C85956">
        <w:rPr>
          <w:rFonts w:cs="Times New Roman"/>
        </w:rPr>
        <w:t xml:space="preserve"> discretionary funds for 18 grantees</w:t>
      </w:r>
      <w:r w:rsidRPr="00994FB7" w:rsidR="001840E9">
        <w:rPr>
          <w:rFonts w:cs="Times New Roman"/>
        </w:rPr>
        <w:t xml:space="preserve">). </w:t>
      </w:r>
    </w:p>
    <w:p w:rsidR="00DF3DC9" w:rsidRPr="00994FB7" w:rsidP="00D109CC" w14:paraId="0DE9859F" w14:textId="77777777">
      <w:pPr>
        <w:pStyle w:val="Heading2"/>
      </w:pPr>
      <w:bookmarkStart w:id="34" w:name="_Hlk63087643"/>
      <w:bookmarkStart w:id="35" w:name="_Hlk51332149"/>
      <w:r w:rsidRPr="00994FB7">
        <w:t>Explain the reasons for any program changes or adjustments reported on the burden worksheet. If this is a new collection, the program change will be entire burden cost and number of burden hours reported in response to questions 12 and 13. If this is a renewal or reinstatement, the change is the difference between the new burden estimates and the burden estimates from the last OMB approval</w:t>
      </w:r>
      <w:r w:rsidRPr="00994FB7" w:rsidR="00F7768F">
        <w:t xml:space="preserve">. </w:t>
      </w:r>
      <w:bookmarkEnd w:id="34"/>
      <w:r w:rsidRPr="00994FB7">
        <w:t xml:space="preserve"> </w:t>
      </w:r>
    </w:p>
    <w:bookmarkEnd w:id="35"/>
    <w:p w:rsidR="00103129" w:rsidRPr="00994FB7" w14:paraId="22AED4D7" w14:textId="00D9BECC">
      <w:pPr>
        <w:pStyle w:val="CommentText"/>
        <w:ind w:left="720"/>
        <w:rPr>
          <w:rFonts w:ascii="Times New Roman" w:hAnsi="Times New Roman"/>
          <w:sz w:val="24"/>
          <w:szCs w:val="24"/>
        </w:rPr>
      </w:pPr>
      <w:r w:rsidRPr="32AD57CE">
        <w:rPr>
          <w:rFonts w:ascii="Times New Roman" w:hAnsi="Times New Roman"/>
          <w:sz w:val="24"/>
          <w:szCs w:val="24"/>
        </w:rPr>
        <w:t xml:space="preserve">The </w:t>
      </w:r>
      <w:r w:rsidRPr="32AD57CE" w:rsidR="232604A8">
        <w:rPr>
          <w:rFonts w:ascii="Times New Roman" w:hAnsi="Times New Roman"/>
          <w:sz w:val="24"/>
          <w:szCs w:val="24"/>
        </w:rPr>
        <w:t>current</w:t>
      </w:r>
      <w:r w:rsidRPr="32AD57CE" w:rsidR="00F64677">
        <w:rPr>
          <w:rFonts w:ascii="Times New Roman" w:hAnsi="Times New Roman"/>
          <w:sz w:val="24"/>
          <w:szCs w:val="24"/>
        </w:rPr>
        <w:t xml:space="preserve"> approved </w:t>
      </w:r>
      <w:r w:rsidRPr="32AD57CE">
        <w:rPr>
          <w:rFonts w:ascii="Times New Roman" w:hAnsi="Times New Roman"/>
          <w:sz w:val="24"/>
          <w:szCs w:val="24"/>
        </w:rPr>
        <w:t>annual burden</w:t>
      </w:r>
      <w:r w:rsidRPr="32AD57CE" w:rsidR="00F64677">
        <w:rPr>
          <w:rFonts w:ascii="Times New Roman" w:hAnsi="Times New Roman"/>
          <w:sz w:val="24"/>
          <w:szCs w:val="24"/>
        </w:rPr>
        <w:t>s</w:t>
      </w:r>
      <w:r w:rsidRPr="32AD57CE">
        <w:rPr>
          <w:rFonts w:ascii="Times New Roman" w:hAnsi="Times New Roman"/>
          <w:sz w:val="24"/>
          <w:szCs w:val="24"/>
        </w:rPr>
        <w:t> for this ICR</w:t>
      </w:r>
      <w:r w:rsidRPr="32AD57CE" w:rsidR="00F64677">
        <w:rPr>
          <w:rFonts w:ascii="Times New Roman" w:hAnsi="Times New Roman"/>
          <w:sz w:val="24"/>
          <w:szCs w:val="24"/>
        </w:rPr>
        <w:t xml:space="preserve"> </w:t>
      </w:r>
      <w:r w:rsidRPr="32AD57CE" w:rsidR="29F76FB8">
        <w:rPr>
          <w:rFonts w:ascii="Times New Roman" w:hAnsi="Times New Roman"/>
          <w:sz w:val="24"/>
          <w:szCs w:val="24"/>
        </w:rPr>
        <w:t>is</w:t>
      </w:r>
      <w:r w:rsidRPr="32AD57CE">
        <w:rPr>
          <w:rFonts w:ascii="Times New Roman" w:hAnsi="Times New Roman"/>
          <w:sz w:val="24"/>
          <w:szCs w:val="24"/>
        </w:rPr>
        <w:t xml:space="preserve"> 312,663 hours and $5,000,000</w:t>
      </w:r>
      <w:r w:rsidRPr="32AD57CE" w:rsidR="0001134A">
        <w:rPr>
          <w:rFonts w:ascii="Times New Roman" w:hAnsi="Times New Roman"/>
          <w:sz w:val="24"/>
          <w:szCs w:val="24"/>
        </w:rPr>
        <w:t xml:space="preserve"> in cost burden</w:t>
      </w:r>
      <w:r w:rsidRPr="32AD57CE">
        <w:rPr>
          <w:rFonts w:ascii="Times New Roman" w:hAnsi="Times New Roman"/>
          <w:sz w:val="24"/>
          <w:szCs w:val="24"/>
        </w:rPr>
        <w:t xml:space="preserve">. </w:t>
      </w:r>
      <w:r w:rsidRPr="32AD57CE" w:rsidR="58BDFD36">
        <w:rPr>
          <w:rFonts w:ascii="Times New Roman" w:hAnsi="Times New Roman"/>
          <w:sz w:val="24"/>
          <w:szCs w:val="24"/>
        </w:rPr>
        <w:t xml:space="preserve">In this collection, </w:t>
      </w:r>
      <w:r w:rsidRPr="32AD57CE" w:rsidR="5C7F503E">
        <w:rPr>
          <w:rFonts w:ascii="Times New Roman" w:hAnsi="Times New Roman"/>
          <w:sz w:val="24"/>
          <w:szCs w:val="24"/>
        </w:rPr>
        <w:t xml:space="preserve">the </w:t>
      </w:r>
      <w:r w:rsidRPr="32AD57CE" w:rsidR="00EE01DC">
        <w:rPr>
          <w:rFonts w:ascii="Times New Roman" w:hAnsi="Times New Roman"/>
          <w:sz w:val="24"/>
          <w:szCs w:val="24"/>
        </w:rPr>
        <w:t xml:space="preserve">annual burden </w:t>
      </w:r>
      <w:r w:rsidRPr="32AD57CE" w:rsidR="00BF74A2">
        <w:rPr>
          <w:rFonts w:ascii="Times New Roman" w:hAnsi="Times New Roman"/>
          <w:sz w:val="24"/>
          <w:szCs w:val="24"/>
        </w:rPr>
        <w:t xml:space="preserve">estimate </w:t>
      </w:r>
      <w:r w:rsidRPr="32AD57CE" w:rsidR="23FDBD3E">
        <w:rPr>
          <w:rFonts w:ascii="Times New Roman" w:hAnsi="Times New Roman"/>
          <w:sz w:val="24"/>
          <w:szCs w:val="24"/>
        </w:rPr>
        <w:t>was revised and is estimated to be</w:t>
      </w:r>
      <w:r w:rsidRPr="32AD57CE" w:rsidR="00BB2EC6">
        <w:rPr>
          <w:rFonts w:ascii="Times New Roman" w:hAnsi="Times New Roman"/>
          <w:sz w:val="24"/>
          <w:szCs w:val="24"/>
        </w:rPr>
        <w:t xml:space="preserve"> </w:t>
      </w:r>
      <w:r w:rsidRPr="32AD57CE" w:rsidR="00D50DED">
        <w:rPr>
          <w:rFonts w:ascii="Times New Roman" w:hAnsi="Times New Roman"/>
          <w:sz w:val="24"/>
          <w:szCs w:val="24"/>
        </w:rPr>
        <w:t>14</w:t>
      </w:r>
      <w:r w:rsidRPr="32AD57CE" w:rsidR="002C2815">
        <w:rPr>
          <w:rFonts w:ascii="Times New Roman" w:hAnsi="Times New Roman"/>
          <w:sz w:val="24"/>
          <w:szCs w:val="24"/>
        </w:rPr>
        <w:t>,</w:t>
      </w:r>
      <w:r w:rsidRPr="32AD57CE" w:rsidR="004C74D5">
        <w:rPr>
          <w:rFonts w:ascii="Times New Roman" w:hAnsi="Times New Roman"/>
          <w:sz w:val="24"/>
          <w:szCs w:val="24"/>
        </w:rPr>
        <w:t>38</w:t>
      </w:r>
      <w:r w:rsidRPr="32AD57CE" w:rsidR="004C74D5">
        <w:rPr>
          <w:rFonts w:ascii="Times New Roman" w:hAnsi="Times New Roman"/>
          <w:sz w:val="24"/>
          <w:szCs w:val="24"/>
        </w:rPr>
        <w:t>9</w:t>
      </w:r>
      <w:r w:rsidRPr="32AD57CE" w:rsidR="004C74D5">
        <w:rPr>
          <w:rFonts w:ascii="Times New Roman" w:hAnsi="Times New Roman"/>
          <w:sz w:val="24"/>
          <w:szCs w:val="24"/>
        </w:rPr>
        <w:t xml:space="preserve"> </w:t>
      </w:r>
      <w:r w:rsidRPr="32AD57CE" w:rsidR="002C2815">
        <w:rPr>
          <w:rFonts w:ascii="Times New Roman" w:hAnsi="Times New Roman"/>
          <w:sz w:val="24"/>
          <w:szCs w:val="24"/>
        </w:rPr>
        <w:t xml:space="preserve">hours and </w:t>
      </w:r>
      <w:r w:rsidRPr="32AD57CE" w:rsidR="00766A61">
        <w:rPr>
          <w:rFonts w:ascii="Times New Roman" w:hAnsi="Times New Roman"/>
          <w:sz w:val="24"/>
          <w:szCs w:val="24"/>
        </w:rPr>
        <w:t>$6,262,231.02</w:t>
      </w:r>
      <w:r w:rsidRPr="32AD57CE" w:rsidR="00BB2EC6">
        <w:rPr>
          <w:rFonts w:ascii="Times New Roman" w:hAnsi="Times New Roman"/>
          <w:sz w:val="24"/>
          <w:szCs w:val="24"/>
        </w:rPr>
        <w:t xml:space="preserve"> in total cost</w:t>
      </w:r>
      <w:r w:rsidRPr="32AD57CE" w:rsidR="002C2815">
        <w:rPr>
          <w:rFonts w:ascii="Times New Roman" w:hAnsi="Times New Roman"/>
          <w:sz w:val="24"/>
          <w:szCs w:val="24"/>
        </w:rPr>
        <w:t xml:space="preserve">. </w:t>
      </w:r>
      <w:r w:rsidRPr="32AD57CE" w:rsidR="00677C6B">
        <w:rPr>
          <w:rFonts w:ascii="Times New Roman" w:hAnsi="Times New Roman"/>
          <w:sz w:val="24"/>
          <w:szCs w:val="24"/>
        </w:rPr>
        <w:t xml:space="preserve">This </w:t>
      </w:r>
      <w:r w:rsidRPr="32AD57CE" w:rsidR="00677C6B">
        <w:rPr>
          <w:rFonts w:ascii="Times New Roman" w:hAnsi="Times New Roman"/>
          <w:sz w:val="24"/>
          <w:szCs w:val="24"/>
        </w:rPr>
        <w:t>represent</w:t>
      </w:r>
      <w:r w:rsidRPr="32AD57CE" w:rsidR="732E6227">
        <w:rPr>
          <w:rFonts w:ascii="Times New Roman" w:hAnsi="Times New Roman"/>
          <w:sz w:val="24"/>
          <w:szCs w:val="24"/>
        </w:rPr>
        <w:t>s</w:t>
      </w:r>
      <w:r w:rsidRPr="32AD57CE" w:rsidR="732E6227">
        <w:rPr>
          <w:rFonts w:ascii="Times New Roman" w:hAnsi="Times New Roman"/>
          <w:sz w:val="24"/>
          <w:szCs w:val="24"/>
        </w:rPr>
        <w:t xml:space="preserve"> a</w:t>
      </w:r>
      <w:r w:rsidRPr="32AD57CE" w:rsidR="00677C6B">
        <w:rPr>
          <w:rFonts w:ascii="Times New Roman" w:hAnsi="Times New Roman"/>
          <w:sz w:val="24"/>
          <w:szCs w:val="24"/>
        </w:rPr>
        <w:t xml:space="preserve"> </w:t>
      </w:r>
      <w:r w:rsidRPr="32AD57CE" w:rsidR="002C2815">
        <w:rPr>
          <w:rFonts w:ascii="Times New Roman" w:hAnsi="Times New Roman"/>
          <w:sz w:val="24"/>
          <w:szCs w:val="24"/>
        </w:rPr>
        <w:t>decrease</w:t>
      </w:r>
      <w:r w:rsidRPr="32AD57CE" w:rsidR="00EE01DC">
        <w:rPr>
          <w:rFonts w:ascii="Times New Roman" w:hAnsi="Times New Roman"/>
          <w:sz w:val="24"/>
          <w:szCs w:val="24"/>
        </w:rPr>
        <w:t xml:space="preserve"> </w:t>
      </w:r>
      <w:r w:rsidRPr="32AD57CE" w:rsidR="00677C6B">
        <w:rPr>
          <w:rStyle w:val="CommentReference"/>
        </w:rPr>
        <w:t>of</w:t>
      </w:r>
      <w:r w:rsidRPr="32AD57CE" w:rsidR="00677C6B">
        <w:rPr>
          <w:rFonts w:ascii="Times New Roman" w:hAnsi="Times New Roman"/>
          <w:sz w:val="24"/>
          <w:szCs w:val="24"/>
        </w:rPr>
        <w:t xml:space="preserve"> </w:t>
      </w:r>
      <w:r w:rsidRPr="32AD57CE" w:rsidR="00BA55EA">
        <w:rPr>
          <w:rFonts w:ascii="Times New Roman" w:hAnsi="Times New Roman"/>
          <w:sz w:val="24"/>
          <w:szCs w:val="24"/>
        </w:rPr>
        <w:t>298,277</w:t>
      </w:r>
      <w:r w:rsidRPr="32AD57CE" w:rsidR="00EE01DC">
        <w:rPr>
          <w:rFonts w:ascii="Times New Roman" w:hAnsi="Times New Roman"/>
          <w:sz w:val="24"/>
          <w:szCs w:val="24"/>
        </w:rPr>
        <w:t xml:space="preserve"> hours</w:t>
      </w:r>
      <w:r w:rsidRPr="32AD57CE" w:rsidR="00494DDF">
        <w:rPr>
          <w:rFonts w:ascii="Times New Roman" w:hAnsi="Times New Roman"/>
          <w:sz w:val="24"/>
          <w:szCs w:val="24"/>
        </w:rPr>
        <w:t xml:space="preserve"> and an</w:t>
      </w:r>
      <w:r w:rsidRPr="32AD57CE" w:rsidR="00034597">
        <w:rPr>
          <w:rFonts w:ascii="Times New Roman" w:hAnsi="Times New Roman"/>
          <w:sz w:val="24"/>
          <w:szCs w:val="24"/>
        </w:rPr>
        <w:t xml:space="preserve"> increase </w:t>
      </w:r>
      <w:r w:rsidRPr="32AD57CE" w:rsidR="00494DDF">
        <w:rPr>
          <w:rFonts w:ascii="Times New Roman" w:hAnsi="Times New Roman"/>
          <w:sz w:val="24"/>
          <w:szCs w:val="24"/>
        </w:rPr>
        <w:t>of</w:t>
      </w:r>
      <w:r w:rsidRPr="32AD57CE" w:rsidR="00034597">
        <w:rPr>
          <w:rFonts w:ascii="Times New Roman" w:hAnsi="Times New Roman"/>
          <w:sz w:val="24"/>
          <w:szCs w:val="24"/>
        </w:rPr>
        <w:t xml:space="preserve"> $1,262,231.02</w:t>
      </w:r>
      <w:r w:rsidRPr="32AD57CE" w:rsidR="00494DDF">
        <w:rPr>
          <w:rFonts w:ascii="Times New Roman" w:hAnsi="Times New Roman"/>
          <w:sz w:val="24"/>
          <w:szCs w:val="24"/>
        </w:rPr>
        <w:t xml:space="preserve"> in cost burden</w:t>
      </w:r>
      <w:r w:rsidRPr="32AD57CE" w:rsidR="004214B1">
        <w:rPr>
          <w:rFonts w:ascii="Times New Roman" w:hAnsi="Times New Roman"/>
          <w:sz w:val="24"/>
          <w:szCs w:val="24"/>
        </w:rPr>
        <w:t xml:space="preserve">. </w:t>
      </w:r>
      <w:r w:rsidRPr="32AD57CE" w:rsidR="005E5E46">
        <w:rPr>
          <w:rFonts w:ascii="Times New Roman" w:hAnsi="Times New Roman"/>
          <w:sz w:val="24"/>
          <w:szCs w:val="24"/>
        </w:rPr>
        <w:t>The</w:t>
      </w:r>
      <w:r w:rsidRPr="32AD57CE" w:rsidR="00494DDF">
        <w:rPr>
          <w:rFonts w:ascii="Times New Roman" w:hAnsi="Times New Roman"/>
          <w:sz w:val="24"/>
          <w:szCs w:val="24"/>
        </w:rPr>
        <w:t>se</w:t>
      </w:r>
      <w:r w:rsidRPr="32AD57CE" w:rsidR="005E5E46">
        <w:rPr>
          <w:rFonts w:ascii="Times New Roman" w:hAnsi="Times New Roman"/>
          <w:sz w:val="24"/>
          <w:szCs w:val="24"/>
        </w:rPr>
        <w:t xml:space="preserve"> adjustment</w:t>
      </w:r>
      <w:r w:rsidRPr="32AD57CE" w:rsidR="00FE6EBD">
        <w:rPr>
          <w:rFonts w:ascii="Times New Roman" w:hAnsi="Times New Roman"/>
          <w:sz w:val="24"/>
          <w:szCs w:val="24"/>
        </w:rPr>
        <w:t>s</w:t>
      </w:r>
      <w:r w:rsidRPr="32AD57CE" w:rsidR="005E5E46">
        <w:rPr>
          <w:rFonts w:ascii="Times New Roman" w:hAnsi="Times New Roman"/>
          <w:sz w:val="24"/>
          <w:szCs w:val="24"/>
        </w:rPr>
        <w:t xml:space="preserve"> </w:t>
      </w:r>
      <w:r w:rsidRPr="32AD57CE" w:rsidR="00494DDF">
        <w:rPr>
          <w:rFonts w:ascii="Times New Roman" w:hAnsi="Times New Roman"/>
          <w:sz w:val="24"/>
          <w:szCs w:val="24"/>
        </w:rPr>
        <w:t xml:space="preserve">are driven by </w:t>
      </w:r>
      <w:r w:rsidRPr="32AD57CE" w:rsidR="00BC5429">
        <w:rPr>
          <w:rFonts w:ascii="Times New Roman" w:hAnsi="Times New Roman"/>
          <w:sz w:val="24"/>
          <w:szCs w:val="24"/>
        </w:rPr>
        <w:t>more updated data from the</w:t>
      </w:r>
      <w:r w:rsidRPr="32AD57CE" w:rsidR="00207E90">
        <w:rPr>
          <w:rFonts w:ascii="Times New Roman" w:hAnsi="Times New Roman"/>
          <w:sz w:val="24"/>
          <w:szCs w:val="24"/>
        </w:rPr>
        <w:t xml:space="preserve"> </w:t>
      </w:r>
      <w:r w:rsidRPr="32AD57CE" w:rsidR="005E5E46">
        <w:rPr>
          <w:rFonts w:ascii="Times New Roman" w:hAnsi="Times New Roman"/>
          <w:sz w:val="24"/>
          <w:szCs w:val="24"/>
        </w:rPr>
        <w:t>SEDC grant program</w:t>
      </w:r>
      <w:r w:rsidRPr="32AD57CE" w:rsidR="00BC5429">
        <w:rPr>
          <w:rFonts w:ascii="Times New Roman" w:hAnsi="Times New Roman"/>
          <w:sz w:val="24"/>
          <w:szCs w:val="24"/>
        </w:rPr>
        <w:t xml:space="preserve">. Estimate </w:t>
      </w:r>
      <w:r w:rsidRPr="32AD57CE" w:rsidR="000D49E7">
        <w:rPr>
          <w:rFonts w:ascii="Times New Roman" w:hAnsi="Times New Roman"/>
          <w:sz w:val="24"/>
          <w:szCs w:val="24"/>
        </w:rPr>
        <w:t xml:space="preserve">from the </w:t>
      </w:r>
      <w:r w:rsidRPr="32AD57CE" w:rsidR="000D49E7">
        <w:rPr>
          <w:rFonts w:ascii="Times New Roman" w:hAnsi="Times New Roman"/>
          <w:sz w:val="24"/>
          <w:szCs w:val="24"/>
        </w:rPr>
        <w:t>previous</w:t>
      </w:r>
      <w:r w:rsidRPr="32AD57CE" w:rsidR="000D49E7">
        <w:rPr>
          <w:rFonts w:ascii="Times New Roman" w:hAnsi="Times New Roman"/>
          <w:sz w:val="24"/>
          <w:szCs w:val="24"/>
        </w:rPr>
        <w:t xml:space="preserve"> ICR cycle relies on preliminary, high-level data points before the SEDC grants were awarded.</w:t>
      </w:r>
      <w:r w:rsidRPr="32AD57CE" w:rsidR="002F488C">
        <w:rPr>
          <w:rFonts w:ascii="Times New Roman" w:hAnsi="Times New Roman"/>
          <w:sz w:val="24"/>
          <w:szCs w:val="24"/>
        </w:rPr>
        <w:t xml:space="preserve"> </w:t>
      </w:r>
      <w:r w:rsidRPr="32AD57CE" w:rsidR="00FE6EBD">
        <w:rPr>
          <w:rFonts w:ascii="Times New Roman" w:hAnsi="Times New Roman"/>
          <w:sz w:val="24"/>
          <w:szCs w:val="24"/>
        </w:rPr>
        <w:t>Under the current</w:t>
      </w:r>
      <w:r w:rsidRPr="32AD57CE" w:rsidR="002F488C">
        <w:rPr>
          <w:rFonts w:ascii="Times New Roman" w:hAnsi="Times New Roman"/>
          <w:sz w:val="24"/>
          <w:szCs w:val="24"/>
        </w:rPr>
        <w:t xml:space="preserve"> SEDC </w:t>
      </w:r>
      <w:r w:rsidRPr="32AD57CE" w:rsidR="0046001D">
        <w:rPr>
          <w:rFonts w:ascii="Times New Roman" w:hAnsi="Times New Roman"/>
          <w:sz w:val="24"/>
          <w:szCs w:val="24"/>
        </w:rPr>
        <w:t xml:space="preserve">grant </w:t>
      </w:r>
      <w:r w:rsidRPr="32AD57CE" w:rsidR="002F488C">
        <w:rPr>
          <w:rFonts w:ascii="Times New Roman" w:hAnsi="Times New Roman"/>
          <w:sz w:val="24"/>
          <w:szCs w:val="24"/>
        </w:rPr>
        <w:t>requirement</w:t>
      </w:r>
      <w:r w:rsidRPr="32AD57CE" w:rsidR="0046001D">
        <w:rPr>
          <w:rFonts w:ascii="Times New Roman" w:hAnsi="Times New Roman"/>
          <w:sz w:val="24"/>
          <w:szCs w:val="24"/>
        </w:rPr>
        <w:t xml:space="preserve">, </w:t>
      </w:r>
      <w:r w:rsidRPr="32AD57CE" w:rsidR="0046001D">
        <w:rPr>
          <w:rFonts w:ascii="Times New Roman" w:hAnsi="Times New Roman"/>
          <w:sz w:val="24"/>
          <w:szCs w:val="24"/>
        </w:rPr>
        <w:t>participating</w:t>
      </w:r>
      <w:r w:rsidRPr="32AD57CE" w:rsidR="0046001D">
        <w:rPr>
          <w:rFonts w:ascii="Times New Roman" w:hAnsi="Times New Roman"/>
          <w:sz w:val="24"/>
          <w:szCs w:val="24"/>
        </w:rPr>
        <w:t xml:space="preserve"> </w:t>
      </w:r>
      <w:r w:rsidRPr="32AD57CE" w:rsidR="7D181C6F">
        <w:rPr>
          <w:rFonts w:ascii="Times New Roman" w:hAnsi="Times New Roman"/>
          <w:sz w:val="24"/>
          <w:szCs w:val="24"/>
        </w:rPr>
        <w:t>S</w:t>
      </w:r>
      <w:r w:rsidRPr="32AD57CE" w:rsidR="0046001D">
        <w:rPr>
          <w:rFonts w:ascii="Times New Roman" w:hAnsi="Times New Roman"/>
          <w:sz w:val="24"/>
          <w:szCs w:val="24"/>
        </w:rPr>
        <w:t>tates</w:t>
      </w:r>
      <w:r w:rsidRPr="32AD57CE" w:rsidR="002F488C">
        <w:rPr>
          <w:rFonts w:ascii="Times New Roman" w:hAnsi="Times New Roman"/>
          <w:sz w:val="24"/>
          <w:szCs w:val="24"/>
        </w:rPr>
        <w:t xml:space="preserve"> commit a 20 percent match</w:t>
      </w:r>
      <w:r w:rsidRPr="32AD57CE" w:rsidR="009C0365">
        <w:rPr>
          <w:rFonts w:ascii="Times New Roman" w:hAnsi="Times New Roman"/>
          <w:sz w:val="24"/>
          <w:szCs w:val="24"/>
        </w:rPr>
        <w:t xml:space="preserve">, which some </w:t>
      </w:r>
      <w:r w:rsidRPr="32AD57CE" w:rsidR="25E631F0">
        <w:rPr>
          <w:rFonts w:ascii="Times New Roman" w:hAnsi="Times New Roman"/>
          <w:sz w:val="24"/>
          <w:szCs w:val="24"/>
        </w:rPr>
        <w:t>S</w:t>
      </w:r>
      <w:r w:rsidRPr="32AD57CE" w:rsidR="009C0365">
        <w:rPr>
          <w:rFonts w:ascii="Times New Roman" w:hAnsi="Times New Roman"/>
          <w:sz w:val="24"/>
          <w:szCs w:val="24"/>
        </w:rPr>
        <w:t xml:space="preserve">tates calculated as a flat percentage of personnel costs. While the </w:t>
      </w:r>
      <w:r w:rsidRPr="32AD57CE" w:rsidR="005E5E46">
        <w:rPr>
          <w:rFonts w:ascii="Times New Roman" w:hAnsi="Times New Roman"/>
          <w:sz w:val="24"/>
          <w:szCs w:val="24"/>
        </w:rPr>
        <w:t>SEDC grant</w:t>
      </w:r>
      <w:r w:rsidRPr="32AD57CE" w:rsidR="003441DE">
        <w:rPr>
          <w:rFonts w:ascii="Times New Roman" w:hAnsi="Times New Roman"/>
          <w:sz w:val="24"/>
          <w:szCs w:val="24"/>
        </w:rPr>
        <w:t xml:space="preserve"> program</w:t>
      </w:r>
      <w:r w:rsidRPr="32AD57CE" w:rsidR="005E5E46">
        <w:rPr>
          <w:rFonts w:ascii="Times New Roman" w:hAnsi="Times New Roman"/>
          <w:sz w:val="24"/>
          <w:szCs w:val="24"/>
        </w:rPr>
        <w:t xml:space="preserve"> increase</w:t>
      </w:r>
      <w:r w:rsidRPr="32AD57CE" w:rsidR="2CB2A6D2">
        <w:rPr>
          <w:rFonts w:ascii="Times New Roman" w:hAnsi="Times New Roman"/>
          <w:sz w:val="24"/>
          <w:szCs w:val="24"/>
        </w:rPr>
        <w:t>s</w:t>
      </w:r>
      <w:r w:rsidRPr="32AD57CE" w:rsidR="005E5E46">
        <w:rPr>
          <w:rFonts w:ascii="Times New Roman" w:hAnsi="Times New Roman"/>
          <w:sz w:val="24"/>
          <w:szCs w:val="24"/>
        </w:rPr>
        <w:t xml:space="preserve"> the number of </w:t>
      </w:r>
      <w:r w:rsidRPr="32AD57CE" w:rsidR="179E68B1">
        <w:rPr>
          <w:rFonts w:ascii="Times New Roman" w:hAnsi="Times New Roman"/>
          <w:sz w:val="24"/>
          <w:szCs w:val="24"/>
        </w:rPr>
        <w:t>S</w:t>
      </w:r>
      <w:r w:rsidRPr="32AD57CE" w:rsidR="005E5E46">
        <w:rPr>
          <w:rFonts w:ascii="Times New Roman" w:hAnsi="Times New Roman"/>
          <w:sz w:val="24"/>
          <w:szCs w:val="24"/>
        </w:rPr>
        <w:t xml:space="preserve">tates participating </w:t>
      </w:r>
      <w:r w:rsidRPr="32AD57CE" w:rsidR="002F488C">
        <w:rPr>
          <w:rFonts w:ascii="Times New Roman" w:hAnsi="Times New Roman"/>
          <w:sz w:val="24"/>
          <w:szCs w:val="24"/>
        </w:rPr>
        <w:t>in SDT</w:t>
      </w:r>
      <w:r w:rsidRPr="32AD57CE" w:rsidR="002F691F">
        <w:rPr>
          <w:rFonts w:ascii="Times New Roman" w:hAnsi="Times New Roman"/>
          <w:sz w:val="24"/>
          <w:szCs w:val="24"/>
        </w:rPr>
        <w:t>, it</w:t>
      </w:r>
      <w:r w:rsidRPr="32AD57CE" w:rsidR="005E5E46">
        <w:rPr>
          <w:rFonts w:ascii="Times New Roman" w:hAnsi="Times New Roman"/>
          <w:sz w:val="24"/>
          <w:szCs w:val="24"/>
        </w:rPr>
        <w:t xml:space="preserve"> will increase the burden on the states</w:t>
      </w:r>
      <w:r w:rsidRPr="32AD57CE" w:rsidR="00416228">
        <w:rPr>
          <w:rFonts w:ascii="Times New Roman" w:hAnsi="Times New Roman"/>
          <w:sz w:val="24"/>
          <w:szCs w:val="24"/>
        </w:rPr>
        <w:t xml:space="preserve"> for the implementation and maintenance of the EDT protocol</w:t>
      </w:r>
      <w:r w:rsidRPr="32AD57CE" w:rsidR="005E5E46">
        <w:rPr>
          <w:rFonts w:ascii="Times New Roman" w:hAnsi="Times New Roman"/>
          <w:sz w:val="24"/>
          <w:szCs w:val="24"/>
        </w:rPr>
        <w:t xml:space="preserve"> because the SEDC States will be required to increase their alignment to MMUCC and transmit standardized data</w:t>
      </w:r>
      <w:r w:rsidRPr="32AD57CE" w:rsidR="005E5E46">
        <w:rPr>
          <w:rFonts w:ascii="Times New Roman" w:hAnsi="Times New Roman"/>
          <w:sz w:val="24"/>
          <w:szCs w:val="24"/>
        </w:rPr>
        <w:t xml:space="preserve">.  </w:t>
      </w:r>
    </w:p>
    <w:p w:rsidR="001642BC" w:rsidRPr="00994FB7" w:rsidP="00D109CC" w14:paraId="57F66391" w14:textId="77777777">
      <w:pPr>
        <w:pStyle w:val="Heading2"/>
      </w:pPr>
      <w:bookmarkStart w:id="36" w:name="_Hlk51332176"/>
      <w:r w:rsidRPr="00994FB7">
        <w:t xml:space="preserve">For </w:t>
      </w:r>
      <w:bookmarkStart w:id="37" w:name="_Hlk63087690"/>
      <w:r w:rsidRPr="00994FB7">
        <w:t xml:space="preserve">collections of information whose results will be published, outline plans for tabulation and publication. Address any complex analytical techniques that will be used. Provide the time schedule for the entire project, including beginning and </w:t>
      </w:r>
      <w:r w:rsidRPr="00994FB7">
        <w:t>ending</w:t>
      </w:r>
      <w:r w:rsidRPr="00994FB7">
        <w:t xml:space="preserve"> dates of the collection of information, completion of report, publication dates, and other actions as applicable. </w:t>
      </w:r>
    </w:p>
    <w:bookmarkEnd w:id="36"/>
    <w:bookmarkEnd w:id="37"/>
    <w:p w:rsidR="002103A5" w:rsidRPr="00994FB7" w:rsidP="00F15550" w14:paraId="22569C00" w14:textId="77777777">
      <w:pPr>
        <w:autoSpaceDE w:val="0"/>
        <w:autoSpaceDN w:val="0"/>
        <w:adjustRightInd w:val="0"/>
        <w:spacing w:after="0" w:line="240" w:lineRule="auto"/>
        <w:ind w:left="720"/>
        <w:contextualSpacing/>
        <w:rPr>
          <w:rFonts w:cs="Times New Roman"/>
          <w:szCs w:val="24"/>
        </w:rPr>
      </w:pPr>
    </w:p>
    <w:p w:rsidR="00266355" w:rsidRPr="00994FB7" w:rsidP="00D92AB5" w14:paraId="6FAB7C2C" w14:textId="146A1BBD">
      <w:pPr>
        <w:autoSpaceDE w:val="0"/>
        <w:autoSpaceDN w:val="0"/>
        <w:adjustRightInd w:val="0"/>
        <w:spacing w:after="0" w:line="240" w:lineRule="auto"/>
        <w:ind w:left="720"/>
        <w:contextualSpacing/>
        <w:rPr>
          <w:rFonts w:cs="Times New Roman"/>
        </w:rPr>
      </w:pPr>
      <w:r w:rsidRPr="00994FB7">
        <w:rPr>
          <w:rFonts w:cs="Times New Roman"/>
        </w:rPr>
        <w:t xml:space="preserve">SDT data </w:t>
      </w:r>
      <w:r w:rsidRPr="00994FB7" w:rsidR="00D8016F">
        <w:rPr>
          <w:rFonts w:cs="Times New Roman"/>
        </w:rPr>
        <w:t>received through non-</w:t>
      </w:r>
      <w:r w:rsidRPr="00994FB7" w:rsidR="003431DD">
        <w:rPr>
          <w:rFonts w:cs="Times New Roman"/>
        </w:rPr>
        <w:t>SEDC</w:t>
      </w:r>
      <w:r w:rsidRPr="00994FB7" w:rsidR="00D8016F">
        <w:rPr>
          <w:rFonts w:cs="Times New Roman"/>
        </w:rPr>
        <w:t xml:space="preserve"> </w:t>
      </w:r>
      <w:r w:rsidRPr="00994FB7" w:rsidR="0096541B">
        <w:rPr>
          <w:rFonts w:cs="Times New Roman"/>
        </w:rPr>
        <w:t xml:space="preserve">States </w:t>
      </w:r>
      <w:r w:rsidRPr="00994FB7" w:rsidR="00D8016F">
        <w:rPr>
          <w:rFonts w:cs="Times New Roman"/>
        </w:rPr>
        <w:t xml:space="preserve">using EDT protocol </w:t>
      </w:r>
      <w:r w:rsidRPr="00994FB7">
        <w:rPr>
          <w:rFonts w:cs="Times New Roman"/>
        </w:rPr>
        <w:t>is not directly published or made available to analyst</w:t>
      </w:r>
      <w:r w:rsidRPr="00994FB7" w:rsidR="00DE4BFA">
        <w:rPr>
          <w:rFonts w:cs="Times New Roman"/>
        </w:rPr>
        <w:t>s</w:t>
      </w:r>
      <w:r w:rsidRPr="00994FB7">
        <w:rPr>
          <w:rFonts w:cs="Times New Roman"/>
        </w:rPr>
        <w:t xml:space="preserve"> outside of DOT because </w:t>
      </w:r>
      <w:r w:rsidRPr="00994FB7" w:rsidR="00DE4BFA">
        <w:rPr>
          <w:rFonts w:cs="Times New Roman"/>
        </w:rPr>
        <w:t xml:space="preserve">of </w:t>
      </w:r>
      <w:r w:rsidRPr="00994FB7" w:rsidR="00CE5EAD">
        <w:rPr>
          <w:rFonts w:cs="Times New Roman"/>
        </w:rPr>
        <w:t xml:space="preserve">current </w:t>
      </w:r>
      <w:r w:rsidRPr="00994FB7" w:rsidR="003A511C">
        <w:rPr>
          <w:rFonts w:cs="Times New Roman"/>
        </w:rPr>
        <w:t>MOU</w:t>
      </w:r>
      <w:r w:rsidRPr="00994FB7" w:rsidR="008B7EDA">
        <w:rPr>
          <w:rFonts w:cs="Times New Roman"/>
        </w:rPr>
        <w:t xml:space="preserve">.  </w:t>
      </w:r>
      <w:r w:rsidRPr="00994FB7" w:rsidR="00DE4BFA">
        <w:rPr>
          <w:rFonts w:cs="Times New Roman"/>
        </w:rPr>
        <w:t>However,</w:t>
      </w:r>
      <w:r w:rsidRPr="00994FB7">
        <w:rPr>
          <w:rFonts w:cs="Times New Roman"/>
        </w:rPr>
        <w:t xml:space="preserve"> the data collected via the SDT </w:t>
      </w:r>
      <w:r w:rsidRPr="00994FB7" w:rsidR="00F34804">
        <w:rPr>
          <w:rFonts w:cs="Times New Roman"/>
        </w:rPr>
        <w:t xml:space="preserve">EDT protocol </w:t>
      </w:r>
      <w:r w:rsidRPr="00994FB7" w:rsidR="00613476">
        <w:rPr>
          <w:rFonts w:cs="Times New Roman"/>
        </w:rPr>
        <w:t xml:space="preserve">for non-SEDC States </w:t>
      </w:r>
      <w:r w:rsidRPr="00994FB7" w:rsidR="00F34804">
        <w:rPr>
          <w:rFonts w:cs="Times New Roman"/>
        </w:rPr>
        <w:t>is</w:t>
      </w:r>
      <w:r w:rsidRPr="00994FB7">
        <w:rPr>
          <w:rFonts w:cs="Times New Roman"/>
        </w:rPr>
        <w:t xml:space="preserve"> used to pre-populate NHTSA’s FARS, CRSS, and CISS programs</w:t>
      </w:r>
      <w:r w:rsidRPr="00994FB7" w:rsidR="753FA079">
        <w:rPr>
          <w:rFonts w:cs="Times New Roman"/>
        </w:rPr>
        <w:t>,</w:t>
      </w:r>
      <w:r w:rsidRPr="00994FB7">
        <w:rPr>
          <w:rFonts w:cs="Times New Roman"/>
        </w:rPr>
        <w:t xml:space="preserve"> in addition, a sanitized</w:t>
      </w:r>
      <w:r w:rsidRPr="00994FB7" w:rsidR="00096D6A">
        <w:rPr>
          <w:rFonts w:cs="Times New Roman"/>
        </w:rPr>
        <w:t xml:space="preserve"> (</w:t>
      </w:r>
      <w:r w:rsidRPr="00994FB7" w:rsidR="009261DC">
        <w:rPr>
          <w:rFonts w:cs="Times New Roman"/>
        </w:rPr>
        <w:t>i.e.</w:t>
      </w:r>
      <w:r w:rsidRPr="00994FB7" w:rsidR="00EA404F">
        <w:rPr>
          <w:rFonts w:cs="Times New Roman"/>
        </w:rPr>
        <w:t>,</w:t>
      </w:r>
      <w:r w:rsidRPr="00994FB7" w:rsidR="009261DC">
        <w:rPr>
          <w:rFonts w:cs="Times New Roman"/>
        </w:rPr>
        <w:t xml:space="preserve"> PII removed</w:t>
      </w:r>
      <w:r w:rsidRPr="00994FB7" w:rsidR="00096D6A">
        <w:rPr>
          <w:rFonts w:cs="Times New Roman"/>
        </w:rPr>
        <w:t>)</w:t>
      </w:r>
      <w:r w:rsidRPr="00994FB7" w:rsidR="009261DC">
        <w:rPr>
          <w:rFonts w:cs="Times New Roman"/>
        </w:rPr>
        <w:t>,</w:t>
      </w:r>
      <w:r w:rsidRPr="00994FB7">
        <w:rPr>
          <w:rFonts w:cs="Times New Roman"/>
        </w:rPr>
        <w:t xml:space="preserve"> SDT dataset </w:t>
      </w:r>
      <w:r w:rsidRPr="00994FB7" w:rsidR="000339D5">
        <w:rPr>
          <w:rFonts w:cs="Times New Roman"/>
        </w:rPr>
        <w:t>is</w:t>
      </w:r>
      <w:r w:rsidRPr="00994FB7">
        <w:rPr>
          <w:rFonts w:cs="Times New Roman"/>
        </w:rPr>
        <w:t xml:space="preserve"> used by NHTSA and DOT modal partners for analytical </w:t>
      </w:r>
      <w:r w:rsidRPr="00994FB7" w:rsidR="00096D6A">
        <w:rPr>
          <w:rFonts w:cs="Times New Roman"/>
        </w:rPr>
        <w:t>purposes</w:t>
      </w:r>
      <w:r w:rsidRPr="00994FB7">
        <w:rPr>
          <w:rFonts w:cs="Times New Roman"/>
        </w:rPr>
        <w:t>.  The quality-controlled datasets produced by the FARS, CRSS, and CISS programs are publicly released for analytical use to the broader highway safety community</w:t>
      </w:r>
      <w:r w:rsidRPr="00994FB7" w:rsidR="007E49FD">
        <w:rPr>
          <w:rFonts w:cs="Times New Roman"/>
        </w:rPr>
        <w:t xml:space="preserve"> annual</w:t>
      </w:r>
      <w:r w:rsidRPr="00994FB7" w:rsidR="002E5E6A">
        <w:rPr>
          <w:rFonts w:cs="Times New Roman"/>
        </w:rPr>
        <w:t>ly for the previous calendar year</w:t>
      </w:r>
      <w:r w:rsidRPr="00994FB7">
        <w:rPr>
          <w:rFonts w:cs="Times New Roman"/>
        </w:rPr>
        <w:t>.  The FARS, CRSS, and CISS datasets provide the basis for numerous NHTSA and other DOT operating administrations’ publications; behavioral and vehicle safety research; rulemaking; focused analyses; defects investigations; annual departmental and modal target setting; lives saved; regulatory analysis and research; and various data tools like the Fatality and Injury Reporting System Tool (FIRST), the FARS Encyclopedia, the Annual Report portal, the State Traffic Safety Information (STSI) website, the Crash Viewer tool, and others.  The sanitized SDT dataset will be used for ad hoc analyses and to support novel programs at the agency and Departmental levels.</w:t>
      </w:r>
      <w:r w:rsidRPr="00994FB7">
        <w:rPr>
          <w:rFonts w:cs="Times New Roman"/>
        </w:rPr>
        <w:t xml:space="preserve">  The SDT aggregate</w:t>
      </w:r>
      <w:r w:rsidRPr="00994FB7" w:rsidR="00DE4BFA">
        <w:rPr>
          <w:rFonts w:cs="Times New Roman"/>
        </w:rPr>
        <w:t>d</w:t>
      </w:r>
      <w:r w:rsidRPr="00994FB7">
        <w:rPr>
          <w:rFonts w:cs="Times New Roman"/>
        </w:rPr>
        <w:t xml:space="preserve"> data may also be published in reports where the SDT </w:t>
      </w:r>
      <w:r w:rsidRPr="00994FB7" w:rsidR="00DE4BFA">
        <w:rPr>
          <w:rFonts w:cs="Times New Roman"/>
        </w:rPr>
        <w:t xml:space="preserve">data </w:t>
      </w:r>
      <w:r w:rsidRPr="00994FB7">
        <w:rPr>
          <w:rFonts w:cs="Times New Roman"/>
        </w:rPr>
        <w:t xml:space="preserve">was analyzed.  </w:t>
      </w:r>
    </w:p>
    <w:p w:rsidR="00755716" w:rsidRPr="00994FB7" w:rsidP="00D92AB5" w14:paraId="20C78B76" w14:textId="3F56A751">
      <w:pPr>
        <w:autoSpaceDE w:val="0"/>
        <w:autoSpaceDN w:val="0"/>
        <w:adjustRightInd w:val="0"/>
        <w:spacing w:after="0" w:line="240" w:lineRule="auto"/>
        <w:ind w:left="720"/>
        <w:contextualSpacing/>
        <w:rPr>
          <w:rFonts w:cs="Times New Roman"/>
          <w:szCs w:val="24"/>
        </w:rPr>
      </w:pPr>
    </w:p>
    <w:p w:rsidR="00C2290F" w:rsidRPr="00994FB7" w:rsidP="00D92AB5" w14:paraId="7A5DA544" w14:textId="45B6DD61">
      <w:pPr>
        <w:autoSpaceDE w:val="0"/>
        <w:autoSpaceDN w:val="0"/>
        <w:adjustRightInd w:val="0"/>
        <w:spacing w:after="0" w:line="240" w:lineRule="auto"/>
        <w:ind w:left="720"/>
        <w:contextualSpacing/>
        <w:rPr>
          <w:rFonts w:cs="Times New Roman"/>
          <w:szCs w:val="24"/>
        </w:rPr>
      </w:pPr>
      <w:r w:rsidRPr="00994FB7">
        <w:rPr>
          <w:rFonts w:cs="Times New Roman"/>
          <w:szCs w:val="24"/>
        </w:rPr>
        <w:t xml:space="preserve">As required by </w:t>
      </w:r>
      <w:r w:rsidRPr="00994FB7" w:rsidR="008563F6">
        <w:rPr>
          <w:rFonts w:cs="Times New Roman"/>
          <w:szCs w:val="24"/>
        </w:rPr>
        <w:t>IIJA</w:t>
      </w:r>
      <w:r w:rsidRPr="00994FB7">
        <w:rPr>
          <w:rFonts w:cs="Times New Roman"/>
          <w:szCs w:val="24"/>
        </w:rPr>
        <w:t xml:space="preserve">, </w:t>
      </w:r>
      <w:r w:rsidRPr="00994FB7">
        <w:rPr>
          <w:rFonts w:cs="Times New Roman"/>
          <w:szCs w:val="24"/>
        </w:rPr>
        <w:t xml:space="preserve">SDT data received from </w:t>
      </w:r>
      <w:r w:rsidRPr="00994FB7" w:rsidR="003431DD">
        <w:rPr>
          <w:rFonts w:cs="Times New Roman"/>
          <w:szCs w:val="24"/>
        </w:rPr>
        <w:t>SEDC</w:t>
      </w:r>
      <w:r w:rsidRPr="00994FB7">
        <w:rPr>
          <w:rFonts w:cs="Times New Roman"/>
          <w:szCs w:val="24"/>
        </w:rPr>
        <w:t xml:space="preserve"> States using EDT protocol will be published</w:t>
      </w:r>
      <w:r w:rsidRPr="00994FB7" w:rsidR="00243CFE">
        <w:rPr>
          <w:rFonts w:cs="Times New Roman"/>
          <w:szCs w:val="24"/>
        </w:rPr>
        <w:t xml:space="preserve"> after the PII information </w:t>
      </w:r>
      <w:r w:rsidRPr="00994FB7" w:rsidR="00475627">
        <w:rPr>
          <w:rFonts w:cs="Times New Roman"/>
          <w:szCs w:val="24"/>
        </w:rPr>
        <w:t>is removed</w:t>
      </w:r>
      <w:r w:rsidRPr="00994FB7" w:rsidR="00BB4537">
        <w:rPr>
          <w:rFonts w:cs="Times New Roman"/>
          <w:szCs w:val="24"/>
        </w:rPr>
        <w:t>.</w:t>
      </w:r>
    </w:p>
    <w:p w:rsidR="00DF3DC9" w:rsidRPr="00994FB7" w:rsidP="00D109CC" w14:paraId="223E01DD" w14:textId="77777777">
      <w:pPr>
        <w:pStyle w:val="Heading2"/>
      </w:pPr>
      <w:bookmarkStart w:id="38" w:name="_Hlk51332202"/>
      <w:r w:rsidRPr="00994FB7">
        <w:t>If seeking approval to not display the expiration date for OMB approval of the information collection, explain the reasons that display would be inappropriate.</w:t>
      </w:r>
    </w:p>
    <w:bookmarkEnd w:id="38"/>
    <w:p w:rsidR="00DF3DC9" w:rsidRPr="00994FB7" w:rsidP="00DF3DC9" w14:paraId="3FDA4683" w14:textId="77777777">
      <w:pPr>
        <w:autoSpaceDE w:val="0"/>
        <w:autoSpaceDN w:val="0"/>
        <w:adjustRightInd w:val="0"/>
        <w:spacing w:after="0" w:line="240" w:lineRule="auto"/>
        <w:ind w:left="720"/>
        <w:contextualSpacing/>
        <w:rPr>
          <w:rFonts w:cs="Times New Roman"/>
          <w:szCs w:val="24"/>
        </w:rPr>
      </w:pPr>
    </w:p>
    <w:p w:rsidR="00DF3DC9" w:rsidRPr="001504E1" w:rsidP="0093233F" w14:paraId="33CFF784" w14:textId="77777777">
      <w:pPr>
        <w:ind w:left="720"/>
        <w:rPr>
          <w:rFonts w:cs="Times New Roman"/>
          <w:szCs w:val="24"/>
        </w:rPr>
      </w:pPr>
      <w:r w:rsidRPr="00994FB7">
        <w:t>NHTSA will display the expiration date for OMB approval.</w:t>
      </w:r>
    </w:p>
    <w:p w:rsidR="00DF3DC9" w:rsidRPr="00994FB7" w:rsidP="00D109CC" w14:paraId="4C575A52" w14:textId="77777777">
      <w:pPr>
        <w:pStyle w:val="Heading2"/>
      </w:pPr>
      <w:bookmarkStart w:id="39" w:name="_Hlk63087720"/>
      <w:bookmarkStart w:id="40" w:name="_Hlk51332218"/>
      <w:r w:rsidRPr="00994FB7">
        <w:rPr>
          <w:rStyle w:val="Heading2Char"/>
          <w:b/>
        </w:rPr>
        <w:t>Explain each exception to the topics of the certification statement identified in "Certification for Paperwork Reduction Act Submissions." The required certifications can be found at 5 CFR 1320.9.</w:t>
      </w:r>
      <w:bookmarkStart w:id="41" w:name="_Hlk45889134"/>
      <w:r>
        <w:rPr>
          <w:vertAlign w:val="superscript"/>
        </w:rPr>
        <w:footnoteReference w:id="12"/>
      </w:r>
      <w:bookmarkEnd w:id="39"/>
      <w:r w:rsidRPr="00994FB7">
        <w:rPr>
          <w:vertAlign w:val="superscript"/>
        </w:rPr>
        <w:t xml:space="preserve"> </w:t>
      </w:r>
      <w:bookmarkEnd w:id="41"/>
    </w:p>
    <w:bookmarkEnd w:id="40"/>
    <w:p w:rsidR="007D1469" w:rsidRPr="00994FB7" w:rsidP="007D1469" w14:paraId="5E2D38AB" w14:textId="1ABDA78E">
      <w:pPr>
        <w:tabs>
          <w:tab w:val="left" w:pos="-720"/>
          <w:tab w:val="left" w:pos="540"/>
          <w:tab w:val="left" w:pos="2880"/>
        </w:tabs>
        <w:ind w:left="720"/>
      </w:pPr>
      <w:r w:rsidRPr="00994FB7">
        <w:t xml:space="preserve">There are no exceptions. </w:t>
      </w:r>
      <w:r w:rsidRPr="00994FB7" w:rsidR="00DE4BFA">
        <w:t>The expiration</w:t>
      </w:r>
      <w:r w:rsidRPr="00994FB7" w:rsidR="000E784C">
        <w:t xml:space="preserve"> date </w:t>
      </w:r>
      <w:r w:rsidRPr="00994FB7" w:rsidR="00DE4BFA">
        <w:t xml:space="preserve">for the OMB approval for the SDT information collection will be displayed on the </w:t>
      </w:r>
      <w:r w:rsidRPr="00994FB7" w:rsidR="007A0935">
        <w:t>MOU</w:t>
      </w:r>
      <w:r w:rsidRPr="00994FB7" w:rsidR="00DE4BFA">
        <w:t xml:space="preserve"> </w:t>
      </w:r>
      <w:r w:rsidRPr="00994FB7" w:rsidR="00B731AE">
        <w:t>(agreement with participating States)</w:t>
      </w:r>
      <w:r w:rsidRPr="00994FB7" w:rsidR="00D673D9">
        <w:t xml:space="preserve">, </w:t>
      </w:r>
      <w:r w:rsidRPr="00994FB7" w:rsidR="003431DD">
        <w:t>SEDC</w:t>
      </w:r>
      <w:r w:rsidRPr="00994FB7" w:rsidR="00D673D9">
        <w:t xml:space="preserve"> grant award </w:t>
      </w:r>
      <w:r w:rsidRPr="00994FB7" w:rsidR="00EE4075">
        <w:t>document</w:t>
      </w:r>
      <w:r w:rsidRPr="00994FB7" w:rsidR="00B731AE">
        <w:t xml:space="preserve"> or emails sent to the State</w:t>
      </w:r>
      <w:r w:rsidRPr="00994FB7" w:rsidR="00240DDD">
        <w:t>’</w:t>
      </w:r>
      <w:r w:rsidRPr="00994FB7" w:rsidR="00B731AE">
        <w:t xml:space="preserve">s point of contact for the SDT data.  </w:t>
      </w:r>
      <w:r w:rsidRPr="00994FB7">
        <w:t>As an example, the following statement will be provided on the Memoranda of Understanding for non-SEDC EDT States:</w:t>
      </w:r>
      <w:r w:rsidRPr="00994FB7" w:rsidR="002B2A5D">
        <w:t xml:space="preserve">   </w:t>
      </w:r>
    </w:p>
    <w:p w:rsidR="002B2A5D" w:rsidRPr="00994FB7" w:rsidP="002B2A5D" w14:paraId="11524931" w14:textId="5B2457F4">
      <w:pPr>
        <w:ind w:left="720"/>
        <w:rPr>
          <w:rFonts w:eastAsia="Calibri"/>
        </w:rPr>
      </w:pPr>
      <w:bookmarkStart w:id="42" w:name="_Hlk85616898"/>
      <w:r w:rsidRPr="00994FB7">
        <w:rPr>
          <w:rFonts w:eastAsia="Calibri"/>
        </w:rPr>
        <w:t>OMB Control Numbers Assigned Pursuant to the Paperwork Reduction Act:</w:t>
      </w:r>
      <w:bookmarkEnd w:id="42"/>
      <w:r w:rsidRPr="00994FB7">
        <w:rPr>
          <w:rFonts w:eastAsia="Calibri"/>
        </w:rPr>
        <w:t xml:space="preserve"> </w:t>
      </w:r>
      <w:r w:rsidRPr="001504E1">
        <w:t>2127-0753, Expiration December 31, 2026.</w:t>
      </w:r>
    </w:p>
    <w:p w:rsidR="007D1469" w:rsidRPr="00994FB7" w:rsidP="50EA36B2" w14:paraId="5AB9FB3B" w14:textId="24D10377">
      <w:pPr>
        <w:tabs>
          <w:tab w:val="left" w:pos="540"/>
          <w:tab w:val="left" w:pos="2880"/>
        </w:tabs>
        <w:ind w:left="720"/>
      </w:pPr>
      <w:r w:rsidRPr="00994FB7">
        <w:rPr>
          <w:rFonts w:eastAsia="Times New Roman" w:cs="Times New Roman"/>
        </w:rPr>
        <w:t xml:space="preserve">A federal agency may not conduct or sponsor, and a person is not required to respond to, nor shall a person be subject to a penalty for failure to comply with, a collection of information subject to the requirements of the Paperwork Reduction Act unless that collection of information displays a current valid OMB Control Number. The OMB Control Number for this information collection is </w:t>
      </w:r>
      <w:r w:rsidRPr="001504E1">
        <w:rPr>
          <w:rFonts w:eastAsia="Times New Roman" w:cs="Times New Roman"/>
        </w:rPr>
        <w:t>2127-0753</w:t>
      </w:r>
      <w:r w:rsidRPr="00994FB7">
        <w:rPr>
          <w:rFonts w:eastAsia="Times New Roman" w:cs="Times New Roman"/>
        </w:rPr>
        <w:t>.  This information is being collected to identify existing and emerging highway safety trends and assess the effectiveness of motor vehicle safety standards and new and emerging technologies.  We estimate that participation in the State Data Transfer (SDT) will involve approximately</w:t>
      </w:r>
      <w:r w:rsidRPr="00994FB7" w:rsidR="002B2A5D">
        <w:rPr>
          <w:rFonts w:eastAsia="Times New Roman" w:cs="Times New Roman"/>
        </w:rPr>
        <w:t xml:space="preserve"> 5-150</w:t>
      </w:r>
      <w:r w:rsidRPr="00994FB7">
        <w:rPr>
          <w:rFonts w:eastAsia="Times New Roman" w:cs="Times New Roman"/>
        </w:rPr>
        <w:t xml:space="preserve"> hours per year.  However, your burden is dependent on your level of voluntary participation and how frequently you choose to submit information. Send comments regarding this burden estimate or any other aspect of this collection of information, including suggestions for reducing this burden to: Information Collection Clearance Officer</w:t>
      </w:r>
      <w:r w:rsidRPr="00994FB7" w:rsidR="00EE5617">
        <w:t>,</w:t>
      </w:r>
      <w:r w:rsidRPr="00994FB7">
        <w:rPr>
          <w:rFonts w:eastAsia="Times New Roman" w:cs="Times New Roman"/>
        </w:rPr>
        <w:t xml:space="preserve"> National Highway Traffic Safety Administration, 1200 New Jersey Ave, S.E., Room W45-205, Washington, DC, 20590.</w:t>
      </w:r>
    </w:p>
    <w:p w:rsidR="00187E6C" w:rsidRPr="00994FB7" w:rsidP="00DF3DC9" w14:paraId="26DB4CE0" w14:textId="77777777">
      <w:pPr>
        <w:autoSpaceDE w:val="0"/>
        <w:autoSpaceDN w:val="0"/>
        <w:adjustRightInd w:val="0"/>
        <w:spacing w:after="0" w:line="240" w:lineRule="auto"/>
        <w:ind w:left="720" w:right="720"/>
        <w:jc w:val="both"/>
        <w:rPr>
          <w:rFonts w:cs="Times New Roman"/>
          <w:b/>
          <w:szCs w:val="24"/>
        </w:rPr>
      </w:pPr>
    </w:p>
    <w:p w:rsidR="00DF3DC9" w:rsidRPr="00994FB7" w:rsidP="00DF3DC9" w14:paraId="4620FA40" w14:textId="77777777">
      <w:pPr>
        <w:autoSpaceDE w:val="0"/>
        <w:autoSpaceDN w:val="0"/>
        <w:adjustRightInd w:val="0"/>
        <w:spacing w:after="0" w:line="240" w:lineRule="auto"/>
        <w:rPr>
          <w:rFonts w:cs="Times New Roman"/>
          <w:szCs w:val="24"/>
        </w:rPr>
      </w:pPr>
    </w:p>
    <w:p w:rsidR="00E040CC" w:rsidRPr="001504E1" w:rsidP="0036332A" w14:paraId="377B5D24" w14:textId="77777777">
      <w:pPr>
        <w:rPr>
          <w:rFonts w:ascii="Verdana" w:hAnsi="Verdana"/>
          <w:shd w:val="clear" w:color="auto" w:fill="FFFFFF"/>
        </w:rPr>
      </w:pPr>
    </w:p>
    <w:p w:rsidR="005955DA" w:rsidRPr="00994FB7" w:rsidP="004813F6" w14:paraId="2989467B" w14:textId="48F0C2EA">
      <w:pPr>
        <w:rPr>
          <w:rFonts w:cs="Times New Roman"/>
          <w:szCs w:val="24"/>
        </w:rPr>
      </w:pPr>
    </w:p>
    <w:sectPr w:rsidSect="009F48E3">
      <w:footerReference w:type="default" r:id="rId10"/>
      <w:pgSz w:w="12240" w:h="15840" w:orient="portrait"/>
      <w:pgMar w:top="1440" w:right="99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Cond">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Garamond">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Narrow">
    <w:altName w:val="Calibri"/>
    <w:charset w:val="00"/>
    <w:family w:val="swiss"/>
    <w:pitch w:val="variable"/>
    <w:sig w:usb0="20000287" w:usb1="00000003" w:usb2="00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82579343"/>
      <w:docPartObj>
        <w:docPartGallery w:val="Page Numbers (Bottom of Page)"/>
        <w:docPartUnique/>
      </w:docPartObj>
    </w:sdtPr>
    <w:sdtEndPr>
      <w:rPr>
        <w:noProof/>
      </w:rPr>
    </w:sdtEndPr>
    <w:sdtContent>
      <w:p w:rsidR="003A46B3" w14:paraId="3512DD0B" w14:textId="129CB5C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3A46B3" w14:paraId="7A0D315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5110E" w:rsidP="00F27C2C" w14:paraId="6073CAF1" w14:textId="77777777">
      <w:pPr>
        <w:spacing w:after="0" w:line="240" w:lineRule="auto"/>
      </w:pPr>
      <w:r>
        <w:separator/>
      </w:r>
    </w:p>
  </w:footnote>
  <w:footnote w:type="continuationSeparator" w:id="1">
    <w:p w:rsidR="0045110E" w:rsidP="00F27C2C" w14:paraId="30F0DC97" w14:textId="77777777">
      <w:pPr>
        <w:spacing w:after="0" w:line="240" w:lineRule="auto"/>
      </w:pPr>
      <w:r>
        <w:continuationSeparator/>
      </w:r>
    </w:p>
  </w:footnote>
  <w:footnote w:type="continuationNotice" w:id="2">
    <w:p w:rsidR="0045110E" w14:paraId="1F2B26C7" w14:textId="77777777">
      <w:pPr>
        <w:spacing w:after="0" w:line="240" w:lineRule="auto"/>
      </w:pPr>
    </w:p>
  </w:footnote>
  <w:footnote w:id="3">
    <w:p w:rsidR="00CC64C1" w:rsidRPr="0039208F" w:rsidP="00F27C2C" w14:paraId="300E50BC" w14:textId="66EE7D3D">
      <w:pPr>
        <w:pStyle w:val="FootnoteText"/>
        <w:rPr>
          <w:rFonts w:cs="Times New Roman"/>
        </w:rPr>
      </w:pPr>
      <w:r>
        <w:rPr>
          <w:rStyle w:val="FootnoteReference"/>
        </w:rPr>
        <w:footnoteRef/>
      </w:r>
      <w:r>
        <w:t xml:space="preserve">  </w:t>
      </w:r>
      <w:r w:rsidRPr="0039208F">
        <w:rPr>
          <w:rFonts w:cs="Times New Roman"/>
        </w:rPr>
        <w:t>The Abstract must include the following information: (1) whether responding to the collection is mandatory, voluntary, or required to obtain or retain a benefit; (2) a description of the entities who must respond; (3) whether the collection is reporting (indicate if a survey), recordkeeping, and/or disclosure; (4) the frequency of the collection (e.g., bi-annual, annual, monthly, weekly, as needed); (5) a description of the information that would be reported, maintained in records, or disclosed; (6) a description of who would receive the information; (7) the purpose of the collection; and (8) if a revision, a description of the revision and the change in burden.</w:t>
      </w:r>
    </w:p>
  </w:footnote>
  <w:footnote w:id="4">
    <w:p w:rsidR="0051547C" w14:paraId="4998726B" w14:textId="1F4B82ED">
      <w:pPr>
        <w:pStyle w:val="FootnoteText"/>
      </w:pPr>
      <w:r>
        <w:rPr>
          <w:rStyle w:val="FootnoteReference"/>
        </w:rPr>
        <w:footnoteRef/>
      </w:r>
      <w:r>
        <w:t xml:space="preserve"> </w:t>
      </w:r>
      <w:r w:rsidRPr="0051547C">
        <w:t>https://www.reginfo.gov/public/do/PRAViewICR?ref_nbr=202307-2127-001</w:t>
      </w:r>
    </w:p>
  </w:footnote>
  <w:footnote w:id="5">
    <w:p w:rsidR="00CC64C1" w:rsidP="00832266" w14:paraId="086CD975" w14:textId="77777777">
      <w:pPr>
        <w:pStyle w:val="FootnoteText"/>
        <w:rPr>
          <w:rFonts w:cs="Times New Roman"/>
        </w:rPr>
      </w:pPr>
      <w:r>
        <w:rPr>
          <w:rStyle w:val="FootnoteReference"/>
        </w:rPr>
        <w:footnoteRef/>
      </w:r>
      <w:r>
        <w:t xml:space="preserve"> Additional details about FARS and how the agency collects this information are available in the supporting statements for the ICR with OMB Control No. 2127-0006.</w:t>
      </w:r>
    </w:p>
  </w:footnote>
  <w:footnote w:id="6">
    <w:p w:rsidR="00CC64C1" w:rsidP="00832266" w14:paraId="52DF07C3" w14:textId="77777777">
      <w:pPr>
        <w:pStyle w:val="FootnoteText"/>
        <w:rPr>
          <w:rFonts w:ascii="Courier" w:hAnsi="Courier"/>
        </w:rPr>
      </w:pPr>
      <w:r>
        <w:rPr>
          <w:rStyle w:val="FootnoteReference"/>
        </w:rPr>
        <w:footnoteRef/>
      </w:r>
      <w:r>
        <w:t xml:space="preserve"> Additional details about CRSS and how the agency collects this information are available in the supporting statements for the ICR with OMB Control No. 2127-0714.</w:t>
      </w:r>
    </w:p>
  </w:footnote>
  <w:footnote w:id="7">
    <w:p w:rsidR="00CC64C1" w:rsidP="00832266" w14:paraId="5139AEC3" w14:textId="77777777">
      <w:pPr>
        <w:pStyle w:val="FootnoteText"/>
      </w:pPr>
      <w:r>
        <w:rPr>
          <w:rStyle w:val="FootnoteReference"/>
        </w:rPr>
        <w:footnoteRef/>
      </w:r>
      <w:r>
        <w:rPr>
          <w:vertAlign w:val="superscript"/>
        </w:rPr>
        <w:t xml:space="preserve"> </w:t>
      </w:r>
      <w:r>
        <w:t>Additional details about CISS and how the agency collects this information are available in the supporting statements for the ICR with OMB Control No. 2127-0706.</w:t>
      </w:r>
    </w:p>
  </w:footnote>
  <w:footnote w:id="8">
    <w:p w:rsidR="00644991" w:rsidP="00644991" w14:paraId="5F1E66DE" w14:textId="4EE1097D">
      <w:pPr>
        <w:pStyle w:val="FootnoteText"/>
      </w:pPr>
      <w:r>
        <w:rPr>
          <w:rStyle w:val="FootnoteReference"/>
        </w:rPr>
        <w:footnoteRef/>
      </w:r>
      <w:r>
        <w:rPr>
          <w:vertAlign w:val="superscript"/>
        </w:rPr>
        <w:t xml:space="preserve"> </w:t>
      </w:r>
      <w:r>
        <w:t>May</w:t>
      </w:r>
      <w:r>
        <w:t xml:space="preserve"> </w:t>
      </w:r>
      <w:r>
        <w:t xml:space="preserve">2024 National Occupational Employment and Wage Estimates United States, Occupational Employment Statistics, Bureau of Labor Statistics, U.S. Department of Labor, </w:t>
      </w:r>
      <w:r w:rsidRPr="00E06ADA">
        <w:rPr>
          <w:rFonts w:ascii="Tahoma" w:hAnsi="Tahoma" w:cs="Tahoma"/>
          <w:color w:val="333333"/>
          <w:sz w:val="21"/>
          <w:szCs w:val="21"/>
          <w:shd w:val="clear" w:color="auto" w:fill="FFFFFF"/>
        </w:rPr>
        <w:t xml:space="preserve"> </w:t>
      </w:r>
      <w:hyperlink r:id="rId1" w:history="1">
        <w:r w:rsidRPr="001738CA" w:rsidR="001738CA">
          <w:rPr>
            <w:rStyle w:val="Hyperlink"/>
          </w:rPr>
          <w:t>https://www.bls.gov/news.release/ecec.t01.htm</w:t>
        </w:r>
      </w:hyperlink>
      <w:r>
        <w:t>, last accessed April 29, 2026).</w:t>
      </w:r>
    </w:p>
  </w:footnote>
  <w:footnote w:id="9">
    <w:p w:rsidR="00644991" w:rsidP="00644991" w14:paraId="72A4D2B2" w14:textId="0686B2B6">
      <w:pPr>
        <w:pStyle w:val="FootnoteText"/>
      </w:pPr>
      <w:r>
        <w:rPr>
          <w:rStyle w:val="FootnoteReference"/>
        </w:rPr>
        <w:footnoteRef/>
      </w:r>
      <w:r>
        <w:t xml:space="preserve"> </w:t>
      </w:r>
      <w:r w:rsidRPr="001738CA" w:rsidR="001738CA">
        <w:rPr>
          <w:i/>
          <w:iCs/>
        </w:rPr>
        <w:t>See</w:t>
      </w:r>
      <w:r w:rsidR="001738CA">
        <w:t xml:space="preserve"> Table 1. </w:t>
      </w:r>
      <w:r>
        <w:t>E</w:t>
      </w:r>
      <w:r w:rsidRPr="00F1134B">
        <w:t>mployer Costs for Employee Compensation by ownership (</w:t>
      </w:r>
      <w:r>
        <w:t>Dec</w:t>
      </w:r>
      <w:r w:rsidRPr="00F1134B">
        <w:t>. 20</w:t>
      </w:r>
      <w:r>
        <w:t>25</w:t>
      </w:r>
      <w:r w:rsidRPr="00F1134B">
        <w:t xml:space="preserve">), available at </w:t>
      </w:r>
      <w:r w:rsidRPr="00241022">
        <w:t>https://www.bls.gov/news.release/ecec.t01.htm</w:t>
      </w:r>
      <w:r w:rsidRPr="00241022">
        <w:t xml:space="preserve"> </w:t>
      </w:r>
      <w:r w:rsidRPr="00F1134B">
        <w:t xml:space="preserve">(accessed </w:t>
      </w:r>
      <w:r>
        <w:t>April 29, 2026).</w:t>
      </w:r>
    </w:p>
  </w:footnote>
  <w:footnote w:id="10">
    <w:p w:rsidR="009F48E3" w:rsidP="009F48E3" w14:paraId="71990BFD" w14:textId="6345DA5B">
      <w:pPr>
        <w:pStyle w:val="FootnoteText"/>
      </w:pPr>
      <w:r>
        <w:rPr>
          <w:rStyle w:val="FootnoteReference"/>
        </w:rPr>
        <w:footnoteRef/>
      </w:r>
      <w:r>
        <w:rPr>
          <w:vertAlign w:val="superscript"/>
        </w:rPr>
        <w:t xml:space="preserve"> </w:t>
      </w:r>
      <w:r>
        <w:t>May</w:t>
      </w:r>
      <w:r>
        <w:t xml:space="preserve"> </w:t>
      </w:r>
      <w:r>
        <w:t xml:space="preserve">2024 National Occupational Employment and Wage Estimates United States, Occupational Employment Statistics, Bureau of Labor Statistics, U.S. Department of Labor, </w:t>
      </w:r>
      <w:r w:rsidRPr="00E06ADA">
        <w:t>http://www.bls.gov/soc/home.htm</w:t>
      </w:r>
      <w:r>
        <w:t>, last accessed April 29, 2026).</w:t>
      </w:r>
    </w:p>
  </w:footnote>
  <w:footnote w:id="11">
    <w:p w:rsidR="009F48E3" w:rsidP="009F48E3" w14:paraId="176DE119" w14:textId="77777777">
      <w:pPr>
        <w:pStyle w:val="FootnoteText"/>
      </w:pPr>
      <w:r>
        <w:rPr>
          <w:rStyle w:val="FootnoteReference"/>
        </w:rPr>
        <w:footnoteRef/>
      </w:r>
      <w:r>
        <w:t xml:space="preserve"> E</w:t>
      </w:r>
      <w:r w:rsidRPr="00F1134B">
        <w:t>mployer Costs for Employee Compensation by ownership (</w:t>
      </w:r>
      <w:r>
        <w:t>Dec</w:t>
      </w:r>
      <w:r w:rsidRPr="00F1134B">
        <w:t>. 20</w:t>
      </w:r>
      <w:r>
        <w:t>25</w:t>
      </w:r>
      <w:r w:rsidRPr="00F1134B">
        <w:t xml:space="preserve">), available at </w:t>
      </w:r>
      <w:r w:rsidRPr="00241022">
        <w:t>https://www.bls.gov/news.release/ecec.t01.htm</w:t>
      </w:r>
      <w:r w:rsidRPr="00241022">
        <w:t xml:space="preserve"> </w:t>
      </w:r>
      <w:r w:rsidRPr="00F1134B">
        <w:t xml:space="preserve">(accessed </w:t>
      </w:r>
      <w:r>
        <w:t>April 29, 2026).</w:t>
      </w:r>
    </w:p>
  </w:footnote>
  <w:footnote w:id="12">
    <w:p w:rsidR="00816822" w:rsidRPr="00970234" w:rsidP="00970234" w14:paraId="3A83BDE0" w14:textId="29EF22BB">
      <w:pPr>
        <w:pStyle w:val="psection-3"/>
        <w:shd w:val="clear" w:color="auto" w:fill="FFFFFF"/>
        <w:spacing w:before="0" w:beforeAutospacing="0" w:after="150" w:afterAutospacing="0"/>
        <w:ind w:left="480"/>
        <w:rPr>
          <w:sz w:val="20"/>
          <w:szCs w:val="20"/>
        </w:rPr>
      </w:pPr>
      <w:r>
        <w:rPr>
          <w:rStyle w:val="FootnoteReference"/>
        </w:rPr>
        <w:footnoteRef/>
      </w:r>
      <w:r w:rsidRPr="008359E3" w:rsidR="007D1469">
        <w:rPr>
          <w:sz w:val="20"/>
          <w:szCs w:val="20"/>
        </w:rPr>
        <w:t>Specifically explain how the agency display the OMB control number and expiration date and will inform potential respondents of the information required under 5 CFR 1320.8(b)(3): the reasons the information is planned to be and/or has been collected; the way such information is planned to be and/or has been used to further the proper performance of the functions of the agency; an estimate, to the extent practicable, of the average burden of the collection (together with a request that the public direct to the agency any comments concerning the accuracy of this burden estimate and any suggestions for reducing this burden); whether responses to the collection of information are voluntary, required to obtain or retain a benefit (citing authority), or mandatory (citing authority);the nature and extent of confidentiality to be provided, if any (citing authority); and the fact that an agency may not conduct or sponsor, and a person is not required to respond to, a collection of information unless it displays a currently valid OMB control number.</w:t>
      </w:r>
    </w:p>
    <w:p w:rsidR="00CC64C1" w:rsidP="00816822" w14:paraId="39D8B8F6" w14:textId="0B00C182">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4"/>
    <w:multiLevelType w:val="multilevel"/>
    <w:tmpl w:val="EB025118"/>
    <w:lvl w:ilvl="0">
      <w:start w:val="1"/>
      <w:numFmt w:val="decimal"/>
      <w:pStyle w:val="Level1"/>
      <w:lvlText w:val="%1."/>
      <w:lvlJc w:val="left"/>
      <w:pPr>
        <w:tabs>
          <w:tab w:val="num" w:pos="540"/>
        </w:tabs>
        <w:ind w:left="540" w:hanging="540"/>
      </w:p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0"/>
      <w:numFmt w:val="decimal"/>
      <w:lvlJc w:val="left"/>
      <w:pPr>
        <w:ind w:left="0" w:firstLine="0"/>
      </w:pPr>
    </w:lvl>
  </w:abstractNum>
  <w:abstractNum w:abstractNumId="1">
    <w:nsid w:val="027F71FF"/>
    <w:multiLevelType w:val="hybridMultilevel"/>
    <w:tmpl w:val="919EE692"/>
    <w:lvl w:ilvl="0">
      <w:start w:val="1"/>
      <w:numFmt w:val="lowerRoman"/>
      <w:lvlText w:val="(%1)"/>
      <w:lvlJc w:val="righ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3FF6C1E"/>
    <w:multiLevelType w:val="hybridMultilevel"/>
    <w:tmpl w:val="7256EFA2"/>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
    <w:nsid w:val="152605D7"/>
    <w:multiLevelType w:val="multilevel"/>
    <w:tmpl w:val="7540B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DF328E"/>
    <w:multiLevelType w:val="hybridMultilevel"/>
    <w:tmpl w:val="6C4870B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9741C84"/>
    <w:multiLevelType w:val="hybridMultilevel"/>
    <w:tmpl w:val="48CC2744"/>
    <w:lvl w:ilvl="0">
      <w:start w:val="0"/>
      <w:numFmt w:val="bullet"/>
      <w:lvlText w:val="-"/>
      <w:lvlJc w:val="left"/>
      <w:pPr>
        <w:ind w:left="1080" w:hanging="360"/>
      </w:pPr>
      <w:rPr>
        <w:rFonts w:ascii="Times New Roman" w:eastAsia="Times New Roman" w:hAnsi="Times New Roman"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6">
    <w:nsid w:val="19CE29CD"/>
    <w:multiLevelType w:val="hybridMultilevel"/>
    <w:tmpl w:val="83420954"/>
    <w:lvl w:ilvl="0">
      <w:start w:val="1"/>
      <w:numFmt w:val="lowerLetter"/>
      <w:lvlText w:val="%1)"/>
      <w:lvlJc w:val="left"/>
      <w:pPr>
        <w:ind w:left="0" w:hanging="360"/>
      </w:pPr>
    </w:lvl>
    <w:lvl w:ilvl="1" w:tentative="1">
      <w:start w:val="1"/>
      <w:numFmt w:val="lowerLetter"/>
      <w:lvlText w:val="%2."/>
      <w:lvlJc w:val="left"/>
      <w:pPr>
        <w:ind w:left="720" w:hanging="360"/>
      </w:pPr>
    </w:lvl>
    <w:lvl w:ilvl="2" w:tentative="1">
      <w:start w:val="1"/>
      <w:numFmt w:val="lowerRoman"/>
      <w:lvlText w:val="%3."/>
      <w:lvlJc w:val="right"/>
      <w:pPr>
        <w:ind w:left="1440" w:hanging="180"/>
      </w:pPr>
    </w:lvl>
    <w:lvl w:ilvl="3" w:tentative="1">
      <w:start w:val="1"/>
      <w:numFmt w:val="decimal"/>
      <w:lvlText w:val="%4."/>
      <w:lvlJc w:val="left"/>
      <w:pPr>
        <w:ind w:left="2160" w:hanging="360"/>
      </w:pPr>
    </w:lvl>
    <w:lvl w:ilvl="4" w:tentative="1">
      <w:start w:val="1"/>
      <w:numFmt w:val="lowerLetter"/>
      <w:lvlText w:val="%5."/>
      <w:lvlJc w:val="left"/>
      <w:pPr>
        <w:ind w:left="2880" w:hanging="360"/>
      </w:pPr>
    </w:lvl>
    <w:lvl w:ilvl="5" w:tentative="1">
      <w:start w:val="1"/>
      <w:numFmt w:val="lowerRoman"/>
      <w:lvlText w:val="%6."/>
      <w:lvlJc w:val="right"/>
      <w:pPr>
        <w:ind w:left="3600" w:hanging="180"/>
      </w:pPr>
    </w:lvl>
    <w:lvl w:ilvl="6" w:tentative="1">
      <w:start w:val="1"/>
      <w:numFmt w:val="decimal"/>
      <w:lvlText w:val="%7."/>
      <w:lvlJc w:val="left"/>
      <w:pPr>
        <w:ind w:left="4320" w:hanging="360"/>
      </w:pPr>
    </w:lvl>
    <w:lvl w:ilvl="7" w:tentative="1">
      <w:start w:val="1"/>
      <w:numFmt w:val="lowerLetter"/>
      <w:lvlText w:val="%8."/>
      <w:lvlJc w:val="left"/>
      <w:pPr>
        <w:ind w:left="5040" w:hanging="360"/>
      </w:pPr>
    </w:lvl>
    <w:lvl w:ilvl="8" w:tentative="1">
      <w:start w:val="1"/>
      <w:numFmt w:val="lowerRoman"/>
      <w:lvlText w:val="%9."/>
      <w:lvlJc w:val="right"/>
      <w:pPr>
        <w:ind w:left="5760" w:hanging="180"/>
      </w:pPr>
    </w:lvl>
  </w:abstractNum>
  <w:abstractNum w:abstractNumId="7">
    <w:nsid w:val="1AD5110C"/>
    <w:multiLevelType w:val="hybridMultilevel"/>
    <w:tmpl w:val="4B4AE182"/>
    <w:lvl w:ilvl="0">
      <w:start w:val="2"/>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nsid w:val="1D090D91"/>
    <w:multiLevelType w:val="hybridMultilevel"/>
    <w:tmpl w:val="29B45B4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9">
    <w:nsid w:val="2413255E"/>
    <w:multiLevelType w:val="hybridMultilevel"/>
    <w:tmpl w:val="4BB03314"/>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269A1AB5"/>
    <w:multiLevelType w:val="hybridMultilevel"/>
    <w:tmpl w:val="0B72561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27FB066B"/>
    <w:multiLevelType w:val="hybridMultilevel"/>
    <w:tmpl w:val="BA7A7E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2F840EBE"/>
    <w:multiLevelType w:val="hybridMultilevel"/>
    <w:tmpl w:val="166800CA"/>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3">
    <w:nsid w:val="39691DB1"/>
    <w:multiLevelType w:val="hybridMultilevel"/>
    <w:tmpl w:val="87D8068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CEB3ACF"/>
    <w:multiLevelType w:val="hybridMultilevel"/>
    <w:tmpl w:val="42460DD4"/>
    <w:lvl w:ilvl="0">
      <w:start w:val="13"/>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43EB438A"/>
    <w:multiLevelType w:val="hybridMultilevel"/>
    <w:tmpl w:val="AAEE1C3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44151381"/>
    <w:multiLevelType w:val="hybridMultilevel"/>
    <w:tmpl w:val="62281DF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7">
    <w:nsid w:val="46934A21"/>
    <w:multiLevelType w:val="hybridMultilevel"/>
    <w:tmpl w:val="2FBED1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49BC6530"/>
    <w:multiLevelType w:val="hybridMultilevel"/>
    <w:tmpl w:val="587032B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9">
    <w:nsid w:val="4B234E74"/>
    <w:multiLevelType w:val="hybridMultilevel"/>
    <w:tmpl w:val="B1D8554E"/>
    <w:lvl w:ilvl="0">
      <w:start w:val="1"/>
      <w:numFmt w:val="bullet"/>
      <w:lvlText w:val=""/>
      <w:lvlJc w:val="left"/>
      <w:pPr>
        <w:ind w:left="99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nsid w:val="4B596634"/>
    <w:multiLevelType w:val="hybridMultilevel"/>
    <w:tmpl w:val="4980386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4BFE3185"/>
    <w:multiLevelType w:val="hybridMultilevel"/>
    <w:tmpl w:val="3E409DC4"/>
    <w:lvl w:ilvl="0">
      <w:start w:val="1"/>
      <w:numFmt w:val="bullet"/>
      <w:lvlText w:val="-"/>
      <w:lvlJc w:val="left"/>
      <w:pPr>
        <w:ind w:left="720" w:hanging="360"/>
      </w:pPr>
      <w:rPr>
        <w:rFonts w:ascii="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nsid w:val="4C163247"/>
    <w:multiLevelType w:val="hybridMultilevel"/>
    <w:tmpl w:val="1D48A06A"/>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3">
    <w:nsid w:val="4D627E4E"/>
    <w:multiLevelType w:val="hybridMultilevel"/>
    <w:tmpl w:val="E9FAA6D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4E4F7BC6"/>
    <w:multiLevelType w:val="hybridMultilevel"/>
    <w:tmpl w:val="74F5C3F1"/>
    <w:lvl w:ilvl="0">
      <w:start w:val="1"/>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5">
    <w:nsid w:val="50115AE7"/>
    <w:multiLevelType w:val="hybridMultilevel"/>
    <w:tmpl w:val="2D628700"/>
    <w:lvl w:ilvl="0">
      <w:start w:val="1"/>
      <w:numFmt w:val="bullet"/>
      <w:lvlText w:val="-"/>
      <w:lvlJc w:val="left"/>
      <w:pPr>
        <w:ind w:left="1080" w:hanging="360"/>
      </w:pPr>
      <w:rPr>
        <w:rFonts w:ascii="Times New Roman" w:hAnsi="Times New Roman" w:eastAsiaTheme="minorHAnsi"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6">
    <w:nsid w:val="56084157"/>
    <w:multiLevelType w:val="hybridMultilevel"/>
    <w:tmpl w:val="E4A4E83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57E362B8"/>
    <w:multiLevelType w:val="hybridMultilevel"/>
    <w:tmpl w:val="D548BFA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8">
    <w:nsid w:val="5C75411B"/>
    <w:multiLevelType w:val="hybridMultilevel"/>
    <w:tmpl w:val="27F8AB4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5D763F60"/>
    <w:multiLevelType w:val="hybridMultilevel"/>
    <w:tmpl w:val="23E67FDA"/>
    <w:lvl w:ilvl="0">
      <w:start w:val="1"/>
      <w:numFmt w:val="bullet"/>
      <w:lvlText w:val=""/>
      <w:lvlJc w:val="left"/>
      <w:rPr>
        <w:rFonts w:ascii="Symbol" w:hAnsi="Symbol" w:hint="default"/>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0">
    <w:nsid w:val="5FB15345"/>
    <w:multiLevelType w:val="hybridMultilevel"/>
    <w:tmpl w:val="CDD03B32"/>
    <w:lvl w:ilvl="0">
      <w:start w:val="1"/>
      <w:numFmt w:val="decimal"/>
      <w:pStyle w:val="Heading2"/>
      <w:lvlText w:val="%1."/>
      <w:lvlJc w:val="left"/>
      <w:pPr>
        <w:ind w:left="198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62E52A77"/>
    <w:multiLevelType w:val="hybridMultilevel"/>
    <w:tmpl w:val="919EE692"/>
    <w:lvl w:ilvl="0">
      <w:start w:val="1"/>
      <w:numFmt w:val="lowerRoman"/>
      <w:lvlText w:val="(%1)"/>
      <w:lvlJc w:val="right"/>
      <w:pPr>
        <w:ind w:left="1800" w:hanging="360"/>
      </w:pPr>
      <w:rPr>
        <w:rFonts w:hint="default"/>
      </w:rPr>
    </w:lvl>
    <w:lvl w:ilvl="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32">
    <w:nsid w:val="64834BF1"/>
    <w:multiLevelType w:val="hybridMultilevel"/>
    <w:tmpl w:val="1E1C5F5C"/>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3">
    <w:nsid w:val="6C060128"/>
    <w:multiLevelType w:val="hybridMultilevel"/>
    <w:tmpl w:val="33D0274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72CF3F19"/>
    <w:multiLevelType w:val="hybridMultilevel"/>
    <w:tmpl w:val="CCD22B76"/>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72E81090"/>
    <w:multiLevelType w:val="hybridMultilevel"/>
    <w:tmpl w:val="43FEB702"/>
    <w:lvl w:ilvl="0">
      <w:start w:val="14"/>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6">
    <w:nsid w:val="745D571E"/>
    <w:multiLevelType w:val="hybridMultilevel"/>
    <w:tmpl w:val="3830128C"/>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7">
    <w:nsid w:val="79E46326"/>
    <w:multiLevelType w:val="multilevel"/>
    <w:tmpl w:val="02D4F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8176880">
    <w:abstractNumId w:val="21"/>
  </w:num>
  <w:num w:numId="2" w16cid:durableId="2015837897">
    <w:abstractNumId w:val="30"/>
  </w:num>
  <w:num w:numId="3" w16cid:durableId="1639724963">
    <w:abstractNumId w:val="10"/>
  </w:num>
  <w:num w:numId="4" w16cid:durableId="1067262526">
    <w:abstractNumId w:val="16"/>
  </w:num>
  <w:num w:numId="5" w16cid:durableId="2141608156">
    <w:abstractNumId w:val="18"/>
  </w:num>
  <w:num w:numId="6" w16cid:durableId="1140919172">
    <w:abstractNumId w:val="14"/>
  </w:num>
  <w:num w:numId="7" w16cid:durableId="166478423">
    <w:abstractNumId w:val="35"/>
  </w:num>
  <w:num w:numId="8" w16cid:durableId="1279797487">
    <w:abstractNumId w:val="9"/>
  </w:num>
  <w:num w:numId="9" w16cid:durableId="1525434129">
    <w:abstractNumId w:val="24"/>
  </w:num>
  <w:num w:numId="10" w16cid:durableId="1080713594">
    <w:abstractNumId w:val="29"/>
  </w:num>
  <w:num w:numId="11" w16cid:durableId="1844054158">
    <w:abstractNumId w:val="34"/>
  </w:num>
  <w:num w:numId="12" w16cid:durableId="1170103841">
    <w:abstractNumId w:val="20"/>
  </w:num>
  <w:num w:numId="13" w16cid:durableId="499660519">
    <w:abstractNumId w:val="19"/>
  </w:num>
  <w:num w:numId="14" w16cid:durableId="822549164">
    <w:abstractNumId w:val="0"/>
    <w:lvlOverride w:ilvl="0">
      <w:lvl w:ilvl="0">
        <w:start w:val="1"/>
        <w:numFmt w:val="decimal"/>
        <w:pStyle w:val="Level1"/>
        <w:lvlText w:val="%1."/>
        <w:lvlJc w:val="left"/>
        <w:pPr>
          <w:ind w:left="0" w:firstLine="0"/>
        </w:p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start w:val="0"/>
        <w:numFmt w:val="decimal"/>
        <w:lvlJc w:val="left"/>
      </w:lvl>
    </w:lvlOverride>
  </w:num>
  <w:num w:numId="15" w16cid:durableId="514459542">
    <w:abstractNumId w:val="28"/>
  </w:num>
  <w:num w:numId="16" w16cid:durableId="173082300">
    <w:abstractNumId w:val="4"/>
  </w:num>
  <w:num w:numId="17" w16cid:durableId="1635872684">
    <w:abstractNumId w:val="26"/>
  </w:num>
  <w:num w:numId="18" w16cid:durableId="945427194">
    <w:abstractNumId w:val="11"/>
  </w:num>
  <w:num w:numId="19" w16cid:durableId="69354161">
    <w:abstractNumId w:val="23"/>
  </w:num>
  <w:num w:numId="20" w16cid:durableId="309602609">
    <w:abstractNumId w:val="17"/>
  </w:num>
  <w:num w:numId="21" w16cid:durableId="163202688">
    <w:abstractNumId w:val="25"/>
  </w:num>
  <w:num w:numId="22" w16cid:durableId="1787508322">
    <w:abstractNumId w:val="5"/>
  </w:num>
  <w:num w:numId="23" w16cid:durableId="51009277">
    <w:abstractNumId w:val="27"/>
  </w:num>
  <w:num w:numId="24" w16cid:durableId="1666468503">
    <w:abstractNumId w:val="13"/>
  </w:num>
  <w:num w:numId="25" w16cid:durableId="276105179">
    <w:abstractNumId w:val="6"/>
  </w:num>
  <w:num w:numId="26" w16cid:durableId="336925022">
    <w:abstractNumId w:val="32"/>
  </w:num>
  <w:num w:numId="27" w16cid:durableId="1540626023">
    <w:abstractNumId w:val="36"/>
  </w:num>
  <w:num w:numId="28" w16cid:durableId="777873458">
    <w:abstractNumId w:val="7"/>
  </w:num>
  <w:num w:numId="29" w16cid:durableId="1331059055">
    <w:abstractNumId w:val="15"/>
  </w:num>
  <w:num w:numId="30" w16cid:durableId="1770269734">
    <w:abstractNumId w:val="33"/>
  </w:num>
  <w:num w:numId="31" w16cid:durableId="152378442">
    <w:abstractNumId w:val="2"/>
  </w:num>
  <w:num w:numId="32" w16cid:durableId="208154076">
    <w:abstractNumId w:val="37"/>
  </w:num>
  <w:num w:numId="33" w16cid:durableId="2027711335">
    <w:abstractNumId w:val="12"/>
  </w:num>
  <w:num w:numId="34" w16cid:durableId="1034766155">
    <w:abstractNumId w:val="1"/>
  </w:num>
  <w:num w:numId="35" w16cid:durableId="1377508614">
    <w:abstractNumId w:val="31"/>
  </w:num>
  <w:num w:numId="36" w16cid:durableId="937443975">
    <w:abstractNumId w:val="3"/>
  </w:num>
  <w:num w:numId="37" w16cid:durableId="1616406648">
    <w:abstractNumId w:val="8"/>
  </w:num>
  <w:num w:numId="38" w16cid:durableId="110253285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removeDateAndTime/>
  <w:proofState w:spelling="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C2C"/>
    <w:rsid w:val="000003C3"/>
    <w:rsid w:val="00000427"/>
    <w:rsid w:val="0000062A"/>
    <w:rsid w:val="000012C4"/>
    <w:rsid w:val="0000220B"/>
    <w:rsid w:val="000028AF"/>
    <w:rsid w:val="00002F41"/>
    <w:rsid w:val="00002F42"/>
    <w:rsid w:val="00003ED6"/>
    <w:rsid w:val="0000443D"/>
    <w:rsid w:val="0000494E"/>
    <w:rsid w:val="000050FC"/>
    <w:rsid w:val="00005416"/>
    <w:rsid w:val="00006595"/>
    <w:rsid w:val="00006944"/>
    <w:rsid w:val="000071BD"/>
    <w:rsid w:val="000071F3"/>
    <w:rsid w:val="000074EF"/>
    <w:rsid w:val="00007ADA"/>
    <w:rsid w:val="000100F2"/>
    <w:rsid w:val="00010235"/>
    <w:rsid w:val="0001126B"/>
    <w:rsid w:val="0001134A"/>
    <w:rsid w:val="0001146F"/>
    <w:rsid w:val="00012D46"/>
    <w:rsid w:val="00013C42"/>
    <w:rsid w:val="00014BF3"/>
    <w:rsid w:val="00014C4C"/>
    <w:rsid w:val="000154D7"/>
    <w:rsid w:val="000162A3"/>
    <w:rsid w:val="00020137"/>
    <w:rsid w:val="00020984"/>
    <w:rsid w:val="00021E8C"/>
    <w:rsid w:val="000223CB"/>
    <w:rsid w:val="00022481"/>
    <w:rsid w:val="000228B9"/>
    <w:rsid w:val="00022FE2"/>
    <w:rsid w:val="0002316C"/>
    <w:rsid w:val="000239E2"/>
    <w:rsid w:val="000250E5"/>
    <w:rsid w:val="00025C27"/>
    <w:rsid w:val="00025DAF"/>
    <w:rsid w:val="00026037"/>
    <w:rsid w:val="00027332"/>
    <w:rsid w:val="00027952"/>
    <w:rsid w:val="00030606"/>
    <w:rsid w:val="00030722"/>
    <w:rsid w:val="000310E2"/>
    <w:rsid w:val="000315B1"/>
    <w:rsid w:val="00031C85"/>
    <w:rsid w:val="00031F4C"/>
    <w:rsid w:val="00033145"/>
    <w:rsid w:val="00033233"/>
    <w:rsid w:val="0003358F"/>
    <w:rsid w:val="00033902"/>
    <w:rsid w:val="000339D5"/>
    <w:rsid w:val="00034597"/>
    <w:rsid w:val="0003463B"/>
    <w:rsid w:val="00035513"/>
    <w:rsid w:val="000359CE"/>
    <w:rsid w:val="00036148"/>
    <w:rsid w:val="0003626C"/>
    <w:rsid w:val="00036DE2"/>
    <w:rsid w:val="00037060"/>
    <w:rsid w:val="0003720D"/>
    <w:rsid w:val="000373A8"/>
    <w:rsid w:val="0003789C"/>
    <w:rsid w:val="00037D5A"/>
    <w:rsid w:val="00037FA6"/>
    <w:rsid w:val="0004058D"/>
    <w:rsid w:val="0004090B"/>
    <w:rsid w:val="00040FA6"/>
    <w:rsid w:val="00041A39"/>
    <w:rsid w:val="00041D3B"/>
    <w:rsid w:val="0004226F"/>
    <w:rsid w:val="000426D3"/>
    <w:rsid w:val="00042D03"/>
    <w:rsid w:val="0004320C"/>
    <w:rsid w:val="00043FA8"/>
    <w:rsid w:val="000453A0"/>
    <w:rsid w:val="000455E4"/>
    <w:rsid w:val="00046282"/>
    <w:rsid w:val="000471D4"/>
    <w:rsid w:val="0005099C"/>
    <w:rsid w:val="00050C54"/>
    <w:rsid w:val="000510FD"/>
    <w:rsid w:val="00051254"/>
    <w:rsid w:val="000514A3"/>
    <w:rsid w:val="0005153C"/>
    <w:rsid w:val="000519C3"/>
    <w:rsid w:val="00052217"/>
    <w:rsid w:val="000522F4"/>
    <w:rsid w:val="00052406"/>
    <w:rsid w:val="0005242E"/>
    <w:rsid w:val="00053A3D"/>
    <w:rsid w:val="00053FC9"/>
    <w:rsid w:val="0005410C"/>
    <w:rsid w:val="00054342"/>
    <w:rsid w:val="00054835"/>
    <w:rsid w:val="000550B2"/>
    <w:rsid w:val="00055626"/>
    <w:rsid w:val="000559D3"/>
    <w:rsid w:val="00056919"/>
    <w:rsid w:val="00056E38"/>
    <w:rsid w:val="0005728E"/>
    <w:rsid w:val="000577AD"/>
    <w:rsid w:val="000610E3"/>
    <w:rsid w:val="000614BD"/>
    <w:rsid w:val="000620A7"/>
    <w:rsid w:val="000645B3"/>
    <w:rsid w:val="000647CC"/>
    <w:rsid w:val="00064B32"/>
    <w:rsid w:val="00064F51"/>
    <w:rsid w:val="000650F6"/>
    <w:rsid w:val="000667E1"/>
    <w:rsid w:val="00070B46"/>
    <w:rsid w:val="00071960"/>
    <w:rsid w:val="00071B40"/>
    <w:rsid w:val="00071CD2"/>
    <w:rsid w:val="000725A7"/>
    <w:rsid w:val="00073394"/>
    <w:rsid w:val="00073975"/>
    <w:rsid w:val="00073FD3"/>
    <w:rsid w:val="0007434F"/>
    <w:rsid w:val="00074869"/>
    <w:rsid w:val="00074937"/>
    <w:rsid w:val="00074940"/>
    <w:rsid w:val="00074D69"/>
    <w:rsid w:val="00075925"/>
    <w:rsid w:val="00077F7A"/>
    <w:rsid w:val="00081572"/>
    <w:rsid w:val="00081832"/>
    <w:rsid w:val="000819C7"/>
    <w:rsid w:val="00081A57"/>
    <w:rsid w:val="000845FA"/>
    <w:rsid w:val="0008496B"/>
    <w:rsid w:val="00084ADF"/>
    <w:rsid w:val="00085238"/>
    <w:rsid w:val="00085BF1"/>
    <w:rsid w:val="00086394"/>
    <w:rsid w:val="0008645A"/>
    <w:rsid w:val="00086B9F"/>
    <w:rsid w:val="00087127"/>
    <w:rsid w:val="000875A5"/>
    <w:rsid w:val="000875FE"/>
    <w:rsid w:val="00087B61"/>
    <w:rsid w:val="00090A4E"/>
    <w:rsid w:val="00090D59"/>
    <w:rsid w:val="00091267"/>
    <w:rsid w:val="00091A0C"/>
    <w:rsid w:val="000927FF"/>
    <w:rsid w:val="00092C68"/>
    <w:rsid w:val="00093216"/>
    <w:rsid w:val="000932EB"/>
    <w:rsid w:val="00093764"/>
    <w:rsid w:val="00093866"/>
    <w:rsid w:val="0009462D"/>
    <w:rsid w:val="00094791"/>
    <w:rsid w:val="00094CCC"/>
    <w:rsid w:val="00094D0F"/>
    <w:rsid w:val="0009550E"/>
    <w:rsid w:val="000955DE"/>
    <w:rsid w:val="000956C8"/>
    <w:rsid w:val="00096021"/>
    <w:rsid w:val="00096D6A"/>
    <w:rsid w:val="00097A5A"/>
    <w:rsid w:val="000A0589"/>
    <w:rsid w:val="000A2786"/>
    <w:rsid w:val="000A2950"/>
    <w:rsid w:val="000A3513"/>
    <w:rsid w:val="000A4A57"/>
    <w:rsid w:val="000A5058"/>
    <w:rsid w:val="000A5937"/>
    <w:rsid w:val="000A650D"/>
    <w:rsid w:val="000A6AD1"/>
    <w:rsid w:val="000A728D"/>
    <w:rsid w:val="000A754C"/>
    <w:rsid w:val="000A7E97"/>
    <w:rsid w:val="000B00BE"/>
    <w:rsid w:val="000B0414"/>
    <w:rsid w:val="000B09C6"/>
    <w:rsid w:val="000B0C98"/>
    <w:rsid w:val="000B1CEF"/>
    <w:rsid w:val="000B20E3"/>
    <w:rsid w:val="000B23F3"/>
    <w:rsid w:val="000B29E5"/>
    <w:rsid w:val="000B2AAC"/>
    <w:rsid w:val="000B2E45"/>
    <w:rsid w:val="000B2FD8"/>
    <w:rsid w:val="000B38E5"/>
    <w:rsid w:val="000B44AB"/>
    <w:rsid w:val="000B4780"/>
    <w:rsid w:val="000B4A67"/>
    <w:rsid w:val="000B5161"/>
    <w:rsid w:val="000B54A1"/>
    <w:rsid w:val="000B5D37"/>
    <w:rsid w:val="000B689D"/>
    <w:rsid w:val="000B7734"/>
    <w:rsid w:val="000B780F"/>
    <w:rsid w:val="000B7C81"/>
    <w:rsid w:val="000C08BC"/>
    <w:rsid w:val="000C1AB7"/>
    <w:rsid w:val="000C27B8"/>
    <w:rsid w:val="000C287E"/>
    <w:rsid w:val="000C3695"/>
    <w:rsid w:val="000C36C1"/>
    <w:rsid w:val="000C370B"/>
    <w:rsid w:val="000C42C8"/>
    <w:rsid w:val="000C4DDF"/>
    <w:rsid w:val="000C5F71"/>
    <w:rsid w:val="000C66B9"/>
    <w:rsid w:val="000C6A81"/>
    <w:rsid w:val="000C71CA"/>
    <w:rsid w:val="000C7986"/>
    <w:rsid w:val="000C7A48"/>
    <w:rsid w:val="000D0388"/>
    <w:rsid w:val="000D08AD"/>
    <w:rsid w:val="000D0C4D"/>
    <w:rsid w:val="000D1BC7"/>
    <w:rsid w:val="000D2073"/>
    <w:rsid w:val="000D2977"/>
    <w:rsid w:val="000D3E95"/>
    <w:rsid w:val="000D3FEF"/>
    <w:rsid w:val="000D49E7"/>
    <w:rsid w:val="000D4CB8"/>
    <w:rsid w:val="000D57DD"/>
    <w:rsid w:val="000D582F"/>
    <w:rsid w:val="000D6E71"/>
    <w:rsid w:val="000D7A7C"/>
    <w:rsid w:val="000D7DCF"/>
    <w:rsid w:val="000D7E1C"/>
    <w:rsid w:val="000E00C9"/>
    <w:rsid w:val="000E0333"/>
    <w:rsid w:val="000E0A89"/>
    <w:rsid w:val="000E22B5"/>
    <w:rsid w:val="000E262A"/>
    <w:rsid w:val="000E2928"/>
    <w:rsid w:val="000E2F77"/>
    <w:rsid w:val="000E3231"/>
    <w:rsid w:val="000E334F"/>
    <w:rsid w:val="000E387F"/>
    <w:rsid w:val="000E6131"/>
    <w:rsid w:val="000E680E"/>
    <w:rsid w:val="000E7470"/>
    <w:rsid w:val="000E784C"/>
    <w:rsid w:val="000E79C2"/>
    <w:rsid w:val="000E7B5A"/>
    <w:rsid w:val="000E7C03"/>
    <w:rsid w:val="000E7D18"/>
    <w:rsid w:val="000F0266"/>
    <w:rsid w:val="000F05B9"/>
    <w:rsid w:val="000F0904"/>
    <w:rsid w:val="000F1DA7"/>
    <w:rsid w:val="000F20BE"/>
    <w:rsid w:val="000F3188"/>
    <w:rsid w:val="000F3B49"/>
    <w:rsid w:val="000F3F18"/>
    <w:rsid w:val="000F3F2B"/>
    <w:rsid w:val="000F4082"/>
    <w:rsid w:val="000F49D3"/>
    <w:rsid w:val="000F4AE3"/>
    <w:rsid w:val="000F4B89"/>
    <w:rsid w:val="000F4F75"/>
    <w:rsid w:val="000F5024"/>
    <w:rsid w:val="000F5255"/>
    <w:rsid w:val="000F6300"/>
    <w:rsid w:val="000F6B23"/>
    <w:rsid w:val="000F73DB"/>
    <w:rsid w:val="000F7E10"/>
    <w:rsid w:val="000FDA1D"/>
    <w:rsid w:val="00100DAD"/>
    <w:rsid w:val="00101333"/>
    <w:rsid w:val="00102ABA"/>
    <w:rsid w:val="00103129"/>
    <w:rsid w:val="00103556"/>
    <w:rsid w:val="001038ED"/>
    <w:rsid w:val="00103C26"/>
    <w:rsid w:val="0010471B"/>
    <w:rsid w:val="00105277"/>
    <w:rsid w:val="00105285"/>
    <w:rsid w:val="00105C37"/>
    <w:rsid w:val="00105C5D"/>
    <w:rsid w:val="00106CBE"/>
    <w:rsid w:val="00107095"/>
    <w:rsid w:val="0010712D"/>
    <w:rsid w:val="00107296"/>
    <w:rsid w:val="001075C6"/>
    <w:rsid w:val="0010766C"/>
    <w:rsid w:val="00107CA0"/>
    <w:rsid w:val="00110000"/>
    <w:rsid w:val="00110296"/>
    <w:rsid w:val="0011042D"/>
    <w:rsid w:val="00110AF8"/>
    <w:rsid w:val="001115D4"/>
    <w:rsid w:val="00112F2C"/>
    <w:rsid w:val="00113727"/>
    <w:rsid w:val="001143DF"/>
    <w:rsid w:val="00114822"/>
    <w:rsid w:val="001156AA"/>
    <w:rsid w:val="00116A70"/>
    <w:rsid w:val="00117619"/>
    <w:rsid w:val="00117ADD"/>
    <w:rsid w:val="00117CAB"/>
    <w:rsid w:val="00120626"/>
    <w:rsid w:val="00120948"/>
    <w:rsid w:val="00120ADC"/>
    <w:rsid w:val="001229DE"/>
    <w:rsid w:val="00122BD8"/>
    <w:rsid w:val="00123ACA"/>
    <w:rsid w:val="00124166"/>
    <w:rsid w:val="001247D5"/>
    <w:rsid w:val="00124C57"/>
    <w:rsid w:val="00125097"/>
    <w:rsid w:val="001251E3"/>
    <w:rsid w:val="0012542F"/>
    <w:rsid w:val="00125AE9"/>
    <w:rsid w:val="00126F27"/>
    <w:rsid w:val="00131553"/>
    <w:rsid w:val="0013256C"/>
    <w:rsid w:val="00132C5C"/>
    <w:rsid w:val="001334E0"/>
    <w:rsid w:val="001335FC"/>
    <w:rsid w:val="001336B8"/>
    <w:rsid w:val="001337EE"/>
    <w:rsid w:val="00134761"/>
    <w:rsid w:val="00134AE9"/>
    <w:rsid w:val="0013527B"/>
    <w:rsid w:val="00136485"/>
    <w:rsid w:val="0013656B"/>
    <w:rsid w:val="00136780"/>
    <w:rsid w:val="0013693E"/>
    <w:rsid w:val="0013702D"/>
    <w:rsid w:val="00137030"/>
    <w:rsid w:val="00137482"/>
    <w:rsid w:val="0014277D"/>
    <w:rsid w:val="001431E4"/>
    <w:rsid w:val="001433CF"/>
    <w:rsid w:val="00143871"/>
    <w:rsid w:val="00143FD3"/>
    <w:rsid w:val="00144007"/>
    <w:rsid w:val="00144070"/>
    <w:rsid w:val="0014492C"/>
    <w:rsid w:val="001449D1"/>
    <w:rsid w:val="00145070"/>
    <w:rsid w:val="0014555E"/>
    <w:rsid w:val="001455F3"/>
    <w:rsid w:val="00146E22"/>
    <w:rsid w:val="00146FFF"/>
    <w:rsid w:val="0014769C"/>
    <w:rsid w:val="00147B34"/>
    <w:rsid w:val="001504E1"/>
    <w:rsid w:val="00150F00"/>
    <w:rsid w:val="001517B5"/>
    <w:rsid w:val="00152A42"/>
    <w:rsid w:val="00152C26"/>
    <w:rsid w:val="00152CA5"/>
    <w:rsid w:val="00152D5B"/>
    <w:rsid w:val="00153366"/>
    <w:rsid w:val="00153DE3"/>
    <w:rsid w:val="00154B33"/>
    <w:rsid w:val="00155061"/>
    <w:rsid w:val="00155C92"/>
    <w:rsid w:val="00155C9E"/>
    <w:rsid w:val="001566E5"/>
    <w:rsid w:val="0015691E"/>
    <w:rsid w:val="00156D5F"/>
    <w:rsid w:val="001570C5"/>
    <w:rsid w:val="00157368"/>
    <w:rsid w:val="00157D31"/>
    <w:rsid w:val="001600B2"/>
    <w:rsid w:val="00160760"/>
    <w:rsid w:val="0016087C"/>
    <w:rsid w:val="00160C63"/>
    <w:rsid w:val="00161CD4"/>
    <w:rsid w:val="00162360"/>
    <w:rsid w:val="00162725"/>
    <w:rsid w:val="00162851"/>
    <w:rsid w:val="00162FE0"/>
    <w:rsid w:val="00163147"/>
    <w:rsid w:val="001637B2"/>
    <w:rsid w:val="001642BC"/>
    <w:rsid w:val="00164304"/>
    <w:rsid w:val="00164496"/>
    <w:rsid w:val="00164972"/>
    <w:rsid w:val="00165908"/>
    <w:rsid w:val="001663F8"/>
    <w:rsid w:val="00166E8C"/>
    <w:rsid w:val="00166F93"/>
    <w:rsid w:val="001673B6"/>
    <w:rsid w:val="00167536"/>
    <w:rsid w:val="00170AE9"/>
    <w:rsid w:val="00170EAE"/>
    <w:rsid w:val="00171D95"/>
    <w:rsid w:val="00172770"/>
    <w:rsid w:val="00172ED4"/>
    <w:rsid w:val="001734AE"/>
    <w:rsid w:val="001738CA"/>
    <w:rsid w:val="00173B65"/>
    <w:rsid w:val="0017413A"/>
    <w:rsid w:val="00174EED"/>
    <w:rsid w:val="001750B5"/>
    <w:rsid w:val="00175BB8"/>
    <w:rsid w:val="00176AB6"/>
    <w:rsid w:val="00177033"/>
    <w:rsid w:val="001772A1"/>
    <w:rsid w:val="00177C70"/>
    <w:rsid w:val="00177F59"/>
    <w:rsid w:val="00180696"/>
    <w:rsid w:val="001808AE"/>
    <w:rsid w:val="00180D64"/>
    <w:rsid w:val="00181CAF"/>
    <w:rsid w:val="00182543"/>
    <w:rsid w:val="00183489"/>
    <w:rsid w:val="001839C6"/>
    <w:rsid w:val="00183B2F"/>
    <w:rsid w:val="001840E9"/>
    <w:rsid w:val="00184BC6"/>
    <w:rsid w:val="00185136"/>
    <w:rsid w:val="00185380"/>
    <w:rsid w:val="00185714"/>
    <w:rsid w:val="00185D37"/>
    <w:rsid w:val="001874EE"/>
    <w:rsid w:val="0018773F"/>
    <w:rsid w:val="00187E6C"/>
    <w:rsid w:val="0019002A"/>
    <w:rsid w:val="001910F3"/>
    <w:rsid w:val="00191346"/>
    <w:rsid w:val="00191771"/>
    <w:rsid w:val="00191E5B"/>
    <w:rsid w:val="0019221F"/>
    <w:rsid w:val="001930CD"/>
    <w:rsid w:val="001938C7"/>
    <w:rsid w:val="00194669"/>
    <w:rsid w:val="001947F9"/>
    <w:rsid w:val="00195361"/>
    <w:rsid w:val="0019692E"/>
    <w:rsid w:val="00196B8F"/>
    <w:rsid w:val="00197530"/>
    <w:rsid w:val="001A06EE"/>
    <w:rsid w:val="001A1264"/>
    <w:rsid w:val="001A1294"/>
    <w:rsid w:val="001A2CD2"/>
    <w:rsid w:val="001A30B4"/>
    <w:rsid w:val="001A33C3"/>
    <w:rsid w:val="001A372F"/>
    <w:rsid w:val="001A4612"/>
    <w:rsid w:val="001A4F30"/>
    <w:rsid w:val="001A4FEB"/>
    <w:rsid w:val="001A5A48"/>
    <w:rsid w:val="001A5AD2"/>
    <w:rsid w:val="001A5B2A"/>
    <w:rsid w:val="001A77C3"/>
    <w:rsid w:val="001B004C"/>
    <w:rsid w:val="001B00F0"/>
    <w:rsid w:val="001B06A1"/>
    <w:rsid w:val="001B0B80"/>
    <w:rsid w:val="001B0C17"/>
    <w:rsid w:val="001B100C"/>
    <w:rsid w:val="001B1E4E"/>
    <w:rsid w:val="001B22BA"/>
    <w:rsid w:val="001B2538"/>
    <w:rsid w:val="001B35DD"/>
    <w:rsid w:val="001B39FE"/>
    <w:rsid w:val="001B40A2"/>
    <w:rsid w:val="001B454C"/>
    <w:rsid w:val="001B45D0"/>
    <w:rsid w:val="001B4976"/>
    <w:rsid w:val="001B4A25"/>
    <w:rsid w:val="001B4CB6"/>
    <w:rsid w:val="001B5A12"/>
    <w:rsid w:val="001C0DFD"/>
    <w:rsid w:val="001C2056"/>
    <w:rsid w:val="001C270B"/>
    <w:rsid w:val="001C35ED"/>
    <w:rsid w:val="001C389C"/>
    <w:rsid w:val="001C3F5B"/>
    <w:rsid w:val="001C4120"/>
    <w:rsid w:val="001C43C6"/>
    <w:rsid w:val="001C4858"/>
    <w:rsid w:val="001C54E3"/>
    <w:rsid w:val="001C60A2"/>
    <w:rsid w:val="001C60D3"/>
    <w:rsid w:val="001C6209"/>
    <w:rsid w:val="001C6609"/>
    <w:rsid w:val="001C6EC4"/>
    <w:rsid w:val="001C72D6"/>
    <w:rsid w:val="001C7523"/>
    <w:rsid w:val="001D00CA"/>
    <w:rsid w:val="001D027B"/>
    <w:rsid w:val="001D1077"/>
    <w:rsid w:val="001D1847"/>
    <w:rsid w:val="001D1FDD"/>
    <w:rsid w:val="001D23C5"/>
    <w:rsid w:val="001D5660"/>
    <w:rsid w:val="001D671B"/>
    <w:rsid w:val="001D69D7"/>
    <w:rsid w:val="001D7D4A"/>
    <w:rsid w:val="001D7F20"/>
    <w:rsid w:val="001E04E8"/>
    <w:rsid w:val="001E0AD2"/>
    <w:rsid w:val="001E0F38"/>
    <w:rsid w:val="001E1E77"/>
    <w:rsid w:val="001E1F14"/>
    <w:rsid w:val="001E2B3C"/>
    <w:rsid w:val="001E2E07"/>
    <w:rsid w:val="001E33F6"/>
    <w:rsid w:val="001E422C"/>
    <w:rsid w:val="001E4441"/>
    <w:rsid w:val="001E467C"/>
    <w:rsid w:val="001E4E2D"/>
    <w:rsid w:val="001E5248"/>
    <w:rsid w:val="001E52B7"/>
    <w:rsid w:val="001E5361"/>
    <w:rsid w:val="001E5F64"/>
    <w:rsid w:val="001E6114"/>
    <w:rsid w:val="001E672A"/>
    <w:rsid w:val="001E7891"/>
    <w:rsid w:val="001E79EB"/>
    <w:rsid w:val="001E7DBB"/>
    <w:rsid w:val="001F0502"/>
    <w:rsid w:val="001F083A"/>
    <w:rsid w:val="001F1837"/>
    <w:rsid w:val="001F20EB"/>
    <w:rsid w:val="001F26C5"/>
    <w:rsid w:val="001F30AB"/>
    <w:rsid w:val="001F34A2"/>
    <w:rsid w:val="001F3DA1"/>
    <w:rsid w:val="001F3E72"/>
    <w:rsid w:val="001F4B71"/>
    <w:rsid w:val="001F5072"/>
    <w:rsid w:val="001F50BD"/>
    <w:rsid w:val="001F5195"/>
    <w:rsid w:val="001F56E2"/>
    <w:rsid w:val="001F5C30"/>
    <w:rsid w:val="001F6B15"/>
    <w:rsid w:val="001F73B3"/>
    <w:rsid w:val="001F7BC2"/>
    <w:rsid w:val="002004EA"/>
    <w:rsid w:val="00200744"/>
    <w:rsid w:val="00200BCB"/>
    <w:rsid w:val="00200C8A"/>
    <w:rsid w:val="00200ED3"/>
    <w:rsid w:val="00200F19"/>
    <w:rsid w:val="002014FD"/>
    <w:rsid w:val="002020A7"/>
    <w:rsid w:val="0020258C"/>
    <w:rsid w:val="00202B1E"/>
    <w:rsid w:val="00203461"/>
    <w:rsid w:val="00203486"/>
    <w:rsid w:val="00204058"/>
    <w:rsid w:val="002043DA"/>
    <w:rsid w:val="00204CD3"/>
    <w:rsid w:val="00205087"/>
    <w:rsid w:val="002050E8"/>
    <w:rsid w:val="00205922"/>
    <w:rsid w:val="00206737"/>
    <w:rsid w:val="0020690E"/>
    <w:rsid w:val="00207438"/>
    <w:rsid w:val="00207992"/>
    <w:rsid w:val="00207E90"/>
    <w:rsid w:val="002103A5"/>
    <w:rsid w:val="00211004"/>
    <w:rsid w:val="00212176"/>
    <w:rsid w:val="002124C2"/>
    <w:rsid w:val="00213547"/>
    <w:rsid w:val="0021410F"/>
    <w:rsid w:val="002158AF"/>
    <w:rsid w:val="00216096"/>
    <w:rsid w:val="0021796E"/>
    <w:rsid w:val="002179BF"/>
    <w:rsid w:val="00220716"/>
    <w:rsid w:val="002207BF"/>
    <w:rsid w:val="00220C21"/>
    <w:rsid w:val="00222957"/>
    <w:rsid w:val="00222DEF"/>
    <w:rsid w:val="00223460"/>
    <w:rsid w:val="002261C7"/>
    <w:rsid w:val="0022646D"/>
    <w:rsid w:val="00226790"/>
    <w:rsid w:val="00226860"/>
    <w:rsid w:val="0022694D"/>
    <w:rsid w:val="00227AAF"/>
    <w:rsid w:val="00230546"/>
    <w:rsid w:val="002310E4"/>
    <w:rsid w:val="00231663"/>
    <w:rsid w:val="002316FF"/>
    <w:rsid w:val="00232336"/>
    <w:rsid w:val="002325E5"/>
    <w:rsid w:val="00234874"/>
    <w:rsid w:val="00235E6A"/>
    <w:rsid w:val="00235F3B"/>
    <w:rsid w:val="00236F21"/>
    <w:rsid w:val="00236F9C"/>
    <w:rsid w:val="002374BE"/>
    <w:rsid w:val="00237E9F"/>
    <w:rsid w:val="0024002F"/>
    <w:rsid w:val="00240350"/>
    <w:rsid w:val="00240358"/>
    <w:rsid w:val="00240500"/>
    <w:rsid w:val="002409C8"/>
    <w:rsid w:val="00240CBD"/>
    <w:rsid w:val="00240DDD"/>
    <w:rsid w:val="00241022"/>
    <w:rsid w:val="002411B2"/>
    <w:rsid w:val="00241A62"/>
    <w:rsid w:val="00241FFC"/>
    <w:rsid w:val="00242190"/>
    <w:rsid w:val="002422DA"/>
    <w:rsid w:val="0024253B"/>
    <w:rsid w:val="00242820"/>
    <w:rsid w:val="00243857"/>
    <w:rsid w:val="00243CFE"/>
    <w:rsid w:val="0024484C"/>
    <w:rsid w:val="00244A53"/>
    <w:rsid w:val="00244B52"/>
    <w:rsid w:val="00244F1E"/>
    <w:rsid w:val="00245170"/>
    <w:rsid w:val="0024530C"/>
    <w:rsid w:val="00245DD6"/>
    <w:rsid w:val="00245F72"/>
    <w:rsid w:val="00247180"/>
    <w:rsid w:val="00247871"/>
    <w:rsid w:val="002478FB"/>
    <w:rsid w:val="00247B10"/>
    <w:rsid w:val="00250C2D"/>
    <w:rsid w:val="002516BB"/>
    <w:rsid w:val="00251C0F"/>
    <w:rsid w:val="00251FB1"/>
    <w:rsid w:val="0025235D"/>
    <w:rsid w:val="00253E1A"/>
    <w:rsid w:val="00254283"/>
    <w:rsid w:val="002542D8"/>
    <w:rsid w:val="00254303"/>
    <w:rsid w:val="00254A5E"/>
    <w:rsid w:val="00254C28"/>
    <w:rsid w:val="00254EFB"/>
    <w:rsid w:val="00255009"/>
    <w:rsid w:val="00255818"/>
    <w:rsid w:val="00256F73"/>
    <w:rsid w:val="00257607"/>
    <w:rsid w:val="00257926"/>
    <w:rsid w:val="00260E91"/>
    <w:rsid w:val="00260FD5"/>
    <w:rsid w:val="002616DE"/>
    <w:rsid w:val="00261A6E"/>
    <w:rsid w:val="002625AF"/>
    <w:rsid w:val="00263401"/>
    <w:rsid w:val="002634B8"/>
    <w:rsid w:val="00263C89"/>
    <w:rsid w:val="00263E9C"/>
    <w:rsid w:val="00264350"/>
    <w:rsid w:val="00264500"/>
    <w:rsid w:val="002647CB"/>
    <w:rsid w:val="0026492D"/>
    <w:rsid w:val="00265168"/>
    <w:rsid w:val="00266303"/>
    <w:rsid w:val="00266355"/>
    <w:rsid w:val="00266930"/>
    <w:rsid w:val="00266B76"/>
    <w:rsid w:val="00267709"/>
    <w:rsid w:val="002677DE"/>
    <w:rsid w:val="00267A74"/>
    <w:rsid w:val="00267D20"/>
    <w:rsid w:val="00267F96"/>
    <w:rsid w:val="0027097A"/>
    <w:rsid w:val="00271045"/>
    <w:rsid w:val="00272325"/>
    <w:rsid w:val="002728F3"/>
    <w:rsid w:val="00272E6E"/>
    <w:rsid w:val="00273B2C"/>
    <w:rsid w:val="00274460"/>
    <w:rsid w:val="002744E4"/>
    <w:rsid w:val="0027490C"/>
    <w:rsid w:val="002750C9"/>
    <w:rsid w:val="0027515C"/>
    <w:rsid w:val="0027526D"/>
    <w:rsid w:val="002753C0"/>
    <w:rsid w:val="002758AA"/>
    <w:rsid w:val="0027607F"/>
    <w:rsid w:val="00276536"/>
    <w:rsid w:val="00276B6D"/>
    <w:rsid w:val="00277742"/>
    <w:rsid w:val="002805C1"/>
    <w:rsid w:val="00281609"/>
    <w:rsid w:val="0028194E"/>
    <w:rsid w:val="00281D70"/>
    <w:rsid w:val="00281F76"/>
    <w:rsid w:val="00282927"/>
    <w:rsid w:val="00282D50"/>
    <w:rsid w:val="0028402D"/>
    <w:rsid w:val="00284226"/>
    <w:rsid w:val="00284501"/>
    <w:rsid w:val="00284517"/>
    <w:rsid w:val="002848C9"/>
    <w:rsid w:val="0028497E"/>
    <w:rsid w:val="002851DE"/>
    <w:rsid w:val="00285B97"/>
    <w:rsid w:val="00286365"/>
    <w:rsid w:val="002863D7"/>
    <w:rsid w:val="002869B2"/>
    <w:rsid w:val="002875CE"/>
    <w:rsid w:val="00290293"/>
    <w:rsid w:val="0029039C"/>
    <w:rsid w:val="00290B8E"/>
    <w:rsid w:val="00291BBE"/>
    <w:rsid w:val="00292683"/>
    <w:rsid w:val="0029272A"/>
    <w:rsid w:val="00292D0D"/>
    <w:rsid w:val="00292EF5"/>
    <w:rsid w:val="00293B13"/>
    <w:rsid w:val="00296742"/>
    <w:rsid w:val="00296794"/>
    <w:rsid w:val="002968E1"/>
    <w:rsid w:val="00296AC9"/>
    <w:rsid w:val="002A06C8"/>
    <w:rsid w:val="002A0896"/>
    <w:rsid w:val="002A1AAB"/>
    <w:rsid w:val="002A1FC6"/>
    <w:rsid w:val="002A2907"/>
    <w:rsid w:val="002A2F23"/>
    <w:rsid w:val="002A3320"/>
    <w:rsid w:val="002A55B3"/>
    <w:rsid w:val="002A5604"/>
    <w:rsid w:val="002A56F0"/>
    <w:rsid w:val="002A7946"/>
    <w:rsid w:val="002A7D1B"/>
    <w:rsid w:val="002B1D6A"/>
    <w:rsid w:val="002B1F1E"/>
    <w:rsid w:val="002B2A5D"/>
    <w:rsid w:val="002B2B28"/>
    <w:rsid w:val="002B2F8A"/>
    <w:rsid w:val="002B3D22"/>
    <w:rsid w:val="002B4363"/>
    <w:rsid w:val="002B4518"/>
    <w:rsid w:val="002B4677"/>
    <w:rsid w:val="002B4E9C"/>
    <w:rsid w:val="002B61F2"/>
    <w:rsid w:val="002B79FA"/>
    <w:rsid w:val="002C0E58"/>
    <w:rsid w:val="002C1C68"/>
    <w:rsid w:val="002C2815"/>
    <w:rsid w:val="002C28C6"/>
    <w:rsid w:val="002C34F2"/>
    <w:rsid w:val="002C3672"/>
    <w:rsid w:val="002C3962"/>
    <w:rsid w:val="002C3AD3"/>
    <w:rsid w:val="002C3F0F"/>
    <w:rsid w:val="002C3FBA"/>
    <w:rsid w:val="002C427E"/>
    <w:rsid w:val="002C46C5"/>
    <w:rsid w:val="002C4D80"/>
    <w:rsid w:val="002C5442"/>
    <w:rsid w:val="002C5743"/>
    <w:rsid w:val="002C5859"/>
    <w:rsid w:val="002C5A59"/>
    <w:rsid w:val="002C6071"/>
    <w:rsid w:val="002C6433"/>
    <w:rsid w:val="002C711B"/>
    <w:rsid w:val="002C7299"/>
    <w:rsid w:val="002C7404"/>
    <w:rsid w:val="002C7793"/>
    <w:rsid w:val="002C7824"/>
    <w:rsid w:val="002D0528"/>
    <w:rsid w:val="002D1C70"/>
    <w:rsid w:val="002D353F"/>
    <w:rsid w:val="002D3DB8"/>
    <w:rsid w:val="002D43BB"/>
    <w:rsid w:val="002D6403"/>
    <w:rsid w:val="002D659D"/>
    <w:rsid w:val="002D7DEC"/>
    <w:rsid w:val="002D7FB0"/>
    <w:rsid w:val="002E007F"/>
    <w:rsid w:val="002E0726"/>
    <w:rsid w:val="002E1E54"/>
    <w:rsid w:val="002E44EF"/>
    <w:rsid w:val="002E5E6A"/>
    <w:rsid w:val="002E5F70"/>
    <w:rsid w:val="002E73D3"/>
    <w:rsid w:val="002E7B16"/>
    <w:rsid w:val="002E7E7C"/>
    <w:rsid w:val="002F002B"/>
    <w:rsid w:val="002F00CB"/>
    <w:rsid w:val="002F0DE4"/>
    <w:rsid w:val="002F11C5"/>
    <w:rsid w:val="002F1564"/>
    <w:rsid w:val="002F1763"/>
    <w:rsid w:val="002F24B7"/>
    <w:rsid w:val="002F2571"/>
    <w:rsid w:val="002F3E05"/>
    <w:rsid w:val="002F3E8A"/>
    <w:rsid w:val="002F488C"/>
    <w:rsid w:val="002F5FE9"/>
    <w:rsid w:val="002F6729"/>
    <w:rsid w:val="002F67AF"/>
    <w:rsid w:val="002F691F"/>
    <w:rsid w:val="002F70EE"/>
    <w:rsid w:val="002F7BF3"/>
    <w:rsid w:val="002F7D4C"/>
    <w:rsid w:val="00300092"/>
    <w:rsid w:val="00300683"/>
    <w:rsid w:val="00300857"/>
    <w:rsid w:val="003008B7"/>
    <w:rsid w:val="00300A5F"/>
    <w:rsid w:val="003018D0"/>
    <w:rsid w:val="00303AE1"/>
    <w:rsid w:val="00303C8C"/>
    <w:rsid w:val="00304114"/>
    <w:rsid w:val="003047BB"/>
    <w:rsid w:val="003048E6"/>
    <w:rsid w:val="00304ABF"/>
    <w:rsid w:val="00304CA8"/>
    <w:rsid w:val="00304CC3"/>
    <w:rsid w:val="003061F8"/>
    <w:rsid w:val="0030632B"/>
    <w:rsid w:val="00306427"/>
    <w:rsid w:val="0030643D"/>
    <w:rsid w:val="00306949"/>
    <w:rsid w:val="00307D4B"/>
    <w:rsid w:val="0031051B"/>
    <w:rsid w:val="0031087D"/>
    <w:rsid w:val="00310FB6"/>
    <w:rsid w:val="003116A9"/>
    <w:rsid w:val="003121B3"/>
    <w:rsid w:val="00312368"/>
    <w:rsid w:val="00312859"/>
    <w:rsid w:val="00312AAE"/>
    <w:rsid w:val="00314F03"/>
    <w:rsid w:val="0031544D"/>
    <w:rsid w:val="00315849"/>
    <w:rsid w:val="0031712C"/>
    <w:rsid w:val="003178FD"/>
    <w:rsid w:val="00317AA7"/>
    <w:rsid w:val="00320724"/>
    <w:rsid w:val="003207E6"/>
    <w:rsid w:val="003212E5"/>
    <w:rsid w:val="00321782"/>
    <w:rsid w:val="00321F6F"/>
    <w:rsid w:val="003256C8"/>
    <w:rsid w:val="00325ED9"/>
    <w:rsid w:val="00326740"/>
    <w:rsid w:val="00327942"/>
    <w:rsid w:val="00327DA9"/>
    <w:rsid w:val="00330B79"/>
    <w:rsid w:val="00330FB2"/>
    <w:rsid w:val="00331D5B"/>
    <w:rsid w:val="0033268D"/>
    <w:rsid w:val="00332ACE"/>
    <w:rsid w:val="0033366A"/>
    <w:rsid w:val="0033523B"/>
    <w:rsid w:val="003354E1"/>
    <w:rsid w:val="00336363"/>
    <w:rsid w:val="00336ED2"/>
    <w:rsid w:val="00337053"/>
    <w:rsid w:val="00337707"/>
    <w:rsid w:val="00337F7E"/>
    <w:rsid w:val="0034014C"/>
    <w:rsid w:val="003406C4"/>
    <w:rsid w:val="00341063"/>
    <w:rsid w:val="003412F2"/>
    <w:rsid w:val="00341B3D"/>
    <w:rsid w:val="0034265F"/>
    <w:rsid w:val="00342693"/>
    <w:rsid w:val="00342D7E"/>
    <w:rsid w:val="00342EF0"/>
    <w:rsid w:val="00342EF1"/>
    <w:rsid w:val="003431DD"/>
    <w:rsid w:val="003433DD"/>
    <w:rsid w:val="00343D57"/>
    <w:rsid w:val="003441DE"/>
    <w:rsid w:val="00344326"/>
    <w:rsid w:val="003446D7"/>
    <w:rsid w:val="00344BF1"/>
    <w:rsid w:val="00344CEA"/>
    <w:rsid w:val="00344D4F"/>
    <w:rsid w:val="003457BD"/>
    <w:rsid w:val="00345812"/>
    <w:rsid w:val="00345BF5"/>
    <w:rsid w:val="00345BF6"/>
    <w:rsid w:val="00346F93"/>
    <w:rsid w:val="0034749B"/>
    <w:rsid w:val="0035054C"/>
    <w:rsid w:val="003515E9"/>
    <w:rsid w:val="00351A9B"/>
    <w:rsid w:val="00354354"/>
    <w:rsid w:val="00354D01"/>
    <w:rsid w:val="00356AA2"/>
    <w:rsid w:val="00356D5B"/>
    <w:rsid w:val="00357B8B"/>
    <w:rsid w:val="00357F20"/>
    <w:rsid w:val="0036023F"/>
    <w:rsid w:val="0036144C"/>
    <w:rsid w:val="00361468"/>
    <w:rsid w:val="003614C7"/>
    <w:rsid w:val="003619A3"/>
    <w:rsid w:val="003622A0"/>
    <w:rsid w:val="00362511"/>
    <w:rsid w:val="00362AEB"/>
    <w:rsid w:val="003631AD"/>
    <w:rsid w:val="0036332A"/>
    <w:rsid w:val="003635A7"/>
    <w:rsid w:val="00363A50"/>
    <w:rsid w:val="00364169"/>
    <w:rsid w:val="00364468"/>
    <w:rsid w:val="00364D69"/>
    <w:rsid w:val="0036502F"/>
    <w:rsid w:val="003656B1"/>
    <w:rsid w:val="003657F5"/>
    <w:rsid w:val="0036605D"/>
    <w:rsid w:val="003663F5"/>
    <w:rsid w:val="00366571"/>
    <w:rsid w:val="00366A3D"/>
    <w:rsid w:val="003671E6"/>
    <w:rsid w:val="00370B20"/>
    <w:rsid w:val="00371347"/>
    <w:rsid w:val="00371C14"/>
    <w:rsid w:val="003720E4"/>
    <w:rsid w:val="003734F5"/>
    <w:rsid w:val="00373CEB"/>
    <w:rsid w:val="0037493F"/>
    <w:rsid w:val="00375432"/>
    <w:rsid w:val="00376895"/>
    <w:rsid w:val="00377279"/>
    <w:rsid w:val="00377C8F"/>
    <w:rsid w:val="00377CBF"/>
    <w:rsid w:val="003803CB"/>
    <w:rsid w:val="0038050B"/>
    <w:rsid w:val="003805C0"/>
    <w:rsid w:val="00380E8F"/>
    <w:rsid w:val="0038174D"/>
    <w:rsid w:val="00382A3C"/>
    <w:rsid w:val="00382A57"/>
    <w:rsid w:val="00383F3D"/>
    <w:rsid w:val="00384860"/>
    <w:rsid w:val="00385261"/>
    <w:rsid w:val="003855AC"/>
    <w:rsid w:val="0038563A"/>
    <w:rsid w:val="00385768"/>
    <w:rsid w:val="00385AD8"/>
    <w:rsid w:val="00385CBE"/>
    <w:rsid w:val="003862C2"/>
    <w:rsid w:val="003869E5"/>
    <w:rsid w:val="00386A60"/>
    <w:rsid w:val="00386E40"/>
    <w:rsid w:val="003875B1"/>
    <w:rsid w:val="00387D5E"/>
    <w:rsid w:val="00387DB7"/>
    <w:rsid w:val="0039023B"/>
    <w:rsid w:val="00390779"/>
    <w:rsid w:val="003908E1"/>
    <w:rsid w:val="003910D9"/>
    <w:rsid w:val="003911CC"/>
    <w:rsid w:val="003911FC"/>
    <w:rsid w:val="00391A1F"/>
    <w:rsid w:val="00391BDB"/>
    <w:rsid w:val="0039208F"/>
    <w:rsid w:val="003920D5"/>
    <w:rsid w:val="00392CD8"/>
    <w:rsid w:val="0039303E"/>
    <w:rsid w:val="00393142"/>
    <w:rsid w:val="0039352F"/>
    <w:rsid w:val="00393618"/>
    <w:rsid w:val="00394935"/>
    <w:rsid w:val="00395D17"/>
    <w:rsid w:val="00396342"/>
    <w:rsid w:val="00397BB1"/>
    <w:rsid w:val="003A11FD"/>
    <w:rsid w:val="003A1752"/>
    <w:rsid w:val="003A1FD7"/>
    <w:rsid w:val="003A2353"/>
    <w:rsid w:val="003A25CA"/>
    <w:rsid w:val="003A2FD3"/>
    <w:rsid w:val="003A3347"/>
    <w:rsid w:val="003A3D34"/>
    <w:rsid w:val="003A3E1B"/>
    <w:rsid w:val="003A46B3"/>
    <w:rsid w:val="003A511C"/>
    <w:rsid w:val="003A53FE"/>
    <w:rsid w:val="003A5A31"/>
    <w:rsid w:val="003A5B17"/>
    <w:rsid w:val="003A6BC6"/>
    <w:rsid w:val="003A7527"/>
    <w:rsid w:val="003A7B30"/>
    <w:rsid w:val="003B0422"/>
    <w:rsid w:val="003B12B2"/>
    <w:rsid w:val="003B180D"/>
    <w:rsid w:val="003B1950"/>
    <w:rsid w:val="003B1CD6"/>
    <w:rsid w:val="003B22AC"/>
    <w:rsid w:val="003B2774"/>
    <w:rsid w:val="003B28DA"/>
    <w:rsid w:val="003B3BE0"/>
    <w:rsid w:val="003B3EF2"/>
    <w:rsid w:val="003B4443"/>
    <w:rsid w:val="003B46CE"/>
    <w:rsid w:val="003B4C4E"/>
    <w:rsid w:val="003B5103"/>
    <w:rsid w:val="003B64E2"/>
    <w:rsid w:val="003B6B57"/>
    <w:rsid w:val="003B7160"/>
    <w:rsid w:val="003B7F07"/>
    <w:rsid w:val="003C0BC6"/>
    <w:rsid w:val="003C0D61"/>
    <w:rsid w:val="003C160D"/>
    <w:rsid w:val="003C1BB7"/>
    <w:rsid w:val="003C2343"/>
    <w:rsid w:val="003C2ABF"/>
    <w:rsid w:val="003C38AF"/>
    <w:rsid w:val="003C485F"/>
    <w:rsid w:val="003C4E65"/>
    <w:rsid w:val="003C50F6"/>
    <w:rsid w:val="003C5E06"/>
    <w:rsid w:val="003C69DA"/>
    <w:rsid w:val="003C7091"/>
    <w:rsid w:val="003C7C90"/>
    <w:rsid w:val="003C7E1D"/>
    <w:rsid w:val="003D067B"/>
    <w:rsid w:val="003D10C9"/>
    <w:rsid w:val="003D1528"/>
    <w:rsid w:val="003D242F"/>
    <w:rsid w:val="003D2D20"/>
    <w:rsid w:val="003D2ECB"/>
    <w:rsid w:val="003D3083"/>
    <w:rsid w:val="003D3EDD"/>
    <w:rsid w:val="003D4FED"/>
    <w:rsid w:val="003D5B31"/>
    <w:rsid w:val="003D659F"/>
    <w:rsid w:val="003D6A6A"/>
    <w:rsid w:val="003D6AF0"/>
    <w:rsid w:val="003E0B16"/>
    <w:rsid w:val="003E0C28"/>
    <w:rsid w:val="003E128C"/>
    <w:rsid w:val="003E17A0"/>
    <w:rsid w:val="003E19CC"/>
    <w:rsid w:val="003E1B0C"/>
    <w:rsid w:val="003E22EB"/>
    <w:rsid w:val="003E27B0"/>
    <w:rsid w:val="003E2F2B"/>
    <w:rsid w:val="003E2FD1"/>
    <w:rsid w:val="003E38E1"/>
    <w:rsid w:val="003E56E6"/>
    <w:rsid w:val="003E698A"/>
    <w:rsid w:val="003E6D8B"/>
    <w:rsid w:val="003E6FFF"/>
    <w:rsid w:val="003E716E"/>
    <w:rsid w:val="003F1738"/>
    <w:rsid w:val="003F1892"/>
    <w:rsid w:val="003F37D1"/>
    <w:rsid w:val="003F51C7"/>
    <w:rsid w:val="003F5A20"/>
    <w:rsid w:val="003F5C39"/>
    <w:rsid w:val="003F5F62"/>
    <w:rsid w:val="003F66E5"/>
    <w:rsid w:val="003F6E0A"/>
    <w:rsid w:val="003F7585"/>
    <w:rsid w:val="003F767A"/>
    <w:rsid w:val="003F7BBE"/>
    <w:rsid w:val="00400284"/>
    <w:rsid w:val="00400454"/>
    <w:rsid w:val="004004C2"/>
    <w:rsid w:val="00400CC8"/>
    <w:rsid w:val="00400D18"/>
    <w:rsid w:val="0040122A"/>
    <w:rsid w:val="00401750"/>
    <w:rsid w:val="00401AB8"/>
    <w:rsid w:val="00401F81"/>
    <w:rsid w:val="00402405"/>
    <w:rsid w:val="004024EA"/>
    <w:rsid w:val="00402C03"/>
    <w:rsid w:val="004037B1"/>
    <w:rsid w:val="00403C16"/>
    <w:rsid w:val="0040435C"/>
    <w:rsid w:val="00404AF8"/>
    <w:rsid w:val="00404EA8"/>
    <w:rsid w:val="00405458"/>
    <w:rsid w:val="004059CC"/>
    <w:rsid w:val="0040656A"/>
    <w:rsid w:val="004069D5"/>
    <w:rsid w:val="00406C27"/>
    <w:rsid w:val="00406C54"/>
    <w:rsid w:val="0040732B"/>
    <w:rsid w:val="004079EB"/>
    <w:rsid w:val="00407EE8"/>
    <w:rsid w:val="004111CD"/>
    <w:rsid w:val="00411C9C"/>
    <w:rsid w:val="004126DF"/>
    <w:rsid w:val="00412CA3"/>
    <w:rsid w:val="00412CB4"/>
    <w:rsid w:val="0041370B"/>
    <w:rsid w:val="00413925"/>
    <w:rsid w:val="00413998"/>
    <w:rsid w:val="00413B54"/>
    <w:rsid w:val="00414371"/>
    <w:rsid w:val="00414686"/>
    <w:rsid w:val="0041561E"/>
    <w:rsid w:val="00416228"/>
    <w:rsid w:val="004166A1"/>
    <w:rsid w:val="004169D4"/>
    <w:rsid w:val="00416CAA"/>
    <w:rsid w:val="00416EB5"/>
    <w:rsid w:val="00417665"/>
    <w:rsid w:val="00420134"/>
    <w:rsid w:val="004207FA"/>
    <w:rsid w:val="004208ED"/>
    <w:rsid w:val="00420DB4"/>
    <w:rsid w:val="004214B1"/>
    <w:rsid w:val="0042163D"/>
    <w:rsid w:val="004226CB"/>
    <w:rsid w:val="00422D87"/>
    <w:rsid w:val="0042309F"/>
    <w:rsid w:val="0042365E"/>
    <w:rsid w:val="00423C11"/>
    <w:rsid w:val="00424307"/>
    <w:rsid w:val="004247BE"/>
    <w:rsid w:val="00424933"/>
    <w:rsid w:val="004251AA"/>
    <w:rsid w:val="00425484"/>
    <w:rsid w:val="0042550E"/>
    <w:rsid w:val="00426991"/>
    <w:rsid w:val="004274CF"/>
    <w:rsid w:val="004277DB"/>
    <w:rsid w:val="00427811"/>
    <w:rsid w:val="0043085A"/>
    <w:rsid w:val="00431953"/>
    <w:rsid w:val="0043244B"/>
    <w:rsid w:val="00432A45"/>
    <w:rsid w:val="0043308E"/>
    <w:rsid w:val="004338EB"/>
    <w:rsid w:val="0043403F"/>
    <w:rsid w:val="004346AB"/>
    <w:rsid w:val="00434953"/>
    <w:rsid w:val="004366D1"/>
    <w:rsid w:val="00436ABA"/>
    <w:rsid w:val="0043719F"/>
    <w:rsid w:val="0044002F"/>
    <w:rsid w:val="00440F18"/>
    <w:rsid w:val="0044117C"/>
    <w:rsid w:val="004424E1"/>
    <w:rsid w:val="00442615"/>
    <w:rsid w:val="00442D78"/>
    <w:rsid w:val="00443A55"/>
    <w:rsid w:val="00443CC7"/>
    <w:rsid w:val="00444922"/>
    <w:rsid w:val="00444AAD"/>
    <w:rsid w:val="00444B5F"/>
    <w:rsid w:val="0044527E"/>
    <w:rsid w:val="00445835"/>
    <w:rsid w:val="0044584A"/>
    <w:rsid w:val="00446DF0"/>
    <w:rsid w:val="00450601"/>
    <w:rsid w:val="00450C58"/>
    <w:rsid w:val="004510EF"/>
    <w:rsid w:val="0045110E"/>
    <w:rsid w:val="004511A5"/>
    <w:rsid w:val="00452A3C"/>
    <w:rsid w:val="00452B44"/>
    <w:rsid w:val="00452B97"/>
    <w:rsid w:val="00453405"/>
    <w:rsid w:val="00453788"/>
    <w:rsid w:val="00453AB3"/>
    <w:rsid w:val="00454DD8"/>
    <w:rsid w:val="0045551B"/>
    <w:rsid w:val="0045577F"/>
    <w:rsid w:val="004567E5"/>
    <w:rsid w:val="00457D44"/>
    <w:rsid w:val="0046001D"/>
    <w:rsid w:val="00460073"/>
    <w:rsid w:val="00460407"/>
    <w:rsid w:val="00460FAE"/>
    <w:rsid w:val="00461C21"/>
    <w:rsid w:val="00462EEA"/>
    <w:rsid w:val="00463426"/>
    <w:rsid w:val="004634A0"/>
    <w:rsid w:val="0046404B"/>
    <w:rsid w:val="004641D5"/>
    <w:rsid w:val="00464366"/>
    <w:rsid w:val="00465EFD"/>
    <w:rsid w:val="004668D3"/>
    <w:rsid w:val="00466B36"/>
    <w:rsid w:val="00466E44"/>
    <w:rsid w:val="00466F72"/>
    <w:rsid w:val="00467DF3"/>
    <w:rsid w:val="0047003C"/>
    <w:rsid w:val="00470414"/>
    <w:rsid w:val="00470506"/>
    <w:rsid w:val="004706A7"/>
    <w:rsid w:val="00470CAA"/>
    <w:rsid w:val="00471253"/>
    <w:rsid w:val="00471668"/>
    <w:rsid w:val="00471E12"/>
    <w:rsid w:val="00472ED1"/>
    <w:rsid w:val="00472F4B"/>
    <w:rsid w:val="00473366"/>
    <w:rsid w:val="00473A4E"/>
    <w:rsid w:val="00473E0D"/>
    <w:rsid w:val="00474C95"/>
    <w:rsid w:val="00475030"/>
    <w:rsid w:val="004750F4"/>
    <w:rsid w:val="004754CC"/>
    <w:rsid w:val="004755A5"/>
    <w:rsid w:val="00475627"/>
    <w:rsid w:val="0047644C"/>
    <w:rsid w:val="00476AA5"/>
    <w:rsid w:val="00477256"/>
    <w:rsid w:val="00477DFC"/>
    <w:rsid w:val="0048062C"/>
    <w:rsid w:val="0048090A"/>
    <w:rsid w:val="00480AC6"/>
    <w:rsid w:val="004813F6"/>
    <w:rsid w:val="004816EE"/>
    <w:rsid w:val="00481BAD"/>
    <w:rsid w:val="00481DC0"/>
    <w:rsid w:val="00481DE1"/>
    <w:rsid w:val="00481EBD"/>
    <w:rsid w:val="00481F2F"/>
    <w:rsid w:val="004821C3"/>
    <w:rsid w:val="004823BB"/>
    <w:rsid w:val="0048243C"/>
    <w:rsid w:val="00482497"/>
    <w:rsid w:val="00482D24"/>
    <w:rsid w:val="00482EFA"/>
    <w:rsid w:val="004845B3"/>
    <w:rsid w:val="00484767"/>
    <w:rsid w:val="00484D9E"/>
    <w:rsid w:val="00484DF3"/>
    <w:rsid w:val="00485FD1"/>
    <w:rsid w:val="00486237"/>
    <w:rsid w:val="00486A15"/>
    <w:rsid w:val="00486D33"/>
    <w:rsid w:val="004876E0"/>
    <w:rsid w:val="0048783F"/>
    <w:rsid w:val="00490437"/>
    <w:rsid w:val="0049090E"/>
    <w:rsid w:val="00490A87"/>
    <w:rsid w:val="004915C8"/>
    <w:rsid w:val="00491685"/>
    <w:rsid w:val="00493283"/>
    <w:rsid w:val="004939D9"/>
    <w:rsid w:val="0049441B"/>
    <w:rsid w:val="00494DDF"/>
    <w:rsid w:val="00495672"/>
    <w:rsid w:val="004958AE"/>
    <w:rsid w:val="00495E44"/>
    <w:rsid w:val="00496062"/>
    <w:rsid w:val="004965BC"/>
    <w:rsid w:val="00496E0E"/>
    <w:rsid w:val="00497044"/>
    <w:rsid w:val="004A08CC"/>
    <w:rsid w:val="004A0D7E"/>
    <w:rsid w:val="004A1535"/>
    <w:rsid w:val="004A1DC9"/>
    <w:rsid w:val="004A2288"/>
    <w:rsid w:val="004A43BF"/>
    <w:rsid w:val="004A4DD7"/>
    <w:rsid w:val="004A697A"/>
    <w:rsid w:val="004A6D9D"/>
    <w:rsid w:val="004B0612"/>
    <w:rsid w:val="004B0713"/>
    <w:rsid w:val="004B0969"/>
    <w:rsid w:val="004B0D8F"/>
    <w:rsid w:val="004B0EC7"/>
    <w:rsid w:val="004B1120"/>
    <w:rsid w:val="004B1EDA"/>
    <w:rsid w:val="004B288C"/>
    <w:rsid w:val="004B323F"/>
    <w:rsid w:val="004B3A11"/>
    <w:rsid w:val="004B42F3"/>
    <w:rsid w:val="004B432D"/>
    <w:rsid w:val="004B4A4C"/>
    <w:rsid w:val="004B50FF"/>
    <w:rsid w:val="004B5D94"/>
    <w:rsid w:val="004B5FB1"/>
    <w:rsid w:val="004B6511"/>
    <w:rsid w:val="004B6737"/>
    <w:rsid w:val="004B6D02"/>
    <w:rsid w:val="004B6D83"/>
    <w:rsid w:val="004B6DA1"/>
    <w:rsid w:val="004B6E50"/>
    <w:rsid w:val="004B753D"/>
    <w:rsid w:val="004B7905"/>
    <w:rsid w:val="004C0050"/>
    <w:rsid w:val="004C043E"/>
    <w:rsid w:val="004C062C"/>
    <w:rsid w:val="004C0965"/>
    <w:rsid w:val="004C0F9A"/>
    <w:rsid w:val="004C1BF7"/>
    <w:rsid w:val="004C20FC"/>
    <w:rsid w:val="004C264C"/>
    <w:rsid w:val="004C2C67"/>
    <w:rsid w:val="004C2E49"/>
    <w:rsid w:val="004C407F"/>
    <w:rsid w:val="004C48D7"/>
    <w:rsid w:val="004C4EA9"/>
    <w:rsid w:val="004C58B3"/>
    <w:rsid w:val="004C6158"/>
    <w:rsid w:val="004C74D5"/>
    <w:rsid w:val="004D00F8"/>
    <w:rsid w:val="004D091A"/>
    <w:rsid w:val="004D0D01"/>
    <w:rsid w:val="004D11AF"/>
    <w:rsid w:val="004D2CEE"/>
    <w:rsid w:val="004D314B"/>
    <w:rsid w:val="004D377E"/>
    <w:rsid w:val="004D4042"/>
    <w:rsid w:val="004D481C"/>
    <w:rsid w:val="004D49EF"/>
    <w:rsid w:val="004D5001"/>
    <w:rsid w:val="004D502F"/>
    <w:rsid w:val="004D5921"/>
    <w:rsid w:val="004D624E"/>
    <w:rsid w:val="004D6B9D"/>
    <w:rsid w:val="004D786D"/>
    <w:rsid w:val="004D7B22"/>
    <w:rsid w:val="004E067B"/>
    <w:rsid w:val="004E38CC"/>
    <w:rsid w:val="004E3E00"/>
    <w:rsid w:val="004E410A"/>
    <w:rsid w:val="004E4F51"/>
    <w:rsid w:val="004E7B39"/>
    <w:rsid w:val="004E7E4C"/>
    <w:rsid w:val="004E7EF3"/>
    <w:rsid w:val="004F041B"/>
    <w:rsid w:val="004F0AA7"/>
    <w:rsid w:val="004F1737"/>
    <w:rsid w:val="004F3B00"/>
    <w:rsid w:val="004F3ED4"/>
    <w:rsid w:val="004F4454"/>
    <w:rsid w:val="004F4471"/>
    <w:rsid w:val="004F4F3C"/>
    <w:rsid w:val="004F6353"/>
    <w:rsid w:val="004F6490"/>
    <w:rsid w:val="004F77A8"/>
    <w:rsid w:val="00500833"/>
    <w:rsid w:val="00501199"/>
    <w:rsid w:val="00501E8F"/>
    <w:rsid w:val="005027FA"/>
    <w:rsid w:val="00502E20"/>
    <w:rsid w:val="00502FD6"/>
    <w:rsid w:val="00503326"/>
    <w:rsid w:val="00504277"/>
    <w:rsid w:val="005043AE"/>
    <w:rsid w:val="00504960"/>
    <w:rsid w:val="00504C0E"/>
    <w:rsid w:val="00504D95"/>
    <w:rsid w:val="00505029"/>
    <w:rsid w:val="0050502A"/>
    <w:rsid w:val="005054E5"/>
    <w:rsid w:val="00505840"/>
    <w:rsid w:val="00505A99"/>
    <w:rsid w:val="00505B48"/>
    <w:rsid w:val="00506300"/>
    <w:rsid w:val="00506AD2"/>
    <w:rsid w:val="0050726F"/>
    <w:rsid w:val="005074AF"/>
    <w:rsid w:val="00507C20"/>
    <w:rsid w:val="00507E05"/>
    <w:rsid w:val="0051073A"/>
    <w:rsid w:val="00510980"/>
    <w:rsid w:val="005117AE"/>
    <w:rsid w:val="00511BA2"/>
    <w:rsid w:val="00511C1C"/>
    <w:rsid w:val="00512CF0"/>
    <w:rsid w:val="0051377F"/>
    <w:rsid w:val="00513C9E"/>
    <w:rsid w:val="0051418E"/>
    <w:rsid w:val="005147AE"/>
    <w:rsid w:val="00514A21"/>
    <w:rsid w:val="00514F7C"/>
    <w:rsid w:val="0051528B"/>
    <w:rsid w:val="0051547C"/>
    <w:rsid w:val="00515A81"/>
    <w:rsid w:val="00516191"/>
    <w:rsid w:val="005175C4"/>
    <w:rsid w:val="00517D81"/>
    <w:rsid w:val="00517EE4"/>
    <w:rsid w:val="00520BFD"/>
    <w:rsid w:val="00521198"/>
    <w:rsid w:val="005216DF"/>
    <w:rsid w:val="005219BA"/>
    <w:rsid w:val="00521C01"/>
    <w:rsid w:val="00522EF1"/>
    <w:rsid w:val="00523A06"/>
    <w:rsid w:val="00524DB2"/>
    <w:rsid w:val="005266B6"/>
    <w:rsid w:val="00526E4A"/>
    <w:rsid w:val="005271A9"/>
    <w:rsid w:val="00527B84"/>
    <w:rsid w:val="00527D51"/>
    <w:rsid w:val="005318CD"/>
    <w:rsid w:val="00532B02"/>
    <w:rsid w:val="0053314C"/>
    <w:rsid w:val="0053322E"/>
    <w:rsid w:val="00533412"/>
    <w:rsid w:val="00533AF6"/>
    <w:rsid w:val="00533E06"/>
    <w:rsid w:val="00534C3B"/>
    <w:rsid w:val="00534D45"/>
    <w:rsid w:val="005353B1"/>
    <w:rsid w:val="00535766"/>
    <w:rsid w:val="00535C00"/>
    <w:rsid w:val="00536EAE"/>
    <w:rsid w:val="005371B3"/>
    <w:rsid w:val="00537CD6"/>
    <w:rsid w:val="00540746"/>
    <w:rsid w:val="00541090"/>
    <w:rsid w:val="00542770"/>
    <w:rsid w:val="00543EF7"/>
    <w:rsid w:val="00544751"/>
    <w:rsid w:val="00545030"/>
    <w:rsid w:val="005452C3"/>
    <w:rsid w:val="0054543A"/>
    <w:rsid w:val="00545576"/>
    <w:rsid w:val="00545F60"/>
    <w:rsid w:val="005461B6"/>
    <w:rsid w:val="00546BD2"/>
    <w:rsid w:val="005470EB"/>
    <w:rsid w:val="00547F1C"/>
    <w:rsid w:val="00550510"/>
    <w:rsid w:val="00550590"/>
    <w:rsid w:val="00550A71"/>
    <w:rsid w:val="005512F9"/>
    <w:rsid w:val="00551580"/>
    <w:rsid w:val="00552C5B"/>
    <w:rsid w:val="00553232"/>
    <w:rsid w:val="005538A7"/>
    <w:rsid w:val="005546EE"/>
    <w:rsid w:val="00554BAA"/>
    <w:rsid w:val="00554D29"/>
    <w:rsid w:val="00555CA8"/>
    <w:rsid w:val="00555D2C"/>
    <w:rsid w:val="00555DF1"/>
    <w:rsid w:val="00555EF7"/>
    <w:rsid w:val="00556239"/>
    <w:rsid w:val="00559F05"/>
    <w:rsid w:val="00560560"/>
    <w:rsid w:val="0056063A"/>
    <w:rsid w:val="005608BC"/>
    <w:rsid w:val="00561349"/>
    <w:rsid w:val="00561421"/>
    <w:rsid w:val="005616FC"/>
    <w:rsid w:val="005618BF"/>
    <w:rsid w:val="0056199B"/>
    <w:rsid w:val="00562186"/>
    <w:rsid w:val="0056241F"/>
    <w:rsid w:val="00562D71"/>
    <w:rsid w:val="00562DF7"/>
    <w:rsid w:val="00563AE2"/>
    <w:rsid w:val="00565736"/>
    <w:rsid w:val="005661FA"/>
    <w:rsid w:val="005663B7"/>
    <w:rsid w:val="005664B5"/>
    <w:rsid w:val="00566FBD"/>
    <w:rsid w:val="00567D52"/>
    <w:rsid w:val="0057024E"/>
    <w:rsid w:val="00570365"/>
    <w:rsid w:val="005714E9"/>
    <w:rsid w:val="00571746"/>
    <w:rsid w:val="00571AF6"/>
    <w:rsid w:val="00571BC7"/>
    <w:rsid w:val="00571D92"/>
    <w:rsid w:val="005722C8"/>
    <w:rsid w:val="005727DA"/>
    <w:rsid w:val="0057336A"/>
    <w:rsid w:val="00573D46"/>
    <w:rsid w:val="005743CD"/>
    <w:rsid w:val="00574BE3"/>
    <w:rsid w:val="00575488"/>
    <w:rsid w:val="00575B79"/>
    <w:rsid w:val="005765FC"/>
    <w:rsid w:val="00576A3B"/>
    <w:rsid w:val="00576ADE"/>
    <w:rsid w:val="00576DD7"/>
    <w:rsid w:val="00576FB4"/>
    <w:rsid w:val="0057786E"/>
    <w:rsid w:val="00577B86"/>
    <w:rsid w:val="005802AA"/>
    <w:rsid w:val="005813FA"/>
    <w:rsid w:val="00581BC9"/>
    <w:rsid w:val="00582385"/>
    <w:rsid w:val="00582554"/>
    <w:rsid w:val="0058341C"/>
    <w:rsid w:val="00583EFD"/>
    <w:rsid w:val="005842EC"/>
    <w:rsid w:val="00584587"/>
    <w:rsid w:val="0058470F"/>
    <w:rsid w:val="00584783"/>
    <w:rsid w:val="00584E94"/>
    <w:rsid w:val="00585497"/>
    <w:rsid w:val="00585742"/>
    <w:rsid w:val="0058574F"/>
    <w:rsid w:val="0058596A"/>
    <w:rsid w:val="0058631B"/>
    <w:rsid w:val="00586350"/>
    <w:rsid w:val="005869D4"/>
    <w:rsid w:val="00586B52"/>
    <w:rsid w:val="00586D0E"/>
    <w:rsid w:val="00587D94"/>
    <w:rsid w:val="00587E90"/>
    <w:rsid w:val="00590568"/>
    <w:rsid w:val="00590581"/>
    <w:rsid w:val="00590909"/>
    <w:rsid w:val="00590BBD"/>
    <w:rsid w:val="00591A73"/>
    <w:rsid w:val="00591F6C"/>
    <w:rsid w:val="005924CC"/>
    <w:rsid w:val="00592995"/>
    <w:rsid w:val="005934AA"/>
    <w:rsid w:val="005938C2"/>
    <w:rsid w:val="005945E9"/>
    <w:rsid w:val="00594B18"/>
    <w:rsid w:val="005955DA"/>
    <w:rsid w:val="00595D46"/>
    <w:rsid w:val="00595E57"/>
    <w:rsid w:val="00595ECD"/>
    <w:rsid w:val="0059661C"/>
    <w:rsid w:val="005A066C"/>
    <w:rsid w:val="005A074C"/>
    <w:rsid w:val="005A17B1"/>
    <w:rsid w:val="005A1BF6"/>
    <w:rsid w:val="005A1E6C"/>
    <w:rsid w:val="005A1EF1"/>
    <w:rsid w:val="005A243D"/>
    <w:rsid w:val="005A2D52"/>
    <w:rsid w:val="005A38B5"/>
    <w:rsid w:val="005A3AB8"/>
    <w:rsid w:val="005A4199"/>
    <w:rsid w:val="005A6C27"/>
    <w:rsid w:val="005B06D8"/>
    <w:rsid w:val="005B0BDB"/>
    <w:rsid w:val="005B100D"/>
    <w:rsid w:val="005B1345"/>
    <w:rsid w:val="005B148E"/>
    <w:rsid w:val="005B2B8E"/>
    <w:rsid w:val="005B338F"/>
    <w:rsid w:val="005B4038"/>
    <w:rsid w:val="005B4284"/>
    <w:rsid w:val="005B46CC"/>
    <w:rsid w:val="005B4843"/>
    <w:rsid w:val="005B5F6C"/>
    <w:rsid w:val="005B65DB"/>
    <w:rsid w:val="005B7148"/>
    <w:rsid w:val="005B7DBB"/>
    <w:rsid w:val="005C3272"/>
    <w:rsid w:val="005C396A"/>
    <w:rsid w:val="005C3D14"/>
    <w:rsid w:val="005C3EB7"/>
    <w:rsid w:val="005C3FAB"/>
    <w:rsid w:val="005C4A57"/>
    <w:rsid w:val="005C4CC4"/>
    <w:rsid w:val="005C509E"/>
    <w:rsid w:val="005C596F"/>
    <w:rsid w:val="005C5F06"/>
    <w:rsid w:val="005C6A45"/>
    <w:rsid w:val="005C7637"/>
    <w:rsid w:val="005C79DD"/>
    <w:rsid w:val="005C7EEF"/>
    <w:rsid w:val="005D006D"/>
    <w:rsid w:val="005D0165"/>
    <w:rsid w:val="005D0979"/>
    <w:rsid w:val="005D1CAC"/>
    <w:rsid w:val="005D21B8"/>
    <w:rsid w:val="005D21CA"/>
    <w:rsid w:val="005D2543"/>
    <w:rsid w:val="005D2A05"/>
    <w:rsid w:val="005D37AD"/>
    <w:rsid w:val="005D3A7D"/>
    <w:rsid w:val="005D506D"/>
    <w:rsid w:val="005D5473"/>
    <w:rsid w:val="005D5FFF"/>
    <w:rsid w:val="005D647F"/>
    <w:rsid w:val="005D67DB"/>
    <w:rsid w:val="005D7334"/>
    <w:rsid w:val="005D7DC8"/>
    <w:rsid w:val="005E08CC"/>
    <w:rsid w:val="005E0EA8"/>
    <w:rsid w:val="005E1995"/>
    <w:rsid w:val="005E1E3F"/>
    <w:rsid w:val="005E213F"/>
    <w:rsid w:val="005E29A5"/>
    <w:rsid w:val="005E2AFF"/>
    <w:rsid w:val="005E2C26"/>
    <w:rsid w:val="005E341A"/>
    <w:rsid w:val="005E44BC"/>
    <w:rsid w:val="005E5E46"/>
    <w:rsid w:val="005E60DA"/>
    <w:rsid w:val="005E6EDB"/>
    <w:rsid w:val="005F0541"/>
    <w:rsid w:val="005F1389"/>
    <w:rsid w:val="005F1552"/>
    <w:rsid w:val="005F169C"/>
    <w:rsid w:val="005F1BFD"/>
    <w:rsid w:val="005F1C7E"/>
    <w:rsid w:val="005F24D3"/>
    <w:rsid w:val="005F2DAE"/>
    <w:rsid w:val="005F2ED5"/>
    <w:rsid w:val="005F3643"/>
    <w:rsid w:val="005F3A4A"/>
    <w:rsid w:val="005F5096"/>
    <w:rsid w:val="005F50B0"/>
    <w:rsid w:val="005F65FE"/>
    <w:rsid w:val="005F6C92"/>
    <w:rsid w:val="005F7207"/>
    <w:rsid w:val="005F79B9"/>
    <w:rsid w:val="005F7AB2"/>
    <w:rsid w:val="005F7EAF"/>
    <w:rsid w:val="00601B64"/>
    <w:rsid w:val="00601D29"/>
    <w:rsid w:val="00601FB5"/>
    <w:rsid w:val="00603810"/>
    <w:rsid w:val="00603B81"/>
    <w:rsid w:val="00604001"/>
    <w:rsid w:val="006040F2"/>
    <w:rsid w:val="00604B45"/>
    <w:rsid w:val="00605871"/>
    <w:rsid w:val="006074AC"/>
    <w:rsid w:val="006079F3"/>
    <w:rsid w:val="00610273"/>
    <w:rsid w:val="006102A6"/>
    <w:rsid w:val="00610B5C"/>
    <w:rsid w:val="00611297"/>
    <w:rsid w:val="00611374"/>
    <w:rsid w:val="006113AA"/>
    <w:rsid w:val="00611DE7"/>
    <w:rsid w:val="00611FF7"/>
    <w:rsid w:val="00613476"/>
    <w:rsid w:val="00613BBB"/>
    <w:rsid w:val="00613EF7"/>
    <w:rsid w:val="00614162"/>
    <w:rsid w:val="006147F7"/>
    <w:rsid w:val="00614A1F"/>
    <w:rsid w:val="00614AD5"/>
    <w:rsid w:val="00614E31"/>
    <w:rsid w:val="006155AE"/>
    <w:rsid w:val="00616167"/>
    <w:rsid w:val="00616B9C"/>
    <w:rsid w:val="00616F00"/>
    <w:rsid w:val="0061787E"/>
    <w:rsid w:val="00617B76"/>
    <w:rsid w:val="00620A71"/>
    <w:rsid w:val="00621662"/>
    <w:rsid w:val="00621DA3"/>
    <w:rsid w:val="00621EF9"/>
    <w:rsid w:val="0062290B"/>
    <w:rsid w:val="00622D70"/>
    <w:rsid w:val="00622F7A"/>
    <w:rsid w:val="00623AB6"/>
    <w:rsid w:val="00624BFA"/>
    <w:rsid w:val="00625528"/>
    <w:rsid w:val="00625DBE"/>
    <w:rsid w:val="00626485"/>
    <w:rsid w:val="00626586"/>
    <w:rsid w:val="006267EE"/>
    <w:rsid w:val="00626D4D"/>
    <w:rsid w:val="0062751A"/>
    <w:rsid w:val="00627DCA"/>
    <w:rsid w:val="00630055"/>
    <w:rsid w:val="006300B7"/>
    <w:rsid w:val="006300D1"/>
    <w:rsid w:val="00630E29"/>
    <w:rsid w:val="00630FC9"/>
    <w:rsid w:val="00631C4B"/>
    <w:rsid w:val="00632496"/>
    <w:rsid w:val="00632A75"/>
    <w:rsid w:val="00633719"/>
    <w:rsid w:val="00633A1C"/>
    <w:rsid w:val="006344A5"/>
    <w:rsid w:val="006357C4"/>
    <w:rsid w:val="00636200"/>
    <w:rsid w:val="00636302"/>
    <w:rsid w:val="00636F36"/>
    <w:rsid w:val="00637D2D"/>
    <w:rsid w:val="00640179"/>
    <w:rsid w:val="00640A81"/>
    <w:rsid w:val="006411DF"/>
    <w:rsid w:val="0064140E"/>
    <w:rsid w:val="00641438"/>
    <w:rsid w:val="00641A5B"/>
    <w:rsid w:val="006423BE"/>
    <w:rsid w:val="00642910"/>
    <w:rsid w:val="006429C6"/>
    <w:rsid w:val="00642CA3"/>
    <w:rsid w:val="0064332F"/>
    <w:rsid w:val="00644293"/>
    <w:rsid w:val="006442D8"/>
    <w:rsid w:val="00644615"/>
    <w:rsid w:val="00644912"/>
    <w:rsid w:val="00644991"/>
    <w:rsid w:val="006453C7"/>
    <w:rsid w:val="006455E2"/>
    <w:rsid w:val="0064625E"/>
    <w:rsid w:val="006465FB"/>
    <w:rsid w:val="00646F39"/>
    <w:rsid w:val="00647822"/>
    <w:rsid w:val="006500C3"/>
    <w:rsid w:val="00650441"/>
    <w:rsid w:val="00650732"/>
    <w:rsid w:val="00650F14"/>
    <w:rsid w:val="006519AE"/>
    <w:rsid w:val="00653553"/>
    <w:rsid w:val="00653CC9"/>
    <w:rsid w:val="0065441C"/>
    <w:rsid w:val="00655530"/>
    <w:rsid w:val="006558D7"/>
    <w:rsid w:val="006558F5"/>
    <w:rsid w:val="00655B1C"/>
    <w:rsid w:val="00655B35"/>
    <w:rsid w:val="00655C66"/>
    <w:rsid w:val="006561E0"/>
    <w:rsid w:val="0065668E"/>
    <w:rsid w:val="00657134"/>
    <w:rsid w:val="006571D6"/>
    <w:rsid w:val="006576EF"/>
    <w:rsid w:val="006577C7"/>
    <w:rsid w:val="00657B23"/>
    <w:rsid w:val="00657EA0"/>
    <w:rsid w:val="0066016D"/>
    <w:rsid w:val="006605DC"/>
    <w:rsid w:val="00661754"/>
    <w:rsid w:val="00662B32"/>
    <w:rsid w:val="00664D06"/>
    <w:rsid w:val="00665015"/>
    <w:rsid w:val="00665355"/>
    <w:rsid w:val="00667DB8"/>
    <w:rsid w:val="006711E8"/>
    <w:rsid w:val="006714F4"/>
    <w:rsid w:val="00671F83"/>
    <w:rsid w:val="00672B29"/>
    <w:rsid w:val="006731BB"/>
    <w:rsid w:val="0067396F"/>
    <w:rsid w:val="00675787"/>
    <w:rsid w:val="00676547"/>
    <w:rsid w:val="006765F9"/>
    <w:rsid w:val="006767C4"/>
    <w:rsid w:val="0067718A"/>
    <w:rsid w:val="006772BF"/>
    <w:rsid w:val="00677B32"/>
    <w:rsid w:val="00677C6B"/>
    <w:rsid w:val="00677F0E"/>
    <w:rsid w:val="00680693"/>
    <w:rsid w:val="006807D7"/>
    <w:rsid w:val="00680D86"/>
    <w:rsid w:val="00681920"/>
    <w:rsid w:val="00681F7B"/>
    <w:rsid w:val="0068209F"/>
    <w:rsid w:val="006824CA"/>
    <w:rsid w:val="006830F0"/>
    <w:rsid w:val="006832DB"/>
    <w:rsid w:val="0068408F"/>
    <w:rsid w:val="00684A95"/>
    <w:rsid w:val="00685B75"/>
    <w:rsid w:val="00685C65"/>
    <w:rsid w:val="006866AD"/>
    <w:rsid w:val="006866BD"/>
    <w:rsid w:val="00687183"/>
    <w:rsid w:val="006914E7"/>
    <w:rsid w:val="00691807"/>
    <w:rsid w:val="006919E2"/>
    <w:rsid w:val="00691A74"/>
    <w:rsid w:val="00691E71"/>
    <w:rsid w:val="006924CB"/>
    <w:rsid w:val="006931BD"/>
    <w:rsid w:val="00694B41"/>
    <w:rsid w:val="006950CB"/>
    <w:rsid w:val="006950DA"/>
    <w:rsid w:val="00695154"/>
    <w:rsid w:val="0069531A"/>
    <w:rsid w:val="006953A6"/>
    <w:rsid w:val="0069588D"/>
    <w:rsid w:val="006962FE"/>
    <w:rsid w:val="00696FAF"/>
    <w:rsid w:val="0069757C"/>
    <w:rsid w:val="006A07A9"/>
    <w:rsid w:val="006A0D3A"/>
    <w:rsid w:val="006A15F0"/>
    <w:rsid w:val="006A1AC6"/>
    <w:rsid w:val="006A2628"/>
    <w:rsid w:val="006A26FE"/>
    <w:rsid w:val="006A2775"/>
    <w:rsid w:val="006A27C6"/>
    <w:rsid w:val="006A2D03"/>
    <w:rsid w:val="006A440E"/>
    <w:rsid w:val="006A6057"/>
    <w:rsid w:val="006A6299"/>
    <w:rsid w:val="006A67F3"/>
    <w:rsid w:val="006A7412"/>
    <w:rsid w:val="006A7A31"/>
    <w:rsid w:val="006B0071"/>
    <w:rsid w:val="006B03D6"/>
    <w:rsid w:val="006B067E"/>
    <w:rsid w:val="006B122D"/>
    <w:rsid w:val="006B1AF9"/>
    <w:rsid w:val="006B340B"/>
    <w:rsid w:val="006B3474"/>
    <w:rsid w:val="006B3B29"/>
    <w:rsid w:val="006B4080"/>
    <w:rsid w:val="006B4290"/>
    <w:rsid w:val="006B4621"/>
    <w:rsid w:val="006B4A5E"/>
    <w:rsid w:val="006B4E93"/>
    <w:rsid w:val="006B5295"/>
    <w:rsid w:val="006B533C"/>
    <w:rsid w:val="006B5E76"/>
    <w:rsid w:val="006B7486"/>
    <w:rsid w:val="006B7C1E"/>
    <w:rsid w:val="006C0231"/>
    <w:rsid w:val="006C0DA3"/>
    <w:rsid w:val="006C1E58"/>
    <w:rsid w:val="006C2200"/>
    <w:rsid w:val="006C27AA"/>
    <w:rsid w:val="006C318F"/>
    <w:rsid w:val="006C3715"/>
    <w:rsid w:val="006C37E4"/>
    <w:rsid w:val="006C3AAD"/>
    <w:rsid w:val="006C414E"/>
    <w:rsid w:val="006C438D"/>
    <w:rsid w:val="006C67C7"/>
    <w:rsid w:val="006C6A59"/>
    <w:rsid w:val="006C6FAB"/>
    <w:rsid w:val="006C7687"/>
    <w:rsid w:val="006C7951"/>
    <w:rsid w:val="006D09E0"/>
    <w:rsid w:val="006D0BDE"/>
    <w:rsid w:val="006D0F96"/>
    <w:rsid w:val="006D17DA"/>
    <w:rsid w:val="006D198C"/>
    <w:rsid w:val="006D1EE9"/>
    <w:rsid w:val="006D20B6"/>
    <w:rsid w:val="006D25B0"/>
    <w:rsid w:val="006D2F7B"/>
    <w:rsid w:val="006D398D"/>
    <w:rsid w:val="006D440C"/>
    <w:rsid w:val="006D4457"/>
    <w:rsid w:val="006D47C9"/>
    <w:rsid w:val="006D47E0"/>
    <w:rsid w:val="006D4D21"/>
    <w:rsid w:val="006D5C4B"/>
    <w:rsid w:val="006D5C96"/>
    <w:rsid w:val="006D6943"/>
    <w:rsid w:val="006D6989"/>
    <w:rsid w:val="006D6BA5"/>
    <w:rsid w:val="006D6E21"/>
    <w:rsid w:val="006D7354"/>
    <w:rsid w:val="006D7895"/>
    <w:rsid w:val="006E051B"/>
    <w:rsid w:val="006E15E9"/>
    <w:rsid w:val="006E1F46"/>
    <w:rsid w:val="006E2030"/>
    <w:rsid w:val="006E2B77"/>
    <w:rsid w:val="006E2D41"/>
    <w:rsid w:val="006E38F7"/>
    <w:rsid w:val="006E425A"/>
    <w:rsid w:val="006E428F"/>
    <w:rsid w:val="006E4916"/>
    <w:rsid w:val="006E5468"/>
    <w:rsid w:val="006E5EDB"/>
    <w:rsid w:val="006E61E6"/>
    <w:rsid w:val="006E6A39"/>
    <w:rsid w:val="006F010F"/>
    <w:rsid w:val="006F0B26"/>
    <w:rsid w:val="006F0BA7"/>
    <w:rsid w:val="006F1237"/>
    <w:rsid w:val="006F148A"/>
    <w:rsid w:val="006F1A2C"/>
    <w:rsid w:val="006F1B9F"/>
    <w:rsid w:val="006F1C07"/>
    <w:rsid w:val="006F23E8"/>
    <w:rsid w:val="006F2A46"/>
    <w:rsid w:val="006F2DC8"/>
    <w:rsid w:val="006F2E66"/>
    <w:rsid w:val="006F36AE"/>
    <w:rsid w:val="006F3F40"/>
    <w:rsid w:val="006F459F"/>
    <w:rsid w:val="006F45BB"/>
    <w:rsid w:val="006F4637"/>
    <w:rsid w:val="006F6C33"/>
    <w:rsid w:val="006F735F"/>
    <w:rsid w:val="00700465"/>
    <w:rsid w:val="00700586"/>
    <w:rsid w:val="0070162E"/>
    <w:rsid w:val="0070179F"/>
    <w:rsid w:val="00701923"/>
    <w:rsid w:val="00701CA6"/>
    <w:rsid w:val="00702C9B"/>
    <w:rsid w:val="00703BB5"/>
    <w:rsid w:val="00703BDF"/>
    <w:rsid w:val="00704697"/>
    <w:rsid w:val="00704E9C"/>
    <w:rsid w:val="00704F2C"/>
    <w:rsid w:val="007056EC"/>
    <w:rsid w:val="007059EB"/>
    <w:rsid w:val="00705DF4"/>
    <w:rsid w:val="00706861"/>
    <w:rsid w:val="00706A25"/>
    <w:rsid w:val="00706EEC"/>
    <w:rsid w:val="00706FA8"/>
    <w:rsid w:val="00707582"/>
    <w:rsid w:val="007119AD"/>
    <w:rsid w:val="00711C94"/>
    <w:rsid w:val="007121C2"/>
    <w:rsid w:val="007128FB"/>
    <w:rsid w:val="00713831"/>
    <w:rsid w:val="00714F10"/>
    <w:rsid w:val="00715055"/>
    <w:rsid w:val="007162FB"/>
    <w:rsid w:val="00716EAF"/>
    <w:rsid w:val="00717C72"/>
    <w:rsid w:val="007208C3"/>
    <w:rsid w:val="0072096F"/>
    <w:rsid w:val="00720A22"/>
    <w:rsid w:val="00720A44"/>
    <w:rsid w:val="00720B1A"/>
    <w:rsid w:val="007213F5"/>
    <w:rsid w:val="00721761"/>
    <w:rsid w:val="00721D89"/>
    <w:rsid w:val="007225E3"/>
    <w:rsid w:val="00722679"/>
    <w:rsid w:val="00722936"/>
    <w:rsid w:val="00724261"/>
    <w:rsid w:val="0072440A"/>
    <w:rsid w:val="007244CA"/>
    <w:rsid w:val="007247F7"/>
    <w:rsid w:val="00725C94"/>
    <w:rsid w:val="007260B1"/>
    <w:rsid w:val="0072679E"/>
    <w:rsid w:val="00727F5A"/>
    <w:rsid w:val="007317C3"/>
    <w:rsid w:val="00731F08"/>
    <w:rsid w:val="00732E1F"/>
    <w:rsid w:val="00733D2B"/>
    <w:rsid w:val="007345BB"/>
    <w:rsid w:val="00735999"/>
    <w:rsid w:val="00735C51"/>
    <w:rsid w:val="00736505"/>
    <w:rsid w:val="007367AD"/>
    <w:rsid w:val="0073730E"/>
    <w:rsid w:val="00737AC6"/>
    <w:rsid w:val="00737D71"/>
    <w:rsid w:val="0074070E"/>
    <w:rsid w:val="007412F7"/>
    <w:rsid w:val="00741A87"/>
    <w:rsid w:val="00741CEB"/>
    <w:rsid w:val="007420B5"/>
    <w:rsid w:val="00742613"/>
    <w:rsid w:val="00742F74"/>
    <w:rsid w:val="0074370D"/>
    <w:rsid w:val="00743B3D"/>
    <w:rsid w:val="00743EB6"/>
    <w:rsid w:val="00744E11"/>
    <w:rsid w:val="00744F24"/>
    <w:rsid w:val="00745EDE"/>
    <w:rsid w:val="00746056"/>
    <w:rsid w:val="007462F6"/>
    <w:rsid w:val="00746667"/>
    <w:rsid w:val="0075059C"/>
    <w:rsid w:val="007505ED"/>
    <w:rsid w:val="00750744"/>
    <w:rsid w:val="00750C35"/>
    <w:rsid w:val="00751534"/>
    <w:rsid w:val="007519CA"/>
    <w:rsid w:val="0075212E"/>
    <w:rsid w:val="007526F0"/>
    <w:rsid w:val="00754CC6"/>
    <w:rsid w:val="00755243"/>
    <w:rsid w:val="00755716"/>
    <w:rsid w:val="007561FE"/>
    <w:rsid w:val="007563AE"/>
    <w:rsid w:val="007571A6"/>
    <w:rsid w:val="00757394"/>
    <w:rsid w:val="0075768B"/>
    <w:rsid w:val="0075780F"/>
    <w:rsid w:val="00757DEF"/>
    <w:rsid w:val="00760AE3"/>
    <w:rsid w:val="00761526"/>
    <w:rsid w:val="00761979"/>
    <w:rsid w:val="00761BE1"/>
    <w:rsid w:val="00762128"/>
    <w:rsid w:val="00762434"/>
    <w:rsid w:val="00764D66"/>
    <w:rsid w:val="00765DAD"/>
    <w:rsid w:val="0076635C"/>
    <w:rsid w:val="00766A61"/>
    <w:rsid w:val="00766E19"/>
    <w:rsid w:val="00767113"/>
    <w:rsid w:val="00767747"/>
    <w:rsid w:val="00767C23"/>
    <w:rsid w:val="0077057E"/>
    <w:rsid w:val="00771AD4"/>
    <w:rsid w:val="007726E6"/>
    <w:rsid w:val="007732D4"/>
    <w:rsid w:val="0077349D"/>
    <w:rsid w:val="00773F0B"/>
    <w:rsid w:val="00774A36"/>
    <w:rsid w:val="00774DC8"/>
    <w:rsid w:val="00774FBA"/>
    <w:rsid w:val="007752AF"/>
    <w:rsid w:val="007761D2"/>
    <w:rsid w:val="0077660E"/>
    <w:rsid w:val="00776769"/>
    <w:rsid w:val="00776E58"/>
    <w:rsid w:val="007771D4"/>
    <w:rsid w:val="00777478"/>
    <w:rsid w:val="007805A3"/>
    <w:rsid w:val="007806B6"/>
    <w:rsid w:val="00780A65"/>
    <w:rsid w:val="007810C4"/>
    <w:rsid w:val="007814A5"/>
    <w:rsid w:val="00782CD0"/>
    <w:rsid w:val="0078331C"/>
    <w:rsid w:val="007834C6"/>
    <w:rsid w:val="00783724"/>
    <w:rsid w:val="00783ACC"/>
    <w:rsid w:val="00784872"/>
    <w:rsid w:val="007848D9"/>
    <w:rsid w:val="00784E84"/>
    <w:rsid w:val="00784F87"/>
    <w:rsid w:val="0078524C"/>
    <w:rsid w:val="007873D1"/>
    <w:rsid w:val="0078792A"/>
    <w:rsid w:val="00790F01"/>
    <w:rsid w:val="00791FB0"/>
    <w:rsid w:val="007925D6"/>
    <w:rsid w:val="00793121"/>
    <w:rsid w:val="00793A60"/>
    <w:rsid w:val="00793AEB"/>
    <w:rsid w:val="00794EC7"/>
    <w:rsid w:val="007A0935"/>
    <w:rsid w:val="007A0DB7"/>
    <w:rsid w:val="007A1405"/>
    <w:rsid w:val="007A266A"/>
    <w:rsid w:val="007A27D6"/>
    <w:rsid w:val="007A2985"/>
    <w:rsid w:val="007A2BCD"/>
    <w:rsid w:val="007A3426"/>
    <w:rsid w:val="007A3E79"/>
    <w:rsid w:val="007A4203"/>
    <w:rsid w:val="007A42FB"/>
    <w:rsid w:val="007A431F"/>
    <w:rsid w:val="007A442E"/>
    <w:rsid w:val="007A471E"/>
    <w:rsid w:val="007A49BF"/>
    <w:rsid w:val="007A4FB6"/>
    <w:rsid w:val="007A5237"/>
    <w:rsid w:val="007A54E9"/>
    <w:rsid w:val="007A5DFD"/>
    <w:rsid w:val="007A62C8"/>
    <w:rsid w:val="007A7BB5"/>
    <w:rsid w:val="007B0509"/>
    <w:rsid w:val="007B1391"/>
    <w:rsid w:val="007B2D76"/>
    <w:rsid w:val="007B2EC3"/>
    <w:rsid w:val="007B2ECE"/>
    <w:rsid w:val="007B3606"/>
    <w:rsid w:val="007B3960"/>
    <w:rsid w:val="007B4935"/>
    <w:rsid w:val="007B4C21"/>
    <w:rsid w:val="007B4E49"/>
    <w:rsid w:val="007B547D"/>
    <w:rsid w:val="007B6374"/>
    <w:rsid w:val="007B6EDB"/>
    <w:rsid w:val="007B7250"/>
    <w:rsid w:val="007B77EB"/>
    <w:rsid w:val="007B78CE"/>
    <w:rsid w:val="007C00A8"/>
    <w:rsid w:val="007C0E9A"/>
    <w:rsid w:val="007C1FAF"/>
    <w:rsid w:val="007C259F"/>
    <w:rsid w:val="007C3098"/>
    <w:rsid w:val="007C445D"/>
    <w:rsid w:val="007C4612"/>
    <w:rsid w:val="007C46D8"/>
    <w:rsid w:val="007C475C"/>
    <w:rsid w:val="007C5573"/>
    <w:rsid w:val="007C5AD8"/>
    <w:rsid w:val="007C5CB0"/>
    <w:rsid w:val="007C6FC5"/>
    <w:rsid w:val="007D0157"/>
    <w:rsid w:val="007D0E30"/>
    <w:rsid w:val="007D1469"/>
    <w:rsid w:val="007D1E8E"/>
    <w:rsid w:val="007D3B10"/>
    <w:rsid w:val="007D3C84"/>
    <w:rsid w:val="007D4315"/>
    <w:rsid w:val="007D5B20"/>
    <w:rsid w:val="007D5DA0"/>
    <w:rsid w:val="007D5F92"/>
    <w:rsid w:val="007D6D5F"/>
    <w:rsid w:val="007D7602"/>
    <w:rsid w:val="007E0715"/>
    <w:rsid w:val="007E0EC2"/>
    <w:rsid w:val="007E1925"/>
    <w:rsid w:val="007E1D58"/>
    <w:rsid w:val="007E1F58"/>
    <w:rsid w:val="007E2195"/>
    <w:rsid w:val="007E2D74"/>
    <w:rsid w:val="007E49FD"/>
    <w:rsid w:val="007E512D"/>
    <w:rsid w:val="007E52AA"/>
    <w:rsid w:val="007E5BE2"/>
    <w:rsid w:val="007E6E41"/>
    <w:rsid w:val="007F189E"/>
    <w:rsid w:val="007F27BA"/>
    <w:rsid w:val="007F299A"/>
    <w:rsid w:val="007F3234"/>
    <w:rsid w:val="007F4560"/>
    <w:rsid w:val="007F4893"/>
    <w:rsid w:val="007F4A13"/>
    <w:rsid w:val="007F5144"/>
    <w:rsid w:val="007F5193"/>
    <w:rsid w:val="007F5902"/>
    <w:rsid w:val="007F5A7D"/>
    <w:rsid w:val="007F6351"/>
    <w:rsid w:val="007F73CE"/>
    <w:rsid w:val="007F7666"/>
    <w:rsid w:val="007F7B3E"/>
    <w:rsid w:val="00800181"/>
    <w:rsid w:val="008005E7"/>
    <w:rsid w:val="00800E34"/>
    <w:rsid w:val="00801AD7"/>
    <w:rsid w:val="00801D0C"/>
    <w:rsid w:val="008020E9"/>
    <w:rsid w:val="008027D7"/>
    <w:rsid w:val="00802AB0"/>
    <w:rsid w:val="008041A0"/>
    <w:rsid w:val="00804292"/>
    <w:rsid w:val="0080444A"/>
    <w:rsid w:val="00805314"/>
    <w:rsid w:val="00805467"/>
    <w:rsid w:val="00805EF8"/>
    <w:rsid w:val="00806CD3"/>
    <w:rsid w:val="00806DD4"/>
    <w:rsid w:val="0081029B"/>
    <w:rsid w:val="00810303"/>
    <w:rsid w:val="0081113F"/>
    <w:rsid w:val="0081167F"/>
    <w:rsid w:val="008118F1"/>
    <w:rsid w:val="00812C6B"/>
    <w:rsid w:val="008131D8"/>
    <w:rsid w:val="008132B9"/>
    <w:rsid w:val="0081351E"/>
    <w:rsid w:val="0081388F"/>
    <w:rsid w:val="00813D04"/>
    <w:rsid w:val="00814701"/>
    <w:rsid w:val="00814A43"/>
    <w:rsid w:val="00814AA6"/>
    <w:rsid w:val="00814F89"/>
    <w:rsid w:val="00816084"/>
    <w:rsid w:val="00816822"/>
    <w:rsid w:val="008169D0"/>
    <w:rsid w:val="00817759"/>
    <w:rsid w:val="00817AB4"/>
    <w:rsid w:val="00817D8F"/>
    <w:rsid w:val="00820ACA"/>
    <w:rsid w:val="00820F1F"/>
    <w:rsid w:val="00821768"/>
    <w:rsid w:val="00821F7A"/>
    <w:rsid w:val="008222BA"/>
    <w:rsid w:val="008228F9"/>
    <w:rsid w:val="0082315B"/>
    <w:rsid w:val="0082343B"/>
    <w:rsid w:val="00823733"/>
    <w:rsid w:val="00823F49"/>
    <w:rsid w:val="0082477A"/>
    <w:rsid w:val="008253D9"/>
    <w:rsid w:val="0082561D"/>
    <w:rsid w:val="00825C20"/>
    <w:rsid w:val="008306C2"/>
    <w:rsid w:val="00830F91"/>
    <w:rsid w:val="0083143E"/>
    <w:rsid w:val="008317A0"/>
    <w:rsid w:val="00831E62"/>
    <w:rsid w:val="008320BE"/>
    <w:rsid w:val="00832266"/>
    <w:rsid w:val="008341B3"/>
    <w:rsid w:val="00834624"/>
    <w:rsid w:val="00834BDA"/>
    <w:rsid w:val="00834F05"/>
    <w:rsid w:val="0083570D"/>
    <w:rsid w:val="008359E1"/>
    <w:rsid w:val="008359E3"/>
    <w:rsid w:val="00835EAE"/>
    <w:rsid w:val="0083621B"/>
    <w:rsid w:val="00836356"/>
    <w:rsid w:val="0083642E"/>
    <w:rsid w:val="00836BCF"/>
    <w:rsid w:val="00837E13"/>
    <w:rsid w:val="00840B1B"/>
    <w:rsid w:val="00840B2F"/>
    <w:rsid w:val="00840CB1"/>
    <w:rsid w:val="00840F57"/>
    <w:rsid w:val="00841D16"/>
    <w:rsid w:val="00842167"/>
    <w:rsid w:val="00842F67"/>
    <w:rsid w:val="0084322F"/>
    <w:rsid w:val="00843791"/>
    <w:rsid w:val="008439D7"/>
    <w:rsid w:val="00843B0B"/>
    <w:rsid w:val="00843B42"/>
    <w:rsid w:val="00843C44"/>
    <w:rsid w:val="00843E77"/>
    <w:rsid w:val="00844981"/>
    <w:rsid w:val="00845A4C"/>
    <w:rsid w:val="00845E45"/>
    <w:rsid w:val="00846A6C"/>
    <w:rsid w:val="0084735D"/>
    <w:rsid w:val="00847366"/>
    <w:rsid w:val="0085040C"/>
    <w:rsid w:val="0085058F"/>
    <w:rsid w:val="0085167A"/>
    <w:rsid w:val="008518B8"/>
    <w:rsid w:val="00851D03"/>
    <w:rsid w:val="00852164"/>
    <w:rsid w:val="008521A4"/>
    <w:rsid w:val="008537BF"/>
    <w:rsid w:val="00853D47"/>
    <w:rsid w:val="00854EFE"/>
    <w:rsid w:val="0085540A"/>
    <w:rsid w:val="0085555D"/>
    <w:rsid w:val="008557C4"/>
    <w:rsid w:val="00855B77"/>
    <w:rsid w:val="0085626E"/>
    <w:rsid w:val="008563F6"/>
    <w:rsid w:val="008577E9"/>
    <w:rsid w:val="00860E7B"/>
    <w:rsid w:val="0086114A"/>
    <w:rsid w:val="00861E46"/>
    <w:rsid w:val="0086290E"/>
    <w:rsid w:val="00862DA7"/>
    <w:rsid w:val="008634A4"/>
    <w:rsid w:val="00863CF2"/>
    <w:rsid w:val="00863E84"/>
    <w:rsid w:val="00865D77"/>
    <w:rsid w:val="00866733"/>
    <w:rsid w:val="00866D47"/>
    <w:rsid w:val="00866FF3"/>
    <w:rsid w:val="00867613"/>
    <w:rsid w:val="00867D3C"/>
    <w:rsid w:val="00870403"/>
    <w:rsid w:val="0087247C"/>
    <w:rsid w:val="00872888"/>
    <w:rsid w:val="00872A98"/>
    <w:rsid w:val="008737C3"/>
    <w:rsid w:val="00874057"/>
    <w:rsid w:val="008758A6"/>
    <w:rsid w:val="00876764"/>
    <w:rsid w:val="008777FD"/>
    <w:rsid w:val="00877B99"/>
    <w:rsid w:val="0088002F"/>
    <w:rsid w:val="00880450"/>
    <w:rsid w:val="008807FD"/>
    <w:rsid w:val="00881577"/>
    <w:rsid w:val="008829A2"/>
    <w:rsid w:val="00882A58"/>
    <w:rsid w:val="00882F74"/>
    <w:rsid w:val="0088303E"/>
    <w:rsid w:val="00883464"/>
    <w:rsid w:val="00883922"/>
    <w:rsid w:val="00884278"/>
    <w:rsid w:val="00884442"/>
    <w:rsid w:val="008847BB"/>
    <w:rsid w:val="00885176"/>
    <w:rsid w:val="0088565C"/>
    <w:rsid w:val="00885C16"/>
    <w:rsid w:val="00885D47"/>
    <w:rsid w:val="00885F39"/>
    <w:rsid w:val="008863B4"/>
    <w:rsid w:val="00886A97"/>
    <w:rsid w:val="00886BF3"/>
    <w:rsid w:val="0088767C"/>
    <w:rsid w:val="0089064D"/>
    <w:rsid w:val="00891236"/>
    <w:rsid w:val="008917C3"/>
    <w:rsid w:val="008927A8"/>
    <w:rsid w:val="008929D7"/>
    <w:rsid w:val="00892B29"/>
    <w:rsid w:val="00893128"/>
    <w:rsid w:val="008931B0"/>
    <w:rsid w:val="008943BD"/>
    <w:rsid w:val="0089448D"/>
    <w:rsid w:val="008955B9"/>
    <w:rsid w:val="00895984"/>
    <w:rsid w:val="00895E82"/>
    <w:rsid w:val="008965E5"/>
    <w:rsid w:val="00897842"/>
    <w:rsid w:val="008A0624"/>
    <w:rsid w:val="008A1791"/>
    <w:rsid w:val="008A19B7"/>
    <w:rsid w:val="008A1A47"/>
    <w:rsid w:val="008A1F3E"/>
    <w:rsid w:val="008A2659"/>
    <w:rsid w:val="008A280A"/>
    <w:rsid w:val="008A2830"/>
    <w:rsid w:val="008A2F79"/>
    <w:rsid w:val="008A2F9B"/>
    <w:rsid w:val="008A3763"/>
    <w:rsid w:val="008A4373"/>
    <w:rsid w:val="008A4FF0"/>
    <w:rsid w:val="008A624E"/>
    <w:rsid w:val="008A6558"/>
    <w:rsid w:val="008A66DE"/>
    <w:rsid w:val="008A69E7"/>
    <w:rsid w:val="008A6B31"/>
    <w:rsid w:val="008A745F"/>
    <w:rsid w:val="008A7468"/>
    <w:rsid w:val="008A747F"/>
    <w:rsid w:val="008A7BAE"/>
    <w:rsid w:val="008B01C5"/>
    <w:rsid w:val="008B0FAE"/>
    <w:rsid w:val="008B12F1"/>
    <w:rsid w:val="008B150F"/>
    <w:rsid w:val="008B1BDD"/>
    <w:rsid w:val="008B1BEB"/>
    <w:rsid w:val="008B1CC1"/>
    <w:rsid w:val="008B201A"/>
    <w:rsid w:val="008B2323"/>
    <w:rsid w:val="008B24A3"/>
    <w:rsid w:val="008B2A3D"/>
    <w:rsid w:val="008B2BE1"/>
    <w:rsid w:val="008B3E49"/>
    <w:rsid w:val="008B4635"/>
    <w:rsid w:val="008B576D"/>
    <w:rsid w:val="008B5C5B"/>
    <w:rsid w:val="008B5F76"/>
    <w:rsid w:val="008B5F8A"/>
    <w:rsid w:val="008B65A8"/>
    <w:rsid w:val="008B6AC3"/>
    <w:rsid w:val="008B6EA0"/>
    <w:rsid w:val="008B6F21"/>
    <w:rsid w:val="008B70AF"/>
    <w:rsid w:val="008B7A54"/>
    <w:rsid w:val="008B7EDA"/>
    <w:rsid w:val="008C00E4"/>
    <w:rsid w:val="008C09CF"/>
    <w:rsid w:val="008C0F16"/>
    <w:rsid w:val="008C120F"/>
    <w:rsid w:val="008C264F"/>
    <w:rsid w:val="008C2D5A"/>
    <w:rsid w:val="008C345E"/>
    <w:rsid w:val="008C3818"/>
    <w:rsid w:val="008C4242"/>
    <w:rsid w:val="008C4BDB"/>
    <w:rsid w:val="008C675C"/>
    <w:rsid w:val="008D06C5"/>
    <w:rsid w:val="008D0796"/>
    <w:rsid w:val="008D0A1B"/>
    <w:rsid w:val="008D0A3A"/>
    <w:rsid w:val="008D0E11"/>
    <w:rsid w:val="008D0E7D"/>
    <w:rsid w:val="008D12D9"/>
    <w:rsid w:val="008D1382"/>
    <w:rsid w:val="008D3059"/>
    <w:rsid w:val="008D3240"/>
    <w:rsid w:val="008D3D80"/>
    <w:rsid w:val="008D5883"/>
    <w:rsid w:val="008D623E"/>
    <w:rsid w:val="008D6BD5"/>
    <w:rsid w:val="008D751E"/>
    <w:rsid w:val="008E03EB"/>
    <w:rsid w:val="008E1301"/>
    <w:rsid w:val="008E1B6E"/>
    <w:rsid w:val="008E1C54"/>
    <w:rsid w:val="008E21DB"/>
    <w:rsid w:val="008E222D"/>
    <w:rsid w:val="008E26F4"/>
    <w:rsid w:val="008E3181"/>
    <w:rsid w:val="008E3340"/>
    <w:rsid w:val="008E3A8C"/>
    <w:rsid w:val="008E3D50"/>
    <w:rsid w:val="008E481D"/>
    <w:rsid w:val="008E4982"/>
    <w:rsid w:val="008E4CBB"/>
    <w:rsid w:val="008E55F8"/>
    <w:rsid w:val="008E6320"/>
    <w:rsid w:val="008E6515"/>
    <w:rsid w:val="008E79F5"/>
    <w:rsid w:val="008E7E0C"/>
    <w:rsid w:val="008F06D6"/>
    <w:rsid w:val="008F0C48"/>
    <w:rsid w:val="008F13D5"/>
    <w:rsid w:val="008F1AE6"/>
    <w:rsid w:val="008F23AA"/>
    <w:rsid w:val="008F2F46"/>
    <w:rsid w:val="008F3120"/>
    <w:rsid w:val="008F4208"/>
    <w:rsid w:val="008F4471"/>
    <w:rsid w:val="008F47FD"/>
    <w:rsid w:val="008F4D18"/>
    <w:rsid w:val="008F5863"/>
    <w:rsid w:val="008F5CC6"/>
    <w:rsid w:val="008F67D7"/>
    <w:rsid w:val="008F76FB"/>
    <w:rsid w:val="008F7FC3"/>
    <w:rsid w:val="00900153"/>
    <w:rsid w:val="00900220"/>
    <w:rsid w:val="00900658"/>
    <w:rsid w:val="00900FF0"/>
    <w:rsid w:val="009012AD"/>
    <w:rsid w:val="00901742"/>
    <w:rsid w:val="00901DCB"/>
    <w:rsid w:val="00902BAC"/>
    <w:rsid w:val="009038B6"/>
    <w:rsid w:val="00903ADC"/>
    <w:rsid w:val="009041A7"/>
    <w:rsid w:val="009043BB"/>
    <w:rsid w:val="009057A5"/>
    <w:rsid w:val="00905B15"/>
    <w:rsid w:val="0090631A"/>
    <w:rsid w:val="00906962"/>
    <w:rsid w:val="0090714A"/>
    <w:rsid w:val="00907693"/>
    <w:rsid w:val="00907930"/>
    <w:rsid w:val="0091020E"/>
    <w:rsid w:val="00911216"/>
    <w:rsid w:val="0091145C"/>
    <w:rsid w:val="00912240"/>
    <w:rsid w:val="00912B48"/>
    <w:rsid w:val="009131EF"/>
    <w:rsid w:val="00913280"/>
    <w:rsid w:val="0091343F"/>
    <w:rsid w:val="0091354C"/>
    <w:rsid w:val="009135BF"/>
    <w:rsid w:val="00914E72"/>
    <w:rsid w:val="00914FAA"/>
    <w:rsid w:val="00915017"/>
    <w:rsid w:val="00915698"/>
    <w:rsid w:val="009157D4"/>
    <w:rsid w:val="00915A3C"/>
    <w:rsid w:val="00915CB6"/>
    <w:rsid w:val="00916902"/>
    <w:rsid w:val="00916D49"/>
    <w:rsid w:val="00916ED4"/>
    <w:rsid w:val="009175BF"/>
    <w:rsid w:val="009203EA"/>
    <w:rsid w:val="00920A2E"/>
    <w:rsid w:val="00921255"/>
    <w:rsid w:val="009212D9"/>
    <w:rsid w:val="0092285E"/>
    <w:rsid w:val="009237CE"/>
    <w:rsid w:val="0092388B"/>
    <w:rsid w:val="0092452A"/>
    <w:rsid w:val="0092557E"/>
    <w:rsid w:val="009257FC"/>
    <w:rsid w:val="009261DC"/>
    <w:rsid w:val="0092639E"/>
    <w:rsid w:val="00926456"/>
    <w:rsid w:val="00926538"/>
    <w:rsid w:val="00926FA5"/>
    <w:rsid w:val="00927744"/>
    <w:rsid w:val="00927D7A"/>
    <w:rsid w:val="009302AB"/>
    <w:rsid w:val="00930441"/>
    <w:rsid w:val="0093073C"/>
    <w:rsid w:val="009309C9"/>
    <w:rsid w:val="00930A08"/>
    <w:rsid w:val="00930DF7"/>
    <w:rsid w:val="0093139C"/>
    <w:rsid w:val="009318EC"/>
    <w:rsid w:val="00931BCF"/>
    <w:rsid w:val="009320D0"/>
    <w:rsid w:val="00932193"/>
    <w:rsid w:val="0093233F"/>
    <w:rsid w:val="0093299F"/>
    <w:rsid w:val="00932FD6"/>
    <w:rsid w:val="009333D8"/>
    <w:rsid w:val="00933B84"/>
    <w:rsid w:val="00933BFB"/>
    <w:rsid w:val="00933F98"/>
    <w:rsid w:val="00934010"/>
    <w:rsid w:val="009340D2"/>
    <w:rsid w:val="00934994"/>
    <w:rsid w:val="00934C27"/>
    <w:rsid w:val="00934D78"/>
    <w:rsid w:val="00935184"/>
    <w:rsid w:val="0093562F"/>
    <w:rsid w:val="009356F4"/>
    <w:rsid w:val="00936F46"/>
    <w:rsid w:val="00937569"/>
    <w:rsid w:val="0093788C"/>
    <w:rsid w:val="00937E0D"/>
    <w:rsid w:val="0094081A"/>
    <w:rsid w:val="00940DE8"/>
    <w:rsid w:val="00940FF8"/>
    <w:rsid w:val="009415BA"/>
    <w:rsid w:val="00941AA1"/>
    <w:rsid w:val="009424AB"/>
    <w:rsid w:val="009427EE"/>
    <w:rsid w:val="00942FB3"/>
    <w:rsid w:val="00944C1A"/>
    <w:rsid w:val="009451A4"/>
    <w:rsid w:val="00945376"/>
    <w:rsid w:val="00945820"/>
    <w:rsid w:val="00946CC6"/>
    <w:rsid w:val="00947262"/>
    <w:rsid w:val="00947A44"/>
    <w:rsid w:val="00947D6D"/>
    <w:rsid w:val="00950522"/>
    <w:rsid w:val="00951100"/>
    <w:rsid w:val="00951A1E"/>
    <w:rsid w:val="00956AEE"/>
    <w:rsid w:val="00956CE8"/>
    <w:rsid w:val="009573CB"/>
    <w:rsid w:val="009577B2"/>
    <w:rsid w:val="009578F5"/>
    <w:rsid w:val="00961185"/>
    <w:rsid w:val="00961382"/>
    <w:rsid w:val="00961C68"/>
    <w:rsid w:val="00962041"/>
    <w:rsid w:val="0096409B"/>
    <w:rsid w:val="009641DC"/>
    <w:rsid w:val="0096486A"/>
    <w:rsid w:val="009652FA"/>
    <w:rsid w:val="0096537C"/>
    <w:rsid w:val="0096541B"/>
    <w:rsid w:val="00965FC9"/>
    <w:rsid w:val="0096619C"/>
    <w:rsid w:val="00966721"/>
    <w:rsid w:val="00966E29"/>
    <w:rsid w:val="009671CE"/>
    <w:rsid w:val="009677FC"/>
    <w:rsid w:val="00970234"/>
    <w:rsid w:val="0097063A"/>
    <w:rsid w:val="009717DA"/>
    <w:rsid w:val="00971E62"/>
    <w:rsid w:val="00972465"/>
    <w:rsid w:val="00972D54"/>
    <w:rsid w:val="00972EBA"/>
    <w:rsid w:val="009739A5"/>
    <w:rsid w:val="0097409C"/>
    <w:rsid w:val="009744E3"/>
    <w:rsid w:val="0097524B"/>
    <w:rsid w:val="00975368"/>
    <w:rsid w:val="00975B0E"/>
    <w:rsid w:val="00975D94"/>
    <w:rsid w:val="00975F41"/>
    <w:rsid w:val="00976D9D"/>
    <w:rsid w:val="0097743A"/>
    <w:rsid w:val="00980A1D"/>
    <w:rsid w:val="00980BEA"/>
    <w:rsid w:val="00980EC9"/>
    <w:rsid w:val="0098178D"/>
    <w:rsid w:val="00981D0A"/>
    <w:rsid w:val="0098271B"/>
    <w:rsid w:val="00982738"/>
    <w:rsid w:val="009827E7"/>
    <w:rsid w:val="00982F74"/>
    <w:rsid w:val="00983323"/>
    <w:rsid w:val="00984050"/>
    <w:rsid w:val="0098411D"/>
    <w:rsid w:val="00985533"/>
    <w:rsid w:val="00986B2E"/>
    <w:rsid w:val="0098704E"/>
    <w:rsid w:val="00987170"/>
    <w:rsid w:val="009874A4"/>
    <w:rsid w:val="00987914"/>
    <w:rsid w:val="00987B75"/>
    <w:rsid w:val="00987D1B"/>
    <w:rsid w:val="00987F63"/>
    <w:rsid w:val="009908FF"/>
    <w:rsid w:val="00990AA5"/>
    <w:rsid w:val="00990EE2"/>
    <w:rsid w:val="00991103"/>
    <w:rsid w:val="0099391C"/>
    <w:rsid w:val="009940F4"/>
    <w:rsid w:val="009941C5"/>
    <w:rsid w:val="00994425"/>
    <w:rsid w:val="0099478C"/>
    <w:rsid w:val="00994E39"/>
    <w:rsid w:val="00994FB7"/>
    <w:rsid w:val="0099554C"/>
    <w:rsid w:val="00997408"/>
    <w:rsid w:val="009A0F71"/>
    <w:rsid w:val="009A1300"/>
    <w:rsid w:val="009A23A9"/>
    <w:rsid w:val="009A299F"/>
    <w:rsid w:val="009A3D34"/>
    <w:rsid w:val="009A3DA3"/>
    <w:rsid w:val="009A438C"/>
    <w:rsid w:val="009A4967"/>
    <w:rsid w:val="009A4AFB"/>
    <w:rsid w:val="009A4CAB"/>
    <w:rsid w:val="009A593D"/>
    <w:rsid w:val="009A5FC1"/>
    <w:rsid w:val="009A69B1"/>
    <w:rsid w:val="009A6BB8"/>
    <w:rsid w:val="009A6DBE"/>
    <w:rsid w:val="009B0382"/>
    <w:rsid w:val="009B03E9"/>
    <w:rsid w:val="009B0698"/>
    <w:rsid w:val="009B0946"/>
    <w:rsid w:val="009B09FB"/>
    <w:rsid w:val="009B13A6"/>
    <w:rsid w:val="009B2935"/>
    <w:rsid w:val="009B2988"/>
    <w:rsid w:val="009B2C55"/>
    <w:rsid w:val="009B3386"/>
    <w:rsid w:val="009B3803"/>
    <w:rsid w:val="009B3C9A"/>
    <w:rsid w:val="009B3EF5"/>
    <w:rsid w:val="009B410D"/>
    <w:rsid w:val="009B55F0"/>
    <w:rsid w:val="009B5BC5"/>
    <w:rsid w:val="009B5BE4"/>
    <w:rsid w:val="009B6603"/>
    <w:rsid w:val="009B66A8"/>
    <w:rsid w:val="009B7873"/>
    <w:rsid w:val="009C0365"/>
    <w:rsid w:val="009C0A27"/>
    <w:rsid w:val="009C152A"/>
    <w:rsid w:val="009C2FBA"/>
    <w:rsid w:val="009C3046"/>
    <w:rsid w:val="009C3D92"/>
    <w:rsid w:val="009C44D3"/>
    <w:rsid w:val="009C476B"/>
    <w:rsid w:val="009C5496"/>
    <w:rsid w:val="009C56C9"/>
    <w:rsid w:val="009C6033"/>
    <w:rsid w:val="009C6189"/>
    <w:rsid w:val="009C68FA"/>
    <w:rsid w:val="009C7246"/>
    <w:rsid w:val="009D01A4"/>
    <w:rsid w:val="009D03EC"/>
    <w:rsid w:val="009D0472"/>
    <w:rsid w:val="009D1BA4"/>
    <w:rsid w:val="009D24E7"/>
    <w:rsid w:val="009D2647"/>
    <w:rsid w:val="009D2C4B"/>
    <w:rsid w:val="009D2CB9"/>
    <w:rsid w:val="009D3C93"/>
    <w:rsid w:val="009D4679"/>
    <w:rsid w:val="009D4CC8"/>
    <w:rsid w:val="009D58E9"/>
    <w:rsid w:val="009D59A1"/>
    <w:rsid w:val="009D5E09"/>
    <w:rsid w:val="009D63F3"/>
    <w:rsid w:val="009E0031"/>
    <w:rsid w:val="009E0066"/>
    <w:rsid w:val="009E0518"/>
    <w:rsid w:val="009E0D6D"/>
    <w:rsid w:val="009E15C3"/>
    <w:rsid w:val="009E1CB9"/>
    <w:rsid w:val="009E2532"/>
    <w:rsid w:val="009E2917"/>
    <w:rsid w:val="009E2A09"/>
    <w:rsid w:val="009E3176"/>
    <w:rsid w:val="009E317C"/>
    <w:rsid w:val="009E4561"/>
    <w:rsid w:val="009E49CB"/>
    <w:rsid w:val="009E4E06"/>
    <w:rsid w:val="009E5453"/>
    <w:rsid w:val="009E5A95"/>
    <w:rsid w:val="009E627C"/>
    <w:rsid w:val="009E663E"/>
    <w:rsid w:val="009E6AF0"/>
    <w:rsid w:val="009E6FA1"/>
    <w:rsid w:val="009F0380"/>
    <w:rsid w:val="009F0AFB"/>
    <w:rsid w:val="009F129A"/>
    <w:rsid w:val="009F157A"/>
    <w:rsid w:val="009F193F"/>
    <w:rsid w:val="009F19D5"/>
    <w:rsid w:val="009F2C99"/>
    <w:rsid w:val="009F33F8"/>
    <w:rsid w:val="009F388B"/>
    <w:rsid w:val="009F48E3"/>
    <w:rsid w:val="009F4960"/>
    <w:rsid w:val="009F559E"/>
    <w:rsid w:val="009F5AD7"/>
    <w:rsid w:val="009F5C5A"/>
    <w:rsid w:val="009F65E8"/>
    <w:rsid w:val="009F6B9F"/>
    <w:rsid w:val="009F7690"/>
    <w:rsid w:val="009F7DEF"/>
    <w:rsid w:val="00A007AC"/>
    <w:rsid w:val="00A018DA"/>
    <w:rsid w:val="00A02B16"/>
    <w:rsid w:val="00A02F6F"/>
    <w:rsid w:val="00A03331"/>
    <w:rsid w:val="00A03338"/>
    <w:rsid w:val="00A03BBD"/>
    <w:rsid w:val="00A076FB"/>
    <w:rsid w:val="00A11F9E"/>
    <w:rsid w:val="00A1356A"/>
    <w:rsid w:val="00A14449"/>
    <w:rsid w:val="00A149F5"/>
    <w:rsid w:val="00A15DFF"/>
    <w:rsid w:val="00A1753B"/>
    <w:rsid w:val="00A17F5C"/>
    <w:rsid w:val="00A2015C"/>
    <w:rsid w:val="00A206CE"/>
    <w:rsid w:val="00A2150C"/>
    <w:rsid w:val="00A217FE"/>
    <w:rsid w:val="00A22096"/>
    <w:rsid w:val="00A22A7E"/>
    <w:rsid w:val="00A23407"/>
    <w:rsid w:val="00A2384F"/>
    <w:rsid w:val="00A23A41"/>
    <w:rsid w:val="00A24073"/>
    <w:rsid w:val="00A2439E"/>
    <w:rsid w:val="00A254AE"/>
    <w:rsid w:val="00A25538"/>
    <w:rsid w:val="00A25650"/>
    <w:rsid w:val="00A25AFD"/>
    <w:rsid w:val="00A26A78"/>
    <w:rsid w:val="00A26D96"/>
    <w:rsid w:val="00A26DB8"/>
    <w:rsid w:val="00A26FDC"/>
    <w:rsid w:val="00A275FE"/>
    <w:rsid w:val="00A308C3"/>
    <w:rsid w:val="00A30D9F"/>
    <w:rsid w:val="00A318EA"/>
    <w:rsid w:val="00A32371"/>
    <w:rsid w:val="00A32479"/>
    <w:rsid w:val="00A32A0F"/>
    <w:rsid w:val="00A338CA"/>
    <w:rsid w:val="00A34876"/>
    <w:rsid w:val="00A35AF9"/>
    <w:rsid w:val="00A35DBC"/>
    <w:rsid w:val="00A36579"/>
    <w:rsid w:val="00A36A88"/>
    <w:rsid w:val="00A36DCC"/>
    <w:rsid w:val="00A37106"/>
    <w:rsid w:val="00A372E2"/>
    <w:rsid w:val="00A40219"/>
    <w:rsid w:val="00A40D38"/>
    <w:rsid w:val="00A40DF3"/>
    <w:rsid w:val="00A40E1B"/>
    <w:rsid w:val="00A4162A"/>
    <w:rsid w:val="00A41C30"/>
    <w:rsid w:val="00A41D8D"/>
    <w:rsid w:val="00A41FF4"/>
    <w:rsid w:val="00A425BD"/>
    <w:rsid w:val="00A42613"/>
    <w:rsid w:val="00A42C07"/>
    <w:rsid w:val="00A43469"/>
    <w:rsid w:val="00A434D5"/>
    <w:rsid w:val="00A43EAF"/>
    <w:rsid w:val="00A44062"/>
    <w:rsid w:val="00A44069"/>
    <w:rsid w:val="00A4486A"/>
    <w:rsid w:val="00A457A2"/>
    <w:rsid w:val="00A45D4D"/>
    <w:rsid w:val="00A472DF"/>
    <w:rsid w:val="00A474AF"/>
    <w:rsid w:val="00A47511"/>
    <w:rsid w:val="00A502D7"/>
    <w:rsid w:val="00A50715"/>
    <w:rsid w:val="00A510DD"/>
    <w:rsid w:val="00A51EFE"/>
    <w:rsid w:val="00A52628"/>
    <w:rsid w:val="00A5297E"/>
    <w:rsid w:val="00A53ADC"/>
    <w:rsid w:val="00A53D6D"/>
    <w:rsid w:val="00A54271"/>
    <w:rsid w:val="00A55170"/>
    <w:rsid w:val="00A551A9"/>
    <w:rsid w:val="00A5625E"/>
    <w:rsid w:val="00A57467"/>
    <w:rsid w:val="00A57BC4"/>
    <w:rsid w:val="00A57C5B"/>
    <w:rsid w:val="00A57E8D"/>
    <w:rsid w:val="00A605A1"/>
    <w:rsid w:val="00A60621"/>
    <w:rsid w:val="00A606FC"/>
    <w:rsid w:val="00A609FC"/>
    <w:rsid w:val="00A61032"/>
    <w:rsid w:val="00A61353"/>
    <w:rsid w:val="00A615F3"/>
    <w:rsid w:val="00A61867"/>
    <w:rsid w:val="00A61B6B"/>
    <w:rsid w:val="00A6268C"/>
    <w:rsid w:val="00A63BBC"/>
    <w:rsid w:val="00A64018"/>
    <w:rsid w:val="00A64E05"/>
    <w:rsid w:val="00A64E35"/>
    <w:rsid w:val="00A64F1B"/>
    <w:rsid w:val="00A65072"/>
    <w:rsid w:val="00A65C0D"/>
    <w:rsid w:val="00A65CAD"/>
    <w:rsid w:val="00A660EB"/>
    <w:rsid w:val="00A666AA"/>
    <w:rsid w:val="00A67014"/>
    <w:rsid w:val="00A705AF"/>
    <w:rsid w:val="00A709BB"/>
    <w:rsid w:val="00A70F79"/>
    <w:rsid w:val="00A71512"/>
    <w:rsid w:val="00A72339"/>
    <w:rsid w:val="00A730B6"/>
    <w:rsid w:val="00A73500"/>
    <w:rsid w:val="00A742FA"/>
    <w:rsid w:val="00A74808"/>
    <w:rsid w:val="00A76075"/>
    <w:rsid w:val="00A7610F"/>
    <w:rsid w:val="00A76646"/>
    <w:rsid w:val="00A76A7E"/>
    <w:rsid w:val="00A80153"/>
    <w:rsid w:val="00A809A9"/>
    <w:rsid w:val="00A81258"/>
    <w:rsid w:val="00A82DFE"/>
    <w:rsid w:val="00A83803"/>
    <w:rsid w:val="00A83C4C"/>
    <w:rsid w:val="00A83C9C"/>
    <w:rsid w:val="00A83E79"/>
    <w:rsid w:val="00A84595"/>
    <w:rsid w:val="00A845E7"/>
    <w:rsid w:val="00A86152"/>
    <w:rsid w:val="00A86C5F"/>
    <w:rsid w:val="00A87929"/>
    <w:rsid w:val="00A87A6F"/>
    <w:rsid w:val="00A87AE7"/>
    <w:rsid w:val="00A87C87"/>
    <w:rsid w:val="00A9118A"/>
    <w:rsid w:val="00A91451"/>
    <w:rsid w:val="00A93555"/>
    <w:rsid w:val="00A935AB"/>
    <w:rsid w:val="00A93C03"/>
    <w:rsid w:val="00A953B1"/>
    <w:rsid w:val="00A95530"/>
    <w:rsid w:val="00A957F3"/>
    <w:rsid w:val="00A9594D"/>
    <w:rsid w:val="00A95E32"/>
    <w:rsid w:val="00A95E3C"/>
    <w:rsid w:val="00A9633E"/>
    <w:rsid w:val="00A96D69"/>
    <w:rsid w:val="00A979EA"/>
    <w:rsid w:val="00AA0E05"/>
    <w:rsid w:val="00AA2A53"/>
    <w:rsid w:val="00AA2BDD"/>
    <w:rsid w:val="00AA2F4D"/>
    <w:rsid w:val="00AA454D"/>
    <w:rsid w:val="00AA4625"/>
    <w:rsid w:val="00AA4806"/>
    <w:rsid w:val="00AA4F24"/>
    <w:rsid w:val="00AA6465"/>
    <w:rsid w:val="00AB016A"/>
    <w:rsid w:val="00AB038C"/>
    <w:rsid w:val="00AB11BB"/>
    <w:rsid w:val="00AB167A"/>
    <w:rsid w:val="00AB16EA"/>
    <w:rsid w:val="00AB17DB"/>
    <w:rsid w:val="00AB2E0F"/>
    <w:rsid w:val="00AB31F9"/>
    <w:rsid w:val="00AB3994"/>
    <w:rsid w:val="00AB3A20"/>
    <w:rsid w:val="00AB44F6"/>
    <w:rsid w:val="00AB464D"/>
    <w:rsid w:val="00AB4FC8"/>
    <w:rsid w:val="00AB5424"/>
    <w:rsid w:val="00AB550D"/>
    <w:rsid w:val="00AB57CA"/>
    <w:rsid w:val="00AB5CFF"/>
    <w:rsid w:val="00AB5D19"/>
    <w:rsid w:val="00AB62D0"/>
    <w:rsid w:val="00AB6548"/>
    <w:rsid w:val="00AB7568"/>
    <w:rsid w:val="00AB7F8E"/>
    <w:rsid w:val="00AC085D"/>
    <w:rsid w:val="00AC0D23"/>
    <w:rsid w:val="00AC154F"/>
    <w:rsid w:val="00AC1608"/>
    <w:rsid w:val="00AC1795"/>
    <w:rsid w:val="00AC19C6"/>
    <w:rsid w:val="00AC1D53"/>
    <w:rsid w:val="00AC1E82"/>
    <w:rsid w:val="00AC1F3F"/>
    <w:rsid w:val="00AC2AC1"/>
    <w:rsid w:val="00AC32E5"/>
    <w:rsid w:val="00AC3319"/>
    <w:rsid w:val="00AC3F0C"/>
    <w:rsid w:val="00AC4456"/>
    <w:rsid w:val="00AC5795"/>
    <w:rsid w:val="00AC5E62"/>
    <w:rsid w:val="00AC5F99"/>
    <w:rsid w:val="00AC673B"/>
    <w:rsid w:val="00AC70CE"/>
    <w:rsid w:val="00AC71C7"/>
    <w:rsid w:val="00AC76DF"/>
    <w:rsid w:val="00AD0D96"/>
    <w:rsid w:val="00AD1232"/>
    <w:rsid w:val="00AD1855"/>
    <w:rsid w:val="00AD196C"/>
    <w:rsid w:val="00AD1AC1"/>
    <w:rsid w:val="00AD1B65"/>
    <w:rsid w:val="00AD2EE1"/>
    <w:rsid w:val="00AD39D5"/>
    <w:rsid w:val="00AD4071"/>
    <w:rsid w:val="00AD427A"/>
    <w:rsid w:val="00AD4456"/>
    <w:rsid w:val="00AD4C54"/>
    <w:rsid w:val="00AD55EB"/>
    <w:rsid w:val="00AD5E70"/>
    <w:rsid w:val="00AD6774"/>
    <w:rsid w:val="00AD6ED7"/>
    <w:rsid w:val="00AD7120"/>
    <w:rsid w:val="00AD7EFF"/>
    <w:rsid w:val="00AD7FCD"/>
    <w:rsid w:val="00AE0750"/>
    <w:rsid w:val="00AE16FD"/>
    <w:rsid w:val="00AE170B"/>
    <w:rsid w:val="00AE184A"/>
    <w:rsid w:val="00AE2159"/>
    <w:rsid w:val="00AE38AF"/>
    <w:rsid w:val="00AE3FB8"/>
    <w:rsid w:val="00AE4F8C"/>
    <w:rsid w:val="00AE593F"/>
    <w:rsid w:val="00AE6392"/>
    <w:rsid w:val="00AE6939"/>
    <w:rsid w:val="00AE6BD6"/>
    <w:rsid w:val="00AE6E71"/>
    <w:rsid w:val="00AE7B46"/>
    <w:rsid w:val="00AF0D68"/>
    <w:rsid w:val="00AF0F82"/>
    <w:rsid w:val="00AF1934"/>
    <w:rsid w:val="00AF1B2E"/>
    <w:rsid w:val="00AF1E59"/>
    <w:rsid w:val="00AF2480"/>
    <w:rsid w:val="00AF31B4"/>
    <w:rsid w:val="00AF38A4"/>
    <w:rsid w:val="00AF4096"/>
    <w:rsid w:val="00AF433E"/>
    <w:rsid w:val="00AF4B65"/>
    <w:rsid w:val="00AF515C"/>
    <w:rsid w:val="00AF5166"/>
    <w:rsid w:val="00AF67CD"/>
    <w:rsid w:val="00AF695A"/>
    <w:rsid w:val="00AF75B7"/>
    <w:rsid w:val="00AF791C"/>
    <w:rsid w:val="00B00AC5"/>
    <w:rsid w:val="00B00CD0"/>
    <w:rsid w:val="00B00E43"/>
    <w:rsid w:val="00B027D9"/>
    <w:rsid w:val="00B032F5"/>
    <w:rsid w:val="00B04160"/>
    <w:rsid w:val="00B046C9"/>
    <w:rsid w:val="00B07223"/>
    <w:rsid w:val="00B07F2C"/>
    <w:rsid w:val="00B100EF"/>
    <w:rsid w:val="00B1089B"/>
    <w:rsid w:val="00B11EC9"/>
    <w:rsid w:val="00B12291"/>
    <w:rsid w:val="00B12F39"/>
    <w:rsid w:val="00B13182"/>
    <w:rsid w:val="00B13606"/>
    <w:rsid w:val="00B13675"/>
    <w:rsid w:val="00B1395B"/>
    <w:rsid w:val="00B13B60"/>
    <w:rsid w:val="00B13EB3"/>
    <w:rsid w:val="00B14233"/>
    <w:rsid w:val="00B14320"/>
    <w:rsid w:val="00B14AB5"/>
    <w:rsid w:val="00B150FA"/>
    <w:rsid w:val="00B16288"/>
    <w:rsid w:val="00B16EC7"/>
    <w:rsid w:val="00B17836"/>
    <w:rsid w:val="00B17AD1"/>
    <w:rsid w:val="00B17EC7"/>
    <w:rsid w:val="00B205AD"/>
    <w:rsid w:val="00B220B1"/>
    <w:rsid w:val="00B22584"/>
    <w:rsid w:val="00B230AC"/>
    <w:rsid w:val="00B239ED"/>
    <w:rsid w:val="00B23AD5"/>
    <w:rsid w:val="00B24703"/>
    <w:rsid w:val="00B24C93"/>
    <w:rsid w:val="00B250E9"/>
    <w:rsid w:val="00B25791"/>
    <w:rsid w:val="00B25EEE"/>
    <w:rsid w:val="00B26409"/>
    <w:rsid w:val="00B26556"/>
    <w:rsid w:val="00B2684E"/>
    <w:rsid w:val="00B2704F"/>
    <w:rsid w:val="00B27356"/>
    <w:rsid w:val="00B27B11"/>
    <w:rsid w:val="00B27BAF"/>
    <w:rsid w:val="00B27C40"/>
    <w:rsid w:val="00B301E0"/>
    <w:rsid w:val="00B308E1"/>
    <w:rsid w:val="00B30ACC"/>
    <w:rsid w:val="00B30ED9"/>
    <w:rsid w:val="00B310EE"/>
    <w:rsid w:val="00B31495"/>
    <w:rsid w:val="00B31CB8"/>
    <w:rsid w:val="00B31EF1"/>
    <w:rsid w:val="00B32E9D"/>
    <w:rsid w:val="00B32EAA"/>
    <w:rsid w:val="00B33135"/>
    <w:rsid w:val="00B335A9"/>
    <w:rsid w:val="00B33827"/>
    <w:rsid w:val="00B3391C"/>
    <w:rsid w:val="00B344E0"/>
    <w:rsid w:val="00B35C86"/>
    <w:rsid w:val="00B35D59"/>
    <w:rsid w:val="00B363E0"/>
    <w:rsid w:val="00B36CB2"/>
    <w:rsid w:val="00B374EE"/>
    <w:rsid w:val="00B37C9B"/>
    <w:rsid w:val="00B4106B"/>
    <w:rsid w:val="00B41189"/>
    <w:rsid w:val="00B4127E"/>
    <w:rsid w:val="00B413A2"/>
    <w:rsid w:val="00B416F5"/>
    <w:rsid w:val="00B43628"/>
    <w:rsid w:val="00B4438C"/>
    <w:rsid w:val="00B44A04"/>
    <w:rsid w:val="00B45A4C"/>
    <w:rsid w:val="00B463DF"/>
    <w:rsid w:val="00B4700E"/>
    <w:rsid w:val="00B47BD4"/>
    <w:rsid w:val="00B47DE0"/>
    <w:rsid w:val="00B50F6C"/>
    <w:rsid w:val="00B511AF"/>
    <w:rsid w:val="00B51444"/>
    <w:rsid w:val="00B51FDD"/>
    <w:rsid w:val="00B5213E"/>
    <w:rsid w:val="00B526A8"/>
    <w:rsid w:val="00B527C7"/>
    <w:rsid w:val="00B52929"/>
    <w:rsid w:val="00B52FC5"/>
    <w:rsid w:val="00B53043"/>
    <w:rsid w:val="00B545BC"/>
    <w:rsid w:val="00B5462A"/>
    <w:rsid w:val="00B54CEA"/>
    <w:rsid w:val="00B54E5D"/>
    <w:rsid w:val="00B55B11"/>
    <w:rsid w:val="00B565F3"/>
    <w:rsid w:val="00B567B4"/>
    <w:rsid w:val="00B5689C"/>
    <w:rsid w:val="00B5711E"/>
    <w:rsid w:val="00B60FEA"/>
    <w:rsid w:val="00B6133D"/>
    <w:rsid w:val="00B61CAF"/>
    <w:rsid w:val="00B624EF"/>
    <w:rsid w:val="00B62554"/>
    <w:rsid w:val="00B62CE7"/>
    <w:rsid w:val="00B6342A"/>
    <w:rsid w:val="00B6401F"/>
    <w:rsid w:val="00B642B6"/>
    <w:rsid w:val="00B64758"/>
    <w:rsid w:val="00B65C11"/>
    <w:rsid w:val="00B661F6"/>
    <w:rsid w:val="00B676D5"/>
    <w:rsid w:val="00B702B9"/>
    <w:rsid w:val="00B7054D"/>
    <w:rsid w:val="00B70899"/>
    <w:rsid w:val="00B70A4E"/>
    <w:rsid w:val="00B713E4"/>
    <w:rsid w:val="00B71E7D"/>
    <w:rsid w:val="00B720CE"/>
    <w:rsid w:val="00B7226D"/>
    <w:rsid w:val="00B7226E"/>
    <w:rsid w:val="00B7228D"/>
    <w:rsid w:val="00B72406"/>
    <w:rsid w:val="00B731AE"/>
    <w:rsid w:val="00B73898"/>
    <w:rsid w:val="00B73AF3"/>
    <w:rsid w:val="00B746FF"/>
    <w:rsid w:val="00B74A28"/>
    <w:rsid w:val="00B74CA3"/>
    <w:rsid w:val="00B77941"/>
    <w:rsid w:val="00B77F33"/>
    <w:rsid w:val="00B80979"/>
    <w:rsid w:val="00B80B70"/>
    <w:rsid w:val="00B811F9"/>
    <w:rsid w:val="00B81CEB"/>
    <w:rsid w:val="00B81F7D"/>
    <w:rsid w:val="00B82265"/>
    <w:rsid w:val="00B826BE"/>
    <w:rsid w:val="00B835E8"/>
    <w:rsid w:val="00B84170"/>
    <w:rsid w:val="00B84827"/>
    <w:rsid w:val="00B84AA4"/>
    <w:rsid w:val="00B84F63"/>
    <w:rsid w:val="00B855DC"/>
    <w:rsid w:val="00B85836"/>
    <w:rsid w:val="00B85E98"/>
    <w:rsid w:val="00B863BF"/>
    <w:rsid w:val="00B869E4"/>
    <w:rsid w:val="00B86A41"/>
    <w:rsid w:val="00B86B93"/>
    <w:rsid w:val="00B86E0F"/>
    <w:rsid w:val="00B87157"/>
    <w:rsid w:val="00B87A9F"/>
    <w:rsid w:val="00B87BE8"/>
    <w:rsid w:val="00B87F1B"/>
    <w:rsid w:val="00B905C4"/>
    <w:rsid w:val="00B907F9"/>
    <w:rsid w:val="00B90C16"/>
    <w:rsid w:val="00B90D5B"/>
    <w:rsid w:val="00B914D7"/>
    <w:rsid w:val="00B91B61"/>
    <w:rsid w:val="00B91B7D"/>
    <w:rsid w:val="00B91CD8"/>
    <w:rsid w:val="00B925C1"/>
    <w:rsid w:val="00B928EF"/>
    <w:rsid w:val="00B92C65"/>
    <w:rsid w:val="00B9346A"/>
    <w:rsid w:val="00B93671"/>
    <w:rsid w:val="00B93C1E"/>
    <w:rsid w:val="00B93C4C"/>
    <w:rsid w:val="00B93E5B"/>
    <w:rsid w:val="00B93FE4"/>
    <w:rsid w:val="00B946DF"/>
    <w:rsid w:val="00B96218"/>
    <w:rsid w:val="00B962C5"/>
    <w:rsid w:val="00B9653D"/>
    <w:rsid w:val="00B96874"/>
    <w:rsid w:val="00B97067"/>
    <w:rsid w:val="00B970A2"/>
    <w:rsid w:val="00BA1388"/>
    <w:rsid w:val="00BA1A91"/>
    <w:rsid w:val="00BA1CA1"/>
    <w:rsid w:val="00BA3C3D"/>
    <w:rsid w:val="00BA413D"/>
    <w:rsid w:val="00BA4567"/>
    <w:rsid w:val="00BA45E0"/>
    <w:rsid w:val="00BA55EA"/>
    <w:rsid w:val="00BA5C19"/>
    <w:rsid w:val="00BA753B"/>
    <w:rsid w:val="00BA7A34"/>
    <w:rsid w:val="00BA7F9F"/>
    <w:rsid w:val="00BB0640"/>
    <w:rsid w:val="00BB07E8"/>
    <w:rsid w:val="00BB0ED2"/>
    <w:rsid w:val="00BB1608"/>
    <w:rsid w:val="00BB1924"/>
    <w:rsid w:val="00BB1BE7"/>
    <w:rsid w:val="00BB2169"/>
    <w:rsid w:val="00BB2EC6"/>
    <w:rsid w:val="00BB3249"/>
    <w:rsid w:val="00BB4537"/>
    <w:rsid w:val="00BB4CFA"/>
    <w:rsid w:val="00BB5050"/>
    <w:rsid w:val="00BB51EC"/>
    <w:rsid w:val="00BB53C2"/>
    <w:rsid w:val="00BB5529"/>
    <w:rsid w:val="00BB5F5D"/>
    <w:rsid w:val="00BB62CC"/>
    <w:rsid w:val="00BB7815"/>
    <w:rsid w:val="00BB79F8"/>
    <w:rsid w:val="00BC0101"/>
    <w:rsid w:val="00BC0C37"/>
    <w:rsid w:val="00BC2507"/>
    <w:rsid w:val="00BC25ED"/>
    <w:rsid w:val="00BC2A84"/>
    <w:rsid w:val="00BC301B"/>
    <w:rsid w:val="00BC3CB7"/>
    <w:rsid w:val="00BC4687"/>
    <w:rsid w:val="00BC4755"/>
    <w:rsid w:val="00BC4F49"/>
    <w:rsid w:val="00BC5156"/>
    <w:rsid w:val="00BC5429"/>
    <w:rsid w:val="00BC555A"/>
    <w:rsid w:val="00BC66A1"/>
    <w:rsid w:val="00BC701F"/>
    <w:rsid w:val="00BC7719"/>
    <w:rsid w:val="00BC78B9"/>
    <w:rsid w:val="00BD07C6"/>
    <w:rsid w:val="00BD0BCA"/>
    <w:rsid w:val="00BD1483"/>
    <w:rsid w:val="00BD34BF"/>
    <w:rsid w:val="00BD3F48"/>
    <w:rsid w:val="00BD475C"/>
    <w:rsid w:val="00BD5613"/>
    <w:rsid w:val="00BD59E7"/>
    <w:rsid w:val="00BD59E9"/>
    <w:rsid w:val="00BD5CE6"/>
    <w:rsid w:val="00BD6523"/>
    <w:rsid w:val="00BD672E"/>
    <w:rsid w:val="00BD73A9"/>
    <w:rsid w:val="00BE03FB"/>
    <w:rsid w:val="00BE2325"/>
    <w:rsid w:val="00BE26F6"/>
    <w:rsid w:val="00BE2D00"/>
    <w:rsid w:val="00BE38F8"/>
    <w:rsid w:val="00BE3EAB"/>
    <w:rsid w:val="00BE44E5"/>
    <w:rsid w:val="00BE46D3"/>
    <w:rsid w:val="00BE4E35"/>
    <w:rsid w:val="00BE574B"/>
    <w:rsid w:val="00BE613C"/>
    <w:rsid w:val="00BF045F"/>
    <w:rsid w:val="00BF0779"/>
    <w:rsid w:val="00BF0C17"/>
    <w:rsid w:val="00BF1495"/>
    <w:rsid w:val="00BF1F21"/>
    <w:rsid w:val="00BF2122"/>
    <w:rsid w:val="00BF21DC"/>
    <w:rsid w:val="00BF24D1"/>
    <w:rsid w:val="00BF2597"/>
    <w:rsid w:val="00BF3DF0"/>
    <w:rsid w:val="00BF405C"/>
    <w:rsid w:val="00BF420D"/>
    <w:rsid w:val="00BF4836"/>
    <w:rsid w:val="00BF4A63"/>
    <w:rsid w:val="00BF581D"/>
    <w:rsid w:val="00BF5AC1"/>
    <w:rsid w:val="00BF606B"/>
    <w:rsid w:val="00BF6B4E"/>
    <w:rsid w:val="00BF6D43"/>
    <w:rsid w:val="00BF74A2"/>
    <w:rsid w:val="00C0044E"/>
    <w:rsid w:val="00C005B2"/>
    <w:rsid w:val="00C008F9"/>
    <w:rsid w:val="00C00964"/>
    <w:rsid w:val="00C01C81"/>
    <w:rsid w:val="00C02566"/>
    <w:rsid w:val="00C027A1"/>
    <w:rsid w:val="00C032AF"/>
    <w:rsid w:val="00C0346F"/>
    <w:rsid w:val="00C04784"/>
    <w:rsid w:val="00C048E6"/>
    <w:rsid w:val="00C04ABF"/>
    <w:rsid w:val="00C05D82"/>
    <w:rsid w:val="00C05DE0"/>
    <w:rsid w:val="00C0663E"/>
    <w:rsid w:val="00C06E2A"/>
    <w:rsid w:val="00C06E9E"/>
    <w:rsid w:val="00C07665"/>
    <w:rsid w:val="00C07959"/>
    <w:rsid w:val="00C108CB"/>
    <w:rsid w:val="00C1154E"/>
    <w:rsid w:val="00C11C80"/>
    <w:rsid w:val="00C12ACC"/>
    <w:rsid w:val="00C12D9C"/>
    <w:rsid w:val="00C1301F"/>
    <w:rsid w:val="00C13B48"/>
    <w:rsid w:val="00C142C4"/>
    <w:rsid w:val="00C1491F"/>
    <w:rsid w:val="00C14E9E"/>
    <w:rsid w:val="00C14EF1"/>
    <w:rsid w:val="00C15562"/>
    <w:rsid w:val="00C1566D"/>
    <w:rsid w:val="00C160CA"/>
    <w:rsid w:val="00C1628B"/>
    <w:rsid w:val="00C1657B"/>
    <w:rsid w:val="00C16BC0"/>
    <w:rsid w:val="00C16CF7"/>
    <w:rsid w:val="00C16E62"/>
    <w:rsid w:val="00C17A24"/>
    <w:rsid w:val="00C17BF5"/>
    <w:rsid w:val="00C213F9"/>
    <w:rsid w:val="00C21490"/>
    <w:rsid w:val="00C21DA2"/>
    <w:rsid w:val="00C2290F"/>
    <w:rsid w:val="00C22971"/>
    <w:rsid w:val="00C23A6C"/>
    <w:rsid w:val="00C23DEE"/>
    <w:rsid w:val="00C2496A"/>
    <w:rsid w:val="00C24B29"/>
    <w:rsid w:val="00C250B4"/>
    <w:rsid w:val="00C2676C"/>
    <w:rsid w:val="00C27B7C"/>
    <w:rsid w:val="00C27D14"/>
    <w:rsid w:val="00C30710"/>
    <w:rsid w:val="00C30BF1"/>
    <w:rsid w:val="00C30EFB"/>
    <w:rsid w:val="00C324EB"/>
    <w:rsid w:val="00C328A2"/>
    <w:rsid w:val="00C32BFF"/>
    <w:rsid w:val="00C3396C"/>
    <w:rsid w:val="00C33DA2"/>
    <w:rsid w:val="00C3419F"/>
    <w:rsid w:val="00C3483D"/>
    <w:rsid w:val="00C34FC7"/>
    <w:rsid w:val="00C362A0"/>
    <w:rsid w:val="00C36CAF"/>
    <w:rsid w:val="00C37A11"/>
    <w:rsid w:val="00C40C67"/>
    <w:rsid w:val="00C4100A"/>
    <w:rsid w:val="00C4122F"/>
    <w:rsid w:val="00C431A1"/>
    <w:rsid w:val="00C43474"/>
    <w:rsid w:val="00C437AF"/>
    <w:rsid w:val="00C4420D"/>
    <w:rsid w:val="00C4537B"/>
    <w:rsid w:val="00C457BD"/>
    <w:rsid w:val="00C4589B"/>
    <w:rsid w:val="00C46141"/>
    <w:rsid w:val="00C46336"/>
    <w:rsid w:val="00C474AF"/>
    <w:rsid w:val="00C47DB7"/>
    <w:rsid w:val="00C5047D"/>
    <w:rsid w:val="00C5083E"/>
    <w:rsid w:val="00C50B10"/>
    <w:rsid w:val="00C51E25"/>
    <w:rsid w:val="00C521F6"/>
    <w:rsid w:val="00C5259A"/>
    <w:rsid w:val="00C52A89"/>
    <w:rsid w:val="00C52FEF"/>
    <w:rsid w:val="00C534CF"/>
    <w:rsid w:val="00C53806"/>
    <w:rsid w:val="00C53BE5"/>
    <w:rsid w:val="00C540E8"/>
    <w:rsid w:val="00C54295"/>
    <w:rsid w:val="00C54A7A"/>
    <w:rsid w:val="00C54BD6"/>
    <w:rsid w:val="00C54D07"/>
    <w:rsid w:val="00C55627"/>
    <w:rsid w:val="00C55764"/>
    <w:rsid w:val="00C56B74"/>
    <w:rsid w:val="00C57D58"/>
    <w:rsid w:val="00C60467"/>
    <w:rsid w:val="00C6055A"/>
    <w:rsid w:val="00C60EAE"/>
    <w:rsid w:val="00C61557"/>
    <w:rsid w:val="00C61E1F"/>
    <w:rsid w:val="00C6238D"/>
    <w:rsid w:val="00C623B8"/>
    <w:rsid w:val="00C62593"/>
    <w:rsid w:val="00C63010"/>
    <w:rsid w:val="00C637E2"/>
    <w:rsid w:val="00C6504C"/>
    <w:rsid w:val="00C652E1"/>
    <w:rsid w:val="00C66701"/>
    <w:rsid w:val="00C66BF2"/>
    <w:rsid w:val="00C66C16"/>
    <w:rsid w:val="00C66DD4"/>
    <w:rsid w:val="00C66F78"/>
    <w:rsid w:val="00C675DC"/>
    <w:rsid w:val="00C6775A"/>
    <w:rsid w:val="00C67ACF"/>
    <w:rsid w:val="00C67BD3"/>
    <w:rsid w:val="00C70DA0"/>
    <w:rsid w:val="00C714DC"/>
    <w:rsid w:val="00C71C1E"/>
    <w:rsid w:val="00C72016"/>
    <w:rsid w:val="00C727EE"/>
    <w:rsid w:val="00C7299A"/>
    <w:rsid w:val="00C72EA3"/>
    <w:rsid w:val="00C73011"/>
    <w:rsid w:val="00C73257"/>
    <w:rsid w:val="00C73796"/>
    <w:rsid w:val="00C73DA3"/>
    <w:rsid w:val="00C7475B"/>
    <w:rsid w:val="00C75761"/>
    <w:rsid w:val="00C7577E"/>
    <w:rsid w:val="00C75ACC"/>
    <w:rsid w:val="00C75CC1"/>
    <w:rsid w:val="00C75CD5"/>
    <w:rsid w:val="00C77A1E"/>
    <w:rsid w:val="00C8030D"/>
    <w:rsid w:val="00C80438"/>
    <w:rsid w:val="00C805F9"/>
    <w:rsid w:val="00C80D18"/>
    <w:rsid w:val="00C8171B"/>
    <w:rsid w:val="00C824A9"/>
    <w:rsid w:val="00C83844"/>
    <w:rsid w:val="00C838FA"/>
    <w:rsid w:val="00C83EB8"/>
    <w:rsid w:val="00C850D0"/>
    <w:rsid w:val="00C85956"/>
    <w:rsid w:val="00C85979"/>
    <w:rsid w:val="00C85C86"/>
    <w:rsid w:val="00C86512"/>
    <w:rsid w:val="00C867E1"/>
    <w:rsid w:val="00C868D0"/>
    <w:rsid w:val="00C87BF5"/>
    <w:rsid w:val="00C87FCD"/>
    <w:rsid w:val="00C913AE"/>
    <w:rsid w:val="00C913BD"/>
    <w:rsid w:val="00C91958"/>
    <w:rsid w:val="00C924BA"/>
    <w:rsid w:val="00C9253A"/>
    <w:rsid w:val="00C92595"/>
    <w:rsid w:val="00C92BE2"/>
    <w:rsid w:val="00C93830"/>
    <w:rsid w:val="00C94444"/>
    <w:rsid w:val="00C94C3C"/>
    <w:rsid w:val="00C9501E"/>
    <w:rsid w:val="00C9541B"/>
    <w:rsid w:val="00C9744A"/>
    <w:rsid w:val="00C97518"/>
    <w:rsid w:val="00C979D4"/>
    <w:rsid w:val="00CA00C0"/>
    <w:rsid w:val="00CA1A9F"/>
    <w:rsid w:val="00CA2F56"/>
    <w:rsid w:val="00CA3098"/>
    <w:rsid w:val="00CA3329"/>
    <w:rsid w:val="00CA3C15"/>
    <w:rsid w:val="00CA4031"/>
    <w:rsid w:val="00CA4126"/>
    <w:rsid w:val="00CA4A9E"/>
    <w:rsid w:val="00CA5010"/>
    <w:rsid w:val="00CA570D"/>
    <w:rsid w:val="00CA5BAA"/>
    <w:rsid w:val="00CA6052"/>
    <w:rsid w:val="00CB055C"/>
    <w:rsid w:val="00CB05D1"/>
    <w:rsid w:val="00CB073D"/>
    <w:rsid w:val="00CB10AF"/>
    <w:rsid w:val="00CB144C"/>
    <w:rsid w:val="00CB233E"/>
    <w:rsid w:val="00CB23F2"/>
    <w:rsid w:val="00CB2ADE"/>
    <w:rsid w:val="00CB2CFA"/>
    <w:rsid w:val="00CB2E0F"/>
    <w:rsid w:val="00CB316B"/>
    <w:rsid w:val="00CB38EE"/>
    <w:rsid w:val="00CB411C"/>
    <w:rsid w:val="00CB42D0"/>
    <w:rsid w:val="00CB4403"/>
    <w:rsid w:val="00CB4D05"/>
    <w:rsid w:val="00CB50A6"/>
    <w:rsid w:val="00CB586F"/>
    <w:rsid w:val="00CB5A8E"/>
    <w:rsid w:val="00CB65C8"/>
    <w:rsid w:val="00CB6AEF"/>
    <w:rsid w:val="00CB6E8F"/>
    <w:rsid w:val="00CB71EA"/>
    <w:rsid w:val="00CB7759"/>
    <w:rsid w:val="00CB7846"/>
    <w:rsid w:val="00CB7D51"/>
    <w:rsid w:val="00CB7D6E"/>
    <w:rsid w:val="00CC0168"/>
    <w:rsid w:val="00CC3526"/>
    <w:rsid w:val="00CC3700"/>
    <w:rsid w:val="00CC391C"/>
    <w:rsid w:val="00CC64C1"/>
    <w:rsid w:val="00CC706E"/>
    <w:rsid w:val="00CC77A0"/>
    <w:rsid w:val="00CC784A"/>
    <w:rsid w:val="00CC78C1"/>
    <w:rsid w:val="00CC78DA"/>
    <w:rsid w:val="00CD0262"/>
    <w:rsid w:val="00CD07EE"/>
    <w:rsid w:val="00CD0F75"/>
    <w:rsid w:val="00CD1171"/>
    <w:rsid w:val="00CD2E87"/>
    <w:rsid w:val="00CD358A"/>
    <w:rsid w:val="00CD3B63"/>
    <w:rsid w:val="00CD3F8E"/>
    <w:rsid w:val="00CD4428"/>
    <w:rsid w:val="00CD558F"/>
    <w:rsid w:val="00CD6387"/>
    <w:rsid w:val="00CD6F99"/>
    <w:rsid w:val="00CE057E"/>
    <w:rsid w:val="00CE0A31"/>
    <w:rsid w:val="00CE1D5E"/>
    <w:rsid w:val="00CE1F00"/>
    <w:rsid w:val="00CE211C"/>
    <w:rsid w:val="00CE24B6"/>
    <w:rsid w:val="00CE2D28"/>
    <w:rsid w:val="00CE396C"/>
    <w:rsid w:val="00CE43D5"/>
    <w:rsid w:val="00CE440A"/>
    <w:rsid w:val="00CE48FA"/>
    <w:rsid w:val="00CE498C"/>
    <w:rsid w:val="00CE4E24"/>
    <w:rsid w:val="00CE514E"/>
    <w:rsid w:val="00CE5EAD"/>
    <w:rsid w:val="00CE5FE8"/>
    <w:rsid w:val="00CE6390"/>
    <w:rsid w:val="00CE66D7"/>
    <w:rsid w:val="00CE6FD7"/>
    <w:rsid w:val="00CF2100"/>
    <w:rsid w:val="00CF2425"/>
    <w:rsid w:val="00CF2869"/>
    <w:rsid w:val="00CF3416"/>
    <w:rsid w:val="00CF47A0"/>
    <w:rsid w:val="00CF4C63"/>
    <w:rsid w:val="00CF5369"/>
    <w:rsid w:val="00CF5E05"/>
    <w:rsid w:val="00CF68E7"/>
    <w:rsid w:val="00CF74C6"/>
    <w:rsid w:val="00CF7567"/>
    <w:rsid w:val="00CF77CC"/>
    <w:rsid w:val="00D001D4"/>
    <w:rsid w:val="00D009DA"/>
    <w:rsid w:val="00D010DA"/>
    <w:rsid w:val="00D01221"/>
    <w:rsid w:val="00D01DB4"/>
    <w:rsid w:val="00D0269D"/>
    <w:rsid w:val="00D041D1"/>
    <w:rsid w:val="00D0579B"/>
    <w:rsid w:val="00D06381"/>
    <w:rsid w:val="00D069EB"/>
    <w:rsid w:val="00D06B4E"/>
    <w:rsid w:val="00D07254"/>
    <w:rsid w:val="00D0729B"/>
    <w:rsid w:val="00D07810"/>
    <w:rsid w:val="00D07E64"/>
    <w:rsid w:val="00D102B9"/>
    <w:rsid w:val="00D10476"/>
    <w:rsid w:val="00D10590"/>
    <w:rsid w:val="00D10617"/>
    <w:rsid w:val="00D109CC"/>
    <w:rsid w:val="00D10AFA"/>
    <w:rsid w:val="00D10EE5"/>
    <w:rsid w:val="00D11AD7"/>
    <w:rsid w:val="00D1230B"/>
    <w:rsid w:val="00D12426"/>
    <w:rsid w:val="00D1255F"/>
    <w:rsid w:val="00D128C0"/>
    <w:rsid w:val="00D12B1F"/>
    <w:rsid w:val="00D13031"/>
    <w:rsid w:val="00D13E4B"/>
    <w:rsid w:val="00D146EE"/>
    <w:rsid w:val="00D15592"/>
    <w:rsid w:val="00D15DA3"/>
    <w:rsid w:val="00D15F24"/>
    <w:rsid w:val="00D16516"/>
    <w:rsid w:val="00D17025"/>
    <w:rsid w:val="00D1704C"/>
    <w:rsid w:val="00D17156"/>
    <w:rsid w:val="00D205E5"/>
    <w:rsid w:val="00D208F6"/>
    <w:rsid w:val="00D20978"/>
    <w:rsid w:val="00D20AB3"/>
    <w:rsid w:val="00D211B1"/>
    <w:rsid w:val="00D214BF"/>
    <w:rsid w:val="00D23024"/>
    <w:rsid w:val="00D23974"/>
    <w:rsid w:val="00D23F44"/>
    <w:rsid w:val="00D24038"/>
    <w:rsid w:val="00D24150"/>
    <w:rsid w:val="00D245A6"/>
    <w:rsid w:val="00D2568E"/>
    <w:rsid w:val="00D25C6F"/>
    <w:rsid w:val="00D25DEE"/>
    <w:rsid w:val="00D25FB6"/>
    <w:rsid w:val="00D26C39"/>
    <w:rsid w:val="00D27CC8"/>
    <w:rsid w:val="00D3112D"/>
    <w:rsid w:val="00D31EEE"/>
    <w:rsid w:val="00D32164"/>
    <w:rsid w:val="00D326C3"/>
    <w:rsid w:val="00D32F17"/>
    <w:rsid w:val="00D33D55"/>
    <w:rsid w:val="00D34167"/>
    <w:rsid w:val="00D350C3"/>
    <w:rsid w:val="00D3541E"/>
    <w:rsid w:val="00D3598B"/>
    <w:rsid w:val="00D35C58"/>
    <w:rsid w:val="00D36873"/>
    <w:rsid w:val="00D36ADB"/>
    <w:rsid w:val="00D37647"/>
    <w:rsid w:val="00D377F7"/>
    <w:rsid w:val="00D40473"/>
    <w:rsid w:val="00D410D6"/>
    <w:rsid w:val="00D42909"/>
    <w:rsid w:val="00D42B48"/>
    <w:rsid w:val="00D437F3"/>
    <w:rsid w:val="00D442CF"/>
    <w:rsid w:val="00D44ECC"/>
    <w:rsid w:val="00D4561E"/>
    <w:rsid w:val="00D46E41"/>
    <w:rsid w:val="00D46FF6"/>
    <w:rsid w:val="00D47900"/>
    <w:rsid w:val="00D47DD9"/>
    <w:rsid w:val="00D50C5D"/>
    <w:rsid w:val="00D50DED"/>
    <w:rsid w:val="00D512FF"/>
    <w:rsid w:val="00D51E0D"/>
    <w:rsid w:val="00D524FF"/>
    <w:rsid w:val="00D52CCE"/>
    <w:rsid w:val="00D5316F"/>
    <w:rsid w:val="00D54FBC"/>
    <w:rsid w:val="00D57821"/>
    <w:rsid w:val="00D578C8"/>
    <w:rsid w:val="00D57A56"/>
    <w:rsid w:val="00D600B2"/>
    <w:rsid w:val="00D60F67"/>
    <w:rsid w:val="00D61F2B"/>
    <w:rsid w:val="00D62624"/>
    <w:rsid w:val="00D63100"/>
    <w:rsid w:val="00D63324"/>
    <w:rsid w:val="00D635CB"/>
    <w:rsid w:val="00D63F4B"/>
    <w:rsid w:val="00D64149"/>
    <w:rsid w:val="00D65064"/>
    <w:rsid w:val="00D66183"/>
    <w:rsid w:val="00D66F65"/>
    <w:rsid w:val="00D67265"/>
    <w:rsid w:val="00D672C2"/>
    <w:rsid w:val="00D673D9"/>
    <w:rsid w:val="00D674AC"/>
    <w:rsid w:val="00D675E5"/>
    <w:rsid w:val="00D6790E"/>
    <w:rsid w:val="00D67924"/>
    <w:rsid w:val="00D70043"/>
    <w:rsid w:val="00D711E2"/>
    <w:rsid w:val="00D718F6"/>
    <w:rsid w:val="00D71A51"/>
    <w:rsid w:val="00D724B2"/>
    <w:rsid w:val="00D72C0D"/>
    <w:rsid w:val="00D74132"/>
    <w:rsid w:val="00D7468A"/>
    <w:rsid w:val="00D74D8F"/>
    <w:rsid w:val="00D75934"/>
    <w:rsid w:val="00D759A7"/>
    <w:rsid w:val="00D76149"/>
    <w:rsid w:val="00D7665B"/>
    <w:rsid w:val="00D76BF8"/>
    <w:rsid w:val="00D76C8F"/>
    <w:rsid w:val="00D77961"/>
    <w:rsid w:val="00D80133"/>
    <w:rsid w:val="00D8016F"/>
    <w:rsid w:val="00D803B8"/>
    <w:rsid w:val="00D80A94"/>
    <w:rsid w:val="00D81474"/>
    <w:rsid w:val="00D815F1"/>
    <w:rsid w:val="00D82076"/>
    <w:rsid w:val="00D82B9B"/>
    <w:rsid w:val="00D82C6F"/>
    <w:rsid w:val="00D82EDB"/>
    <w:rsid w:val="00D8379B"/>
    <w:rsid w:val="00D83C27"/>
    <w:rsid w:val="00D84307"/>
    <w:rsid w:val="00D845C6"/>
    <w:rsid w:val="00D8490F"/>
    <w:rsid w:val="00D84D4C"/>
    <w:rsid w:val="00D85122"/>
    <w:rsid w:val="00D8568A"/>
    <w:rsid w:val="00D8582B"/>
    <w:rsid w:val="00D8649B"/>
    <w:rsid w:val="00D869BB"/>
    <w:rsid w:val="00D87915"/>
    <w:rsid w:val="00D9009D"/>
    <w:rsid w:val="00D9029B"/>
    <w:rsid w:val="00D92AB5"/>
    <w:rsid w:val="00D931D3"/>
    <w:rsid w:val="00D93C61"/>
    <w:rsid w:val="00D93CE7"/>
    <w:rsid w:val="00D94C3C"/>
    <w:rsid w:val="00D961FC"/>
    <w:rsid w:val="00D976F7"/>
    <w:rsid w:val="00D97ABF"/>
    <w:rsid w:val="00D97B8B"/>
    <w:rsid w:val="00DA0146"/>
    <w:rsid w:val="00DA0980"/>
    <w:rsid w:val="00DA0A5D"/>
    <w:rsid w:val="00DA127A"/>
    <w:rsid w:val="00DA1CAB"/>
    <w:rsid w:val="00DA269A"/>
    <w:rsid w:val="00DA36D9"/>
    <w:rsid w:val="00DA47EC"/>
    <w:rsid w:val="00DA5430"/>
    <w:rsid w:val="00DA56E2"/>
    <w:rsid w:val="00DA5E72"/>
    <w:rsid w:val="00DA5EE4"/>
    <w:rsid w:val="00DB03DA"/>
    <w:rsid w:val="00DB0CC6"/>
    <w:rsid w:val="00DB0E7A"/>
    <w:rsid w:val="00DB10A0"/>
    <w:rsid w:val="00DB1536"/>
    <w:rsid w:val="00DB3070"/>
    <w:rsid w:val="00DB31E8"/>
    <w:rsid w:val="00DB397C"/>
    <w:rsid w:val="00DB3A05"/>
    <w:rsid w:val="00DB4622"/>
    <w:rsid w:val="00DB4F9D"/>
    <w:rsid w:val="00DB55F0"/>
    <w:rsid w:val="00DB59AE"/>
    <w:rsid w:val="00DB6D86"/>
    <w:rsid w:val="00DC09C9"/>
    <w:rsid w:val="00DC1376"/>
    <w:rsid w:val="00DC16DA"/>
    <w:rsid w:val="00DC2A0B"/>
    <w:rsid w:val="00DC3EA2"/>
    <w:rsid w:val="00DC4476"/>
    <w:rsid w:val="00DC4624"/>
    <w:rsid w:val="00DC4B4C"/>
    <w:rsid w:val="00DC4C83"/>
    <w:rsid w:val="00DC4D26"/>
    <w:rsid w:val="00DC50C9"/>
    <w:rsid w:val="00DC5135"/>
    <w:rsid w:val="00DC53B2"/>
    <w:rsid w:val="00DC59EE"/>
    <w:rsid w:val="00DC6309"/>
    <w:rsid w:val="00DC642F"/>
    <w:rsid w:val="00DC78DD"/>
    <w:rsid w:val="00DC7905"/>
    <w:rsid w:val="00DD0374"/>
    <w:rsid w:val="00DD0DB2"/>
    <w:rsid w:val="00DD1107"/>
    <w:rsid w:val="00DD23BF"/>
    <w:rsid w:val="00DD2470"/>
    <w:rsid w:val="00DD28D2"/>
    <w:rsid w:val="00DD299F"/>
    <w:rsid w:val="00DD3256"/>
    <w:rsid w:val="00DD4ADA"/>
    <w:rsid w:val="00DD4BD2"/>
    <w:rsid w:val="00DD544D"/>
    <w:rsid w:val="00DD566A"/>
    <w:rsid w:val="00DD6FE4"/>
    <w:rsid w:val="00DD7949"/>
    <w:rsid w:val="00DD7B63"/>
    <w:rsid w:val="00DD7BCD"/>
    <w:rsid w:val="00DD7C6F"/>
    <w:rsid w:val="00DE063F"/>
    <w:rsid w:val="00DE12CE"/>
    <w:rsid w:val="00DE1807"/>
    <w:rsid w:val="00DE231A"/>
    <w:rsid w:val="00DE314B"/>
    <w:rsid w:val="00DE32A1"/>
    <w:rsid w:val="00DE32B8"/>
    <w:rsid w:val="00DE3D99"/>
    <w:rsid w:val="00DE49FE"/>
    <w:rsid w:val="00DE4BFA"/>
    <w:rsid w:val="00DE5A09"/>
    <w:rsid w:val="00DE5E05"/>
    <w:rsid w:val="00DE672C"/>
    <w:rsid w:val="00DE6A4B"/>
    <w:rsid w:val="00DE70F2"/>
    <w:rsid w:val="00DE7530"/>
    <w:rsid w:val="00DE77A8"/>
    <w:rsid w:val="00DE783D"/>
    <w:rsid w:val="00DF022B"/>
    <w:rsid w:val="00DF0B26"/>
    <w:rsid w:val="00DF13B9"/>
    <w:rsid w:val="00DF3DC9"/>
    <w:rsid w:val="00DF420B"/>
    <w:rsid w:val="00DF4500"/>
    <w:rsid w:val="00DF4764"/>
    <w:rsid w:val="00DF5BBD"/>
    <w:rsid w:val="00DF5D60"/>
    <w:rsid w:val="00DF5DBB"/>
    <w:rsid w:val="00DF5DD2"/>
    <w:rsid w:val="00DF6353"/>
    <w:rsid w:val="00DF6C94"/>
    <w:rsid w:val="00DF6EF2"/>
    <w:rsid w:val="00DF7246"/>
    <w:rsid w:val="00DF72AC"/>
    <w:rsid w:val="00DF75EF"/>
    <w:rsid w:val="00DF7761"/>
    <w:rsid w:val="00E009DE"/>
    <w:rsid w:val="00E009E1"/>
    <w:rsid w:val="00E01791"/>
    <w:rsid w:val="00E01CCB"/>
    <w:rsid w:val="00E01E6A"/>
    <w:rsid w:val="00E01E9A"/>
    <w:rsid w:val="00E01FF3"/>
    <w:rsid w:val="00E022AA"/>
    <w:rsid w:val="00E02856"/>
    <w:rsid w:val="00E02B97"/>
    <w:rsid w:val="00E02EAC"/>
    <w:rsid w:val="00E03300"/>
    <w:rsid w:val="00E036E9"/>
    <w:rsid w:val="00E03788"/>
    <w:rsid w:val="00E0378D"/>
    <w:rsid w:val="00E03867"/>
    <w:rsid w:val="00E03D50"/>
    <w:rsid w:val="00E03FF8"/>
    <w:rsid w:val="00E040CC"/>
    <w:rsid w:val="00E06487"/>
    <w:rsid w:val="00E068B8"/>
    <w:rsid w:val="00E06ADA"/>
    <w:rsid w:val="00E07298"/>
    <w:rsid w:val="00E074E8"/>
    <w:rsid w:val="00E07506"/>
    <w:rsid w:val="00E07685"/>
    <w:rsid w:val="00E10D5D"/>
    <w:rsid w:val="00E113B4"/>
    <w:rsid w:val="00E11580"/>
    <w:rsid w:val="00E11840"/>
    <w:rsid w:val="00E11CB3"/>
    <w:rsid w:val="00E124E9"/>
    <w:rsid w:val="00E12DA1"/>
    <w:rsid w:val="00E13CD0"/>
    <w:rsid w:val="00E1482F"/>
    <w:rsid w:val="00E14BA8"/>
    <w:rsid w:val="00E1550A"/>
    <w:rsid w:val="00E15866"/>
    <w:rsid w:val="00E15CBD"/>
    <w:rsid w:val="00E177AD"/>
    <w:rsid w:val="00E17AAD"/>
    <w:rsid w:val="00E200A0"/>
    <w:rsid w:val="00E20F68"/>
    <w:rsid w:val="00E23389"/>
    <w:rsid w:val="00E246AD"/>
    <w:rsid w:val="00E2481E"/>
    <w:rsid w:val="00E24E9D"/>
    <w:rsid w:val="00E258DC"/>
    <w:rsid w:val="00E27061"/>
    <w:rsid w:val="00E274AA"/>
    <w:rsid w:val="00E2776B"/>
    <w:rsid w:val="00E3124B"/>
    <w:rsid w:val="00E31625"/>
    <w:rsid w:val="00E31EFF"/>
    <w:rsid w:val="00E320F5"/>
    <w:rsid w:val="00E32B40"/>
    <w:rsid w:val="00E33564"/>
    <w:rsid w:val="00E3397C"/>
    <w:rsid w:val="00E339BD"/>
    <w:rsid w:val="00E340A5"/>
    <w:rsid w:val="00E34986"/>
    <w:rsid w:val="00E34B96"/>
    <w:rsid w:val="00E35A9B"/>
    <w:rsid w:val="00E36101"/>
    <w:rsid w:val="00E369C2"/>
    <w:rsid w:val="00E37422"/>
    <w:rsid w:val="00E374CB"/>
    <w:rsid w:val="00E3777F"/>
    <w:rsid w:val="00E407F2"/>
    <w:rsid w:val="00E40ED2"/>
    <w:rsid w:val="00E42173"/>
    <w:rsid w:val="00E42949"/>
    <w:rsid w:val="00E42ED1"/>
    <w:rsid w:val="00E4512F"/>
    <w:rsid w:val="00E45450"/>
    <w:rsid w:val="00E46E7A"/>
    <w:rsid w:val="00E46EAC"/>
    <w:rsid w:val="00E47619"/>
    <w:rsid w:val="00E476D8"/>
    <w:rsid w:val="00E47826"/>
    <w:rsid w:val="00E50CEC"/>
    <w:rsid w:val="00E5102E"/>
    <w:rsid w:val="00E51BD7"/>
    <w:rsid w:val="00E51EBA"/>
    <w:rsid w:val="00E521DC"/>
    <w:rsid w:val="00E52888"/>
    <w:rsid w:val="00E5398F"/>
    <w:rsid w:val="00E54B0B"/>
    <w:rsid w:val="00E54FF4"/>
    <w:rsid w:val="00E551E4"/>
    <w:rsid w:val="00E553C7"/>
    <w:rsid w:val="00E56382"/>
    <w:rsid w:val="00E56525"/>
    <w:rsid w:val="00E56D49"/>
    <w:rsid w:val="00E573F8"/>
    <w:rsid w:val="00E61038"/>
    <w:rsid w:val="00E611E6"/>
    <w:rsid w:val="00E617A9"/>
    <w:rsid w:val="00E61FF4"/>
    <w:rsid w:val="00E6218F"/>
    <w:rsid w:val="00E625CE"/>
    <w:rsid w:val="00E62686"/>
    <w:rsid w:val="00E639F6"/>
    <w:rsid w:val="00E641B0"/>
    <w:rsid w:val="00E6536C"/>
    <w:rsid w:val="00E6569A"/>
    <w:rsid w:val="00E66912"/>
    <w:rsid w:val="00E67378"/>
    <w:rsid w:val="00E676B8"/>
    <w:rsid w:val="00E7045F"/>
    <w:rsid w:val="00E70D4D"/>
    <w:rsid w:val="00E71929"/>
    <w:rsid w:val="00E73528"/>
    <w:rsid w:val="00E738EE"/>
    <w:rsid w:val="00E73985"/>
    <w:rsid w:val="00E73CD9"/>
    <w:rsid w:val="00E740AF"/>
    <w:rsid w:val="00E747F8"/>
    <w:rsid w:val="00E74C1D"/>
    <w:rsid w:val="00E751EE"/>
    <w:rsid w:val="00E77F9E"/>
    <w:rsid w:val="00E82171"/>
    <w:rsid w:val="00E8238F"/>
    <w:rsid w:val="00E83B0E"/>
    <w:rsid w:val="00E83B1D"/>
    <w:rsid w:val="00E83BEF"/>
    <w:rsid w:val="00E842B1"/>
    <w:rsid w:val="00E848B1"/>
    <w:rsid w:val="00E857E9"/>
    <w:rsid w:val="00E85D1F"/>
    <w:rsid w:val="00E860F2"/>
    <w:rsid w:val="00E8666D"/>
    <w:rsid w:val="00E86CEE"/>
    <w:rsid w:val="00E87519"/>
    <w:rsid w:val="00E87A5C"/>
    <w:rsid w:val="00E87D79"/>
    <w:rsid w:val="00E916E7"/>
    <w:rsid w:val="00E91963"/>
    <w:rsid w:val="00E937ED"/>
    <w:rsid w:val="00E938F5"/>
    <w:rsid w:val="00E94282"/>
    <w:rsid w:val="00E94E56"/>
    <w:rsid w:val="00E9530E"/>
    <w:rsid w:val="00E95D4B"/>
    <w:rsid w:val="00E95FE3"/>
    <w:rsid w:val="00E96B3D"/>
    <w:rsid w:val="00E96BAD"/>
    <w:rsid w:val="00E97296"/>
    <w:rsid w:val="00E97889"/>
    <w:rsid w:val="00EA075B"/>
    <w:rsid w:val="00EA0C91"/>
    <w:rsid w:val="00EA13F5"/>
    <w:rsid w:val="00EA1A18"/>
    <w:rsid w:val="00EA24A6"/>
    <w:rsid w:val="00EA273A"/>
    <w:rsid w:val="00EA2DF3"/>
    <w:rsid w:val="00EA34B6"/>
    <w:rsid w:val="00EA38A7"/>
    <w:rsid w:val="00EA38F2"/>
    <w:rsid w:val="00EA3A22"/>
    <w:rsid w:val="00EA404F"/>
    <w:rsid w:val="00EA41AB"/>
    <w:rsid w:val="00EA47B2"/>
    <w:rsid w:val="00EA4DC5"/>
    <w:rsid w:val="00EA5E3A"/>
    <w:rsid w:val="00EA6658"/>
    <w:rsid w:val="00EA73DD"/>
    <w:rsid w:val="00EA7663"/>
    <w:rsid w:val="00EA7723"/>
    <w:rsid w:val="00EA79A3"/>
    <w:rsid w:val="00EA7AB3"/>
    <w:rsid w:val="00EB050B"/>
    <w:rsid w:val="00EB232E"/>
    <w:rsid w:val="00EB266A"/>
    <w:rsid w:val="00EB34EC"/>
    <w:rsid w:val="00EB35C3"/>
    <w:rsid w:val="00EB54FB"/>
    <w:rsid w:val="00EB6415"/>
    <w:rsid w:val="00EB7388"/>
    <w:rsid w:val="00EC01C9"/>
    <w:rsid w:val="00EC034C"/>
    <w:rsid w:val="00EC0CEF"/>
    <w:rsid w:val="00EC189A"/>
    <w:rsid w:val="00EC27D8"/>
    <w:rsid w:val="00EC2DAC"/>
    <w:rsid w:val="00EC380C"/>
    <w:rsid w:val="00EC39FC"/>
    <w:rsid w:val="00EC41DC"/>
    <w:rsid w:val="00EC41EB"/>
    <w:rsid w:val="00EC5691"/>
    <w:rsid w:val="00EC5D04"/>
    <w:rsid w:val="00EC642B"/>
    <w:rsid w:val="00EC736E"/>
    <w:rsid w:val="00EC7880"/>
    <w:rsid w:val="00ED027D"/>
    <w:rsid w:val="00ED09D3"/>
    <w:rsid w:val="00ED12CB"/>
    <w:rsid w:val="00ED1FD8"/>
    <w:rsid w:val="00ED2175"/>
    <w:rsid w:val="00ED27E8"/>
    <w:rsid w:val="00ED309A"/>
    <w:rsid w:val="00ED3DAE"/>
    <w:rsid w:val="00ED4515"/>
    <w:rsid w:val="00ED48C2"/>
    <w:rsid w:val="00ED4F28"/>
    <w:rsid w:val="00ED5B68"/>
    <w:rsid w:val="00ED61A4"/>
    <w:rsid w:val="00ED6B18"/>
    <w:rsid w:val="00ED6D8C"/>
    <w:rsid w:val="00ED6DF7"/>
    <w:rsid w:val="00ED717A"/>
    <w:rsid w:val="00ED7790"/>
    <w:rsid w:val="00EE01DC"/>
    <w:rsid w:val="00EE1737"/>
    <w:rsid w:val="00EE1EED"/>
    <w:rsid w:val="00EE26A7"/>
    <w:rsid w:val="00EE3A60"/>
    <w:rsid w:val="00EE3AD4"/>
    <w:rsid w:val="00EE3CD8"/>
    <w:rsid w:val="00EE4075"/>
    <w:rsid w:val="00EE44F4"/>
    <w:rsid w:val="00EE4820"/>
    <w:rsid w:val="00EE5617"/>
    <w:rsid w:val="00EE5CBB"/>
    <w:rsid w:val="00EE5D54"/>
    <w:rsid w:val="00EE641E"/>
    <w:rsid w:val="00EE66A1"/>
    <w:rsid w:val="00EE72BA"/>
    <w:rsid w:val="00EE74E5"/>
    <w:rsid w:val="00EE7E41"/>
    <w:rsid w:val="00EF09B4"/>
    <w:rsid w:val="00EF0B8A"/>
    <w:rsid w:val="00EF11A9"/>
    <w:rsid w:val="00EF16C3"/>
    <w:rsid w:val="00EF1DBA"/>
    <w:rsid w:val="00EF2054"/>
    <w:rsid w:val="00EF2128"/>
    <w:rsid w:val="00EF2373"/>
    <w:rsid w:val="00EF2886"/>
    <w:rsid w:val="00EF2CFE"/>
    <w:rsid w:val="00EF2E5D"/>
    <w:rsid w:val="00EF39D3"/>
    <w:rsid w:val="00EF4907"/>
    <w:rsid w:val="00EF547A"/>
    <w:rsid w:val="00EF69D2"/>
    <w:rsid w:val="00EF72B5"/>
    <w:rsid w:val="00EF765C"/>
    <w:rsid w:val="00EF7CD6"/>
    <w:rsid w:val="00F000EB"/>
    <w:rsid w:val="00F002E7"/>
    <w:rsid w:val="00F003E8"/>
    <w:rsid w:val="00F005C3"/>
    <w:rsid w:val="00F007B9"/>
    <w:rsid w:val="00F01172"/>
    <w:rsid w:val="00F011FC"/>
    <w:rsid w:val="00F0152F"/>
    <w:rsid w:val="00F01C1A"/>
    <w:rsid w:val="00F0292F"/>
    <w:rsid w:val="00F048DF"/>
    <w:rsid w:val="00F0496F"/>
    <w:rsid w:val="00F04A90"/>
    <w:rsid w:val="00F04FC6"/>
    <w:rsid w:val="00F05322"/>
    <w:rsid w:val="00F0770E"/>
    <w:rsid w:val="00F1134B"/>
    <w:rsid w:val="00F11963"/>
    <w:rsid w:val="00F11A8F"/>
    <w:rsid w:val="00F11C16"/>
    <w:rsid w:val="00F11D13"/>
    <w:rsid w:val="00F12212"/>
    <w:rsid w:val="00F12608"/>
    <w:rsid w:val="00F1268D"/>
    <w:rsid w:val="00F129A2"/>
    <w:rsid w:val="00F131DD"/>
    <w:rsid w:val="00F132F9"/>
    <w:rsid w:val="00F13850"/>
    <w:rsid w:val="00F138B8"/>
    <w:rsid w:val="00F13F54"/>
    <w:rsid w:val="00F15092"/>
    <w:rsid w:val="00F15550"/>
    <w:rsid w:val="00F15DC7"/>
    <w:rsid w:val="00F160A8"/>
    <w:rsid w:val="00F172C4"/>
    <w:rsid w:val="00F17AFF"/>
    <w:rsid w:val="00F17E9A"/>
    <w:rsid w:val="00F20A67"/>
    <w:rsid w:val="00F20BE8"/>
    <w:rsid w:val="00F219D9"/>
    <w:rsid w:val="00F21AB7"/>
    <w:rsid w:val="00F2216E"/>
    <w:rsid w:val="00F227E9"/>
    <w:rsid w:val="00F22E21"/>
    <w:rsid w:val="00F23B11"/>
    <w:rsid w:val="00F24259"/>
    <w:rsid w:val="00F25874"/>
    <w:rsid w:val="00F25DFB"/>
    <w:rsid w:val="00F2622F"/>
    <w:rsid w:val="00F26AD2"/>
    <w:rsid w:val="00F26F86"/>
    <w:rsid w:val="00F27476"/>
    <w:rsid w:val="00F27654"/>
    <w:rsid w:val="00F278E9"/>
    <w:rsid w:val="00F27C2C"/>
    <w:rsid w:val="00F3032D"/>
    <w:rsid w:val="00F30A0F"/>
    <w:rsid w:val="00F31C78"/>
    <w:rsid w:val="00F321DF"/>
    <w:rsid w:val="00F32546"/>
    <w:rsid w:val="00F32B61"/>
    <w:rsid w:val="00F32DB8"/>
    <w:rsid w:val="00F33514"/>
    <w:rsid w:val="00F33900"/>
    <w:rsid w:val="00F34237"/>
    <w:rsid w:val="00F34481"/>
    <w:rsid w:val="00F34804"/>
    <w:rsid w:val="00F34D8D"/>
    <w:rsid w:val="00F35925"/>
    <w:rsid w:val="00F35AB0"/>
    <w:rsid w:val="00F35BDA"/>
    <w:rsid w:val="00F36047"/>
    <w:rsid w:val="00F36564"/>
    <w:rsid w:val="00F36A9A"/>
    <w:rsid w:val="00F374AA"/>
    <w:rsid w:val="00F40F86"/>
    <w:rsid w:val="00F42023"/>
    <w:rsid w:val="00F420EE"/>
    <w:rsid w:val="00F4287F"/>
    <w:rsid w:val="00F42E29"/>
    <w:rsid w:val="00F4356C"/>
    <w:rsid w:val="00F43C46"/>
    <w:rsid w:val="00F4461E"/>
    <w:rsid w:val="00F4517C"/>
    <w:rsid w:val="00F45D14"/>
    <w:rsid w:val="00F4658D"/>
    <w:rsid w:val="00F46C17"/>
    <w:rsid w:val="00F46CF3"/>
    <w:rsid w:val="00F47D1A"/>
    <w:rsid w:val="00F514D2"/>
    <w:rsid w:val="00F5168D"/>
    <w:rsid w:val="00F51A0A"/>
    <w:rsid w:val="00F51E51"/>
    <w:rsid w:val="00F51FB5"/>
    <w:rsid w:val="00F52D22"/>
    <w:rsid w:val="00F52E47"/>
    <w:rsid w:val="00F542F9"/>
    <w:rsid w:val="00F5496D"/>
    <w:rsid w:val="00F54D85"/>
    <w:rsid w:val="00F554E9"/>
    <w:rsid w:val="00F55FC4"/>
    <w:rsid w:val="00F56104"/>
    <w:rsid w:val="00F56688"/>
    <w:rsid w:val="00F575EB"/>
    <w:rsid w:val="00F57B6A"/>
    <w:rsid w:val="00F604E6"/>
    <w:rsid w:val="00F6107D"/>
    <w:rsid w:val="00F6108E"/>
    <w:rsid w:val="00F613C6"/>
    <w:rsid w:val="00F6227F"/>
    <w:rsid w:val="00F62F82"/>
    <w:rsid w:val="00F63F6C"/>
    <w:rsid w:val="00F64677"/>
    <w:rsid w:val="00F6512E"/>
    <w:rsid w:val="00F652A9"/>
    <w:rsid w:val="00F656FD"/>
    <w:rsid w:val="00F65858"/>
    <w:rsid w:val="00F65E7A"/>
    <w:rsid w:val="00F66F7A"/>
    <w:rsid w:val="00F67559"/>
    <w:rsid w:val="00F67C61"/>
    <w:rsid w:val="00F70169"/>
    <w:rsid w:val="00F707F4"/>
    <w:rsid w:val="00F70879"/>
    <w:rsid w:val="00F708AC"/>
    <w:rsid w:val="00F71616"/>
    <w:rsid w:val="00F720A6"/>
    <w:rsid w:val="00F72A7B"/>
    <w:rsid w:val="00F7329F"/>
    <w:rsid w:val="00F732BD"/>
    <w:rsid w:val="00F75AF1"/>
    <w:rsid w:val="00F75B6A"/>
    <w:rsid w:val="00F75F0F"/>
    <w:rsid w:val="00F7621C"/>
    <w:rsid w:val="00F76C42"/>
    <w:rsid w:val="00F76FA4"/>
    <w:rsid w:val="00F7768F"/>
    <w:rsid w:val="00F77D02"/>
    <w:rsid w:val="00F81851"/>
    <w:rsid w:val="00F81923"/>
    <w:rsid w:val="00F8232D"/>
    <w:rsid w:val="00F82CA2"/>
    <w:rsid w:val="00F831D0"/>
    <w:rsid w:val="00F833C9"/>
    <w:rsid w:val="00F85032"/>
    <w:rsid w:val="00F851A3"/>
    <w:rsid w:val="00F857CF"/>
    <w:rsid w:val="00F8645A"/>
    <w:rsid w:val="00F86BC4"/>
    <w:rsid w:val="00F871A8"/>
    <w:rsid w:val="00F900D1"/>
    <w:rsid w:val="00F9072A"/>
    <w:rsid w:val="00F908FF"/>
    <w:rsid w:val="00F90E36"/>
    <w:rsid w:val="00F91E08"/>
    <w:rsid w:val="00F924F2"/>
    <w:rsid w:val="00F926C3"/>
    <w:rsid w:val="00F937AA"/>
    <w:rsid w:val="00F94CE6"/>
    <w:rsid w:val="00F957AA"/>
    <w:rsid w:val="00F95C7C"/>
    <w:rsid w:val="00F96AA3"/>
    <w:rsid w:val="00F97256"/>
    <w:rsid w:val="00FA0285"/>
    <w:rsid w:val="00FA030B"/>
    <w:rsid w:val="00FA034A"/>
    <w:rsid w:val="00FA04CE"/>
    <w:rsid w:val="00FA0556"/>
    <w:rsid w:val="00FA1D15"/>
    <w:rsid w:val="00FA25E2"/>
    <w:rsid w:val="00FA2770"/>
    <w:rsid w:val="00FA2C7C"/>
    <w:rsid w:val="00FA33A2"/>
    <w:rsid w:val="00FA33B8"/>
    <w:rsid w:val="00FA411F"/>
    <w:rsid w:val="00FA5F21"/>
    <w:rsid w:val="00FA6011"/>
    <w:rsid w:val="00FA68D1"/>
    <w:rsid w:val="00FA68F7"/>
    <w:rsid w:val="00FA6BB2"/>
    <w:rsid w:val="00FA6C6D"/>
    <w:rsid w:val="00FA72CF"/>
    <w:rsid w:val="00FA774F"/>
    <w:rsid w:val="00FA7BFF"/>
    <w:rsid w:val="00FB139B"/>
    <w:rsid w:val="00FB1BBA"/>
    <w:rsid w:val="00FB1D97"/>
    <w:rsid w:val="00FB2295"/>
    <w:rsid w:val="00FB2544"/>
    <w:rsid w:val="00FB37ED"/>
    <w:rsid w:val="00FB38CB"/>
    <w:rsid w:val="00FB39A9"/>
    <w:rsid w:val="00FB39BF"/>
    <w:rsid w:val="00FB3CC6"/>
    <w:rsid w:val="00FB3FA2"/>
    <w:rsid w:val="00FB616C"/>
    <w:rsid w:val="00FB63E9"/>
    <w:rsid w:val="00FB731C"/>
    <w:rsid w:val="00FB76C8"/>
    <w:rsid w:val="00FB76CB"/>
    <w:rsid w:val="00FC0395"/>
    <w:rsid w:val="00FC0ED9"/>
    <w:rsid w:val="00FC178E"/>
    <w:rsid w:val="00FC1EC5"/>
    <w:rsid w:val="00FC20BD"/>
    <w:rsid w:val="00FC2271"/>
    <w:rsid w:val="00FC2E63"/>
    <w:rsid w:val="00FC314E"/>
    <w:rsid w:val="00FC5F11"/>
    <w:rsid w:val="00FC6FF8"/>
    <w:rsid w:val="00FC784D"/>
    <w:rsid w:val="00FD03A9"/>
    <w:rsid w:val="00FD0903"/>
    <w:rsid w:val="00FD09D0"/>
    <w:rsid w:val="00FD1001"/>
    <w:rsid w:val="00FD183D"/>
    <w:rsid w:val="00FD1C31"/>
    <w:rsid w:val="00FD24E3"/>
    <w:rsid w:val="00FD3123"/>
    <w:rsid w:val="00FD3189"/>
    <w:rsid w:val="00FD35F5"/>
    <w:rsid w:val="00FD43D5"/>
    <w:rsid w:val="00FD536E"/>
    <w:rsid w:val="00FD54E0"/>
    <w:rsid w:val="00FD74EA"/>
    <w:rsid w:val="00FE0170"/>
    <w:rsid w:val="00FE0385"/>
    <w:rsid w:val="00FE0A40"/>
    <w:rsid w:val="00FE0C17"/>
    <w:rsid w:val="00FE0E46"/>
    <w:rsid w:val="00FE189A"/>
    <w:rsid w:val="00FE22BD"/>
    <w:rsid w:val="00FE48C6"/>
    <w:rsid w:val="00FE4903"/>
    <w:rsid w:val="00FE4A08"/>
    <w:rsid w:val="00FE4FA3"/>
    <w:rsid w:val="00FE5023"/>
    <w:rsid w:val="00FE60FD"/>
    <w:rsid w:val="00FE6959"/>
    <w:rsid w:val="00FE6EBD"/>
    <w:rsid w:val="00FE740C"/>
    <w:rsid w:val="00FE7A4B"/>
    <w:rsid w:val="00FE7CB5"/>
    <w:rsid w:val="00FF226F"/>
    <w:rsid w:val="00FF2455"/>
    <w:rsid w:val="00FF2501"/>
    <w:rsid w:val="00FF2E1C"/>
    <w:rsid w:val="00FF2FA9"/>
    <w:rsid w:val="00FF31D8"/>
    <w:rsid w:val="00FF4259"/>
    <w:rsid w:val="00FF451B"/>
    <w:rsid w:val="00FF4782"/>
    <w:rsid w:val="00FF4FF3"/>
    <w:rsid w:val="00FF550E"/>
    <w:rsid w:val="00FF5AA6"/>
    <w:rsid w:val="00FF6A6B"/>
    <w:rsid w:val="00FF6D2F"/>
    <w:rsid w:val="00FF6F34"/>
    <w:rsid w:val="00FF7282"/>
    <w:rsid w:val="01524327"/>
    <w:rsid w:val="01660E4C"/>
    <w:rsid w:val="0216456F"/>
    <w:rsid w:val="02246E85"/>
    <w:rsid w:val="02506439"/>
    <w:rsid w:val="0255BBA7"/>
    <w:rsid w:val="02986FD7"/>
    <w:rsid w:val="0299E806"/>
    <w:rsid w:val="03072C97"/>
    <w:rsid w:val="0310660F"/>
    <w:rsid w:val="0316ED31"/>
    <w:rsid w:val="0318DC7E"/>
    <w:rsid w:val="032FB7F3"/>
    <w:rsid w:val="033C6AD6"/>
    <w:rsid w:val="039B4E8F"/>
    <w:rsid w:val="04287BA7"/>
    <w:rsid w:val="043354F7"/>
    <w:rsid w:val="0472606B"/>
    <w:rsid w:val="052FB9E3"/>
    <w:rsid w:val="053093EE"/>
    <w:rsid w:val="058DA2A9"/>
    <w:rsid w:val="05F33BDD"/>
    <w:rsid w:val="062C3D9B"/>
    <w:rsid w:val="0669D87B"/>
    <w:rsid w:val="06A53B08"/>
    <w:rsid w:val="06B64EA1"/>
    <w:rsid w:val="06CC3A15"/>
    <w:rsid w:val="06CF90D4"/>
    <w:rsid w:val="07088049"/>
    <w:rsid w:val="0731E764"/>
    <w:rsid w:val="075374C6"/>
    <w:rsid w:val="0787771A"/>
    <w:rsid w:val="080EA271"/>
    <w:rsid w:val="0845904F"/>
    <w:rsid w:val="0869D6FD"/>
    <w:rsid w:val="089CA942"/>
    <w:rsid w:val="0915D809"/>
    <w:rsid w:val="09181E7D"/>
    <w:rsid w:val="095E8B77"/>
    <w:rsid w:val="097664C7"/>
    <w:rsid w:val="09782735"/>
    <w:rsid w:val="09A08D0E"/>
    <w:rsid w:val="09A5B80D"/>
    <w:rsid w:val="09CA2A77"/>
    <w:rsid w:val="09CA318C"/>
    <w:rsid w:val="09ED6F91"/>
    <w:rsid w:val="09F1755F"/>
    <w:rsid w:val="0A0930F6"/>
    <w:rsid w:val="0A3412AA"/>
    <w:rsid w:val="0A343877"/>
    <w:rsid w:val="0A899853"/>
    <w:rsid w:val="0A9E50E8"/>
    <w:rsid w:val="0A9F5814"/>
    <w:rsid w:val="0AA1199A"/>
    <w:rsid w:val="0ABA8403"/>
    <w:rsid w:val="0B22013F"/>
    <w:rsid w:val="0B253D0C"/>
    <w:rsid w:val="0B32E135"/>
    <w:rsid w:val="0B35AA9F"/>
    <w:rsid w:val="0B485EF6"/>
    <w:rsid w:val="0B4A09DE"/>
    <w:rsid w:val="0B992709"/>
    <w:rsid w:val="0C49C296"/>
    <w:rsid w:val="0C7E8B06"/>
    <w:rsid w:val="0CAFABE0"/>
    <w:rsid w:val="0CB5A797"/>
    <w:rsid w:val="0CCFC9CF"/>
    <w:rsid w:val="0CE6CB96"/>
    <w:rsid w:val="0D07EE8B"/>
    <w:rsid w:val="0D35C03C"/>
    <w:rsid w:val="0D4BFFC4"/>
    <w:rsid w:val="0D6B9BD0"/>
    <w:rsid w:val="0D8217D1"/>
    <w:rsid w:val="0DE4BE16"/>
    <w:rsid w:val="0E047238"/>
    <w:rsid w:val="0E285ED7"/>
    <w:rsid w:val="0E50CCDB"/>
    <w:rsid w:val="0E67F406"/>
    <w:rsid w:val="0E689069"/>
    <w:rsid w:val="0E9E392C"/>
    <w:rsid w:val="0EE62BED"/>
    <w:rsid w:val="0EEB2B47"/>
    <w:rsid w:val="0F4ABE64"/>
    <w:rsid w:val="0F90B87E"/>
    <w:rsid w:val="0FE09A20"/>
    <w:rsid w:val="0FF34D31"/>
    <w:rsid w:val="0FF9A1FD"/>
    <w:rsid w:val="10038BE9"/>
    <w:rsid w:val="10565918"/>
    <w:rsid w:val="10A114AC"/>
    <w:rsid w:val="10C5F43C"/>
    <w:rsid w:val="10F68493"/>
    <w:rsid w:val="111C8711"/>
    <w:rsid w:val="11416684"/>
    <w:rsid w:val="11B6A2C0"/>
    <w:rsid w:val="11D15E5F"/>
    <w:rsid w:val="1209FA08"/>
    <w:rsid w:val="121FF144"/>
    <w:rsid w:val="128DDDFD"/>
    <w:rsid w:val="12909D70"/>
    <w:rsid w:val="129763FF"/>
    <w:rsid w:val="12B09911"/>
    <w:rsid w:val="1319E4F2"/>
    <w:rsid w:val="133656ED"/>
    <w:rsid w:val="13A6D0DB"/>
    <w:rsid w:val="13CCA8E8"/>
    <w:rsid w:val="14354892"/>
    <w:rsid w:val="14A70A32"/>
    <w:rsid w:val="14C372F6"/>
    <w:rsid w:val="14C584CC"/>
    <w:rsid w:val="1514C626"/>
    <w:rsid w:val="15788056"/>
    <w:rsid w:val="1594FC50"/>
    <w:rsid w:val="15D1D051"/>
    <w:rsid w:val="15E87050"/>
    <w:rsid w:val="160F1F76"/>
    <w:rsid w:val="1612A002"/>
    <w:rsid w:val="1644C249"/>
    <w:rsid w:val="166D5A3C"/>
    <w:rsid w:val="1709447A"/>
    <w:rsid w:val="1715BE7D"/>
    <w:rsid w:val="173DFE0F"/>
    <w:rsid w:val="1766CC69"/>
    <w:rsid w:val="17691C85"/>
    <w:rsid w:val="177A281C"/>
    <w:rsid w:val="179E68B1"/>
    <w:rsid w:val="17C396A0"/>
    <w:rsid w:val="17DC4377"/>
    <w:rsid w:val="17E5CE31"/>
    <w:rsid w:val="17EDC087"/>
    <w:rsid w:val="1801B771"/>
    <w:rsid w:val="180415FA"/>
    <w:rsid w:val="1842BE8D"/>
    <w:rsid w:val="18636ECE"/>
    <w:rsid w:val="18737D03"/>
    <w:rsid w:val="18A58CAD"/>
    <w:rsid w:val="18D13EF7"/>
    <w:rsid w:val="1907802D"/>
    <w:rsid w:val="19220B15"/>
    <w:rsid w:val="19241CCA"/>
    <w:rsid w:val="1969A64B"/>
    <w:rsid w:val="196B8280"/>
    <w:rsid w:val="196E1EF0"/>
    <w:rsid w:val="19ABAD4F"/>
    <w:rsid w:val="19B00C76"/>
    <w:rsid w:val="19C3D212"/>
    <w:rsid w:val="1A020A59"/>
    <w:rsid w:val="1A049C04"/>
    <w:rsid w:val="1A4ECEB2"/>
    <w:rsid w:val="1A7E1859"/>
    <w:rsid w:val="1AC27C79"/>
    <w:rsid w:val="1B2BC005"/>
    <w:rsid w:val="1C637770"/>
    <w:rsid w:val="1C744A30"/>
    <w:rsid w:val="1C761548"/>
    <w:rsid w:val="1C7BFA6B"/>
    <w:rsid w:val="1C95D9FF"/>
    <w:rsid w:val="1CA9FCBB"/>
    <w:rsid w:val="1CE6B7D5"/>
    <w:rsid w:val="1D5A965E"/>
    <w:rsid w:val="1E563EA5"/>
    <w:rsid w:val="1EBA778C"/>
    <w:rsid w:val="1ECB1C5C"/>
    <w:rsid w:val="1ED6D39F"/>
    <w:rsid w:val="1EDAFBC3"/>
    <w:rsid w:val="1EE51E50"/>
    <w:rsid w:val="1F127409"/>
    <w:rsid w:val="1F1BCA8E"/>
    <w:rsid w:val="1F258819"/>
    <w:rsid w:val="1F57E8FB"/>
    <w:rsid w:val="1F5C6959"/>
    <w:rsid w:val="1FDA3DD2"/>
    <w:rsid w:val="2045B116"/>
    <w:rsid w:val="2049F70B"/>
    <w:rsid w:val="20598A70"/>
    <w:rsid w:val="2076CE35"/>
    <w:rsid w:val="20993AF7"/>
    <w:rsid w:val="2120C704"/>
    <w:rsid w:val="2150D5FE"/>
    <w:rsid w:val="215954F6"/>
    <w:rsid w:val="21716514"/>
    <w:rsid w:val="21DA910B"/>
    <w:rsid w:val="220DAA18"/>
    <w:rsid w:val="22186B38"/>
    <w:rsid w:val="221C1216"/>
    <w:rsid w:val="22670011"/>
    <w:rsid w:val="2294BC75"/>
    <w:rsid w:val="2297623E"/>
    <w:rsid w:val="22BF0014"/>
    <w:rsid w:val="22F57A94"/>
    <w:rsid w:val="22FA2596"/>
    <w:rsid w:val="232604A8"/>
    <w:rsid w:val="2330A6AF"/>
    <w:rsid w:val="233173BA"/>
    <w:rsid w:val="233B01ED"/>
    <w:rsid w:val="2352BEBD"/>
    <w:rsid w:val="238E090A"/>
    <w:rsid w:val="23FDBD3E"/>
    <w:rsid w:val="241C1B51"/>
    <w:rsid w:val="242D5764"/>
    <w:rsid w:val="24321CC1"/>
    <w:rsid w:val="24760166"/>
    <w:rsid w:val="248A374A"/>
    <w:rsid w:val="24AA5146"/>
    <w:rsid w:val="24AA7D6B"/>
    <w:rsid w:val="24B4A9F9"/>
    <w:rsid w:val="24CB27A9"/>
    <w:rsid w:val="24CCD637"/>
    <w:rsid w:val="24F67897"/>
    <w:rsid w:val="25088972"/>
    <w:rsid w:val="2519550A"/>
    <w:rsid w:val="2521A63C"/>
    <w:rsid w:val="252D243F"/>
    <w:rsid w:val="254ED68F"/>
    <w:rsid w:val="2577B32E"/>
    <w:rsid w:val="25D6010D"/>
    <w:rsid w:val="25D98F1A"/>
    <w:rsid w:val="25E631F0"/>
    <w:rsid w:val="25F4B619"/>
    <w:rsid w:val="25FCE7BA"/>
    <w:rsid w:val="26737F4F"/>
    <w:rsid w:val="267B9BEA"/>
    <w:rsid w:val="26E522F9"/>
    <w:rsid w:val="274203F6"/>
    <w:rsid w:val="274AAB45"/>
    <w:rsid w:val="276A8E4A"/>
    <w:rsid w:val="2783B1D3"/>
    <w:rsid w:val="27AF6D3B"/>
    <w:rsid w:val="27F0CF84"/>
    <w:rsid w:val="27F6267D"/>
    <w:rsid w:val="28314B0B"/>
    <w:rsid w:val="2840D580"/>
    <w:rsid w:val="284533C7"/>
    <w:rsid w:val="28647FC4"/>
    <w:rsid w:val="287A090C"/>
    <w:rsid w:val="28839B67"/>
    <w:rsid w:val="28A593FB"/>
    <w:rsid w:val="28BC760F"/>
    <w:rsid w:val="28CC0C65"/>
    <w:rsid w:val="290AFD6C"/>
    <w:rsid w:val="29826410"/>
    <w:rsid w:val="29B02A01"/>
    <w:rsid w:val="29BE6D65"/>
    <w:rsid w:val="29F76FB8"/>
    <w:rsid w:val="2A110DB2"/>
    <w:rsid w:val="2A3CA467"/>
    <w:rsid w:val="2A3F4C8C"/>
    <w:rsid w:val="2A7355FA"/>
    <w:rsid w:val="2A83EDA7"/>
    <w:rsid w:val="2B6085A7"/>
    <w:rsid w:val="2BBBED04"/>
    <w:rsid w:val="2BF294AA"/>
    <w:rsid w:val="2C00E3F3"/>
    <w:rsid w:val="2C12E7D2"/>
    <w:rsid w:val="2C18DD60"/>
    <w:rsid w:val="2C516FEF"/>
    <w:rsid w:val="2C70CD8F"/>
    <w:rsid w:val="2C997317"/>
    <w:rsid w:val="2CA9C642"/>
    <w:rsid w:val="2CB2A6D2"/>
    <w:rsid w:val="2CC5700D"/>
    <w:rsid w:val="2CDE17F7"/>
    <w:rsid w:val="2D60ABBA"/>
    <w:rsid w:val="2D782136"/>
    <w:rsid w:val="2D7C5E22"/>
    <w:rsid w:val="2D888E01"/>
    <w:rsid w:val="2DD30022"/>
    <w:rsid w:val="2DE33EDA"/>
    <w:rsid w:val="2DE74747"/>
    <w:rsid w:val="2E146498"/>
    <w:rsid w:val="2EBCACA1"/>
    <w:rsid w:val="2ECF4D93"/>
    <w:rsid w:val="2EE65633"/>
    <w:rsid w:val="2F033506"/>
    <w:rsid w:val="2F8FB29A"/>
    <w:rsid w:val="2FC842B0"/>
    <w:rsid w:val="2FC962FF"/>
    <w:rsid w:val="3050F51F"/>
    <w:rsid w:val="307681CC"/>
    <w:rsid w:val="3087D643"/>
    <w:rsid w:val="310F7B1F"/>
    <w:rsid w:val="31137020"/>
    <w:rsid w:val="313EFAC2"/>
    <w:rsid w:val="31699710"/>
    <w:rsid w:val="318A51FD"/>
    <w:rsid w:val="31A52736"/>
    <w:rsid w:val="31AD566B"/>
    <w:rsid w:val="31D03765"/>
    <w:rsid w:val="31E7DE05"/>
    <w:rsid w:val="3231226A"/>
    <w:rsid w:val="324F79C0"/>
    <w:rsid w:val="3261AD27"/>
    <w:rsid w:val="329590DD"/>
    <w:rsid w:val="32A9697D"/>
    <w:rsid w:val="32AD57CE"/>
    <w:rsid w:val="32EA90BE"/>
    <w:rsid w:val="32FC542A"/>
    <w:rsid w:val="3309A6F6"/>
    <w:rsid w:val="3325C115"/>
    <w:rsid w:val="3335AD20"/>
    <w:rsid w:val="333670FB"/>
    <w:rsid w:val="3357285D"/>
    <w:rsid w:val="338B39A0"/>
    <w:rsid w:val="33935172"/>
    <w:rsid w:val="33BE735F"/>
    <w:rsid w:val="33DB94D7"/>
    <w:rsid w:val="33F46112"/>
    <w:rsid w:val="33F80C80"/>
    <w:rsid w:val="340DF9A9"/>
    <w:rsid w:val="3426A06E"/>
    <w:rsid w:val="3430A12D"/>
    <w:rsid w:val="346B3246"/>
    <w:rsid w:val="34CD6C1A"/>
    <w:rsid w:val="34DD2B63"/>
    <w:rsid w:val="34F17FEF"/>
    <w:rsid w:val="34FE7916"/>
    <w:rsid w:val="3539C2C8"/>
    <w:rsid w:val="3544E80B"/>
    <w:rsid w:val="355EBF47"/>
    <w:rsid w:val="359828F7"/>
    <w:rsid w:val="359F04CD"/>
    <w:rsid w:val="35AD87B5"/>
    <w:rsid w:val="35C7D3C8"/>
    <w:rsid w:val="35CC9277"/>
    <w:rsid w:val="3604EA00"/>
    <w:rsid w:val="36480E5A"/>
    <w:rsid w:val="36C9E171"/>
    <w:rsid w:val="37000C04"/>
    <w:rsid w:val="371A868B"/>
    <w:rsid w:val="3756B00E"/>
    <w:rsid w:val="377FA3E4"/>
    <w:rsid w:val="37B559FA"/>
    <w:rsid w:val="37EF2FDD"/>
    <w:rsid w:val="37F1BA88"/>
    <w:rsid w:val="3828C8D2"/>
    <w:rsid w:val="38407A8B"/>
    <w:rsid w:val="38552B5B"/>
    <w:rsid w:val="3881D489"/>
    <w:rsid w:val="38A8A3AF"/>
    <w:rsid w:val="38DEFF3E"/>
    <w:rsid w:val="38E033F3"/>
    <w:rsid w:val="38EFD884"/>
    <w:rsid w:val="390ABB6E"/>
    <w:rsid w:val="391882F6"/>
    <w:rsid w:val="393282BF"/>
    <w:rsid w:val="3941FE11"/>
    <w:rsid w:val="3945520E"/>
    <w:rsid w:val="397C551D"/>
    <w:rsid w:val="398D64D8"/>
    <w:rsid w:val="39A8CBF8"/>
    <w:rsid w:val="39E5F85C"/>
    <w:rsid w:val="39FB2F42"/>
    <w:rsid w:val="39FDC4CD"/>
    <w:rsid w:val="3A3306D5"/>
    <w:rsid w:val="3A46C9EF"/>
    <w:rsid w:val="3A649FB0"/>
    <w:rsid w:val="3A97B8BD"/>
    <w:rsid w:val="3A981B90"/>
    <w:rsid w:val="3AB529AF"/>
    <w:rsid w:val="3AFC5C19"/>
    <w:rsid w:val="3B04B913"/>
    <w:rsid w:val="3C08AF6A"/>
    <w:rsid w:val="3C33080C"/>
    <w:rsid w:val="3C5B93EF"/>
    <w:rsid w:val="3C66FFA2"/>
    <w:rsid w:val="3CA38551"/>
    <w:rsid w:val="3CD618F4"/>
    <w:rsid w:val="3CDA9483"/>
    <w:rsid w:val="3CE8AE2C"/>
    <w:rsid w:val="3D0A4906"/>
    <w:rsid w:val="3D2A6D79"/>
    <w:rsid w:val="3D2D888C"/>
    <w:rsid w:val="3D34FB13"/>
    <w:rsid w:val="3D573B60"/>
    <w:rsid w:val="3DAB5C5D"/>
    <w:rsid w:val="3DABA69C"/>
    <w:rsid w:val="3DAF6042"/>
    <w:rsid w:val="3DC5D9B8"/>
    <w:rsid w:val="3DFEB4E1"/>
    <w:rsid w:val="3E3E8F91"/>
    <w:rsid w:val="3E7DD60C"/>
    <w:rsid w:val="3E86E6EF"/>
    <w:rsid w:val="3EC71881"/>
    <w:rsid w:val="3ECBDDDE"/>
    <w:rsid w:val="3ED4740E"/>
    <w:rsid w:val="3F3DDFD7"/>
    <w:rsid w:val="3F4BA88F"/>
    <w:rsid w:val="3F630D8F"/>
    <w:rsid w:val="3F87CFD9"/>
    <w:rsid w:val="3FAE682C"/>
    <w:rsid w:val="3FDD1E51"/>
    <w:rsid w:val="4000046F"/>
    <w:rsid w:val="409AC497"/>
    <w:rsid w:val="409DFA0D"/>
    <w:rsid w:val="40A5B4C2"/>
    <w:rsid w:val="411599E5"/>
    <w:rsid w:val="415DCFDF"/>
    <w:rsid w:val="4178F94A"/>
    <w:rsid w:val="41D5E9A6"/>
    <w:rsid w:val="421AE095"/>
    <w:rsid w:val="42B9F54F"/>
    <w:rsid w:val="431B60EC"/>
    <w:rsid w:val="431B75D0"/>
    <w:rsid w:val="431C04C1"/>
    <w:rsid w:val="431D235A"/>
    <w:rsid w:val="43679F23"/>
    <w:rsid w:val="43900C68"/>
    <w:rsid w:val="43D29ADF"/>
    <w:rsid w:val="43D54CDA"/>
    <w:rsid w:val="44493178"/>
    <w:rsid w:val="44517504"/>
    <w:rsid w:val="446E33CE"/>
    <w:rsid w:val="447DAE87"/>
    <w:rsid w:val="448593FD"/>
    <w:rsid w:val="4494148E"/>
    <w:rsid w:val="44AA19DA"/>
    <w:rsid w:val="44C7FC01"/>
    <w:rsid w:val="455E3C1A"/>
    <w:rsid w:val="45784DA3"/>
    <w:rsid w:val="45944585"/>
    <w:rsid w:val="45AC71C3"/>
    <w:rsid w:val="45C6A0D7"/>
    <w:rsid w:val="4625A0CB"/>
    <w:rsid w:val="466D216F"/>
    <w:rsid w:val="467DC4D4"/>
    <w:rsid w:val="46AD15BF"/>
    <w:rsid w:val="46B4D424"/>
    <w:rsid w:val="46CE8721"/>
    <w:rsid w:val="46D91FB4"/>
    <w:rsid w:val="46DF514D"/>
    <w:rsid w:val="46F80937"/>
    <w:rsid w:val="47017086"/>
    <w:rsid w:val="470355CD"/>
    <w:rsid w:val="47252D2A"/>
    <w:rsid w:val="47433D62"/>
    <w:rsid w:val="477155A5"/>
    <w:rsid w:val="478432C8"/>
    <w:rsid w:val="478818AC"/>
    <w:rsid w:val="47902393"/>
    <w:rsid w:val="47ABCECB"/>
    <w:rsid w:val="47C1C911"/>
    <w:rsid w:val="47C929B7"/>
    <w:rsid w:val="48155393"/>
    <w:rsid w:val="4833CB31"/>
    <w:rsid w:val="48449A2D"/>
    <w:rsid w:val="4848E620"/>
    <w:rsid w:val="48C829DB"/>
    <w:rsid w:val="495DE790"/>
    <w:rsid w:val="495E09AC"/>
    <w:rsid w:val="4985D66B"/>
    <w:rsid w:val="49FE790B"/>
    <w:rsid w:val="4A5A955E"/>
    <w:rsid w:val="4A620414"/>
    <w:rsid w:val="4AF8D25B"/>
    <w:rsid w:val="4B0F0CB0"/>
    <w:rsid w:val="4B325BE8"/>
    <w:rsid w:val="4B331E92"/>
    <w:rsid w:val="4B3936BE"/>
    <w:rsid w:val="4B4E0802"/>
    <w:rsid w:val="4B932BE4"/>
    <w:rsid w:val="4BAA6827"/>
    <w:rsid w:val="4BB30548"/>
    <w:rsid w:val="4C59CC97"/>
    <w:rsid w:val="4C997A09"/>
    <w:rsid w:val="4CB43BED"/>
    <w:rsid w:val="4CCBCB4A"/>
    <w:rsid w:val="4CEDA79E"/>
    <w:rsid w:val="4D0DAFD2"/>
    <w:rsid w:val="4D557A5B"/>
    <w:rsid w:val="4D911C83"/>
    <w:rsid w:val="4DB0E465"/>
    <w:rsid w:val="4DDD1920"/>
    <w:rsid w:val="4E71FBDC"/>
    <w:rsid w:val="4E7B20F0"/>
    <w:rsid w:val="4E88E13A"/>
    <w:rsid w:val="4EC15167"/>
    <w:rsid w:val="4ED4C886"/>
    <w:rsid w:val="4ED71892"/>
    <w:rsid w:val="4F00BF1F"/>
    <w:rsid w:val="4F6AF367"/>
    <w:rsid w:val="4F84836F"/>
    <w:rsid w:val="4FD2C4AB"/>
    <w:rsid w:val="4FE0B424"/>
    <w:rsid w:val="50AF777A"/>
    <w:rsid w:val="50B954FF"/>
    <w:rsid w:val="50EA36B2"/>
    <w:rsid w:val="511F37B5"/>
    <w:rsid w:val="511FEB2A"/>
    <w:rsid w:val="51271711"/>
    <w:rsid w:val="5148D3BD"/>
    <w:rsid w:val="5154A9C0"/>
    <w:rsid w:val="51780DBF"/>
    <w:rsid w:val="519E927E"/>
    <w:rsid w:val="51A6686D"/>
    <w:rsid w:val="51AA5DE4"/>
    <w:rsid w:val="51B80E0C"/>
    <w:rsid w:val="52025D3F"/>
    <w:rsid w:val="522F0BCE"/>
    <w:rsid w:val="524672DB"/>
    <w:rsid w:val="524D9058"/>
    <w:rsid w:val="525D05C2"/>
    <w:rsid w:val="52788AFF"/>
    <w:rsid w:val="528995FF"/>
    <w:rsid w:val="529C7FD2"/>
    <w:rsid w:val="52A18786"/>
    <w:rsid w:val="52B7BAB8"/>
    <w:rsid w:val="5309CDF5"/>
    <w:rsid w:val="531B6EB8"/>
    <w:rsid w:val="533E3E7F"/>
    <w:rsid w:val="53573C14"/>
    <w:rsid w:val="53CA76E0"/>
    <w:rsid w:val="53CB14D3"/>
    <w:rsid w:val="53D9EC4A"/>
    <w:rsid w:val="53F9465D"/>
    <w:rsid w:val="540FC7DE"/>
    <w:rsid w:val="5416C9BA"/>
    <w:rsid w:val="54505850"/>
    <w:rsid w:val="546B54AB"/>
    <w:rsid w:val="5490A4D9"/>
    <w:rsid w:val="549B5A3C"/>
    <w:rsid w:val="54B57DA9"/>
    <w:rsid w:val="54F59D01"/>
    <w:rsid w:val="54F7ED46"/>
    <w:rsid w:val="550F3D38"/>
    <w:rsid w:val="55A4EBB7"/>
    <w:rsid w:val="55D4409E"/>
    <w:rsid w:val="562D0EA7"/>
    <w:rsid w:val="567308C6"/>
    <w:rsid w:val="56CBFEA5"/>
    <w:rsid w:val="56E2BE8A"/>
    <w:rsid w:val="56E7D622"/>
    <w:rsid w:val="56F3DCBB"/>
    <w:rsid w:val="5711F733"/>
    <w:rsid w:val="575B2A68"/>
    <w:rsid w:val="575E7086"/>
    <w:rsid w:val="57AE095F"/>
    <w:rsid w:val="57DAE233"/>
    <w:rsid w:val="57E5BDF3"/>
    <w:rsid w:val="57E76245"/>
    <w:rsid w:val="583F6E8C"/>
    <w:rsid w:val="5896601F"/>
    <w:rsid w:val="58A1D5CA"/>
    <w:rsid w:val="58BDFD36"/>
    <w:rsid w:val="58FF9DBC"/>
    <w:rsid w:val="59584A61"/>
    <w:rsid w:val="5963BAFF"/>
    <w:rsid w:val="59691182"/>
    <w:rsid w:val="5999EE1B"/>
    <w:rsid w:val="5A378F44"/>
    <w:rsid w:val="5A4EAF2C"/>
    <w:rsid w:val="5A82A6D8"/>
    <w:rsid w:val="5A835761"/>
    <w:rsid w:val="5AA85E69"/>
    <w:rsid w:val="5ACCC1BD"/>
    <w:rsid w:val="5B11EB7D"/>
    <w:rsid w:val="5B4145E4"/>
    <w:rsid w:val="5B743F29"/>
    <w:rsid w:val="5BDBFEFD"/>
    <w:rsid w:val="5BF0BECE"/>
    <w:rsid w:val="5C7F503E"/>
    <w:rsid w:val="5CE3535F"/>
    <w:rsid w:val="5CE4A834"/>
    <w:rsid w:val="5CFA75BC"/>
    <w:rsid w:val="5D56D8AA"/>
    <w:rsid w:val="5D6712C4"/>
    <w:rsid w:val="5D9EBC4A"/>
    <w:rsid w:val="5DBCD142"/>
    <w:rsid w:val="5DC12E5F"/>
    <w:rsid w:val="5E1E30D8"/>
    <w:rsid w:val="5E287757"/>
    <w:rsid w:val="5E3AD592"/>
    <w:rsid w:val="5E6A7AA5"/>
    <w:rsid w:val="5EE5299F"/>
    <w:rsid w:val="5F2426D5"/>
    <w:rsid w:val="5F3E1449"/>
    <w:rsid w:val="5F67C796"/>
    <w:rsid w:val="5F93BF95"/>
    <w:rsid w:val="5F9ED5E2"/>
    <w:rsid w:val="5FAC4B87"/>
    <w:rsid w:val="5FB4F5C2"/>
    <w:rsid w:val="5FE29A19"/>
    <w:rsid w:val="5FE6F723"/>
    <w:rsid w:val="5FF3A995"/>
    <w:rsid w:val="60255B61"/>
    <w:rsid w:val="60402868"/>
    <w:rsid w:val="604BD7B6"/>
    <w:rsid w:val="6096EDE9"/>
    <w:rsid w:val="60C1BA9C"/>
    <w:rsid w:val="60CC0809"/>
    <w:rsid w:val="60D40DCD"/>
    <w:rsid w:val="60D6A5A1"/>
    <w:rsid w:val="60E1CAF0"/>
    <w:rsid w:val="60EB5B96"/>
    <w:rsid w:val="6112CEFD"/>
    <w:rsid w:val="614A41C4"/>
    <w:rsid w:val="61612873"/>
    <w:rsid w:val="6178CED7"/>
    <w:rsid w:val="617AB98F"/>
    <w:rsid w:val="61927D35"/>
    <w:rsid w:val="61BCD439"/>
    <w:rsid w:val="61DDEE15"/>
    <w:rsid w:val="6220DA50"/>
    <w:rsid w:val="6224957A"/>
    <w:rsid w:val="6235D123"/>
    <w:rsid w:val="62428606"/>
    <w:rsid w:val="6270C114"/>
    <w:rsid w:val="62AEE243"/>
    <w:rsid w:val="62C4340E"/>
    <w:rsid w:val="635E9A52"/>
    <w:rsid w:val="63BC7DED"/>
    <w:rsid w:val="63F01014"/>
    <w:rsid w:val="63FB62B5"/>
    <w:rsid w:val="641341ED"/>
    <w:rsid w:val="641EBF0F"/>
    <w:rsid w:val="64348DDC"/>
    <w:rsid w:val="64705EB9"/>
    <w:rsid w:val="64752FD8"/>
    <w:rsid w:val="6480C37F"/>
    <w:rsid w:val="649F1C8F"/>
    <w:rsid w:val="64A3AD74"/>
    <w:rsid w:val="64F144A0"/>
    <w:rsid w:val="651A0A91"/>
    <w:rsid w:val="65717FB3"/>
    <w:rsid w:val="6574B151"/>
    <w:rsid w:val="657ACCDC"/>
    <w:rsid w:val="65905A05"/>
    <w:rsid w:val="65A00FA9"/>
    <w:rsid w:val="65BFC3CB"/>
    <w:rsid w:val="65D17FEE"/>
    <w:rsid w:val="6622E36A"/>
    <w:rsid w:val="662512A6"/>
    <w:rsid w:val="6648A70E"/>
    <w:rsid w:val="66F7E635"/>
    <w:rsid w:val="6704FA22"/>
    <w:rsid w:val="673B7FD4"/>
    <w:rsid w:val="67A8626E"/>
    <w:rsid w:val="67B26A69"/>
    <w:rsid w:val="67CFD72B"/>
    <w:rsid w:val="67DF7117"/>
    <w:rsid w:val="67FD533E"/>
    <w:rsid w:val="68018FC4"/>
    <w:rsid w:val="685C4F0A"/>
    <w:rsid w:val="685F08F7"/>
    <w:rsid w:val="68695175"/>
    <w:rsid w:val="68899E01"/>
    <w:rsid w:val="689CF4AE"/>
    <w:rsid w:val="68B1D626"/>
    <w:rsid w:val="68B2B59F"/>
    <w:rsid w:val="68FE87CA"/>
    <w:rsid w:val="691A01C5"/>
    <w:rsid w:val="692238E9"/>
    <w:rsid w:val="692EEF07"/>
    <w:rsid w:val="69468C8F"/>
    <w:rsid w:val="697A7B38"/>
    <w:rsid w:val="69D4D2BD"/>
    <w:rsid w:val="6A09C5A8"/>
    <w:rsid w:val="6AD53685"/>
    <w:rsid w:val="6AD648CF"/>
    <w:rsid w:val="6ADD6661"/>
    <w:rsid w:val="6AED7164"/>
    <w:rsid w:val="6AFB743B"/>
    <w:rsid w:val="6B1F25A2"/>
    <w:rsid w:val="6B3226E1"/>
    <w:rsid w:val="6B38A3DB"/>
    <w:rsid w:val="6B5BAC6A"/>
    <w:rsid w:val="6BBD31A4"/>
    <w:rsid w:val="6BE53CFA"/>
    <w:rsid w:val="6BFE8905"/>
    <w:rsid w:val="6C49F01D"/>
    <w:rsid w:val="6C609098"/>
    <w:rsid w:val="6C74D789"/>
    <w:rsid w:val="6C96C8F6"/>
    <w:rsid w:val="6C9A8EBE"/>
    <w:rsid w:val="6CE5EF86"/>
    <w:rsid w:val="6CF2F879"/>
    <w:rsid w:val="6D119E04"/>
    <w:rsid w:val="6D233781"/>
    <w:rsid w:val="6D3DF375"/>
    <w:rsid w:val="6DDF3F98"/>
    <w:rsid w:val="6DE4A01D"/>
    <w:rsid w:val="6E385EF8"/>
    <w:rsid w:val="6E5136BE"/>
    <w:rsid w:val="6E57F177"/>
    <w:rsid w:val="6E58D1CE"/>
    <w:rsid w:val="6E7F46DC"/>
    <w:rsid w:val="6E8BEAB8"/>
    <w:rsid w:val="6EABD7DB"/>
    <w:rsid w:val="6ECDDB3C"/>
    <w:rsid w:val="6EE13222"/>
    <w:rsid w:val="6F095BA6"/>
    <w:rsid w:val="6F0B8573"/>
    <w:rsid w:val="6F4E5295"/>
    <w:rsid w:val="6F5F2F40"/>
    <w:rsid w:val="6FA11FC4"/>
    <w:rsid w:val="7014E7A9"/>
    <w:rsid w:val="701FDF16"/>
    <w:rsid w:val="70204BB5"/>
    <w:rsid w:val="7061FB80"/>
    <w:rsid w:val="70E13D6F"/>
    <w:rsid w:val="710D717F"/>
    <w:rsid w:val="711187FD"/>
    <w:rsid w:val="7118ADF1"/>
    <w:rsid w:val="7151AD38"/>
    <w:rsid w:val="71795E2E"/>
    <w:rsid w:val="717D2C4F"/>
    <w:rsid w:val="719F03DC"/>
    <w:rsid w:val="725D5803"/>
    <w:rsid w:val="72601912"/>
    <w:rsid w:val="72801E9E"/>
    <w:rsid w:val="7280C953"/>
    <w:rsid w:val="72AC3DD6"/>
    <w:rsid w:val="72BE058D"/>
    <w:rsid w:val="72CB06ED"/>
    <w:rsid w:val="7305A0DC"/>
    <w:rsid w:val="732E6227"/>
    <w:rsid w:val="736B0B5E"/>
    <w:rsid w:val="738EE7C1"/>
    <w:rsid w:val="73CDF98F"/>
    <w:rsid w:val="73D544E5"/>
    <w:rsid w:val="73EB0011"/>
    <w:rsid w:val="7462A1F2"/>
    <w:rsid w:val="7493B829"/>
    <w:rsid w:val="74B6F820"/>
    <w:rsid w:val="74BA6610"/>
    <w:rsid w:val="74CE901E"/>
    <w:rsid w:val="753A6122"/>
    <w:rsid w:val="753FA079"/>
    <w:rsid w:val="754C3FCD"/>
    <w:rsid w:val="75505625"/>
    <w:rsid w:val="755879C9"/>
    <w:rsid w:val="75886CA3"/>
    <w:rsid w:val="758FDAEF"/>
    <w:rsid w:val="75A34EEC"/>
    <w:rsid w:val="75D1C9B0"/>
    <w:rsid w:val="75D544B9"/>
    <w:rsid w:val="7647924F"/>
    <w:rsid w:val="765CC375"/>
    <w:rsid w:val="76A0A81A"/>
    <w:rsid w:val="76A298FB"/>
    <w:rsid w:val="76AB197C"/>
    <w:rsid w:val="76DF51A5"/>
    <w:rsid w:val="76E9CC93"/>
    <w:rsid w:val="76EE900B"/>
    <w:rsid w:val="76F1C106"/>
    <w:rsid w:val="771C8CE7"/>
    <w:rsid w:val="77273698"/>
    <w:rsid w:val="775EA03A"/>
    <w:rsid w:val="77E43438"/>
    <w:rsid w:val="781A4551"/>
    <w:rsid w:val="7822EC72"/>
    <w:rsid w:val="78355A85"/>
    <w:rsid w:val="7835880F"/>
    <w:rsid w:val="7891F841"/>
    <w:rsid w:val="78DE9669"/>
    <w:rsid w:val="7900F89D"/>
    <w:rsid w:val="7918F1E7"/>
    <w:rsid w:val="7933B249"/>
    <w:rsid w:val="793D4086"/>
    <w:rsid w:val="79538158"/>
    <w:rsid w:val="7969C58E"/>
    <w:rsid w:val="79A49857"/>
    <w:rsid w:val="79A4A753"/>
    <w:rsid w:val="7A1BDE19"/>
    <w:rsid w:val="7A5130F8"/>
    <w:rsid w:val="7AA1730F"/>
    <w:rsid w:val="7AB2D6CB"/>
    <w:rsid w:val="7ADCCEC3"/>
    <w:rsid w:val="7AF425B2"/>
    <w:rsid w:val="7B179D3C"/>
    <w:rsid w:val="7B1E8D90"/>
    <w:rsid w:val="7B437BF6"/>
    <w:rsid w:val="7B50B3AC"/>
    <w:rsid w:val="7B59F5BC"/>
    <w:rsid w:val="7B7D4167"/>
    <w:rsid w:val="7B7DDAC8"/>
    <w:rsid w:val="7BCA612E"/>
    <w:rsid w:val="7BD3A4E2"/>
    <w:rsid w:val="7C16119B"/>
    <w:rsid w:val="7C2417D8"/>
    <w:rsid w:val="7C323D9A"/>
    <w:rsid w:val="7C4F7C2B"/>
    <w:rsid w:val="7C51B3C3"/>
    <w:rsid w:val="7C5DD649"/>
    <w:rsid w:val="7C70B1C8"/>
    <w:rsid w:val="7C774248"/>
    <w:rsid w:val="7CC79442"/>
    <w:rsid w:val="7CEC3A68"/>
    <w:rsid w:val="7CEC7E4C"/>
    <w:rsid w:val="7D181C6F"/>
    <w:rsid w:val="7D1B6D91"/>
    <w:rsid w:val="7D298A1D"/>
    <w:rsid w:val="7D5457DB"/>
    <w:rsid w:val="7D858E5B"/>
    <w:rsid w:val="7D9BF728"/>
    <w:rsid w:val="7DB52129"/>
    <w:rsid w:val="7E3A2692"/>
    <w:rsid w:val="7E91A95A"/>
    <w:rsid w:val="7E935BEB"/>
    <w:rsid w:val="7E9A2922"/>
    <w:rsid w:val="7EB8E7B4"/>
    <w:rsid w:val="7ED2047E"/>
    <w:rsid w:val="7F1FDF34"/>
    <w:rsid w:val="7F2EF4DA"/>
    <w:rsid w:val="7F3896C1"/>
    <w:rsid w:val="7F44AF33"/>
    <w:rsid w:val="7FBBC0DE"/>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679DEC51"/>
  <w15:chartTrackingRefBased/>
  <w15:docId w15:val="{4D09252F-2707-42F0-96EC-6E7C49292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27C2C"/>
    <w:rPr>
      <w:rFonts w:ascii="Times New Roman" w:hAnsi="Times New Roman"/>
      <w:sz w:val="24"/>
    </w:rPr>
  </w:style>
  <w:style w:type="paragraph" w:styleId="Heading1">
    <w:name w:val="heading 1"/>
    <w:basedOn w:val="Normal"/>
    <w:next w:val="Normal"/>
    <w:link w:val="Heading1Char"/>
    <w:uiPriority w:val="9"/>
    <w:qFormat/>
    <w:rsid w:val="00DC16DA"/>
    <w:pPr>
      <w:autoSpaceDE w:val="0"/>
      <w:autoSpaceDN w:val="0"/>
      <w:adjustRightInd w:val="0"/>
      <w:spacing w:after="0" w:line="240" w:lineRule="auto"/>
      <w:outlineLvl w:val="0"/>
    </w:pPr>
    <w:rPr>
      <w:rFonts w:cs="Times New Roman"/>
      <w:b/>
      <w:szCs w:val="24"/>
    </w:rPr>
  </w:style>
  <w:style w:type="paragraph" w:styleId="Heading2">
    <w:name w:val="heading 2"/>
    <w:basedOn w:val="ListParagraph"/>
    <w:next w:val="Normal"/>
    <w:link w:val="Heading2Char"/>
    <w:uiPriority w:val="9"/>
    <w:unhideWhenUsed/>
    <w:qFormat/>
    <w:rsid w:val="00587D94"/>
    <w:pPr>
      <w:numPr>
        <w:numId w:val="2"/>
      </w:numPr>
      <w:autoSpaceDE w:val="0"/>
      <w:autoSpaceDN w:val="0"/>
      <w:adjustRightInd w:val="0"/>
      <w:spacing w:before="240" w:after="120" w:line="240" w:lineRule="auto"/>
      <w:ind w:left="720"/>
      <w:contextualSpacing w:val="0"/>
      <w:outlineLvl w:val="1"/>
    </w:pPr>
    <w:rPr>
      <w:rFonts w:cs="Times New Roman"/>
      <w:b/>
      <w:szCs w:val="24"/>
    </w:rPr>
  </w:style>
  <w:style w:type="paragraph" w:styleId="Heading3">
    <w:name w:val="heading 3"/>
    <w:basedOn w:val="Normal"/>
    <w:next w:val="Normal"/>
    <w:link w:val="Heading3Char"/>
    <w:uiPriority w:val="9"/>
    <w:unhideWhenUsed/>
    <w:qFormat/>
    <w:rsid w:val="00A23407"/>
    <w:pPr>
      <w:ind w:left="720"/>
      <w:contextualSpacing/>
      <w:outlineLvl w:val="2"/>
    </w:pPr>
    <w:rPr>
      <w:b/>
      <w:bCs/>
      <w:i/>
      <w:iCs/>
      <w:u w:val="single"/>
    </w:rPr>
  </w:style>
  <w:style w:type="paragraph" w:styleId="Heading4">
    <w:name w:val="heading 4"/>
    <w:basedOn w:val="Heading3"/>
    <w:next w:val="Normal"/>
    <w:link w:val="Heading4Char"/>
    <w:uiPriority w:val="9"/>
    <w:unhideWhenUsed/>
    <w:qFormat/>
    <w:rsid w:val="0024484C"/>
    <w:pPr>
      <w:ind w:left="1440"/>
      <w:outlineLvl w:val="3"/>
    </w:pPr>
    <w:rPr>
      <w:u w: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F27C2C"/>
    <w:pPr>
      <w:spacing w:after="0" w:line="240" w:lineRule="auto"/>
    </w:pPr>
    <w:rPr>
      <w:sz w:val="20"/>
      <w:szCs w:val="20"/>
    </w:rPr>
  </w:style>
  <w:style w:type="character" w:customStyle="1" w:styleId="FootnoteTextChar">
    <w:name w:val="Footnote Text Char"/>
    <w:basedOn w:val="DefaultParagraphFont"/>
    <w:link w:val="FootnoteText"/>
    <w:rsid w:val="00F27C2C"/>
    <w:rPr>
      <w:rFonts w:ascii="Times New Roman" w:hAnsi="Times New Roman"/>
      <w:sz w:val="20"/>
      <w:szCs w:val="20"/>
    </w:rPr>
  </w:style>
  <w:style w:type="character" w:styleId="FootnoteReference">
    <w:name w:val="footnote reference"/>
    <w:basedOn w:val="DefaultParagraphFont"/>
    <w:uiPriority w:val="99"/>
    <w:semiHidden/>
    <w:unhideWhenUsed/>
    <w:rsid w:val="00F27C2C"/>
    <w:rPr>
      <w:vertAlign w:val="superscript"/>
    </w:rPr>
  </w:style>
  <w:style w:type="paragraph" w:styleId="ListParagraph">
    <w:name w:val="List Paragraph"/>
    <w:aliases w:val="3,Bullet 1,Bullet Points,Colorful List - Accent 11,Dot pt,F5 List Paragraph,Indicator Text,Issue Action POC,List Paragraph Char Char Char,List Paragraph1,List Paragraph2,MAIN CONTENT,Normal numbered,Numbered Para 1,POCG Table Text"/>
    <w:basedOn w:val="Normal"/>
    <w:link w:val="ListParagraphChar"/>
    <w:uiPriority w:val="34"/>
    <w:qFormat/>
    <w:rsid w:val="000154D7"/>
    <w:pPr>
      <w:ind w:left="720"/>
      <w:contextualSpacing/>
    </w:pPr>
  </w:style>
  <w:style w:type="table" w:styleId="TableGrid">
    <w:name w:val="Table Grid"/>
    <w:aliases w:val="Standard Table Format"/>
    <w:basedOn w:val="TableNormal"/>
    <w:rsid w:val="006958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5840"/>
    <w:rPr>
      <w:color w:val="0000FF" w:themeColor="hyperlink"/>
      <w:u w:val="single"/>
    </w:rPr>
  </w:style>
  <w:style w:type="character" w:customStyle="1" w:styleId="UnresolvedMention1">
    <w:name w:val="Unresolved Mention1"/>
    <w:basedOn w:val="DefaultParagraphFont"/>
    <w:uiPriority w:val="99"/>
    <w:semiHidden/>
    <w:unhideWhenUsed/>
    <w:rsid w:val="00505840"/>
    <w:rPr>
      <w:color w:val="808080"/>
      <w:shd w:val="clear" w:color="auto" w:fill="E6E6E6"/>
    </w:rPr>
  </w:style>
  <w:style w:type="paragraph" w:customStyle="1" w:styleId="Default">
    <w:name w:val="Default"/>
    <w:rsid w:val="0086290E"/>
    <w:pPr>
      <w:autoSpaceDE w:val="0"/>
      <w:autoSpaceDN w:val="0"/>
      <w:adjustRightInd w:val="0"/>
      <w:spacing w:after="0" w:line="240" w:lineRule="auto"/>
    </w:pPr>
    <w:rPr>
      <w:rFonts w:ascii="Minion Pro Cond" w:hAnsi="Minion Pro Cond" w:cs="Minion Pro Cond"/>
      <w:color w:val="000000"/>
      <w:sz w:val="24"/>
      <w:szCs w:val="24"/>
    </w:rPr>
  </w:style>
  <w:style w:type="paragraph" w:customStyle="1" w:styleId="Pa5">
    <w:name w:val="Pa5"/>
    <w:basedOn w:val="Default"/>
    <w:next w:val="Default"/>
    <w:uiPriority w:val="99"/>
    <w:rsid w:val="0086290E"/>
    <w:pPr>
      <w:spacing w:line="181" w:lineRule="atLeast"/>
    </w:pPr>
    <w:rPr>
      <w:rFonts w:cstheme="minorBidi"/>
      <w:color w:val="auto"/>
    </w:rPr>
  </w:style>
  <w:style w:type="character" w:customStyle="1" w:styleId="ListParagraphChar">
    <w:name w:val="List Paragraph Char"/>
    <w:aliases w:val="3 Char,Bullet 1 Char,Colorful List - Accent 11 Char,Dot pt Char,F5 List Paragraph Char,Indicator Text Char,Issue Action POC Char,List Paragraph Char Char Char Char,List Paragraph1 Char,Numbered Para 1 Char,POCG Table Text Char"/>
    <w:basedOn w:val="DefaultParagraphFont"/>
    <w:link w:val="ListParagraph"/>
    <w:uiPriority w:val="34"/>
    <w:locked/>
    <w:rsid w:val="00434953"/>
    <w:rPr>
      <w:rFonts w:ascii="Times New Roman" w:hAnsi="Times New Roman"/>
      <w:sz w:val="24"/>
    </w:rPr>
  </w:style>
  <w:style w:type="character" w:customStyle="1" w:styleId="CommentReference">
    <w:name w:val="Comment Reference"/>
    <w:basedOn w:val="DefaultParagraphFont"/>
    <w:unhideWhenUsed/>
    <w:rsid w:val="00CF77CC"/>
    <w:rPr>
      <w:sz w:val="16"/>
      <w:szCs w:val="16"/>
    </w:rPr>
  </w:style>
  <w:style w:type="paragraph" w:customStyle="1" w:styleId="CommentText">
    <w:name w:val="Comment Text"/>
    <w:basedOn w:val="Normal"/>
    <w:link w:val="CommentTextChar"/>
    <w:uiPriority w:val="99"/>
    <w:unhideWhenUsed/>
    <w:rsid w:val="00CF77CC"/>
    <w:pPr>
      <w:spacing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rsid w:val="00CF77CC"/>
    <w:rPr>
      <w:sz w:val="20"/>
      <w:szCs w:val="20"/>
    </w:rPr>
  </w:style>
  <w:style w:type="paragraph" w:styleId="BalloonText">
    <w:name w:val="Balloon Text"/>
    <w:basedOn w:val="Normal"/>
    <w:link w:val="BalloonTextChar"/>
    <w:uiPriority w:val="99"/>
    <w:semiHidden/>
    <w:unhideWhenUsed/>
    <w:rsid w:val="00CF77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77CC"/>
    <w:rPr>
      <w:rFonts w:ascii="Segoe UI" w:hAnsi="Segoe UI" w:cs="Segoe UI"/>
      <w:sz w:val="18"/>
      <w:szCs w:val="18"/>
    </w:rPr>
  </w:style>
  <w:style w:type="paragraph" w:customStyle="1" w:styleId="Level1">
    <w:name w:val="Level 1"/>
    <w:basedOn w:val="Normal"/>
    <w:rsid w:val="003C50F6"/>
    <w:pPr>
      <w:widowControl w:val="0"/>
      <w:numPr>
        <w:numId w:val="14"/>
      </w:numPr>
      <w:autoSpaceDE w:val="0"/>
      <w:autoSpaceDN w:val="0"/>
      <w:adjustRightInd w:val="0"/>
      <w:spacing w:after="0" w:line="240" w:lineRule="auto"/>
      <w:outlineLvl w:val="0"/>
    </w:pPr>
    <w:rPr>
      <w:rFonts w:ascii="Courier" w:eastAsia="Times New Roman" w:hAnsi="Courier" w:cs="Times New Roman"/>
      <w:szCs w:val="24"/>
    </w:rPr>
  </w:style>
  <w:style w:type="paragraph" w:customStyle="1" w:styleId="CommentSubject">
    <w:name w:val="Comment Subject"/>
    <w:basedOn w:val="CommentText"/>
    <w:next w:val="CommentText"/>
    <w:link w:val="CommentSubjectChar"/>
    <w:uiPriority w:val="99"/>
    <w:semiHidden/>
    <w:unhideWhenUsed/>
    <w:rsid w:val="00BA7F9F"/>
    <w:rPr>
      <w:rFonts w:ascii="Times New Roman" w:hAnsi="Times New Roman"/>
      <w:b/>
      <w:bCs/>
    </w:rPr>
  </w:style>
  <w:style w:type="character" w:customStyle="1" w:styleId="CommentSubjectChar">
    <w:name w:val="Comment Subject Char"/>
    <w:basedOn w:val="CommentTextChar"/>
    <w:link w:val="CommentSubject"/>
    <w:uiPriority w:val="99"/>
    <w:semiHidden/>
    <w:rsid w:val="00BA7F9F"/>
    <w:rPr>
      <w:rFonts w:ascii="Times New Roman" w:hAnsi="Times New Roman"/>
      <w:b/>
      <w:bCs/>
      <w:sz w:val="20"/>
      <w:szCs w:val="20"/>
    </w:rPr>
  </w:style>
  <w:style w:type="paragraph" w:styleId="NormalWeb">
    <w:name w:val="Normal (Web)"/>
    <w:basedOn w:val="Normal"/>
    <w:uiPriority w:val="99"/>
    <w:semiHidden/>
    <w:unhideWhenUsed/>
    <w:rsid w:val="00204058"/>
    <w:pPr>
      <w:spacing w:before="100" w:beforeAutospacing="1" w:after="100" w:afterAutospacing="1" w:line="240" w:lineRule="auto"/>
    </w:pPr>
    <w:rPr>
      <w:rFonts w:eastAsia="Times New Roman" w:cs="Times New Roman"/>
      <w:szCs w:val="24"/>
    </w:rPr>
  </w:style>
  <w:style w:type="character" w:customStyle="1" w:styleId="UnresolvedMention2">
    <w:name w:val="Unresolved Mention2"/>
    <w:basedOn w:val="DefaultParagraphFont"/>
    <w:uiPriority w:val="99"/>
    <w:semiHidden/>
    <w:unhideWhenUsed/>
    <w:rsid w:val="00F11A8F"/>
    <w:rPr>
      <w:color w:val="808080"/>
      <w:shd w:val="clear" w:color="auto" w:fill="E6E6E6"/>
    </w:rPr>
  </w:style>
  <w:style w:type="character" w:styleId="FollowedHyperlink">
    <w:name w:val="FollowedHyperlink"/>
    <w:basedOn w:val="DefaultParagraphFont"/>
    <w:uiPriority w:val="99"/>
    <w:semiHidden/>
    <w:unhideWhenUsed/>
    <w:rsid w:val="00030606"/>
    <w:rPr>
      <w:color w:val="800080" w:themeColor="followedHyperlink"/>
      <w:u w:val="single"/>
    </w:rPr>
  </w:style>
  <w:style w:type="paragraph" w:styleId="Revision">
    <w:name w:val="Revision"/>
    <w:hidden/>
    <w:uiPriority w:val="99"/>
    <w:semiHidden/>
    <w:rsid w:val="00E0378D"/>
    <w:pPr>
      <w:spacing w:after="0" w:line="240" w:lineRule="auto"/>
    </w:pPr>
    <w:rPr>
      <w:rFonts w:ascii="Times New Roman" w:hAnsi="Times New Roman"/>
      <w:sz w:val="24"/>
    </w:rPr>
  </w:style>
  <w:style w:type="character" w:customStyle="1" w:styleId="UnresolvedMention3">
    <w:name w:val="Unresolved Mention3"/>
    <w:basedOn w:val="DefaultParagraphFont"/>
    <w:uiPriority w:val="99"/>
    <w:semiHidden/>
    <w:unhideWhenUsed/>
    <w:rsid w:val="00D10590"/>
    <w:rPr>
      <w:color w:val="808080"/>
      <w:shd w:val="clear" w:color="auto" w:fill="E6E6E6"/>
    </w:rPr>
  </w:style>
  <w:style w:type="paragraph" w:customStyle="1" w:styleId="psection-3">
    <w:name w:val="psection-3"/>
    <w:basedOn w:val="Normal"/>
    <w:rsid w:val="00E040CC"/>
    <w:pPr>
      <w:spacing w:before="100" w:beforeAutospacing="1" w:after="100" w:afterAutospacing="1" w:line="240" w:lineRule="auto"/>
    </w:pPr>
    <w:rPr>
      <w:rFonts w:eastAsia="Times New Roman" w:cs="Times New Roman"/>
      <w:szCs w:val="24"/>
    </w:rPr>
  </w:style>
  <w:style w:type="character" w:customStyle="1" w:styleId="enumxml">
    <w:name w:val="enumxml"/>
    <w:basedOn w:val="DefaultParagraphFont"/>
    <w:rsid w:val="00E040CC"/>
  </w:style>
  <w:style w:type="paragraph" w:styleId="Header">
    <w:name w:val="header"/>
    <w:basedOn w:val="Normal"/>
    <w:link w:val="HeaderChar"/>
    <w:uiPriority w:val="99"/>
    <w:unhideWhenUsed/>
    <w:rsid w:val="00AF79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91C"/>
    <w:rPr>
      <w:rFonts w:ascii="Times New Roman" w:hAnsi="Times New Roman"/>
      <w:sz w:val="24"/>
    </w:rPr>
  </w:style>
  <w:style w:type="paragraph" w:styleId="Footer">
    <w:name w:val="footer"/>
    <w:basedOn w:val="Normal"/>
    <w:link w:val="FooterChar"/>
    <w:uiPriority w:val="99"/>
    <w:unhideWhenUsed/>
    <w:rsid w:val="00AF79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91C"/>
    <w:rPr>
      <w:rFonts w:ascii="Times New Roman" w:hAnsi="Times New Roman"/>
      <w:sz w:val="24"/>
    </w:rPr>
  </w:style>
  <w:style w:type="character" w:styleId="UnresolvedMention">
    <w:name w:val="Unresolved Mention"/>
    <w:basedOn w:val="DefaultParagraphFont"/>
    <w:uiPriority w:val="99"/>
    <w:unhideWhenUsed/>
    <w:rsid w:val="00571D92"/>
    <w:rPr>
      <w:color w:val="605E5C"/>
      <w:shd w:val="clear" w:color="auto" w:fill="E1DFDD"/>
    </w:rPr>
  </w:style>
  <w:style w:type="character" w:customStyle="1" w:styleId="Heading1Char">
    <w:name w:val="Heading 1 Char"/>
    <w:basedOn w:val="DefaultParagraphFont"/>
    <w:link w:val="Heading1"/>
    <w:uiPriority w:val="9"/>
    <w:rsid w:val="00DC16DA"/>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587D94"/>
    <w:rPr>
      <w:rFonts w:ascii="Times New Roman" w:hAnsi="Times New Roman" w:cs="Times New Roman"/>
      <w:b/>
      <w:sz w:val="24"/>
      <w:szCs w:val="24"/>
    </w:rPr>
  </w:style>
  <w:style w:type="character" w:customStyle="1" w:styleId="Heading3Char">
    <w:name w:val="Heading 3 Char"/>
    <w:basedOn w:val="DefaultParagraphFont"/>
    <w:link w:val="Heading3"/>
    <w:uiPriority w:val="9"/>
    <w:rsid w:val="00A23407"/>
    <w:rPr>
      <w:rFonts w:ascii="Times New Roman" w:hAnsi="Times New Roman"/>
      <w:b/>
      <w:bCs/>
      <w:i/>
      <w:iCs/>
      <w:sz w:val="24"/>
      <w:u w:val="single"/>
    </w:rPr>
  </w:style>
  <w:style w:type="character" w:customStyle="1" w:styleId="Heading4Char">
    <w:name w:val="Heading 4 Char"/>
    <w:basedOn w:val="DefaultParagraphFont"/>
    <w:link w:val="Heading4"/>
    <w:uiPriority w:val="9"/>
    <w:rsid w:val="0024484C"/>
    <w:rPr>
      <w:rFonts w:ascii="Times New Roman" w:hAnsi="Times New Roman"/>
      <w:b/>
      <w:bCs/>
      <w:i/>
      <w:iCs/>
      <w:sz w:val="24"/>
    </w:rPr>
  </w:style>
  <w:style w:type="table" w:styleId="GridTable1Light">
    <w:name w:val="Grid Table 1 Light"/>
    <w:basedOn w:val="TableNormal"/>
    <w:uiPriority w:val="46"/>
    <w:rsid w:val="00CE43D5"/>
    <w:pPr>
      <w:spacing w:after="0" w:line="240" w:lineRule="auto"/>
    </w:pPr>
    <w:rPr>
      <w:rFonts w:ascii="Garamond" w:hAnsi="Garamond"/>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CE43D5"/>
    <w:pPr>
      <w:spacing w:line="240" w:lineRule="auto"/>
      <w:jc w:val="center"/>
    </w:pPr>
    <w:rPr>
      <w:b/>
      <w:bCs/>
      <w:color w:val="1F497D" w:themeColor="text2"/>
      <w:sz w:val="22"/>
    </w:rPr>
  </w:style>
  <w:style w:type="character" w:customStyle="1" w:styleId="ui-provider">
    <w:name w:val="ui-provider"/>
    <w:basedOn w:val="DefaultParagraphFont"/>
    <w:rsid w:val="00037060"/>
  </w:style>
  <w:style w:type="character" w:customStyle="1" w:styleId="normaltextrun">
    <w:name w:val="normaltextrun"/>
    <w:basedOn w:val="DefaultParagraphFont"/>
    <w:rsid w:val="0031544D"/>
  </w:style>
  <w:style w:type="character" w:styleId="Mention">
    <w:name w:val="Mention"/>
    <w:basedOn w:val="DefaultParagraphFont"/>
    <w:uiPriority w:val="99"/>
    <w:unhideWhenUsed/>
    <w:rsid w:val="00F374AA"/>
    <w:rPr>
      <w:color w:val="2B579A"/>
      <w:shd w:val="clear" w:color="auto" w:fill="E1DFDD"/>
    </w:rPr>
  </w:style>
  <w:style w:type="paragraph" w:styleId="NoSpacing">
    <w:name w:val="No Spacing"/>
    <w:uiPriority w:val="1"/>
    <w:qFormat/>
    <w:rsid w:val="00A40E1B"/>
    <w:pPr>
      <w:spacing w:after="0" w:line="240" w:lineRule="auto"/>
    </w:pPr>
    <w:rPr>
      <w:rFonts w:ascii="Times New Roman" w:hAnsi="Times New Roman"/>
      <w:sz w:val="24"/>
    </w:rPr>
  </w:style>
  <w:style w:type="paragraph" w:styleId="BodyText">
    <w:name w:val="Body Text"/>
    <w:basedOn w:val="Normal"/>
    <w:link w:val="BodyTextChar"/>
    <w:uiPriority w:val="1"/>
    <w:qFormat/>
    <w:rsid w:val="00BE2D00"/>
    <w:pPr>
      <w:spacing w:before="240" w:after="240"/>
    </w:pPr>
    <w:rPr>
      <w:rFonts w:eastAsia="Times New Roman" w:cs="Times New Roman"/>
      <w:szCs w:val="24"/>
    </w:rPr>
  </w:style>
  <w:style w:type="character" w:customStyle="1" w:styleId="BodyTextChar">
    <w:name w:val="Body Text Char"/>
    <w:basedOn w:val="DefaultParagraphFont"/>
    <w:link w:val="BodyText"/>
    <w:uiPriority w:val="1"/>
    <w:rsid w:val="00BE2D0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transportation.gov/individuals/privacy/crash-data-acquisition-network-cdan-pia"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bls.gov/news.release/ecec.t01.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05183C8A50CA042B4D7920FD5549178" ma:contentTypeVersion="27" ma:contentTypeDescription="Create a new document." ma:contentTypeScope="" ma:versionID="02f2f1c6380a1cdd2577f1bec49ec5e5">
  <xsd:schema xmlns:xsd="http://www.w3.org/2001/XMLSchema" xmlns:xs="http://www.w3.org/2001/XMLSchema" xmlns:p="http://schemas.microsoft.com/office/2006/metadata/properties" xmlns:ns2="1ac5ed15-5880-47ea-98aa-1a566e611521" xmlns:ns3="6efcf75a-685b-4aea-b5ec-a82ffbb88524" targetNamespace="http://schemas.microsoft.com/office/2006/metadata/properties" ma:root="true" ma:fieldsID="934a589f194df32c4b5cf7d1d49c0e99" ns2:_="" ns3:_="">
    <xsd:import namespace="1ac5ed15-5880-47ea-98aa-1a566e611521"/>
    <xsd:import namespace="6efcf75a-685b-4aea-b5ec-a82ffbb88524"/>
    <xsd:element name="properties">
      <xsd:complexType>
        <xsd:sequence>
          <xsd:element name="documentManagement">
            <xsd:complexType>
              <xsd:all>
                <xsd:element ref="ns2:MediaServiceMetadata" minOccurs="0"/>
                <xsd:element ref="ns2:MediaServiceFastMetadata" minOccurs="0"/>
                <xsd:element ref="ns2:Status" minOccurs="0"/>
                <xsd:element ref="ns3:SharedWithUsers" minOccurs="0"/>
                <xsd:element ref="ns3:SharedWithDetails" minOccurs="0"/>
                <xsd:element ref="ns3:TaxCatchAll"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2:MediaServiceObjectDetectorVersions" minOccurs="0"/>
                <xsd:element ref="ns2:Requester" minOccurs="0"/>
                <xsd:element ref="ns2:MediaServiceSearchProperties" minOccurs="0"/>
                <xsd:element ref="ns2:MediaLengthInSeconds" minOccurs="0"/>
                <xsd:element ref="ns2:MediaServiceLocation" minOccurs="0"/>
                <xsd:element ref="ns2:ActiveContract_x003f_" minOccurs="0"/>
                <xsd:element ref="ns2:IAADocs" minOccurs="0"/>
                <xsd:element ref="ns2:Required_x003f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c5ed15-5880-47ea-98aa-1a566e6115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Status" ma:index="10" nillable="true" ma:displayName="Status" ma:format="Dropdown" ma:internalName="Status">
      <xsd:simpleType>
        <xsd:restriction base="dms:Choice">
          <xsd:enumeration value="Completed"/>
          <xsd:enumeration value="In Process - Need Signatures"/>
          <xsd:enumeration value="Pending - Incompleted"/>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aa446fb-c4e7-47d1-9e02-aae3431be3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Requester" ma:index="21" nillable="true" ma:displayName="Requester" ma:format="Dropdown" ma:internalName="Requester">
      <xsd:simpleType>
        <xsd:restriction base="dms:Text">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description="" ma:indexed="true" ma:internalName="MediaServiceLocation" ma:readOnly="true">
      <xsd:simpleType>
        <xsd:restriction base="dms:Text"/>
      </xsd:simpleType>
    </xsd:element>
    <xsd:element name="ActiveContract_x003f_" ma:index="25" nillable="true" ma:displayName="Active Contract?" ma:default="0" ma:description="This column identifies if the contract or Task order are active or not." ma:format="Dropdown" ma:internalName="ActiveContract_x003f_">
      <xsd:simpleType>
        <xsd:restriction base="dms:Text">
          <xsd:maxLength value="255"/>
        </xsd:restriction>
      </xsd:simpleType>
    </xsd:element>
    <xsd:element name="IAADocs" ma:index="26" nillable="true" ma:displayName="IAA Docs" ma:description="This tasks identify the require documentation for a new IAA Task Order. " ma:format="Dropdown" ma:internalName="IAADocs">
      <xsd:simpleType>
        <xsd:union memberTypes="dms:Text">
          <xsd:simpleType>
            <xsd:restriction base="dms:Choice">
              <xsd:enumeration value="Required"/>
              <xsd:enumeration value="Optional"/>
            </xsd:restriction>
          </xsd:simpleType>
        </xsd:union>
      </xsd:simpleType>
    </xsd:element>
    <xsd:element name="Required_x003f_" ma:index="27" nillable="true" ma:displayName="Required?" ma:format="Dropdown" ma:internalName="Required_x003f_">
      <xsd:simpleType>
        <xsd:restriction base="dms:Choice">
          <xsd:enumeration value="Required"/>
          <xsd:enumeration value="Optional"/>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fcf75a-685b-4aea-b5ec-a82ffbb8852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3" nillable="true" ma:displayName="Taxonomy Catch All Column" ma:hidden="true" ma:list="{9b155d90-0e9d-4ab6-90e3-fd32a0d4d144}" ma:internalName="TaxCatchAll" ma:showField="CatchAllData" ma:web="6efcf75a-685b-4aea-b5ec-a82ffbb885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efcf75a-685b-4aea-b5ec-a82ffbb88524" xsi:nil="true"/>
    <lcf76f155ced4ddcb4097134ff3c332f xmlns="1ac5ed15-5880-47ea-98aa-1a566e611521">
      <Terms xmlns="http://schemas.microsoft.com/office/infopath/2007/PartnerControls"/>
    </lcf76f155ced4ddcb4097134ff3c332f>
    <Requester xmlns="1ac5ed15-5880-47ea-98aa-1a566e611521" xsi:nil="true"/>
    <ActiveContract_x003f_ xmlns="1ac5ed15-5880-47ea-98aa-1a566e611521">0</ActiveContract_x003f_>
    <Status xmlns="1ac5ed15-5880-47ea-98aa-1a566e611521" xsi:nil="true"/>
    <IAADocs xmlns="1ac5ed15-5880-47ea-98aa-1a566e611521" xsi:nil="true"/>
    <Required_x003f_ xmlns="1ac5ed15-5880-47ea-98aa-1a566e611521" xsi:nil="true"/>
  </documentManagement>
</p:properties>
</file>

<file path=customXml/itemProps1.xml><?xml version="1.0" encoding="utf-8"?>
<ds:datastoreItem xmlns:ds="http://schemas.openxmlformats.org/officeDocument/2006/customXml" ds:itemID="{936B243A-86A7-4331-B045-6F7AF76404ED}">
  <ds:schemaRefs>
    <ds:schemaRef ds:uri="http://schemas.openxmlformats.org/officeDocument/2006/bibliography"/>
  </ds:schemaRefs>
</ds:datastoreItem>
</file>

<file path=customXml/itemProps2.xml><?xml version="1.0" encoding="utf-8"?>
<ds:datastoreItem xmlns:ds="http://schemas.openxmlformats.org/officeDocument/2006/customXml" ds:itemID="{F14577B6-A18B-4D8B-B8A6-A8A377121E9C}">
  <ds:schemaRefs>
    <ds:schemaRef ds:uri="http://schemas.microsoft.com/sharepoint/v3/contenttype/forms"/>
  </ds:schemaRefs>
</ds:datastoreItem>
</file>

<file path=customXml/itemProps3.xml><?xml version="1.0" encoding="utf-8"?>
<ds:datastoreItem xmlns:ds="http://schemas.openxmlformats.org/officeDocument/2006/customXml" ds:itemID="{712D1DE7-0BAE-4953-B7FA-EAA235CD47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c5ed15-5880-47ea-98aa-1a566e611521"/>
    <ds:schemaRef ds:uri="6efcf75a-685b-4aea-b5ec-a82ffbb885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0B06FE-F5B4-4409-94B8-B873516E28FE}">
  <ds:schemaRefs>
    <ds:schemaRef ds:uri="http://schemas.microsoft.com/office/2006/metadata/properties"/>
    <ds:schemaRef ds:uri="http://schemas.microsoft.com/office/infopath/2007/PartnerControls"/>
    <ds:schemaRef ds:uri="6efcf75a-685b-4aea-b5ec-a82ffbb88524"/>
    <ds:schemaRef ds:uri="1ac5ed15-5880-47ea-98aa-1a566e61152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 Part A for ES Coord. (10/1)</dc:title>
  <dc:creator>Roach, Callie (NHTSA)</dc:creator>
  <cp:lastModifiedBy>Zhao, Lixin (NHTSA)</cp:lastModifiedBy>
  <cp:revision>10</cp:revision>
  <cp:lastPrinted>2026-05-29T15:23:00Z</cp:lastPrinted>
  <dcterms:created xsi:type="dcterms:W3CDTF">2026-09-24T16:33:00Z</dcterms:created>
  <dcterms:modified xsi:type="dcterms:W3CDTF">2026-10-30T11:38:49Z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0x010100105183C8A50CA042B4D7920FD5549178</vt:lpwstr>
  </property>
  <property fmtid="{D5CDD505-2E9C-101B-9397-08002B2CF9AE}" pid="3" name="docLang">
    <vt:lpwstr>en</vt:lpwstr>
  </property>
  <property fmtid="{D5CDD505-2E9C-101B-9397-08002B2CF9AE}" pid="4" name="MediaServiceImageTags">
    <vt:lpwstr/>
  </property>
</Properties>
</file>