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39C2" w:rsidP="003734C1" w14:paraId="5031E236" w14:textId="0BE4B1F7">
      <w:pPr>
        <w:spacing w:after="0" w:line="240" w:lineRule="auto"/>
        <w:jc w:val="center"/>
        <w:rPr>
          <w:rFonts w:eastAsia="Calibri" w:cs="Times New Roman"/>
          <w:b/>
          <w:szCs w:val="24"/>
        </w:rPr>
      </w:pPr>
      <w:r>
        <w:rPr>
          <w:rFonts w:eastAsia="Calibri" w:cs="Times New Roman"/>
          <w:b/>
          <w:szCs w:val="24"/>
        </w:rPr>
        <w:t>Department of Transportation</w:t>
      </w:r>
    </w:p>
    <w:p w:rsidR="002939C2" w:rsidP="00F27C2C" w14:paraId="45249A2B" w14:textId="0687A27C">
      <w:pPr>
        <w:spacing w:after="0" w:line="240" w:lineRule="auto"/>
        <w:jc w:val="center"/>
        <w:rPr>
          <w:rFonts w:eastAsia="Calibri" w:cs="Times New Roman"/>
          <w:b/>
          <w:szCs w:val="24"/>
        </w:rPr>
      </w:pPr>
      <w:r>
        <w:rPr>
          <w:rFonts w:eastAsia="Calibri" w:cs="Times New Roman"/>
          <w:b/>
          <w:szCs w:val="24"/>
        </w:rPr>
        <w:t>National Highway Traffic Safety Administration</w:t>
      </w:r>
    </w:p>
    <w:p w:rsidR="00F27C2C" w:rsidRPr="003E0A5C" w:rsidP="00F27C2C" w14:paraId="620B2871" w14:textId="4BE5F69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66865823">
      <w:pPr>
        <w:spacing w:after="0" w:line="240" w:lineRule="auto"/>
        <w:jc w:val="center"/>
        <w:rPr>
          <w:b/>
        </w:rPr>
      </w:pPr>
      <w:r w:rsidRPr="00801AED">
        <w:rPr>
          <w:rFonts w:eastAsia="Calibri" w:cs="Times New Roman"/>
          <w:b/>
          <w:szCs w:val="24"/>
        </w:rPr>
        <w:t>Drive-Mode Design Best Practices</w:t>
      </w:r>
    </w:p>
    <w:p w:rsidR="00F27C2C" w:rsidRPr="007F27B2" w:rsidP="00F27C2C" w14:paraId="722013CC" w14:textId="76EAE57D">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3734C1">
        <w:rPr>
          <w:rFonts w:eastAsia="Calibri" w:cs="Times New Roman"/>
          <w:b/>
          <w:szCs w:val="24"/>
        </w:rPr>
        <w:t>NEW</w:t>
      </w:r>
    </w:p>
    <w:p w:rsidR="00F27C2C" w:rsidP="00F27C2C" w14:paraId="53A46501" w14:textId="77777777">
      <w:pPr>
        <w:autoSpaceDE w:val="0"/>
        <w:autoSpaceDN w:val="0"/>
        <w:adjustRightInd w:val="0"/>
        <w:spacing w:after="0" w:line="240" w:lineRule="auto"/>
        <w:rPr>
          <w:rFonts w:cs="Times New Roman"/>
          <w:szCs w:val="24"/>
        </w:rPr>
      </w:pPr>
    </w:p>
    <w:p w:rsidR="001A4BFA" w:rsidRPr="00FE6EC7" w:rsidP="00FE6EC7" w14:paraId="45ADC451" w14:textId="30642C4F">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0"/>
      <w:bookmarkEnd w:id="1"/>
    </w:p>
    <w:p w:rsidR="000A650D" w:rsidP="000A650D" w14:paraId="4654ED61" w14:textId="77777777">
      <w:pPr>
        <w:autoSpaceDE w:val="0"/>
        <w:autoSpaceDN w:val="0"/>
        <w:adjustRightInd w:val="0"/>
        <w:spacing w:after="0" w:line="240" w:lineRule="auto"/>
        <w:rPr>
          <w:rFonts w:cs="Times New Roman"/>
          <w:b/>
          <w:szCs w:val="24"/>
        </w:rPr>
      </w:pPr>
    </w:p>
    <w:p w:rsidR="005A5485" w:rsidP="005A5485" w14:paraId="04D2B5F2" w14:textId="5FE657F1">
      <w:pPr>
        <w:autoSpaceDE w:val="0"/>
        <w:autoSpaceDN w:val="0"/>
        <w:adjustRightInd w:val="0"/>
        <w:spacing w:after="0" w:line="240" w:lineRule="auto"/>
      </w:pPr>
      <w:r>
        <w:t xml:space="preserve">This information collection request (ICR) is to request approval to conduct </w:t>
      </w:r>
      <w:r w:rsidR="00D460D4">
        <w:t>three</w:t>
      </w:r>
      <w:r>
        <w:t xml:space="preserve"> new voluntary information collections as part of a one-time research study to generate evidence-based best practices for the design of future drive mode applications and functionalities for mobile phones operating independently of in-vehicle systems. The National Highway Traffic Safety Administration (NHTSA) of the U.S. Department of Transportation is seeking to conduct the research study. The research team will contact up to an estimated 300 potential research participants who will complete the </w:t>
      </w:r>
      <w:r w:rsidR="2D8A4C7B">
        <w:t>s</w:t>
      </w:r>
      <w:r w:rsidR="00CF2628">
        <w:t>creening</w:t>
      </w:r>
      <w:r>
        <w:t xml:space="preserve"> questionnaire, to identify up to 96 participants who will be eligible for participation and complete the remaining information collections. The estimate of 96 participants accounts for potential attrition and replacements to ensure that both experimental drive procedures include 36 participants with complete data. This ICR includes the following information collections: (1) </w:t>
      </w:r>
      <w:r w:rsidR="0B8A803C">
        <w:t>s</w:t>
      </w:r>
      <w:r w:rsidR="00CF2628">
        <w:t>creening</w:t>
      </w:r>
      <w:r>
        <w:t xml:space="preserve"> questionnaire; (2) informed consent form; </w:t>
      </w:r>
      <w:r w:rsidR="0030493C">
        <w:t xml:space="preserve">and </w:t>
      </w:r>
      <w:r>
        <w:t>(3) study drive. The selected participants will be trained on the study dr</w:t>
      </w:r>
      <w:r>
        <w:t>ive procedures</w:t>
      </w:r>
      <w:r w:rsidRPr="6808A7E3">
        <w:rPr>
          <w:rFonts w:cs="Times New Roman"/>
        </w:rPr>
        <w:t xml:space="preserve">, </w:t>
      </w:r>
      <w:r>
        <w:t xml:space="preserve">followed by the in-study drive on either Exponent’s test track (test track experimental drive) or handling pad (cones course experimental drive). The </w:t>
      </w:r>
      <w:r>
        <w:t>information collections</w:t>
      </w:r>
      <w:r>
        <w:t xml:space="preserve"> noted above </w:t>
      </w:r>
      <w:r w:rsidR="74D94A3F">
        <w:t xml:space="preserve">as well as </w:t>
      </w:r>
      <w:r>
        <w:t>the full study will only be completed once. During each study drive</w:t>
      </w:r>
      <w:r w:rsidR="3589FD65">
        <w:t>,</w:t>
      </w:r>
      <w:r>
        <w:t xml:space="preserve"> participants will perform tasks on a mobile phone as instructed by the experimenter and the experimenter will record data on their performance experience. Participants’ driving data will be collected by the study-provided vehicle and using GoPro cameras. Participant</w:t>
      </w:r>
      <w:r w:rsidR="4FD81618">
        <w:t>s’</w:t>
      </w:r>
      <w:r>
        <w:t xml:space="preserve"> eye movement data will be collected using the Ergoneers Dikablis Glasses X eye-tracking system, which will record insights into visual attention and scanning patterns during task performance. This project involves approval by an institutional</w:t>
      </w:r>
      <w:r>
        <w:t xml:space="preserve"> review board (IRB), which the contractor has obtained. This collection will be used to examine how different drive mode implementations affect driver attention and performance compared to standard interfaces. The results from this collection will support </w:t>
      </w:r>
      <w:r w:rsidRPr="6808A7E3">
        <w:rPr>
          <w:rFonts w:cs="Times New Roman"/>
        </w:rPr>
        <w:t>NHTSA’s objective of developing evidence-based best practices for designing future drive mode features on mobile phones that operate independently of in-vehicle systems</w:t>
      </w:r>
      <w:r>
        <w:t>. NHTSA will use the information to produce a technical report that will provide summary</w:t>
      </w:r>
      <w:r>
        <w:t xml:space="preserve"> figures</w:t>
      </w:r>
      <w:r w:rsidR="060AC299">
        <w:t xml:space="preserve">, </w:t>
      </w:r>
      <w:r>
        <w:t xml:space="preserve">tables, </w:t>
      </w:r>
      <w:r w:rsidR="1B4C05D6">
        <w:t>and</w:t>
      </w:r>
      <w:r>
        <w:t xml:space="preserve"> the results of data analysis of the information. No identifying information or individual responses will be reported. The technical report will be made available to the public through the NHTSA</w:t>
      </w:r>
      <w:r w:rsidR="4FA5D49F">
        <w:t>’s</w:t>
      </w:r>
      <w:r>
        <w:t xml:space="preserve"> website and the National Transportation Library.</w:t>
      </w:r>
    </w:p>
    <w:p w:rsidR="00FE6EC7" w:rsidP="000A650D" w14:paraId="26DBE1B0" w14:textId="77777777">
      <w:pPr>
        <w:autoSpaceDE w:val="0"/>
        <w:autoSpaceDN w:val="0"/>
        <w:adjustRightInd w:val="0"/>
        <w:spacing w:after="0" w:line="240" w:lineRule="auto"/>
        <w:rPr>
          <w:rFonts w:cs="Times New Roman"/>
          <w:b/>
          <w:szCs w:val="24"/>
        </w:rPr>
      </w:pPr>
    </w:p>
    <w:p w:rsidR="000154D7" w:rsidRPr="005271A9" w:rsidP="005271A9" w14:paraId="43238059"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14:paraId="43FFB591" w14:textId="77777777"/>
    <w:p w:rsidR="000154D7" w:rsidRPr="005271A9" w:rsidP="007A7BB5" w14:paraId="43E55058" w14:textId="2493DBD6">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2"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bookmarkEnd w:id="2"/>
    <w:p w:rsidR="005F359C" w:rsidRPr="006C0118" w:rsidP="00BD247F" w14:paraId="31F7A2EF" w14:textId="77777777">
      <w:pPr>
        <w:pStyle w:val="Heading3"/>
        <w:numPr>
          <w:ilvl w:val="0"/>
          <w:numId w:val="9"/>
        </w:numPr>
        <w:tabs>
          <w:tab w:val="num" w:pos="360"/>
        </w:tabs>
        <w:spacing w:before="0"/>
        <w:ind w:left="0" w:firstLine="360"/>
        <w:rPr>
          <w:rFonts w:ascii="Times New Roman" w:hAnsi="Times New Roman" w:cs="Times New Roman"/>
          <w:b/>
          <w:bCs/>
          <w:i/>
          <w:iCs/>
          <w:color w:val="auto"/>
        </w:rPr>
      </w:pPr>
      <w:r w:rsidRPr="00532E09">
        <w:rPr>
          <w:rFonts w:ascii="Times New Roman" w:hAnsi="Times New Roman" w:cs="Times New Roman"/>
          <w:b/>
          <w:bCs/>
          <w:i/>
          <w:iCs/>
          <w:color w:val="auto"/>
        </w:rPr>
        <w:t>Circumstances making the collection necessary</w:t>
      </w:r>
    </w:p>
    <w:p w:rsidR="003E3089" w:rsidP="003E3089" w14:paraId="4F7017F7" w14:textId="403B8925">
      <w:pPr>
        <w:pStyle w:val="BodyText"/>
        <w:spacing w:before="240"/>
        <w:ind w:left="720"/>
      </w:pPr>
      <w:r>
        <w:t>NHTSA’s mission is to s</w:t>
      </w:r>
      <w:r w:rsidRPr="00644222">
        <w:t>ave lives, prevent injuries</w:t>
      </w:r>
      <w:r>
        <w:t>,</w:t>
      </w:r>
      <w:r w:rsidRPr="00644222">
        <w:t xml:space="preserve"> and reduce economic costs due to road traffic crashes, through education, research, safety standards and enforcement activity.</w:t>
      </w:r>
      <w:r w:rsidR="009F2ED9">
        <w:t xml:space="preserve"> </w:t>
      </w:r>
      <w:bookmarkStart w:id="3" w:name="_Hlk210817800"/>
      <w:r>
        <w:t>Driver distraction remains a significant safety threat, claiming thousands of lives annually</w:t>
      </w:r>
      <w:bookmarkEnd w:id="3"/>
      <w:r>
        <w:t>, according to the latest data from the National Highway Traffic Safety Administration (NHTSA).</w:t>
      </w:r>
      <w:r>
        <w:rPr>
          <w:rStyle w:val="FootnoteReference"/>
        </w:rPr>
        <w:footnoteReference w:id="4"/>
      </w:r>
      <w:r>
        <w:t xml:space="preserve"> </w:t>
      </w:r>
      <w:r w:rsidRPr="00857654" w:rsidR="001035A5">
        <w:rPr>
          <w:rFonts w:eastAsia="Times New Roman"/>
          <w:bCs/>
          <w:iCs/>
          <w:color w:val="000000"/>
          <w:szCs w:val="24"/>
        </w:rPr>
        <w:t>NHTSA has implemented a multi-faceted approach to combat this issue, including public awareness campaigns like “Put the Phone Away or Pay,” increased law enforcement visibility</w:t>
      </w:r>
      <w:r>
        <w:rPr>
          <w:rStyle w:val="FootnoteReference"/>
          <w:rFonts w:eastAsia="Times New Roman"/>
          <w:bCs/>
          <w:iCs/>
          <w:color w:val="000000"/>
          <w:szCs w:val="24"/>
        </w:rPr>
        <w:footnoteReference w:id="5"/>
      </w:r>
      <w:r w:rsidRPr="00857654" w:rsidR="001035A5">
        <w:rPr>
          <w:rFonts w:eastAsia="Times New Roman"/>
          <w:bCs/>
          <w:iCs/>
          <w:color w:val="000000"/>
          <w:szCs w:val="24"/>
        </w:rPr>
        <w:t>, and the development of Driver Distraction Guidelines for in-vehicle electronic device design.</w:t>
      </w:r>
      <w:r>
        <w:rPr>
          <w:rStyle w:val="FootnoteReference"/>
          <w:rFonts w:eastAsia="Times New Roman"/>
          <w:bCs/>
          <w:iCs/>
          <w:color w:val="000000"/>
          <w:szCs w:val="24"/>
        </w:rPr>
        <w:footnoteReference w:id="6"/>
      </w:r>
      <w:r w:rsidR="001035A5">
        <w:rPr>
          <w:rFonts w:eastAsia="Times New Roman"/>
          <w:bCs/>
          <w:iCs/>
          <w:color w:val="000000"/>
          <w:szCs w:val="24"/>
        </w:rPr>
        <w:t xml:space="preserve"> </w:t>
      </w:r>
      <w:r>
        <w:t xml:space="preserve">A key focus of the NHTSA Distraction Guidelines has been addressing </w:t>
      </w:r>
      <w:bookmarkStart w:id="4" w:name="_Hlk210817877"/>
      <w:r>
        <w:t>visual-manual distractions, which are a major safety concern with in-vehicle systems</w:t>
      </w:r>
      <w:bookmarkEnd w:id="4"/>
      <w:r>
        <w:t>.</w:t>
      </w:r>
      <w:r>
        <w:rPr>
          <w:rStyle w:val="FootnoteReference"/>
        </w:rPr>
        <w:footnoteReference w:id="7"/>
      </w:r>
      <w:r>
        <w:t xml:space="preserve"> The guidelines established test protocols and acceptance criteria for measuring this type of distraction.</w:t>
      </w:r>
      <w:r>
        <w:rPr>
          <w:rStyle w:val="FootnoteReference"/>
        </w:rPr>
        <w:footnoteReference w:id="8"/>
      </w:r>
      <w:r>
        <w:t xml:space="preserve"> In 2016, NHTSA proposed expanding these guidelines to include portable and aftermarket devices.</w:t>
      </w:r>
      <w:r>
        <w:rPr>
          <w:rStyle w:val="FootnoteReference"/>
        </w:rPr>
        <w:footnoteReference w:id="9"/>
      </w:r>
      <w:r>
        <w:t xml:space="preserve"> This proposal advocated for pairing smartphones with vehicle systems, contributing to the widespread adoption of platforms like Apple CarPlay and Android Auto. </w:t>
      </w:r>
      <w:bookmarkStart w:id="5" w:name="_Hlk210817973"/>
      <w:r>
        <w:t>NHTSA also promoted “drive mode” for unpaired mobile phones, defining it as a simplified user interface designed for safe driving.</w:t>
      </w:r>
      <w:r>
        <w:rPr>
          <w:rStyle w:val="FootnoteReference"/>
        </w:rPr>
        <w:footnoteReference w:id="10"/>
      </w:r>
    </w:p>
    <w:bookmarkEnd w:id="5"/>
    <w:p w:rsidR="005F359C" w:rsidRPr="00C40A1D" w:rsidP="003E3089" w14:paraId="4EE605AF" w14:textId="29A52117">
      <w:pPr>
        <w:pStyle w:val="BodyText"/>
        <w:spacing w:before="240" w:after="200"/>
        <w:ind w:left="720"/>
      </w:pPr>
      <w:r>
        <w:t xml:space="preserve">Drive mode limits phone functionality and simplifies the human-machine interface </w:t>
      </w:r>
      <w:r>
        <w:t xml:space="preserve">(HMI). </w:t>
      </w:r>
      <w:bookmarkStart w:id="6" w:name="_Hlk210817728"/>
      <w:r w:rsidR="008750AC">
        <w:t xml:space="preserve">The purpose of this study is </w:t>
      </w:r>
      <w:bookmarkStart w:id="7" w:name="_Hlk210818063"/>
      <w:r w:rsidR="008750AC">
        <w:t>to investigate how drive mode implementations impact driver attention and performance as compared to their standard interfaces. NHTSA’s goal for t</w:t>
      </w:r>
      <w:r w:rsidRPr="00963FA0" w:rsidR="008750AC">
        <w:rPr>
          <w:rFonts w:eastAsia="Calibri"/>
        </w:rPr>
        <w:t xml:space="preserve">he resulting data </w:t>
      </w:r>
      <w:r w:rsidR="008750AC">
        <w:rPr>
          <w:rFonts w:eastAsia="Calibri"/>
        </w:rPr>
        <w:t>is</w:t>
      </w:r>
      <w:r w:rsidRPr="00963FA0" w:rsidR="008750AC">
        <w:rPr>
          <w:rFonts w:eastAsia="Calibri"/>
        </w:rPr>
        <w:t xml:space="preserve"> to generate evidence-based best practices for the design of future drive mode applications and functionalities for mobile phones operating independently of in-vehicle systems.</w:t>
      </w:r>
      <w:r w:rsidRPr="00EA5BD6" w:rsidR="00EA5BD6">
        <w:t xml:space="preserve"> </w:t>
      </w:r>
      <w:r w:rsidR="00EA5BD6">
        <w:t>The work supports NHTSA’s goal of establishing best practices for drive mode design as a crucial component of future driver distraction countermeasures.</w:t>
      </w:r>
    </w:p>
    <w:bookmarkEnd w:id="6"/>
    <w:bookmarkEnd w:id="7"/>
    <w:p w:rsidR="005F359C" w:rsidRPr="00532E09" w:rsidP="00BD247F" w14:paraId="6974F20C" w14:textId="77777777">
      <w:pPr>
        <w:pStyle w:val="Heading3"/>
        <w:numPr>
          <w:ilvl w:val="0"/>
          <w:numId w:val="9"/>
        </w:numPr>
        <w:tabs>
          <w:tab w:val="num" w:pos="360"/>
        </w:tabs>
        <w:spacing w:before="0"/>
        <w:ind w:left="0" w:firstLine="450"/>
        <w:rPr>
          <w:rFonts w:ascii="Times New Roman" w:hAnsi="Times New Roman" w:cs="Times New Roman"/>
          <w:b/>
          <w:bCs/>
          <w:i/>
          <w:iCs/>
          <w:color w:val="auto"/>
        </w:rPr>
      </w:pPr>
      <w:r w:rsidRPr="00532E09">
        <w:rPr>
          <w:rFonts w:ascii="Times New Roman" w:hAnsi="Times New Roman" w:cs="Times New Roman"/>
          <w:b/>
          <w:bCs/>
          <w:i/>
          <w:iCs/>
          <w:color w:val="auto"/>
        </w:rPr>
        <w:t>Statute authorizing the collection of information</w:t>
      </w:r>
    </w:p>
    <w:p w:rsidR="000154D7" w:rsidP="003F625D" w14:paraId="4F48238C" w14:textId="4676B0A4">
      <w:pPr>
        <w:pStyle w:val="BodyText"/>
        <w:ind w:left="720"/>
      </w:pPr>
      <w:r w:rsidRPr="00FF5C78">
        <w:t>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National Highway Traffic Safety Administrati</w:t>
      </w:r>
      <w:r w:rsidRPr="00FF5C78">
        <w:t>on (NHTSA).</w:t>
      </w:r>
    </w:p>
    <w:p w:rsidR="007A7BB5" w:rsidRPr="005271A9" w:rsidP="00C05B3C" w14:paraId="1D889B10" w14:textId="576568AC">
      <w:pPr>
        <w:pStyle w:val="ListParagraph"/>
        <w:numPr>
          <w:ilvl w:val="0"/>
          <w:numId w:val="1"/>
        </w:numPr>
        <w:spacing w:before="240" w:line="240" w:lineRule="auto"/>
        <w:rPr>
          <w:b/>
        </w:rPr>
      </w:pPr>
      <w:bookmarkStart w:id="8" w:name="_Hlk51325321"/>
      <w:bookmarkStart w:id="9" w:name="_Hlk78838411"/>
      <w:r w:rsidRPr="005271A9">
        <w:rPr>
          <w:b/>
        </w:rPr>
        <w:t>Indicate how, by whom, and for what purpose the information is to be used. Except for a new collection, indicate the actual use the agency has made of the information received from the current collection</w:t>
      </w:r>
      <w:bookmarkEnd w:id="8"/>
      <w:r w:rsidRPr="005271A9">
        <w:rPr>
          <w:b/>
        </w:rPr>
        <w:t>.</w:t>
      </w:r>
    </w:p>
    <w:bookmarkEnd w:id="9"/>
    <w:p w:rsidR="00752991" w14:paraId="731EB677" w14:textId="65CD1F9A">
      <w:pPr>
        <w:pStyle w:val="BodyText"/>
        <w:ind w:left="720"/>
      </w:pPr>
      <w:r>
        <w:t>This is a new</w:t>
      </w:r>
      <w:r w:rsidR="004C5749">
        <w:t>, one-time</w:t>
      </w:r>
      <w:r>
        <w:t xml:space="preserve"> collection. </w:t>
      </w:r>
      <w:r w:rsidR="00E05307">
        <w:t>Exponent</w:t>
      </w:r>
      <w:r>
        <w:t xml:space="preserve"> </w:t>
      </w:r>
      <w:r w:rsidR="00F730F0">
        <w:t>is</w:t>
      </w:r>
      <w:r>
        <w:t xml:space="preserve"> conducting this study under a </w:t>
      </w:r>
      <w:r w:rsidR="00BC423C">
        <w:t xml:space="preserve">task order </w:t>
      </w:r>
      <w:r>
        <w:t xml:space="preserve">contract with NHTSA. </w:t>
      </w:r>
      <w:r w:rsidR="00073BF5">
        <w:t xml:space="preserve">This collection will provide answers to NHTSA’s objectives for this task order, which include </w:t>
      </w:r>
      <w:r w:rsidR="00C02E92">
        <w:t xml:space="preserve">determining </w:t>
      </w:r>
      <w:r w:rsidR="00EB7723">
        <w:t xml:space="preserve">how the interface of cell phones and electronic devices differ when operating in drive mode relative to their standard operations, </w:t>
      </w:r>
      <w:r w:rsidR="00110CCB">
        <w:t xml:space="preserve">determining what </w:t>
      </w:r>
      <w:r w:rsidR="0041008F">
        <w:t xml:space="preserve">changes in functionality occur when drive mode is enabled, </w:t>
      </w:r>
      <w:r w:rsidR="00DF1F7F">
        <w:t xml:space="preserve"> </w:t>
      </w:r>
      <w:r w:rsidR="00B84EE7">
        <w:t>h</w:t>
      </w:r>
      <w:r w:rsidR="00110CCB">
        <w:t>ow much variability exists across different driver mode implementations,</w:t>
      </w:r>
      <w:r w:rsidR="00DF1F7F">
        <w:t xml:space="preserve">  how well drive mode interfaces and functionality comply with the recommendations in the NHSTA Driver Distraction Guidelines</w:t>
      </w:r>
      <w:r w:rsidR="00074977">
        <w:t>, and identifying what factors influence user acceptance and use of drive mode.</w:t>
      </w:r>
      <w:r w:rsidR="005F2E7C">
        <w:t xml:space="preserve"> </w:t>
      </w:r>
      <w:r w:rsidR="00BF0460">
        <w:t xml:space="preserve">This collection will be used </w:t>
      </w:r>
      <w:r w:rsidR="00600DE8">
        <w:t>to investigate how drive mode implementations impact driver attention and performance as compared to their standard interfaces</w:t>
      </w:r>
      <w:r w:rsidR="00BF0460">
        <w:t xml:space="preserve">. </w:t>
      </w:r>
      <w:r>
        <w:t>NHTSA will use the information gathered to produce a technical report that presents the results of the study. The technical report will provide summary statistics and tables, as well as the results of data analysis of the information, but it will not include any personal</w:t>
      </w:r>
      <w:r w:rsidR="009F46F1">
        <w:t>ly identifiable</w:t>
      </w:r>
      <w:r>
        <w:t xml:space="preserve"> information. The technical report will be </w:t>
      </w:r>
      <w:r w:rsidR="00457685">
        <w:t xml:space="preserve">published </w:t>
      </w:r>
      <w:r w:rsidR="4258A502">
        <w:t>in</w:t>
      </w:r>
      <w:r w:rsidR="00457685">
        <w:t xml:space="preserve"> the National Transportation Library</w:t>
      </w:r>
      <w:r w:rsidR="00E554FC">
        <w:t xml:space="preserve"> and </w:t>
      </w:r>
      <w:r w:rsidR="25FDE93B">
        <w:t xml:space="preserve">will be </w:t>
      </w:r>
      <w:r w:rsidR="00E554FC">
        <w:t>available to the general public</w:t>
      </w:r>
      <w:r>
        <w:t>. The report may also be of interest to</w:t>
      </w:r>
      <w:r w:rsidR="00BC4E79">
        <w:t xml:space="preserve"> a variety of stakeholders, including automotive manufacturers, suppliers, </w:t>
      </w:r>
      <w:r w:rsidR="002E4D8C">
        <w:t>researchers, safety advocates, and</w:t>
      </w:r>
      <w:r>
        <w:t xml:space="preserve"> </w:t>
      </w:r>
      <w:r w:rsidR="00763848">
        <w:t>regulators</w:t>
      </w:r>
      <w:r>
        <w:t xml:space="preserve">. </w:t>
      </w:r>
      <w:r w:rsidR="00710A24">
        <w:t>The s</w:t>
      </w:r>
      <w:r>
        <w:t xml:space="preserve">tudy results </w:t>
      </w:r>
      <w:r w:rsidR="00C45FA3">
        <w:t>will provide</w:t>
      </w:r>
      <w:r>
        <w:t xml:space="preserve"> NHTSA </w:t>
      </w:r>
      <w:r w:rsidR="00C45FA3">
        <w:t xml:space="preserve">with valuable information to </w:t>
      </w:r>
      <w:r w:rsidR="00C83E37">
        <w:t xml:space="preserve">support initiatives </w:t>
      </w:r>
      <w:r w:rsidR="006178A9">
        <w:t>to generate evidence-based best practices for the design of future drive mode applications and functionalities for mobile phone</w:t>
      </w:r>
      <w:r w:rsidR="00E440F3">
        <w:t>s operating independently of in-vehicle systems. The</w:t>
      </w:r>
      <w:r w:rsidR="00D16E18">
        <w:t xml:space="preserve"> results</w:t>
      </w:r>
      <w:r w:rsidR="00187E86">
        <w:t xml:space="preserve"> support</w:t>
      </w:r>
      <w:r w:rsidRPr="6808A7E3" w:rsidR="00804268">
        <w:rPr>
          <w:color w:val="000000" w:themeColor="text1"/>
        </w:rPr>
        <w:t xml:space="preserve"> the agency’s </w:t>
      </w:r>
      <w:r w:rsidRPr="6808A7E3" w:rsidR="00301DDF">
        <w:rPr>
          <w:color w:val="000000" w:themeColor="text1"/>
        </w:rPr>
        <w:t>mission</w:t>
      </w:r>
      <w:r w:rsidRPr="6808A7E3" w:rsidR="00804268">
        <w:rPr>
          <w:color w:val="000000" w:themeColor="text1"/>
        </w:rPr>
        <w:t xml:space="preserve"> to reduce the </w:t>
      </w:r>
      <w:r w:rsidR="00804268">
        <w:t>number of deaths, injuries, and economic losses resulting from motor vehicle crashes</w:t>
      </w:r>
      <w:r w:rsidR="00187E86">
        <w:t xml:space="preserve"> related to driver distraction</w:t>
      </w:r>
      <w:r w:rsidR="00804268">
        <w:t xml:space="preserve"> on U.S. </w:t>
      </w:r>
      <w:r w:rsidR="00D8108C">
        <w:t>roads</w:t>
      </w:r>
      <w:r>
        <w:t>.</w:t>
      </w:r>
    </w:p>
    <w:p w:rsidR="007A7BB5" w:rsidP="00030B76" w14:paraId="5D1D2F00" w14:textId="77777777">
      <w:pPr>
        <w:autoSpaceDE w:val="0"/>
        <w:autoSpaceDN w:val="0"/>
        <w:adjustRightInd w:val="0"/>
        <w:spacing w:after="0"/>
        <w:rPr>
          <w:rFonts w:cs="Times New Roman"/>
          <w:szCs w:val="24"/>
        </w:rPr>
      </w:pPr>
    </w:p>
    <w:p w:rsidR="007A7BB5" w:rsidP="00C05B3C" w14:paraId="43A107AA" w14:textId="686D76B5">
      <w:pPr>
        <w:numPr>
          <w:ilvl w:val="0"/>
          <w:numId w:val="1"/>
        </w:numPr>
        <w:spacing w:line="240" w:lineRule="auto"/>
        <w:rPr>
          <w:b/>
        </w:rPr>
      </w:pPr>
      <w:bookmarkStart w:id="10" w:name="_Hlk51330129"/>
      <w:r w:rsidRPr="005271A9">
        <w:rPr>
          <w:b/>
        </w:rPr>
        <w:t xml:space="preserve">Describe whether, and to what extent, the collection of information involves the use of automated, electronic, mechanical, or other technological collection techniques or </w:t>
      </w:r>
      <w:r w:rsidRPr="005271A9">
        <w:rPr>
          <w:b/>
        </w:rPr>
        <w:t>other forms of information technology, e.g., permitting electronic submission of responses, and the basis for the decision for adopting this means of collection. Also, describe any consideration of using information technology to reduce burden.</w:t>
      </w:r>
    </w:p>
    <w:p w:rsidR="00E72DB3" w:rsidP="00C05B3C" w14:paraId="51BA5105" w14:textId="4A42175D">
      <w:pPr>
        <w:spacing w:line="240" w:lineRule="auto"/>
        <w:ind w:left="720"/>
      </w:pPr>
      <w:r w:rsidRPr="00652182">
        <w:rPr>
          <w:bCs/>
        </w:rPr>
        <w:t xml:space="preserve">The </w:t>
      </w:r>
      <w:r w:rsidR="00CF2628">
        <w:rPr>
          <w:bCs/>
        </w:rPr>
        <w:t>Screening</w:t>
      </w:r>
      <w:r w:rsidRPr="00652182">
        <w:rPr>
          <w:bCs/>
        </w:rPr>
        <w:t xml:space="preserve"> questionnaire will be </w:t>
      </w:r>
      <w:r>
        <w:rPr>
          <w:bCs/>
        </w:rPr>
        <w:t>administered verbally</w:t>
      </w:r>
      <w:r w:rsidRPr="00652182">
        <w:rPr>
          <w:bCs/>
        </w:rPr>
        <w:t xml:space="preserve"> via phone</w:t>
      </w:r>
      <w:r>
        <w:rPr>
          <w:bCs/>
        </w:rPr>
        <w:t xml:space="preserve"> call</w:t>
      </w:r>
      <w:r w:rsidRPr="00652182">
        <w:rPr>
          <w:bCs/>
        </w:rPr>
        <w:t xml:space="preserve"> </w:t>
      </w:r>
      <w:r>
        <w:rPr>
          <w:bCs/>
        </w:rPr>
        <w:t>by</w:t>
      </w:r>
      <w:r w:rsidRPr="00652182">
        <w:rPr>
          <w:bCs/>
        </w:rPr>
        <w:t xml:space="preserve"> a third-party recruiter</w:t>
      </w:r>
      <w:r w:rsidRPr="00D97F9B">
        <w:rPr>
          <w:bCs/>
        </w:rPr>
        <w:t xml:space="preserve">. The </w:t>
      </w:r>
      <w:r>
        <w:rPr>
          <w:bCs/>
        </w:rPr>
        <w:t xml:space="preserve">informed consent </w:t>
      </w:r>
      <w:r w:rsidRPr="00880BAC">
        <w:rPr>
          <w:bCs/>
        </w:rPr>
        <w:t xml:space="preserve">will be completed on paper by the </w:t>
      </w:r>
      <w:r w:rsidR="000B526F">
        <w:rPr>
          <w:bCs/>
        </w:rPr>
        <w:t xml:space="preserve">participants </w:t>
      </w:r>
      <w:r>
        <w:rPr>
          <w:bCs/>
        </w:rPr>
        <w:t>for ease of administration</w:t>
      </w:r>
      <w:r w:rsidRPr="00880BAC">
        <w:rPr>
          <w:bCs/>
        </w:rPr>
        <w:t xml:space="preserve">. </w:t>
      </w:r>
      <w:r w:rsidR="00FE5120">
        <w:rPr>
          <w:bCs/>
        </w:rPr>
        <w:t>I</w:t>
      </w:r>
      <w:r w:rsidR="005A5485">
        <w:rPr>
          <w:bCs/>
        </w:rPr>
        <w:t xml:space="preserve">nformation about </w:t>
      </w:r>
      <w:r w:rsidR="00FE5120">
        <w:rPr>
          <w:bCs/>
        </w:rPr>
        <w:t>participants’ experiences</w:t>
      </w:r>
      <w:r w:rsidR="005A5485">
        <w:rPr>
          <w:bCs/>
        </w:rPr>
        <w:t xml:space="preserve"> performing mobile phone tasks </w:t>
      </w:r>
      <w:r>
        <w:t>will be</w:t>
      </w:r>
      <w:r w:rsidRPr="008C1DFE">
        <w:t xml:space="preserve"> </w:t>
      </w:r>
      <w:r w:rsidR="005A5485">
        <w:t xml:space="preserve">recorded </w:t>
      </w:r>
      <w:r w:rsidRPr="008C1DFE">
        <w:t xml:space="preserve">by study personnel </w:t>
      </w:r>
      <w:r w:rsidR="005A5485">
        <w:t>electronically and</w:t>
      </w:r>
      <w:r w:rsidRPr="008C1DFE">
        <w:t xml:space="preserve"> stored on secure servers</w:t>
      </w:r>
      <w:r w:rsidRPr="002638FE">
        <w:t>.</w:t>
      </w:r>
    </w:p>
    <w:p w:rsidR="00314EA3" w:rsidP="00C05B3C" w14:paraId="75A9F839" w14:textId="0CD01362">
      <w:pPr>
        <w:spacing w:line="240" w:lineRule="auto"/>
        <w:ind w:left="720"/>
      </w:pPr>
      <w:r>
        <w:t>Participant</w:t>
      </w:r>
      <w:r w:rsidR="4F56A203">
        <w:t>’s</w:t>
      </w:r>
      <w:r>
        <w:t xml:space="preserve"> eye movement data will be collected using the Ergoneers Dikablis Glasses X eye-tracking system, a head-mounted binocular device capable of capturing high-resolution gaze data in real time. The eye-tracker records gaze position, pupil diameter, and blink behavior, providing detailed insights into visual attention and scanning patterns during task performance. Data acquisition and analysis will be managed using</w:t>
      </w:r>
      <w:r w:rsidR="00BE2424">
        <w:t xml:space="preserve"> Ergoneers’</w:t>
      </w:r>
      <w:r>
        <w:t xml:space="preserve"> Prophea</w:t>
      </w:r>
      <w:r w:rsidR="00BE2424">
        <w:t xml:space="preserve"> software</w:t>
      </w:r>
      <w:r>
        <w:t>, which offers enhanced synchronization capabilities and advanced too</w:t>
      </w:r>
      <w:r>
        <w:t>ls for visualizing and analyzing gaze behavior.</w:t>
      </w:r>
    </w:p>
    <w:p w:rsidR="00752991" w:rsidRPr="00752991" w:rsidP="6808A7E3" w14:paraId="14618F19" w14:textId="0FC1DFF0">
      <w:pPr>
        <w:spacing w:line="240" w:lineRule="auto"/>
        <w:ind w:left="720"/>
        <w:rPr>
          <w:color w:val="FF0000"/>
        </w:rPr>
      </w:pPr>
      <w:r>
        <w:t xml:space="preserve">The </w:t>
      </w:r>
      <w:r w:rsidR="00A26C31">
        <w:t xml:space="preserve">participants’ </w:t>
      </w:r>
      <w:r>
        <w:t>driving data will be collected in the study-provided vehicle while being video recorded by</w:t>
      </w:r>
      <w:r w:rsidR="005D4237">
        <w:t xml:space="preserve"> </w:t>
      </w:r>
      <w:r>
        <w:t>unobtrusive GoPro camera</w:t>
      </w:r>
      <w:r w:rsidR="00D7085B">
        <w:t>s which will be</w:t>
      </w:r>
      <w:r w:rsidR="005D4237">
        <w:t xml:space="preserve"> used to record forward-facing windshield video and participant-facing video. </w:t>
      </w:r>
      <w:r>
        <w:t xml:space="preserve">This will be described to them during </w:t>
      </w:r>
      <w:r w:rsidR="056CFE1F">
        <w:t xml:space="preserve">the </w:t>
      </w:r>
      <w:r>
        <w:t xml:space="preserve">pre-test screening to ensure their familiarity and comfort with the protocol should they choose to proceed with participation. The </w:t>
      </w:r>
      <w:r w:rsidR="00A02F8D">
        <w:t>mobile phone</w:t>
      </w:r>
      <w:r w:rsidR="006E003A">
        <w:t xml:space="preserve"> or portable device</w:t>
      </w:r>
      <w:r w:rsidR="00A02F8D">
        <w:t xml:space="preserve"> </w:t>
      </w:r>
      <w:r>
        <w:t xml:space="preserve">will be mounted </w:t>
      </w:r>
      <w:r w:rsidR="00351073">
        <w:t>on the dashboard</w:t>
      </w:r>
      <w:r w:rsidR="006E003A">
        <w:t xml:space="preserve"> and</w:t>
      </w:r>
      <w:r w:rsidR="00A02F8D">
        <w:t xml:space="preserve"> </w:t>
      </w:r>
      <w:r w:rsidR="006E003A">
        <w:t xml:space="preserve">will </w:t>
      </w:r>
      <w:r>
        <w:t xml:space="preserve">not obstruct or occlude the central visual field of the driver. </w:t>
      </w:r>
      <w:r w:rsidR="003C67D9">
        <w:t xml:space="preserve">Data will be collected by the </w:t>
      </w:r>
      <w:r w:rsidR="00CE27B7">
        <w:t xml:space="preserve">cameras passively; </w:t>
      </w:r>
      <w:r w:rsidR="00DD7970">
        <w:t>no</w:t>
      </w:r>
      <w:r>
        <w:t xml:space="preserve"> input</w:t>
      </w:r>
      <w:r w:rsidR="00DD7970">
        <w:t xml:space="preserve"> is</w:t>
      </w:r>
      <w:r>
        <w:t xml:space="preserve"> required of respondent</w:t>
      </w:r>
      <w:r w:rsidR="00E72DB3">
        <w:t>s</w:t>
      </w:r>
      <w:r>
        <w:t xml:space="preserve"> for this component of data collection.</w:t>
      </w:r>
    </w:p>
    <w:p w:rsidR="008A6B31" w:rsidRPr="005271A9" w:rsidP="00C05B3C" w14:paraId="13AFD77B" w14:textId="4A6FF0FE">
      <w:pPr>
        <w:numPr>
          <w:ilvl w:val="0"/>
          <w:numId w:val="1"/>
        </w:numPr>
        <w:spacing w:line="240" w:lineRule="auto"/>
        <w:rPr>
          <w:rFonts w:cs="Times New Roman"/>
          <w:b/>
          <w:szCs w:val="24"/>
        </w:rPr>
      </w:pPr>
      <w:bookmarkStart w:id="11" w:name="_Hlk51330199"/>
      <w:bookmarkEnd w:id="10"/>
      <w:r w:rsidRPr="005271A9">
        <w:rPr>
          <w:rFonts w:cs="Times New Roman"/>
          <w:b/>
          <w:szCs w:val="24"/>
        </w:rPr>
        <w:t xml:space="preserve">Describe efforts to identify duplication. </w:t>
      </w:r>
      <w:bookmarkStart w:id="12" w:name="_Hlk45117781"/>
      <w:r w:rsidRPr="005271A9">
        <w:rPr>
          <w:rFonts w:cs="Times New Roman"/>
          <w:b/>
          <w:szCs w:val="24"/>
        </w:rPr>
        <w:t xml:space="preserve">Show specifically why any similar information already available cannot be used or modified for use for the purposes described in Item 2 </w:t>
      </w:r>
      <w:r w:rsidRPr="00C05B3C">
        <w:rPr>
          <w:b/>
        </w:rPr>
        <w:t>above</w:t>
      </w:r>
      <w:r w:rsidRPr="005271A9">
        <w:rPr>
          <w:rFonts w:cs="Times New Roman"/>
          <w:b/>
          <w:szCs w:val="24"/>
        </w:rPr>
        <w:t>.</w:t>
      </w:r>
      <w:bookmarkEnd w:id="12"/>
    </w:p>
    <w:bookmarkEnd w:id="11"/>
    <w:p w:rsidR="00486ACF" w:rsidP="005450CA" w14:paraId="6E3338F6" w14:textId="620D4EAD">
      <w:pPr>
        <w:spacing w:line="240" w:lineRule="auto"/>
        <w:ind w:left="720"/>
        <w:rPr>
          <w:rFonts w:cs="Times New Roman"/>
          <w:szCs w:val="24"/>
        </w:rPr>
      </w:pPr>
      <w:r w:rsidRPr="00477F7C">
        <w:rPr>
          <w:rFonts w:cs="Times New Roman"/>
          <w:szCs w:val="24"/>
        </w:rPr>
        <w:t xml:space="preserve">In the first phase of this project, a </w:t>
      </w:r>
      <w:r w:rsidRPr="00C05B3C">
        <w:rPr>
          <w:bCs/>
        </w:rPr>
        <w:t>thorough</w:t>
      </w:r>
      <w:r w:rsidRPr="00477F7C">
        <w:rPr>
          <w:rFonts w:cs="Times New Roman"/>
          <w:szCs w:val="24"/>
        </w:rPr>
        <w:t xml:space="preserve"> literature</w:t>
      </w:r>
      <w:r w:rsidR="00FC52C0">
        <w:rPr>
          <w:rFonts w:cs="Times New Roman"/>
          <w:szCs w:val="24"/>
        </w:rPr>
        <w:t xml:space="preserve"> and practice</w:t>
      </w:r>
      <w:r w:rsidRPr="00477F7C">
        <w:rPr>
          <w:rFonts w:cs="Times New Roman"/>
          <w:szCs w:val="24"/>
        </w:rPr>
        <w:t xml:space="preserve"> review </w:t>
      </w:r>
      <w:r>
        <w:rPr>
          <w:rFonts w:cs="Times New Roman"/>
          <w:szCs w:val="24"/>
        </w:rPr>
        <w:t>was</w:t>
      </w:r>
      <w:r w:rsidRPr="00477F7C">
        <w:rPr>
          <w:rFonts w:cs="Times New Roman"/>
          <w:szCs w:val="24"/>
        </w:rPr>
        <w:t xml:space="preserve"> conducted</w:t>
      </w:r>
      <w:r w:rsidR="001C5CE5">
        <w:rPr>
          <w:rFonts w:cs="Times New Roman"/>
          <w:szCs w:val="24"/>
        </w:rPr>
        <w:t xml:space="preserve"> to </w:t>
      </w:r>
      <w:r w:rsidR="00A11BEB">
        <w:rPr>
          <w:rFonts w:cs="Times New Roman"/>
          <w:szCs w:val="24"/>
        </w:rPr>
        <w:t xml:space="preserve">deliver a </w:t>
      </w:r>
      <w:r w:rsidRPr="00D5094C" w:rsidR="00F855A9">
        <w:t>comprehensive analysis of current drive mode implementations</w:t>
      </w:r>
      <w:r w:rsidR="00F855A9">
        <w:t>, as well as apps intended for use while driving but without drive mode</w:t>
      </w:r>
      <w:r w:rsidRPr="00477F7C">
        <w:rPr>
          <w:rFonts w:cs="Times New Roman"/>
          <w:szCs w:val="24"/>
        </w:rPr>
        <w:t>.</w:t>
      </w:r>
      <w:r>
        <w:rPr>
          <w:rFonts w:cs="Times New Roman"/>
          <w:szCs w:val="24"/>
        </w:rPr>
        <w:t xml:space="preserve"> </w:t>
      </w:r>
      <w:r w:rsidR="00176EBC">
        <w:rPr>
          <w:rFonts w:cs="Times New Roman"/>
          <w:szCs w:val="24"/>
        </w:rPr>
        <w:t xml:space="preserve">Additionally, a gap analysis was conducted to </w:t>
      </w:r>
      <w:r w:rsidRPr="00783950" w:rsidR="001E17D9">
        <w:t>identify gaps in the literature that could be informed by research conducted later in the project.</w:t>
      </w:r>
      <w:r w:rsidR="001E17D9">
        <w:t xml:space="preserve"> </w:t>
      </w:r>
      <w:r w:rsidR="00A33D31">
        <w:rPr>
          <w:rFonts w:cs="Times New Roman"/>
          <w:szCs w:val="24"/>
        </w:rPr>
        <w:t xml:space="preserve">The results </w:t>
      </w:r>
      <w:r w:rsidR="002A55F5">
        <w:rPr>
          <w:rFonts w:cs="Times New Roman"/>
          <w:szCs w:val="24"/>
        </w:rPr>
        <w:t xml:space="preserve">show that </w:t>
      </w:r>
      <w:r w:rsidR="00666829">
        <w:rPr>
          <w:rFonts w:cs="Times New Roman"/>
          <w:szCs w:val="24"/>
        </w:rPr>
        <w:t xml:space="preserve">current </w:t>
      </w:r>
      <w:r w:rsidR="002B6A3D">
        <w:rPr>
          <w:rFonts w:cs="Times New Roman"/>
          <w:szCs w:val="24"/>
        </w:rPr>
        <w:t>a</w:t>
      </w:r>
      <w:r w:rsidR="00AA2BAF">
        <w:rPr>
          <w:rFonts w:cs="Times New Roman"/>
          <w:szCs w:val="24"/>
        </w:rPr>
        <w:t>pplicable</w:t>
      </w:r>
      <w:r w:rsidR="002B6A3D">
        <w:rPr>
          <w:rFonts w:cs="Times New Roman"/>
          <w:szCs w:val="24"/>
        </w:rPr>
        <w:t xml:space="preserve"> literature</w:t>
      </w:r>
      <w:r w:rsidR="00666829">
        <w:rPr>
          <w:rFonts w:cs="Times New Roman"/>
          <w:szCs w:val="24"/>
        </w:rPr>
        <w:t xml:space="preserve"> on </w:t>
      </w:r>
      <w:r w:rsidR="00E57AE5">
        <w:rPr>
          <w:rFonts w:cs="Times New Roman"/>
          <w:szCs w:val="24"/>
        </w:rPr>
        <w:t>drive mode</w:t>
      </w:r>
      <w:r w:rsidR="00E40E63">
        <w:rPr>
          <w:rFonts w:cs="Times New Roman"/>
          <w:szCs w:val="24"/>
        </w:rPr>
        <w:t xml:space="preserve"> </w:t>
      </w:r>
      <w:r w:rsidR="00AA2BAF">
        <w:rPr>
          <w:rFonts w:cs="Times New Roman"/>
          <w:szCs w:val="24"/>
        </w:rPr>
        <w:t xml:space="preserve">implementations </w:t>
      </w:r>
      <w:r w:rsidR="00125F5B">
        <w:rPr>
          <w:rFonts w:cs="Times New Roman"/>
          <w:szCs w:val="24"/>
        </w:rPr>
        <w:t xml:space="preserve">is limited, with few </w:t>
      </w:r>
      <w:r w:rsidR="00DB2FCD">
        <w:rPr>
          <w:rFonts w:cs="Times New Roman"/>
          <w:szCs w:val="24"/>
        </w:rPr>
        <w:t xml:space="preserve">studies that </w:t>
      </w:r>
      <w:r w:rsidR="005468DA">
        <w:rPr>
          <w:rFonts w:cs="Times New Roman"/>
          <w:szCs w:val="24"/>
        </w:rPr>
        <w:t xml:space="preserve">implemented </w:t>
      </w:r>
      <w:r w:rsidR="007B68AD">
        <w:rPr>
          <w:rFonts w:cs="Times New Roman"/>
          <w:szCs w:val="24"/>
        </w:rPr>
        <w:t xml:space="preserve">drive mode options currently available to </w:t>
      </w:r>
      <w:r w:rsidR="00AB1796">
        <w:rPr>
          <w:rFonts w:cs="Times New Roman"/>
          <w:szCs w:val="24"/>
        </w:rPr>
        <w:t xml:space="preserve">drivers. </w:t>
      </w:r>
      <w:r w:rsidR="00E40E63">
        <w:rPr>
          <w:rFonts w:cs="Times New Roman"/>
          <w:szCs w:val="24"/>
        </w:rPr>
        <w:t xml:space="preserve">User acceptance and continued use </w:t>
      </w:r>
      <w:r w:rsidR="00677444">
        <w:rPr>
          <w:rFonts w:cs="Times New Roman"/>
          <w:szCs w:val="24"/>
        </w:rPr>
        <w:t>remain barriers to the acceptance of drive mode</w:t>
      </w:r>
      <w:r w:rsidR="00BC5510">
        <w:rPr>
          <w:rFonts w:cs="Times New Roman"/>
          <w:szCs w:val="24"/>
        </w:rPr>
        <w:t xml:space="preserve"> implementations, and little research is available to </w:t>
      </w:r>
      <w:r w:rsidR="006475A0">
        <w:rPr>
          <w:rFonts w:cs="Times New Roman"/>
          <w:szCs w:val="24"/>
        </w:rPr>
        <w:t>identify the ke</w:t>
      </w:r>
      <w:r w:rsidR="00A537A5">
        <w:rPr>
          <w:rFonts w:cs="Times New Roman"/>
          <w:szCs w:val="24"/>
        </w:rPr>
        <w:t>y factors which</w:t>
      </w:r>
      <w:r w:rsidR="00B41A29">
        <w:rPr>
          <w:rFonts w:cs="Times New Roman"/>
          <w:szCs w:val="24"/>
        </w:rPr>
        <w:t xml:space="preserve"> would increase use</w:t>
      </w:r>
      <w:r w:rsidR="00677444">
        <w:rPr>
          <w:rFonts w:cs="Times New Roman"/>
          <w:szCs w:val="24"/>
        </w:rPr>
        <w:t>.</w:t>
      </w:r>
      <w:r w:rsidR="00277A09">
        <w:rPr>
          <w:rFonts w:cs="Times New Roman"/>
          <w:szCs w:val="24"/>
        </w:rPr>
        <w:t xml:space="preserve"> </w:t>
      </w:r>
      <w:r w:rsidRPr="008570E1" w:rsidR="00422E0D">
        <w:rPr>
          <w:rFonts w:cs="Times New Roman"/>
          <w:szCs w:val="24"/>
        </w:rPr>
        <w:t>Therefore, NHTSA has concluded that there is no similar information already available that could be used for the purposes described in response to Item 2 above.</w:t>
      </w:r>
    </w:p>
    <w:p w:rsidR="008A6B31" w:rsidRPr="005271A9" w:rsidP="00C05B3C" w14:paraId="7768AC8D" w14:textId="77777777">
      <w:pPr>
        <w:numPr>
          <w:ilvl w:val="0"/>
          <w:numId w:val="1"/>
        </w:numPr>
        <w:spacing w:line="240" w:lineRule="auto"/>
        <w:rPr>
          <w:rFonts w:cs="Times New Roman"/>
          <w:b/>
          <w:szCs w:val="24"/>
        </w:rPr>
      </w:pPr>
      <w:bookmarkStart w:id="13" w:name="_Hlk51330529"/>
      <w:bookmarkStart w:id="14" w:name="_Hlk78838823"/>
      <w:r w:rsidRPr="005271A9">
        <w:rPr>
          <w:rFonts w:cs="Times New Roman"/>
          <w:b/>
          <w:szCs w:val="24"/>
        </w:rPr>
        <w:t xml:space="preserve">If the collection of information impacts small businesses or other small entities, describe any </w:t>
      </w:r>
      <w:r w:rsidRPr="00C05B3C">
        <w:rPr>
          <w:b/>
        </w:rPr>
        <w:t>methods</w:t>
      </w:r>
      <w:r w:rsidRPr="005271A9">
        <w:rPr>
          <w:rFonts w:cs="Times New Roman"/>
          <w:b/>
          <w:szCs w:val="24"/>
        </w:rPr>
        <w:t xml:space="preserve"> used to minimize burden</w:t>
      </w:r>
      <w:bookmarkEnd w:id="13"/>
      <w:r w:rsidRPr="005271A9">
        <w:rPr>
          <w:rFonts w:cs="Times New Roman"/>
          <w:b/>
          <w:szCs w:val="24"/>
        </w:rPr>
        <w:t>.</w:t>
      </w:r>
    </w:p>
    <w:bookmarkEnd w:id="14"/>
    <w:p w:rsidR="008A6B31" w:rsidRPr="00F96FD5" w:rsidP="00C05B3C" w14:paraId="05B0908B" w14:textId="704CC3FD">
      <w:pPr>
        <w:spacing w:line="240" w:lineRule="auto"/>
        <w:ind w:left="720"/>
        <w:rPr>
          <w:rFonts w:cs="Times New Roman"/>
          <w:szCs w:val="24"/>
        </w:rPr>
      </w:pPr>
      <w:r w:rsidRPr="00EB0ACE">
        <w:rPr>
          <w:rFonts w:cs="Times New Roman"/>
          <w:szCs w:val="24"/>
        </w:rPr>
        <w:t>There is no burden on small businesses</w:t>
      </w:r>
      <w:r w:rsidR="00EE4890">
        <w:rPr>
          <w:rFonts w:cs="Times New Roman"/>
          <w:szCs w:val="24"/>
        </w:rPr>
        <w:t xml:space="preserve"> or other small entities</w:t>
      </w:r>
      <w:r w:rsidRPr="00EB0ACE">
        <w:rPr>
          <w:rFonts w:cs="Times New Roman"/>
          <w:szCs w:val="24"/>
        </w:rPr>
        <w:t xml:space="preserve"> for this </w:t>
      </w:r>
      <w:r w:rsidR="00A7775D">
        <w:rPr>
          <w:rFonts w:cs="Times New Roman"/>
          <w:szCs w:val="24"/>
        </w:rPr>
        <w:t>ICR</w:t>
      </w:r>
      <w:r w:rsidRPr="00EB0ACE">
        <w:rPr>
          <w:rFonts w:cs="Times New Roman"/>
          <w:szCs w:val="24"/>
        </w:rPr>
        <w:t>. The information collections described in this ICR will only be collecting information from individuals</w:t>
      </w:r>
      <w:r w:rsidR="00A7775D">
        <w:rPr>
          <w:rFonts w:cs="Times New Roman"/>
          <w:szCs w:val="24"/>
        </w:rPr>
        <w:t xml:space="preserve"> who meet eligibility requirements and </w:t>
      </w:r>
      <w:r w:rsidR="00AF5CF4">
        <w:rPr>
          <w:rFonts w:cs="Times New Roman"/>
          <w:szCs w:val="24"/>
        </w:rPr>
        <w:t>who volunteer to participate</w:t>
      </w:r>
      <w:r w:rsidRPr="00EB0ACE">
        <w:rPr>
          <w:rFonts w:cs="Times New Roman"/>
          <w:szCs w:val="24"/>
        </w:rPr>
        <w:t>.</w:t>
      </w:r>
      <w:r>
        <w:rPr>
          <w:rFonts w:cs="Times New Roman"/>
          <w:szCs w:val="24"/>
        </w:rPr>
        <w:t xml:space="preserve"> </w:t>
      </w:r>
    </w:p>
    <w:p w:rsidR="008A6B31" w:rsidRPr="005271A9" w:rsidP="00C05B3C" w14:paraId="61A5C696" w14:textId="77777777">
      <w:pPr>
        <w:numPr>
          <w:ilvl w:val="0"/>
          <w:numId w:val="1"/>
        </w:numPr>
        <w:spacing w:line="240" w:lineRule="auto"/>
        <w:rPr>
          <w:b/>
        </w:rPr>
      </w:pPr>
      <w:bookmarkStart w:id="15" w:name="_Hlk51330653"/>
      <w:r w:rsidRPr="005271A9">
        <w:rPr>
          <w:b/>
        </w:rPr>
        <w:t>Describe the consequence to Federal program or policy activities if the collection is not conducted or is conducted less frequently, as well as any technical or legal obstacles to reducing burden.</w:t>
      </w:r>
    </w:p>
    <w:bookmarkEnd w:id="15"/>
    <w:p w:rsidR="006F56DA" w:rsidP="00C05B3C" w14:paraId="297C87E7" w14:textId="654576EF">
      <w:pPr>
        <w:spacing w:line="240" w:lineRule="auto"/>
        <w:ind w:left="720"/>
      </w:pPr>
      <w:r>
        <w:t xml:space="preserve">This information collection supports </w:t>
      </w:r>
      <w:r w:rsidR="00244ADF">
        <w:t>NHTSA’s mission to prevent fatalities, injuries, and crashes on U.S. roads</w:t>
      </w:r>
      <w:r w:rsidR="00DB4D29">
        <w:t>, particularly in combating driver distraction</w:t>
      </w:r>
      <w:r w:rsidR="00244ADF">
        <w:t xml:space="preserve">. </w:t>
      </w:r>
      <w:r w:rsidR="00B0115A">
        <w:t xml:space="preserve">NHTSA has identified a need for driving data </w:t>
      </w:r>
      <w:r w:rsidR="005D20A5">
        <w:t>which will</w:t>
      </w:r>
      <w:r w:rsidR="00AC0E34">
        <w:t xml:space="preserve"> contribute to a set of best practices for the design of future drive mode apps, features, and functions on mobile phones</w:t>
      </w:r>
      <w:r w:rsidR="00CE71A5">
        <w:t xml:space="preserve"> and </w:t>
      </w:r>
      <w:r w:rsidR="00375B5D">
        <w:t>aftermarket devices</w:t>
      </w:r>
      <w:r w:rsidR="00AC0E34">
        <w:t xml:space="preserve"> not paired to the vehicle. </w:t>
      </w:r>
      <w:r w:rsidR="00D17813">
        <w:t xml:space="preserve">The </w:t>
      </w:r>
      <w:r w:rsidR="00FE15BF">
        <w:t xml:space="preserve">development of </w:t>
      </w:r>
      <w:r w:rsidR="00E72786">
        <w:t>these best practices</w:t>
      </w:r>
      <w:r w:rsidR="00FE15BF">
        <w:t xml:space="preserve"> would support NHTSA and </w:t>
      </w:r>
      <w:r w:rsidR="0001618A">
        <w:t>various other stakeholders in their efforts to</w:t>
      </w:r>
      <w:r w:rsidR="00B32853">
        <w:t xml:space="preserve"> </w:t>
      </w:r>
      <w:r w:rsidR="00957494">
        <w:t>provide countermeasures</w:t>
      </w:r>
      <w:r w:rsidR="00D101DB">
        <w:t xml:space="preserve"> to</w:t>
      </w:r>
      <w:r w:rsidR="00957494">
        <w:t xml:space="preserve"> </w:t>
      </w:r>
      <w:r w:rsidR="00D101DB">
        <w:t xml:space="preserve">future </w:t>
      </w:r>
      <w:r w:rsidR="00B32853">
        <w:t xml:space="preserve">driver </w:t>
      </w:r>
      <w:r w:rsidR="00631432">
        <w:t xml:space="preserve">distraction </w:t>
      </w:r>
      <w:r w:rsidR="00FF6327">
        <w:t xml:space="preserve">related to mobile phone </w:t>
      </w:r>
      <w:r w:rsidR="00B73413">
        <w:t xml:space="preserve">and portable device </w:t>
      </w:r>
      <w:r w:rsidR="00FF6327">
        <w:t>use</w:t>
      </w:r>
      <w:r w:rsidR="00B32853">
        <w:t xml:space="preserve">. </w:t>
      </w:r>
      <w:r w:rsidR="00492C52">
        <w:t xml:space="preserve">Data to support this need </w:t>
      </w:r>
      <w:r w:rsidR="00492C52">
        <w:t>do</w:t>
      </w:r>
      <w:r w:rsidR="00492C52">
        <w:t xml:space="preserve"> not </w:t>
      </w:r>
      <w:r w:rsidR="00003710">
        <w:t>currently exist; therefore</w:t>
      </w:r>
      <w:r w:rsidR="00F64440">
        <w:t>,</w:t>
      </w:r>
      <w:r w:rsidR="00003710">
        <w:t xml:space="preserve"> w</w:t>
      </w:r>
      <w:r w:rsidR="00B0115A">
        <w:t>ithout conducting this study NHTSA will be unable to establish such approach.</w:t>
      </w:r>
    </w:p>
    <w:p w:rsidR="008A6B31" w:rsidRPr="005271A9" w:rsidP="00C05B3C" w14:paraId="0174FDBF" w14:textId="437D280D">
      <w:pPr>
        <w:numPr>
          <w:ilvl w:val="0"/>
          <w:numId w:val="1"/>
        </w:numPr>
        <w:spacing w:line="240" w:lineRule="auto"/>
        <w:rPr>
          <w:rFonts w:cs="Times New Roman"/>
          <w:b/>
          <w:szCs w:val="24"/>
        </w:rPr>
      </w:pPr>
      <w:bookmarkStart w:id="16" w:name="_Hlk51330697"/>
      <w:r w:rsidRPr="005271A9">
        <w:rPr>
          <w:rFonts w:cs="Times New Roman"/>
          <w:b/>
          <w:szCs w:val="24"/>
        </w:rPr>
        <w:t xml:space="preserve">Explain any special </w:t>
      </w:r>
      <w:r w:rsidRPr="00C05B3C">
        <w:rPr>
          <w:b/>
        </w:rPr>
        <w:t>circumstances</w:t>
      </w:r>
      <w:r w:rsidRPr="005271A9">
        <w:rPr>
          <w:rFonts w:cs="Times New Roman"/>
          <w:b/>
          <w:szCs w:val="24"/>
        </w:rPr>
        <w:t xml:space="preserve"> that would cause an information collection to be conducted in a manner:</w:t>
      </w:r>
    </w:p>
    <w:p w:rsidR="008A6B31" w:rsidRPr="005271A9" w:rsidP="008A6B31"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2685" w:rsidP="00F4621B" w14:paraId="63582A4E" w14:textId="5C625AE0">
      <w:pPr>
        <w:pStyle w:val="ListParagraph"/>
        <w:numPr>
          <w:ilvl w:val="1"/>
          <w:numId w:val="1"/>
        </w:numPr>
        <w:autoSpaceDE w:val="0"/>
        <w:autoSpaceDN w:val="0"/>
        <w:adjustRightInd w:val="0"/>
        <w:spacing w:after="0" w:line="240" w:lineRule="auto"/>
        <w:rPr>
          <w:rFonts w:cs="Times New Roman"/>
          <w:b/>
          <w:szCs w:val="24"/>
        </w:rPr>
      </w:pPr>
      <w:bookmarkStart w:id="17"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bookmarkEnd w:id="16"/>
      <w:bookmarkEnd w:id="17"/>
    </w:p>
    <w:p w:rsidR="00F4621B" w:rsidRPr="00F4621B" w:rsidP="00F4621B" w14:paraId="2BDD48E0" w14:textId="77777777">
      <w:pPr>
        <w:pStyle w:val="ListParagraph"/>
        <w:autoSpaceDE w:val="0"/>
        <w:autoSpaceDN w:val="0"/>
        <w:adjustRightInd w:val="0"/>
        <w:spacing w:after="0" w:line="240" w:lineRule="auto"/>
        <w:ind w:left="1440"/>
        <w:rPr>
          <w:rFonts w:cs="Times New Roman"/>
          <w:b/>
          <w:szCs w:val="24"/>
        </w:rPr>
      </w:pPr>
    </w:p>
    <w:p w:rsidR="00FF2685" w:rsidRPr="00F4621B" w:rsidP="00C05B3C" w14:paraId="47BC8D73" w14:textId="6485AF64">
      <w:pPr>
        <w:spacing w:line="240" w:lineRule="auto"/>
        <w:ind w:left="720"/>
        <w:rPr>
          <w:rFonts w:cs="Times New Roman"/>
          <w:szCs w:val="24"/>
        </w:rPr>
      </w:pPr>
      <w:r w:rsidRPr="00F4621B">
        <w:t xml:space="preserve">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 </w:t>
      </w:r>
      <w:r w:rsidRPr="00523CEA">
        <w:t xml:space="preserve">Since NHTSA estimates </w:t>
      </w:r>
      <w:r w:rsidRPr="00523CEA">
        <w:t>that,</w:t>
      </w:r>
      <w:r w:rsidRPr="00523CEA">
        <w:t xml:space="preserve"> at most, </w:t>
      </w:r>
      <w:r w:rsidRPr="00523CEA" w:rsidR="00523CEA">
        <w:t xml:space="preserve">36 </w:t>
      </w:r>
      <w:r w:rsidRPr="00523CEA">
        <w:t xml:space="preserve">individuals will participate in </w:t>
      </w:r>
      <w:r w:rsidRPr="00523CEA" w:rsidR="00523CEA">
        <w:t xml:space="preserve">each </w:t>
      </w:r>
      <w:r w:rsidRPr="00523CEA">
        <w:t xml:space="preserve">research </w:t>
      </w:r>
      <w:r w:rsidR="00FE5120">
        <w:t>experiment</w:t>
      </w:r>
      <w:r w:rsidRPr="00523CEA">
        <w:t xml:space="preserve">, we do not anticipate having </w:t>
      </w:r>
      <w:r w:rsidRPr="00523CEA">
        <w:t>sufficient numbers of</w:t>
      </w:r>
      <w:r w:rsidRPr="00523CEA">
        <w:t xml:space="preserve"> respondents in the detailed race/ethnicity categories to permit </w:t>
      </w:r>
      <w:r w:rsidRPr="00523CEA">
        <w:t>analysis with them. Additionally, because of the small sample size, we anticipate that much of the detailed race/ethnicity data would need to be suppressed in the final de-identified dataset in order to protect respondents’ privacy. Therefore, we are requesting to use the seven minimum categories fo</w:t>
      </w:r>
      <w:r w:rsidRPr="00523CEA">
        <w:t>r race/ethnicity.</w:t>
      </w:r>
    </w:p>
    <w:p w:rsidR="00FF2685" w:rsidRPr="00FF697E" w:rsidP="00C05B3C" w14:paraId="35355DE1" w14:textId="526A5139">
      <w:pPr>
        <w:spacing w:line="240" w:lineRule="auto"/>
        <w:ind w:left="720"/>
        <w:rPr>
          <w:rFonts w:cs="Times New Roman"/>
          <w:b/>
          <w:bCs/>
          <w:sz w:val="22"/>
          <w14:ligatures w14:val="standardContextual"/>
        </w:rPr>
      </w:pPr>
      <w:r w:rsidRPr="00F4621B">
        <w:rPr>
          <w:rFonts w:cs="Times New Roman"/>
        </w:rPr>
        <w:t xml:space="preserve">Other than the </w:t>
      </w:r>
      <w:r w:rsidRPr="00C05B3C">
        <w:t>request</w:t>
      </w:r>
      <w:r w:rsidRPr="00F4621B">
        <w:rPr>
          <w:rFonts w:cs="Times New Roman"/>
        </w:rPr>
        <w:t xml:space="preserve"> for exemption regarding SPD 15, there are no special circumstances that require this collection to be conducted in a manner inconsistent with </w:t>
      </w:r>
      <w:r w:rsidRPr="00F4621B">
        <w:rPr>
          <w:rStyle w:val="Heading1Char"/>
          <w:rFonts w:cs="Times New Roman"/>
          <w:b w:val="0"/>
          <w:bCs/>
        </w:rPr>
        <w:t>5 CFR 1320.5(d)(2)</w:t>
      </w:r>
      <w:r w:rsidRPr="00F4621B">
        <w:rPr>
          <w:rFonts w:cs="Times New Roman"/>
          <w:b/>
          <w:bCs/>
        </w:rPr>
        <w:t>.</w:t>
      </w:r>
    </w:p>
    <w:p w:rsidR="00150F00" w:rsidP="00C05B3C" w14:paraId="2E789175" w14:textId="29C71AF6">
      <w:pPr>
        <w:numPr>
          <w:ilvl w:val="0"/>
          <w:numId w:val="1"/>
        </w:numPr>
        <w:spacing w:line="240" w:lineRule="auto"/>
        <w:rPr>
          <w:b/>
        </w:rPr>
      </w:pPr>
      <w:bookmarkStart w:id="18"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w:t>
      </w:r>
      <w:r w:rsidRPr="005271A9">
        <w:rPr>
          <w:b/>
        </w:rPr>
        <w:t>persons</w:t>
      </w:r>
      <w:r w:rsidRPr="005271A9">
        <w:rPr>
          <w:b/>
        </w:rPr>
        <w:t xml:space="preserve">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p w:rsidR="003F0D51" w:rsidP="003F0D51" w14:paraId="2F23C2AF" w14:textId="6ADB088C">
      <w:pPr>
        <w:spacing w:line="240" w:lineRule="auto"/>
        <w:ind w:left="720"/>
      </w:pPr>
      <w:r w:rsidRPr="00FF697E">
        <w:t xml:space="preserve">NHTSA published a 60-day </w:t>
      </w:r>
      <w:r w:rsidRPr="00C05B3C">
        <w:rPr>
          <w:rFonts w:cs="Times New Roman"/>
        </w:rPr>
        <w:t>notice</w:t>
      </w:r>
      <w:r w:rsidRPr="00FF697E">
        <w:t xml:space="preserve"> on </w:t>
      </w:r>
      <w:r w:rsidR="00282C6F">
        <w:t>2/11/2026</w:t>
      </w:r>
      <w:r w:rsidRPr="00FF697E">
        <w:t xml:space="preserve"> requesting comment on NHTSA’s intention to submit this ICR to OMB for </w:t>
      </w:r>
      <w:r w:rsidRPr="00B04523">
        <w:t xml:space="preserve">approval </w:t>
      </w:r>
      <w:r w:rsidRPr="00AF4366">
        <w:t>(</w:t>
      </w:r>
      <w:r w:rsidRPr="00AF4366" w:rsidR="00B04523">
        <w:t>91</w:t>
      </w:r>
      <w:r w:rsidRPr="00AF4366">
        <w:t xml:space="preserve"> FR </w:t>
      </w:r>
      <w:r w:rsidRPr="00AF4366" w:rsidR="00B04523">
        <w:t>6284</w:t>
      </w:r>
      <w:r w:rsidR="00AF4366">
        <w:t>)</w:t>
      </w:r>
      <w:r w:rsidRPr="00AF4366">
        <w:t>.</w:t>
      </w:r>
      <w:r w:rsidRPr="00B04523">
        <w:t xml:space="preserve"> NHTSA received </w:t>
      </w:r>
      <w:bookmarkStart w:id="19" w:name="_Hlk98250521"/>
      <w:r>
        <w:t>NTHSA received two comments.</w:t>
      </w:r>
    </w:p>
    <w:p w:rsidR="003F0D51" w:rsidP="003F0D51" w14:paraId="09F081BA" w14:textId="77777777">
      <w:pPr>
        <w:spacing w:line="240" w:lineRule="auto"/>
        <w:ind w:left="720"/>
      </w:pPr>
      <w:r>
        <w:t xml:space="preserve">First, Consumer Reports asked the agency to specify whether the research identifies which drive mode elements trigger drivers to circumvent drive mode and which result in task deferral. They also noted the value of determining which drive mode implementations affect long off-road glances. While the agency agrees that understanding the specific drive mode elements that lead drivers to abandon drive mode or delay task engagement could be of interest, </w:t>
      </w:r>
      <w:r>
        <w:t>determining</w:t>
      </w:r>
      <w:r>
        <w:t xml:space="preserve"> this information is beyond the scope of the current data collection. However, the study will use eye-tracking data to seek to determine drive mode implementations and characteristics that lead to long off-road glances.</w:t>
      </w:r>
    </w:p>
    <w:p w:rsidR="003F0D51" w:rsidP="003F0D51" w14:paraId="6AAD815A" w14:textId="77777777">
      <w:pPr>
        <w:spacing w:line="240" w:lineRule="auto"/>
        <w:ind w:left="720"/>
      </w:pPr>
      <w:r>
        <w:t>The Alliance for Automotive Innovation also commented. There was a concern that the study’s use of a cone course may not accurately reflect real-world driving. The agency understands that there are limits to the extent that driving within a cone course can replicate the driving that takes place on public roadways. Nevertheless, it deems this methodology appropriate for the current research. Importantly, this study will require participants to perform distracting tasks while driving and NHTSA would not expos</w:t>
      </w:r>
      <w:r>
        <w:t xml:space="preserve">e participants or the traveling public to the potential risks that would result from encouraging distracted driving on a public road. Moreover, the current study’s goal of comparing eye glances and driving behavior while performing mobile phone tasks with different interfaces is facilitated by cross-trial consistency in the driving environment, and the cones course is an ideal environment for providing that consistency. </w:t>
      </w:r>
    </w:p>
    <w:p w:rsidR="003F0D51" w:rsidP="003F0D51" w14:paraId="1D485029" w14:textId="77777777">
      <w:pPr>
        <w:spacing w:line="240" w:lineRule="auto"/>
        <w:ind w:left="720"/>
      </w:pPr>
      <w:r>
        <w:t xml:space="preserve">The commenter also made more granular inquiries and recommendations regarding the minutia of the study. For a detailed and comprehensive description of all research activities including those that preceded and motivated data collection, as well as the </w:t>
      </w:r>
      <w:r>
        <w:t>specific stimuli, variables, and analysis techniques employed, the agency recommends referring to the final, published technical report. Broadly, the study will include: (</w:t>
      </w:r>
      <w:r>
        <w:t>1)specific</w:t>
      </w:r>
      <w:r>
        <w:t xml:space="preserve"> tasks and applications selected based on a comprehensive analysis of current drive mode implementations, (2)both subjective and objective measures of participants’ use of drive mode, (3)sample sizes selected based on a priori power analyses, and (4)post hoc tests with appropriate corrections for multiple analyses. </w:t>
      </w:r>
    </w:p>
    <w:p w:rsidR="003F0D51" w:rsidP="003F0D51" w14:paraId="51373AE8" w14:textId="77777777">
      <w:pPr>
        <w:spacing w:line="240" w:lineRule="auto"/>
        <w:ind w:left="720"/>
      </w:pPr>
      <w:r>
        <w:t>Finally, the commenter encouraged NTHSA to continue engaging with stakeholders in the development of future distraction guidelines. The agency appreciates this suggestion. Both stakeholder feedback and evidence-based research on distraction, such as that being conducted in this study, are of value when developing guidelines aimed at reducing distracted driving.</w:t>
      </w:r>
    </w:p>
    <w:p w:rsidR="00994C3F" w:rsidRPr="00FF697E" w:rsidP="003F0D51" w14:paraId="3AC96808" w14:textId="7940EAB8">
      <w:pPr>
        <w:spacing w:line="240" w:lineRule="auto"/>
        <w:ind w:left="720"/>
      </w:pPr>
      <w:r w:rsidRPr="00FF697E">
        <w:t xml:space="preserve">NHTSA published a 30-day notice on </w:t>
      </w:r>
      <w:r w:rsidR="003B0E02">
        <w:t>June 8</w:t>
      </w:r>
      <w:r w:rsidRPr="003B0E02" w:rsidR="003B0E02">
        <w:rPr>
          <w:vertAlign w:val="superscript"/>
        </w:rPr>
        <w:t>th</w:t>
      </w:r>
      <w:r w:rsidR="003B0E02">
        <w:t xml:space="preserve"> 2026</w:t>
      </w:r>
      <w:r w:rsidR="003B0E02">
        <w:t xml:space="preserve"> </w:t>
      </w:r>
      <w:r w:rsidRPr="00FF697E">
        <w:t xml:space="preserve">that stated NHTSA’s intention to submit this ICR to OMB for approval </w:t>
      </w:r>
      <w:r w:rsidRPr="00076E0F">
        <w:t>(</w:t>
      </w:r>
      <w:r w:rsidRPr="00076E0F" w:rsidR="00625636">
        <w:t>91</w:t>
      </w:r>
      <w:r w:rsidRPr="00076E0F">
        <w:t xml:space="preserve"> FR </w:t>
      </w:r>
      <w:r w:rsidRPr="00076E0F" w:rsidR="00625636">
        <w:t>34718</w:t>
      </w:r>
      <w:r w:rsidRPr="00076E0F">
        <w:t>)</w:t>
      </w:r>
      <w:r w:rsidRPr="00FF697E">
        <w:t>.</w:t>
      </w:r>
      <w:bookmarkEnd w:id="19"/>
    </w:p>
    <w:p w:rsidR="000373A8" w:rsidRPr="005271A9" w:rsidP="00C05B3C" w14:paraId="4BC028A2" w14:textId="33764427">
      <w:pPr>
        <w:numPr>
          <w:ilvl w:val="0"/>
          <w:numId w:val="1"/>
        </w:numPr>
        <w:spacing w:line="240" w:lineRule="auto"/>
        <w:rPr>
          <w:rFonts w:cs="Times New Roman"/>
          <w:b/>
          <w:szCs w:val="24"/>
        </w:rPr>
      </w:pPr>
      <w:bookmarkStart w:id="20" w:name="_Hlk51330973"/>
      <w:bookmarkEnd w:id="18"/>
      <w:r w:rsidRPr="005271A9">
        <w:rPr>
          <w:rFonts w:cs="Times New Roman"/>
          <w:b/>
          <w:szCs w:val="24"/>
        </w:rPr>
        <w:t xml:space="preserve">Explain any decision to </w:t>
      </w:r>
      <w:r w:rsidRPr="00C05B3C">
        <w:rPr>
          <w:b/>
        </w:rPr>
        <w:t>provide</w:t>
      </w:r>
      <w:r w:rsidRPr="005271A9">
        <w:rPr>
          <w:rFonts w:cs="Times New Roman"/>
          <w:b/>
          <w:szCs w:val="24"/>
        </w:rPr>
        <w:t xml:space="preserve"> any payment or gift to respondents, other than remuneration of contractors or grantees.</w:t>
      </w:r>
    </w:p>
    <w:bookmarkEnd w:id="20"/>
    <w:p w:rsidR="000373A8" w:rsidP="6808A7E3" w14:paraId="39787507" w14:textId="1BC6A551">
      <w:pPr>
        <w:spacing w:line="240" w:lineRule="auto"/>
        <w:ind w:left="720"/>
        <w:rPr>
          <w:rFonts w:cs="Times New Roman"/>
        </w:rPr>
      </w:pPr>
      <w:r w:rsidRPr="6808A7E3">
        <w:rPr>
          <w:rFonts w:cs="Times New Roman"/>
        </w:rPr>
        <w:t xml:space="preserve">Respondents </w:t>
      </w:r>
      <w:r w:rsidR="0036316E">
        <w:t xml:space="preserve">who </w:t>
      </w:r>
      <w:r w:rsidR="00197F9C">
        <w:t>meet</w:t>
      </w:r>
      <w:r w:rsidR="0036316E">
        <w:t xml:space="preserve"> the eligibility </w:t>
      </w:r>
      <w:r w:rsidR="00197F9C">
        <w:t>requirements and choose to participate</w:t>
      </w:r>
      <w:r w:rsidR="0036316E">
        <w:t xml:space="preserve"> </w:t>
      </w:r>
      <w:r w:rsidRPr="6808A7E3">
        <w:rPr>
          <w:rFonts w:cs="Times New Roman"/>
        </w:rPr>
        <w:t xml:space="preserve">will be offered </w:t>
      </w:r>
      <w:r w:rsidRPr="6808A7E3" w:rsidR="00493698">
        <w:rPr>
          <w:rFonts w:cs="Times New Roman"/>
        </w:rPr>
        <w:t>$375</w:t>
      </w:r>
      <w:r w:rsidRPr="6808A7E3" w:rsidR="00052A82">
        <w:rPr>
          <w:rFonts w:cs="Times New Roman"/>
        </w:rPr>
        <w:t xml:space="preserve"> fo</w:t>
      </w:r>
      <w:r w:rsidRPr="6808A7E3" w:rsidR="00CD1253">
        <w:rPr>
          <w:rFonts w:cs="Times New Roman"/>
        </w:rPr>
        <w:t>r the test track experiment or $300 for the cones course experiment</w:t>
      </w:r>
      <w:r w:rsidRPr="6808A7E3">
        <w:rPr>
          <w:rFonts w:cs="Times New Roman"/>
        </w:rPr>
        <w:t xml:space="preserve"> as </w:t>
      </w:r>
      <w:r>
        <w:t>compensation</w:t>
      </w:r>
      <w:r w:rsidRPr="6808A7E3">
        <w:rPr>
          <w:rFonts w:cs="Times New Roman"/>
        </w:rPr>
        <w:t xml:space="preserve"> for completing the study requirements</w:t>
      </w:r>
      <w:r w:rsidRPr="6808A7E3" w:rsidR="0095660B">
        <w:rPr>
          <w:rFonts w:cs="Times New Roman"/>
        </w:rPr>
        <w:t>.</w:t>
      </w:r>
      <w:r w:rsidRPr="6808A7E3">
        <w:rPr>
          <w:rFonts w:cs="Times New Roman"/>
        </w:rPr>
        <w:t xml:space="preserve"> Our experience indicates that anything less than the proposed total compensation would likely result in failure to recruit enough respondents to provide meaningful results with respect to </w:t>
      </w:r>
      <w:r w:rsidRPr="6808A7E3" w:rsidR="00633CE3">
        <w:rPr>
          <w:rFonts w:cs="Times New Roman"/>
        </w:rPr>
        <w:t>driver</w:t>
      </w:r>
      <w:r w:rsidRPr="6808A7E3" w:rsidR="00633CE3">
        <w:rPr>
          <w:rFonts w:cs="Times New Roman"/>
        </w:rPr>
        <w:t xml:space="preserve"> attention and </w:t>
      </w:r>
      <w:r w:rsidRPr="6808A7E3" w:rsidR="003F2378">
        <w:rPr>
          <w:rFonts w:cs="Times New Roman"/>
        </w:rPr>
        <w:t>performance</w:t>
      </w:r>
      <w:r w:rsidRPr="6808A7E3">
        <w:rPr>
          <w:rFonts w:cs="Times New Roman"/>
        </w:rPr>
        <w:t>.</w:t>
      </w:r>
      <w:r w:rsidRPr="6808A7E3" w:rsidR="00023612">
        <w:rPr>
          <w:rFonts w:cs="Times New Roman"/>
        </w:rPr>
        <w:t xml:space="preserve"> </w:t>
      </w:r>
      <w:r w:rsidRPr="6808A7E3" w:rsidR="00204CA7">
        <w:rPr>
          <w:rFonts w:cs="Times New Roman"/>
        </w:rPr>
        <w:t xml:space="preserve">This compensation amount </w:t>
      </w:r>
      <w:r w:rsidRPr="6808A7E3" w:rsidR="00413356">
        <w:rPr>
          <w:rFonts w:cs="Times New Roman"/>
        </w:rPr>
        <w:t>takes into consideration</w:t>
      </w:r>
      <w:r w:rsidRPr="6808A7E3" w:rsidR="00204CA7">
        <w:rPr>
          <w:rFonts w:cs="Times New Roman"/>
        </w:rPr>
        <w:t xml:space="preserve"> both the time that </w:t>
      </w:r>
      <w:r w:rsidRPr="6808A7E3" w:rsidR="00413356">
        <w:rPr>
          <w:rFonts w:cs="Times New Roman"/>
        </w:rPr>
        <w:t xml:space="preserve">participants will spend at the research facility (estimated at </w:t>
      </w:r>
      <w:r w:rsidRPr="6808A7E3" w:rsidR="00E60C55">
        <w:rPr>
          <w:rFonts w:cs="Times New Roman"/>
        </w:rPr>
        <w:t>2.5</w:t>
      </w:r>
      <w:r w:rsidRPr="6808A7E3" w:rsidR="00C27D47">
        <w:rPr>
          <w:rFonts w:cs="Times New Roman"/>
        </w:rPr>
        <w:t xml:space="preserve"> hours per participant</w:t>
      </w:r>
      <w:r w:rsidRPr="6808A7E3" w:rsidR="00B04239">
        <w:rPr>
          <w:rFonts w:cs="Times New Roman"/>
        </w:rPr>
        <w:t xml:space="preserve"> for </w:t>
      </w:r>
      <w:r w:rsidRPr="6808A7E3" w:rsidR="00CD1253">
        <w:rPr>
          <w:rFonts w:cs="Times New Roman"/>
        </w:rPr>
        <w:t xml:space="preserve">the test track </w:t>
      </w:r>
      <w:r w:rsidRPr="6808A7E3" w:rsidR="00FE5120">
        <w:rPr>
          <w:rFonts w:cs="Times New Roman"/>
        </w:rPr>
        <w:t>experiment</w:t>
      </w:r>
      <w:r w:rsidRPr="6808A7E3" w:rsidR="00B04239">
        <w:rPr>
          <w:rFonts w:cs="Times New Roman"/>
        </w:rPr>
        <w:t xml:space="preserve"> and </w:t>
      </w:r>
      <w:r w:rsidRPr="6808A7E3" w:rsidR="00374924">
        <w:rPr>
          <w:rFonts w:cs="Times New Roman"/>
        </w:rPr>
        <w:t>2 hours</w:t>
      </w:r>
      <w:r w:rsidRPr="6808A7E3" w:rsidR="00B04239">
        <w:rPr>
          <w:rFonts w:cs="Times New Roman"/>
        </w:rPr>
        <w:t xml:space="preserve"> for</w:t>
      </w:r>
      <w:r w:rsidRPr="6808A7E3" w:rsidR="00CD1253">
        <w:rPr>
          <w:rFonts w:cs="Times New Roman"/>
        </w:rPr>
        <w:t xml:space="preserve"> the cones course </w:t>
      </w:r>
      <w:r w:rsidRPr="6808A7E3" w:rsidR="00FE5120">
        <w:rPr>
          <w:rFonts w:cs="Times New Roman"/>
        </w:rPr>
        <w:t>experiment</w:t>
      </w:r>
      <w:r w:rsidRPr="6808A7E3" w:rsidR="00C27D47">
        <w:rPr>
          <w:rFonts w:cs="Times New Roman"/>
        </w:rPr>
        <w:t>)</w:t>
      </w:r>
      <w:r w:rsidRPr="6808A7E3" w:rsidR="00760C28">
        <w:rPr>
          <w:rFonts w:cs="Times New Roman"/>
        </w:rPr>
        <w:t xml:space="preserve">. </w:t>
      </w:r>
      <w:r w:rsidR="00A739F4">
        <w:t xml:space="preserve">If an individual </w:t>
      </w:r>
      <w:r w:rsidR="00694BD3">
        <w:t xml:space="preserve">begins the driving portion of the study but </w:t>
      </w:r>
      <w:r w:rsidR="00A739F4">
        <w:t>withdraws before the conclusion of the</w:t>
      </w:r>
      <w:r w:rsidR="00B477E2">
        <w:t>ir</w:t>
      </w:r>
      <w:r w:rsidR="00A739F4">
        <w:t xml:space="preserve"> session, they will be compensated</w:t>
      </w:r>
      <w:r w:rsidR="00694BD3">
        <w:t xml:space="preserve"> the full amount</w:t>
      </w:r>
      <w:r w:rsidR="00CD1253">
        <w:t xml:space="preserve"> of </w:t>
      </w:r>
      <w:r w:rsidRPr="0005424E" w:rsidR="00CD1253">
        <w:t>$375 or $300</w:t>
      </w:r>
      <w:r w:rsidR="00674F5C">
        <w:t>.</w:t>
      </w:r>
      <w:r w:rsidR="00A739F4">
        <w:t xml:space="preserve"> </w:t>
      </w:r>
      <w:r w:rsidRPr="6808A7E3" w:rsidR="00694BD3">
        <w:rPr>
          <w:rFonts w:cs="Times New Roman"/>
        </w:rPr>
        <w:t xml:space="preserve">If a participant fails to meet the criteria to participate in the </w:t>
      </w:r>
      <w:r w:rsidRPr="6808A7E3" w:rsidR="001668BB">
        <w:rPr>
          <w:rFonts w:cs="Times New Roman"/>
        </w:rPr>
        <w:t>study</w:t>
      </w:r>
      <w:r w:rsidRPr="6808A7E3" w:rsidR="00694BD3">
        <w:rPr>
          <w:rFonts w:cs="Times New Roman"/>
        </w:rPr>
        <w:t xml:space="preserve"> due to failing to </w:t>
      </w:r>
      <w:r w:rsidRPr="6808A7E3" w:rsidR="00061882">
        <w:rPr>
          <w:rFonts w:cs="Times New Roman"/>
        </w:rPr>
        <w:t>have a valid driver’s license</w:t>
      </w:r>
      <w:r w:rsidRPr="6808A7E3" w:rsidR="00694BD3">
        <w:rPr>
          <w:rFonts w:cs="Times New Roman"/>
        </w:rPr>
        <w:t xml:space="preserve">, for example, they will be compensated $25 and sent home. </w:t>
      </w:r>
      <w:r w:rsidRPr="6808A7E3">
        <w:rPr>
          <w:rFonts w:cs="Times New Roman"/>
        </w:rPr>
        <w:t>The current stud</w:t>
      </w:r>
      <w:r w:rsidRPr="6808A7E3" w:rsidR="00CD1253">
        <w:rPr>
          <w:rFonts w:cs="Times New Roman"/>
        </w:rPr>
        <w:t>ies</w:t>
      </w:r>
      <w:r w:rsidRPr="6808A7E3" w:rsidR="00B81578">
        <w:rPr>
          <w:rFonts w:cs="Times New Roman"/>
        </w:rPr>
        <w:t>’</w:t>
      </w:r>
      <w:r w:rsidRPr="6808A7E3">
        <w:rPr>
          <w:rFonts w:cs="Times New Roman"/>
        </w:rPr>
        <w:t xml:space="preserve"> compensation is in line with past efforts given the time and activities it requires of respondents while not being coercive.</w:t>
      </w:r>
    </w:p>
    <w:p w:rsidR="000373A8" w:rsidRPr="000373A8" w:rsidP="00C05B3C" w14:paraId="5D2E710C" w14:textId="77777777">
      <w:pPr>
        <w:numPr>
          <w:ilvl w:val="0"/>
          <w:numId w:val="1"/>
        </w:numPr>
        <w:spacing w:line="240" w:lineRule="auto"/>
        <w:rPr>
          <w:rFonts w:cs="Times New Roman"/>
          <w:szCs w:val="24"/>
        </w:rPr>
      </w:pPr>
      <w:bookmarkStart w:id="21"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Pr>
          <w:rFonts w:cs="Times New Roman"/>
          <w:b/>
          <w:szCs w:val="24"/>
        </w:rPr>
        <w:t>systems</w:t>
      </w:r>
      <w:r w:rsidRPr="005271A9">
        <w:rPr>
          <w:rFonts w:cs="Times New Roman"/>
          <w:b/>
          <w:szCs w:val="24"/>
        </w:rPr>
        <w:t xml:space="preserve"> of records notice (SORN) or privacy impact assessment (PIA), those should be cited and described here</w:t>
      </w:r>
      <w:r w:rsidRPr="000373A8">
        <w:rPr>
          <w:rFonts w:cs="Times New Roman"/>
          <w:szCs w:val="24"/>
        </w:rPr>
        <w:t>.</w:t>
      </w:r>
    </w:p>
    <w:bookmarkEnd w:id="21"/>
    <w:p w:rsidR="000373A8" w:rsidRPr="00B62C17" w:rsidP="00C05B3C" w14:paraId="031BAA4F" w14:textId="64CA0AE5">
      <w:pPr>
        <w:spacing w:line="240" w:lineRule="auto"/>
        <w:ind w:left="720"/>
        <w:rPr>
          <w:rFonts w:cs="Times New Roman"/>
          <w:szCs w:val="24"/>
          <w:highlight w:val="magenta"/>
        </w:rPr>
      </w:pPr>
      <w:r w:rsidRPr="00B62C17">
        <w:rPr>
          <w:rFonts w:cs="Times New Roman"/>
          <w:szCs w:val="24"/>
        </w:rPr>
        <w:t xml:space="preserve">The </w:t>
      </w:r>
      <w:r w:rsidR="00FC42FD">
        <w:rPr>
          <w:rFonts w:cs="Times New Roman"/>
          <w:szCs w:val="24"/>
        </w:rPr>
        <w:t xml:space="preserve">IRB-approved </w:t>
      </w:r>
      <w:r w:rsidRPr="00B62C17">
        <w:rPr>
          <w:rFonts w:cs="Times New Roman"/>
          <w:szCs w:val="24"/>
        </w:rPr>
        <w:t xml:space="preserve">Informed Consent Form, which each respondent will read and sign before participating in the study, describes </w:t>
      </w:r>
      <w:r w:rsidR="00841F4D">
        <w:rPr>
          <w:rFonts w:cs="Times New Roman"/>
          <w:szCs w:val="24"/>
        </w:rPr>
        <w:t xml:space="preserve">in plain language how study data will be used and </w:t>
      </w:r>
      <w:r w:rsidRPr="00B62C17">
        <w:rPr>
          <w:rFonts w:cs="Times New Roman"/>
          <w:szCs w:val="24"/>
        </w:rPr>
        <w:t xml:space="preserve">steps that will be taken to assure that </w:t>
      </w:r>
      <w:r w:rsidR="00FF5D4F">
        <w:rPr>
          <w:rFonts w:cs="Times New Roman"/>
          <w:szCs w:val="24"/>
        </w:rPr>
        <w:t>participant</w:t>
      </w:r>
      <w:r w:rsidRPr="00B62C17" w:rsidR="00FF5D4F">
        <w:rPr>
          <w:rFonts w:cs="Times New Roman"/>
          <w:szCs w:val="24"/>
        </w:rPr>
        <w:t xml:space="preserve"> </w:t>
      </w:r>
      <w:r w:rsidRPr="00B62C17">
        <w:rPr>
          <w:rFonts w:cs="Times New Roman"/>
          <w:szCs w:val="24"/>
        </w:rPr>
        <w:t xml:space="preserve">data will be kept secure. </w:t>
      </w:r>
      <w:r w:rsidR="006C66AF">
        <w:rPr>
          <w:rFonts w:cs="Times New Roman"/>
          <w:szCs w:val="24"/>
        </w:rPr>
        <w:t xml:space="preserve">The </w:t>
      </w:r>
      <w:r w:rsidR="006F5D4E">
        <w:rPr>
          <w:rFonts w:cs="Times New Roman"/>
          <w:szCs w:val="24"/>
        </w:rPr>
        <w:t>published</w:t>
      </w:r>
      <w:r w:rsidR="006C66AF">
        <w:rPr>
          <w:rFonts w:cs="Times New Roman"/>
          <w:szCs w:val="24"/>
        </w:rPr>
        <w:t xml:space="preserve"> technical</w:t>
      </w:r>
      <w:r w:rsidR="006F5D4E">
        <w:rPr>
          <w:rFonts w:cs="Times New Roman"/>
          <w:szCs w:val="24"/>
        </w:rPr>
        <w:t xml:space="preserve"> report</w:t>
      </w:r>
      <w:r w:rsidRPr="00B62C17">
        <w:rPr>
          <w:rFonts w:cs="Times New Roman"/>
          <w:szCs w:val="24"/>
        </w:rPr>
        <w:t xml:space="preserve"> will </w:t>
      </w:r>
      <w:r w:rsidR="006F5D4E">
        <w:rPr>
          <w:rFonts w:cs="Times New Roman"/>
          <w:szCs w:val="24"/>
        </w:rPr>
        <w:t>not include any data that</w:t>
      </w:r>
      <w:r w:rsidRPr="00B62C17">
        <w:rPr>
          <w:rFonts w:cs="Times New Roman"/>
          <w:szCs w:val="24"/>
        </w:rPr>
        <w:t xml:space="preserve"> can be used to identify any individual or individual’s responses.</w:t>
      </w:r>
      <w:r w:rsidRPr="00B86EF3" w:rsidR="002646CD">
        <w:rPr>
          <w:rFonts w:cs="Times New Roman"/>
          <w:szCs w:val="24"/>
        </w:rPr>
        <w:t xml:space="preserve"> </w:t>
      </w:r>
      <w:r w:rsidR="0054683A">
        <w:rPr>
          <w:rFonts w:cs="Times New Roman"/>
          <w:szCs w:val="24"/>
        </w:rPr>
        <w:t>The Informed Consent Form also specifies that v</w:t>
      </w:r>
      <w:r w:rsidRPr="00B86EF3" w:rsidR="000F56AB">
        <w:rPr>
          <w:rFonts w:cs="Times New Roman"/>
          <w:szCs w:val="24"/>
        </w:rPr>
        <w:t>ideo recorded during study sessions, including video of drivers’ faces</w:t>
      </w:r>
      <w:r w:rsidRPr="00B86EF3" w:rsidR="0054683A">
        <w:rPr>
          <w:rFonts w:cs="Times New Roman"/>
          <w:szCs w:val="24"/>
        </w:rPr>
        <w:t>,</w:t>
      </w:r>
      <w:r w:rsidRPr="00B86EF3" w:rsidR="000F56AB">
        <w:rPr>
          <w:rFonts w:cs="Times New Roman"/>
          <w:szCs w:val="24"/>
        </w:rPr>
        <w:t xml:space="preserve"> </w:t>
      </w:r>
      <w:r w:rsidRPr="00B86EF3" w:rsidR="008766DC">
        <w:rPr>
          <w:rFonts w:cs="Times New Roman"/>
          <w:szCs w:val="24"/>
        </w:rPr>
        <w:t>will be used for data analysis</w:t>
      </w:r>
      <w:r w:rsidRPr="00B86EF3" w:rsidR="00793C4C">
        <w:rPr>
          <w:rFonts w:cs="Times New Roman"/>
          <w:szCs w:val="24"/>
        </w:rPr>
        <w:t xml:space="preserve">, will be provided to NHTSA, and may be used in public presentations, such as at a </w:t>
      </w:r>
      <w:r w:rsidRPr="00B86EF3" w:rsidR="00592D24">
        <w:rPr>
          <w:rFonts w:cs="Times New Roman"/>
          <w:szCs w:val="24"/>
        </w:rPr>
        <w:t>professional conference.</w:t>
      </w:r>
      <w:r w:rsidRPr="00E008E1" w:rsidR="00E008E1">
        <w:rPr>
          <w:color w:val="000000" w:themeColor="text1"/>
        </w:rPr>
        <w:t xml:space="preserve"> </w:t>
      </w:r>
      <w:r w:rsidR="00E008E1">
        <w:rPr>
          <w:color w:val="000000" w:themeColor="text1"/>
        </w:rPr>
        <w:t>This data collection does not require a SORN or a PIA.</w:t>
      </w:r>
    </w:p>
    <w:p w:rsidR="0069588D" w:rsidP="00C05B3C" w14:paraId="4CB994BE" w14:textId="77777777">
      <w:pPr>
        <w:numPr>
          <w:ilvl w:val="0"/>
          <w:numId w:val="1"/>
        </w:numPr>
        <w:spacing w:line="240" w:lineRule="auto"/>
        <w:rPr>
          <w:b/>
        </w:rPr>
      </w:pPr>
      <w:bookmarkStart w:id="22" w:name="_Hlk51331086"/>
      <w:r w:rsidRPr="00B676D5">
        <w:rPr>
          <w:b/>
        </w:rPr>
        <w:t xml:space="preserve">Provide additional justification for any questions of a sensitive nature, such as sexual behavior and </w:t>
      </w:r>
      <w:r w:rsidRPr="00C05B3C">
        <w:rPr>
          <w:rFonts w:cs="Times New Roman"/>
          <w:b/>
          <w:szCs w:val="24"/>
        </w:rPr>
        <w:t>attitudes</w:t>
      </w:r>
      <w:r w:rsidRPr="00B676D5">
        <w:rPr>
          <w:b/>
        </w:rPr>
        <w:t xml:space="preserve">, religious beliefs, and other matters that are commonly considered private. This justification should include the reasons why the agency considers the questions necessary, the specific uses to be made of the information, the explanation to be given to </w:t>
      </w:r>
      <w:r w:rsidRPr="00B676D5">
        <w:rPr>
          <w:b/>
        </w:rPr>
        <w:t>persons</w:t>
      </w:r>
      <w:r w:rsidRPr="00B676D5">
        <w:rPr>
          <w:b/>
        </w:rPr>
        <w:t xml:space="preserve"> from whom the information is requested, and any steps to be taken to obtain their consent.</w:t>
      </w:r>
    </w:p>
    <w:p w:rsidR="00531F86" w:rsidRPr="00531F86" w:rsidP="00C05B3C" w14:paraId="7FFBE9BC" w14:textId="2CB62499">
      <w:pPr>
        <w:spacing w:line="240" w:lineRule="auto"/>
        <w:ind w:left="720"/>
        <w:rPr>
          <w:bCs/>
        </w:rPr>
      </w:pPr>
      <w:r w:rsidRPr="00531F86">
        <w:rPr>
          <w:bCs/>
        </w:rPr>
        <w:t>Th</w:t>
      </w:r>
      <w:r w:rsidR="00CB1ADD">
        <w:rPr>
          <w:bCs/>
        </w:rPr>
        <w:t xml:space="preserve">is information </w:t>
      </w:r>
      <w:r w:rsidRPr="00C05B3C" w:rsidR="00CB1ADD">
        <w:rPr>
          <w:rFonts w:cs="Times New Roman"/>
          <w:szCs w:val="24"/>
        </w:rPr>
        <w:t>collection</w:t>
      </w:r>
      <w:r w:rsidRPr="00531F86">
        <w:rPr>
          <w:bCs/>
        </w:rPr>
        <w:t xml:space="preserve"> do</w:t>
      </w:r>
      <w:r w:rsidR="009D2E7E">
        <w:rPr>
          <w:bCs/>
        </w:rPr>
        <w:t>es</w:t>
      </w:r>
      <w:r w:rsidRPr="00531F86">
        <w:rPr>
          <w:bCs/>
        </w:rPr>
        <w:t xml:space="preserve"> not </w:t>
      </w:r>
      <w:r w:rsidR="00DB5180">
        <w:rPr>
          <w:bCs/>
        </w:rPr>
        <w:t>include</w:t>
      </w:r>
      <w:r w:rsidRPr="00531F86" w:rsidR="00DB5180">
        <w:rPr>
          <w:bCs/>
        </w:rPr>
        <w:t xml:space="preserve"> </w:t>
      </w:r>
      <w:r w:rsidRPr="00531F86">
        <w:rPr>
          <w:bCs/>
        </w:rPr>
        <w:t xml:space="preserve">any </w:t>
      </w:r>
      <w:r w:rsidR="00A1240C">
        <w:rPr>
          <w:bCs/>
        </w:rPr>
        <w:t>questions</w:t>
      </w:r>
      <w:r w:rsidRPr="00531F86" w:rsidR="00A1240C">
        <w:rPr>
          <w:bCs/>
        </w:rPr>
        <w:t xml:space="preserve"> </w:t>
      </w:r>
      <w:r w:rsidRPr="00531F86">
        <w:rPr>
          <w:bCs/>
        </w:rPr>
        <w:t xml:space="preserve">believed to be of a </w:t>
      </w:r>
      <w:r w:rsidRPr="00531F86">
        <w:rPr>
          <w:bCs/>
        </w:rPr>
        <w:t>sensitive nature.</w:t>
      </w:r>
    </w:p>
    <w:p w:rsidR="0069588D" w:rsidRPr="00261A6E" w:rsidP="00C05B3C" w14:paraId="48C8BD46" w14:textId="77777777">
      <w:pPr>
        <w:numPr>
          <w:ilvl w:val="0"/>
          <w:numId w:val="1"/>
        </w:numPr>
        <w:spacing w:line="240" w:lineRule="auto"/>
        <w:rPr>
          <w:rFonts w:cs="Times New Roman"/>
          <w:b/>
          <w:szCs w:val="24"/>
        </w:rPr>
      </w:pPr>
      <w:bookmarkStart w:id="23" w:name="_Hlk51332070"/>
      <w:bookmarkEnd w:id="22"/>
      <w:r w:rsidRPr="00261A6E">
        <w:rPr>
          <w:rFonts w:cs="Times New Roman"/>
          <w:b/>
          <w:szCs w:val="24"/>
        </w:rPr>
        <w:t xml:space="preserve">Provide </w:t>
      </w:r>
      <w:r w:rsidRPr="00C05B3C">
        <w:rPr>
          <w:b/>
        </w:rPr>
        <w:t>estimates</w:t>
      </w:r>
      <w:r w:rsidRPr="00261A6E">
        <w:rPr>
          <w:rFonts w:cs="Times New Roman"/>
          <w:b/>
          <w:szCs w:val="24"/>
        </w:rPr>
        <w:t xml:space="preserve">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23"/>
    <w:p w:rsidR="001D28DA" w:rsidP="00C05B3C" w14:paraId="4653C43B" w14:textId="2FF1697C">
      <w:pPr>
        <w:spacing w:line="240" w:lineRule="auto"/>
        <w:ind w:left="720"/>
      </w:pPr>
      <w:r w:rsidRPr="00901070">
        <w:t xml:space="preserve">As described </w:t>
      </w:r>
      <w:r w:rsidRPr="006D4BE7">
        <w:t xml:space="preserve">above, </w:t>
      </w:r>
      <w:r w:rsidRPr="00C05B3C">
        <w:rPr>
          <w:rFonts w:cs="Times New Roman"/>
          <w:szCs w:val="24"/>
        </w:rPr>
        <w:t>this</w:t>
      </w:r>
      <w:r w:rsidRPr="006D4BE7">
        <w:t xml:space="preserve"> ICR is for</w:t>
      </w:r>
      <w:r w:rsidR="00FE5120">
        <w:t xml:space="preserve"> four </w:t>
      </w:r>
      <w:r w:rsidRPr="006D4BE7">
        <w:t xml:space="preserve">information collections that will be part of a one-time study. </w:t>
      </w:r>
      <w:bookmarkStart w:id="24" w:name="_Hlk166732747"/>
      <w:r w:rsidRPr="006D4BE7">
        <w:t xml:space="preserve">The </w:t>
      </w:r>
      <w:r w:rsidR="00FE5120">
        <w:t>four</w:t>
      </w:r>
      <w:r w:rsidRPr="006D4BE7" w:rsidR="00F57D88">
        <w:t xml:space="preserve"> </w:t>
      </w:r>
      <w:r w:rsidRPr="006D4BE7">
        <w:t xml:space="preserve">information collections include: </w:t>
      </w:r>
      <w:r w:rsidRPr="006D4BE7" w:rsidR="0016642E">
        <w:t xml:space="preserve">(1) a </w:t>
      </w:r>
      <w:r w:rsidR="00CF2628">
        <w:t>screening</w:t>
      </w:r>
      <w:r w:rsidRPr="006D4BE7" w:rsidR="0016642E">
        <w:t xml:space="preserve"> questionnaire</w:t>
      </w:r>
      <w:r w:rsidRPr="006A6F62" w:rsidR="0016642E">
        <w:t>; (2) an informed consent form</w:t>
      </w:r>
      <w:r w:rsidRPr="005209FC" w:rsidR="0016642E">
        <w:t xml:space="preserve">; </w:t>
      </w:r>
      <w:r w:rsidR="00DA1FFE">
        <w:t xml:space="preserve">and </w:t>
      </w:r>
      <w:r w:rsidR="0016642E">
        <w:t>(</w:t>
      </w:r>
      <w:r w:rsidR="003D50FC">
        <w:t>3</w:t>
      </w:r>
      <w:r w:rsidR="0016642E">
        <w:t xml:space="preserve">) </w:t>
      </w:r>
      <w:r w:rsidRPr="005209FC" w:rsidR="0016642E">
        <w:t>a stud</w:t>
      </w:r>
      <w:r w:rsidRPr="0048519B" w:rsidR="0016642E">
        <w:t xml:space="preserve">y drive. </w:t>
      </w:r>
      <w:r>
        <w:t>The burden associated with each is described below.</w:t>
      </w:r>
      <w:bookmarkStart w:id="25" w:name="_Hlk166732803"/>
      <w:bookmarkEnd w:id="24"/>
    </w:p>
    <w:p w:rsidR="001D28DA" w:rsidRPr="00AD502A" w:rsidP="00EA5BD6" w14:paraId="1036B7C4" w14:textId="2296F450">
      <w:pPr>
        <w:pStyle w:val="ListParagraph"/>
        <w:numPr>
          <w:ilvl w:val="0"/>
          <w:numId w:val="13"/>
        </w:numPr>
        <w:spacing w:line="240" w:lineRule="auto"/>
      </w:pPr>
      <w:r>
        <w:t>Screening</w:t>
      </w:r>
      <w:r w:rsidRPr="00AD502A">
        <w:t xml:space="preserve"> </w:t>
      </w:r>
      <w:r w:rsidRPr="00AD502A" w:rsidR="00F96592">
        <w:t>Q</w:t>
      </w:r>
      <w:r w:rsidRPr="00AD502A">
        <w:t>uestionnaire</w:t>
      </w:r>
    </w:p>
    <w:p w:rsidR="00324BD0" w:rsidRPr="00C476D1" w:rsidP="00C05B3C" w14:paraId="5B17E659" w14:textId="2145F6D1">
      <w:pPr>
        <w:spacing w:line="240" w:lineRule="auto"/>
        <w:ind w:left="720"/>
      </w:pPr>
      <w:r>
        <w:t xml:space="preserve">Up to </w:t>
      </w:r>
      <w:r w:rsidR="0002443E">
        <w:t>3</w:t>
      </w:r>
      <w:r w:rsidR="008828CE">
        <w:t xml:space="preserve">00 </w:t>
      </w:r>
      <w:r>
        <w:t xml:space="preserve">potential </w:t>
      </w:r>
      <w:bookmarkEnd w:id="25"/>
      <w:r w:rsidR="00D970B3">
        <w:t xml:space="preserve">participants </w:t>
      </w:r>
      <w:r>
        <w:t xml:space="preserve">from the third-party recruiter’s database will be contacted via </w:t>
      </w:r>
      <w:r w:rsidR="00A56970">
        <w:t>phone and</w:t>
      </w:r>
      <w:r>
        <w:t xml:space="preserve"> will receive basic information about the testing and compensation for completion of the study ($</w:t>
      </w:r>
      <w:r w:rsidR="008828CE">
        <w:t>375 or $300</w:t>
      </w:r>
      <w:r>
        <w:t xml:space="preserve">). Interested </w:t>
      </w:r>
      <w:r w:rsidR="00D970B3">
        <w:t>participants</w:t>
      </w:r>
      <w:r>
        <w:t xml:space="preserve"> will </w:t>
      </w:r>
      <w:r w:rsidR="00CF2628">
        <w:t>complete the screening questionnaire (</w:t>
      </w:r>
      <w:r w:rsidRPr="60446BBD" w:rsidR="00CF2628">
        <w:rPr>
          <w:i/>
          <w:iCs/>
        </w:rPr>
        <w:t>NHTSA Form 2112</w:t>
      </w:r>
      <w:r w:rsidR="00CF2628">
        <w:t>)</w:t>
      </w:r>
      <w:r w:rsidR="306F4EFB">
        <w:t xml:space="preserve"> by</w:t>
      </w:r>
      <w:r w:rsidR="00CF2628">
        <w:t xml:space="preserve"> </w:t>
      </w:r>
      <w:r>
        <w:t>answer</w:t>
      </w:r>
      <w:r w:rsidR="59724ED5">
        <w:t>ing</w:t>
      </w:r>
      <w:r>
        <w:t xml:space="preserve"> </w:t>
      </w:r>
      <w:r w:rsidR="056A8A34">
        <w:t>the</w:t>
      </w:r>
      <w:r>
        <w:t xml:space="preserve"> </w:t>
      </w:r>
      <w:r w:rsidR="362BE7C3">
        <w:t>questions</w:t>
      </w:r>
      <w:r>
        <w:t xml:space="preserve"> over the phone to determine if they qualify for the study. </w:t>
      </w:r>
      <w:r w:rsidR="00D970B3">
        <w:t>Participants</w:t>
      </w:r>
      <w:r>
        <w:t xml:space="preserve"> are expected to take an estimated average of 15 minutes</w:t>
      </w:r>
      <w:r>
        <w:t xml:space="preserve"> to complete the </w:t>
      </w:r>
      <w:r w:rsidR="262994BA">
        <w:t>s</w:t>
      </w:r>
      <w:r w:rsidR="00CF2628">
        <w:t>creening</w:t>
      </w:r>
      <w:r>
        <w:t xml:space="preserve"> questionnaire. </w:t>
      </w:r>
      <w:r w:rsidR="0096283A">
        <w:t>To</w:t>
      </w:r>
      <w:r>
        <w:t xml:space="preserve"> estimate the total annual burden associated with this information collection, NHTSA assumes that there are, on average, </w:t>
      </w:r>
      <w:r w:rsidR="0080237F">
        <w:t>100</w:t>
      </w:r>
      <w:r>
        <w:t xml:space="preserve"> </w:t>
      </w:r>
      <w:r w:rsidR="00D970B3">
        <w:t>participants</w:t>
      </w:r>
      <w:r>
        <w:t xml:space="preserve"> to the </w:t>
      </w:r>
      <w:r w:rsidR="51816880">
        <w:t>s</w:t>
      </w:r>
      <w:r w:rsidR="00CF2628">
        <w:t>creening</w:t>
      </w:r>
      <w:r>
        <w:t xml:space="preserve"> questionnaire per year (</w:t>
      </w:r>
      <w:bookmarkStart w:id="26" w:name="_Hlk166733639"/>
      <w:r w:rsidR="0080237F">
        <w:t>3</w:t>
      </w:r>
      <w:r w:rsidR="00C00CA5">
        <w:t xml:space="preserve">00 </w:t>
      </w:r>
      <w:r>
        <w:t xml:space="preserve">potential </w:t>
      </w:r>
      <w:r w:rsidR="00D970B3">
        <w:t>participants</w:t>
      </w:r>
      <w:r>
        <w:t xml:space="preserve"> </w:t>
      </w:r>
      <w:r w:rsidRPr="60446BBD">
        <w:rPr>
          <w:rFonts w:cs="Times New Roman"/>
        </w:rPr>
        <w:t>÷</w:t>
      </w:r>
      <w:r>
        <w:t xml:space="preserve"> 3 years = </w:t>
      </w:r>
      <w:r w:rsidR="0080237F">
        <w:t>100</w:t>
      </w:r>
      <w:r>
        <w:t xml:space="preserve"> </w:t>
      </w:r>
      <w:r w:rsidR="00D970B3">
        <w:t>participants</w:t>
      </w:r>
      <w:r>
        <w:t>)</w:t>
      </w:r>
      <w:bookmarkEnd w:id="26"/>
      <w:r>
        <w:t xml:space="preserve">. </w:t>
      </w:r>
    </w:p>
    <w:p w:rsidR="00324BD0" w:rsidRPr="00C476D1" w:rsidP="00C05B3C" w14:paraId="3EECDE3E" w14:textId="7FDCB0A5">
      <w:pPr>
        <w:spacing w:line="240" w:lineRule="auto"/>
        <w:ind w:left="720"/>
      </w:pPr>
      <w:r>
        <w:t xml:space="preserve">It is estimated that </w:t>
      </w:r>
      <w:r w:rsidR="00030B76">
        <w:t xml:space="preserve">approximately </w:t>
      </w:r>
      <w:r>
        <w:t xml:space="preserve">35% of those who begin the </w:t>
      </w:r>
      <w:r w:rsidR="4314691F">
        <w:t>s</w:t>
      </w:r>
      <w:r w:rsidR="00CF2628">
        <w:t>creening</w:t>
      </w:r>
      <w:r>
        <w:t xml:space="preserve"> questionnaire will be eligible and </w:t>
      </w:r>
      <w:r w:rsidR="5AA179E0">
        <w:t xml:space="preserve">will </w:t>
      </w:r>
      <w:r>
        <w:t xml:space="preserve">agree to participate in the study. As such, we anticipate conducting a maximum of </w:t>
      </w:r>
      <w:r w:rsidR="0002443E">
        <w:t>3</w:t>
      </w:r>
      <w:r w:rsidR="00EE02AD">
        <w:t xml:space="preserve">00 </w:t>
      </w:r>
      <w:r>
        <w:t xml:space="preserve">individual </w:t>
      </w:r>
      <w:r w:rsidR="3C549563">
        <w:t>s</w:t>
      </w:r>
      <w:r w:rsidR="00CF2628">
        <w:t>creening</w:t>
      </w:r>
      <w:r>
        <w:t xml:space="preserve"> interviews to recruit the necessary participants for the information collection. </w:t>
      </w:r>
      <w:bookmarkStart w:id="27" w:name="_Hlk210825417"/>
      <w:r>
        <w:t xml:space="preserve">While the goal is </w:t>
      </w:r>
      <w:r w:rsidR="00EE02AD">
        <w:t xml:space="preserve">36 </w:t>
      </w:r>
      <w:r>
        <w:t>final participants</w:t>
      </w:r>
      <w:r w:rsidR="00E613A8">
        <w:t xml:space="preserve"> per experiment</w:t>
      </w:r>
      <w:r>
        <w:t xml:space="preserve">, the research team will ensure eligibility and interest of </w:t>
      </w:r>
      <w:r w:rsidR="000E1DAA">
        <w:t xml:space="preserve">up to </w:t>
      </w:r>
      <w:r w:rsidR="00C346B7">
        <w:t>96</w:t>
      </w:r>
      <w:r>
        <w:t xml:space="preserve"> participants</w:t>
      </w:r>
      <w:r w:rsidR="00C346B7">
        <w:t xml:space="preserve"> total</w:t>
      </w:r>
      <w:r>
        <w:t xml:space="preserve"> to account for potential attrition</w:t>
      </w:r>
      <w:r w:rsidR="00E23CB8">
        <w:t xml:space="preserve"> and replacement</w:t>
      </w:r>
      <w:r>
        <w:t>.</w:t>
      </w:r>
      <w:bookmarkEnd w:id="27"/>
      <w:r>
        <w:t xml:space="preserve"> </w:t>
      </w:r>
      <w:r w:rsidR="002F5914">
        <w:t>Therefore</w:t>
      </w:r>
      <w:r w:rsidR="00B60D5F">
        <w:t xml:space="preserve">, all data collections other than the </w:t>
      </w:r>
      <w:r w:rsidR="4E89E2DF">
        <w:t>s</w:t>
      </w:r>
      <w:r w:rsidR="00CF2628">
        <w:t>creening</w:t>
      </w:r>
      <w:r w:rsidR="00410A54">
        <w:t xml:space="preserve"> questionnaire are </w:t>
      </w:r>
      <w:r w:rsidR="00801C3E">
        <w:t xml:space="preserve">expected to involve </w:t>
      </w:r>
      <w:r w:rsidR="00A61D4F">
        <w:t>96</w:t>
      </w:r>
      <w:r w:rsidR="00801C3E">
        <w:t xml:space="preserve"> </w:t>
      </w:r>
      <w:r w:rsidR="00D970B3">
        <w:t>participants</w:t>
      </w:r>
      <w:r w:rsidR="00801C3E">
        <w:t>.</w:t>
      </w:r>
      <w:r w:rsidR="00B60D5F">
        <w:t xml:space="preserve"> </w:t>
      </w:r>
      <w:r w:rsidR="00E23CB8">
        <w:t>To</w:t>
      </w:r>
      <w:r>
        <w:t xml:space="preserve"> estimate the total annual burden associated with </w:t>
      </w:r>
      <w:r w:rsidR="502A7965">
        <w:t xml:space="preserve">this </w:t>
      </w:r>
      <w:r>
        <w:t xml:space="preserve">information collection involving the </w:t>
      </w:r>
      <w:r w:rsidR="00A61D4F">
        <w:t>96</w:t>
      </w:r>
      <w:r>
        <w:t xml:space="preserve"> research participants, NHTSA assumes that there are, on average, </w:t>
      </w:r>
      <w:r w:rsidR="002869E3">
        <w:t>32</w:t>
      </w:r>
      <w:r>
        <w:t xml:space="preserve"> </w:t>
      </w:r>
      <w:r w:rsidR="00D970B3">
        <w:t>participants</w:t>
      </w:r>
      <w:r>
        <w:t xml:space="preserve"> per year (</w:t>
      </w:r>
      <w:r w:rsidR="00A61D4F">
        <w:t>96</w:t>
      </w:r>
      <w:r>
        <w:t xml:space="preserve"> research participants ÷ 3 years = </w:t>
      </w:r>
      <w:r w:rsidR="002869E3">
        <w:t>32</w:t>
      </w:r>
      <w:r>
        <w:t xml:space="preserve"> </w:t>
      </w:r>
      <w:r w:rsidR="00D970B3">
        <w:t>participants</w:t>
      </w:r>
      <w:r>
        <w:t xml:space="preserve">). </w:t>
      </w:r>
    </w:p>
    <w:p w:rsidR="001D28DA" w:rsidP="00EA5BD6" w14:paraId="74C80EDB" w14:textId="0E7AF4F7">
      <w:pPr>
        <w:pStyle w:val="ListParagraph"/>
        <w:numPr>
          <w:ilvl w:val="0"/>
          <w:numId w:val="13"/>
        </w:numPr>
        <w:spacing w:line="240" w:lineRule="auto"/>
      </w:pPr>
      <w:r>
        <w:t>I</w:t>
      </w:r>
      <w:r w:rsidRPr="006A6F62">
        <w:t xml:space="preserve">nformed </w:t>
      </w:r>
      <w:r>
        <w:t>C</w:t>
      </w:r>
      <w:r w:rsidRPr="006A6F62">
        <w:t xml:space="preserve">onsent </w:t>
      </w:r>
      <w:r>
        <w:t>F</w:t>
      </w:r>
      <w:r w:rsidRPr="006A6F62">
        <w:t>orm</w:t>
      </w:r>
      <w:r w:rsidR="00CF2628">
        <w:t xml:space="preserve"> </w:t>
      </w:r>
    </w:p>
    <w:p w:rsidR="00F96592" w:rsidP="00F96592" w14:paraId="6C2AD432" w14:textId="07EF9B91">
      <w:pPr>
        <w:spacing w:line="240" w:lineRule="auto"/>
        <w:ind w:left="720"/>
      </w:pPr>
      <w:r>
        <w:t xml:space="preserve">Up to 96 </w:t>
      </w:r>
      <w:r w:rsidR="00324BD0">
        <w:t xml:space="preserve">eligible </w:t>
      </w:r>
      <w:r w:rsidR="00D970B3">
        <w:t>participants</w:t>
      </w:r>
      <w:r w:rsidR="00324BD0">
        <w:t xml:space="preserve"> </w:t>
      </w:r>
      <w:bookmarkStart w:id="28" w:name="_Hlk166733760"/>
      <w:r w:rsidR="00324BD0">
        <w:t xml:space="preserve">will be given an appointment to </w:t>
      </w:r>
      <w:r>
        <w:t>participate in the study</w:t>
      </w:r>
      <w:r w:rsidR="00324BD0">
        <w:t>. Each respondent will begin with a consenting process</w:t>
      </w:r>
      <w:r w:rsidR="44AF7C71">
        <w:t>, which</w:t>
      </w:r>
      <w:r w:rsidR="00487283">
        <w:t xml:space="preserve"> </w:t>
      </w:r>
      <w:r w:rsidR="00324BD0">
        <w:t>includes an overview of the study and an explanation of the informed consent form</w:t>
      </w:r>
      <w:r w:rsidR="001B4426">
        <w:t xml:space="preserve">. </w:t>
      </w:r>
      <w:r w:rsidR="005A65B7">
        <w:t xml:space="preserve">The </w:t>
      </w:r>
      <w:r w:rsidR="5862EEA3">
        <w:t xml:space="preserve">consent </w:t>
      </w:r>
      <w:r w:rsidR="005A65B7">
        <w:t>form completed by p</w:t>
      </w:r>
      <w:r w:rsidR="00C21C80">
        <w:t>articipants</w:t>
      </w:r>
      <w:r w:rsidR="4588E12A">
        <w:t>,</w:t>
      </w:r>
      <w:r w:rsidR="00C21C80">
        <w:t xml:space="preserve"> who will take part in the </w:t>
      </w:r>
      <w:r w:rsidR="00357ADC">
        <w:t>Test Track Experimental Drive</w:t>
      </w:r>
      <w:r w:rsidR="005A65B7">
        <w:t xml:space="preserve"> (</w:t>
      </w:r>
      <w:r w:rsidRPr="6808A7E3" w:rsidR="00E23A15">
        <w:rPr>
          <w:i/>
          <w:iCs/>
        </w:rPr>
        <w:t>NHTSA Form 2113)</w:t>
      </w:r>
      <w:r w:rsidR="00357ADC">
        <w:t xml:space="preserve"> and in the </w:t>
      </w:r>
      <w:r w:rsidR="003C6CA2">
        <w:t>Cones Course Experimental Drive</w:t>
      </w:r>
      <w:r w:rsidR="00E23A15">
        <w:t xml:space="preserve"> (</w:t>
      </w:r>
      <w:r w:rsidRPr="6808A7E3" w:rsidR="00E23A15">
        <w:rPr>
          <w:i/>
          <w:iCs/>
        </w:rPr>
        <w:t>NHTSA Form 2115)</w:t>
      </w:r>
      <w:r w:rsidR="003C6CA2">
        <w:t xml:space="preserve"> </w:t>
      </w:r>
      <w:r w:rsidR="00573D85">
        <w:t xml:space="preserve">are identical </w:t>
      </w:r>
      <w:r w:rsidR="00573D85">
        <w:t xml:space="preserve">except </w:t>
      </w:r>
      <w:r w:rsidR="00096019">
        <w:t xml:space="preserve">the </w:t>
      </w:r>
      <w:r w:rsidR="00F36A46">
        <w:t xml:space="preserve">location of the study drive (test track or cones course), </w:t>
      </w:r>
      <w:r w:rsidR="00573D85">
        <w:t>the time required by the participant</w:t>
      </w:r>
      <w:r w:rsidR="55C3D795">
        <w:t xml:space="preserve"> to complete the test</w:t>
      </w:r>
      <w:r w:rsidR="00573D85">
        <w:t xml:space="preserve"> (Test Track: </w:t>
      </w:r>
      <w:r w:rsidR="005F79D9">
        <w:t>150</w:t>
      </w:r>
      <w:r w:rsidR="00573D85">
        <w:t xml:space="preserve"> minutes, Cones Course:</w:t>
      </w:r>
      <w:r w:rsidR="00096019">
        <w:t>120 minutes</w:t>
      </w:r>
      <w:r w:rsidR="00573D85">
        <w:t xml:space="preserve"> )</w:t>
      </w:r>
      <w:r w:rsidR="00F36A46">
        <w:t>,</w:t>
      </w:r>
      <w:r w:rsidR="006A71F6">
        <w:t xml:space="preserve"> and the amount of compensation the participant will receive (Test Track:</w:t>
      </w:r>
      <w:r w:rsidR="00EF3255">
        <w:t xml:space="preserve"> $375</w:t>
      </w:r>
      <w:r w:rsidR="006A71F6">
        <w:t>, Cones Course:</w:t>
      </w:r>
      <w:r w:rsidR="00EF3255">
        <w:t xml:space="preserve"> $300</w:t>
      </w:r>
      <w:r w:rsidR="006A71F6">
        <w:t>)</w:t>
      </w:r>
      <w:r w:rsidR="00324BD0">
        <w:t>. This consenting process is expected to take 15 minutes.</w:t>
      </w:r>
      <w:bookmarkEnd w:id="28"/>
      <w:r w:rsidR="00324BD0">
        <w:t xml:space="preserve"> Based on experience with similar studies, the screening process via phone provides sufficient information to participants to determine their interest in the study, thus little to no attrition is expected </w:t>
      </w:r>
      <w:r w:rsidR="001F1C6D">
        <w:t>d</w:t>
      </w:r>
      <w:r w:rsidR="00845D31">
        <w:t>uring the informed consent process</w:t>
      </w:r>
      <w:r w:rsidR="00324BD0">
        <w:t xml:space="preserve">. </w:t>
      </w:r>
    </w:p>
    <w:p w:rsidR="00324BD0" w:rsidRPr="00EA5BD6" w:rsidP="00F96592" w14:paraId="22A962A0" w14:textId="13FC2489">
      <w:pPr>
        <w:pStyle w:val="ListParagraph"/>
        <w:numPr>
          <w:ilvl w:val="0"/>
          <w:numId w:val="13"/>
        </w:numPr>
        <w:spacing w:line="240" w:lineRule="auto"/>
      </w:pPr>
      <w:r w:rsidRPr="00EA5BD6">
        <w:t xml:space="preserve">Study </w:t>
      </w:r>
      <w:r w:rsidR="00EA5BD6">
        <w:t>D</w:t>
      </w:r>
      <w:r w:rsidRPr="00EA5BD6" w:rsidR="001D28DA">
        <w:t>rive</w:t>
      </w:r>
    </w:p>
    <w:p w:rsidR="00155821" w:rsidP="00EA5BD6" w14:paraId="0C448A63" w14:textId="6A9E44C9">
      <w:pPr>
        <w:spacing w:line="240" w:lineRule="auto"/>
        <w:ind w:left="720"/>
      </w:pPr>
      <w:r>
        <w:t xml:space="preserve">Up to 96 </w:t>
      </w:r>
      <w:r w:rsidR="00EA5BD6">
        <w:t xml:space="preserve">participants will complete an experimental study drive. </w:t>
      </w:r>
      <w:r>
        <w:t xml:space="preserve">NHTSA is seeking a target of 72 participants total (36 participants per experiment); however, burden and cost estimates have been calculated for 96 participants (48 participants per experiment) to account of possible attrition or the potential need to replace a participant </w:t>
      </w:r>
      <w:r w:rsidR="009B2C86">
        <w:t xml:space="preserve">due to unforeseen circumstances </w:t>
      </w:r>
      <w:r>
        <w:t>to help ensure the target is met.</w:t>
      </w:r>
    </w:p>
    <w:p w:rsidR="00EA5BD6" w:rsidP="00EA5BD6" w14:paraId="24813CD5" w14:textId="080C4C5B">
      <w:pPr>
        <w:spacing w:line="240" w:lineRule="auto"/>
        <w:ind w:left="720"/>
      </w:pPr>
      <w:r>
        <w:t xml:space="preserve">Half of participants </w:t>
      </w:r>
      <w:r w:rsidR="7178ACE7">
        <w:t xml:space="preserve">(48) </w:t>
      </w:r>
      <w:r>
        <w:t xml:space="preserve">will complete the Test Task </w:t>
      </w:r>
      <w:r w:rsidR="00F96592">
        <w:t xml:space="preserve">Experimental </w:t>
      </w:r>
      <w:r>
        <w:t>Drive</w:t>
      </w:r>
      <w:r w:rsidR="3EC8C5BC">
        <w:t>,</w:t>
      </w:r>
      <w:r>
        <w:t xml:space="preserve"> and</w:t>
      </w:r>
      <w:r w:rsidR="2FE5B129">
        <w:t xml:space="preserve"> the other</w:t>
      </w:r>
      <w:r>
        <w:t xml:space="preserve"> half </w:t>
      </w:r>
      <w:r w:rsidR="00155821">
        <w:t xml:space="preserve">(48) </w:t>
      </w:r>
      <w:r>
        <w:t xml:space="preserve">will complete the Cones Course </w:t>
      </w:r>
      <w:r w:rsidR="001C2DDB">
        <w:t xml:space="preserve">Experimental </w:t>
      </w:r>
      <w:r>
        <w:t xml:space="preserve">Drive. </w:t>
      </w:r>
    </w:p>
    <w:p w:rsidR="00F96592" w:rsidP="00F96592" w14:paraId="32BC8792" w14:textId="389DCB28">
      <w:pPr>
        <w:spacing w:line="240" w:lineRule="auto"/>
        <w:ind w:left="720"/>
      </w:pPr>
      <w:r w:rsidRPr="6808A7E3">
        <w:rPr>
          <w:u w:val="single"/>
        </w:rPr>
        <w:t>Test Track Experimental Drive.</w:t>
      </w:r>
      <w:r>
        <w:t xml:space="preserve"> Up to 48 participants will complete the </w:t>
      </w:r>
      <w:r>
        <w:t>test track</w:t>
      </w:r>
      <w:r>
        <w:t xml:space="preserve"> experimental drive. </w:t>
      </w:r>
      <w:r w:rsidR="00155821">
        <w:t xml:space="preserve">The </w:t>
      </w:r>
      <w:r w:rsidR="00950DE3">
        <w:t>drive</w:t>
      </w:r>
      <w:r w:rsidR="00155821">
        <w:t xml:space="preserve"> will take place on Exponent’s test track. </w:t>
      </w:r>
      <w:bookmarkStart w:id="29" w:name="_Hlk210826500"/>
      <w:r w:rsidR="00950DE3">
        <w:t xml:space="preserve">Participants will perform study tasks as instructed by an experimenter including performing tasks on a mobile device and driving around the test track. </w:t>
      </w:r>
      <w:r w:rsidR="00155821">
        <w:t xml:space="preserve">Data will be collected electronically from within the study-provided vehicle. Data will be collected </w:t>
      </w:r>
      <w:r w:rsidR="00950DE3">
        <w:t>by the experimenter who will provide instructions to the participant and will observe participant performance</w:t>
      </w:r>
      <w:r w:rsidR="00EC23BD">
        <w:t>;</w:t>
      </w:r>
      <w:r w:rsidR="00950DE3">
        <w:t xml:space="preserve"> </w:t>
      </w:r>
      <w:r w:rsidR="00155821">
        <w:t>using GoPro cameras</w:t>
      </w:r>
      <w:r w:rsidR="00950DE3">
        <w:t xml:space="preserve"> that will monitor the participant and the driving environment</w:t>
      </w:r>
      <w:r w:rsidR="00EC23BD">
        <w:t>;</w:t>
      </w:r>
      <w:r w:rsidR="00950DE3">
        <w:t xml:space="preserve"> and using </w:t>
      </w:r>
      <w:r w:rsidR="00155821">
        <w:t xml:space="preserve">the </w:t>
      </w:r>
      <w:r w:rsidR="00155821">
        <w:t>Ergoneers</w:t>
      </w:r>
      <w:r w:rsidR="00155821">
        <w:t xml:space="preserve"> </w:t>
      </w:r>
      <w:r w:rsidR="00155821">
        <w:t>Dikablis</w:t>
      </w:r>
      <w:r w:rsidR="00155821">
        <w:t xml:space="preserve"> Glasses X eye-tracking system, which will record gaze position, pupil diameter, and blink behavior. </w:t>
      </w:r>
      <w:bookmarkEnd w:id="29"/>
      <w:r w:rsidR="00BB4F38">
        <w:t>Each participant will receive their compensation after signing a compensation form (</w:t>
      </w:r>
      <w:r w:rsidRPr="6808A7E3" w:rsidR="00BB4F38">
        <w:rPr>
          <w:i/>
          <w:iCs/>
        </w:rPr>
        <w:t>NHTSA Form 2114</w:t>
      </w:r>
      <w:r w:rsidR="00BB4F38">
        <w:t>) acknowledging that they were paid for their participation in full or the appropriate pro-rated amount. Participants will be given an opportunity to ask questions.</w:t>
      </w:r>
      <w:r w:rsidR="00E0580B">
        <w:t xml:space="preserve"> </w:t>
      </w:r>
      <w:r w:rsidR="00950DE3">
        <w:t xml:space="preserve">The entire experimental drive is expected to take an average of </w:t>
      </w:r>
      <w:r w:rsidR="00E0580B">
        <w:t>160</w:t>
      </w:r>
      <w:r w:rsidR="00950DE3">
        <w:t xml:space="preserve"> minutes per participant</w:t>
      </w:r>
      <w:r w:rsidR="3C9DA594">
        <w:t>,</w:t>
      </w:r>
      <w:r w:rsidR="00950DE3">
        <w:t xml:space="preserve"> and each participant will complete the drive only once.</w:t>
      </w:r>
    </w:p>
    <w:p w:rsidR="00950DE3" w:rsidRPr="00324BD0" w:rsidP="00950DE3" w14:paraId="09B945D4" w14:textId="416FC304">
      <w:pPr>
        <w:spacing w:line="240" w:lineRule="auto"/>
        <w:ind w:left="720"/>
        <w:rPr>
          <w:color w:val="FF0000"/>
        </w:rPr>
      </w:pPr>
      <w:r w:rsidRPr="6808A7E3">
        <w:rPr>
          <w:u w:val="single"/>
        </w:rPr>
        <w:t xml:space="preserve">Cones Course </w:t>
      </w:r>
      <w:r w:rsidRPr="6808A7E3" w:rsidR="00815619">
        <w:rPr>
          <w:u w:val="single"/>
        </w:rPr>
        <w:t xml:space="preserve">Experimental </w:t>
      </w:r>
      <w:r w:rsidRPr="6808A7E3">
        <w:rPr>
          <w:u w:val="single"/>
        </w:rPr>
        <w:t>Drive.</w:t>
      </w:r>
      <w:r>
        <w:t xml:space="preserve"> Up to 48 participants will complete the cones course experimental drive. The drive will take place on Exponent’s handling pad, upon which a cone course will be constructed. Participants will perform study tasks as instructed by an experimenter including performing tasks on a mobile device and driving through the cones course</w:t>
      </w:r>
      <w:r w:rsidR="00EC23BD">
        <w:t>.</w:t>
      </w:r>
      <w:r>
        <w:t xml:space="preserve"> Data will be collected by the experimenter</w:t>
      </w:r>
      <w:r w:rsidR="00EC23BD">
        <w:t>,</w:t>
      </w:r>
      <w:r>
        <w:t xml:space="preserve"> who will provide instructions to the participant and will observe participant performance</w:t>
      </w:r>
      <w:r w:rsidR="00EC23BD">
        <w:t>;</w:t>
      </w:r>
      <w:r>
        <w:t xml:space="preserve"> using GoPro cameras that will</w:t>
      </w:r>
      <w:r>
        <w:t xml:space="preserve"> monitor the participant and the driving environment</w:t>
      </w:r>
      <w:r w:rsidR="00EC23BD">
        <w:t>;</w:t>
      </w:r>
      <w:r>
        <w:t xml:space="preserve"> using the </w:t>
      </w:r>
      <w:r>
        <w:t>Ergoneers</w:t>
      </w:r>
      <w:r>
        <w:t xml:space="preserve"> </w:t>
      </w:r>
      <w:r>
        <w:t>Dikablis</w:t>
      </w:r>
      <w:r>
        <w:t xml:space="preserve"> Glasses X eye-tracking system, which will record gaze position, pupil diameter, and blink behavior</w:t>
      </w:r>
      <w:r w:rsidR="00EC23BD">
        <w:t xml:space="preserve">. Drive performance data will also be collected by </w:t>
      </w:r>
      <w:r>
        <w:t>the study-provided vehicle</w:t>
      </w:r>
      <w:r w:rsidR="00815619">
        <w:t>.</w:t>
      </w:r>
      <w:r>
        <w:t xml:space="preserve"> </w:t>
      </w:r>
      <w:r w:rsidR="00E0580B">
        <w:t>Each participant will receive their compensation after signing a compensation form (</w:t>
      </w:r>
      <w:r w:rsidRPr="6808A7E3" w:rsidR="00E0580B">
        <w:rPr>
          <w:i/>
          <w:iCs/>
        </w:rPr>
        <w:t>NHTSA Form 2114</w:t>
      </w:r>
      <w:r w:rsidR="00E0580B">
        <w:t xml:space="preserve">) acknowledging that they were paid for their participation in full or the appropriate pro-rated amount. Participants will be given an opportunity to ask questions. </w:t>
      </w:r>
      <w:r>
        <w:t xml:space="preserve">The entire </w:t>
      </w:r>
      <w:r w:rsidR="00815619">
        <w:t>e</w:t>
      </w:r>
      <w:r>
        <w:t xml:space="preserve">xperimental </w:t>
      </w:r>
      <w:r w:rsidR="00815619">
        <w:t>d</w:t>
      </w:r>
      <w:r>
        <w:t xml:space="preserve">rive is expected to take an average of </w:t>
      </w:r>
      <w:r w:rsidR="00E0580B">
        <w:t>130</w:t>
      </w:r>
      <w:r>
        <w:t xml:space="preserve"> minutes per participant</w:t>
      </w:r>
      <w:r w:rsidR="2967834D">
        <w:t>,</w:t>
      </w:r>
      <w:r>
        <w:t xml:space="preserve"> and each participant will complete the drive only once.</w:t>
      </w:r>
    </w:p>
    <w:p w:rsidR="00EA5BD6" w:rsidRPr="00815619" w:rsidP="00EA5BD6" w14:paraId="530D9257" w14:textId="238E41CD">
      <w:pPr>
        <w:spacing w:line="240" w:lineRule="auto"/>
        <w:ind w:left="720"/>
        <w:rPr>
          <w:b/>
          <w:bCs/>
        </w:rPr>
      </w:pPr>
      <w:r w:rsidRPr="00815619">
        <w:rPr>
          <w:b/>
          <w:bCs/>
        </w:rPr>
        <w:t>Burden Tables</w:t>
      </w:r>
    </w:p>
    <w:p w:rsidR="00324BD0" w:rsidRPr="001D2218" w:rsidP="00C05B3C" w14:paraId="09494C94" w14:textId="14E96183">
      <w:pPr>
        <w:spacing w:line="240" w:lineRule="auto"/>
        <w:ind w:left="720"/>
        <w:rPr>
          <w:color w:val="FF0000"/>
        </w:rPr>
      </w:pPr>
      <w:r>
        <w:t xml:space="preserve">Table 1 describes estimated burden hours for the one-time study. NHTSA estimates that the total burden for the one-time study is </w:t>
      </w:r>
      <w:r w:rsidR="45C17C59">
        <w:t xml:space="preserve">approximately </w:t>
      </w:r>
      <w:r w:rsidR="008B3080">
        <w:t>3</w:t>
      </w:r>
      <w:r w:rsidR="00132FE0">
        <w:t>31</w:t>
      </w:r>
      <w:r w:rsidR="008B3080">
        <w:t xml:space="preserve"> </w:t>
      </w:r>
      <w:r>
        <w:t>hours.</w:t>
      </w:r>
      <w:bookmarkStart w:id="30" w:name="_Hlk166734514"/>
    </w:p>
    <w:p w:rsidR="00324BD0" w:rsidRPr="00E90D3B" w:rsidP="00324BD0" w14:paraId="5C0B876E" w14:textId="2CA5749C">
      <w:pPr>
        <w:keepNext/>
        <w:autoSpaceDE w:val="0"/>
        <w:autoSpaceDN w:val="0"/>
        <w:adjustRightInd w:val="0"/>
        <w:spacing w:after="0"/>
        <w:ind w:right="360"/>
        <w:jc w:val="center"/>
        <w:rPr>
          <w:b/>
          <w:sz w:val="22"/>
        </w:rPr>
      </w:pPr>
      <w:bookmarkStart w:id="31" w:name="_Hlk166597809"/>
      <w:r w:rsidRPr="00977ADE">
        <w:rPr>
          <w:b/>
          <w:sz w:val="22"/>
        </w:rPr>
        <w:t>Table 1:</w:t>
      </w:r>
      <w:r>
        <w:rPr>
          <w:b/>
          <w:sz w:val="22"/>
        </w:rPr>
        <w:t xml:space="preserve"> Total Study</w:t>
      </w:r>
      <w:r w:rsidRPr="00977ADE">
        <w:rPr>
          <w:b/>
          <w:sz w:val="22"/>
        </w:rPr>
        <w:t xml:space="preserve"> Burden </w:t>
      </w:r>
      <w:r>
        <w:rPr>
          <w:b/>
          <w:sz w:val="22"/>
        </w:rPr>
        <w:t>Hours</w:t>
      </w:r>
      <w:r w:rsidR="00F64DAD">
        <w:rPr>
          <w:b/>
          <w:sz w:val="22"/>
        </w:rPr>
        <w:t xml:space="preserve"> </w:t>
      </w:r>
    </w:p>
    <w:tbl>
      <w:tblPr>
        <w:tblStyle w:val="TableGrid"/>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515"/>
        <w:gridCol w:w="1530"/>
        <w:gridCol w:w="1350"/>
        <w:gridCol w:w="1080"/>
        <w:gridCol w:w="1260"/>
        <w:gridCol w:w="1170"/>
        <w:gridCol w:w="1440"/>
      </w:tblGrid>
      <w:tr w14:paraId="4E21E863" w14:textId="6AA02BDB" w:rsidTr="00431B77">
        <w:tblPrEx>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735"/>
          <w:jc w:val="center"/>
        </w:trPr>
        <w:tc>
          <w:tcPr>
            <w:tcW w:w="1515" w:type="dxa"/>
          </w:tcPr>
          <w:p w:rsidR="00324BD0" w:rsidRPr="00447EB6" w:rsidP="000962C3" w14:paraId="4157739B" w14:textId="77777777">
            <w:pPr>
              <w:widowControl w:val="0"/>
              <w:autoSpaceDE w:val="0"/>
              <w:autoSpaceDN w:val="0"/>
              <w:adjustRightInd w:val="0"/>
              <w:jc w:val="center"/>
              <w:rPr>
                <w:b/>
                <w:color w:val="000000"/>
                <w:sz w:val="20"/>
                <w:szCs w:val="20"/>
              </w:rPr>
            </w:pPr>
            <w:r w:rsidRPr="00447EB6">
              <w:rPr>
                <w:b/>
                <w:color w:val="000000" w:themeColor="text1"/>
                <w:sz w:val="20"/>
                <w:szCs w:val="20"/>
              </w:rPr>
              <w:t>Form</w:t>
            </w:r>
            <w:r w:rsidRPr="00447EB6">
              <w:rPr>
                <w:b/>
                <w:color w:val="000000" w:themeColor="text1"/>
                <w:sz w:val="20"/>
                <w:szCs w:val="20"/>
              </w:rPr>
              <w:t xml:space="preserve"> No.</w:t>
            </w:r>
          </w:p>
        </w:tc>
        <w:tc>
          <w:tcPr>
            <w:tcW w:w="1530" w:type="dxa"/>
          </w:tcPr>
          <w:p w:rsidR="00324BD0" w:rsidRPr="00447EB6" w:rsidP="000962C3" w14:paraId="52FAE9AF" w14:textId="77777777">
            <w:pPr>
              <w:widowControl w:val="0"/>
              <w:autoSpaceDE w:val="0"/>
              <w:autoSpaceDN w:val="0"/>
              <w:adjustRightInd w:val="0"/>
              <w:jc w:val="center"/>
              <w:rPr>
                <w:b/>
                <w:color w:val="000000"/>
                <w:sz w:val="20"/>
                <w:szCs w:val="20"/>
              </w:rPr>
            </w:pPr>
            <w:r w:rsidRPr="00447EB6">
              <w:rPr>
                <w:b/>
                <w:color w:val="000000"/>
                <w:sz w:val="20"/>
                <w:szCs w:val="20"/>
              </w:rPr>
              <w:t>Information Collection</w:t>
            </w:r>
          </w:p>
        </w:tc>
        <w:tc>
          <w:tcPr>
            <w:tcW w:w="1350" w:type="dxa"/>
          </w:tcPr>
          <w:p w:rsidR="00324BD0" w:rsidRPr="00447EB6" w:rsidP="000962C3" w14:paraId="7EE3B962" w14:textId="77777777">
            <w:pPr>
              <w:widowControl w:val="0"/>
              <w:autoSpaceDE w:val="0"/>
              <w:autoSpaceDN w:val="0"/>
              <w:adjustRightInd w:val="0"/>
              <w:jc w:val="center"/>
              <w:rPr>
                <w:b/>
                <w:color w:val="000000"/>
                <w:sz w:val="20"/>
                <w:szCs w:val="20"/>
              </w:rPr>
            </w:pPr>
            <w:r w:rsidRPr="00447EB6">
              <w:rPr>
                <w:b/>
                <w:color w:val="000000"/>
                <w:sz w:val="20"/>
                <w:szCs w:val="20"/>
              </w:rPr>
              <w:t>Number of Respondents</w:t>
            </w:r>
          </w:p>
        </w:tc>
        <w:tc>
          <w:tcPr>
            <w:tcW w:w="1080" w:type="dxa"/>
          </w:tcPr>
          <w:p w:rsidR="00324BD0" w:rsidRPr="00447EB6" w:rsidP="000962C3" w14:paraId="014BEA81" w14:textId="77777777">
            <w:pPr>
              <w:widowControl w:val="0"/>
              <w:autoSpaceDE w:val="0"/>
              <w:autoSpaceDN w:val="0"/>
              <w:adjustRightInd w:val="0"/>
              <w:jc w:val="center"/>
              <w:rPr>
                <w:b/>
                <w:color w:val="000000"/>
                <w:sz w:val="20"/>
                <w:szCs w:val="20"/>
              </w:rPr>
            </w:pPr>
            <w:r w:rsidRPr="00447EB6">
              <w:rPr>
                <w:b/>
                <w:color w:val="000000"/>
                <w:sz w:val="20"/>
                <w:szCs w:val="20"/>
              </w:rPr>
              <w:t xml:space="preserve">Time per </w:t>
            </w:r>
            <w:r w:rsidRPr="00447EB6">
              <w:rPr>
                <w:b/>
                <w:color w:val="000000"/>
                <w:sz w:val="20"/>
                <w:szCs w:val="20"/>
              </w:rPr>
              <w:t>Response (minutes)</w:t>
            </w:r>
          </w:p>
        </w:tc>
        <w:tc>
          <w:tcPr>
            <w:tcW w:w="1260" w:type="dxa"/>
          </w:tcPr>
          <w:p w:rsidR="00324BD0" w:rsidRPr="00447EB6" w:rsidP="000962C3" w14:paraId="586FFAC1" w14:textId="77777777">
            <w:pPr>
              <w:widowControl w:val="0"/>
              <w:autoSpaceDE w:val="0"/>
              <w:autoSpaceDN w:val="0"/>
              <w:adjustRightInd w:val="0"/>
              <w:jc w:val="center"/>
              <w:rPr>
                <w:b/>
                <w:color w:val="000000"/>
                <w:sz w:val="20"/>
                <w:szCs w:val="20"/>
              </w:rPr>
            </w:pPr>
            <w:r w:rsidRPr="00447EB6">
              <w:rPr>
                <w:b/>
                <w:color w:val="000000"/>
                <w:sz w:val="20"/>
                <w:szCs w:val="20"/>
              </w:rPr>
              <w:t>Frequency of Response</w:t>
            </w:r>
          </w:p>
        </w:tc>
        <w:tc>
          <w:tcPr>
            <w:tcW w:w="1170" w:type="dxa"/>
          </w:tcPr>
          <w:p w:rsidR="00324BD0" w:rsidRPr="00447EB6" w:rsidP="000962C3" w14:paraId="5AF3982D" w14:textId="77777777">
            <w:pPr>
              <w:widowControl w:val="0"/>
              <w:autoSpaceDE w:val="0"/>
              <w:autoSpaceDN w:val="0"/>
              <w:adjustRightInd w:val="0"/>
              <w:jc w:val="center"/>
              <w:rPr>
                <w:b/>
                <w:color w:val="000000"/>
                <w:sz w:val="20"/>
                <w:szCs w:val="20"/>
              </w:rPr>
            </w:pPr>
            <w:r w:rsidRPr="00447EB6">
              <w:rPr>
                <w:b/>
                <w:color w:val="000000"/>
                <w:sz w:val="20"/>
                <w:szCs w:val="20"/>
              </w:rPr>
              <w:t>Total Burden Hours</w:t>
            </w:r>
          </w:p>
        </w:tc>
        <w:tc>
          <w:tcPr>
            <w:tcW w:w="1440" w:type="dxa"/>
          </w:tcPr>
          <w:p w:rsidR="00F9549C" w:rsidRPr="00447EB6" w:rsidP="000962C3" w14:paraId="5B5FFCB3" w14:textId="4B97D707">
            <w:pPr>
              <w:widowControl w:val="0"/>
              <w:autoSpaceDE w:val="0"/>
              <w:autoSpaceDN w:val="0"/>
              <w:adjustRightInd w:val="0"/>
              <w:jc w:val="center"/>
              <w:rPr>
                <w:b/>
                <w:color w:val="000000"/>
                <w:sz w:val="20"/>
                <w:szCs w:val="20"/>
              </w:rPr>
            </w:pPr>
            <w:r w:rsidRPr="00447EB6">
              <w:rPr>
                <w:b/>
                <w:color w:val="000000"/>
                <w:sz w:val="20"/>
                <w:szCs w:val="20"/>
              </w:rPr>
              <w:t>Total Opportunity Costs</w:t>
            </w:r>
          </w:p>
        </w:tc>
      </w:tr>
      <w:tr w14:paraId="2EBF1F61" w14:textId="6F00A8C8" w:rsidTr="00431B77">
        <w:tblPrEx>
          <w:tblW w:w="9345" w:type="dxa"/>
          <w:jc w:val="center"/>
          <w:tblLayout w:type="fixed"/>
          <w:tblLook w:val="04A0"/>
        </w:tblPrEx>
        <w:trPr>
          <w:trHeight w:val="239"/>
          <w:jc w:val="center"/>
        </w:trPr>
        <w:tc>
          <w:tcPr>
            <w:tcW w:w="1515" w:type="dxa"/>
          </w:tcPr>
          <w:p w:rsidR="00093EB7" w:rsidRPr="00447EB6" w:rsidP="00093EB7" w14:paraId="05DD0957" w14:textId="6B650424">
            <w:pPr>
              <w:widowControl w:val="0"/>
              <w:autoSpaceDE w:val="0"/>
              <w:autoSpaceDN w:val="0"/>
              <w:adjustRightInd w:val="0"/>
              <w:jc w:val="center"/>
              <w:rPr>
                <w:color w:val="FF0000"/>
                <w:sz w:val="20"/>
                <w:szCs w:val="20"/>
              </w:rPr>
            </w:pPr>
            <w:r>
              <w:rPr>
                <w:sz w:val="20"/>
                <w:szCs w:val="20"/>
              </w:rPr>
              <w:t>NHTSA 2112</w:t>
            </w:r>
          </w:p>
        </w:tc>
        <w:tc>
          <w:tcPr>
            <w:tcW w:w="1530" w:type="dxa"/>
            <w:vAlign w:val="center"/>
          </w:tcPr>
          <w:p w:rsidR="00093EB7" w:rsidRPr="00447EB6" w:rsidP="00093EB7" w14:paraId="0BBC0D40" w14:textId="7DE2F967">
            <w:pPr>
              <w:widowControl w:val="0"/>
              <w:autoSpaceDE w:val="0"/>
              <w:autoSpaceDN w:val="0"/>
              <w:adjustRightInd w:val="0"/>
              <w:jc w:val="center"/>
              <w:rPr>
                <w:sz w:val="20"/>
                <w:szCs w:val="20"/>
              </w:rPr>
            </w:pPr>
            <w:r>
              <w:rPr>
                <w:sz w:val="20"/>
                <w:szCs w:val="20"/>
              </w:rPr>
              <w:t>Screening</w:t>
            </w:r>
            <w:r w:rsidRPr="00447EB6">
              <w:rPr>
                <w:sz w:val="20"/>
                <w:szCs w:val="20"/>
              </w:rPr>
              <w:t xml:space="preserve"> Questionnaire</w:t>
            </w:r>
          </w:p>
        </w:tc>
        <w:tc>
          <w:tcPr>
            <w:tcW w:w="1350" w:type="dxa"/>
            <w:vAlign w:val="center"/>
          </w:tcPr>
          <w:p w:rsidR="00093EB7" w:rsidRPr="00447EB6" w:rsidP="00093EB7" w14:paraId="4854FE08" w14:textId="5512C90B">
            <w:pPr>
              <w:widowControl w:val="0"/>
              <w:autoSpaceDE w:val="0"/>
              <w:autoSpaceDN w:val="0"/>
              <w:adjustRightInd w:val="0"/>
              <w:jc w:val="center"/>
              <w:rPr>
                <w:sz w:val="20"/>
                <w:szCs w:val="20"/>
              </w:rPr>
            </w:pPr>
            <w:r w:rsidRPr="00447EB6">
              <w:rPr>
                <w:sz w:val="20"/>
                <w:szCs w:val="20"/>
              </w:rPr>
              <w:t>300</w:t>
            </w:r>
          </w:p>
        </w:tc>
        <w:tc>
          <w:tcPr>
            <w:tcW w:w="1080" w:type="dxa"/>
            <w:vAlign w:val="center"/>
          </w:tcPr>
          <w:p w:rsidR="00093EB7" w:rsidRPr="00447EB6" w:rsidP="00093EB7" w14:paraId="7FA25211" w14:textId="77777777">
            <w:pPr>
              <w:widowControl w:val="0"/>
              <w:autoSpaceDE w:val="0"/>
              <w:autoSpaceDN w:val="0"/>
              <w:adjustRightInd w:val="0"/>
              <w:jc w:val="center"/>
              <w:rPr>
                <w:sz w:val="20"/>
                <w:szCs w:val="20"/>
              </w:rPr>
            </w:pPr>
            <w:r w:rsidRPr="00447EB6">
              <w:rPr>
                <w:sz w:val="20"/>
                <w:szCs w:val="20"/>
              </w:rPr>
              <w:t>15</w:t>
            </w:r>
          </w:p>
        </w:tc>
        <w:tc>
          <w:tcPr>
            <w:tcW w:w="1260" w:type="dxa"/>
            <w:vAlign w:val="center"/>
          </w:tcPr>
          <w:p w:rsidR="00093EB7" w:rsidRPr="00447EB6" w:rsidP="00093EB7" w14:paraId="11335C3A" w14:textId="77777777">
            <w:pPr>
              <w:widowControl w:val="0"/>
              <w:autoSpaceDE w:val="0"/>
              <w:autoSpaceDN w:val="0"/>
              <w:adjustRightInd w:val="0"/>
              <w:jc w:val="center"/>
              <w:rPr>
                <w:sz w:val="20"/>
                <w:szCs w:val="20"/>
              </w:rPr>
            </w:pPr>
            <w:r w:rsidRPr="00447EB6">
              <w:rPr>
                <w:sz w:val="20"/>
                <w:szCs w:val="20"/>
              </w:rPr>
              <w:t>1</w:t>
            </w:r>
          </w:p>
        </w:tc>
        <w:tc>
          <w:tcPr>
            <w:tcW w:w="1170" w:type="dxa"/>
            <w:vAlign w:val="center"/>
          </w:tcPr>
          <w:p w:rsidR="00093EB7" w:rsidRPr="00447EB6" w:rsidP="00093EB7" w14:paraId="7A65CEE5" w14:textId="6C3B9639">
            <w:pPr>
              <w:widowControl w:val="0"/>
              <w:autoSpaceDE w:val="0"/>
              <w:autoSpaceDN w:val="0"/>
              <w:adjustRightInd w:val="0"/>
              <w:jc w:val="center"/>
              <w:rPr>
                <w:b/>
                <w:sz w:val="20"/>
                <w:szCs w:val="20"/>
              </w:rPr>
            </w:pPr>
            <w:r w:rsidRPr="00447EB6">
              <w:rPr>
                <w:b/>
                <w:sz w:val="20"/>
                <w:szCs w:val="20"/>
              </w:rPr>
              <w:t>75 hours</w:t>
            </w:r>
          </w:p>
        </w:tc>
        <w:tc>
          <w:tcPr>
            <w:tcW w:w="1440" w:type="dxa"/>
          </w:tcPr>
          <w:p w:rsidR="00093EB7" w:rsidP="00093EB7" w14:paraId="7DA4B11F" w14:textId="53801850">
            <w:pPr>
              <w:widowControl w:val="0"/>
              <w:autoSpaceDE w:val="0"/>
              <w:autoSpaceDN w:val="0"/>
              <w:adjustRightInd w:val="0"/>
              <w:jc w:val="center"/>
              <w:rPr>
                <w:b/>
                <w:sz w:val="20"/>
                <w:szCs w:val="20"/>
              </w:rPr>
            </w:pPr>
            <w:r>
              <w:rPr>
                <w:b/>
                <w:sz w:val="20"/>
                <w:szCs w:val="20"/>
              </w:rPr>
              <w:t>$3,082</w:t>
            </w:r>
          </w:p>
        </w:tc>
      </w:tr>
      <w:tr w14:paraId="733613C2" w14:textId="69C95CF0" w:rsidTr="00431B77">
        <w:tblPrEx>
          <w:tblW w:w="9345" w:type="dxa"/>
          <w:jc w:val="center"/>
          <w:tblLayout w:type="fixed"/>
          <w:tblLook w:val="04A0"/>
        </w:tblPrEx>
        <w:trPr>
          <w:trHeight w:val="501"/>
          <w:jc w:val="center"/>
        </w:trPr>
        <w:tc>
          <w:tcPr>
            <w:tcW w:w="1515" w:type="dxa"/>
          </w:tcPr>
          <w:p w:rsidR="00093EB7" w:rsidRPr="00447EB6" w:rsidP="00093EB7" w14:paraId="75238D33" w14:textId="1D5CCF3E">
            <w:pPr>
              <w:widowControl w:val="0"/>
              <w:autoSpaceDE w:val="0"/>
              <w:autoSpaceDN w:val="0"/>
              <w:adjustRightInd w:val="0"/>
              <w:jc w:val="center"/>
              <w:rPr>
                <w:color w:val="FF0000"/>
                <w:sz w:val="20"/>
                <w:szCs w:val="20"/>
              </w:rPr>
            </w:pPr>
            <w:r>
              <w:rPr>
                <w:sz w:val="20"/>
                <w:szCs w:val="20"/>
              </w:rPr>
              <w:t>NHTSA 2113 &amp; 2115</w:t>
            </w:r>
          </w:p>
        </w:tc>
        <w:tc>
          <w:tcPr>
            <w:tcW w:w="1530" w:type="dxa"/>
          </w:tcPr>
          <w:p w:rsidR="00093EB7" w:rsidRPr="00447EB6" w:rsidP="00093EB7" w14:paraId="6FECC9DF" w14:textId="77777777">
            <w:pPr>
              <w:widowControl w:val="0"/>
              <w:autoSpaceDE w:val="0"/>
              <w:autoSpaceDN w:val="0"/>
              <w:adjustRightInd w:val="0"/>
              <w:jc w:val="center"/>
              <w:rPr>
                <w:sz w:val="20"/>
                <w:szCs w:val="20"/>
              </w:rPr>
            </w:pPr>
            <w:r w:rsidRPr="00447EB6">
              <w:rPr>
                <w:sz w:val="20"/>
                <w:szCs w:val="20"/>
              </w:rPr>
              <w:t>Informed Consent</w:t>
            </w:r>
          </w:p>
        </w:tc>
        <w:tc>
          <w:tcPr>
            <w:tcW w:w="1350" w:type="dxa"/>
          </w:tcPr>
          <w:p w:rsidR="00093EB7" w:rsidRPr="00447EB6" w:rsidP="00093EB7" w14:paraId="6A096306" w14:textId="33A9EE1F">
            <w:pPr>
              <w:widowControl w:val="0"/>
              <w:autoSpaceDE w:val="0"/>
              <w:autoSpaceDN w:val="0"/>
              <w:adjustRightInd w:val="0"/>
              <w:jc w:val="center"/>
              <w:rPr>
                <w:sz w:val="20"/>
                <w:szCs w:val="20"/>
              </w:rPr>
            </w:pPr>
            <w:r w:rsidRPr="00447EB6">
              <w:rPr>
                <w:sz w:val="20"/>
                <w:szCs w:val="20"/>
              </w:rPr>
              <w:t>96</w:t>
            </w:r>
          </w:p>
        </w:tc>
        <w:tc>
          <w:tcPr>
            <w:tcW w:w="1080" w:type="dxa"/>
          </w:tcPr>
          <w:p w:rsidR="00093EB7" w:rsidRPr="00447EB6" w:rsidP="00093EB7" w14:paraId="0528D67E" w14:textId="77777777">
            <w:pPr>
              <w:widowControl w:val="0"/>
              <w:autoSpaceDE w:val="0"/>
              <w:autoSpaceDN w:val="0"/>
              <w:adjustRightInd w:val="0"/>
              <w:jc w:val="center"/>
              <w:rPr>
                <w:sz w:val="20"/>
                <w:szCs w:val="20"/>
              </w:rPr>
            </w:pPr>
            <w:r w:rsidRPr="00447EB6">
              <w:rPr>
                <w:sz w:val="20"/>
                <w:szCs w:val="20"/>
              </w:rPr>
              <w:t>15</w:t>
            </w:r>
          </w:p>
        </w:tc>
        <w:tc>
          <w:tcPr>
            <w:tcW w:w="1260" w:type="dxa"/>
          </w:tcPr>
          <w:p w:rsidR="00093EB7" w:rsidRPr="00447EB6" w:rsidP="00093EB7" w14:paraId="0AB9562D" w14:textId="77777777">
            <w:pPr>
              <w:widowControl w:val="0"/>
              <w:autoSpaceDE w:val="0"/>
              <w:autoSpaceDN w:val="0"/>
              <w:adjustRightInd w:val="0"/>
              <w:jc w:val="center"/>
              <w:rPr>
                <w:sz w:val="20"/>
                <w:szCs w:val="20"/>
              </w:rPr>
            </w:pPr>
            <w:r w:rsidRPr="00447EB6">
              <w:rPr>
                <w:sz w:val="20"/>
                <w:szCs w:val="20"/>
              </w:rPr>
              <w:t>1</w:t>
            </w:r>
          </w:p>
        </w:tc>
        <w:tc>
          <w:tcPr>
            <w:tcW w:w="1170" w:type="dxa"/>
          </w:tcPr>
          <w:p w:rsidR="00093EB7" w:rsidRPr="00447EB6" w:rsidP="00093EB7" w14:paraId="032BAAE2" w14:textId="3A63F9C2">
            <w:pPr>
              <w:widowControl w:val="0"/>
              <w:autoSpaceDE w:val="0"/>
              <w:autoSpaceDN w:val="0"/>
              <w:adjustRightInd w:val="0"/>
              <w:jc w:val="center"/>
              <w:rPr>
                <w:b/>
                <w:sz w:val="20"/>
                <w:szCs w:val="20"/>
              </w:rPr>
            </w:pPr>
            <w:r w:rsidRPr="00447EB6">
              <w:rPr>
                <w:b/>
                <w:sz w:val="20"/>
                <w:szCs w:val="20"/>
              </w:rPr>
              <w:t>24 hours</w:t>
            </w:r>
          </w:p>
          <w:p w:rsidR="00093EB7" w:rsidRPr="00447EB6" w:rsidP="00093EB7" w14:paraId="3D474BDC" w14:textId="77777777">
            <w:pPr>
              <w:widowControl w:val="0"/>
              <w:autoSpaceDE w:val="0"/>
              <w:autoSpaceDN w:val="0"/>
              <w:adjustRightInd w:val="0"/>
              <w:jc w:val="center"/>
              <w:rPr>
                <w:b/>
                <w:sz w:val="20"/>
                <w:szCs w:val="20"/>
              </w:rPr>
            </w:pPr>
          </w:p>
        </w:tc>
        <w:tc>
          <w:tcPr>
            <w:tcW w:w="1440" w:type="dxa"/>
          </w:tcPr>
          <w:p w:rsidR="00093EB7" w:rsidP="00093EB7" w14:paraId="230CEBA9" w14:textId="74319B1D">
            <w:pPr>
              <w:widowControl w:val="0"/>
              <w:autoSpaceDE w:val="0"/>
              <w:autoSpaceDN w:val="0"/>
              <w:adjustRightInd w:val="0"/>
              <w:jc w:val="center"/>
              <w:rPr>
                <w:b/>
                <w:sz w:val="20"/>
                <w:szCs w:val="20"/>
              </w:rPr>
            </w:pPr>
            <w:r>
              <w:rPr>
                <w:b/>
                <w:sz w:val="20"/>
                <w:szCs w:val="20"/>
              </w:rPr>
              <w:t>$986</w:t>
            </w:r>
          </w:p>
        </w:tc>
      </w:tr>
      <w:tr w14:paraId="56FD3FEB" w14:textId="3CC1AA12" w:rsidTr="00431B77">
        <w:tblPrEx>
          <w:tblW w:w="9345" w:type="dxa"/>
          <w:jc w:val="center"/>
          <w:tblLayout w:type="fixed"/>
          <w:tblLook w:val="04A0"/>
        </w:tblPrEx>
        <w:trPr>
          <w:trHeight w:val="239"/>
          <w:jc w:val="center"/>
        </w:trPr>
        <w:tc>
          <w:tcPr>
            <w:tcW w:w="1515" w:type="dxa"/>
          </w:tcPr>
          <w:p w:rsidR="00324BD0" w:rsidRPr="00447EB6" w:rsidP="000962C3" w14:paraId="7CA0EC57" w14:textId="0C87423C">
            <w:pPr>
              <w:widowControl w:val="0"/>
              <w:autoSpaceDE w:val="0"/>
              <w:autoSpaceDN w:val="0"/>
              <w:adjustRightInd w:val="0"/>
              <w:jc w:val="center"/>
              <w:rPr>
                <w:color w:val="FF0000"/>
                <w:sz w:val="20"/>
                <w:szCs w:val="20"/>
              </w:rPr>
            </w:pPr>
            <w:r>
              <w:rPr>
                <w:rFonts w:eastAsia="Calibri" w:cs="Times New Roman"/>
                <w:sz w:val="20"/>
                <w:szCs w:val="20"/>
              </w:rPr>
              <w:t>NHTSA 2114</w:t>
            </w:r>
          </w:p>
        </w:tc>
        <w:tc>
          <w:tcPr>
            <w:tcW w:w="1530" w:type="dxa"/>
          </w:tcPr>
          <w:p w:rsidR="00324BD0" w:rsidRPr="00447EB6" w:rsidP="000962C3" w14:paraId="4497B0FA" w14:textId="25D9D265">
            <w:pPr>
              <w:widowControl w:val="0"/>
              <w:autoSpaceDE w:val="0"/>
              <w:autoSpaceDN w:val="0"/>
              <w:adjustRightInd w:val="0"/>
              <w:jc w:val="center"/>
              <w:rPr>
                <w:sz w:val="20"/>
                <w:szCs w:val="20"/>
              </w:rPr>
            </w:pPr>
            <w:r w:rsidRPr="00447EB6">
              <w:rPr>
                <w:sz w:val="20"/>
                <w:szCs w:val="20"/>
              </w:rPr>
              <w:t xml:space="preserve">Study Drive </w:t>
            </w:r>
          </w:p>
          <w:p w:rsidR="00324BD0" w:rsidRPr="00447EB6" w:rsidP="004926D6" w14:paraId="1E0591AB" w14:textId="26D1EEAD">
            <w:pPr>
              <w:widowControl w:val="0"/>
              <w:autoSpaceDE w:val="0"/>
              <w:autoSpaceDN w:val="0"/>
              <w:adjustRightInd w:val="0"/>
              <w:jc w:val="center"/>
              <w:rPr>
                <w:sz w:val="20"/>
                <w:szCs w:val="20"/>
              </w:rPr>
            </w:pPr>
            <w:r w:rsidRPr="00447EB6">
              <w:rPr>
                <w:sz w:val="20"/>
                <w:szCs w:val="20"/>
              </w:rPr>
              <w:t>(</w:t>
            </w:r>
            <w:r w:rsidRPr="00447EB6" w:rsidR="009B2606">
              <w:rPr>
                <w:sz w:val="20"/>
                <w:szCs w:val="20"/>
              </w:rPr>
              <w:t>Test Track</w:t>
            </w:r>
            <w:r w:rsidRPr="00447EB6">
              <w:rPr>
                <w:sz w:val="20"/>
                <w:szCs w:val="20"/>
              </w:rPr>
              <w:t>)</w:t>
            </w:r>
          </w:p>
        </w:tc>
        <w:tc>
          <w:tcPr>
            <w:tcW w:w="1350" w:type="dxa"/>
          </w:tcPr>
          <w:p w:rsidR="00324BD0" w:rsidRPr="00447EB6" w:rsidP="000962C3" w14:paraId="56B2222A" w14:textId="358A82D7">
            <w:pPr>
              <w:widowControl w:val="0"/>
              <w:autoSpaceDE w:val="0"/>
              <w:autoSpaceDN w:val="0"/>
              <w:adjustRightInd w:val="0"/>
              <w:jc w:val="center"/>
              <w:rPr>
                <w:sz w:val="20"/>
                <w:szCs w:val="20"/>
              </w:rPr>
            </w:pPr>
            <w:r w:rsidRPr="00447EB6">
              <w:rPr>
                <w:sz w:val="20"/>
                <w:szCs w:val="20"/>
              </w:rPr>
              <w:t>48</w:t>
            </w:r>
          </w:p>
        </w:tc>
        <w:tc>
          <w:tcPr>
            <w:tcW w:w="1080" w:type="dxa"/>
          </w:tcPr>
          <w:p w:rsidR="00324BD0" w:rsidRPr="00447EB6" w:rsidP="000962C3" w14:paraId="0AD58552" w14:textId="3C04C0ED">
            <w:pPr>
              <w:widowControl w:val="0"/>
              <w:autoSpaceDE w:val="0"/>
              <w:autoSpaceDN w:val="0"/>
              <w:adjustRightInd w:val="0"/>
              <w:jc w:val="center"/>
              <w:rPr>
                <w:sz w:val="20"/>
                <w:szCs w:val="20"/>
              </w:rPr>
            </w:pPr>
            <w:r>
              <w:rPr>
                <w:sz w:val="20"/>
                <w:szCs w:val="20"/>
              </w:rPr>
              <w:t>160</w:t>
            </w:r>
          </w:p>
        </w:tc>
        <w:tc>
          <w:tcPr>
            <w:tcW w:w="1260" w:type="dxa"/>
          </w:tcPr>
          <w:p w:rsidR="00324BD0" w:rsidRPr="00447EB6" w:rsidP="000962C3" w14:paraId="3C684905" w14:textId="77777777">
            <w:pPr>
              <w:widowControl w:val="0"/>
              <w:autoSpaceDE w:val="0"/>
              <w:autoSpaceDN w:val="0"/>
              <w:adjustRightInd w:val="0"/>
              <w:jc w:val="center"/>
              <w:rPr>
                <w:color w:val="FF0000"/>
                <w:sz w:val="20"/>
                <w:szCs w:val="20"/>
              </w:rPr>
            </w:pPr>
            <w:r w:rsidRPr="00447EB6">
              <w:rPr>
                <w:sz w:val="20"/>
                <w:szCs w:val="20"/>
              </w:rPr>
              <w:t>1</w:t>
            </w:r>
          </w:p>
        </w:tc>
        <w:tc>
          <w:tcPr>
            <w:tcW w:w="1170" w:type="dxa"/>
          </w:tcPr>
          <w:p w:rsidR="00324BD0" w:rsidRPr="00447EB6" w:rsidP="000962C3" w14:paraId="07C6216E" w14:textId="1D6A28BB">
            <w:pPr>
              <w:widowControl w:val="0"/>
              <w:autoSpaceDE w:val="0"/>
              <w:autoSpaceDN w:val="0"/>
              <w:adjustRightInd w:val="0"/>
              <w:jc w:val="center"/>
              <w:rPr>
                <w:b/>
                <w:color w:val="FF0000"/>
                <w:sz w:val="20"/>
                <w:szCs w:val="20"/>
              </w:rPr>
            </w:pPr>
            <w:r>
              <w:rPr>
                <w:b/>
                <w:sz w:val="20"/>
                <w:szCs w:val="20"/>
              </w:rPr>
              <w:t>128</w:t>
            </w:r>
            <w:r w:rsidRPr="00447EB6" w:rsidR="006E2D61">
              <w:rPr>
                <w:b/>
                <w:sz w:val="20"/>
                <w:szCs w:val="20"/>
              </w:rPr>
              <w:t xml:space="preserve"> </w:t>
            </w:r>
            <w:r w:rsidRPr="00447EB6">
              <w:rPr>
                <w:b/>
                <w:sz w:val="20"/>
                <w:szCs w:val="20"/>
              </w:rPr>
              <w:t xml:space="preserve">hours </w:t>
            </w:r>
          </w:p>
        </w:tc>
        <w:tc>
          <w:tcPr>
            <w:tcW w:w="1440" w:type="dxa"/>
          </w:tcPr>
          <w:p w:rsidR="00051481" w:rsidP="000962C3" w14:paraId="1A55FB8F" w14:textId="0CA93F3D">
            <w:pPr>
              <w:widowControl w:val="0"/>
              <w:autoSpaceDE w:val="0"/>
              <w:autoSpaceDN w:val="0"/>
              <w:adjustRightInd w:val="0"/>
              <w:jc w:val="center"/>
              <w:rPr>
                <w:b/>
                <w:sz w:val="20"/>
                <w:szCs w:val="20"/>
              </w:rPr>
            </w:pPr>
            <w:r>
              <w:rPr>
                <w:b/>
                <w:sz w:val="20"/>
                <w:szCs w:val="20"/>
              </w:rPr>
              <w:t>$</w:t>
            </w:r>
            <w:r w:rsidR="00495557">
              <w:rPr>
                <w:b/>
                <w:sz w:val="20"/>
                <w:szCs w:val="20"/>
              </w:rPr>
              <w:t>5260</w:t>
            </w:r>
          </w:p>
        </w:tc>
      </w:tr>
      <w:tr w14:paraId="1F4270D8" w14:textId="27A597E5" w:rsidTr="00431B77">
        <w:tblPrEx>
          <w:tblW w:w="9345" w:type="dxa"/>
          <w:jc w:val="center"/>
          <w:tblLayout w:type="fixed"/>
          <w:tblLook w:val="04A0"/>
        </w:tblPrEx>
        <w:trPr>
          <w:trHeight w:val="330"/>
          <w:jc w:val="center"/>
        </w:trPr>
        <w:tc>
          <w:tcPr>
            <w:tcW w:w="1515" w:type="dxa"/>
          </w:tcPr>
          <w:p w:rsidR="009B2606" w:rsidRPr="00447EB6" w:rsidP="000962C3" w14:paraId="25560BBD" w14:textId="53EBCE91">
            <w:pPr>
              <w:widowControl w:val="0"/>
              <w:autoSpaceDE w:val="0"/>
              <w:autoSpaceDN w:val="0"/>
              <w:adjustRightInd w:val="0"/>
              <w:jc w:val="center"/>
              <w:rPr>
                <w:sz w:val="20"/>
                <w:szCs w:val="20"/>
              </w:rPr>
            </w:pPr>
            <w:r>
              <w:rPr>
                <w:rFonts w:eastAsia="Calibri" w:cs="Times New Roman"/>
                <w:sz w:val="20"/>
                <w:szCs w:val="20"/>
              </w:rPr>
              <w:t>NHTSA 2114</w:t>
            </w:r>
          </w:p>
        </w:tc>
        <w:tc>
          <w:tcPr>
            <w:tcW w:w="1530" w:type="dxa"/>
          </w:tcPr>
          <w:p w:rsidR="009B2606" w:rsidRPr="00447EB6" w:rsidP="000962C3" w14:paraId="710D2294" w14:textId="67B13E73">
            <w:pPr>
              <w:widowControl w:val="0"/>
              <w:autoSpaceDE w:val="0"/>
              <w:autoSpaceDN w:val="0"/>
              <w:adjustRightInd w:val="0"/>
              <w:jc w:val="center"/>
              <w:rPr>
                <w:sz w:val="20"/>
                <w:szCs w:val="20"/>
              </w:rPr>
            </w:pPr>
            <w:r w:rsidRPr="00447EB6">
              <w:rPr>
                <w:sz w:val="20"/>
                <w:szCs w:val="20"/>
              </w:rPr>
              <w:t>Study Drive (Cones Course)</w:t>
            </w:r>
          </w:p>
        </w:tc>
        <w:tc>
          <w:tcPr>
            <w:tcW w:w="1350" w:type="dxa"/>
          </w:tcPr>
          <w:p w:rsidR="009B2606" w:rsidRPr="00447EB6" w:rsidP="000962C3" w14:paraId="1FF48E90" w14:textId="09C5D68A">
            <w:pPr>
              <w:widowControl w:val="0"/>
              <w:autoSpaceDE w:val="0"/>
              <w:autoSpaceDN w:val="0"/>
              <w:adjustRightInd w:val="0"/>
              <w:jc w:val="center"/>
              <w:rPr>
                <w:sz w:val="20"/>
                <w:szCs w:val="20"/>
              </w:rPr>
            </w:pPr>
            <w:r w:rsidRPr="00447EB6">
              <w:rPr>
                <w:sz w:val="20"/>
                <w:szCs w:val="20"/>
              </w:rPr>
              <w:t>48</w:t>
            </w:r>
          </w:p>
        </w:tc>
        <w:tc>
          <w:tcPr>
            <w:tcW w:w="1080" w:type="dxa"/>
          </w:tcPr>
          <w:p w:rsidR="009B2606" w:rsidRPr="00447EB6" w:rsidP="000962C3" w14:paraId="040DFB77" w14:textId="18606E7D">
            <w:pPr>
              <w:widowControl w:val="0"/>
              <w:autoSpaceDE w:val="0"/>
              <w:autoSpaceDN w:val="0"/>
              <w:adjustRightInd w:val="0"/>
              <w:jc w:val="center"/>
              <w:rPr>
                <w:sz w:val="20"/>
                <w:szCs w:val="20"/>
              </w:rPr>
            </w:pPr>
            <w:r>
              <w:rPr>
                <w:sz w:val="20"/>
                <w:szCs w:val="20"/>
              </w:rPr>
              <w:t>130</w:t>
            </w:r>
          </w:p>
        </w:tc>
        <w:tc>
          <w:tcPr>
            <w:tcW w:w="1260" w:type="dxa"/>
          </w:tcPr>
          <w:p w:rsidR="009B2606" w:rsidRPr="00447EB6" w:rsidP="000962C3" w14:paraId="2774ACD8" w14:textId="3DD3B6F0">
            <w:pPr>
              <w:widowControl w:val="0"/>
              <w:autoSpaceDE w:val="0"/>
              <w:autoSpaceDN w:val="0"/>
              <w:adjustRightInd w:val="0"/>
              <w:jc w:val="center"/>
              <w:rPr>
                <w:sz w:val="20"/>
                <w:szCs w:val="20"/>
              </w:rPr>
            </w:pPr>
            <w:r w:rsidRPr="00447EB6">
              <w:rPr>
                <w:sz w:val="20"/>
                <w:szCs w:val="20"/>
              </w:rPr>
              <w:t>1</w:t>
            </w:r>
          </w:p>
        </w:tc>
        <w:tc>
          <w:tcPr>
            <w:tcW w:w="1170" w:type="dxa"/>
          </w:tcPr>
          <w:p w:rsidR="009B2606" w:rsidRPr="00447EB6" w:rsidP="000B5E80" w14:paraId="42179F2E" w14:textId="467B74C5">
            <w:pPr>
              <w:widowControl w:val="0"/>
              <w:autoSpaceDE w:val="0"/>
              <w:autoSpaceDN w:val="0"/>
              <w:adjustRightInd w:val="0"/>
              <w:jc w:val="center"/>
              <w:rPr>
                <w:b/>
                <w:sz w:val="20"/>
                <w:szCs w:val="20"/>
              </w:rPr>
            </w:pPr>
            <w:r>
              <w:rPr>
                <w:b/>
                <w:sz w:val="20"/>
                <w:szCs w:val="20"/>
              </w:rPr>
              <w:t>104</w:t>
            </w:r>
            <w:r w:rsidRPr="00447EB6" w:rsidR="005C61FF">
              <w:rPr>
                <w:b/>
                <w:sz w:val="20"/>
                <w:szCs w:val="20"/>
              </w:rPr>
              <w:t xml:space="preserve"> hours</w:t>
            </w:r>
          </w:p>
        </w:tc>
        <w:tc>
          <w:tcPr>
            <w:tcW w:w="1440" w:type="dxa"/>
          </w:tcPr>
          <w:p w:rsidR="00447EB6" w:rsidP="000B5E80" w14:paraId="57CA706C" w14:textId="093B8EB9">
            <w:pPr>
              <w:widowControl w:val="0"/>
              <w:autoSpaceDE w:val="0"/>
              <w:autoSpaceDN w:val="0"/>
              <w:adjustRightInd w:val="0"/>
              <w:jc w:val="center"/>
              <w:rPr>
                <w:b/>
                <w:sz w:val="20"/>
                <w:szCs w:val="20"/>
              </w:rPr>
            </w:pPr>
            <w:r>
              <w:rPr>
                <w:b/>
                <w:sz w:val="20"/>
                <w:szCs w:val="20"/>
              </w:rPr>
              <w:t>$</w:t>
            </w:r>
            <w:r w:rsidR="006365D1">
              <w:rPr>
                <w:b/>
                <w:sz w:val="20"/>
                <w:szCs w:val="20"/>
              </w:rPr>
              <w:t>4273</w:t>
            </w:r>
          </w:p>
        </w:tc>
      </w:tr>
      <w:bookmarkEnd w:id="31"/>
      <w:tr w14:paraId="5A0F081F" w14:textId="3882D5C3" w:rsidTr="00431B77">
        <w:tblPrEx>
          <w:tblW w:w="9345" w:type="dxa"/>
          <w:jc w:val="center"/>
          <w:tblLayout w:type="fixed"/>
          <w:tblLook w:val="04A0"/>
        </w:tblPrEx>
        <w:trPr>
          <w:trHeight w:val="224"/>
          <w:jc w:val="center"/>
        </w:trPr>
        <w:tc>
          <w:tcPr>
            <w:tcW w:w="1515" w:type="dxa"/>
          </w:tcPr>
          <w:p w:rsidR="00324BD0" w:rsidRPr="00447EB6" w:rsidP="000962C3" w14:paraId="73B36B78" w14:textId="77777777">
            <w:pPr>
              <w:widowControl w:val="0"/>
              <w:autoSpaceDE w:val="0"/>
              <w:autoSpaceDN w:val="0"/>
              <w:adjustRightInd w:val="0"/>
              <w:rPr>
                <w:color w:val="000000"/>
                <w:sz w:val="20"/>
                <w:szCs w:val="20"/>
              </w:rPr>
            </w:pPr>
          </w:p>
        </w:tc>
        <w:tc>
          <w:tcPr>
            <w:tcW w:w="1530" w:type="dxa"/>
            <w:vAlign w:val="center"/>
          </w:tcPr>
          <w:p w:rsidR="00324BD0" w:rsidRPr="00447EB6" w:rsidP="000962C3" w14:paraId="452EE07E" w14:textId="77777777">
            <w:pPr>
              <w:widowControl w:val="0"/>
              <w:autoSpaceDE w:val="0"/>
              <w:autoSpaceDN w:val="0"/>
              <w:adjustRightInd w:val="0"/>
              <w:jc w:val="center"/>
              <w:rPr>
                <w:b/>
                <w:sz w:val="20"/>
                <w:szCs w:val="20"/>
              </w:rPr>
            </w:pPr>
            <w:r w:rsidRPr="00447EB6">
              <w:rPr>
                <w:b/>
                <w:sz w:val="20"/>
                <w:szCs w:val="20"/>
              </w:rPr>
              <w:t>TOTAL</w:t>
            </w:r>
          </w:p>
        </w:tc>
        <w:tc>
          <w:tcPr>
            <w:tcW w:w="1350" w:type="dxa"/>
          </w:tcPr>
          <w:p w:rsidR="00324BD0" w:rsidRPr="00447EB6" w:rsidP="000962C3" w14:paraId="32670C07" w14:textId="77777777">
            <w:pPr>
              <w:widowControl w:val="0"/>
              <w:autoSpaceDE w:val="0"/>
              <w:autoSpaceDN w:val="0"/>
              <w:adjustRightInd w:val="0"/>
              <w:jc w:val="center"/>
              <w:rPr>
                <w:color w:val="000000"/>
                <w:sz w:val="20"/>
                <w:szCs w:val="20"/>
              </w:rPr>
            </w:pPr>
          </w:p>
        </w:tc>
        <w:tc>
          <w:tcPr>
            <w:tcW w:w="1080" w:type="dxa"/>
          </w:tcPr>
          <w:p w:rsidR="00324BD0" w:rsidRPr="00447EB6" w:rsidP="000962C3" w14:paraId="3645429C" w14:textId="77777777">
            <w:pPr>
              <w:widowControl w:val="0"/>
              <w:autoSpaceDE w:val="0"/>
              <w:autoSpaceDN w:val="0"/>
              <w:adjustRightInd w:val="0"/>
              <w:jc w:val="center"/>
              <w:rPr>
                <w:color w:val="000000"/>
                <w:sz w:val="20"/>
                <w:szCs w:val="20"/>
              </w:rPr>
            </w:pPr>
          </w:p>
        </w:tc>
        <w:tc>
          <w:tcPr>
            <w:tcW w:w="1260" w:type="dxa"/>
          </w:tcPr>
          <w:p w:rsidR="00324BD0" w:rsidRPr="00447EB6" w:rsidP="000962C3" w14:paraId="1A191AE3" w14:textId="77777777">
            <w:pPr>
              <w:widowControl w:val="0"/>
              <w:autoSpaceDE w:val="0"/>
              <w:autoSpaceDN w:val="0"/>
              <w:adjustRightInd w:val="0"/>
              <w:jc w:val="center"/>
              <w:rPr>
                <w:b/>
                <w:sz w:val="20"/>
                <w:szCs w:val="20"/>
              </w:rPr>
            </w:pPr>
          </w:p>
        </w:tc>
        <w:tc>
          <w:tcPr>
            <w:tcW w:w="1170" w:type="dxa"/>
          </w:tcPr>
          <w:p w:rsidR="00324BD0" w:rsidRPr="00447EB6" w:rsidP="000962C3" w14:paraId="5029437E" w14:textId="32D2EA73">
            <w:pPr>
              <w:widowControl w:val="0"/>
              <w:autoSpaceDE w:val="0"/>
              <w:autoSpaceDN w:val="0"/>
              <w:adjustRightInd w:val="0"/>
              <w:jc w:val="center"/>
              <w:rPr>
                <w:b/>
                <w:color w:val="FF0000"/>
                <w:sz w:val="20"/>
                <w:szCs w:val="20"/>
              </w:rPr>
            </w:pPr>
            <w:r w:rsidRPr="00447EB6">
              <w:rPr>
                <w:b/>
                <w:sz w:val="20"/>
                <w:szCs w:val="20"/>
              </w:rPr>
              <w:t>3</w:t>
            </w:r>
            <w:r w:rsidRPr="00447EB6" w:rsidR="00A23BE1">
              <w:rPr>
                <w:b/>
                <w:sz w:val="20"/>
                <w:szCs w:val="20"/>
              </w:rPr>
              <w:t>31</w:t>
            </w:r>
            <w:r w:rsidRPr="00447EB6">
              <w:rPr>
                <w:b/>
                <w:sz w:val="20"/>
                <w:szCs w:val="20"/>
              </w:rPr>
              <w:t xml:space="preserve"> </w:t>
            </w:r>
            <w:r w:rsidRPr="00447EB6" w:rsidR="00A459AA">
              <w:rPr>
                <w:b/>
                <w:sz w:val="20"/>
                <w:szCs w:val="20"/>
              </w:rPr>
              <w:t>hours</w:t>
            </w:r>
          </w:p>
        </w:tc>
        <w:tc>
          <w:tcPr>
            <w:tcW w:w="1440" w:type="dxa"/>
          </w:tcPr>
          <w:p w:rsidR="00447EB6" w:rsidP="000962C3" w14:paraId="440C3C49" w14:textId="16944F2E">
            <w:pPr>
              <w:widowControl w:val="0"/>
              <w:autoSpaceDE w:val="0"/>
              <w:autoSpaceDN w:val="0"/>
              <w:adjustRightInd w:val="0"/>
              <w:jc w:val="center"/>
              <w:rPr>
                <w:b/>
                <w:sz w:val="20"/>
                <w:szCs w:val="20"/>
              </w:rPr>
            </w:pPr>
            <w:r>
              <w:rPr>
                <w:b/>
                <w:sz w:val="20"/>
                <w:szCs w:val="20"/>
              </w:rPr>
              <w:t>$</w:t>
            </w:r>
            <w:r w:rsidR="00444938">
              <w:rPr>
                <w:b/>
                <w:sz w:val="20"/>
                <w:szCs w:val="20"/>
              </w:rPr>
              <w:t>13,901</w:t>
            </w:r>
          </w:p>
        </w:tc>
      </w:tr>
    </w:tbl>
    <w:p w:rsidR="00324BD0" w:rsidP="00324BD0" w14:paraId="0DB774D1" w14:textId="77777777">
      <w:pPr>
        <w:spacing w:after="0"/>
        <w:jc w:val="center"/>
        <w:rPr>
          <w:b/>
          <w:bCs/>
        </w:rPr>
      </w:pPr>
      <w:bookmarkStart w:id="32" w:name="_Hlk166597838"/>
      <w:bookmarkEnd w:id="30"/>
    </w:p>
    <w:bookmarkEnd w:id="32"/>
    <w:p w:rsidR="00324BD0" w:rsidRPr="007A7D7A" w:rsidP="00C05B3C" w14:paraId="44AE6447" w14:textId="518F4000">
      <w:pPr>
        <w:spacing w:line="240" w:lineRule="auto"/>
        <w:ind w:left="720"/>
      </w:pPr>
      <w:r w:rsidRPr="00F34E50">
        <w:t xml:space="preserve">Annual burden hours were estimated by first dividing the total number of </w:t>
      </w:r>
      <w:r w:rsidR="00DD5FF9">
        <w:t>participants</w:t>
      </w:r>
      <w:r w:rsidRPr="00F34E50" w:rsidR="00DD5FF9">
        <w:t xml:space="preserve"> </w:t>
      </w:r>
      <w:r w:rsidRPr="00F34E50">
        <w:t xml:space="preserve">per information collection by three and then rounding to the nearest whole number. Based on the estimates of </w:t>
      </w:r>
      <w:r w:rsidR="00277098">
        <w:t>100</w:t>
      </w:r>
      <w:r w:rsidRPr="00F34E50">
        <w:t xml:space="preserve"> annual </w:t>
      </w:r>
      <w:r w:rsidR="00DD5FF9">
        <w:t>participants</w:t>
      </w:r>
      <w:r w:rsidRPr="00F34E50">
        <w:t xml:space="preserve"> for </w:t>
      </w:r>
      <w:r w:rsidR="00DD5FF9">
        <w:t xml:space="preserve">the </w:t>
      </w:r>
      <w:r w:rsidR="00CF2628">
        <w:t>Screening</w:t>
      </w:r>
      <w:r w:rsidRPr="00F34E50">
        <w:t xml:space="preserve"> questionnaire and </w:t>
      </w:r>
      <w:r w:rsidR="0087170F">
        <w:t>32</w:t>
      </w:r>
      <w:r w:rsidRPr="00F34E50">
        <w:t xml:space="preserve"> annual </w:t>
      </w:r>
      <w:r w:rsidR="00DD5FF9">
        <w:t>participants</w:t>
      </w:r>
      <w:r w:rsidRPr="00F34E50">
        <w:t xml:space="preserve"> to each of the other information collection</w:t>
      </w:r>
      <w:r w:rsidR="00DD5FF9">
        <w:t>s</w:t>
      </w:r>
      <w:r w:rsidRPr="00F34E50">
        <w:t xml:space="preserve">, NHTSA has estimated that the total annual burden hours for the </w:t>
      </w:r>
      <w:r w:rsidRPr="007A7D7A">
        <w:t xml:space="preserve">collections </w:t>
      </w:r>
      <w:r w:rsidRPr="007A7D7A">
        <w:t>is</w:t>
      </w:r>
      <w:r w:rsidRPr="007A7D7A">
        <w:t xml:space="preserve"> </w:t>
      </w:r>
      <w:r w:rsidR="00D30D37">
        <w:t>1</w:t>
      </w:r>
      <w:r w:rsidR="00C1221E">
        <w:t>1</w:t>
      </w:r>
      <w:r w:rsidR="00B65E6A">
        <w:t>1</w:t>
      </w:r>
      <w:r w:rsidR="0087170F">
        <w:t xml:space="preserve"> </w:t>
      </w:r>
      <w:r w:rsidRPr="007A7D7A">
        <w:t xml:space="preserve">hours. </w:t>
      </w:r>
    </w:p>
    <w:p w:rsidR="00324BD0" w:rsidRPr="007A7D7A" w:rsidP="00C05B3C" w14:paraId="7149E436" w14:textId="60BE2345">
      <w:pPr>
        <w:spacing w:line="240" w:lineRule="auto"/>
        <w:ind w:left="720"/>
      </w:pPr>
      <w:r w:rsidRPr="007A7D7A">
        <w:t>To calculate the opportunity cost to participants in this study, NHTSA used the average (mean) hourly earnings from employers in all industry sectors in the State of Arizona, which the Bureau of Labor Statistics lists at $3</w:t>
      </w:r>
      <w:r w:rsidRPr="007A7D7A" w:rsidR="004C04B9">
        <w:t>1</w:t>
      </w:r>
      <w:r w:rsidRPr="007A7D7A">
        <w:t>.</w:t>
      </w:r>
      <w:r w:rsidRPr="007A7D7A" w:rsidR="004C04B9">
        <w:t>6</w:t>
      </w:r>
      <w:r w:rsidRPr="007A7D7A">
        <w:t>1 per hour</w:t>
      </w:r>
      <w:r>
        <w:rPr>
          <w:rStyle w:val="FootnoteReference"/>
        </w:rPr>
        <w:footnoteReference w:id="11"/>
      </w:r>
      <w:r w:rsidR="00554FC2">
        <w:t xml:space="preserve"> and added </w:t>
      </w:r>
      <w:r w:rsidR="00C56287">
        <w:t>30% to create a loaded rate</w:t>
      </w:r>
      <w:r w:rsidR="00997346">
        <w:t xml:space="preserve"> of </w:t>
      </w:r>
      <w:r w:rsidR="00D34BC9">
        <w:t>$</w:t>
      </w:r>
      <w:r w:rsidR="00E82CA6">
        <w:t>41.09</w:t>
      </w:r>
      <w:r w:rsidR="00997346">
        <w:t>.</w:t>
      </w:r>
      <w:r w:rsidRPr="007A7D7A">
        <w:t xml:space="preserve"> NHTSA estimates that the annual opportunity cost is approximately $</w:t>
      </w:r>
      <w:r w:rsidR="009A0088">
        <w:t>4,53</w:t>
      </w:r>
      <w:r w:rsidR="00841CAC">
        <w:t>3</w:t>
      </w:r>
      <w:r w:rsidRPr="007A7D7A">
        <w:t>.</w:t>
      </w:r>
    </w:p>
    <w:p w:rsidR="00324BD0" w:rsidRPr="00AC4400" w:rsidP="00C05B3C" w14:paraId="2EA3541B" w14:textId="33D13BD2">
      <w:pPr>
        <w:spacing w:line="240" w:lineRule="auto"/>
        <w:ind w:left="720"/>
      </w:pPr>
      <w:r w:rsidRPr="00F64DAD">
        <w:t xml:space="preserve">Table 2 provides estimates </w:t>
      </w:r>
      <w:r w:rsidRPr="00F64DAD">
        <w:t>for</w:t>
      </w:r>
      <w:r w:rsidRPr="00F64DAD">
        <w:t xml:space="preserve"> the total annual burden hours and associated opportunity costs. </w:t>
      </w:r>
    </w:p>
    <w:p w:rsidR="00324BD0" w:rsidRPr="00F64DAD" w:rsidP="00F64DAD" w14:paraId="4E8E193F" w14:textId="1C43F637">
      <w:pPr>
        <w:spacing w:after="0"/>
        <w:jc w:val="center"/>
        <w:rPr>
          <w:rFonts w:eastAsia="Calibri" w:cs="Times New Roman"/>
          <w:b/>
          <w:bCs/>
        </w:rPr>
      </w:pPr>
      <w:r w:rsidRPr="00E4560A">
        <w:rPr>
          <w:rFonts w:eastAsia="Calibri" w:cs="Times New Roman"/>
          <w:b/>
          <w:bCs/>
        </w:rPr>
        <w:t>Table 2: Annual Burden Estimates</w:t>
      </w:r>
    </w:p>
    <w:tbl>
      <w:tblPr>
        <w:tblStyle w:val="TableGrid"/>
        <w:tblW w:w="1008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50"/>
        <w:gridCol w:w="1530"/>
        <w:gridCol w:w="1350"/>
        <w:gridCol w:w="1080"/>
        <w:gridCol w:w="1350"/>
        <w:gridCol w:w="1170"/>
        <w:gridCol w:w="900"/>
        <w:gridCol w:w="1350"/>
      </w:tblGrid>
      <w:tr w14:paraId="607D4945" w14:textId="77777777" w:rsidTr="00315A34">
        <w:tblPrEx>
          <w:tblW w:w="1008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762"/>
        </w:trPr>
        <w:tc>
          <w:tcPr>
            <w:tcW w:w="1350" w:type="dxa"/>
          </w:tcPr>
          <w:p w:rsidR="00324BD0" w:rsidRPr="00F64DAD" w:rsidP="000962C3" w14:paraId="3C6B712F" w14:textId="77777777">
            <w:pPr>
              <w:widowControl w:val="0"/>
              <w:autoSpaceDE w:val="0"/>
              <w:autoSpaceDN w:val="0"/>
              <w:adjustRightInd w:val="0"/>
              <w:spacing w:line="276" w:lineRule="auto"/>
              <w:jc w:val="center"/>
              <w:rPr>
                <w:rFonts w:eastAsia="Calibri" w:cs="Times New Roman"/>
                <w:b/>
                <w:bCs/>
                <w:color w:val="000000"/>
                <w:sz w:val="20"/>
                <w:szCs w:val="20"/>
              </w:rPr>
            </w:pPr>
            <w:r w:rsidRPr="00F64DAD">
              <w:rPr>
                <w:rFonts w:eastAsia="Calibri" w:cs="Times New Roman"/>
                <w:b/>
                <w:color w:val="000000"/>
                <w:sz w:val="20"/>
                <w:szCs w:val="20"/>
              </w:rPr>
              <w:t>Form</w:t>
            </w:r>
            <w:r w:rsidRPr="00F64DAD">
              <w:rPr>
                <w:rFonts w:eastAsia="Calibri" w:cs="Times New Roman"/>
                <w:b/>
                <w:color w:val="000000"/>
                <w:sz w:val="20"/>
                <w:szCs w:val="20"/>
              </w:rPr>
              <w:t xml:space="preserve"> No.</w:t>
            </w:r>
          </w:p>
        </w:tc>
        <w:tc>
          <w:tcPr>
            <w:tcW w:w="1530" w:type="dxa"/>
          </w:tcPr>
          <w:p w:rsidR="00324BD0" w:rsidRPr="00F64DAD" w:rsidP="000962C3" w14:paraId="00E1F61D" w14:textId="77777777">
            <w:pPr>
              <w:widowControl w:val="0"/>
              <w:autoSpaceDE w:val="0"/>
              <w:autoSpaceDN w:val="0"/>
              <w:adjustRightInd w:val="0"/>
              <w:jc w:val="center"/>
              <w:rPr>
                <w:rFonts w:eastAsia="Calibri" w:cs="Times New Roman"/>
                <w:b/>
                <w:bCs/>
                <w:color w:val="000000"/>
                <w:sz w:val="20"/>
                <w:szCs w:val="20"/>
              </w:rPr>
            </w:pPr>
            <w:r w:rsidRPr="00F64DAD">
              <w:rPr>
                <w:rFonts w:eastAsia="Calibri" w:cs="Times New Roman"/>
                <w:b/>
                <w:bCs/>
                <w:color w:val="000000"/>
                <w:sz w:val="20"/>
                <w:szCs w:val="20"/>
              </w:rPr>
              <w:t>Information Collection</w:t>
            </w:r>
          </w:p>
        </w:tc>
        <w:tc>
          <w:tcPr>
            <w:tcW w:w="1350" w:type="dxa"/>
          </w:tcPr>
          <w:p w:rsidR="00324BD0" w:rsidRPr="00F64DAD" w:rsidP="000962C3" w14:paraId="77AB686F" w14:textId="77777777">
            <w:pPr>
              <w:widowControl w:val="0"/>
              <w:autoSpaceDE w:val="0"/>
              <w:autoSpaceDN w:val="0"/>
              <w:adjustRightInd w:val="0"/>
              <w:spacing w:line="276" w:lineRule="auto"/>
              <w:jc w:val="center"/>
              <w:rPr>
                <w:rFonts w:eastAsia="Calibri" w:cs="Times New Roman"/>
                <w:b/>
                <w:bCs/>
                <w:color w:val="000000"/>
                <w:sz w:val="20"/>
                <w:szCs w:val="20"/>
              </w:rPr>
            </w:pPr>
            <w:r w:rsidRPr="00F64DAD">
              <w:rPr>
                <w:rFonts w:eastAsia="Calibri" w:cs="Times New Roman"/>
                <w:b/>
                <w:bCs/>
                <w:color w:val="000000"/>
                <w:sz w:val="20"/>
                <w:szCs w:val="20"/>
              </w:rPr>
              <w:t>Number of Respondents</w:t>
            </w:r>
          </w:p>
        </w:tc>
        <w:tc>
          <w:tcPr>
            <w:tcW w:w="1080" w:type="dxa"/>
          </w:tcPr>
          <w:p w:rsidR="00324BD0" w:rsidRPr="00F64DAD" w:rsidP="000962C3" w14:paraId="05D2697C" w14:textId="77777777">
            <w:pPr>
              <w:widowControl w:val="0"/>
              <w:autoSpaceDE w:val="0"/>
              <w:autoSpaceDN w:val="0"/>
              <w:adjustRightInd w:val="0"/>
              <w:spacing w:line="276" w:lineRule="auto"/>
              <w:jc w:val="center"/>
              <w:rPr>
                <w:rFonts w:eastAsia="Calibri" w:cs="Times New Roman"/>
                <w:b/>
                <w:bCs/>
                <w:color w:val="000000"/>
                <w:sz w:val="20"/>
                <w:szCs w:val="20"/>
              </w:rPr>
            </w:pPr>
            <w:r w:rsidRPr="00F64DAD">
              <w:rPr>
                <w:rFonts w:eastAsia="Calibri" w:cs="Times New Roman"/>
                <w:b/>
                <w:bCs/>
                <w:color w:val="000000"/>
                <w:sz w:val="20"/>
                <w:szCs w:val="20"/>
              </w:rPr>
              <w:t>Time per Response (minutes)</w:t>
            </w:r>
          </w:p>
        </w:tc>
        <w:tc>
          <w:tcPr>
            <w:tcW w:w="1350" w:type="dxa"/>
          </w:tcPr>
          <w:p w:rsidR="00324BD0" w:rsidRPr="00F64DAD" w:rsidP="000962C3" w14:paraId="74255C23" w14:textId="229CB76A">
            <w:pPr>
              <w:widowControl w:val="0"/>
              <w:autoSpaceDE w:val="0"/>
              <w:autoSpaceDN w:val="0"/>
              <w:adjustRightInd w:val="0"/>
              <w:spacing w:line="276" w:lineRule="auto"/>
              <w:jc w:val="center"/>
              <w:rPr>
                <w:rFonts w:eastAsia="Calibri" w:cs="Times New Roman"/>
                <w:b/>
                <w:bCs/>
                <w:color w:val="000000"/>
                <w:sz w:val="20"/>
                <w:szCs w:val="20"/>
              </w:rPr>
            </w:pPr>
            <w:r w:rsidRPr="00F64DAD">
              <w:rPr>
                <w:rFonts w:eastAsia="Calibri" w:cs="Times New Roman"/>
                <w:b/>
                <w:bCs/>
                <w:color w:val="000000"/>
                <w:sz w:val="20"/>
                <w:szCs w:val="20"/>
              </w:rPr>
              <w:t>Opportunity Cost per Response</w:t>
            </w:r>
          </w:p>
        </w:tc>
        <w:tc>
          <w:tcPr>
            <w:tcW w:w="1170" w:type="dxa"/>
          </w:tcPr>
          <w:p w:rsidR="00324BD0" w:rsidRPr="00F64DAD" w:rsidP="000962C3" w14:paraId="584C9D5B" w14:textId="77777777">
            <w:pPr>
              <w:widowControl w:val="0"/>
              <w:autoSpaceDE w:val="0"/>
              <w:autoSpaceDN w:val="0"/>
              <w:adjustRightInd w:val="0"/>
              <w:spacing w:line="276" w:lineRule="auto"/>
              <w:jc w:val="center"/>
              <w:rPr>
                <w:rFonts w:eastAsia="Calibri" w:cs="Times New Roman"/>
                <w:b/>
                <w:color w:val="000000"/>
                <w:sz w:val="20"/>
                <w:szCs w:val="20"/>
              </w:rPr>
            </w:pPr>
            <w:r w:rsidRPr="00F64DAD">
              <w:rPr>
                <w:rFonts w:eastAsia="Calibri" w:cs="Times New Roman"/>
                <w:b/>
                <w:color w:val="000000"/>
                <w:sz w:val="20"/>
                <w:szCs w:val="20"/>
              </w:rPr>
              <w:t>Frequency of Response</w:t>
            </w:r>
          </w:p>
        </w:tc>
        <w:tc>
          <w:tcPr>
            <w:tcW w:w="900" w:type="dxa"/>
          </w:tcPr>
          <w:p w:rsidR="00324BD0" w:rsidRPr="00F64DAD" w:rsidP="000962C3" w14:paraId="0E3D829B" w14:textId="77777777">
            <w:pPr>
              <w:widowControl w:val="0"/>
              <w:autoSpaceDE w:val="0"/>
              <w:autoSpaceDN w:val="0"/>
              <w:adjustRightInd w:val="0"/>
              <w:spacing w:line="276" w:lineRule="auto"/>
              <w:jc w:val="center"/>
              <w:rPr>
                <w:rFonts w:eastAsia="Calibri" w:cs="Times New Roman"/>
                <w:b/>
                <w:color w:val="000000"/>
                <w:sz w:val="20"/>
                <w:szCs w:val="20"/>
              </w:rPr>
            </w:pPr>
            <w:r w:rsidRPr="00F64DAD">
              <w:rPr>
                <w:rFonts w:eastAsia="Calibri" w:cs="Times New Roman"/>
                <w:b/>
                <w:color w:val="000000"/>
                <w:sz w:val="20"/>
                <w:szCs w:val="20"/>
              </w:rPr>
              <w:t>Total Burden Hours</w:t>
            </w:r>
          </w:p>
        </w:tc>
        <w:tc>
          <w:tcPr>
            <w:tcW w:w="1350" w:type="dxa"/>
          </w:tcPr>
          <w:p w:rsidR="00324BD0" w:rsidRPr="00F64DAD" w:rsidP="000962C3" w14:paraId="68C81FEA" w14:textId="127F6EDF">
            <w:pPr>
              <w:widowControl w:val="0"/>
              <w:autoSpaceDE w:val="0"/>
              <w:autoSpaceDN w:val="0"/>
              <w:adjustRightInd w:val="0"/>
              <w:spacing w:line="276" w:lineRule="auto"/>
              <w:jc w:val="center"/>
              <w:rPr>
                <w:rFonts w:eastAsia="Calibri" w:cs="Times New Roman"/>
                <w:b/>
                <w:bCs/>
                <w:color w:val="000000"/>
                <w:sz w:val="20"/>
                <w:szCs w:val="20"/>
              </w:rPr>
            </w:pPr>
            <w:r w:rsidRPr="00F64DAD">
              <w:rPr>
                <w:rFonts w:eastAsia="Calibri" w:cs="Times New Roman"/>
                <w:b/>
                <w:bCs/>
                <w:sz w:val="20"/>
                <w:szCs w:val="20"/>
              </w:rPr>
              <w:t>Total Opportunity Costs</w:t>
            </w:r>
          </w:p>
        </w:tc>
      </w:tr>
      <w:tr w14:paraId="2933CC63" w14:textId="77777777" w:rsidTr="00315A34">
        <w:tblPrEx>
          <w:tblW w:w="10080" w:type="dxa"/>
          <w:tblInd w:w="75" w:type="dxa"/>
          <w:tblLayout w:type="fixed"/>
          <w:tblLook w:val="04A0"/>
        </w:tblPrEx>
        <w:trPr>
          <w:trHeight w:val="239"/>
        </w:trPr>
        <w:tc>
          <w:tcPr>
            <w:tcW w:w="1350" w:type="dxa"/>
          </w:tcPr>
          <w:p w:rsidR="00093EB7" w:rsidRPr="00F64DAD" w:rsidP="00093EB7" w14:paraId="4170C02C" w14:textId="7FFC7E54">
            <w:pPr>
              <w:widowControl w:val="0"/>
              <w:autoSpaceDE w:val="0"/>
              <w:autoSpaceDN w:val="0"/>
              <w:adjustRightInd w:val="0"/>
              <w:spacing w:line="276" w:lineRule="auto"/>
              <w:jc w:val="center"/>
              <w:rPr>
                <w:rFonts w:eastAsia="Calibri" w:cs="Times New Roman"/>
                <w:color w:val="FF0000"/>
                <w:sz w:val="20"/>
                <w:szCs w:val="20"/>
              </w:rPr>
            </w:pPr>
            <w:r>
              <w:rPr>
                <w:sz w:val="20"/>
                <w:szCs w:val="20"/>
              </w:rPr>
              <w:t>NHTSA 2112</w:t>
            </w:r>
          </w:p>
        </w:tc>
        <w:tc>
          <w:tcPr>
            <w:tcW w:w="1530" w:type="dxa"/>
            <w:vAlign w:val="center"/>
          </w:tcPr>
          <w:p w:rsidR="00093EB7" w:rsidRPr="00F64DAD" w:rsidP="00093EB7" w14:paraId="1D89253D" w14:textId="046A42B8">
            <w:pPr>
              <w:widowControl w:val="0"/>
              <w:autoSpaceDE w:val="0"/>
              <w:autoSpaceDN w:val="0"/>
              <w:adjustRightInd w:val="0"/>
              <w:jc w:val="center"/>
              <w:rPr>
                <w:rFonts w:eastAsia="Calibri" w:cs="Times New Roman"/>
                <w:sz w:val="20"/>
                <w:szCs w:val="20"/>
              </w:rPr>
            </w:pPr>
            <w:r>
              <w:rPr>
                <w:rFonts w:eastAsia="Calibri" w:cs="Times New Roman"/>
                <w:sz w:val="20"/>
                <w:szCs w:val="20"/>
              </w:rPr>
              <w:t>Screening</w:t>
            </w:r>
            <w:r w:rsidRPr="00F64DAD">
              <w:rPr>
                <w:rFonts w:eastAsia="Calibri" w:cs="Times New Roman"/>
                <w:sz w:val="20"/>
                <w:szCs w:val="20"/>
              </w:rPr>
              <w:t xml:space="preserve"> Questionnaire</w:t>
            </w:r>
          </w:p>
        </w:tc>
        <w:tc>
          <w:tcPr>
            <w:tcW w:w="1350" w:type="dxa"/>
            <w:vAlign w:val="center"/>
          </w:tcPr>
          <w:p w:rsidR="00093EB7" w:rsidRPr="00F64DAD" w:rsidP="00093EB7" w14:paraId="3166530D" w14:textId="31DF4C9D">
            <w:pPr>
              <w:widowControl w:val="0"/>
              <w:autoSpaceDE w:val="0"/>
              <w:autoSpaceDN w:val="0"/>
              <w:adjustRightInd w:val="0"/>
              <w:spacing w:line="276" w:lineRule="auto"/>
              <w:jc w:val="center"/>
              <w:rPr>
                <w:rFonts w:eastAsia="Calibri" w:cs="Times New Roman"/>
                <w:sz w:val="20"/>
                <w:szCs w:val="20"/>
              </w:rPr>
            </w:pPr>
            <w:r>
              <w:rPr>
                <w:rFonts w:eastAsia="Calibri" w:cs="Times New Roman"/>
                <w:sz w:val="20"/>
                <w:szCs w:val="20"/>
              </w:rPr>
              <w:t>100</w:t>
            </w:r>
          </w:p>
        </w:tc>
        <w:tc>
          <w:tcPr>
            <w:tcW w:w="1080" w:type="dxa"/>
            <w:vAlign w:val="center"/>
          </w:tcPr>
          <w:p w:rsidR="00093EB7" w:rsidRPr="00F64DAD" w:rsidP="00093EB7" w14:paraId="3D8CF4E9" w14:textId="77777777">
            <w:pPr>
              <w:widowControl w:val="0"/>
              <w:autoSpaceDE w:val="0"/>
              <w:autoSpaceDN w:val="0"/>
              <w:adjustRightInd w:val="0"/>
              <w:spacing w:line="276" w:lineRule="auto"/>
              <w:jc w:val="center"/>
              <w:rPr>
                <w:rFonts w:eastAsia="Calibri" w:cs="Times New Roman"/>
                <w:sz w:val="20"/>
                <w:szCs w:val="20"/>
              </w:rPr>
            </w:pPr>
            <w:r w:rsidRPr="00F64DAD">
              <w:rPr>
                <w:rFonts w:eastAsia="Calibri" w:cs="Times New Roman"/>
                <w:sz w:val="20"/>
                <w:szCs w:val="20"/>
              </w:rPr>
              <w:t>15</w:t>
            </w:r>
          </w:p>
        </w:tc>
        <w:tc>
          <w:tcPr>
            <w:tcW w:w="1350" w:type="dxa"/>
            <w:vAlign w:val="center"/>
          </w:tcPr>
          <w:p w:rsidR="00093EB7" w:rsidRPr="00F64DAD" w:rsidP="00093EB7" w14:paraId="639C6AA8" w14:textId="12327C96">
            <w:pPr>
              <w:widowControl w:val="0"/>
              <w:autoSpaceDE w:val="0"/>
              <w:autoSpaceDN w:val="0"/>
              <w:adjustRightInd w:val="0"/>
              <w:spacing w:line="276" w:lineRule="auto"/>
              <w:jc w:val="center"/>
              <w:rPr>
                <w:rFonts w:eastAsia="Calibri" w:cs="Times New Roman"/>
                <w:color w:val="FF0000"/>
                <w:sz w:val="20"/>
                <w:szCs w:val="20"/>
              </w:rPr>
            </w:pPr>
            <w:r w:rsidRPr="00230FDD">
              <w:rPr>
                <w:rFonts w:eastAsia="Calibri" w:cs="Times New Roman"/>
                <w:sz w:val="20"/>
                <w:szCs w:val="20"/>
              </w:rPr>
              <w:t>$</w:t>
            </w:r>
            <w:r>
              <w:rPr>
                <w:rFonts w:eastAsia="Calibri" w:cs="Times New Roman"/>
                <w:sz w:val="20"/>
                <w:szCs w:val="20"/>
              </w:rPr>
              <w:t>10.27</w:t>
            </w:r>
          </w:p>
        </w:tc>
        <w:tc>
          <w:tcPr>
            <w:tcW w:w="1170" w:type="dxa"/>
            <w:vAlign w:val="center"/>
          </w:tcPr>
          <w:p w:rsidR="00093EB7" w:rsidRPr="00F64DAD" w:rsidP="00093EB7" w14:paraId="02B48AF9" w14:textId="77777777">
            <w:pPr>
              <w:widowControl w:val="0"/>
              <w:autoSpaceDE w:val="0"/>
              <w:autoSpaceDN w:val="0"/>
              <w:adjustRightInd w:val="0"/>
              <w:spacing w:line="276" w:lineRule="auto"/>
              <w:jc w:val="center"/>
              <w:rPr>
                <w:rFonts w:eastAsia="Calibri" w:cs="Times New Roman"/>
                <w:bCs/>
                <w:sz w:val="20"/>
                <w:szCs w:val="20"/>
              </w:rPr>
            </w:pPr>
            <w:r w:rsidRPr="00F64DAD">
              <w:rPr>
                <w:rFonts w:eastAsia="Calibri" w:cs="Times New Roman"/>
                <w:bCs/>
                <w:sz w:val="20"/>
                <w:szCs w:val="20"/>
              </w:rPr>
              <w:t>1</w:t>
            </w:r>
          </w:p>
        </w:tc>
        <w:tc>
          <w:tcPr>
            <w:tcW w:w="900" w:type="dxa"/>
            <w:vAlign w:val="center"/>
          </w:tcPr>
          <w:p w:rsidR="00093EB7" w:rsidRPr="00F64DAD" w:rsidP="00093EB7" w14:paraId="47B53BE8" w14:textId="4F8226ED">
            <w:pPr>
              <w:widowControl w:val="0"/>
              <w:autoSpaceDE w:val="0"/>
              <w:autoSpaceDN w:val="0"/>
              <w:adjustRightInd w:val="0"/>
              <w:spacing w:line="276" w:lineRule="auto"/>
              <w:jc w:val="center"/>
              <w:rPr>
                <w:rFonts w:eastAsia="Calibri" w:cs="Times New Roman"/>
                <w:b/>
                <w:color w:val="FF0000"/>
                <w:sz w:val="20"/>
                <w:szCs w:val="20"/>
              </w:rPr>
            </w:pPr>
            <w:r>
              <w:rPr>
                <w:rFonts w:eastAsia="Calibri" w:cs="Times New Roman"/>
                <w:b/>
                <w:sz w:val="20"/>
                <w:szCs w:val="20"/>
              </w:rPr>
              <w:t>25</w:t>
            </w:r>
            <w:r w:rsidRPr="00230FDD">
              <w:rPr>
                <w:rFonts w:eastAsia="Calibri" w:cs="Times New Roman"/>
                <w:b/>
                <w:sz w:val="20"/>
                <w:szCs w:val="20"/>
              </w:rPr>
              <w:t xml:space="preserve"> hours</w:t>
            </w:r>
          </w:p>
        </w:tc>
        <w:tc>
          <w:tcPr>
            <w:tcW w:w="1350" w:type="dxa"/>
            <w:vAlign w:val="center"/>
          </w:tcPr>
          <w:p w:rsidR="00093EB7" w:rsidRPr="009A0310" w:rsidP="00093EB7" w14:paraId="0EC7FCA4" w14:textId="106E7F20">
            <w:pPr>
              <w:widowControl w:val="0"/>
              <w:autoSpaceDE w:val="0"/>
              <w:autoSpaceDN w:val="0"/>
              <w:adjustRightInd w:val="0"/>
              <w:spacing w:line="276" w:lineRule="auto"/>
              <w:jc w:val="center"/>
              <w:rPr>
                <w:rFonts w:eastAsia="Calibri" w:cs="Times New Roman"/>
                <w:b/>
                <w:bCs/>
                <w:color w:val="FF0000"/>
                <w:sz w:val="20"/>
                <w:szCs w:val="20"/>
              </w:rPr>
            </w:pPr>
            <w:r w:rsidRPr="009A0310">
              <w:rPr>
                <w:rFonts w:eastAsia="Calibri" w:cs="Times New Roman"/>
                <w:b/>
                <w:bCs/>
                <w:sz w:val="20"/>
                <w:szCs w:val="20"/>
              </w:rPr>
              <w:t>$</w:t>
            </w:r>
            <w:r>
              <w:rPr>
                <w:rFonts w:eastAsia="Calibri" w:cs="Times New Roman"/>
                <w:b/>
                <w:bCs/>
                <w:sz w:val="20"/>
                <w:szCs w:val="20"/>
              </w:rPr>
              <w:t>1,027</w:t>
            </w:r>
          </w:p>
        </w:tc>
      </w:tr>
      <w:tr w14:paraId="146C9C34" w14:textId="77777777" w:rsidTr="00315A34">
        <w:tblPrEx>
          <w:tblW w:w="10080" w:type="dxa"/>
          <w:tblInd w:w="75" w:type="dxa"/>
          <w:tblLayout w:type="fixed"/>
          <w:tblLook w:val="04A0"/>
        </w:tblPrEx>
        <w:trPr>
          <w:trHeight w:val="224"/>
        </w:trPr>
        <w:tc>
          <w:tcPr>
            <w:tcW w:w="1350" w:type="dxa"/>
          </w:tcPr>
          <w:p w:rsidR="00093EB7" w:rsidRPr="00F64DAD" w:rsidP="00093EB7" w14:paraId="4334BD45" w14:textId="14875E72">
            <w:pPr>
              <w:widowControl w:val="0"/>
              <w:autoSpaceDE w:val="0"/>
              <w:autoSpaceDN w:val="0"/>
              <w:adjustRightInd w:val="0"/>
              <w:spacing w:line="276" w:lineRule="auto"/>
              <w:jc w:val="center"/>
              <w:rPr>
                <w:rFonts w:eastAsia="Calibri" w:cs="Times New Roman"/>
                <w:color w:val="FF0000"/>
                <w:sz w:val="20"/>
                <w:szCs w:val="20"/>
              </w:rPr>
            </w:pPr>
            <w:r>
              <w:rPr>
                <w:sz w:val="20"/>
                <w:szCs w:val="20"/>
              </w:rPr>
              <w:t>NHTSA 2113 &amp; 2115</w:t>
            </w:r>
          </w:p>
        </w:tc>
        <w:tc>
          <w:tcPr>
            <w:tcW w:w="1530" w:type="dxa"/>
          </w:tcPr>
          <w:p w:rsidR="00093EB7" w:rsidRPr="00F64DAD" w:rsidP="00093EB7" w14:paraId="594DC899" w14:textId="77777777">
            <w:pPr>
              <w:widowControl w:val="0"/>
              <w:autoSpaceDE w:val="0"/>
              <w:autoSpaceDN w:val="0"/>
              <w:adjustRightInd w:val="0"/>
              <w:jc w:val="center"/>
              <w:rPr>
                <w:rFonts w:eastAsia="Calibri" w:cs="Times New Roman"/>
                <w:sz w:val="20"/>
                <w:szCs w:val="20"/>
              </w:rPr>
            </w:pPr>
            <w:r w:rsidRPr="00F64DAD">
              <w:rPr>
                <w:rFonts w:eastAsia="Calibri" w:cs="Times New Roman"/>
                <w:sz w:val="20"/>
                <w:szCs w:val="20"/>
              </w:rPr>
              <w:t>Informed Consent</w:t>
            </w:r>
          </w:p>
        </w:tc>
        <w:tc>
          <w:tcPr>
            <w:tcW w:w="1350" w:type="dxa"/>
          </w:tcPr>
          <w:p w:rsidR="00093EB7" w:rsidRPr="00F64DAD" w:rsidP="00093EB7" w14:paraId="181568D5" w14:textId="22474461">
            <w:pPr>
              <w:widowControl w:val="0"/>
              <w:autoSpaceDE w:val="0"/>
              <w:autoSpaceDN w:val="0"/>
              <w:adjustRightInd w:val="0"/>
              <w:spacing w:line="276" w:lineRule="auto"/>
              <w:jc w:val="center"/>
              <w:rPr>
                <w:rFonts w:eastAsia="Calibri" w:cs="Times New Roman"/>
                <w:sz w:val="20"/>
                <w:szCs w:val="20"/>
              </w:rPr>
            </w:pPr>
            <w:r>
              <w:rPr>
                <w:rFonts w:eastAsia="Calibri" w:cs="Times New Roman"/>
                <w:sz w:val="20"/>
                <w:szCs w:val="20"/>
              </w:rPr>
              <w:t>32</w:t>
            </w:r>
          </w:p>
        </w:tc>
        <w:tc>
          <w:tcPr>
            <w:tcW w:w="1080" w:type="dxa"/>
          </w:tcPr>
          <w:p w:rsidR="00093EB7" w:rsidRPr="00F64DAD" w:rsidP="00093EB7" w14:paraId="08635F4A" w14:textId="77777777">
            <w:pPr>
              <w:widowControl w:val="0"/>
              <w:autoSpaceDE w:val="0"/>
              <w:autoSpaceDN w:val="0"/>
              <w:adjustRightInd w:val="0"/>
              <w:spacing w:line="276" w:lineRule="auto"/>
              <w:jc w:val="center"/>
              <w:rPr>
                <w:rFonts w:eastAsia="Calibri" w:cs="Times New Roman"/>
                <w:sz w:val="20"/>
                <w:szCs w:val="20"/>
              </w:rPr>
            </w:pPr>
            <w:r w:rsidRPr="00F64DAD">
              <w:rPr>
                <w:rFonts w:eastAsia="Calibri" w:cs="Times New Roman"/>
                <w:sz w:val="20"/>
                <w:szCs w:val="20"/>
              </w:rPr>
              <w:t>15</w:t>
            </w:r>
          </w:p>
        </w:tc>
        <w:tc>
          <w:tcPr>
            <w:tcW w:w="1350" w:type="dxa"/>
          </w:tcPr>
          <w:p w:rsidR="00093EB7" w:rsidRPr="00F64DAD" w:rsidP="00093EB7" w14:paraId="674B5E4A" w14:textId="3AEA19C2">
            <w:pPr>
              <w:widowControl w:val="0"/>
              <w:autoSpaceDE w:val="0"/>
              <w:autoSpaceDN w:val="0"/>
              <w:adjustRightInd w:val="0"/>
              <w:spacing w:line="276" w:lineRule="auto"/>
              <w:jc w:val="center"/>
              <w:rPr>
                <w:rFonts w:eastAsia="Calibri" w:cs="Times New Roman"/>
                <w:color w:val="FF0000"/>
                <w:sz w:val="20"/>
                <w:szCs w:val="20"/>
              </w:rPr>
            </w:pPr>
            <w:r w:rsidRPr="00230FDD">
              <w:rPr>
                <w:rFonts w:eastAsia="Calibri" w:cs="Times New Roman"/>
                <w:sz w:val="20"/>
                <w:szCs w:val="20"/>
              </w:rPr>
              <w:t>$</w:t>
            </w:r>
            <w:r>
              <w:rPr>
                <w:rFonts w:eastAsia="Calibri" w:cs="Times New Roman"/>
                <w:sz w:val="20"/>
                <w:szCs w:val="20"/>
              </w:rPr>
              <w:t>10.2</w:t>
            </w:r>
            <w:r w:rsidRPr="00230FDD">
              <w:rPr>
                <w:rFonts w:eastAsia="Calibri" w:cs="Times New Roman"/>
                <w:sz w:val="20"/>
                <w:szCs w:val="20"/>
              </w:rPr>
              <w:t>7</w:t>
            </w:r>
          </w:p>
        </w:tc>
        <w:tc>
          <w:tcPr>
            <w:tcW w:w="1170" w:type="dxa"/>
          </w:tcPr>
          <w:p w:rsidR="00093EB7" w:rsidRPr="00F64DAD" w:rsidP="00093EB7" w14:paraId="516D36DE" w14:textId="77777777">
            <w:pPr>
              <w:widowControl w:val="0"/>
              <w:autoSpaceDE w:val="0"/>
              <w:autoSpaceDN w:val="0"/>
              <w:adjustRightInd w:val="0"/>
              <w:spacing w:line="276" w:lineRule="auto"/>
              <w:jc w:val="center"/>
              <w:rPr>
                <w:rFonts w:eastAsia="Calibri" w:cs="Times New Roman"/>
                <w:bCs/>
                <w:sz w:val="20"/>
                <w:szCs w:val="20"/>
              </w:rPr>
            </w:pPr>
            <w:r w:rsidRPr="00F64DAD">
              <w:rPr>
                <w:rFonts w:eastAsia="Calibri" w:cs="Times New Roman"/>
                <w:bCs/>
                <w:sz w:val="20"/>
                <w:szCs w:val="20"/>
              </w:rPr>
              <w:t>1</w:t>
            </w:r>
          </w:p>
        </w:tc>
        <w:tc>
          <w:tcPr>
            <w:tcW w:w="900" w:type="dxa"/>
          </w:tcPr>
          <w:p w:rsidR="00093EB7" w:rsidRPr="00F64DAD" w:rsidP="00093EB7" w14:paraId="65DEB165" w14:textId="57021CD9">
            <w:pPr>
              <w:widowControl w:val="0"/>
              <w:autoSpaceDE w:val="0"/>
              <w:autoSpaceDN w:val="0"/>
              <w:adjustRightInd w:val="0"/>
              <w:spacing w:line="276" w:lineRule="auto"/>
              <w:jc w:val="center"/>
              <w:rPr>
                <w:rFonts w:eastAsia="Calibri" w:cs="Times New Roman"/>
                <w:b/>
                <w:color w:val="FF0000"/>
                <w:sz w:val="20"/>
                <w:szCs w:val="20"/>
              </w:rPr>
            </w:pPr>
            <w:r>
              <w:rPr>
                <w:rFonts w:eastAsia="Calibri" w:cs="Times New Roman"/>
                <w:b/>
                <w:sz w:val="20"/>
                <w:szCs w:val="20"/>
              </w:rPr>
              <w:t>8</w:t>
            </w:r>
            <w:r w:rsidRPr="00230FDD">
              <w:rPr>
                <w:rFonts w:eastAsia="Calibri" w:cs="Times New Roman"/>
                <w:b/>
                <w:sz w:val="20"/>
                <w:szCs w:val="20"/>
              </w:rPr>
              <w:t xml:space="preserve"> hours</w:t>
            </w:r>
          </w:p>
        </w:tc>
        <w:tc>
          <w:tcPr>
            <w:tcW w:w="1350" w:type="dxa"/>
          </w:tcPr>
          <w:p w:rsidR="00093EB7" w:rsidRPr="009A0310" w:rsidP="00093EB7" w14:paraId="2B486C39" w14:textId="7F002BC7">
            <w:pPr>
              <w:widowControl w:val="0"/>
              <w:autoSpaceDE w:val="0"/>
              <w:autoSpaceDN w:val="0"/>
              <w:adjustRightInd w:val="0"/>
              <w:spacing w:line="276" w:lineRule="auto"/>
              <w:jc w:val="center"/>
              <w:rPr>
                <w:rFonts w:eastAsia="Calibri" w:cs="Times New Roman"/>
                <w:b/>
                <w:bCs/>
                <w:color w:val="FF0000"/>
                <w:sz w:val="20"/>
                <w:szCs w:val="20"/>
              </w:rPr>
            </w:pPr>
            <w:r w:rsidRPr="009A0310">
              <w:rPr>
                <w:rFonts w:eastAsia="Calibri" w:cs="Times New Roman"/>
                <w:b/>
                <w:bCs/>
                <w:sz w:val="20"/>
                <w:szCs w:val="20"/>
              </w:rPr>
              <w:t>$</w:t>
            </w:r>
            <w:r>
              <w:rPr>
                <w:rFonts w:eastAsia="Calibri" w:cs="Times New Roman"/>
                <w:b/>
                <w:bCs/>
                <w:sz w:val="20"/>
                <w:szCs w:val="20"/>
              </w:rPr>
              <w:t>329</w:t>
            </w:r>
          </w:p>
        </w:tc>
      </w:tr>
      <w:tr w14:paraId="56A5BB9E" w14:textId="77777777" w:rsidTr="00315A34">
        <w:tblPrEx>
          <w:tblW w:w="10080" w:type="dxa"/>
          <w:tblInd w:w="75" w:type="dxa"/>
          <w:tblLayout w:type="fixed"/>
          <w:tblLook w:val="04A0"/>
        </w:tblPrEx>
        <w:trPr>
          <w:trHeight w:val="239"/>
        </w:trPr>
        <w:tc>
          <w:tcPr>
            <w:tcW w:w="1350" w:type="dxa"/>
          </w:tcPr>
          <w:p w:rsidR="00230FDD" w:rsidRPr="00D963C3" w:rsidP="00230FDD" w14:paraId="25B13409" w14:textId="283EEDB1">
            <w:pPr>
              <w:widowControl w:val="0"/>
              <w:autoSpaceDE w:val="0"/>
              <w:autoSpaceDN w:val="0"/>
              <w:adjustRightInd w:val="0"/>
              <w:spacing w:line="276" w:lineRule="auto"/>
              <w:jc w:val="center"/>
              <w:rPr>
                <w:rFonts w:eastAsia="Calibri" w:cs="Times New Roman"/>
                <w:sz w:val="20"/>
                <w:szCs w:val="20"/>
              </w:rPr>
            </w:pPr>
            <w:r>
              <w:rPr>
                <w:rFonts w:eastAsia="Calibri" w:cs="Times New Roman"/>
                <w:sz w:val="20"/>
                <w:szCs w:val="20"/>
              </w:rPr>
              <w:t>NHTSA</w:t>
            </w:r>
            <w:r w:rsidR="00BE7A80">
              <w:rPr>
                <w:rFonts w:eastAsia="Calibri" w:cs="Times New Roman"/>
                <w:sz w:val="20"/>
                <w:szCs w:val="20"/>
              </w:rPr>
              <w:t xml:space="preserve"> 2114</w:t>
            </w:r>
          </w:p>
        </w:tc>
        <w:tc>
          <w:tcPr>
            <w:tcW w:w="1530" w:type="dxa"/>
          </w:tcPr>
          <w:p w:rsidR="00230FDD" w:rsidRPr="00F64DAD" w:rsidP="00230FDD" w14:paraId="6474723D" w14:textId="77777777">
            <w:pPr>
              <w:widowControl w:val="0"/>
              <w:autoSpaceDE w:val="0"/>
              <w:autoSpaceDN w:val="0"/>
              <w:adjustRightInd w:val="0"/>
              <w:jc w:val="center"/>
              <w:rPr>
                <w:rFonts w:cs="Times New Roman"/>
                <w:sz w:val="20"/>
                <w:szCs w:val="20"/>
              </w:rPr>
            </w:pPr>
            <w:r w:rsidRPr="00F64DAD">
              <w:rPr>
                <w:rFonts w:cs="Times New Roman"/>
                <w:sz w:val="20"/>
                <w:szCs w:val="20"/>
              </w:rPr>
              <w:t xml:space="preserve">Study Drive </w:t>
            </w:r>
          </w:p>
          <w:p w:rsidR="00230FDD" w:rsidRPr="00F64DAD" w:rsidP="00230FDD" w14:paraId="78AAE997" w14:textId="4D278796">
            <w:pPr>
              <w:widowControl w:val="0"/>
              <w:autoSpaceDE w:val="0"/>
              <w:autoSpaceDN w:val="0"/>
              <w:adjustRightInd w:val="0"/>
              <w:jc w:val="center"/>
              <w:rPr>
                <w:rFonts w:eastAsia="Calibri" w:cs="Times New Roman"/>
                <w:color w:val="FF0000"/>
                <w:sz w:val="20"/>
                <w:szCs w:val="20"/>
              </w:rPr>
            </w:pPr>
            <w:r w:rsidRPr="00F64DAD">
              <w:rPr>
                <w:rFonts w:cs="Times New Roman"/>
                <w:sz w:val="20"/>
                <w:szCs w:val="20"/>
              </w:rPr>
              <w:t>(Test Track)</w:t>
            </w:r>
          </w:p>
        </w:tc>
        <w:tc>
          <w:tcPr>
            <w:tcW w:w="1350" w:type="dxa"/>
          </w:tcPr>
          <w:p w:rsidR="00230FDD" w:rsidRPr="00F64DAD" w:rsidP="00230FDD" w14:paraId="4FD03E0A" w14:textId="45FA0CA6">
            <w:pPr>
              <w:widowControl w:val="0"/>
              <w:autoSpaceDE w:val="0"/>
              <w:autoSpaceDN w:val="0"/>
              <w:adjustRightInd w:val="0"/>
              <w:spacing w:line="276" w:lineRule="auto"/>
              <w:jc w:val="center"/>
              <w:rPr>
                <w:rFonts w:eastAsia="Calibri" w:cs="Times New Roman"/>
                <w:sz w:val="20"/>
                <w:szCs w:val="20"/>
              </w:rPr>
            </w:pPr>
            <w:r>
              <w:rPr>
                <w:rFonts w:eastAsia="Calibri" w:cs="Times New Roman"/>
                <w:sz w:val="20"/>
                <w:szCs w:val="20"/>
              </w:rPr>
              <w:t>16</w:t>
            </w:r>
          </w:p>
        </w:tc>
        <w:tc>
          <w:tcPr>
            <w:tcW w:w="1080" w:type="dxa"/>
          </w:tcPr>
          <w:p w:rsidR="00230FDD" w:rsidRPr="00F64DAD" w:rsidP="00230FDD" w14:paraId="02E8ECF7" w14:textId="11317493">
            <w:pPr>
              <w:widowControl w:val="0"/>
              <w:autoSpaceDE w:val="0"/>
              <w:autoSpaceDN w:val="0"/>
              <w:adjustRightInd w:val="0"/>
              <w:spacing w:line="276" w:lineRule="auto"/>
              <w:jc w:val="center"/>
              <w:rPr>
                <w:rFonts w:eastAsia="Calibri" w:cs="Times New Roman"/>
                <w:sz w:val="20"/>
                <w:szCs w:val="20"/>
              </w:rPr>
            </w:pPr>
            <w:r>
              <w:rPr>
                <w:rFonts w:eastAsia="Calibri" w:cs="Times New Roman"/>
                <w:sz w:val="20"/>
                <w:szCs w:val="20"/>
              </w:rPr>
              <w:t>160</w:t>
            </w:r>
          </w:p>
        </w:tc>
        <w:tc>
          <w:tcPr>
            <w:tcW w:w="1350" w:type="dxa"/>
          </w:tcPr>
          <w:p w:rsidR="00230FDD" w:rsidRPr="00F64DAD" w:rsidP="00230FDD" w14:paraId="3CD75F5A" w14:textId="12459CF0">
            <w:pPr>
              <w:widowControl w:val="0"/>
              <w:autoSpaceDE w:val="0"/>
              <w:autoSpaceDN w:val="0"/>
              <w:adjustRightInd w:val="0"/>
              <w:spacing w:line="276" w:lineRule="auto"/>
              <w:jc w:val="center"/>
              <w:rPr>
                <w:rFonts w:eastAsia="Calibri" w:cs="Times New Roman"/>
                <w:color w:val="FF0000"/>
                <w:sz w:val="20"/>
                <w:szCs w:val="20"/>
              </w:rPr>
            </w:pPr>
            <w:r w:rsidRPr="007A7D7A">
              <w:rPr>
                <w:rFonts w:eastAsia="Calibri" w:cs="Times New Roman"/>
                <w:sz w:val="20"/>
                <w:szCs w:val="20"/>
              </w:rPr>
              <w:t>$</w:t>
            </w:r>
            <w:r w:rsidR="00872B9B">
              <w:rPr>
                <w:rFonts w:eastAsia="Calibri" w:cs="Times New Roman"/>
                <w:sz w:val="20"/>
                <w:szCs w:val="20"/>
              </w:rPr>
              <w:t>109.57</w:t>
            </w:r>
          </w:p>
        </w:tc>
        <w:tc>
          <w:tcPr>
            <w:tcW w:w="1170" w:type="dxa"/>
          </w:tcPr>
          <w:p w:rsidR="00230FDD" w:rsidRPr="00F64DAD" w:rsidP="00230FDD" w14:paraId="2D71CC33" w14:textId="77777777">
            <w:pPr>
              <w:widowControl w:val="0"/>
              <w:autoSpaceDE w:val="0"/>
              <w:autoSpaceDN w:val="0"/>
              <w:adjustRightInd w:val="0"/>
              <w:spacing w:line="276" w:lineRule="auto"/>
              <w:jc w:val="center"/>
              <w:rPr>
                <w:rFonts w:eastAsia="Calibri" w:cs="Times New Roman"/>
                <w:bCs/>
                <w:color w:val="FF0000"/>
                <w:sz w:val="20"/>
                <w:szCs w:val="20"/>
              </w:rPr>
            </w:pPr>
            <w:r w:rsidRPr="00F64DAD">
              <w:rPr>
                <w:rFonts w:eastAsia="Calibri" w:cs="Times New Roman"/>
                <w:bCs/>
                <w:sz w:val="20"/>
                <w:szCs w:val="20"/>
              </w:rPr>
              <w:t>1</w:t>
            </w:r>
          </w:p>
        </w:tc>
        <w:tc>
          <w:tcPr>
            <w:tcW w:w="900" w:type="dxa"/>
          </w:tcPr>
          <w:p w:rsidR="00230FDD" w:rsidRPr="00F64DAD" w:rsidP="00230FDD" w14:paraId="01B39C78" w14:textId="57399A0A">
            <w:pPr>
              <w:widowControl w:val="0"/>
              <w:autoSpaceDE w:val="0"/>
              <w:autoSpaceDN w:val="0"/>
              <w:adjustRightInd w:val="0"/>
              <w:spacing w:line="276" w:lineRule="auto"/>
              <w:jc w:val="center"/>
              <w:rPr>
                <w:rFonts w:eastAsia="Calibri" w:cs="Times New Roman"/>
                <w:b/>
                <w:color w:val="FF0000"/>
                <w:sz w:val="20"/>
                <w:szCs w:val="20"/>
              </w:rPr>
            </w:pPr>
            <w:r>
              <w:rPr>
                <w:rFonts w:eastAsia="Calibri" w:cs="Times New Roman"/>
                <w:b/>
                <w:sz w:val="20"/>
                <w:szCs w:val="20"/>
              </w:rPr>
              <w:t>43</w:t>
            </w:r>
            <w:r w:rsidRPr="007A7D7A" w:rsidR="000D42A0">
              <w:rPr>
                <w:rFonts w:eastAsia="Calibri" w:cs="Times New Roman"/>
                <w:b/>
                <w:sz w:val="20"/>
                <w:szCs w:val="20"/>
              </w:rPr>
              <w:t xml:space="preserve"> </w:t>
            </w:r>
            <w:r w:rsidRPr="007A7D7A">
              <w:rPr>
                <w:rFonts w:eastAsia="Calibri" w:cs="Times New Roman"/>
                <w:b/>
                <w:sz w:val="20"/>
                <w:szCs w:val="20"/>
              </w:rPr>
              <w:t>hours</w:t>
            </w:r>
          </w:p>
        </w:tc>
        <w:tc>
          <w:tcPr>
            <w:tcW w:w="1350" w:type="dxa"/>
          </w:tcPr>
          <w:p w:rsidR="00230FDD" w:rsidRPr="009A0310" w:rsidP="00230FDD" w14:paraId="62865633" w14:textId="57D75357">
            <w:pPr>
              <w:widowControl w:val="0"/>
              <w:autoSpaceDE w:val="0"/>
              <w:autoSpaceDN w:val="0"/>
              <w:adjustRightInd w:val="0"/>
              <w:spacing w:line="276" w:lineRule="auto"/>
              <w:jc w:val="center"/>
              <w:rPr>
                <w:rFonts w:eastAsia="Calibri" w:cs="Times New Roman"/>
                <w:b/>
                <w:bCs/>
                <w:color w:val="FF0000"/>
                <w:sz w:val="20"/>
                <w:szCs w:val="20"/>
              </w:rPr>
            </w:pPr>
            <w:r w:rsidRPr="009A0310">
              <w:rPr>
                <w:rFonts w:eastAsia="Calibri" w:cs="Times New Roman"/>
                <w:b/>
                <w:bCs/>
                <w:sz w:val="20"/>
                <w:szCs w:val="20"/>
              </w:rPr>
              <w:t>$</w:t>
            </w:r>
            <w:r w:rsidR="0086587F">
              <w:rPr>
                <w:rFonts w:eastAsia="Calibri" w:cs="Times New Roman"/>
                <w:b/>
                <w:bCs/>
                <w:sz w:val="20"/>
                <w:szCs w:val="20"/>
              </w:rPr>
              <w:t>1,753</w:t>
            </w:r>
          </w:p>
        </w:tc>
      </w:tr>
      <w:tr w14:paraId="44AD6235" w14:textId="77777777" w:rsidTr="00315A34">
        <w:tblPrEx>
          <w:tblW w:w="10080" w:type="dxa"/>
          <w:tblInd w:w="75" w:type="dxa"/>
          <w:tblLayout w:type="fixed"/>
          <w:tblLook w:val="04A0"/>
        </w:tblPrEx>
        <w:trPr>
          <w:trHeight w:val="224"/>
        </w:trPr>
        <w:tc>
          <w:tcPr>
            <w:tcW w:w="1350" w:type="dxa"/>
          </w:tcPr>
          <w:p w:rsidR="00E51C15" w:rsidRPr="00D963C3" w:rsidP="00357437" w14:paraId="5EF980F5" w14:textId="7AA5050C">
            <w:pPr>
              <w:widowControl w:val="0"/>
              <w:autoSpaceDE w:val="0"/>
              <w:autoSpaceDN w:val="0"/>
              <w:adjustRightInd w:val="0"/>
              <w:jc w:val="center"/>
              <w:rPr>
                <w:rFonts w:eastAsia="Calibri" w:cs="Times New Roman"/>
                <w:sz w:val="20"/>
                <w:szCs w:val="20"/>
              </w:rPr>
            </w:pPr>
            <w:r>
              <w:rPr>
                <w:rFonts w:eastAsia="Calibri" w:cs="Times New Roman"/>
                <w:sz w:val="20"/>
                <w:szCs w:val="20"/>
              </w:rPr>
              <w:t xml:space="preserve">NHTSA 2114 </w:t>
            </w:r>
          </w:p>
        </w:tc>
        <w:tc>
          <w:tcPr>
            <w:tcW w:w="1530" w:type="dxa"/>
          </w:tcPr>
          <w:p w:rsidR="00E51C15" w:rsidRPr="00F64DAD" w:rsidP="00357437" w14:paraId="24D52347" w14:textId="35C47CC7">
            <w:pPr>
              <w:widowControl w:val="0"/>
              <w:autoSpaceDE w:val="0"/>
              <w:autoSpaceDN w:val="0"/>
              <w:adjustRightInd w:val="0"/>
              <w:jc w:val="center"/>
              <w:rPr>
                <w:rFonts w:cs="Times New Roman"/>
                <w:sz w:val="20"/>
                <w:szCs w:val="20"/>
              </w:rPr>
            </w:pPr>
            <w:r>
              <w:rPr>
                <w:rFonts w:cs="Times New Roman"/>
                <w:sz w:val="20"/>
                <w:szCs w:val="20"/>
              </w:rPr>
              <w:t>Study Drive (Cones Course)</w:t>
            </w:r>
          </w:p>
        </w:tc>
        <w:tc>
          <w:tcPr>
            <w:tcW w:w="1350" w:type="dxa"/>
          </w:tcPr>
          <w:p w:rsidR="00E51C15" w:rsidRPr="00F64DAD" w:rsidP="00357437" w14:paraId="1FB72054" w14:textId="6D9440ED">
            <w:pPr>
              <w:widowControl w:val="0"/>
              <w:autoSpaceDE w:val="0"/>
              <w:autoSpaceDN w:val="0"/>
              <w:adjustRightInd w:val="0"/>
              <w:jc w:val="center"/>
              <w:rPr>
                <w:rFonts w:eastAsia="Calibri" w:cs="Times New Roman"/>
                <w:sz w:val="20"/>
                <w:szCs w:val="20"/>
              </w:rPr>
            </w:pPr>
            <w:r>
              <w:rPr>
                <w:rFonts w:eastAsia="Calibri" w:cs="Times New Roman"/>
                <w:sz w:val="20"/>
                <w:szCs w:val="20"/>
              </w:rPr>
              <w:t>16</w:t>
            </w:r>
          </w:p>
        </w:tc>
        <w:tc>
          <w:tcPr>
            <w:tcW w:w="1080" w:type="dxa"/>
          </w:tcPr>
          <w:p w:rsidR="00E51C15" w:rsidRPr="007A7D7A" w:rsidP="00357437" w14:paraId="4F5FFF92" w14:textId="27BF9266">
            <w:pPr>
              <w:widowControl w:val="0"/>
              <w:autoSpaceDE w:val="0"/>
              <w:autoSpaceDN w:val="0"/>
              <w:adjustRightInd w:val="0"/>
              <w:jc w:val="center"/>
              <w:rPr>
                <w:rFonts w:eastAsia="Calibri" w:cs="Times New Roman"/>
                <w:sz w:val="20"/>
                <w:szCs w:val="20"/>
              </w:rPr>
            </w:pPr>
            <w:r>
              <w:rPr>
                <w:rFonts w:eastAsia="Calibri" w:cs="Times New Roman"/>
                <w:sz w:val="20"/>
                <w:szCs w:val="20"/>
              </w:rPr>
              <w:t>130</w:t>
            </w:r>
          </w:p>
        </w:tc>
        <w:tc>
          <w:tcPr>
            <w:tcW w:w="1350" w:type="dxa"/>
          </w:tcPr>
          <w:p w:rsidR="00E51C15" w:rsidRPr="007A7D7A" w:rsidP="00357437" w14:paraId="30DC61B3" w14:textId="7B602267">
            <w:pPr>
              <w:widowControl w:val="0"/>
              <w:autoSpaceDE w:val="0"/>
              <w:autoSpaceDN w:val="0"/>
              <w:adjustRightInd w:val="0"/>
              <w:jc w:val="center"/>
              <w:rPr>
                <w:rFonts w:eastAsia="Calibri" w:cs="Times New Roman"/>
                <w:sz w:val="20"/>
                <w:szCs w:val="20"/>
              </w:rPr>
            </w:pPr>
            <w:r>
              <w:rPr>
                <w:rFonts w:eastAsia="Calibri" w:cs="Times New Roman"/>
                <w:sz w:val="20"/>
                <w:szCs w:val="20"/>
              </w:rPr>
              <w:t>$</w:t>
            </w:r>
            <w:r w:rsidR="00872B9B">
              <w:rPr>
                <w:rFonts w:eastAsia="Calibri" w:cs="Times New Roman"/>
                <w:sz w:val="20"/>
                <w:szCs w:val="20"/>
              </w:rPr>
              <w:t>89.03</w:t>
            </w:r>
          </w:p>
        </w:tc>
        <w:tc>
          <w:tcPr>
            <w:tcW w:w="1170" w:type="dxa"/>
          </w:tcPr>
          <w:p w:rsidR="00E51C15" w:rsidRPr="00A51368" w:rsidP="00357437" w14:paraId="119CEBD1" w14:textId="62822C42">
            <w:pPr>
              <w:widowControl w:val="0"/>
              <w:autoSpaceDE w:val="0"/>
              <w:autoSpaceDN w:val="0"/>
              <w:adjustRightInd w:val="0"/>
              <w:jc w:val="center"/>
              <w:rPr>
                <w:rFonts w:eastAsia="Calibri" w:cs="Times New Roman"/>
                <w:bCs/>
                <w:sz w:val="20"/>
                <w:szCs w:val="20"/>
              </w:rPr>
            </w:pPr>
            <w:r>
              <w:rPr>
                <w:rFonts w:eastAsia="Calibri" w:cs="Times New Roman"/>
                <w:bCs/>
                <w:sz w:val="20"/>
                <w:szCs w:val="20"/>
              </w:rPr>
              <w:t>1</w:t>
            </w:r>
          </w:p>
        </w:tc>
        <w:tc>
          <w:tcPr>
            <w:tcW w:w="900" w:type="dxa"/>
          </w:tcPr>
          <w:p w:rsidR="00E51C15" w:rsidRPr="007A7D7A" w:rsidP="00357437" w14:paraId="4C0F77F5" w14:textId="3214B0F8">
            <w:pPr>
              <w:widowControl w:val="0"/>
              <w:autoSpaceDE w:val="0"/>
              <w:autoSpaceDN w:val="0"/>
              <w:adjustRightInd w:val="0"/>
              <w:jc w:val="center"/>
              <w:rPr>
                <w:rFonts w:eastAsia="Calibri" w:cs="Times New Roman"/>
                <w:b/>
                <w:sz w:val="20"/>
                <w:szCs w:val="20"/>
              </w:rPr>
            </w:pPr>
            <w:r>
              <w:rPr>
                <w:rFonts w:eastAsia="Calibri" w:cs="Times New Roman"/>
                <w:b/>
                <w:sz w:val="20"/>
                <w:szCs w:val="20"/>
              </w:rPr>
              <w:t>35</w:t>
            </w:r>
            <w:r w:rsidR="00F12BE2">
              <w:rPr>
                <w:rFonts w:eastAsia="Calibri" w:cs="Times New Roman"/>
                <w:b/>
                <w:sz w:val="20"/>
                <w:szCs w:val="20"/>
              </w:rPr>
              <w:t xml:space="preserve"> </w:t>
            </w:r>
            <w:r w:rsidR="008B20AB">
              <w:rPr>
                <w:rFonts w:eastAsia="Calibri" w:cs="Times New Roman"/>
                <w:b/>
                <w:sz w:val="20"/>
                <w:szCs w:val="20"/>
              </w:rPr>
              <w:t>hours</w:t>
            </w:r>
          </w:p>
        </w:tc>
        <w:tc>
          <w:tcPr>
            <w:tcW w:w="1350" w:type="dxa"/>
          </w:tcPr>
          <w:p w:rsidR="00E51C15" w:rsidRPr="009A0310" w:rsidP="00357437" w14:paraId="0879D357" w14:textId="5ED5F521">
            <w:pPr>
              <w:widowControl w:val="0"/>
              <w:autoSpaceDE w:val="0"/>
              <w:autoSpaceDN w:val="0"/>
              <w:adjustRightInd w:val="0"/>
              <w:jc w:val="center"/>
              <w:rPr>
                <w:rFonts w:eastAsia="Calibri" w:cs="Times New Roman"/>
                <w:b/>
                <w:bCs/>
                <w:sz w:val="20"/>
                <w:szCs w:val="20"/>
              </w:rPr>
            </w:pPr>
            <w:r w:rsidRPr="009A0310">
              <w:rPr>
                <w:rFonts w:eastAsia="Calibri" w:cs="Times New Roman"/>
                <w:b/>
                <w:bCs/>
                <w:sz w:val="20"/>
                <w:szCs w:val="20"/>
              </w:rPr>
              <w:t>$</w:t>
            </w:r>
            <w:r w:rsidR="00290409">
              <w:rPr>
                <w:rFonts w:eastAsia="Calibri" w:cs="Times New Roman"/>
                <w:b/>
                <w:bCs/>
                <w:sz w:val="20"/>
                <w:szCs w:val="20"/>
              </w:rPr>
              <w:t>1,424</w:t>
            </w:r>
          </w:p>
        </w:tc>
      </w:tr>
      <w:tr w14:paraId="7BDE3F51" w14:textId="77777777" w:rsidTr="00315A34">
        <w:tblPrEx>
          <w:tblW w:w="10080" w:type="dxa"/>
          <w:tblInd w:w="75" w:type="dxa"/>
          <w:tblLayout w:type="fixed"/>
          <w:tblLook w:val="04A0"/>
        </w:tblPrEx>
        <w:trPr>
          <w:trHeight w:val="537"/>
        </w:trPr>
        <w:tc>
          <w:tcPr>
            <w:tcW w:w="1350" w:type="dxa"/>
            <w:tcBorders>
              <w:bottom w:val="single" w:sz="12" w:space="0" w:color="auto"/>
            </w:tcBorders>
          </w:tcPr>
          <w:p w:rsidR="00357437" w:rsidRPr="00F64DAD" w:rsidP="00357437" w14:paraId="318BC2F8" w14:textId="6B240059">
            <w:pPr>
              <w:widowControl w:val="0"/>
              <w:autoSpaceDE w:val="0"/>
              <w:autoSpaceDN w:val="0"/>
              <w:adjustRightInd w:val="0"/>
              <w:spacing w:line="276" w:lineRule="auto"/>
              <w:rPr>
                <w:rFonts w:eastAsia="Calibri" w:cs="Times New Roman"/>
                <w:color w:val="000000"/>
                <w:sz w:val="20"/>
                <w:szCs w:val="20"/>
              </w:rPr>
            </w:pPr>
          </w:p>
        </w:tc>
        <w:tc>
          <w:tcPr>
            <w:tcW w:w="1530" w:type="dxa"/>
            <w:vAlign w:val="center"/>
          </w:tcPr>
          <w:p w:rsidR="00357437" w:rsidRPr="00F64DAD" w:rsidP="00357437" w14:paraId="59C3837A" w14:textId="77777777">
            <w:pPr>
              <w:widowControl w:val="0"/>
              <w:autoSpaceDE w:val="0"/>
              <w:autoSpaceDN w:val="0"/>
              <w:adjustRightInd w:val="0"/>
              <w:jc w:val="center"/>
              <w:rPr>
                <w:rFonts w:eastAsia="Calibri" w:cs="Times New Roman"/>
                <w:b/>
                <w:bCs/>
                <w:sz w:val="20"/>
                <w:szCs w:val="20"/>
              </w:rPr>
            </w:pPr>
            <w:r w:rsidRPr="00F64DAD">
              <w:rPr>
                <w:rFonts w:eastAsia="Calibri" w:cs="Times New Roman"/>
                <w:b/>
                <w:bCs/>
                <w:sz w:val="20"/>
                <w:szCs w:val="20"/>
              </w:rPr>
              <w:t>Annual Estimates</w:t>
            </w:r>
          </w:p>
        </w:tc>
        <w:tc>
          <w:tcPr>
            <w:tcW w:w="1350" w:type="dxa"/>
          </w:tcPr>
          <w:p w:rsidR="00357437" w:rsidRPr="00F64DAD" w:rsidP="00357437" w14:paraId="3C97C1ED" w14:textId="77777777">
            <w:pPr>
              <w:widowControl w:val="0"/>
              <w:autoSpaceDE w:val="0"/>
              <w:autoSpaceDN w:val="0"/>
              <w:adjustRightInd w:val="0"/>
              <w:spacing w:line="276" w:lineRule="auto"/>
              <w:jc w:val="center"/>
              <w:rPr>
                <w:rFonts w:eastAsia="Calibri" w:cs="Times New Roman"/>
                <w:color w:val="000000"/>
                <w:sz w:val="20"/>
                <w:szCs w:val="20"/>
              </w:rPr>
            </w:pPr>
          </w:p>
        </w:tc>
        <w:tc>
          <w:tcPr>
            <w:tcW w:w="1080" w:type="dxa"/>
          </w:tcPr>
          <w:p w:rsidR="00357437" w:rsidRPr="00F64DAD" w:rsidP="00357437" w14:paraId="24F77C70" w14:textId="77777777">
            <w:pPr>
              <w:widowControl w:val="0"/>
              <w:autoSpaceDE w:val="0"/>
              <w:autoSpaceDN w:val="0"/>
              <w:adjustRightInd w:val="0"/>
              <w:spacing w:line="276" w:lineRule="auto"/>
              <w:jc w:val="center"/>
              <w:rPr>
                <w:rFonts w:eastAsia="Calibri" w:cs="Times New Roman"/>
                <w:color w:val="000000"/>
                <w:sz w:val="20"/>
                <w:szCs w:val="20"/>
              </w:rPr>
            </w:pPr>
          </w:p>
        </w:tc>
        <w:tc>
          <w:tcPr>
            <w:tcW w:w="1350" w:type="dxa"/>
            <w:tcBorders>
              <w:bottom w:val="single" w:sz="12" w:space="0" w:color="auto"/>
            </w:tcBorders>
          </w:tcPr>
          <w:p w:rsidR="00357437" w:rsidRPr="00F64DAD" w:rsidP="00357437" w14:paraId="456D9846" w14:textId="77777777">
            <w:pPr>
              <w:widowControl w:val="0"/>
              <w:autoSpaceDE w:val="0"/>
              <w:autoSpaceDN w:val="0"/>
              <w:adjustRightInd w:val="0"/>
              <w:spacing w:line="276" w:lineRule="auto"/>
              <w:jc w:val="center"/>
              <w:rPr>
                <w:rFonts w:eastAsia="Calibri" w:cs="Times New Roman"/>
                <w:color w:val="000000"/>
                <w:sz w:val="20"/>
                <w:szCs w:val="20"/>
              </w:rPr>
            </w:pPr>
          </w:p>
        </w:tc>
        <w:tc>
          <w:tcPr>
            <w:tcW w:w="1170" w:type="dxa"/>
            <w:tcBorders>
              <w:bottom w:val="single" w:sz="12" w:space="0" w:color="auto"/>
            </w:tcBorders>
          </w:tcPr>
          <w:p w:rsidR="00357437" w:rsidRPr="00F64DAD" w:rsidP="00357437" w14:paraId="18778921" w14:textId="77777777">
            <w:pPr>
              <w:widowControl w:val="0"/>
              <w:autoSpaceDE w:val="0"/>
              <w:autoSpaceDN w:val="0"/>
              <w:adjustRightInd w:val="0"/>
              <w:spacing w:line="276" w:lineRule="auto"/>
              <w:jc w:val="center"/>
              <w:rPr>
                <w:rFonts w:eastAsia="Calibri" w:cs="Times New Roman"/>
                <w:b/>
                <w:color w:val="FF0000"/>
                <w:sz w:val="20"/>
                <w:szCs w:val="20"/>
              </w:rPr>
            </w:pPr>
          </w:p>
        </w:tc>
        <w:tc>
          <w:tcPr>
            <w:tcW w:w="900" w:type="dxa"/>
            <w:tcBorders>
              <w:bottom w:val="single" w:sz="12" w:space="0" w:color="auto"/>
            </w:tcBorders>
          </w:tcPr>
          <w:p w:rsidR="00357437" w:rsidRPr="00F64DAD" w:rsidP="00357437" w14:paraId="3CD46658" w14:textId="0D256D73">
            <w:pPr>
              <w:widowControl w:val="0"/>
              <w:autoSpaceDE w:val="0"/>
              <w:autoSpaceDN w:val="0"/>
              <w:adjustRightInd w:val="0"/>
              <w:spacing w:line="276" w:lineRule="auto"/>
              <w:jc w:val="center"/>
              <w:rPr>
                <w:rFonts w:eastAsia="Calibri" w:cs="Times New Roman"/>
                <w:b/>
                <w:color w:val="FF0000"/>
                <w:sz w:val="20"/>
                <w:szCs w:val="20"/>
              </w:rPr>
            </w:pPr>
            <w:r>
              <w:rPr>
                <w:rFonts w:eastAsia="Calibri" w:cs="Times New Roman"/>
                <w:b/>
                <w:sz w:val="20"/>
                <w:szCs w:val="20"/>
              </w:rPr>
              <w:t>1</w:t>
            </w:r>
            <w:r w:rsidR="002E0116">
              <w:rPr>
                <w:rFonts w:eastAsia="Calibri" w:cs="Times New Roman"/>
                <w:b/>
                <w:sz w:val="20"/>
                <w:szCs w:val="20"/>
              </w:rPr>
              <w:t>1</w:t>
            </w:r>
            <w:r w:rsidR="000E3F1C">
              <w:rPr>
                <w:rFonts w:eastAsia="Calibri" w:cs="Times New Roman"/>
                <w:b/>
                <w:sz w:val="20"/>
                <w:szCs w:val="20"/>
              </w:rPr>
              <w:t>1</w:t>
            </w:r>
            <w:r w:rsidR="00C70799">
              <w:rPr>
                <w:rFonts w:eastAsia="Calibri" w:cs="Times New Roman"/>
                <w:b/>
                <w:sz w:val="20"/>
                <w:szCs w:val="20"/>
              </w:rPr>
              <w:t xml:space="preserve"> </w:t>
            </w:r>
            <w:r w:rsidRPr="007A7D7A">
              <w:rPr>
                <w:rFonts w:eastAsia="Calibri" w:cs="Times New Roman"/>
                <w:b/>
                <w:sz w:val="20"/>
                <w:szCs w:val="20"/>
              </w:rPr>
              <w:t>hours</w:t>
            </w:r>
          </w:p>
        </w:tc>
        <w:tc>
          <w:tcPr>
            <w:tcW w:w="1350" w:type="dxa"/>
            <w:tcBorders>
              <w:bottom w:val="single" w:sz="12" w:space="0" w:color="auto"/>
            </w:tcBorders>
          </w:tcPr>
          <w:p w:rsidR="00357437" w:rsidRPr="006F65EB" w:rsidP="00357437" w14:paraId="3B671004" w14:textId="2898B7F8">
            <w:pPr>
              <w:widowControl w:val="0"/>
              <w:autoSpaceDE w:val="0"/>
              <w:autoSpaceDN w:val="0"/>
              <w:adjustRightInd w:val="0"/>
              <w:spacing w:line="276" w:lineRule="auto"/>
              <w:jc w:val="center"/>
              <w:rPr>
                <w:rFonts w:eastAsia="Calibri" w:cs="Times New Roman"/>
                <w:b/>
                <w:bCs/>
                <w:sz w:val="20"/>
                <w:szCs w:val="20"/>
              </w:rPr>
            </w:pPr>
            <w:r w:rsidRPr="006F65EB">
              <w:rPr>
                <w:rFonts w:eastAsia="Calibri" w:cs="Times New Roman"/>
                <w:b/>
                <w:bCs/>
                <w:sz w:val="20"/>
                <w:szCs w:val="20"/>
              </w:rPr>
              <w:t xml:space="preserve"> $</w:t>
            </w:r>
            <w:r w:rsidRPr="006F65EB" w:rsidR="009A0088">
              <w:rPr>
                <w:rFonts w:eastAsia="Calibri" w:cs="Times New Roman"/>
                <w:b/>
                <w:bCs/>
                <w:sz w:val="20"/>
                <w:szCs w:val="20"/>
              </w:rPr>
              <w:t>4,53</w:t>
            </w:r>
            <w:r w:rsidR="000E3F1C">
              <w:rPr>
                <w:rFonts w:eastAsia="Calibri" w:cs="Times New Roman"/>
                <w:b/>
                <w:bCs/>
                <w:sz w:val="20"/>
                <w:szCs w:val="20"/>
              </w:rPr>
              <w:t>3</w:t>
            </w:r>
          </w:p>
        </w:tc>
      </w:tr>
    </w:tbl>
    <w:p w:rsidR="00324BD0" w:rsidRPr="0069588D" w:rsidP="0069588D" w14:paraId="52DD94A5" w14:textId="77777777">
      <w:pPr>
        <w:rPr>
          <w:rFonts w:cs="Times New Roman"/>
        </w:rPr>
      </w:pPr>
    </w:p>
    <w:p w:rsidR="00DF3DC9" w:rsidRPr="00E9530E" w:rsidP="00C05B3C" w14:paraId="2A4A88BB" w14:textId="493E9C20">
      <w:pPr>
        <w:numPr>
          <w:ilvl w:val="0"/>
          <w:numId w:val="1"/>
        </w:numPr>
        <w:spacing w:line="240" w:lineRule="auto"/>
        <w:rPr>
          <w:rFonts w:cs="Times New Roman"/>
          <w:b/>
          <w:szCs w:val="24"/>
        </w:rPr>
      </w:pPr>
      <w:bookmarkStart w:id="33" w:name="_Hlk51332101"/>
      <w:r w:rsidRPr="00E9530E">
        <w:rPr>
          <w:rFonts w:cs="Times New Roman"/>
          <w:b/>
          <w:szCs w:val="24"/>
        </w:rPr>
        <w:t xml:space="preserve">Provide an estimate of the total annual cost burden to respondents or record keepers resulting </w:t>
      </w:r>
      <w:r w:rsidRPr="00C05B3C">
        <w:rPr>
          <w:b/>
        </w:rPr>
        <w:t>from</w:t>
      </w:r>
      <w:r w:rsidRPr="00E9530E">
        <w:rPr>
          <w:rFonts w:cs="Times New Roman"/>
          <w:b/>
          <w:szCs w:val="24"/>
        </w:rPr>
        <w:t xml:space="preserve"> the collection of information.  </w:t>
      </w:r>
    </w:p>
    <w:bookmarkEnd w:id="33"/>
    <w:p w:rsidR="00DF3DC9" w:rsidRPr="00841D04" w:rsidP="00C05B3C" w14:paraId="64994743" w14:textId="0A2D61DA">
      <w:pPr>
        <w:spacing w:line="240" w:lineRule="auto"/>
        <w:ind w:left="720"/>
        <w:rPr>
          <w:rFonts w:cs="Times New Roman"/>
          <w:color w:val="FF0000"/>
          <w:szCs w:val="24"/>
        </w:rPr>
      </w:pPr>
      <w:r w:rsidRPr="000D597A">
        <w:rPr>
          <w:rFonts w:cs="Times New Roman"/>
          <w:szCs w:val="24"/>
        </w:rPr>
        <w:t xml:space="preserve">Participation in </w:t>
      </w:r>
      <w:r w:rsidRPr="00C05B3C">
        <w:t>this</w:t>
      </w:r>
      <w:r w:rsidRPr="000D597A">
        <w:rPr>
          <w:rFonts w:cs="Times New Roman"/>
          <w:szCs w:val="24"/>
        </w:rPr>
        <w:t xml:space="preserve"> study is voluntary, and there are no costs to </w:t>
      </w:r>
      <w:r w:rsidR="0054574B">
        <w:t>participants</w:t>
      </w:r>
      <w:r w:rsidRPr="000D597A">
        <w:rPr>
          <w:rFonts w:cs="Times New Roman"/>
          <w:szCs w:val="24"/>
        </w:rPr>
        <w:t xml:space="preserve"> beyond the time spent </w:t>
      </w:r>
      <w:r w:rsidR="0054574B">
        <w:rPr>
          <w:rFonts w:cs="Times New Roman"/>
          <w:szCs w:val="24"/>
        </w:rPr>
        <w:t>participating in the study</w:t>
      </w:r>
      <w:r w:rsidRPr="000D597A">
        <w:rPr>
          <w:rFonts w:cs="Times New Roman"/>
          <w:szCs w:val="24"/>
        </w:rPr>
        <w:t xml:space="preserve">. The costs are minimal and are expected to be offset by the compensation that will be provided to the research participants. NHTSA estimates that each of the participants will travel less than 30 miles one-way to the research location (60 miles round trip). </w:t>
      </w:r>
      <w:r w:rsidRPr="007D0DAF">
        <w:rPr>
          <w:rFonts w:cs="Times New Roman"/>
          <w:szCs w:val="24"/>
        </w:rPr>
        <w:t>Using the IRS standard mileage rate of $0.</w:t>
      </w:r>
      <w:r w:rsidRPr="007D0DAF" w:rsidR="000D597A">
        <w:rPr>
          <w:rFonts w:cs="Times New Roman"/>
          <w:szCs w:val="24"/>
        </w:rPr>
        <w:t>70</w:t>
      </w:r>
      <w:r w:rsidRPr="007D0DAF">
        <w:rPr>
          <w:rFonts w:cs="Times New Roman"/>
          <w:szCs w:val="24"/>
        </w:rPr>
        <w:t xml:space="preserve"> per mile, each respondent is expected to incur no more than $42 in transportation costs. Therefo</w:t>
      </w:r>
      <w:r w:rsidRPr="007D0DAF">
        <w:rPr>
          <w:rFonts w:cs="Times New Roman"/>
          <w:szCs w:val="24"/>
        </w:rPr>
        <w:t>re, NHTSA estimates that the total costs to all respondents for the one-time study will be no more than $</w:t>
      </w:r>
      <w:r w:rsidRPr="007D0DAF" w:rsidR="00C10351">
        <w:rPr>
          <w:rFonts w:cs="Times New Roman"/>
          <w:szCs w:val="24"/>
        </w:rPr>
        <w:t>4,032</w:t>
      </w:r>
      <w:r w:rsidRPr="007D0DAF" w:rsidR="00253698">
        <w:rPr>
          <w:rFonts w:cs="Times New Roman"/>
          <w:szCs w:val="24"/>
        </w:rPr>
        <w:t xml:space="preserve"> </w:t>
      </w:r>
      <w:r w:rsidRPr="007D0DAF">
        <w:rPr>
          <w:rFonts w:cs="Times New Roman"/>
          <w:szCs w:val="24"/>
        </w:rPr>
        <w:t>($4</w:t>
      </w:r>
      <w:r w:rsidRPr="007D0DAF" w:rsidR="00253698">
        <w:rPr>
          <w:rFonts w:cs="Times New Roman"/>
          <w:szCs w:val="24"/>
        </w:rPr>
        <w:t>2</w:t>
      </w:r>
      <w:r w:rsidRPr="007D0DAF">
        <w:rPr>
          <w:rFonts w:cs="Times New Roman"/>
          <w:szCs w:val="24"/>
        </w:rPr>
        <w:t xml:space="preserve"> × </w:t>
      </w:r>
      <w:r w:rsidRPr="007D0DAF" w:rsidR="006401F6">
        <w:rPr>
          <w:rFonts w:cs="Times New Roman"/>
          <w:szCs w:val="24"/>
        </w:rPr>
        <w:t xml:space="preserve">96 </w:t>
      </w:r>
      <w:r w:rsidRPr="007D0DAF">
        <w:rPr>
          <w:rFonts w:cs="Times New Roman"/>
          <w:szCs w:val="24"/>
        </w:rPr>
        <w:t xml:space="preserve">participants). NHTSA estimates the total annual costs based on an average of </w:t>
      </w:r>
      <w:r w:rsidRPr="007D0DAF" w:rsidR="00295899">
        <w:rPr>
          <w:rFonts w:cs="Times New Roman"/>
          <w:szCs w:val="24"/>
        </w:rPr>
        <w:t xml:space="preserve">32 </w:t>
      </w:r>
      <w:r w:rsidRPr="007D0DAF">
        <w:rPr>
          <w:rFonts w:cs="Times New Roman"/>
          <w:szCs w:val="24"/>
        </w:rPr>
        <w:t xml:space="preserve">respondents a year. Accordingly, NHTSA estimates the total annual </w:t>
      </w:r>
      <w:r w:rsidRPr="007D0DAF">
        <w:t>cost</w:t>
      </w:r>
      <w:r w:rsidRPr="007D0DAF">
        <w:rPr>
          <w:rFonts w:cs="Times New Roman"/>
          <w:szCs w:val="24"/>
        </w:rPr>
        <w:t xml:space="preserve"> to be $</w:t>
      </w:r>
      <w:r w:rsidRPr="007D0DAF" w:rsidR="00BA4E82">
        <w:rPr>
          <w:rFonts w:cs="Times New Roman"/>
          <w:szCs w:val="24"/>
        </w:rPr>
        <w:t>1</w:t>
      </w:r>
      <w:r w:rsidRPr="007D0DAF" w:rsidR="007D0DAF">
        <w:rPr>
          <w:rFonts w:cs="Times New Roman"/>
          <w:szCs w:val="24"/>
        </w:rPr>
        <w:t>,</w:t>
      </w:r>
      <w:r w:rsidRPr="007D0DAF" w:rsidR="00BA4E82">
        <w:rPr>
          <w:rFonts w:cs="Times New Roman"/>
          <w:szCs w:val="24"/>
        </w:rPr>
        <w:t>344</w:t>
      </w:r>
      <w:r w:rsidRPr="007D0DAF">
        <w:rPr>
          <w:rFonts w:cs="Times New Roman"/>
          <w:szCs w:val="24"/>
        </w:rPr>
        <w:t xml:space="preserve"> per year ($</w:t>
      </w:r>
      <w:r w:rsidRPr="007D0DAF" w:rsidR="00253698">
        <w:rPr>
          <w:rFonts w:cs="Times New Roman"/>
          <w:szCs w:val="24"/>
        </w:rPr>
        <w:t>42</w:t>
      </w:r>
      <w:r w:rsidRPr="007D0DAF">
        <w:rPr>
          <w:rFonts w:cs="Times New Roman"/>
          <w:szCs w:val="24"/>
        </w:rPr>
        <w:t xml:space="preserve"> × </w:t>
      </w:r>
      <w:r w:rsidRPr="007D0DAF" w:rsidR="00187E88">
        <w:rPr>
          <w:rFonts w:cs="Times New Roman"/>
          <w:szCs w:val="24"/>
        </w:rPr>
        <w:t>32</w:t>
      </w:r>
      <w:r w:rsidRPr="007D0DAF" w:rsidR="00451338">
        <w:rPr>
          <w:rFonts w:cs="Times New Roman"/>
          <w:szCs w:val="24"/>
        </w:rPr>
        <w:t xml:space="preserve"> </w:t>
      </w:r>
      <w:r w:rsidRPr="007D0DAF">
        <w:rPr>
          <w:rFonts w:cs="Times New Roman"/>
          <w:szCs w:val="24"/>
        </w:rPr>
        <w:t>respondents).</w:t>
      </w:r>
    </w:p>
    <w:p w:rsidR="00DF3DC9" w:rsidRPr="00505840" w:rsidP="00C05B3C" w14:paraId="674FCB46" w14:textId="77777777">
      <w:pPr>
        <w:numPr>
          <w:ilvl w:val="0"/>
          <w:numId w:val="1"/>
        </w:numPr>
        <w:spacing w:line="240" w:lineRule="auto"/>
        <w:rPr>
          <w:rFonts w:cs="Times New Roman"/>
          <w:b/>
          <w:szCs w:val="24"/>
        </w:rPr>
      </w:pPr>
      <w:bookmarkStart w:id="34"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4"/>
    <w:p w:rsidR="003F326F" w:rsidRPr="00A84235" w:rsidP="00C05B3C" w14:paraId="1701CBA9" w14:textId="3DA085F0">
      <w:pPr>
        <w:spacing w:line="240" w:lineRule="auto"/>
        <w:ind w:left="720"/>
        <w:rPr>
          <w:color w:val="FF0000"/>
        </w:rPr>
      </w:pPr>
      <w:r w:rsidRPr="00371860">
        <w:rPr>
          <w:color w:val="000000" w:themeColor="text1"/>
        </w:rPr>
        <w:t xml:space="preserve">The full costs of this information collection are included in a </w:t>
      </w:r>
      <w:r>
        <w:rPr>
          <w:color w:val="000000" w:themeColor="text1"/>
        </w:rPr>
        <w:t xml:space="preserve">task order </w:t>
      </w:r>
      <w:r w:rsidRPr="00371860">
        <w:rPr>
          <w:color w:val="000000" w:themeColor="text1"/>
        </w:rPr>
        <w:t xml:space="preserve">contract awarded to </w:t>
      </w:r>
      <w:r>
        <w:rPr>
          <w:color w:val="000000" w:themeColor="text1"/>
        </w:rPr>
        <w:t>Exponent</w:t>
      </w:r>
      <w:r w:rsidRPr="00371860">
        <w:rPr>
          <w:color w:val="000000" w:themeColor="text1"/>
        </w:rPr>
        <w:t xml:space="preserve">. The total cost for the entire </w:t>
      </w:r>
      <w:r w:rsidR="00B234CC">
        <w:rPr>
          <w:color w:val="000000" w:themeColor="text1"/>
        </w:rPr>
        <w:t>60</w:t>
      </w:r>
      <w:r w:rsidRPr="00371860">
        <w:rPr>
          <w:color w:val="000000" w:themeColor="text1"/>
        </w:rPr>
        <w:t>-month project is $</w:t>
      </w:r>
      <w:r w:rsidR="00E47E0B">
        <w:rPr>
          <w:color w:val="000000" w:themeColor="text1"/>
        </w:rPr>
        <w:t>676,485</w:t>
      </w:r>
      <w:r w:rsidRPr="00371860">
        <w:rPr>
          <w:color w:val="000000" w:themeColor="text1"/>
        </w:rPr>
        <w:t xml:space="preserve">, with an approximate annualized cost to the Federal </w:t>
      </w:r>
      <w:r>
        <w:rPr>
          <w:color w:val="000000" w:themeColor="text1"/>
        </w:rPr>
        <w:t>g</w:t>
      </w:r>
      <w:r w:rsidRPr="00371860">
        <w:rPr>
          <w:color w:val="000000" w:themeColor="text1"/>
        </w:rPr>
        <w:t>overnment of $</w:t>
      </w:r>
      <w:r w:rsidR="00412976">
        <w:rPr>
          <w:color w:val="000000" w:themeColor="text1"/>
        </w:rPr>
        <w:t>150,330</w:t>
      </w:r>
      <w:r w:rsidR="00912FA2">
        <w:rPr>
          <w:color w:val="000000" w:themeColor="text1"/>
        </w:rPr>
        <w:t xml:space="preserve"> (i.e., the total cost divided </w:t>
      </w:r>
      <w:r w:rsidR="009259BC">
        <w:rPr>
          <w:color w:val="000000" w:themeColor="text1"/>
        </w:rPr>
        <w:t xml:space="preserve">by </w:t>
      </w:r>
      <w:r w:rsidR="00425DB7">
        <w:rPr>
          <w:color w:val="000000" w:themeColor="text1"/>
        </w:rPr>
        <w:t xml:space="preserve">the </w:t>
      </w:r>
      <w:r w:rsidR="00137C5F">
        <w:rPr>
          <w:color w:val="000000" w:themeColor="text1"/>
        </w:rPr>
        <w:t>four and a half</w:t>
      </w:r>
      <w:r w:rsidR="00425DB7">
        <w:rPr>
          <w:color w:val="000000" w:themeColor="text1"/>
        </w:rPr>
        <w:t>-</w:t>
      </w:r>
      <w:r w:rsidR="009259BC">
        <w:rPr>
          <w:color w:val="000000" w:themeColor="text1"/>
        </w:rPr>
        <w:t>year</w:t>
      </w:r>
      <w:r w:rsidR="00425DB7">
        <w:rPr>
          <w:color w:val="000000" w:themeColor="text1"/>
        </w:rPr>
        <w:t xml:space="preserve"> </w:t>
      </w:r>
      <w:r w:rsidRPr="00C05B3C" w:rsidR="00425DB7">
        <w:rPr>
          <w:rFonts w:cs="Times New Roman"/>
          <w:szCs w:val="24"/>
        </w:rPr>
        <w:t>period</w:t>
      </w:r>
      <w:r w:rsidR="00425DB7">
        <w:rPr>
          <w:color w:val="000000" w:themeColor="text1"/>
        </w:rPr>
        <w:t xml:space="preserve"> of performance</w:t>
      </w:r>
      <w:r w:rsidR="009259BC">
        <w:rPr>
          <w:color w:val="000000" w:themeColor="text1"/>
        </w:rPr>
        <w:t>)</w:t>
      </w:r>
      <w:r w:rsidRPr="00371860">
        <w:rPr>
          <w:color w:val="000000" w:themeColor="text1"/>
        </w:rPr>
        <w:t>.</w:t>
      </w:r>
      <w:r w:rsidR="0084608F">
        <w:rPr>
          <w:color w:val="000000" w:themeColor="text1"/>
        </w:rPr>
        <w:t xml:space="preserve"> The project </w:t>
      </w:r>
      <w:r w:rsidR="00592C10">
        <w:rPr>
          <w:color w:val="000000" w:themeColor="text1"/>
        </w:rPr>
        <w:t xml:space="preserve">consists of two </w:t>
      </w:r>
      <w:r w:rsidR="00983DFA">
        <w:rPr>
          <w:color w:val="000000" w:themeColor="text1"/>
        </w:rPr>
        <w:t>phases</w:t>
      </w:r>
      <w:r w:rsidR="00AB1287">
        <w:rPr>
          <w:color w:val="000000" w:themeColor="text1"/>
        </w:rPr>
        <w:t xml:space="preserve">. The main work </w:t>
      </w:r>
      <w:r w:rsidRPr="00C05B3C" w:rsidR="00AB1287">
        <w:t>tasks</w:t>
      </w:r>
      <w:r w:rsidR="00AB1287">
        <w:rPr>
          <w:color w:val="000000" w:themeColor="text1"/>
        </w:rPr>
        <w:t xml:space="preserve"> of Phase 1 were a review of </w:t>
      </w:r>
      <w:r w:rsidR="00C50FA9">
        <w:rPr>
          <w:color w:val="000000" w:themeColor="text1"/>
        </w:rPr>
        <w:t>literature</w:t>
      </w:r>
      <w:r w:rsidR="00764564">
        <w:rPr>
          <w:color w:val="000000" w:themeColor="text1"/>
        </w:rPr>
        <w:t xml:space="preserve"> and </w:t>
      </w:r>
      <w:r w:rsidR="00C50FA9">
        <w:rPr>
          <w:color w:val="000000" w:themeColor="text1"/>
        </w:rPr>
        <w:t>practice</w:t>
      </w:r>
      <w:r w:rsidR="00764564">
        <w:rPr>
          <w:color w:val="000000" w:themeColor="text1"/>
        </w:rPr>
        <w:t>;</w:t>
      </w:r>
      <w:r w:rsidR="00C50FA9">
        <w:rPr>
          <w:color w:val="000000" w:themeColor="text1"/>
        </w:rPr>
        <w:t xml:space="preserve"> </w:t>
      </w:r>
      <w:r w:rsidR="00764564">
        <w:rPr>
          <w:color w:val="000000" w:themeColor="text1"/>
        </w:rPr>
        <w:t>a gap analysis</w:t>
      </w:r>
      <w:r w:rsidR="0054553E">
        <w:rPr>
          <w:color w:val="000000" w:themeColor="text1"/>
        </w:rPr>
        <w:t xml:space="preserve">; </w:t>
      </w:r>
      <w:r w:rsidR="00764564">
        <w:rPr>
          <w:color w:val="000000" w:themeColor="text1"/>
        </w:rPr>
        <w:t xml:space="preserve">and </w:t>
      </w:r>
      <w:r w:rsidR="00E632F4">
        <w:rPr>
          <w:color w:val="000000" w:themeColor="text1"/>
        </w:rPr>
        <w:t>development of a</w:t>
      </w:r>
      <w:r w:rsidR="00B102F6">
        <w:rPr>
          <w:color w:val="000000" w:themeColor="text1"/>
        </w:rPr>
        <w:t>n initial test protocol</w:t>
      </w:r>
      <w:r w:rsidR="00B93B56">
        <w:rPr>
          <w:color w:val="000000" w:themeColor="text1"/>
        </w:rPr>
        <w:t xml:space="preserve">. The </w:t>
      </w:r>
      <w:r w:rsidR="00C80A9D">
        <w:rPr>
          <w:color w:val="000000" w:themeColor="text1"/>
        </w:rPr>
        <w:t>main work</w:t>
      </w:r>
      <w:r w:rsidR="00C80A9D">
        <w:rPr>
          <w:color w:val="000000" w:themeColor="text1"/>
        </w:rPr>
        <w:t xml:space="preserve"> tasks of Phase 2 will be the experiment described in this IRC and </w:t>
      </w:r>
      <w:r w:rsidR="000A36F7">
        <w:rPr>
          <w:color w:val="000000" w:themeColor="text1"/>
        </w:rPr>
        <w:t xml:space="preserve">the final report documenting the methods and findings of the full project. </w:t>
      </w:r>
      <w:r w:rsidRPr="002452FE" w:rsidR="00E023F8">
        <w:t xml:space="preserve">The data collection </w:t>
      </w:r>
      <w:r w:rsidR="00421F20">
        <w:t>described in this IRC</w:t>
      </w:r>
      <w:r w:rsidRPr="002452FE" w:rsidR="00E023F8">
        <w:t xml:space="preserve"> is slated to take place over a </w:t>
      </w:r>
      <w:r w:rsidRPr="002452FE" w:rsidR="002452FE">
        <w:t>two</w:t>
      </w:r>
      <w:r w:rsidRPr="002452FE" w:rsidR="00E023F8">
        <w:t xml:space="preserve">-month period. </w:t>
      </w:r>
      <w:r w:rsidRPr="00076461" w:rsidR="00E023F8">
        <w:t>The full period of performance for this task</w:t>
      </w:r>
      <w:r w:rsidR="0044742A">
        <w:t xml:space="preserve"> order contract</w:t>
      </w:r>
      <w:r w:rsidRPr="00076461" w:rsidR="00E023F8">
        <w:t xml:space="preserve"> is </w:t>
      </w:r>
      <w:r w:rsidR="007726A3">
        <w:t>October</w:t>
      </w:r>
      <w:r w:rsidR="00B21D70">
        <w:t xml:space="preserve"> 2024 through March</w:t>
      </w:r>
      <w:r w:rsidR="002479AD">
        <w:t xml:space="preserve"> 2029</w:t>
      </w:r>
      <w:r w:rsidRPr="00076461" w:rsidR="00E023F8">
        <w:t xml:space="preserve">. This </w:t>
      </w:r>
      <w:r w:rsidRPr="00E023F8" w:rsidR="00E023F8">
        <w:t>is a one-time data collection, and there will b</w:t>
      </w:r>
      <w:r w:rsidRPr="002452FE" w:rsidR="00E023F8">
        <w:t xml:space="preserve">e no recurrence. NHTSA is asking for a three-year approval for this </w:t>
      </w:r>
      <w:r w:rsidR="00D34775">
        <w:t>ICR</w:t>
      </w:r>
      <w:r w:rsidRPr="002452FE" w:rsidR="00E023F8">
        <w:t>.</w:t>
      </w:r>
      <w:r w:rsidRPr="002452FE" w:rsidR="00BC6C0A">
        <w:t xml:space="preserve"> </w:t>
      </w:r>
    </w:p>
    <w:p w:rsidR="00DF3DC9" w:rsidRPr="00E9530E" w:rsidP="00C05B3C" w14:paraId="7B4B1388" w14:textId="56142661">
      <w:pPr>
        <w:numPr>
          <w:ilvl w:val="0"/>
          <w:numId w:val="1"/>
        </w:numPr>
        <w:spacing w:line="240" w:lineRule="auto"/>
        <w:rPr>
          <w:rFonts w:cs="Times New Roman"/>
          <w:b/>
          <w:szCs w:val="24"/>
        </w:rPr>
      </w:pPr>
      <w:bookmarkStart w:id="35" w:name="_Hlk63087643"/>
      <w:bookmarkStart w:id="36" w:name="_Hlk51332149"/>
      <w:r w:rsidRPr="00E9530E">
        <w:rPr>
          <w:rFonts w:cs="Times New Roman"/>
          <w:b/>
          <w:szCs w:val="24"/>
        </w:rPr>
        <w:t xml:space="preserve">Explain the reasons for any program changes or adjustments reported on the burden worksheet. 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 If this is a renewal or reinstatement, the change is the difference between the new burden estimates and the burden estimates from the last OMB approval</w:t>
      </w:r>
      <w:r w:rsidR="00F7768F">
        <w:rPr>
          <w:rFonts w:cs="Times New Roman"/>
          <w:b/>
          <w:szCs w:val="24"/>
        </w:rPr>
        <w:t xml:space="preserve">. </w:t>
      </w:r>
      <w:bookmarkEnd w:id="35"/>
      <w:r w:rsidRPr="00E9530E">
        <w:rPr>
          <w:rFonts w:cs="Times New Roman"/>
          <w:b/>
          <w:szCs w:val="24"/>
        </w:rPr>
        <w:t xml:space="preserve"> </w:t>
      </w:r>
    </w:p>
    <w:bookmarkEnd w:id="36"/>
    <w:p w:rsidR="00DF3DC9" w:rsidRPr="00DF3DC9" w:rsidP="00C05B3C" w14:paraId="53D6ECA8" w14:textId="5AEDD4FF">
      <w:pPr>
        <w:spacing w:line="240" w:lineRule="auto"/>
        <w:ind w:left="720"/>
        <w:rPr>
          <w:rFonts w:cs="Times New Roman"/>
          <w:szCs w:val="24"/>
        </w:rPr>
      </w:pPr>
      <w:r w:rsidRPr="00E023F8">
        <w:rPr>
          <w:rFonts w:cs="Times New Roman"/>
          <w:szCs w:val="24"/>
        </w:rPr>
        <w:t xml:space="preserve">This is a new information collection. As such, it requires a program change to </w:t>
      </w:r>
      <w:r w:rsidR="000A5408">
        <w:rPr>
          <w:rFonts w:cs="Times New Roman"/>
          <w:szCs w:val="24"/>
        </w:rPr>
        <w:t xml:space="preserve">add the </w:t>
      </w:r>
      <w:r w:rsidR="002B067E">
        <w:rPr>
          <w:rFonts w:cs="Times New Roman"/>
          <w:szCs w:val="24"/>
        </w:rPr>
        <w:t xml:space="preserve">estimated total of </w:t>
      </w:r>
      <w:r w:rsidR="00AD2744">
        <w:rPr>
          <w:rFonts w:cs="Times New Roman"/>
          <w:szCs w:val="24"/>
        </w:rPr>
        <w:t>3</w:t>
      </w:r>
      <w:r w:rsidR="00107FB1">
        <w:rPr>
          <w:rFonts w:cs="Times New Roman"/>
          <w:szCs w:val="24"/>
        </w:rPr>
        <w:t>31</w:t>
      </w:r>
      <w:r w:rsidRPr="00E023F8">
        <w:rPr>
          <w:rFonts w:cs="Times New Roman"/>
          <w:szCs w:val="24"/>
        </w:rPr>
        <w:t xml:space="preserve"> burden hour</w:t>
      </w:r>
      <w:r w:rsidR="00527266">
        <w:rPr>
          <w:rFonts w:cs="Times New Roman"/>
          <w:szCs w:val="24"/>
        </w:rPr>
        <w:t>s</w:t>
      </w:r>
      <w:r w:rsidR="00A4253F">
        <w:rPr>
          <w:rFonts w:cs="Times New Roman"/>
          <w:szCs w:val="24"/>
        </w:rPr>
        <w:t>, with an estimate of</w:t>
      </w:r>
      <w:r w:rsidRPr="00E023F8">
        <w:rPr>
          <w:rFonts w:cs="Times New Roman"/>
          <w:szCs w:val="24"/>
        </w:rPr>
        <w:t xml:space="preserve"> </w:t>
      </w:r>
      <w:r w:rsidR="00AD2744">
        <w:rPr>
          <w:rFonts w:cs="Times New Roman"/>
          <w:szCs w:val="24"/>
        </w:rPr>
        <w:t>1</w:t>
      </w:r>
      <w:r w:rsidR="00C1221E">
        <w:rPr>
          <w:rFonts w:cs="Times New Roman"/>
          <w:szCs w:val="24"/>
        </w:rPr>
        <w:t>1</w:t>
      </w:r>
      <w:r w:rsidR="00624A77">
        <w:rPr>
          <w:rFonts w:cs="Times New Roman"/>
          <w:szCs w:val="24"/>
        </w:rPr>
        <w:t>1</w:t>
      </w:r>
      <w:r w:rsidRPr="00816C59">
        <w:rPr>
          <w:rFonts w:cs="Times New Roman"/>
          <w:szCs w:val="24"/>
        </w:rPr>
        <w:t xml:space="preserve"> hours</w:t>
      </w:r>
      <w:r w:rsidR="002025E5">
        <w:rPr>
          <w:rFonts w:cs="Times New Roman"/>
          <w:szCs w:val="24"/>
        </w:rPr>
        <w:t xml:space="preserve"> </w:t>
      </w:r>
      <w:r w:rsidR="00AD2744">
        <w:rPr>
          <w:rFonts w:eastAsia="Calibri" w:cs="Times New Roman"/>
          <w:szCs w:val="24"/>
        </w:rPr>
        <w:t>annually</w:t>
      </w:r>
      <w:r w:rsidRPr="00253698">
        <w:rPr>
          <w:rFonts w:cs="Times New Roman"/>
          <w:szCs w:val="24"/>
        </w:rPr>
        <w:t>.</w:t>
      </w:r>
      <w:r w:rsidRPr="00253698">
        <w:rPr>
          <w:rFonts w:cs="Times New Roman"/>
          <w:szCs w:val="24"/>
        </w:rPr>
        <w:t xml:space="preserve"> </w:t>
      </w:r>
    </w:p>
    <w:p w:rsidR="00DF3DC9" w:rsidRPr="00E9530E" w:rsidP="00C05B3C" w14:paraId="300BE020" w14:textId="77777777">
      <w:pPr>
        <w:numPr>
          <w:ilvl w:val="0"/>
          <w:numId w:val="1"/>
        </w:numPr>
        <w:spacing w:line="240" w:lineRule="auto"/>
        <w:rPr>
          <w:rFonts w:cs="Times New Roman"/>
          <w:b/>
          <w:szCs w:val="24"/>
        </w:rPr>
      </w:pPr>
      <w:bookmarkStart w:id="37" w:name="_Hlk51332176"/>
      <w:r w:rsidRPr="00E9530E">
        <w:rPr>
          <w:rFonts w:cs="Times New Roman"/>
          <w:b/>
          <w:szCs w:val="24"/>
        </w:rPr>
        <w:t xml:space="preserve">For </w:t>
      </w:r>
      <w:bookmarkStart w:id="38" w:name="_Hlk63087690"/>
      <w:r w:rsidRPr="00E9530E">
        <w:rPr>
          <w:rFonts w:cs="Times New Roman"/>
          <w:b/>
          <w:szCs w:val="24"/>
        </w:rPr>
        <w:t xml:space="preserve">collections of information whose results will be published, outline plans for tabulation and publication. Address any complex analytical techniques that will be </w:t>
      </w:r>
      <w:r w:rsidRPr="00E9530E">
        <w:rPr>
          <w:rFonts w:cs="Times New Roman"/>
          <w:b/>
          <w:szCs w:val="24"/>
        </w:rPr>
        <w:t xml:space="preserve">used. Provide the time schedule for the entire project, including beginning and ending dates of the collection of information, completion of report, publication dates, and other actions as applicable. </w:t>
      </w:r>
    </w:p>
    <w:bookmarkEnd w:id="37"/>
    <w:bookmarkEnd w:id="38"/>
    <w:p w:rsidR="00DF3DC9" w:rsidRPr="00D14DEA" w:rsidP="00DF3DC9" w14:paraId="2BC14307" w14:textId="50068CC5">
      <w:pPr>
        <w:autoSpaceDE w:val="0"/>
        <w:autoSpaceDN w:val="0"/>
        <w:adjustRightInd w:val="0"/>
        <w:spacing w:after="0" w:line="240" w:lineRule="auto"/>
        <w:ind w:left="720"/>
        <w:rPr>
          <w:rFonts w:cs="Times New Roman"/>
          <w:szCs w:val="24"/>
        </w:rPr>
      </w:pPr>
      <w:r w:rsidRPr="0018218C">
        <w:rPr>
          <w:color w:val="000000" w:themeColor="text1"/>
        </w:rPr>
        <w:t xml:space="preserve">NHTSA will develop a final report that presents the aggregate statistics and tabular results from the data collection effort, which will be disseminated on the agency website and through the National Transportation Library. </w:t>
      </w:r>
      <w:r>
        <w:rPr>
          <w:color w:val="000000" w:themeColor="text1"/>
        </w:rPr>
        <w:t xml:space="preserve">Analysis will employ a variety of methods following proven statistical techniques, focusing on key quantitative and qualitative measures toward answering this project’s core research questions. </w:t>
      </w:r>
      <w:r w:rsidR="003A6E5A">
        <w:rPr>
          <w:color w:val="000000" w:themeColor="text1"/>
        </w:rPr>
        <w:t xml:space="preserve">We expect data collection to begin in </w:t>
      </w:r>
      <w:r w:rsidRPr="00102E02" w:rsidR="004079D2">
        <w:rPr>
          <w:rFonts w:cs="Times New Roman"/>
          <w:szCs w:val="24"/>
        </w:rPr>
        <w:t>mid-2027</w:t>
      </w:r>
      <w:r w:rsidR="003A6E5A">
        <w:rPr>
          <w:color w:val="000000" w:themeColor="text1"/>
        </w:rPr>
        <w:t xml:space="preserve"> and the </w:t>
      </w:r>
      <w:r w:rsidR="000278BF">
        <w:rPr>
          <w:color w:val="000000" w:themeColor="text1"/>
        </w:rPr>
        <w:t xml:space="preserve">final report to be published in </w:t>
      </w:r>
      <w:r w:rsidR="001A0645">
        <w:rPr>
          <w:color w:val="000000" w:themeColor="text1"/>
        </w:rPr>
        <w:t>2029</w:t>
      </w:r>
      <w:r w:rsidR="000278BF">
        <w:rPr>
          <w:color w:val="000000" w:themeColor="text1"/>
        </w:rPr>
        <w:t xml:space="preserve">. </w:t>
      </w:r>
      <w:r w:rsidRPr="00D14DEA">
        <w:rPr>
          <w:rFonts w:cs="Times New Roman"/>
          <w:szCs w:val="24"/>
        </w:rPr>
        <w:t xml:space="preserve"> </w:t>
      </w:r>
    </w:p>
    <w:p w:rsidR="00DF3DC9" w:rsidRPr="00DF3DC9" w:rsidP="00DF3DC9" w14:paraId="30351FB6" w14:textId="77777777">
      <w:pPr>
        <w:autoSpaceDE w:val="0"/>
        <w:autoSpaceDN w:val="0"/>
        <w:adjustRightInd w:val="0"/>
        <w:spacing w:after="0" w:line="240" w:lineRule="auto"/>
        <w:ind w:firstLine="720"/>
        <w:rPr>
          <w:rFonts w:cs="Times New Roman"/>
          <w:szCs w:val="24"/>
        </w:rPr>
      </w:pPr>
      <w:r w:rsidRPr="00DF3DC9">
        <w:rPr>
          <w:rFonts w:cs="Times New Roman"/>
          <w:szCs w:val="24"/>
        </w:rPr>
        <w:t xml:space="preserve">  </w:t>
      </w:r>
    </w:p>
    <w:p w:rsidR="00DF3DC9" w:rsidRPr="000650F6" w:rsidP="00C05B3C" w14:paraId="010E5D7E" w14:textId="77777777">
      <w:pPr>
        <w:numPr>
          <w:ilvl w:val="0"/>
          <w:numId w:val="1"/>
        </w:numPr>
        <w:spacing w:line="240" w:lineRule="auto"/>
        <w:rPr>
          <w:rFonts w:cs="Times New Roman"/>
          <w:b/>
          <w:szCs w:val="24"/>
        </w:rPr>
      </w:pPr>
      <w:bookmarkStart w:id="39" w:name="_Hlk51332202"/>
      <w:r w:rsidRPr="000650F6">
        <w:rPr>
          <w:rFonts w:cs="Times New Roman"/>
          <w:b/>
          <w:szCs w:val="24"/>
        </w:rPr>
        <w:t xml:space="preserve">If seeking approval to not display the expiration date for OMB approval of the information collection, explain the reasons that display </w:t>
      </w:r>
      <w:r w:rsidRPr="000650F6">
        <w:rPr>
          <w:rFonts w:cs="Times New Roman"/>
          <w:b/>
          <w:szCs w:val="24"/>
        </w:rPr>
        <w:t>would be inappropriate.</w:t>
      </w:r>
    </w:p>
    <w:bookmarkEnd w:id="39"/>
    <w:p w:rsidR="00DF3DC9" w:rsidRPr="00DF3DC9" w:rsidP="00DF3DC9" w14:paraId="74E5EE38" w14:textId="25EFD629">
      <w:pPr>
        <w:autoSpaceDE w:val="0"/>
        <w:autoSpaceDN w:val="0"/>
        <w:adjustRightInd w:val="0"/>
        <w:spacing w:after="0" w:line="240" w:lineRule="auto"/>
        <w:ind w:left="720"/>
        <w:rPr>
          <w:rFonts w:cs="Times New Roman"/>
          <w:szCs w:val="24"/>
          <w:highlight w:val="yellow"/>
        </w:rPr>
      </w:pPr>
      <w:r w:rsidRPr="00412A70">
        <w:t xml:space="preserve">NHTSA will display the </w:t>
      </w:r>
      <w:r w:rsidRPr="00C05B3C">
        <w:rPr>
          <w:color w:val="000000" w:themeColor="text1"/>
        </w:rPr>
        <w:t>expiration</w:t>
      </w:r>
      <w:r w:rsidRPr="00412A70">
        <w:t xml:space="preserve"> date for OMB approval.</w:t>
      </w:r>
      <w:r w:rsidR="00307160">
        <w:rPr>
          <w:rFonts w:cs="Times New Roman"/>
          <w:szCs w:val="24"/>
          <w:highlight w:val="yellow"/>
        </w:rPr>
        <w:t xml:space="preserve"> </w:t>
      </w:r>
    </w:p>
    <w:p w:rsidR="00DF3DC9" w:rsidRPr="00DF3DC9" w:rsidP="00DF3DC9" w14:paraId="33F0BF16" w14:textId="77777777">
      <w:pPr>
        <w:autoSpaceDE w:val="0"/>
        <w:autoSpaceDN w:val="0"/>
        <w:adjustRightInd w:val="0"/>
        <w:spacing w:after="0" w:line="240" w:lineRule="auto"/>
        <w:ind w:firstLine="720"/>
        <w:rPr>
          <w:rFonts w:cs="Times New Roman"/>
          <w:szCs w:val="24"/>
          <w:highlight w:val="yellow"/>
        </w:rPr>
      </w:pPr>
    </w:p>
    <w:p w:rsidR="00DF3DC9" w:rsidP="00C05B3C" w14:paraId="35DF7E0B" w14:textId="62FE0835">
      <w:pPr>
        <w:numPr>
          <w:ilvl w:val="0"/>
          <w:numId w:val="1"/>
        </w:numPr>
        <w:spacing w:line="240" w:lineRule="auto"/>
        <w:rPr>
          <w:rFonts w:cs="Times New Roman"/>
          <w:b/>
          <w:szCs w:val="24"/>
        </w:rPr>
      </w:pPr>
      <w:bookmarkStart w:id="40" w:name="_Hlk63087720"/>
      <w:bookmarkStart w:id="41"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42" w:name="_Hlk45889134"/>
      <w:r>
        <w:rPr>
          <w:rFonts w:cs="Times New Roman"/>
          <w:b/>
          <w:szCs w:val="24"/>
          <w:vertAlign w:val="superscript"/>
        </w:rPr>
        <w:footnoteReference w:id="12"/>
      </w:r>
      <w:bookmarkEnd w:id="40"/>
      <w:r w:rsidRPr="000650F6">
        <w:rPr>
          <w:rFonts w:cs="Times New Roman"/>
          <w:b/>
          <w:szCs w:val="24"/>
        </w:rPr>
        <w:t xml:space="preserve"> </w:t>
      </w:r>
      <w:bookmarkEnd w:id="42"/>
    </w:p>
    <w:bookmarkEnd w:id="41"/>
    <w:p w:rsidR="00934994" w:rsidRPr="004547A9" w:rsidP="00C05B3C" w14:paraId="6F13328F" w14:textId="12F8DBE4">
      <w:pPr>
        <w:spacing w:line="240" w:lineRule="auto"/>
        <w:ind w:left="720"/>
        <w:rPr>
          <w:rFonts w:cs="Times New Roman"/>
          <w:szCs w:val="24"/>
        </w:rPr>
      </w:pPr>
      <w:r w:rsidRPr="004547A9">
        <w:rPr>
          <w:rFonts w:cs="Times New Roman"/>
          <w:szCs w:val="24"/>
        </w:rPr>
        <w:t xml:space="preserve">There are no </w:t>
      </w:r>
      <w:r w:rsidRPr="00C05B3C">
        <w:t>exceptions</w:t>
      </w:r>
      <w:r w:rsidRPr="004547A9">
        <w:rPr>
          <w:rFonts w:cs="Times New Roman"/>
          <w:szCs w:val="24"/>
        </w:rPr>
        <w:t xml:space="preserve"> </w:t>
      </w:r>
      <w:r w:rsidRPr="00C05B3C">
        <w:rPr>
          <w:color w:val="000000" w:themeColor="text1"/>
        </w:rPr>
        <w:t>to</w:t>
      </w:r>
      <w:r w:rsidRPr="004547A9">
        <w:rPr>
          <w:rFonts w:cs="Times New Roman"/>
          <w:szCs w:val="24"/>
        </w:rPr>
        <w:t xml:space="preserve"> the certification statement</w:t>
      </w:r>
      <w:r w:rsidRPr="004547A9" w:rsidR="00462FBD">
        <w:rPr>
          <w:rFonts w:cs="Times New Roman"/>
          <w:szCs w:val="24"/>
        </w:rPr>
        <w:t>.</w:t>
      </w:r>
    </w:p>
    <w:p w:rsidR="00462FBD" w:rsidP="00C05B3C" w14:paraId="19CBCFA7" w14:textId="6161591C">
      <w:pPr>
        <w:spacing w:line="240" w:lineRule="auto"/>
        <w:ind w:left="720"/>
        <w:rPr>
          <w:rFonts w:cs="Times New Roman"/>
          <w:szCs w:val="24"/>
        </w:rPr>
      </w:pPr>
      <w:r w:rsidRPr="004547A9">
        <w:rPr>
          <w:rFonts w:cs="Times New Roman"/>
          <w:szCs w:val="24"/>
        </w:rPr>
        <w:t xml:space="preserve">In accordance with the requirement at 5 CFR 1320.9(g), </w:t>
      </w:r>
      <w:r w:rsidR="00B9768C">
        <w:rPr>
          <w:rFonts w:cs="Times New Roman"/>
          <w:szCs w:val="24"/>
        </w:rPr>
        <w:t>a</w:t>
      </w:r>
      <w:r w:rsidRPr="004547A9" w:rsidR="00B9768C">
        <w:rPr>
          <w:rFonts w:cs="Times New Roman"/>
          <w:szCs w:val="24"/>
        </w:rPr>
        <w:t xml:space="preserve"> </w:t>
      </w:r>
      <w:r w:rsidRPr="004547A9">
        <w:rPr>
          <w:rFonts w:cs="Times New Roman"/>
          <w:szCs w:val="24"/>
        </w:rPr>
        <w:t xml:space="preserve">statement </w:t>
      </w:r>
      <w:r w:rsidR="00B9768C">
        <w:rPr>
          <w:rFonts w:cs="Times New Roman"/>
          <w:szCs w:val="24"/>
        </w:rPr>
        <w:t xml:space="preserve">similar to the </w:t>
      </w:r>
      <w:r w:rsidRPr="004547A9" w:rsidR="00B9768C">
        <w:rPr>
          <w:rFonts w:cs="Times New Roman"/>
          <w:szCs w:val="24"/>
        </w:rPr>
        <w:t xml:space="preserve">following </w:t>
      </w:r>
      <w:r w:rsidRPr="004547A9">
        <w:rPr>
          <w:rFonts w:cs="Times New Roman"/>
          <w:szCs w:val="24"/>
        </w:rPr>
        <w:t xml:space="preserve">will be </w:t>
      </w:r>
      <w:r w:rsidR="00C450CD">
        <w:rPr>
          <w:color w:val="000000" w:themeColor="text1"/>
        </w:rPr>
        <w:t>included on each information collection instrument</w:t>
      </w:r>
      <w:r w:rsidRPr="004547A9" w:rsidR="004547A9">
        <w:rPr>
          <w:rFonts w:cs="Times New Roman"/>
          <w:szCs w:val="24"/>
        </w:rPr>
        <w:t>:</w:t>
      </w:r>
    </w:p>
    <w:p w:rsidR="00DF3DC9" w:rsidRPr="00DF3DC9" w:rsidP="00C05B3C" w14:paraId="24D43EAD" w14:textId="0EE10B61">
      <w:pPr>
        <w:spacing w:line="240" w:lineRule="auto"/>
        <w:ind w:left="720"/>
        <w:rPr>
          <w:rFonts w:cs="Times New Roman"/>
          <w:szCs w:val="24"/>
        </w:rPr>
      </w:pPr>
      <w:r w:rsidRPr="005E72F7">
        <w:rPr>
          <w:rFonts w:cs="Times New Roman"/>
          <w:szCs w:val="24"/>
        </w:rPr>
        <w:t xml:space="preserve">Paperwork Reduction Act Statement: A </w:t>
      </w:r>
      <w:r w:rsidR="00C450CD">
        <w:rPr>
          <w:rFonts w:cs="Times New Roman"/>
          <w:szCs w:val="24"/>
        </w:rPr>
        <w:t>F</w:t>
      </w:r>
      <w:r w:rsidRPr="005E72F7">
        <w:rPr>
          <w:rFonts w:cs="Times New Roman"/>
          <w:szCs w:val="24"/>
        </w:rPr>
        <w:t>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BC0402">
        <w:rPr>
          <w:rFonts w:cs="Times New Roman"/>
          <w:szCs w:val="24"/>
          <w:highlight w:val="yellow"/>
        </w:rPr>
        <w:t>XXXX</w:t>
      </w:r>
      <w:r w:rsidRPr="005E72F7">
        <w:rPr>
          <w:rFonts w:cs="Times New Roman"/>
          <w:szCs w:val="24"/>
        </w:rPr>
        <w:t xml:space="preserve">. </w:t>
      </w:r>
      <w:r w:rsidRPr="00E84945">
        <w:rPr>
          <w:rFonts w:cs="Times New Roman"/>
          <w:szCs w:val="24"/>
        </w:rPr>
        <w:t xml:space="preserve">The information collected is necessary to </w:t>
      </w:r>
      <w:r w:rsidRPr="00E84945" w:rsidR="00E84945">
        <w:rPr>
          <w:rFonts w:cs="Times New Roman"/>
          <w:szCs w:val="24"/>
        </w:rPr>
        <w:t>support NHTSA’s goal of</w:t>
      </w:r>
      <w:r w:rsidR="00E67F42">
        <w:rPr>
          <w:rFonts w:cs="Times New Roman"/>
          <w:szCs w:val="24"/>
        </w:rPr>
        <w:t xml:space="preserve"> developing evidence-based best practices for designing future drive mode features on mobile phones that operate independently of in-vehicle systems</w:t>
      </w:r>
      <w:r w:rsidRPr="00E84945">
        <w:rPr>
          <w:rFonts w:cs="Times New Roman"/>
          <w:szCs w:val="24"/>
        </w:rPr>
        <w:t xml:space="preserve">. We estimate that it will take approximately </w:t>
      </w:r>
      <w:r w:rsidR="0037614F">
        <w:rPr>
          <w:rStyle w:val="normaltextrun"/>
          <w:color w:val="000000"/>
          <w:shd w:val="clear" w:color="auto" w:fill="FFFFFF"/>
        </w:rPr>
        <w:t>150</w:t>
      </w:r>
      <w:r w:rsidR="00585711">
        <w:rPr>
          <w:rStyle w:val="normaltextrun"/>
          <w:color w:val="000000"/>
          <w:shd w:val="clear" w:color="auto" w:fill="FFFFFF"/>
        </w:rPr>
        <w:t xml:space="preserve"> minutes to complete</w:t>
      </w:r>
      <w:r w:rsidR="0037614F">
        <w:rPr>
          <w:rStyle w:val="normaltextrun"/>
          <w:color w:val="000000"/>
          <w:shd w:val="clear" w:color="auto" w:fill="FFFFFF"/>
        </w:rPr>
        <w:t xml:space="preserve"> the test track</w:t>
      </w:r>
      <w:r w:rsidR="009B1510">
        <w:rPr>
          <w:rStyle w:val="normaltextrun"/>
          <w:color w:val="000000"/>
          <w:shd w:val="clear" w:color="auto" w:fill="FFFFFF"/>
        </w:rPr>
        <w:t xml:space="preserve"> collection and 120 to complete the cones course collection</w:t>
      </w:r>
      <w:r w:rsidRPr="00E84945">
        <w:rPr>
          <w:rFonts w:cs="Times New Roman"/>
          <w:szCs w:val="24"/>
        </w:rPr>
        <w:t xml:space="preserve">. The information collected is voluntary. Send comments regarding this burden estimate or any other aspect of this collection of information, including </w:t>
      </w:r>
      <w:r w:rsidRPr="005E72F7">
        <w:rPr>
          <w:rFonts w:cs="Times New Roman"/>
          <w:szCs w:val="24"/>
        </w:rPr>
        <w:t xml:space="preserve">suggestions for reducing this burden to: Information Collection Clearance Officer, National Highway </w:t>
      </w:r>
      <w:r w:rsidRPr="005E72F7">
        <w:rPr>
          <w:rFonts w:cs="Times New Roman"/>
          <w:szCs w:val="24"/>
        </w:rPr>
        <w:t>Traffic Safety Admi</w:t>
      </w:r>
      <w:r w:rsidRPr="005E72F7">
        <w:rPr>
          <w:rFonts w:cs="Times New Roman"/>
          <w:szCs w:val="24"/>
        </w:rPr>
        <w:t>nistration, 1200 New Jersey Ave, S.E., Room W45-205, Washington, DC, 20590.</w:t>
      </w:r>
    </w:p>
    <w:p w:rsidR="00DF3DC9" w:rsidRPr="00DF3DC9" w:rsidP="00DF3DC9" w14:paraId="7D7546D7" w14:textId="77777777">
      <w:pPr>
        <w:autoSpaceDE w:val="0"/>
        <w:autoSpaceDN w:val="0"/>
        <w:adjustRightInd w:val="0"/>
        <w:spacing w:after="0" w:line="240" w:lineRule="auto"/>
        <w:rPr>
          <w:rFonts w:cs="Times New Roman"/>
          <w:szCs w:val="24"/>
        </w:rPr>
      </w:pPr>
    </w:p>
    <w:p w:rsidR="007A7BB5" w:rsidRPr="002043DA" w:rsidP="002043DA" w14:paraId="172B97B3" w14:textId="77777777">
      <w:pPr>
        <w:rPr>
          <w:rFonts w:cs="Times New Roman"/>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D26" w:rsidRPr="00DB21E3" w14:paraId="300D7D36" w14:textId="6D8EAAAF">
    <w:pPr>
      <w:pStyle w:val="Footer"/>
      <w:rPr>
        <w:rFonts w:ascii="Arial" w:hAnsi="Arial" w:cs="Arial"/>
        <w:sz w:val="16"/>
        <w:szCs w:val="14"/>
      </w:rPr>
    </w:pPr>
    <w:r w:rsidRPr="00DB21E3">
      <w:rPr>
        <w:rFonts w:ascii="Arial" w:hAnsi="Arial" w:cs="Arial"/>
        <w:sz w:val="16"/>
        <w:szCs w:val="14"/>
      </w:rPr>
      <w:t>2408387.000 - 0492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47A2" w:rsidP="00F27C2C" w14:paraId="54D9F189" w14:textId="77777777">
      <w:pPr>
        <w:spacing w:after="0" w:line="240" w:lineRule="auto"/>
      </w:pPr>
      <w:r>
        <w:separator/>
      </w:r>
    </w:p>
  </w:footnote>
  <w:footnote w:type="continuationSeparator" w:id="1">
    <w:p w:rsidR="000F47A2" w:rsidP="00F27C2C" w14:paraId="40A43D9C" w14:textId="77777777">
      <w:pPr>
        <w:spacing w:after="0" w:line="240" w:lineRule="auto"/>
      </w:pPr>
      <w:r>
        <w:continuationSeparator/>
      </w:r>
    </w:p>
  </w:footnote>
  <w:footnote w:type="continuationNotice" w:id="2">
    <w:p w:rsidR="000F47A2" w14:paraId="5D4CC57A" w14:textId="77777777">
      <w:pPr>
        <w:spacing w:after="0" w:line="240" w:lineRule="auto"/>
      </w:pPr>
    </w:p>
  </w:footnote>
  <w:footnote w:id="3">
    <w:p w:rsidR="001A4BFA" w:rsidRPr="0039208F" w:rsidP="00F27C2C" w14:paraId="3E520BE3"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w:t>
      </w:r>
      <w:r w:rsidRPr="0039208F">
        <w:rPr>
          <w:rFonts w:cs="Times New Roman"/>
        </w:rPr>
        <w:t xml:space="preserve">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306BD2" w14:paraId="02037B2A" w14:textId="347AB44A">
      <w:pPr>
        <w:pStyle w:val="FootnoteText"/>
      </w:pPr>
      <w:r>
        <w:rPr>
          <w:rStyle w:val="FootnoteReference"/>
        </w:rPr>
        <w:footnoteRef/>
      </w:r>
      <w:r>
        <w:t xml:space="preserve"> </w:t>
      </w:r>
      <w:r w:rsidRPr="005D6149" w:rsidR="005D6149">
        <w:t xml:space="preserve">National Center for Statistics and Analysis. (2024). </w:t>
      </w:r>
      <w:r w:rsidRPr="00525D93" w:rsidR="005D6149">
        <w:rPr>
          <w:i/>
          <w:iCs/>
        </w:rPr>
        <w:t xml:space="preserve">Distracted driving in 2022 </w:t>
      </w:r>
      <w:r w:rsidRPr="005D6149" w:rsidR="005D6149">
        <w:t>(Report No. DOT HS 813 559). National Highway Traffic Safety Administration.</w:t>
      </w:r>
    </w:p>
  </w:footnote>
  <w:footnote w:id="5">
    <w:p w:rsidR="001035A5" w:rsidP="001035A5" w14:paraId="3B84ED82" w14:textId="77777777">
      <w:pPr>
        <w:pStyle w:val="FootnoteText"/>
      </w:pPr>
      <w:r>
        <w:rPr>
          <w:rStyle w:val="FootnoteReference"/>
        </w:rPr>
        <w:footnoteRef/>
      </w:r>
      <w:r>
        <w:t xml:space="preserve"> </w:t>
      </w:r>
      <w:r w:rsidRPr="003D082D">
        <w:t xml:space="preserve">Chaudhary, N. K., Connolly, J., Tison, J., Solomon, M., &amp; Elliott, K. (2015). </w:t>
      </w:r>
      <w:r w:rsidRPr="003D082D">
        <w:rPr>
          <w:i/>
          <w:iCs/>
        </w:rPr>
        <w:t>Evaluation of the NHTSA distracted driving high-visibility enforcement demonstration projects in California and Delaware.</w:t>
      </w:r>
      <w:r w:rsidRPr="003D082D">
        <w:t xml:space="preserve"> (Report No. DOT HS 812 108). National Highway Traffic Safety Administration.</w:t>
      </w:r>
    </w:p>
  </w:footnote>
  <w:footnote w:id="6">
    <w:p w:rsidR="001035A5" w:rsidP="001035A5" w14:paraId="75987182" w14:textId="77777777">
      <w:pPr>
        <w:pStyle w:val="FootnoteText"/>
      </w:pPr>
      <w:r>
        <w:rPr>
          <w:rStyle w:val="FootnoteReference"/>
        </w:rPr>
        <w:footnoteRef/>
      </w:r>
      <w:r>
        <w:t xml:space="preserve"> National Highway Traffic Safety Administration. (2013). </w:t>
      </w:r>
      <w:r w:rsidRPr="00C320EE">
        <w:rPr>
          <w:i/>
          <w:iCs/>
        </w:rPr>
        <w:t>Visual-manual NHTSA driver distraction guidelines for in-vehicle electronic devices</w:t>
      </w:r>
      <w:r>
        <w:t xml:space="preserve"> (Federal Register Vol. 78, No. 81). Washington, DC.</w:t>
      </w:r>
    </w:p>
    <w:p w:rsidR="001035A5" w:rsidP="001035A5" w14:paraId="74478DE5" w14:textId="77777777">
      <w:pPr>
        <w:pStyle w:val="FootnoteText"/>
      </w:pPr>
      <w:r>
        <w:t xml:space="preserve">National Highway Traffic Safety Administration. (2014). </w:t>
      </w:r>
      <w:r w:rsidRPr="00C320EE">
        <w:rPr>
          <w:i/>
          <w:iCs/>
        </w:rPr>
        <w:t xml:space="preserve">Visual-manual NHTSA driver distraction guidelines for in-vehicle electronic devices </w:t>
      </w:r>
      <w:r>
        <w:t>(Federal Register Vol. 79, No. 179). Washington, DC.</w:t>
      </w:r>
    </w:p>
  </w:footnote>
  <w:footnote w:id="7">
    <w:p w:rsidR="00AA2537" w:rsidP="00223EE3" w14:paraId="513D7671" w14:textId="77777777">
      <w:pPr>
        <w:pStyle w:val="FootnoteText"/>
      </w:pPr>
      <w:r>
        <w:rPr>
          <w:rStyle w:val="FootnoteReference"/>
        </w:rPr>
        <w:footnoteRef/>
      </w:r>
      <w:r>
        <w:t xml:space="preserve"> </w:t>
      </w:r>
      <w:r w:rsidR="00223EE3">
        <w:t xml:space="preserve">Fitch, G. A., Soccolich, S. A., Guo, F., McClafferty, J., Fang, Y., Olson, R. L., Perez, M. A., Hanowski, R. J., Hankey, J. M., &amp; Dingus, T. A. (2013). </w:t>
      </w:r>
      <w:r w:rsidRPr="00223EE3" w:rsidR="00223EE3">
        <w:rPr>
          <w:i/>
          <w:iCs/>
        </w:rPr>
        <w:t xml:space="preserve">The impact of hand-held and hands-free cell phone use on driving performance and safety-critical event risk. </w:t>
      </w:r>
      <w:r w:rsidR="00223EE3">
        <w:t>(Report No. DOT HS 811 757). National Highway Traffic Safety Administration.</w:t>
      </w:r>
    </w:p>
    <w:p w:rsidR="00306BD2" w:rsidP="00223EE3" w14:paraId="5051F347" w14:textId="25B2A3AA">
      <w:pPr>
        <w:pStyle w:val="FootnoteText"/>
      </w:pPr>
      <w:r>
        <w:t xml:space="preserve">Klauer, S. G., Dingus, T. A., Neale, V. L., Sudweeks, J. D., &amp; Ramsey, D. J. (2006). </w:t>
      </w:r>
      <w:r w:rsidRPr="00E209F5">
        <w:rPr>
          <w:i/>
          <w:iCs/>
        </w:rPr>
        <w:t>The impact of driver inattention on near-crash/crash risk: An analysis using the 100-car naturalistic driving study data.</w:t>
      </w:r>
      <w:r>
        <w:t xml:space="preserve"> (Report No. DOT HS 810 594). National Highway Traffic Safety Administration.</w:t>
      </w:r>
    </w:p>
  </w:footnote>
  <w:footnote w:id="8">
    <w:p w:rsidR="00306BD2" w14:paraId="19D153DC" w14:textId="13E6E963">
      <w:pPr>
        <w:pStyle w:val="FootnoteText"/>
      </w:pPr>
      <w:r>
        <w:rPr>
          <w:rStyle w:val="FootnoteReference"/>
        </w:rPr>
        <w:footnoteRef/>
      </w:r>
      <w:r>
        <w:t xml:space="preserve"> </w:t>
      </w:r>
      <w:r w:rsidRPr="00435484" w:rsidR="00435484">
        <w:t xml:space="preserve">National Highway Traffic Safety Administration. (2013). </w:t>
      </w:r>
      <w:r w:rsidRPr="00435484" w:rsidR="00435484">
        <w:rPr>
          <w:i/>
          <w:iCs/>
        </w:rPr>
        <w:t xml:space="preserve">Visual-manual NHTSA driver distraction guidelines for in-vehicle electronic devices </w:t>
      </w:r>
      <w:r w:rsidRPr="00435484" w:rsidR="00435484">
        <w:t>(Federal Register Vol. 78, No. 81). Washington, DC.</w:t>
      </w:r>
    </w:p>
  </w:footnote>
  <w:footnote w:id="9">
    <w:p w:rsidR="00306BD2" w14:paraId="7A3E4847" w14:textId="1EB54C47">
      <w:pPr>
        <w:pStyle w:val="FootnoteText"/>
      </w:pPr>
      <w:r>
        <w:rPr>
          <w:rStyle w:val="FootnoteReference"/>
        </w:rPr>
        <w:footnoteRef/>
      </w:r>
      <w:r>
        <w:t xml:space="preserve"> </w:t>
      </w:r>
      <w:r w:rsidRPr="009654C2" w:rsidR="009654C2">
        <w:t xml:space="preserve">National Highway Traffic Safety Administration. (2016). </w:t>
      </w:r>
      <w:r w:rsidRPr="001E272A" w:rsidR="009654C2">
        <w:rPr>
          <w:i/>
          <w:iCs/>
        </w:rPr>
        <w:t xml:space="preserve">Visual-manual NHTSA driver distraction guidelines for portable and aftermarket devices – Notice for Comment </w:t>
      </w:r>
      <w:r w:rsidRPr="009654C2" w:rsidR="009654C2">
        <w:t>(Federal Register Vo. 81, No. 233). Washington, DC.</w:t>
      </w:r>
    </w:p>
  </w:footnote>
  <w:footnote w:id="10">
    <w:p w:rsidR="00306BD2" w14:paraId="2E70ED0E" w14:textId="0160EC69">
      <w:pPr>
        <w:pStyle w:val="FootnoteText"/>
      </w:pPr>
      <w:r>
        <w:rPr>
          <w:rStyle w:val="FootnoteReference"/>
        </w:rPr>
        <w:footnoteRef/>
      </w:r>
      <w:r>
        <w:t xml:space="preserve"> </w:t>
      </w:r>
      <w:r w:rsidRPr="001E272A" w:rsidR="001E272A">
        <w:t xml:space="preserve">National Highway Traffic Safety Administration. (2016). </w:t>
      </w:r>
      <w:r w:rsidRPr="001E272A" w:rsidR="001E272A">
        <w:rPr>
          <w:i/>
          <w:iCs/>
        </w:rPr>
        <w:t xml:space="preserve">Visual-manual NHTSA driver distraction guidelines for portable and aftermarket devices – Notice for Comment </w:t>
      </w:r>
      <w:r w:rsidRPr="001E272A" w:rsidR="001E272A">
        <w:t>(Federal Register Vo. 81, No. 233). Washington, DC.</w:t>
      </w:r>
    </w:p>
  </w:footnote>
  <w:footnote w:id="11">
    <w:p w:rsidR="00324BD0" w:rsidRPr="00A8676E" w:rsidP="00324BD0" w14:paraId="321E6931" w14:textId="53348615">
      <w:pPr>
        <w:pStyle w:val="FootnoteText"/>
      </w:pPr>
      <w:r>
        <w:rPr>
          <w:rStyle w:val="FootnoteReference"/>
        </w:rPr>
        <w:footnoteRef/>
      </w:r>
      <w:r>
        <w:t xml:space="preserve">  US Department of Labor, Bureau of Labor and Statistics, May 202</w:t>
      </w:r>
      <w:r w:rsidR="00046D19">
        <w:t>4</w:t>
      </w:r>
      <w:r>
        <w:t xml:space="preserve"> State Occupational Employment and Wage </w:t>
      </w:r>
      <w:r w:rsidRPr="00A8676E">
        <w:t xml:space="preserve">Estimates Arizona: </w:t>
      </w:r>
      <w:r w:rsidRPr="00046D19" w:rsidR="00046D19">
        <w:t>https://www.bls.gov/oes/tables.htm</w:t>
      </w:r>
    </w:p>
  </w:footnote>
  <w:footnote w:id="12">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w:t>
      </w:r>
      <w:r w:rsidRPr="00A24405">
        <w:t xml:space="preserve">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52082"/>
    <w:multiLevelType w:val="hybridMultilevel"/>
    <w:tmpl w:val="76A03498"/>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093C54"/>
    <w:multiLevelType w:val="hybridMultilevel"/>
    <w:tmpl w:val="18720D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BC6530"/>
    <w:multiLevelType w:val="hybridMultilevel"/>
    <w:tmpl w:val="587032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17D71BB"/>
    <w:multiLevelType w:val="hybridMultilevel"/>
    <w:tmpl w:val="B7604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A23ACF"/>
    <w:multiLevelType w:val="hybridMultilevel"/>
    <w:tmpl w:val="3F1EDA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88853AD"/>
    <w:multiLevelType w:val="hybridMultilevel"/>
    <w:tmpl w:val="D6FAE7E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3">
    <w:nsid w:val="7F507FF0"/>
    <w:multiLevelType w:val="hybridMultilevel"/>
    <w:tmpl w:val="9B547F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79022890">
    <w:abstractNumId w:val="9"/>
  </w:num>
  <w:num w:numId="2" w16cid:durableId="1000736493">
    <w:abstractNumId w:val="2"/>
  </w:num>
  <w:num w:numId="3" w16cid:durableId="1020473650">
    <w:abstractNumId w:val="5"/>
  </w:num>
  <w:num w:numId="4" w16cid:durableId="975834091">
    <w:abstractNumId w:val="6"/>
  </w:num>
  <w:num w:numId="5" w16cid:durableId="1791390492">
    <w:abstractNumId w:val="4"/>
  </w:num>
  <w:num w:numId="6" w16cid:durableId="484249352">
    <w:abstractNumId w:val="11"/>
  </w:num>
  <w:num w:numId="7" w16cid:durableId="1579559725">
    <w:abstractNumId w:val="1"/>
  </w:num>
  <w:num w:numId="8" w16cid:durableId="1502039289">
    <w:abstractNumId w:val="10"/>
  </w:num>
  <w:num w:numId="9" w16cid:durableId="1801537373">
    <w:abstractNumId w:val="3"/>
  </w:num>
  <w:num w:numId="10" w16cid:durableId="2075202743">
    <w:abstractNumId w:val="12"/>
  </w:num>
  <w:num w:numId="11" w16cid:durableId="992296669">
    <w:abstractNumId w:val="7"/>
  </w:num>
  <w:num w:numId="12" w16cid:durableId="1401365238">
    <w:abstractNumId w:val="13"/>
  </w:num>
  <w:num w:numId="13" w16cid:durableId="470904152">
    <w:abstractNumId w:val="8"/>
  </w:num>
  <w:num w:numId="14" w16cid:durableId="5775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1DB"/>
    <w:rsid w:val="000018F1"/>
    <w:rsid w:val="00002D98"/>
    <w:rsid w:val="00003710"/>
    <w:rsid w:val="00005E13"/>
    <w:rsid w:val="000061B3"/>
    <w:rsid w:val="00006786"/>
    <w:rsid w:val="00007971"/>
    <w:rsid w:val="00010BE7"/>
    <w:rsid w:val="000118DA"/>
    <w:rsid w:val="00014412"/>
    <w:rsid w:val="000154D7"/>
    <w:rsid w:val="0001618A"/>
    <w:rsid w:val="0002061C"/>
    <w:rsid w:val="000220D3"/>
    <w:rsid w:val="00023612"/>
    <w:rsid w:val="0002443E"/>
    <w:rsid w:val="000251FA"/>
    <w:rsid w:val="000258BB"/>
    <w:rsid w:val="00025DAF"/>
    <w:rsid w:val="00026522"/>
    <w:rsid w:val="00027313"/>
    <w:rsid w:val="000278BF"/>
    <w:rsid w:val="00030B76"/>
    <w:rsid w:val="00033398"/>
    <w:rsid w:val="00035CE6"/>
    <w:rsid w:val="000373A8"/>
    <w:rsid w:val="000407F8"/>
    <w:rsid w:val="00040CCA"/>
    <w:rsid w:val="00041B13"/>
    <w:rsid w:val="00045F1E"/>
    <w:rsid w:val="00046D19"/>
    <w:rsid w:val="0004765C"/>
    <w:rsid w:val="00050A90"/>
    <w:rsid w:val="0005118D"/>
    <w:rsid w:val="00051481"/>
    <w:rsid w:val="00051D80"/>
    <w:rsid w:val="00052A82"/>
    <w:rsid w:val="0005424E"/>
    <w:rsid w:val="00055468"/>
    <w:rsid w:val="0005707D"/>
    <w:rsid w:val="0006039D"/>
    <w:rsid w:val="00061882"/>
    <w:rsid w:val="00061EFF"/>
    <w:rsid w:val="00062F0C"/>
    <w:rsid w:val="000650F6"/>
    <w:rsid w:val="00065A0A"/>
    <w:rsid w:val="00066EAC"/>
    <w:rsid w:val="000676A3"/>
    <w:rsid w:val="000679F6"/>
    <w:rsid w:val="00070AEB"/>
    <w:rsid w:val="00073BF5"/>
    <w:rsid w:val="00074023"/>
    <w:rsid w:val="00074977"/>
    <w:rsid w:val="00074B09"/>
    <w:rsid w:val="00075739"/>
    <w:rsid w:val="00076461"/>
    <w:rsid w:val="00076E0F"/>
    <w:rsid w:val="000911E8"/>
    <w:rsid w:val="00093EB7"/>
    <w:rsid w:val="00093F23"/>
    <w:rsid w:val="00095AE0"/>
    <w:rsid w:val="00096019"/>
    <w:rsid w:val="000962C3"/>
    <w:rsid w:val="000A10D6"/>
    <w:rsid w:val="000A3330"/>
    <w:rsid w:val="000A36F7"/>
    <w:rsid w:val="000A5408"/>
    <w:rsid w:val="000A650D"/>
    <w:rsid w:val="000B1C47"/>
    <w:rsid w:val="000B4035"/>
    <w:rsid w:val="000B49B9"/>
    <w:rsid w:val="000B526F"/>
    <w:rsid w:val="000B5E80"/>
    <w:rsid w:val="000B6921"/>
    <w:rsid w:val="000C0B47"/>
    <w:rsid w:val="000C0E89"/>
    <w:rsid w:val="000C1247"/>
    <w:rsid w:val="000C45D9"/>
    <w:rsid w:val="000C6937"/>
    <w:rsid w:val="000D42A0"/>
    <w:rsid w:val="000D5075"/>
    <w:rsid w:val="000D573B"/>
    <w:rsid w:val="000D597A"/>
    <w:rsid w:val="000D69E3"/>
    <w:rsid w:val="000D7C8B"/>
    <w:rsid w:val="000E1471"/>
    <w:rsid w:val="000E1DAA"/>
    <w:rsid w:val="000E20AB"/>
    <w:rsid w:val="000E20C9"/>
    <w:rsid w:val="000E3814"/>
    <w:rsid w:val="000E3F1C"/>
    <w:rsid w:val="000E5CF0"/>
    <w:rsid w:val="000E6A51"/>
    <w:rsid w:val="000E729F"/>
    <w:rsid w:val="000E76BB"/>
    <w:rsid w:val="000F0746"/>
    <w:rsid w:val="000F140C"/>
    <w:rsid w:val="000F2D3B"/>
    <w:rsid w:val="000F3D3F"/>
    <w:rsid w:val="000F47A2"/>
    <w:rsid w:val="000F56AB"/>
    <w:rsid w:val="000F73B1"/>
    <w:rsid w:val="000F7495"/>
    <w:rsid w:val="000F75C6"/>
    <w:rsid w:val="000F7FE7"/>
    <w:rsid w:val="00102E02"/>
    <w:rsid w:val="001035A5"/>
    <w:rsid w:val="001035F0"/>
    <w:rsid w:val="001051ED"/>
    <w:rsid w:val="00105F0C"/>
    <w:rsid w:val="00106F19"/>
    <w:rsid w:val="00107FB1"/>
    <w:rsid w:val="0011006D"/>
    <w:rsid w:val="00110CCB"/>
    <w:rsid w:val="001117A3"/>
    <w:rsid w:val="00111E19"/>
    <w:rsid w:val="0011247D"/>
    <w:rsid w:val="001133E5"/>
    <w:rsid w:val="0011376F"/>
    <w:rsid w:val="00114506"/>
    <w:rsid w:val="00114A72"/>
    <w:rsid w:val="001160D5"/>
    <w:rsid w:val="0012248A"/>
    <w:rsid w:val="00125CC9"/>
    <w:rsid w:val="00125F5B"/>
    <w:rsid w:val="00126AED"/>
    <w:rsid w:val="00127AE2"/>
    <w:rsid w:val="00130647"/>
    <w:rsid w:val="00132FE0"/>
    <w:rsid w:val="001337CE"/>
    <w:rsid w:val="00133A79"/>
    <w:rsid w:val="00134042"/>
    <w:rsid w:val="001376D1"/>
    <w:rsid w:val="00137C5F"/>
    <w:rsid w:val="001401CE"/>
    <w:rsid w:val="001409B0"/>
    <w:rsid w:val="001468B4"/>
    <w:rsid w:val="00146D8D"/>
    <w:rsid w:val="00150F00"/>
    <w:rsid w:val="001514F6"/>
    <w:rsid w:val="001527CB"/>
    <w:rsid w:val="00154E76"/>
    <w:rsid w:val="00155821"/>
    <w:rsid w:val="00162894"/>
    <w:rsid w:val="00163916"/>
    <w:rsid w:val="0016450F"/>
    <w:rsid w:val="00164AF7"/>
    <w:rsid w:val="00164B01"/>
    <w:rsid w:val="0016642E"/>
    <w:rsid w:val="001668BB"/>
    <w:rsid w:val="00166C79"/>
    <w:rsid w:val="00170116"/>
    <w:rsid w:val="0017037B"/>
    <w:rsid w:val="00176259"/>
    <w:rsid w:val="0017652F"/>
    <w:rsid w:val="001767E4"/>
    <w:rsid w:val="00176EBC"/>
    <w:rsid w:val="0018218C"/>
    <w:rsid w:val="00184915"/>
    <w:rsid w:val="00185420"/>
    <w:rsid w:val="00187E86"/>
    <w:rsid w:val="00187E88"/>
    <w:rsid w:val="00192182"/>
    <w:rsid w:val="001942D4"/>
    <w:rsid w:val="00194A83"/>
    <w:rsid w:val="0019714C"/>
    <w:rsid w:val="00197886"/>
    <w:rsid w:val="00197F9C"/>
    <w:rsid w:val="001A0645"/>
    <w:rsid w:val="001A2CA5"/>
    <w:rsid w:val="001A2E21"/>
    <w:rsid w:val="001A3289"/>
    <w:rsid w:val="001A437D"/>
    <w:rsid w:val="001A4BFA"/>
    <w:rsid w:val="001A4D95"/>
    <w:rsid w:val="001A6945"/>
    <w:rsid w:val="001A6B28"/>
    <w:rsid w:val="001B4426"/>
    <w:rsid w:val="001B63FA"/>
    <w:rsid w:val="001B7D96"/>
    <w:rsid w:val="001C225E"/>
    <w:rsid w:val="001C240E"/>
    <w:rsid w:val="001C2D68"/>
    <w:rsid w:val="001C2DDB"/>
    <w:rsid w:val="001C54FC"/>
    <w:rsid w:val="001C5CE5"/>
    <w:rsid w:val="001D0D1B"/>
    <w:rsid w:val="001D2218"/>
    <w:rsid w:val="001D2540"/>
    <w:rsid w:val="001D28DA"/>
    <w:rsid w:val="001D43D7"/>
    <w:rsid w:val="001D4E85"/>
    <w:rsid w:val="001D6387"/>
    <w:rsid w:val="001D6C6A"/>
    <w:rsid w:val="001D7431"/>
    <w:rsid w:val="001D7AC0"/>
    <w:rsid w:val="001E141C"/>
    <w:rsid w:val="001E17D9"/>
    <w:rsid w:val="001E272A"/>
    <w:rsid w:val="001E42DA"/>
    <w:rsid w:val="001E644B"/>
    <w:rsid w:val="001E655A"/>
    <w:rsid w:val="001F1C6D"/>
    <w:rsid w:val="001F572A"/>
    <w:rsid w:val="001F6255"/>
    <w:rsid w:val="001F6E6D"/>
    <w:rsid w:val="001F7C4F"/>
    <w:rsid w:val="00200B38"/>
    <w:rsid w:val="00201F36"/>
    <w:rsid w:val="002025E5"/>
    <w:rsid w:val="00203AD2"/>
    <w:rsid w:val="002043DA"/>
    <w:rsid w:val="00204CA7"/>
    <w:rsid w:val="00205B01"/>
    <w:rsid w:val="00211639"/>
    <w:rsid w:val="002121AD"/>
    <w:rsid w:val="00212A65"/>
    <w:rsid w:val="002136E6"/>
    <w:rsid w:val="0021484E"/>
    <w:rsid w:val="00215279"/>
    <w:rsid w:val="00215284"/>
    <w:rsid w:val="00217679"/>
    <w:rsid w:val="00217AF1"/>
    <w:rsid w:val="00217C77"/>
    <w:rsid w:val="0022076F"/>
    <w:rsid w:val="00221842"/>
    <w:rsid w:val="0022197B"/>
    <w:rsid w:val="00223C8C"/>
    <w:rsid w:val="00223EE3"/>
    <w:rsid w:val="00230FDD"/>
    <w:rsid w:val="00234403"/>
    <w:rsid w:val="00237428"/>
    <w:rsid w:val="00237B46"/>
    <w:rsid w:val="00240551"/>
    <w:rsid w:val="002449F1"/>
    <w:rsid w:val="00244ADF"/>
    <w:rsid w:val="002452FE"/>
    <w:rsid w:val="0024784E"/>
    <w:rsid w:val="0024786F"/>
    <w:rsid w:val="002479AD"/>
    <w:rsid w:val="00253698"/>
    <w:rsid w:val="00254291"/>
    <w:rsid w:val="00255425"/>
    <w:rsid w:val="00260B7C"/>
    <w:rsid w:val="00261809"/>
    <w:rsid w:val="00261A6E"/>
    <w:rsid w:val="002638FE"/>
    <w:rsid w:val="002646CD"/>
    <w:rsid w:val="00265119"/>
    <w:rsid w:val="00274927"/>
    <w:rsid w:val="0027536B"/>
    <w:rsid w:val="00276605"/>
    <w:rsid w:val="00277098"/>
    <w:rsid w:val="00277A09"/>
    <w:rsid w:val="0028079A"/>
    <w:rsid w:val="00282C6F"/>
    <w:rsid w:val="00283913"/>
    <w:rsid w:val="002852BD"/>
    <w:rsid w:val="002869E3"/>
    <w:rsid w:val="00290409"/>
    <w:rsid w:val="00291D34"/>
    <w:rsid w:val="002939C2"/>
    <w:rsid w:val="00295899"/>
    <w:rsid w:val="002A2C0A"/>
    <w:rsid w:val="002A2FE1"/>
    <w:rsid w:val="002A4B2B"/>
    <w:rsid w:val="002A55F5"/>
    <w:rsid w:val="002A56AE"/>
    <w:rsid w:val="002A59E0"/>
    <w:rsid w:val="002B067E"/>
    <w:rsid w:val="002B2D26"/>
    <w:rsid w:val="002B2F72"/>
    <w:rsid w:val="002B4C80"/>
    <w:rsid w:val="002B6A3D"/>
    <w:rsid w:val="002C114D"/>
    <w:rsid w:val="002C5988"/>
    <w:rsid w:val="002C5A80"/>
    <w:rsid w:val="002C5DC9"/>
    <w:rsid w:val="002D0E21"/>
    <w:rsid w:val="002D281B"/>
    <w:rsid w:val="002D3A15"/>
    <w:rsid w:val="002D4F2A"/>
    <w:rsid w:val="002D67E6"/>
    <w:rsid w:val="002E008F"/>
    <w:rsid w:val="002E0116"/>
    <w:rsid w:val="002E4D8C"/>
    <w:rsid w:val="002E6CCD"/>
    <w:rsid w:val="002F2908"/>
    <w:rsid w:val="002F4468"/>
    <w:rsid w:val="002F52AC"/>
    <w:rsid w:val="002F5914"/>
    <w:rsid w:val="002F7073"/>
    <w:rsid w:val="00300719"/>
    <w:rsid w:val="003007E3"/>
    <w:rsid w:val="00301DDF"/>
    <w:rsid w:val="003021A3"/>
    <w:rsid w:val="0030493C"/>
    <w:rsid w:val="00304ECC"/>
    <w:rsid w:val="00306BD2"/>
    <w:rsid w:val="00307160"/>
    <w:rsid w:val="0030776B"/>
    <w:rsid w:val="0031273D"/>
    <w:rsid w:val="00312845"/>
    <w:rsid w:val="00314EA3"/>
    <w:rsid w:val="00315A34"/>
    <w:rsid w:val="00321D35"/>
    <w:rsid w:val="00322AF8"/>
    <w:rsid w:val="00324BD0"/>
    <w:rsid w:val="0033163C"/>
    <w:rsid w:val="0033254B"/>
    <w:rsid w:val="00332ACE"/>
    <w:rsid w:val="00344DF6"/>
    <w:rsid w:val="00346193"/>
    <w:rsid w:val="003471F8"/>
    <w:rsid w:val="00347B98"/>
    <w:rsid w:val="00351073"/>
    <w:rsid w:val="00355FF5"/>
    <w:rsid w:val="003570DC"/>
    <w:rsid w:val="00357437"/>
    <w:rsid w:val="00357ADC"/>
    <w:rsid w:val="0036316E"/>
    <w:rsid w:val="003642E4"/>
    <w:rsid w:val="00364384"/>
    <w:rsid w:val="003649DE"/>
    <w:rsid w:val="00366098"/>
    <w:rsid w:val="0037099A"/>
    <w:rsid w:val="00371860"/>
    <w:rsid w:val="003734C1"/>
    <w:rsid w:val="00374924"/>
    <w:rsid w:val="00375364"/>
    <w:rsid w:val="00375B5D"/>
    <w:rsid w:val="003760FA"/>
    <w:rsid w:val="0037614F"/>
    <w:rsid w:val="00381AFB"/>
    <w:rsid w:val="00382842"/>
    <w:rsid w:val="00383490"/>
    <w:rsid w:val="00390639"/>
    <w:rsid w:val="0039208F"/>
    <w:rsid w:val="003942C2"/>
    <w:rsid w:val="0039601B"/>
    <w:rsid w:val="0039701B"/>
    <w:rsid w:val="0039796B"/>
    <w:rsid w:val="003A07EC"/>
    <w:rsid w:val="003A15A5"/>
    <w:rsid w:val="003A25CA"/>
    <w:rsid w:val="003A50C0"/>
    <w:rsid w:val="003A6E5A"/>
    <w:rsid w:val="003B0554"/>
    <w:rsid w:val="003B0E02"/>
    <w:rsid w:val="003B4F01"/>
    <w:rsid w:val="003B6B57"/>
    <w:rsid w:val="003B7552"/>
    <w:rsid w:val="003B761E"/>
    <w:rsid w:val="003C67D9"/>
    <w:rsid w:val="003C6CA2"/>
    <w:rsid w:val="003C7D6A"/>
    <w:rsid w:val="003D082D"/>
    <w:rsid w:val="003D161C"/>
    <w:rsid w:val="003D32F7"/>
    <w:rsid w:val="003D43EE"/>
    <w:rsid w:val="003D50FC"/>
    <w:rsid w:val="003D6ADE"/>
    <w:rsid w:val="003E0A5C"/>
    <w:rsid w:val="003E3089"/>
    <w:rsid w:val="003E30BA"/>
    <w:rsid w:val="003E4457"/>
    <w:rsid w:val="003E4E17"/>
    <w:rsid w:val="003E5753"/>
    <w:rsid w:val="003F0D51"/>
    <w:rsid w:val="003F2378"/>
    <w:rsid w:val="003F326F"/>
    <w:rsid w:val="003F625D"/>
    <w:rsid w:val="003F6398"/>
    <w:rsid w:val="00401505"/>
    <w:rsid w:val="0040414E"/>
    <w:rsid w:val="004079D2"/>
    <w:rsid w:val="0041008F"/>
    <w:rsid w:val="00410A54"/>
    <w:rsid w:val="004111A1"/>
    <w:rsid w:val="0041160B"/>
    <w:rsid w:val="00412976"/>
    <w:rsid w:val="00412A70"/>
    <w:rsid w:val="00413356"/>
    <w:rsid w:val="00414115"/>
    <w:rsid w:val="004168BB"/>
    <w:rsid w:val="00421F20"/>
    <w:rsid w:val="00422E0D"/>
    <w:rsid w:val="00423291"/>
    <w:rsid w:val="004240E0"/>
    <w:rsid w:val="0042413C"/>
    <w:rsid w:val="00424C86"/>
    <w:rsid w:val="00425484"/>
    <w:rsid w:val="00425DB7"/>
    <w:rsid w:val="004276E8"/>
    <w:rsid w:val="004303D9"/>
    <w:rsid w:val="00431359"/>
    <w:rsid w:val="00431B77"/>
    <w:rsid w:val="00435484"/>
    <w:rsid w:val="00435C6D"/>
    <w:rsid w:val="00442DCB"/>
    <w:rsid w:val="00444938"/>
    <w:rsid w:val="0044598F"/>
    <w:rsid w:val="0044742A"/>
    <w:rsid w:val="00447EB6"/>
    <w:rsid w:val="00451338"/>
    <w:rsid w:val="004547A9"/>
    <w:rsid w:val="00454B45"/>
    <w:rsid w:val="004554A2"/>
    <w:rsid w:val="00457685"/>
    <w:rsid w:val="00460CC4"/>
    <w:rsid w:val="00462FBD"/>
    <w:rsid w:val="00465D25"/>
    <w:rsid w:val="00465EFD"/>
    <w:rsid w:val="004664FF"/>
    <w:rsid w:val="004668D3"/>
    <w:rsid w:val="0047153C"/>
    <w:rsid w:val="004775E3"/>
    <w:rsid w:val="004778F8"/>
    <w:rsid w:val="00477C91"/>
    <w:rsid w:val="00477F7C"/>
    <w:rsid w:val="00480CBB"/>
    <w:rsid w:val="004812CB"/>
    <w:rsid w:val="00484767"/>
    <w:rsid w:val="004849AF"/>
    <w:rsid w:val="0048519B"/>
    <w:rsid w:val="00486A49"/>
    <w:rsid w:val="00486ACF"/>
    <w:rsid w:val="00487283"/>
    <w:rsid w:val="004926D6"/>
    <w:rsid w:val="00492C52"/>
    <w:rsid w:val="00493698"/>
    <w:rsid w:val="00494A22"/>
    <w:rsid w:val="00495557"/>
    <w:rsid w:val="004A0909"/>
    <w:rsid w:val="004A245A"/>
    <w:rsid w:val="004A4890"/>
    <w:rsid w:val="004B0BA7"/>
    <w:rsid w:val="004B14F0"/>
    <w:rsid w:val="004B3AAE"/>
    <w:rsid w:val="004C04B9"/>
    <w:rsid w:val="004C1219"/>
    <w:rsid w:val="004C2473"/>
    <w:rsid w:val="004C342C"/>
    <w:rsid w:val="004C4EA6"/>
    <w:rsid w:val="004C5749"/>
    <w:rsid w:val="004D087C"/>
    <w:rsid w:val="004D1680"/>
    <w:rsid w:val="004D306F"/>
    <w:rsid w:val="004D35C7"/>
    <w:rsid w:val="004D67C2"/>
    <w:rsid w:val="004E0F2A"/>
    <w:rsid w:val="004E0F49"/>
    <w:rsid w:val="004E19C3"/>
    <w:rsid w:val="004E20D7"/>
    <w:rsid w:val="004E256B"/>
    <w:rsid w:val="004E25F6"/>
    <w:rsid w:val="004E3200"/>
    <w:rsid w:val="004E404E"/>
    <w:rsid w:val="004E6105"/>
    <w:rsid w:val="004F6166"/>
    <w:rsid w:val="004F7660"/>
    <w:rsid w:val="00505840"/>
    <w:rsid w:val="00506AA7"/>
    <w:rsid w:val="00510070"/>
    <w:rsid w:val="0051020B"/>
    <w:rsid w:val="00511DF3"/>
    <w:rsid w:val="00514A39"/>
    <w:rsid w:val="00514DEA"/>
    <w:rsid w:val="00515685"/>
    <w:rsid w:val="00517531"/>
    <w:rsid w:val="005209FC"/>
    <w:rsid w:val="00521E26"/>
    <w:rsid w:val="00523CEA"/>
    <w:rsid w:val="00524959"/>
    <w:rsid w:val="00524C9F"/>
    <w:rsid w:val="0052515F"/>
    <w:rsid w:val="00525D93"/>
    <w:rsid w:val="005271A9"/>
    <w:rsid w:val="00527266"/>
    <w:rsid w:val="00527F33"/>
    <w:rsid w:val="00531CF8"/>
    <w:rsid w:val="00531F86"/>
    <w:rsid w:val="00532E09"/>
    <w:rsid w:val="005450CA"/>
    <w:rsid w:val="0054553E"/>
    <w:rsid w:val="0054574B"/>
    <w:rsid w:val="005467A6"/>
    <w:rsid w:val="0054683A"/>
    <w:rsid w:val="005468DA"/>
    <w:rsid w:val="00554F74"/>
    <w:rsid w:val="00554FC2"/>
    <w:rsid w:val="00555ED5"/>
    <w:rsid w:val="005613C9"/>
    <w:rsid w:val="005622A6"/>
    <w:rsid w:val="00565592"/>
    <w:rsid w:val="00566009"/>
    <w:rsid w:val="00567279"/>
    <w:rsid w:val="00571080"/>
    <w:rsid w:val="00571DA3"/>
    <w:rsid w:val="00573D85"/>
    <w:rsid w:val="00575DA9"/>
    <w:rsid w:val="00583DE3"/>
    <w:rsid w:val="00584AE7"/>
    <w:rsid w:val="00585711"/>
    <w:rsid w:val="00585A98"/>
    <w:rsid w:val="00585D57"/>
    <w:rsid w:val="0058631B"/>
    <w:rsid w:val="00587455"/>
    <w:rsid w:val="005900D8"/>
    <w:rsid w:val="00592060"/>
    <w:rsid w:val="00592C10"/>
    <w:rsid w:val="00592D24"/>
    <w:rsid w:val="00592E76"/>
    <w:rsid w:val="00593621"/>
    <w:rsid w:val="005949E9"/>
    <w:rsid w:val="00595C46"/>
    <w:rsid w:val="0059617D"/>
    <w:rsid w:val="005A1B28"/>
    <w:rsid w:val="005A5485"/>
    <w:rsid w:val="005A62F4"/>
    <w:rsid w:val="005A65B7"/>
    <w:rsid w:val="005A6711"/>
    <w:rsid w:val="005B1DBD"/>
    <w:rsid w:val="005B455D"/>
    <w:rsid w:val="005B4B68"/>
    <w:rsid w:val="005B5069"/>
    <w:rsid w:val="005B5D65"/>
    <w:rsid w:val="005B6994"/>
    <w:rsid w:val="005C1D2C"/>
    <w:rsid w:val="005C61FF"/>
    <w:rsid w:val="005C6ED5"/>
    <w:rsid w:val="005D1FB5"/>
    <w:rsid w:val="005D20A5"/>
    <w:rsid w:val="005D3CC0"/>
    <w:rsid w:val="005D4237"/>
    <w:rsid w:val="005D6149"/>
    <w:rsid w:val="005E1257"/>
    <w:rsid w:val="005E1858"/>
    <w:rsid w:val="005E72F7"/>
    <w:rsid w:val="005E7669"/>
    <w:rsid w:val="005F2E7C"/>
    <w:rsid w:val="005F2ED5"/>
    <w:rsid w:val="005F359C"/>
    <w:rsid w:val="005F7191"/>
    <w:rsid w:val="005F79D9"/>
    <w:rsid w:val="00600DE8"/>
    <w:rsid w:val="00600DFC"/>
    <w:rsid w:val="00601100"/>
    <w:rsid w:val="0060233F"/>
    <w:rsid w:val="00603E26"/>
    <w:rsid w:val="00605D6D"/>
    <w:rsid w:val="006165CA"/>
    <w:rsid w:val="006178A9"/>
    <w:rsid w:val="00624957"/>
    <w:rsid w:val="00624A77"/>
    <w:rsid w:val="00625394"/>
    <w:rsid w:val="00625636"/>
    <w:rsid w:val="006302B7"/>
    <w:rsid w:val="00631432"/>
    <w:rsid w:val="00633CE3"/>
    <w:rsid w:val="00634A28"/>
    <w:rsid w:val="00634D93"/>
    <w:rsid w:val="006358D2"/>
    <w:rsid w:val="006365D1"/>
    <w:rsid w:val="00636AE9"/>
    <w:rsid w:val="00637EA5"/>
    <w:rsid w:val="006401F6"/>
    <w:rsid w:val="00640996"/>
    <w:rsid w:val="00641990"/>
    <w:rsid w:val="00644222"/>
    <w:rsid w:val="00645F4C"/>
    <w:rsid w:val="006473BD"/>
    <w:rsid w:val="006475A0"/>
    <w:rsid w:val="00652182"/>
    <w:rsid w:val="00654678"/>
    <w:rsid w:val="00661C68"/>
    <w:rsid w:val="00666829"/>
    <w:rsid w:val="006677C4"/>
    <w:rsid w:val="00670BA6"/>
    <w:rsid w:val="00671FC0"/>
    <w:rsid w:val="00674F5C"/>
    <w:rsid w:val="00674FED"/>
    <w:rsid w:val="00676826"/>
    <w:rsid w:val="00677275"/>
    <w:rsid w:val="00677444"/>
    <w:rsid w:val="006906DE"/>
    <w:rsid w:val="00694BD3"/>
    <w:rsid w:val="006956C2"/>
    <w:rsid w:val="0069588D"/>
    <w:rsid w:val="00696ED7"/>
    <w:rsid w:val="00697CE2"/>
    <w:rsid w:val="00697FBC"/>
    <w:rsid w:val="006A395A"/>
    <w:rsid w:val="006A6F62"/>
    <w:rsid w:val="006A71F6"/>
    <w:rsid w:val="006B516E"/>
    <w:rsid w:val="006B7702"/>
    <w:rsid w:val="006C0118"/>
    <w:rsid w:val="006C66AF"/>
    <w:rsid w:val="006C73BE"/>
    <w:rsid w:val="006D3035"/>
    <w:rsid w:val="006D4BE7"/>
    <w:rsid w:val="006D5A51"/>
    <w:rsid w:val="006D7C5C"/>
    <w:rsid w:val="006E003A"/>
    <w:rsid w:val="006E2D61"/>
    <w:rsid w:val="006E4A9F"/>
    <w:rsid w:val="006E5D12"/>
    <w:rsid w:val="006F39C2"/>
    <w:rsid w:val="006F56DA"/>
    <w:rsid w:val="006F5D4E"/>
    <w:rsid w:val="006F6527"/>
    <w:rsid w:val="006F65EB"/>
    <w:rsid w:val="006F6E0B"/>
    <w:rsid w:val="006F76DA"/>
    <w:rsid w:val="006F7FC2"/>
    <w:rsid w:val="0070100F"/>
    <w:rsid w:val="00701D83"/>
    <w:rsid w:val="00707167"/>
    <w:rsid w:val="00710A24"/>
    <w:rsid w:val="00711235"/>
    <w:rsid w:val="00711CF1"/>
    <w:rsid w:val="00713F34"/>
    <w:rsid w:val="00714ACE"/>
    <w:rsid w:val="007176F6"/>
    <w:rsid w:val="007210BD"/>
    <w:rsid w:val="00721325"/>
    <w:rsid w:val="0072512D"/>
    <w:rsid w:val="00726A2B"/>
    <w:rsid w:val="00727EB0"/>
    <w:rsid w:val="00731F6E"/>
    <w:rsid w:val="00735768"/>
    <w:rsid w:val="00735C3C"/>
    <w:rsid w:val="00737379"/>
    <w:rsid w:val="0073799E"/>
    <w:rsid w:val="00740180"/>
    <w:rsid w:val="0074555C"/>
    <w:rsid w:val="0074697A"/>
    <w:rsid w:val="00750749"/>
    <w:rsid w:val="00752621"/>
    <w:rsid w:val="00752991"/>
    <w:rsid w:val="00752A2C"/>
    <w:rsid w:val="007538C6"/>
    <w:rsid w:val="0075677E"/>
    <w:rsid w:val="00760C28"/>
    <w:rsid w:val="0076134A"/>
    <w:rsid w:val="007634DD"/>
    <w:rsid w:val="00763848"/>
    <w:rsid w:val="00764564"/>
    <w:rsid w:val="007679A2"/>
    <w:rsid w:val="007726A3"/>
    <w:rsid w:val="0077427C"/>
    <w:rsid w:val="00774D26"/>
    <w:rsid w:val="00774F7E"/>
    <w:rsid w:val="007759E4"/>
    <w:rsid w:val="00780DCC"/>
    <w:rsid w:val="00782AE5"/>
    <w:rsid w:val="00783950"/>
    <w:rsid w:val="007935BE"/>
    <w:rsid w:val="00793A87"/>
    <w:rsid w:val="00793C4C"/>
    <w:rsid w:val="00795E3A"/>
    <w:rsid w:val="007A457B"/>
    <w:rsid w:val="007A46D9"/>
    <w:rsid w:val="007A7BB5"/>
    <w:rsid w:val="007A7D7A"/>
    <w:rsid w:val="007A7F79"/>
    <w:rsid w:val="007B3367"/>
    <w:rsid w:val="007B68AD"/>
    <w:rsid w:val="007C43EB"/>
    <w:rsid w:val="007C51F8"/>
    <w:rsid w:val="007C5318"/>
    <w:rsid w:val="007C6D1F"/>
    <w:rsid w:val="007C7077"/>
    <w:rsid w:val="007D0DAF"/>
    <w:rsid w:val="007D0FB8"/>
    <w:rsid w:val="007D5408"/>
    <w:rsid w:val="007E2535"/>
    <w:rsid w:val="007E770F"/>
    <w:rsid w:val="007F1658"/>
    <w:rsid w:val="007F27B2"/>
    <w:rsid w:val="007F73C7"/>
    <w:rsid w:val="00801AED"/>
    <w:rsid w:val="00801C3E"/>
    <w:rsid w:val="0080237F"/>
    <w:rsid w:val="00804268"/>
    <w:rsid w:val="00804545"/>
    <w:rsid w:val="0080498E"/>
    <w:rsid w:val="008065E5"/>
    <w:rsid w:val="0081167F"/>
    <w:rsid w:val="008148F4"/>
    <w:rsid w:val="00815619"/>
    <w:rsid w:val="00816C59"/>
    <w:rsid w:val="00817A17"/>
    <w:rsid w:val="00820031"/>
    <w:rsid w:val="0082131D"/>
    <w:rsid w:val="008237E2"/>
    <w:rsid w:val="008245F2"/>
    <w:rsid w:val="0082722E"/>
    <w:rsid w:val="00831FC9"/>
    <w:rsid w:val="00833B22"/>
    <w:rsid w:val="0083405D"/>
    <w:rsid w:val="00834BB7"/>
    <w:rsid w:val="00836A6C"/>
    <w:rsid w:val="00836BCF"/>
    <w:rsid w:val="008409B8"/>
    <w:rsid w:val="00841CAC"/>
    <w:rsid w:val="00841D04"/>
    <w:rsid w:val="00841F4D"/>
    <w:rsid w:val="00843F39"/>
    <w:rsid w:val="00845193"/>
    <w:rsid w:val="008454F4"/>
    <w:rsid w:val="00845693"/>
    <w:rsid w:val="00845D31"/>
    <w:rsid w:val="0084608F"/>
    <w:rsid w:val="00850BCE"/>
    <w:rsid w:val="00851602"/>
    <w:rsid w:val="00854C22"/>
    <w:rsid w:val="008570E1"/>
    <w:rsid w:val="00857654"/>
    <w:rsid w:val="008610DA"/>
    <w:rsid w:val="008657D3"/>
    <w:rsid w:val="0086587F"/>
    <w:rsid w:val="00866BF5"/>
    <w:rsid w:val="0087170F"/>
    <w:rsid w:val="00872B9B"/>
    <w:rsid w:val="008750AC"/>
    <w:rsid w:val="008766DC"/>
    <w:rsid w:val="00876A09"/>
    <w:rsid w:val="00880BAC"/>
    <w:rsid w:val="008828CE"/>
    <w:rsid w:val="00883BA0"/>
    <w:rsid w:val="00884F34"/>
    <w:rsid w:val="008869AF"/>
    <w:rsid w:val="00887157"/>
    <w:rsid w:val="0089057C"/>
    <w:rsid w:val="00890630"/>
    <w:rsid w:val="00891AF4"/>
    <w:rsid w:val="00891BF0"/>
    <w:rsid w:val="00894048"/>
    <w:rsid w:val="00895EF0"/>
    <w:rsid w:val="00896DEA"/>
    <w:rsid w:val="008A0EC5"/>
    <w:rsid w:val="008A1EF8"/>
    <w:rsid w:val="008A2968"/>
    <w:rsid w:val="008A45E3"/>
    <w:rsid w:val="008A6B31"/>
    <w:rsid w:val="008B20AB"/>
    <w:rsid w:val="008B3080"/>
    <w:rsid w:val="008B6E4A"/>
    <w:rsid w:val="008B7651"/>
    <w:rsid w:val="008C0B31"/>
    <w:rsid w:val="008C1D65"/>
    <w:rsid w:val="008C1DFE"/>
    <w:rsid w:val="008C2899"/>
    <w:rsid w:val="008C28A6"/>
    <w:rsid w:val="008C2DDC"/>
    <w:rsid w:val="008C6AE9"/>
    <w:rsid w:val="008C7A82"/>
    <w:rsid w:val="008D1A92"/>
    <w:rsid w:val="008D2E3F"/>
    <w:rsid w:val="008D2E84"/>
    <w:rsid w:val="008D462D"/>
    <w:rsid w:val="008D6B89"/>
    <w:rsid w:val="008E1021"/>
    <w:rsid w:val="008E12C5"/>
    <w:rsid w:val="008E1868"/>
    <w:rsid w:val="008E3247"/>
    <w:rsid w:val="008E445C"/>
    <w:rsid w:val="008F0055"/>
    <w:rsid w:val="008F11EA"/>
    <w:rsid w:val="008F1406"/>
    <w:rsid w:val="008F4DFF"/>
    <w:rsid w:val="008F7BDB"/>
    <w:rsid w:val="009002BF"/>
    <w:rsid w:val="00901070"/>
    <w:rsid w:val="00902355"/>
    <w:rsid w:val="00910374"/>
    <w:rsid w:val="0091092C"/>
    <w:rsid w:val="00912FA2"/>
    <w:rsid w:val="00913D65"/>
    <w:rsid w:val="009156D7"/>
    <w:rsid w:val="0091586F"/>
    <w:rsid w:val="00916053"/>
    <w:rsid w:val="0091788C"/>
    <w:rsid w:val="0092255B"/>
    <w:rsid w:val="0092388D"/>
    <w:rsid w:val="009253AB"/>
    <w:rsid w:val="009259BC"/>
    <w:rsid w:val="00930D49"/>
    <w:rsid w:val="00934994"/>
    <w:rsid w:val="00935275"/>
    <w:rsid w:val="009356E6"/>
    <w:rsid w:val="00937E61"/>
    <w:rsid w:val="00941218"/>
    <w:rsid w:val="00941A0C"/>
    <w:rsid w:val="00942C39"/>
    <w:rsid w:val="00942DA2"/>
    <w:rsid w:val="00942DF2"/>
    <w:rsid w:val="00942E84"/>
    <w:rsid w:val="00944829"/>
    <w:rsid w:val="00945D81"/>
    <w:rsid w:val="00950CEA"/>
    <w:rsid w:val="00950DE3"/>
    <w:rsid w:val="00952056"/>
    <w:rsid w:val="00954D69"/>
    <w:rsid w:val="00955711"/>
    <w:rsid w:val="009563BB"/>
    <w:rsid w:val="0095660B"/>
    <w:rsid w:val="009567BB"/>
    <w:rsid w:val="00956899"/>
    <w:rsid w:val="00957494"/>
    <w:rsid w:val="009578D8"/>
    <w:rsid w:val="00957E7E"/>
    <w:rsid w:val="0096283A"/>
    <w:rsid w:val="00963FA0"/>
    <w:rsid w:val="009641FC"/>
    <w:rsid w:val="009654C2"/>
    <w:rsid w:val="00966D74"/>
    <w:rsid w:val="00972437"/>
    <w:rsid w:val="00972F90"/>
    <w:rsid w:val="00975D40"/>
    <w:rsid w:val="00977ADE"/>
    <w:rsid w:val="00981E58"/>
    <w:rsid w:val="00983429"/>
    <w:rsid w:val="00983DFA"/>
    <w:rsid w:val="009840D2"/>
    <w:rsid w:val="009921FC"/>
    <w:rsid w:val="00993B16"/>
    <w:rsid w:val="00994696"/>
    <w:rsid w:val="00994C3F"/>
    <w:rsid w:val="00997072"/>
    <w:rsid w:val="00997346"/>
    <w:rsid w:val="009A0088"/>
    <w:rsid w:val="009A0310"/>
    <w:rsid w:val="009A0AC7"/>
    <w:rsid w:val="009A1EBC"/>
    <w:rsid w:val="009A21EB"/>
    <w:rsid w:val="009A2E0D"/>
    <w:rsid w:val="009A3E9E"/>
    <w:rsid w:val="009A5C1C"/>
    <w:rsid w:val="009A5FC1"/>
    <w:rsid w:val="009B1510"/>
    <w:rsid w:val="009B2606"/>
    <w:rsid w:val="009B2AFA"/>
    <w:rsid w:val="009B2C86"/>
    <w:rsid w:val="009B5C4C"/>
    <w:rsid w:val="009B7FF6"/>
    <w:rsid w:val="009C5C2D"/>
    <w:rsid w:val="009D1C3E"/>
    <w:rsid w:val="009D207E"/>
    <w:rsid w:val="009D27BC"/>
    <w:rsid w:val="009D2E7E"/>
    <w:rsid w:val="009D43BF"/>
    <w:rsid w:val="009E01FF"/>
    <w:rsid w:val="009E0A56"/>
    <w:rsid w:val="009E1F15"/>
    <w:rsid w:val="009E2D59"/>
    <w:rsid w:val="009E5A62"/>
    <w:rsid w:val="009F26FB"/>
    <w:rsid w:val="009F2ED9"/>
    <w:rsid w:val="009F46F1"/>
    <w:rsid w:val="009F552A"/>
    <w:rsid w:val="009F7106"/>
    <w:rsid w:val="00A011BF"/>
    <w:rsid w:val="00A01EEE"/>
    <w:rsid w:val="00A02B11"/>
    <w:rsid w:val="00A02F8D"/>
    <w:rsid w:val="00A04647"/>
    <w:rsid w:val="00A11BEB"/>
    <w:rsid w:val="00A1240C"/>
    <w:rsid w:val="00A15E9E"/>
    <w:rsid w:val="00A17ABC"/>
    <w:rsid w:val="00A23BE1"/>
    <w:rsid w:val="00A23C89"/>
    <w:rsid w:val="00A24014"/>
    <w:rsid w:val="00A24405"/>
    <w:rsid w:val="00A24D62"/>
    <w:rsid w:val="00A25650"/>
    <w:rsid w:val="00A26C31"/>
    <w:rsid w:val="00A27A71"/>
    <w:rsid w:val="00A33D31"/>
    <w:rsid w:val="00A34E48"/>
    <w:rsid w:val="00A4253F"/>
    <w:rsid w:val="00A43917"/>
    <w:rsid w:val="00A4521F"/>
    <w:rsid w:val="00A459AA"/>
    <w:rsid w:val="00A47E06"/>
    <w:rsid w:val="00A5126A"/>
    <w:rsid w:val="00A51368"/>
    <w:rsid w:val="00A52E3A"/>
    <w:rsid w:val="00A534CC"/>
    <w:rsid w:val="00A537A5"/>
    <w:rsid w:val="00A543E3"/>
    <w:rsid w:val="00A5476B"/>
    <w:rsid w:val="00A56970"/>
    <w:rsid w:val="00A60584"/>
    <w:rsid w:val="00A60F08"/>
    <w:rsid w:val="00A61B7A"/>
    <w:rsid w:val="00A61D4F"/>
    <w:rsid w:val="00A65873"/>
    <w:rsid w:val="00A739F4"/>
    <w:rsid w:val="00A7775D"/>
    <w:rsid w:val="00A77AC8"/>
    <w:rsid w:val="00A82B38"/>
    <w:rsid w:val="00A84235"/>
    <w:rsid w:val="00A84F8A"/>
    <w:rsid w:val="00A86225"/>
    <w:rsid w:val="00A86380"/>
    <w:rsid w:val="00A8676E"/>
    <w:rsid w:val="00A87800"/>
    <w:rsid w:val="00A90821"/>
    <w:rsid w:val="00A90A64"/>
    <w:rsid w:val="00A939D1"/>
    <w:rsid w:val="00A95B6E"/>
    <w:rsid w:val="00A973CF"/>
    <w:rsid w:val="00AA1572"/>
    <w:rsid w:val="00AA2245"/>
    <w:rsid w:val="00AA2537"/>
    <w:rsid w:val="00AA2663"/>
    <w:rsid w:val="00AA2BAF"/>
    <w:rsid w:val="00AA2D61"/>
    <w:rsid w:val="00AA44E2"/>
    <w:rsid w:val="00AA5343"/>
    <w:rsid w:val="00AA6CEB"/>
    <w:rsid w:val="00AA79C8"/>
    <w:rsid w:val="00AB1287"/>
    <w:rsid w:val="00AB14EF"/>
    <w:rsid w:val="00AB1796"/>
    <w:rsid w:val="00AB57CA"/>
    <w:rsid w:val="00AC0E34"/>
    <w:rsid w:val="00AC1D6E"/>
    <w:rsid w:val="00AC3C87"/>
    <w:rsid w:val="00AC4400"/>
    <w:rsid w:val="00AD198B"/>
    <w:rsid w:val="00AD2744"/>
    <w:rsid w:val="00AD502A"/>
    <w:rsid w:val="00AE623A"/>
    <w:rsid w:val="00AF1612"/>
    <w:rsid w:val="00AF4366"/>
    <w:rsid w:val="00AF5B4F"/>
    <w:rsid w:val="00AF5CF4"/>
    <w:rsid w:val="00AF74F1"/>
    <w:rsid w:val="00AF7704"/>
    <w:rsid w:val="00B00C62"/>
    <w:rsid w:val="00B0115A"/>
    <w:rsid w:val="00B02BF4"/>
    <w:rsid w:val="00B04239"/>
    <w:rsid w:val="00B04523"/>
    <w:rsid w:val="00B102F6"/>
    <w:rsid w:val="00B1183A"/>
    <w:rsid w:val="00B124EC"/>
    <w:rsid w:val="00B137F5"/>
    <w:rsid w:val="00B17E03"/>
    <w:rsid w:val="00B20702"/>
    <w:rsid w:val="00B21D70"/>
    <w:rsid w:val="00B23027"/>
    <w:rsid w:val="00B234CC"/>
    <w:rsid w:val="00B25F52"/>
    <w:rsid w:val="00B26196"/>
    <w:rsid w:val="00B3122E"/>
    <w:rsid w:val="00B32853"/>
    <w:rsid w:val="00B3391C"/>
    <w:rsid w:val="00B354DC"/>
    <w:rsid w:val="00B36273"/>
    <w:rsid w:val="00B37989"/>
    <w:rsid w:val="00B4011B"/>
    <w:rsid w:val="00B41294"/>
    <w:rsid w:val="00B41604"/>
    <w:rsid w:val="00B41A29"/>
    <w:rsid w:val="00B4288F"/>
    <w:rsid w:val="00B445CF"/>
    <w:rsid w:val="00B44E4B"/>
    <w:rsid w:val="00B477E2"/>
    <w:rsid w:val="00B47888"/>
    <w:rsid w:val="00B51291"/>
    <w:rsid w:val="00B60D5F"/>
    <w:rsid w:val="00B62C17"/>
    <w:rsid w:val="00B65E6A"/>
    <w:rsid w:val="00B66999"/>
    <w:rsid w:val="00B676D5"/>
    <w:rsid w:val="00B678B0"/>
    <w:rsid w:val="00B714E5"/>
    <w:rsid w:val="00B7228D"/>
    <w:rsid w:val="00B72920"/>
    <w:rsid w:val="00B72BD8"/>
    <w:rsid w:val="00B73413"/>
    <w:rsid w:val="00B73FA7"/>
    <w:rsid w:val="00B81578"/>
    <w:rsid w:val="00B81B11"/>
    <w:rsid w:val="00B84EE7"/>
    <w:rsid w:val="00B86EF3"/>
    <w:rsid w:val="00B87E1A"/>
    <w:rsid w:val="00B90566"/>
    <w:rsid w:val="00B91B05"/>
    <w:rsid w:val="00B93B56"/>
    <w:rsid w:val="00B93DDA"/>
    <w:rsid w:val="00B9768C"/>
    <w:rsid w:val="00BA0720"/>
    <w:rsid w:val="00BA1E65"/>
    <w:rsid w:val="00BA4E82"/>
    <w:rsid w:val="00BA5763"/>
    <w:rsid w:val="00BA5E15"/>
    <w:rsid w:val="00BB1DCD"/>
    <w:rsid w:val="00BB37CA"/>
    <w:rsid w:val="00BB4F38"/>
    <w:rsid w:val="00BB70FC"/>
    <w:rsid w:val="00BC0402"/>
    <w:rsid w:val="00BC08CF"/>
    <w:rsid w:val="00BC1119"/>
    <w:rsid w:val="00BC15A6"/>
    <w:rsid w:val="00BC423C"/>
    <w:rsid w:val="00BC4E79"/>
    <w:rsid w:val="00BC5510"/>
    <w:rsid w:val="00BC64A1"/>
    <w:rsid w:val="00BC6C0A"/>
    <w:rsid w:val="00BC7522"/>
    <w:rsid w:val="00BC7DD7"/>
    <w:rsid w:val="00BD0DA9"/>
    <w:rsid w:val="00BD1D05"/>
    <w:rsid w:val="00BD247F"/>
    <w:rsid w:val="00BD331C"/>
    <w:rsid w:val="00BD5F2C"/>
    <w:rsid w:val="00BE070B"/>
    <w:rsid w:val="00BE2424"/>
    <w:rsid w:val="00BE26DF"/>
    <w:rsid w:val="00BE3D03"/>
    <w:rsid w:val="00BE4DC0"/>
    <w:rsid w:val="00BE6A92"/>
    <w:rsid w:val="00BE6BAB"/>
    <w:rsid w:val="00BE7A80"/>
    <w:rsid w:val="00BF0460"/>
    <w:rsid w:val="00BF14E2"/>
    <w:rsid w:val="00BF170F"/>
    <w:rsid w:val="00BF3F5D"/>
    <w:rsid w:val="00BF5C16"/>
    <w:rsid w:val="00BF611A"/>
    <w:rsid w:val="00BF658B"/>
    <w:rsid w:val="00BF6D07"/>
    <w:rsid w:val="00BF7BEF"/>
    <w:rsid w:val="00C00CA5"/>
    <w:rsid w:val="00C01F27"/>
    <w:rsid w:val="00C02E92"/>
    <w:rsid w:val="00C05883"/>
    <w:rsid w:val="00C05B3C"/>
    <w:rsid w:val="00C06379"/>
    <w:rsid w:val="00C0669C"/>
    <w:rsid w:val="00C06ADC"/>
    <w:rsid w:val="00C10351"/>
    <w:rsid w:val="00C1158B"/>
    <w:rsid w:val="00C11C81"/>
    <w:rsid w:val="00C11DA5"/>
    <w:rsid w:val="00C1221E"/>
    <w:rsid w:val="00C136EB"/>
    <w:rsid w:val="00C14C5A"/>
    <w:rsid w:val="00C17CE3"/>
    <w:rsid w:val="00C21C80"/>
    <w:rsid w:val="00C236A9"/>
    <w:rsid w:val="00C23FAB"/>
    <w:rsid w:val="00C25FC5"/>
    <w:rsid w:val="00C26012"/>
    <w:rsid w:val="00C27D47"/>
    <w:rsid w:val="00C3091F"/>
    <w:rsid w:val="00C320EE"/>
    <w:rsid w:val="00C3376E"/>
    <w:rsid w:val="00C346B7"/>
    <w:rsid w:val="00C35964"/>
    <w:rsid w:val="00C36572"/>
    <w:rsid w:val="00C40A1D"/>
    <w:rsid w:val="00C450CD"/>
    <w:rsid w:val="00C4561B"/>
    <w:rsid w:val="00C45FA3"/>
    <w:rsid w:val="00C468E0"/>
    <w:rsid w:val="00C46FE9"/>
    <w:rsid w:val="00C4739C"/>
    <w:rsid w:val="00C476D1"/>
    <w:rsid w:val="00C5028D"/>
    <w:rsid w:val="00C50FA9"/>
    <w:rsid w:val="00C56287"/>
    <w:rsid w:val="00C56ABD"/>
    <w:rsid w:val="00C57A2B"/>
    <w:rsid w:val="00C633E3"/>
    <w:rsid w:val="00C655AE"/>
    <w:rsid w:val="00C656CE"/>
    <w:rsid w:val="00C667EA"/>
    <w:rsid w:val="00C70799"/>
    <w:rsid w:val="00C72899"/>
    <w:rsid w:val="00C75A28"/>
    <w:rsid w:val="00C75FE9"/>
    <w:rsid w:val="00C80883"/>
    <w:rsid w:val="00C80A9D"/>
    <w:rsid w:val="00C83E37"/>
    <w:rsid w:val="00C876C3"/>
    <w:rsid w:val="00C878AC"/>
    <w:rsid w:val="00C93F30"/>
    <w:rsid w:val="00CA0083"/>
    <w:rsid w:val="00CA19C8"/>
    <w:rsid w:val="00CA21CF"/>
    <w:rsid w:val="00CA3634"/>
    <w:rsid w:val="00CA4505"/>
    <w:rsid w:val="00CA6973"/>
    <w:rsid w:val="00CA6C40"/>
    <w:rsid w:val="00CB0080"/>
    <w:rsid w:val="00CB1ADD"/>
    <w:rsid w:val="00CB3406"/>
    <w:rsid w:val="00CB50A6"/>
    <w:rsid w:val="00CC0FB8"/>
    <w:rsid w:val="00CC3119"/>
    <w:rsid w:val="00CC344A"/>
    <w:rsid w:val="00CC46CF"/>
    <w:rsid w:val="00CC66D7"/>
    <w:rsid w:val="00CD043B"/>
    <w:rsid w:val="00CD124B"/>
    <w:rsid w:val="00CD1253"/>
    <w:rsid w:val="00CD6F99"/>
    <w:rsid w:val="00CE1150"/>
    <w:rsid w:val="00CE27B7"/>
    <w:rsid w:val="00CE458B"/>
    <w:rsid w:val="00CE5342"/>
    <w:rsid w:val="00CE6E3D"/>
    <w:rsid w:val="00CE71A5"/>
    <w:rsid w:val="00CF00BC"/>
    <w:rsid w:val="00CF2628"/>
    <w:rsid w:val="00CF50A9"/>
    <w:rsid w:val="00CF6B55"/>
    <w:rsid w:val="00D010FF"/>
    <w:rsid w:val="00D05A5B"/>
    <w:rsid w:val="00D06570"/>
    <w:rsid w:val="00D101DB"/>
    <w:rsid w:val="00D10CB7"/>
    <w:rsid w:val="00D11627"/>
    <w:rsid w:val="00D1165F"/>
    <w:rsid w:val="00D11EA8"/>
    <w:rsid w:val="00D1234E"/>
    <w:rsid w:val="00D12421"/>
    <w:rsid w:val="00D14DEA"/>
    <w:rsid w:val="00D16E18"/>
    <w:rsid w:val="00D16FDB"/>
    <w:rsid w:val="00D17481"/>
    <w:rsid w:val="00D17813"/>
    <w:rsid w:val="00D22B8F"/>
    <w:rsid w:val="00D25606"/>
    <w:rsid w:val="00D2660E"/>
    <w:rsid w:val="00D26626"/>
    <w:rsid w:val="00D27384"/>
    <w:rsid w:val="00D30D37"/>
    <w:rsid w:val="00D30F25"/>
    <w:rsid w:val="00D30FB1"/>
    <w:rsid w:val="00D33687"/>
    <w:rsid w:val="00D34775"/>
    <w:rsid w:val="00D34BC9"/>
    <w:rsid w:val="00D34D63"/>
    <w:rsid w:val="00D41BC2"/>
    <w:rsid w:val="00D42E5E"/>
    <w:rsid w:val="00D45858"/>
    <w:rsid w:val="00D460D4"/>
    <w:rsid w:val="00D468BD"/>
    <w:rsid w:val="00D5094C"/>
    <w:rsid w:val="00D52D04"/>
    <w:rsid w:val="00D52F07"/>
    <w:rsid w:val="00D557F3"/>
    <w:rsid w:val="00D55C52"/>
    <w:rsid w:val="00D571D8"/>
    <w:rsid w:val="00D60C29"/>
    <w:rsid w:val="00D62A7E"/>
    <w:rsid w:val="00D641D8"/>
    <w:rsid w:val="00D657FD"/>
    <w:rsid w:val="00D65D16"/>
    <w:rsid w:val="00D7085B"/>
    <w:rsid w:val="00D71142"/>
    <w:rsid w:val="00D71AD2"/>
    <w:rsid w:val="00D7288F"/>
    <w:rsid w:val="00D736A4"/>
    <w:rsid w:val="00D74D69"/>
    <w:rsid w:val="00D750C1"/>
    <w:rsid w:val="00D776E9"/>
    <w:rsid w:val="00D8108C"/>
    <w:rsid w:val="00D82C6F"/>
    <w:rsid w:val="00D83011"/>
    <w:rsid w:val="00D90B9A"/>
    <w:rsid w:val="00D91B0B"/>
    <w:rsid w:val="00D94A5C"/>
    <w:rsid w:val="00D94C3C"/>
    <w:rsid w:val="00D963C3"/>
    <w:rsid w:val="00D965B1"/>
    <w:rsid w:val="00D970B3"/>
    <w:rsid w:val="00D97F9B"/>
    <w:rsid w:val="00DA0163"/>
    <w:rsid w:val="00DA1FFE"/>
    <w:rsid w:val="00DA20AF"/>
    <w:rsid w:val="00DA21E3"/>
    <w:rsid w:val="00DA3AF4"/>
    <w:rsid w:val="00DA4754"/>
    <w:rsid w:val="00DA6712"/>
    <w:rsid w:val="00DA6943"/>
    <w:rsid w:val="00DA7831"/>
    <w:rsid w:val="00DA7E60"/>
    <w:rsid w:val="00DB21E3"/>
    <w:rsid w:val="00DB2FCD"/>
    <w:rsid w:val="00DB31D8"/>
    <w:rsid w:val="00DB4572"/>
    <w:rsid w:val="00DB4D29"/>
    <w:rsid w:val="00DB4F79"/>
    <w:rsid w:val="00DB5180"/>
    <w:rsid w:val="00DB6F1A"/>
    <w:rsid w:val="00DC31D5"/>
    <w:rsid w:val="00DC6134"/>
    <w:rsid w:val="00DC6309"/>
    <w:rsid w:val="00DD0F3D"/>
    <w:rsid w:val="00DD0F7E"/>
    <w:rsid w:val="00DD4049"/>
    <w:rsid w:val="00DD5373"/>
    <w:rsid w:val="00DD544D"/>
    <w:rsid w:val="00DD5FF9"/>
    <w:rsid w:val="00DD60EA"/>
    <w:rsid w:val="00DD7970"/>
    <w:rsid w:val="00DE10B1"/>
    <w:rsid w:val="00DE14C3"/>
    <w:rsid w:val="00DE2302"/>
    <w:rsid w:val="00DE4095"/>
    <w:rsid w:val="00DE4E4F"/>
    <w:rsid w:val="00DE55BC"/>
    <w:rsid w:val="00DE588D"/>
    <w:rsid w:val="00DF1F7F"/>
    <w:rsid w:val="00DF3DC9"/>
    <w:rsid w:val="00DF4EBD"/>
    <w:rsid w:val="00DF68B9"/>
    <w:rsid w:val="00E00120"/>
    <w:rsid w:val="00E00557"/>
    <w:rsid w:val="00E008E1"/>
    <w:rsid w:val="00E0153E"/>
    <w:rsid w:val="00E023F8"/>
    <w:rsid w:val="00E04B04"/>
    <w:rsid w:val="00E0514C"/>
    <w:rsid w:val="00E05307"/>
    <w:rsid w:val="00E0580B"/>
    <w:rsid w:val="00E11986"/>
    <w:rsid w:val="00E13C61"/>
    <w:rsid w:val="00E209F5"/>
    <w:rsid w:val="00E22934"/>
    <w:rsid w:val="00E23A15"/>
    <w:rsid w:val="00E23CB8"/>
    <w:rsid w:val="00E248AE"/>
    <w:rsid w:val="00E30371"/>
    <w:rsid w:val="00E317BD"/>
    <w:rsid w:val="00E32F49"/>
    <w:rsid w:val="00E4085A"/>
    <w:rsid w:val="00E40E63"/>
    <w:rsid w:val="00E440F3"/>
    <w:rsid w:val="00E4560A"/>
    <w:rsid w:val="00E456AE"/>
    <w:rsid w:val="00E464D7"/>
    <w:rsid w:val="00E47E0B"/>
    <w:rsid w:val="00E51C15"/>
    <w:rsid w:val="00E52EA8"/>
    <w:rsid w:val="00E53023"/>
    <w:rsid w:val="00E54B5A"/>
    <w:rsid w:val="00E554FC"/>
    <w:rsid w:val="00E572E3"/>
    <w:rsid w:val="00E57AE5"/>
    <w:rsid w:val="00E57BD2"/>
    <w:rsid w:val="00E60C55"/>
    <w:rsid w:val="00E613A8"/>
    <w:rsid w:val="00E615E6"/>
    <w:rsid w:val="00E62AEA"/>
    <w:rsid w:val="00E632F4"/>
    <w:rsid w:val="00E67577"/>
    <w:rsid w:val="00E67F42"/>
    <w:rsid w:val="00E72786"/>
    <w:rsid w:val="00E72DB3"/>
    <w:rsid w:val="00E760A1"/>
    <w:rsid w:val="00E810A2"/>
    <w:rsid w:val="00E8292E"/>
    <w:rsid w:val="00E82CA6"/>
    <w:rsid w:val="00E82F73"/>
    <w:rsid w:val="00E83C09"/>
    <w:rsid w:val="00E84945"/>
    <w:rsid w:val="00E872E9"/>
    <w:rsid w:val="00E90D3B"/>
    <w:rsid w:val="00E92ACB"/>
    <w:rsid w:val="00E94928"/>
    <w:rsid w:val="00E9530E"/>
    <w:rsid w:val="00E96D6B"/>
    <w:rsid w:val="00E97033"/>
    <w:rsid w:val="00EA2589"/>
    <w:rsid w:val="00EA2DB1"/>
    <w:rsid w:val="00EA54EC"/>
    <w:rsid w:val="00EA5BD6"/>
    <w:rsid w:val="00EB0ACE"/>
    <w:rsid w:val="00EB299C"/>
    <w:rsid w:val="00EB4EED"/>
    <w:rsid w:val="00EB5880"/>
    <w:rsid w:val="00EB7723"/>
    <w:rsid w:val="00EC07BE"/>
    <w:rsid w:val="00EC082C"/>
    <w:rsid w:val="00EC1BDA"/>
    <w:rsid w:val="00EC23BD"/>
    <w:rsid w:val="00EC4916"/>
    <w:rsid w:val="00EC4C60"/>
    <w:rsid w:val="00EC508C"/>
    <w:rsid w:val="00EC6F89"/>
    <w:rsid w:val="00EC7C32"/>
    <w:rsid w:val="00EC7D83"/>
    <w:rsid w:val="00ED0105"/>
    <w:rsid w:val="00ED0459"/>
    <w:rsid w:val="00ED264B"/>
    <w:rsid w:val="00ED2A7E"/>
    <w:rsid w:val="00ED3339"/>
    <w:rsid w:val="00ED42DA"/>
    <w:rsid w:val="00ED5774"/>
    <w:rsid w:val="00ED67E5"/>
    <w:rsid w:val="00EE02AD"/>
    <w:rsid w:val="00EE1737"/>
    <w:rsid w:val="00EE38BB"/>
    <w:rsid w:val="00EE4890"/>
    <w:rsid w:val="00EF042F"/>
    <w:rsid w:val="00EF0802"/>
    <w:rsid w:val="00EF1D7F"/>
    <w:rsid w:val="00EF3255"/>
    <w:rsid w:val="00EF547A"/>
    <w:rsid w:val="00EF5D2C"/>
    <w:rsid w:val="00EF6E40"/>
    <w:rsid w:val="00F0077B"/>
    <w:rsid w:val="00F02436"/>
    <w:rsid w:val="00F05201"/>
    <w:rsid w:val="00F10D8D"/>
    <w:rsid w:val="00F11DE6"/>
    <w:rsid w:val="00F12BE2"/>
    <w:rsid w:val="00F13024"/>
    <w:rsid w:val="00F14C67"/>
    <w:rsid w:val="00F15F74"/>
    <w:rsid w:val="00F170D5"/>
    <w:rsid w:val="00F210D4"/>
    <w:rsid w:val="00F212C6"/>
    <w:rsid w:val="00F2744A"/>
    <w:rsid w:val="00F27C23"/>
    <w:rsid w:val="00F27C2C"/>
    <w:rsid w:val="00F301A5"/>
    <w:rsid w:val="00F311A4"/>
    <w:rsid w:val="00F32803"/>
    <w:rsid w:val="00F32814"/>
    <w:rsid w:val="00F34B95"/>
    <w:rsid w:val="00F34E50"/>
    <w:rsid w:val="00F34FBD"/>
    <w:rsid w:val="00F36A46"/>
    <w:rsid w:val="00F37039"/>
    <w:rsid w:val="00F37522"/>
    <w:rsid w:val="00F42025"/>
    <w:rsid w:val="00F427BA"/>
    <w:rsid w:val="00F441D5"/>
    <w:rsid w:val="00F4621B"/>
    <w:rsid w:val="00F46800"/>
    <w:rsid w:val="00F50B7A"/>
    <w:rsid w:val="00F5143F"/>
    <w:rsid w:val="00F54281"/>
    <w:rsid w:val="00F57D88"/>
    <w:rsid w:val="00F64428"/>
    <w:rsid w:val="00F64440"/>
    <w:rsid w:val="00F64DAD"/>
    <w:rsid w:val="00F656FD"/>
    <w:rsid w:val="00F66D1A"/>
    <w:rsid w:val="00F70389"/>
    <w:rsid w:val="00F730F0"/>
    <w:rsid w:val="00F746F6"/>
    <w:rsid w:val="00F749F2"/>
    <w:rsid w:val="00F75F7B"/>
    <w:rsid w:val="00F7768F"/>
    <w:rsid w:val="00F777F9"/>
    <w:rsid w:val="00F81195"/>
    <w:rsid w:val="00F82990"/>
    <w:rsid w:val="00F855A9"/>
    <w:rsid w:val="00F8700E"/>
    <w:rsid w:val="00F873BD"/>
    <w:rsid w:val="00F901D1"/>
    <w:rsid w:val="00F9137F"/>
    <w:rsid w:val="00F93326"/>
    <w:rsid w:val="00F93BBE"/>
    <w:rsid w:val="00F94AD8"/>
    <w:rsid w:val="00F9549C"/>
    <w:rsid w:val="00F96592"/>
    <w:rsid w:val="00F96FD5"/>
    <w:rsid w:val="00FA0395"/>
    <w:rsid w:val="00FA4A10"/>
    <w:rsid w:val="00FA68D1"/>
    <w:rsid w:val="00FB111F"/>
    <w:rsid w:val="00FB42F4"/>
    <w:rsid w:val="00FB50B3"/>
    <w:rsid w:val="00FB5389"/>
    <w:rsid w:val="00FB624D"/>
    <w:rsid w:val="00FB78F2"/>
    <w:rsid w:val="00FC42FD"/>
    <w:rsid w:val="00FC52C0"/>
    <w:rsid w:val="00FC59A5"/>
    <w:rsid w:val="00FC624B"/>
    <w:rsid w:val="00FC70F5"/>
    <w:rsid w:val="00FC7F0F"/>
    <w:rsid w:val="00FD1FFC"/>
    <w:rsid w:val="00FD22E8"/>
    <w:rsid w:val="00FD58AF"/>
    <w:rsid w:val="00FE15BF"/>
    <w:rsid w:val="00FE2C37"/>
    <w:rsid w:val="00FE5120"/>
    <w:rsid w:val="00FE6EC7"/>
    <w:rsid w:val="00FE7099"/>
    <w:rsid w:val="00FF1ED1"/>
    <w:rsid w:val="00FF2685"/>
    <w:rsid w:val="00FF5C78"/>
    <w:rsid w:val="00FF5D4F"/>
    <w:rsid w:val="00FF6327"/>
    <w:rsid w:val="00FF697E"/>
    <w:rsid w:val="00FF736F"/>
    <w:rsid w:val="03AA31F4"/>
    <w:rsid w:val="056A8A34"/>
    <w:rsid w:val="056CFE1F"/>
    <w:rsid w:val="059757A1"/>
    <w:rsid w:val="060AC299"/>
    <w:rsid w:val="085C0683"/>
    <w:rsid w:val="089514A9"/>
    <w:rsid w:val="091738A1"/>
    <w:rsid w:val="0B8A803C"/>
    <w:rsid w:val="0C61DBCD"/>
    <w:rsid w:val="1877D25E"/>
    <w:rsid w:val="1B4C05D6"/>
    <w:rsid w:val="1DCE49CD"/>
    <w:rsid w:val="25FDE93B"/>
    <w:rsid w:val="262994BA"/>
    <w:rsid w:val="28E3C3EB"/>
    <w:rsid w:val="28F20C86"/>
    <w:rsid w:val="2967834D"/>
    <w:rsid w:val="2D11607C"/>
    <w:rsid w:val="2D8A4C7B"/>
    <w:rsid w:val="2FE5B129"/>
    <w:rsid w:val="306F4EFB"/>
    <w:rsid w:val="35061B95"/>
    <w:rsid w:val="3589FD65"/>
    <w:rsid w:val="362BE7C3"/>
    <w:rsid w:val="39D9F79B"/>
    <w:rsid w:val="3C549563"/>
    <w:rsid w:val="3C9DA594"/>
    <w:rsid w:val="3EC8C5BC"/>
    <w:rsid w:val="3FF7FFA7"/>
    <w:rsid w:val="4258A502"/>
    <w:rsid w:val="4314691F"/>
    <w:rsid w:val="44AF7C71"/>
    <w:rsid w:val="4588E12A"/>
    <w:rsid w:val="45C17C59"/>
    <w:rsid w:val="46979316"/>
    <w:rsid w:val="47219E05"/>
    <w:rsid w:val="4A1C8F0C"/>
    <w:rsid w:val="4A41D649"/>
    <w:rsid w:val="4E89E2DF"/>
    <w:rsid w:val="4F56A203"/>
    <w:rsid w:val="4FA5D49F"/>
    <w:rsid w:val="4FD81618"/>
    <w:rsid w:val="502A7965"/>
    <w:rsid w:val="51816880"/>
    <w:rsid w:val="54DE4EC3"/>
    <w:rsid w:val="55C3D795"/>
    <w:rsid w:val="575BAA6B"/>
    <w:rsid w:val="5862EEA3"/>
    <w:rsid w:val="59724ED5"/>
    <w:rsid w:val="5AA179E0"/>
    <w:rsid w:val="60446BBD"/>
    <w:rsid w:val="6176DF07"/>
    <w:rsid w:val="618CB9C6"/>
    <w:rsid w:val="67313BF2"/>
    <w:rsid w:val="678DDA81"/>
    <w:rsid w:val="6808A7E3"/>
    <w:rsid w:val="689526B2"/>
    <w:rsid w:val="6990A53D"/>
    <w:rsid w:val="6DC77FBA"/>
    <w:rsid w:val="7024A7D7"/>
    <w:rsid w:val="7178ACE7"/>
    <w:rsid w:val="7491DC06"/>
    <w:rsid w:val="74D94A3F"/>
    <w:rsid w:val="77828D96"/>
    <w:rsid w:val="77BFE2E2"/>
    <w:rsid w:val="7F907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paragraph" w:styleId="Heading3">
    <w:name w:val="heading 3"/>
    <w:basedOn w:val="Normal"/>
    <w:next w:val="Normal"/>
    <w:link w:val="Heading3Char"/>
    <w:uiPriority w:val="9"/>
    <w:unhideWhenUsed/>
    <w:qFormat/>
    <w:rsid w:val="005F359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Proposal 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Proposal 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Footnote Reference CH,Footnote Reference VA,Italic"/>
    <w:basedOn w:val="DefaultParagraphFont"/>
    <w:uiPriority w:val="99"/>
    <w:unhideWhenUsed/>
    <w:qFormat/>
    <w:rsid w:val="00F27C2C"/>
    <w:rPr>
      <w:vertAlign w:val="superscript"/>
    </w:rPr>
  </w:style>
  <w:style w:type="paragraph" w:styleId="ListParagraph">
    <w:name w:val="List Paragraph"/>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character" w:customStyle="1" w:styleId="Heading3Char">
    <w:name w:val="Heading 3 Char"/>
    <w:basedOn w:val="DefaultParagraphFont"/>
    <w:link w:val="Heading3"/>
    <w:uiPriority w:val="9"/>
    <w:rsid w:val="005F359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qFormat/>
    <w:rsid w:val="005F359C"/>
    <w:pPr>
      <w:widowControl w:val="0"/>
      <w:spacing w:after="120" w:line="240" w:lineRule="auto"/>
    </w:pPr>
    <w:rPr>
      <w:rFonts w:cs="Times New Roman"/>
      <w:szCs w:val="20"/>
    </w:rPr>
  </w:style>
  <w:style w:type="character" w:customStyle="1" w:styleId="BodyTextChar">
    <w:name w:val="Body Text Char"/>
    <w:basedOn w:val="DefaultParagraphFont"/>
    <w:link w:val="BodyText"/>
    <w:uiPriority w:val="99"/>
    <w:rsid w:val="005F359C"/>
    <w:rPr>
      <w:rFonts w:ascii="Times New Roman" w:hAnsi="Times New Roman" w:cs="Times New Roman"/>
      <w:sz w:val="24"/>
      <w:szCs w:val="20"/>
    </w:rPr>
  </w:style>
  <w:style w:type="character" w:customStyle="1" w:styleId="ListParagraphChar">
    <w:name w:val="List Paragraph Char"/>
    <w:link w:val="ListParagraph"/>
    <w:uiPriority w:val="34"/>
    <w:locked/>
    <w:rsid w:val="00324BD0"/>
    <w:rPr>
      <w:rFonts w:ascii="Times New Roman" w:hAnsi="Times New Roman"/>
      <w:sz w:val="24"/>
    </w:rPr>
  </w:style>
  <w:style w:type="paragraph" w:styleId="Header">
    <w:name w:val="header"/>
    <w:basedOn w:val="Normal"/>
    <w:link w:val="HeaderChar"/>
    <w:uiPriority w:val="99"/>
    <w:unhideWhenUsed/>
    <w:rsid w:val="0078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E5"/>
    <w:rPr>
      <w:rFonts w:ascii="Times New Roman" w:hAnsi="Times New Roman"/>
      <w:sz w:val="24"/>
    </w:rPr>
  </w:style>
  <w:style w:type="paragraph" w:styleId="Footer">
    <w:name w:val="footer"/>
    <w:basedOn w:val="Normal"/>
    <w:link w:val="FooterChar"/>
    <w:uiPriority w:val="99"/>
    <w:unhideWhenUsed/>
    <w:rsid w:val="0078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E5"/>
    <w:rPr>
      <w:rFonts w:ascii="Times New Roman" w:hAnsi="Times New Roman"/>
      <w:sz w:val="24"/>
    </w:rPr>
  </w:style>
  <w:style w:type="paragraph" w:styleId="Revision">
    <w:name w:val="Revision"/>
    <w:hidden/>
    <w:uiPriority w:val="99"/>
    <w:semiHidden/>
    <w:rsid w:val="004554A2"/>
    <w:pPr>
      <w:spacing w:after="0" w:line="240" w:lineRule="auto"/>
    </w:pPr>
    <w:rPr>
      <w:rFonts w:ascii="Times New Roman" w:hAnsi="Times New Roman"/>
      <w:sz w:val="24"/>
    </w:rPr>
  </w:style>
  <w:style w:type="character" w:customStyle="1" w:styleId="normaltextrun">
    <w:name w:val="normaltextrun"/>
    <w:basedOn w:val="DefaultParagraphFont"/>
    <w:rsid w:val="0058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D05D6-E6C7-4D02-99FD-7703FEC20290}">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28DEC2AA-8A48-4434-A567-F433F7136BA3}">
  <ds:schemaRefs>
    <ds:schemaRef ds:uri="http://schemas.openxmlformats.org/officeDocument/2006/bibliography"/>
  </ds:schemaRefs>
</ds:datastoreItem>
</file>

<file path=customXml/itemProps3.xml><?xml version="1.0" encoding="utf-8"?>
<ds:datastoreItem xmlns:ds="http://schemas.openxmlformats.org/officeDocument/2006/customXml" ds:itemID="{BAC920E3-AAD6-4EC2-A1B9-634B6DE28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F85FA-8D34-4C94-A0A1-F9125D9AC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5212</Words>
  <Characters>29711</Characters>
  <Application>Microsoft Office Word</Application>
  <DocSecurity>0</DocSecurity>
  <Lines>247</Lines>
  <Paragraphs>69</Paragraphs>
  <ScaleCrop>false</ScaleCrop>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 Part A</dc:title>
  <dc:creator>Roach, Callie (NHTSA)</dc:creator>
  <cp:lastModifiedBy>Weaver, Starla (NHTSA)</cp:lastModifiedBy>
  <cp:revision>6</cp:revision>
  <dcterms:created xsi:type="dcterms:W3CDTF">2026-06-18T18:01:00Z</dcterms:created>
  <dcterms:modified xsi:type="dcterms:W3CDTF">2026-06-18T18:04:00Z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docLang">
    <vt:lpwstr>en</vt:lpwstr>
  </property>
  <property fmtid="{D5CDD505-2E9C-101B-9397-08002B2CF9AE}" pid="4" name="MediaServiceImageTags">
    <vt:lpwstr/>
  </property>
</Properties>
</file>