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181A" w:rsidRPr="006E2136" w:rsidP="00F2181A" w14:paraId="05AB57D5" w14:textId="77777777">
      <w:pPr>
        <w:pStyle w:val="Title"/>
        <w:rPr>
          <w:rFonts w:ascii="Times New Roman" w:hAnsi="Times New Roman"/>
          <w:u w:val="none"/>
        </w:rPr>
      </w:pPr>
      <w:r w:rsidRPr="006E2136">
        <w:rPr>
          <w:rFonts w:ascii="Times New Roman" w:hAnsi="Times New Roman"/>
          <w:u w:val="none"/>
        </w:rPr>
        <w:t>Department of Transportation</w:t>
      </w:r>
    </w:p>
    <w:p w:rsidR="00F2181A" w:rsidRPr="006E2136" w:rsidP="00F2181A" w14:paraId="19552A0C" w14:textId="77777777">
      <w:pPr>
        <w:pStyle w:val="Title"/>
        <w:rPr>
          <w:rFonts w:ascii="Times New Roman" w:hAnsi="Times New Roman"/>
        </w:rPr>
      </w:pPr>
      <w:r w:rsidRPr="006E2136">
        <w:rPr>
          <w:rFonts w:ascii="Times New Roman" w:hAnsi="Times New Roman"/>
          <w:u w:val="none"/>
        </w:rPr>
        <w:t>Office of the Chief Information Officer</w:t>
      </w:r>
    </w:p>
    <w:p w:rsidR="00F2181A" w:rsidP="00F2181A" w14:paraId="733AD384" w14:textId="77777777">
      <w:pPr>
        <w:pStyle w:val="Title"/>
        <w:rPr>
          <w:rFonts w:ascii="Times New Roman" w:hAnsi="Times New Roman"/>
          <w:u w:val="none"/>
        </w:rPr>
      </w:pPr>
      <w:r>
        <w:rPr>
          <w:rFonts w:ascii="Times New Roman" w:hAnsi="Times New Roman"/>
          <w:u w:val="none"/>
        </w:rPr>
        <w:t>Supporting Statement</w:t>
      </w:r>
    </w:p>
    <w:p w:rsidR="00AC5DB2" w:rsidRPr="006E2136" w:rsidP="00F2181A" w14:paraId="32D161E5" w14:textId="77777777">
      <w:pPr>
        <w:pStyle w:val="Title"/>
        <w:rPr>
          <w:rFonts w:ascii="Times New Roman" w:hAnsi="Times New Roman"/>
        </w:rPr>
      </w:pPr>
    </w:p>
    <w:p w:rsidR="00F2181A" w:rsidRPr="002F4543" w:rsidP="00F2181A" w14:paraId="25A55A3F" w14:textId="77777777">
      <w:pPr>
        <w:jc w:val="center"/>
        <w:rPr>
          <w:bCs/>
        </w:rPr>
      </w:pPr>
      <w:r w:rsidRPr="002F4543">
        <w:rPr>
          <w:bCs/>
        </w:rPr>
        <w:t>Inspection and Testing of Meter Provers</w:t>
      </w:r>
    </w:p>
    <w:p w:rsidR="00F2181A" w:rsidRPr="002F4543" w:rsidP="00F2181A" w14:paraId="5383E460" w14:textId="77777777">
      <w:pPr>
        <w:jc w:val="center"/>
        <w:rPr>
          <w:bCs/>
        </w:rPr>
      </w:pPr>
      <w:r w:rsidRPr="002F4543">
        <w:rPr>
          <w:bCs/>
        </w:rPr>
        <w:t>OMB Control No. 2137-0620</w:t>
      </w:r>
    </w:p>
    <w:p w:rsidR="00F2181A" w:rsidP="00F2181A" w14:paraId="05DD0747" w14:textId="77777777">
      <w:pPr>
        <w:jc w:val="center"/>
        <w:rPr>
          <w:b/>
          <w:bCs/>
        </w:rPr>
      </w:pPr>
    </w:p>
    <w:p w:rsidR="00F2181A" w:rsidRPr="00C565CA" w:rsidP="00F2181A" w14:paraId="0B6CDE73" w14:textId="58AF7857">
      <w:pPr>
        <w:jc w:val="center"/>
        <w:rPr>
          <w:bCs/>
        </w:rPr>
      </w:pPr>
      <w:r w:rsidRPr="00C565CA">
        <w:rPr>
          <w:bCs/>
        </w:rPr>
        <w:t xml:space="preserve">(Expiration Date: </w:t>
      </w:r>
      <w:r w:rsidR="005A3E8E">
        <w:rPr>
          <w:bCs/>
        </w:rPr>
        <w:t>September</w:t>
      </w:r>
      <w:r w:rsidRPr="00C565CA" w:rsidR="00AC5DB2">
        <w:rPr>
          <w:bCs/>
        </w:rPr>
        <w:t xml:space="preserve"> </w:t>
      </w:r>
      <w:r w:rsidRPr="00C565CA">
        <w:rPr>
          <w:bCs/>
        </w:rPr>
        <w:t>3</w:t>
      </w:r>
      <w:r w:rsidR="005A3E8E">
        <w:rPr>
          <w:bCs/>
        </w:rPr>
        <w:t>0</w:t>
      </w:r>
      <w:r w:rsidRPr="00C565CA">
        <w:rPr>
          <w:bCs/>
        </w:rPr>
        <w:t>,</w:t>
      </w:r>
      <w:r>
        <w:rPr>
          <w:bCs/>
        </w:rPr>
        <w:t xml:space="preserve"> </w:t>
      </w:r>
      <w:r w:rsidR="00C2009D">
        <w:rPr>
          <w:bCs/>
        </w:rPr>
        <w:t>202</w:t>
      </w:r>
      <w:r w:rsidR="005A3E8E">
        <w:rPr>
          <w:bCs/>
        </w:rPr>
        <w:t>6</w:t>
      </w:r>
      <w:r w:rsidRPr="00C565CA">
        <w:rPr>
          <w:bCs/>
        </w:rPr>
        <w:t>)</w:t>
      </w:r>
    </w:p>
    <w:p w:rsidR="005E62C8" w14:paraId="6A9EA955" w14:textId="77777777">
      <w:pPr>
        <w:jc w:val="center"/>
        <w:rPr>
          <w:b/>
          <w:bCs/>
          <w:u w:val="single"/>
        </w:rPr>
      </w:pPr>
    </w:p>
    <w:p w:rsidR="005E62C8" w14:paraId="63D30DA0" w14:textId="77777777">
      <w:pPr>
        <w:jc w:val="center"/>
        <w:rPr>
          <w:b/>
          <w:bCs/>
          <w:u w:val="single"/>
        </w:rPr>
      </w:pPr>
    </w:p>
    <w:p w:rsidR="005E62C8" w:rsidRPr="00F97E54" w14:paraId="32BE949C" w14:textId="77777777">
      <w:pPr>
        <w:rPr>
          <w:b/>
          <w:u w:val="single"/>
        </w:rPr>
      </w:pPr>
      <w:r w:rsidRPr="00F97E54">
        <w:rPr>
          <w:b/>
          <w:u w:val="single"/>
        </w:rPr>
        <w:t>Introduction</w:t>
      </w:r>
    </w:p>
    <w:p w:rsidR="005E62C8" w14:paraId="5457E436" w14:textId="77777777">
      <w:pPr>
        <w:rPr>
          <w:u w:val="single"/>
        </w:rPr>
      </w:pPr>
    </w:p>
    <w:p w:rsidR="005E62C8" w:rsidRPr="005E62C8" w:rsidP="00DB1017" w14:paraId="4ADAC6A8" w14:textId="79DF8EE9">
      <w:r w:rsidRPr="005E62C8">
        <w:t xml:space="preserve">This is </w:t>
      </w:r>
      <w:r>
        <w:t xml:space="preserve">to request the Office of Management and Budget’s (OMB) </w:t>
      </w:r>
      <w:r w:rsidR="002A5547">
        <w:t>3</w:t>
      </w:r>
      <w:r>
        <w:t xml:space="preserve">-year </w:t>
      </w:r>
      <w:r w:rsidR="00754841">
        <w:t>renewal of</w:t>
      </w:r>
      <w:r>
        <w:t xml:space="preserve"> the information collection titled, “Inspection and Testing of Meter Provers,” </w:t>
      </w:r>
      <w:r w:rsidR="00754841">
        <w:t>[</w:t>
      </w:r>
      <w:r w:rsidR="003E105E">
        <w:t>OMB Control No. 2137-0620</w:t>
      </w:r>
      <w:r w:rsidR="00754841">
        <w:t>]</w:t>
      </w:r>
      <w:r w:rsidR="003E105E">
        <w:t xml:space="preserve"> </w:t>
      </w:r>
      <w:r w:rsidR="00B63FFE">
        <w:t xml:space="preserve">that </w:t>
      </w:r>
      <w:r>
        <w:t xml:space="preserve">is currently due to expire </w:t>
      </w:r>
      <w:r w:rsidR="00754841">
        <w:t xml:space="preserve">on </w:t>
      </w:r>
      <w:r w:rsidR="005A3E8E">
        <w:t>September</w:t>
      </w:r>
      <w:r w:rsidR="00754841">
        <w:t xml:space="preserve"> 3</w:t>
      </w:r>
      <w:r w:rsidR="005A3E8E">
        <w:t>0</w:t>
      </w:r>
      <w:r>
        <w:t xml:space="preserve">, </w:t>
      </w:r>
      <w:r w:rsidR="00954B48">
        <w:t>202</w:t>
      </w:r>
      <w:r w:rsidR="005A3E8E">
        <w:t>6</w:t>
      </w:r>
      <w:r>
        <w:t>.</w:t>
      </w:r>
      <w:r>
        <w:rPr>
          <w:vertAlign w:val="superscript"/>
        </w:rPr>
        <w:footnoteReference w:id="3"/>
      </w:r>
      <w:r w:rsidR="00693655">
        <w:t xml:space="preserve"> </w:t>
      </w:r>
      <w:r w:rsidRPr="00062F6D" w:rsidR="00693655">
        <w:t xml:space="preserve">This information </w:t>
      </w:r>
      <w:r w:rsidRPr="00693655" w:rsidR="00693655">
        <w:t>collection was initiated as result of a January 24, 2005</w:t>
      </w:r>
      <w:r w:rsidR="00754841">
        <w:t>, final</w:t>
      </w:r>
      <w:r w:rsidRPr="00693655" w:rsidR="00693655">
        <w:t xml:space="preserve"> rule</w:t>
      </w:r>
      <w:r w:rsidR="00B90BFC">
        <w:t xml:space="preserve"> </w:t>
      </w:r>
      <w:r w:rsidRPr="00693655" w:rsidR="00693655">
        <w:t>[</w:t>
      </w:r>
      <w:r w:rsidR="00754841">
        <w:t xml:space="preserve">Docket No. RSPA-03-16370, HM-233, </w:t>
      </w:r>
      <w:r w:rsidRPr="00693655" w:rsidR="00693655">
        <w:t>70 FR 3302] titled</w:t>
      </w:r>
      <w:r w:rsidR="00B63FFE">
        <w:t>,</w:t>
      </w:r>
      <w:r w:rsidRPr="00693655" w:rsidR="00693655">
        <w:t xml:space="preserve"> “</w:t>
      </w:r>
      <w:r w:rsidRPr="00693655" w:rsidR="00693655">
        <w:rPr>
          <w:bCs/>
        </w:rPr>
        <w:t xml:space="preserve">Hazardous Materials; Incorporation of Exemptions </w:t>
      </w:r>
      <w:r w:rsidRPr="00693655" w:rsidR="00545C19">
        <w:rPr>
          <w:bCs/>
        </w:rPr>
        <w:t>into</w:t>
      </w:r>
      <w:r w:rsidRPr="00693655" w:rsidR="00693655">
        <w:rPr>
          <w:bCs/>
        </w:rPr>
        <w:t xml:space="preserve"> Regulations</w:t>
      </w:r>
      <w:r w:rsidR="00754841">
        <w:rPr>
          <w:bCs/>
        </w:rPr>
        <w:t>,</w:t>
      </w:r>
      <w:r w:rsidRPr="00693655" w:rsidR="00693655">
        <w:t>”</w:t>
      </w:r>
      <w:r w:rsidR="00693655">
        <w:t xml:space="preserve"> </w:t>
      </w:r>
      <w:r w:rsidRPr="00062F6D" w:rsidR="00693655">
        <w:t xml:space="preserve">which </w:t>
      </w:r>
      <w:r w:rsidRPr="00693655" w:rsidR="00693655">
        <w:t>amend</w:t>
      </w:r>
      <w:r w:rsidR="00693655">
        <w:t>ed</w:t>
      </w:r>
      <w:r w:rsidRPr="00693655" w:rsidR="00693655">
        <w:t xml:space="preserve"> the</w:t>
      </w:r>
      <w:r w:rsidR="00693655">
        <w:t xml:space="preserve"> </w:t>
      </w:r>
      <w:r w:rsidRPr="00693655" w:rsidR="00693655">
        <w:t xml:space="preserve">Hazardous Materials Regulations </w:t>
      </w:r>
      <w:r w:rsidRPr="00801B26" w:rsidR="00801B26">
        <w:t>(HMR; 49 CFR Parts 171-180)</w:t>
      </w:r>
      <w:r w:rsidR="00801B26">
        <w:t xml:space="preserve"> </w:t>
      </w:r>
      <w:r w:rsidRPr="00693655" w:rsidR="00693655">
        <w:t>by</w:t>
      </w:r>
      <w:r w:rsidR="00693655">
        <w:t xml:space="preserve"> </w:t>
      </w:r>
      <w:r w:rsidRPr="00693655" w:rsidR="00693655">
        <w:t>incorporating the</w:t>
      </w:r>
      <w:r w:rsidR="00693655">
        <w:t xml:space="preserve"> </w:t>
      </w:r>
      <w:r w:rsidRPr="00693655" w:rsidR="00693655">
        <w:t xml:space="preserve">provisions of certain </w:t>
      </w:r>
      <w:r w:rsidRPr="00693655" w:rsidR="00B63FFE">
        <w:t>widely</w:t>
      </w:r>
      <w:r w:rsidR="00B63FFE">
        <w:t>-</w:t>
      </w:r>
      <w:r w:rsidRPr="00693655" w:rsidR="00693655">
        <w:t>used</w:t>
      </w:r>
      <w:r w:rsidR="00693655">
        <w:t xml:space="preserve"> </w:t>
      </w:r>
      <w:r w:rsidRPr="00693655" w:rsidR="00693655">
        <w:t>exemptions</w:t>
      </w:r>
      <w:r w:rsidR="00B63FFE">
        <w:t xml:space="preserve"> that</w:t>
      </w:r>
      <w:r w:rsidRPr="00693655" w:rsidR="00693655">
        <w:t xml:space="preserve"> have established a</w:t>
      </w:r>
      <w:r w:rsidR="00693655">
        <w:t xml:space="preserve"> </w:t>
      </w:r>
      <w:r w:rsidRPr="00693655" w:rsidR="00693655">
        <w:t xml:space="preserve">history of safety and </w:t>
      </w:r>
      <w:r w:rsidR="0058365E">
        <w:t xml:space="preserve">that </w:t>
      </w:r>
      <w:r w:rsidRPr="00693655" w:rsidR="00693655">
        <w:t>may be</w:t>
      </w:r>
      <w:r w:rsidR="00693655">
        <w:t xml:space="preserve"> </w:t>
      </w:r>
      <w:r w:rsidRPr="00693655" w:rsidR="00693655">
        <w:t>converted into regulations for general</w:t>
      </w:r>
      <w:r w:rsidR="00693655">
        <w:t xml:space="preserve"> </w:t>
      </w:r>
      <w:r w:rsidRPr="00693655" w:rsidR="00693655">
        <w:t>use</w:t>
      </w:r>
      <w:r w:rsidRPr="004971C4" w:rsidR="00693655">
        <w:t>.</w:t>
      </w:r>
      <w:r>
        <w:rPr>
          <w:vertAlign w:val="superscript"/>
        </w:rPr>
        <w:footnoteReference w:id="4"/>
      </w:r>
      <w:r w:rsidR="00B63FFE">
        <w:t xml:space="preserve"> </w:t>
      </w:r>
      <w:r w:rsidR="00693655">
        <w:t>One of the provisions</w:t>
      </w:r>
      <w:r w:rsidR="00B63FFE">
        <w:t xml:space="preserve"> contained in this rulemaking</w:t>
      </w:r>
      <w:r w:rsidR="00693655">
        <w:t xml:space="preserve"> was for the transportation of mechanical displacement meter provers</w:t>
      </w:r>
      <w:r w:rsidR="00754841">
        <w:t>, which requires information collection</w:t>
      </w:r>
      <w:r w:rsidR="00693655">
        <w:t>.</w:t>
      </w:r>
    </w:p>
    <w:p w:rsidR="00754841" w:rsidRPr="005E62C8" w14:paraId="1F1294FD" w14:textId="77777777"/>
    <w:p w:rsidR="00AA5BC0" w:rsidRPr="00F97E54" w14:paraId="26EA8222" w14:textId="01E27887">
      <w:pPr>
        <w:rPr>
          <w:b/>
        </w:rPr>
      </w:pPr>
      <w:r w:rsidRPr="00F97E54">
        <w:rPr>
          <w:b/>
          <w:u w:val="single"/>
        </w:rPr>
        <w:t xml:space="preserve">Part A. </w:t>
      </w:r>
      <w:r w:rsidRPr="00F97E54">
        <w:rPr>
          <w:b/>
          <w:u w:val="single"/>
        </w:rPr>
        <w:t>Justification</w:t>
      </w:r>
    </w:p>
    <w:p w:rsidR="00AA5BC0" w14:paraId="0D8F0C20" w14:textId="77777777"/>
    <w:p w:rsidR="00AA5BC0" w14:paraId="43D0DCD3" w14:textId="77777777">
      <w:pPr>
        <w:ind w:left="360" w:hanging="360"/>
      </w:pPr>
      <w:r>
        <w:t>1.</w:t>
      </w:r>
      <w:r>
        <w:tab/>
      </w:r>
      <w:r>
        <w:rPr>
          <w:u w:val="single"/>
        </w:rPr>
        <w:t xml:space="preserve">Circumstances that make collection </w:t>
      </w:r>
      <w:r w:rsidR="005E62C8">
        <w:rPr>
          <w:u w:val="single"/>
        </w:rPr>
        <w:t xml:space="preserve">of information </w:t>
      </w:r>
      <w:r>
        <w:rPr>
          <w:u w:val="single"/>
        </w:rPr>
        <w:t>necessary</w:t>
      </w:r>
      <w:r>
        <w:t xml:space="preserve">.  </w:t>
      </w:r>
    </w:p>
    <w:p w:rsidR="00AA5BC0" w14:paraId="3EB46325" w14:textId="77777777"/>
    <w:p w:rsidR="00AA5BC0" w:rsidP="60AA073E" w14:paraId="294C49C6" w14:textId="3696FECE">
      <w:r>
        <w:t xml:space="preserve">This is a request for </w:t>
      </w:r>
      <w:r w:rsidR="001576DF">
        <w:t>a</w:t>
      </w:r>
      <w:r w:rsidR="3FFFFEA4">
        <w:t>n</w:t>
      </w:r>
      <w:r w:rsidRPr="60AA073E" w:rsidR="3FFFFEA4">
        <w:rPr>
          <w:color w:val="000000" w:themeColor="text1"/>
        </w:rPr>
        <w:t xml:space="preserve"> extension without change</w:t>
      </w:r>
      <w:r w:rsidR="009E707F">
        <w:t xml:space="preserve"> </w:t>
      </w:r>
      <w:r>
        <w:t xml:space="preserve">of a </w:t>
      </w:r>
      <w:r w:rsidR="005E62C8">
        <w:t>current</w:t>
      </w:r>
      <w:r>
        <w:t xml:space="preserve"> information collection and recordkeeping burden under OMB</w:t>
      </w:r>
      <w:r w:rsidR="00754841">
        <w:t xml:space="preserve"> Control</w:t>
      </w:r>
      <w:r>
        <w:t xml:space="preserve"> No. 2137-</w:t>
      </w:r>
      <w:r w:rsidR="005E62C8">
        <w:t>0620</w:t>
      </w:r>
      <w:r>
        <w:t xml:space="preserve">, </w:t>
      </w:r>
      <w:r w:rsidR="00754841">
        <w:t xml:space="preserve">titled </w:t>
      </w:r>
      <w:r>
        <w:t>“Inspection and Testing of Meter Provers</w:t>
      </w:r>
      <w:r w:rsidR="00017C3C">
        <w:t>.</w:t>
      </w:r>
      <w:r>
        <w:t>”</w:t>
      </w:r>
      <w:r w:rsidR="00017C3C">
        <w:t xml:space="preserve"> </w:t>
      </w:r>
      <w:r>
        <w:t xml:space="preserve">This information collection is the result of efforts to incorporate the use, inspection, and maintenance of mechanical displacement meter provers (meter provers) used to check the accurate flow of liquid hazardous materials into bulk packagings, such as portable tanks and cargo tank motor vehicles, under the </w:t>
      </w:r>
      <w:r w:rsidR="00801B26">
        <w:t>HMR</w:t>
      </w:r>
      <w:r>
        <w:t>. This information collection supports the Departmental Strategic Goal for Safety. The HMR are promulgated in accordance with the Federal hazardous materials trans</w:t>
      </w:r>
      <w:r w:rsidR="00017C3C">
        <w:t>portation law</w:t>
      </w:r>
      <w:r w:rsidR="00FC6EB4">
        <w:t xml:space="preserve"> (U.S.C. 5110)</w:t>
      </w:r>
      <w:r w:rsidR="00CF27A9">
        <w:t>.</w:t>
      </w:r>
    </w:p>
    <w:p w:rsidR="00754841" w:rsidP="00754841" w14:paraId="7EB1FE68" w14:textId="77777777"/>
    <w:p w:rsidR="00AA5BC0" w14:paraId="0D79E714" w14:textId="77777777">
      <w:pPr>
        <w:ind w:left="360" w:hanging="360"/>
      </w:pPr>
      <w:r>
        <w:t>2.</w:t>
      </w:r>
      <w:r>
        <w:tab/>
      </w:r>
      <w:r>
        <w:rPr>
          <w:u w:val="single"/>
        </w:rPr>
        <w:t xml:space="preserve">How, by whom, and for what purpose </w:t>
      </w:r>
      <w:r w:rsidR="00366A19">
        <w:rPr>
          <w:u w:val="single"/>
        </w:rPr>
        <w:t xml:space="preserve">is </w:t>
      </w:r>
      <w:r>
        <w:rPr>
          <w:u w:val="single"/>
        </w:rPr>
        <w:t>the information used</w:t>
      </w:r>
      <w:r>
        <w:t>.</w:t>
      </w:r>
    </w:p>
    <w:p w:rsidR="00AA5BC0" w14:paraId="18A29128" w14:textId="77777777"/>
    <w:p w:rsidR="00AA5BC0" w:rsidP="00DB1017" w14:paraId="2FA7696C" w14:textId="7E2B3439">
      <w:r>
        <w:t>M</w:t>
      </w:r>
      <w:r w:rsidR="393D50E9">
        <w:t xml:space="preserve">eter provers are used to ensure that the proper amount of liquid hazardous materials is being loaded </w:t>
      </w:r>
      <w:r w:rsidR="01D4B81C">
        <w:t>and/</w:t>
      </w:r>
      <w:r w:rsidR="393D50E9">
        <w:t xml:space="preserve">or unloaded </w:t>
      </w:r>
      <w:r w:rsidR="01D4B81C">
        <w:t xml:space="preserve">into </w:t>
      </w:r>
      <w:r w:rsidR="393D50E9">
        <w:t xml:space="preserve">bulk packagings, such as cargo tanks and portable </w:t>
      </w:r>
      <w:r w:rsidR="393D50E9">
        <w:t xml:space="preserve">tanks. These meter provers </w:t>
      </w:r>
      <w:r w:rsidR="784B0C45">
        <w:t xml:space="preserve">are comprised </w:t>
      </w:r>
      <w:r w:rsidR="393D50E9">
        <w:t xml:space="preserve">of a gauge and several pipes that always contain small </w:t>
      </w:r>
      <w:r w:rsidR="5E23D0CC">
        <w:t xml:space="preserve">residual </w:t>
      </w:r>
      <w:r w:rsidR="393D50E9">
        <w:t xml:space="preserve">amounts of the liquid hazardous material in </w:t>
      </w:r>
      <w:r w:rsidR="7919C38F">
        <w:t>its</w:t>
      </w:r>
      <w:r w:rsidR="393D50E9">
        <w:t xml:space="preserve"> pipes</w:t>
      </w:r>
      <w:r w:rsidR="0073457C">
        <w:t xml:space="preserve">. </w:t>
      </w:r>
      <w:r w:rsidR="5D577CB0">
        <w:t>As a result</w:t>
      </w:r>
      <w:r w:rsidR="076F8FF8">
        <w:t>,</w:t>
      </w:r>
      <w:r w:rsidR="393D50E9">
        <w:t xml:space="preserve"> </w:t>
      </w:r>
      <w:r w:rsidR="076F8FF8">
        <w:t xml:space="preserve">they </w:t>
      </w:r>
      <w:r w:rsidR="393D50E9">
        <w:t>must be inspected and maintained in accordance with the HMR to ensure they are  proper</w:t>
      </w:r>
      <w:r w:rsidR="546EDADD">
        <w:t>ly</w:t>
      </w:r>
      <w:r w:rsidR="393D50E9">
        <w:t xml:space="preserve"> calibrat</w:t>
      </w:r>
      <w:r w:rsidR="56666CAA">
        <w:t>ed</w:t>
      </w:r>
      <w:r w:rsidR="393D50E9">
        <w:t xml:space="preserve"> and </w:t>
      </w:r>
      <w:r w:rsidR="2F2EB426">
        <w:t xml:space="preserve">in </w:t>
      </w:r>
      <w:r>
        <w:t xml:space="preserve">good </w:t>
      </w:r>
      <w:r w:rsidR="393D50E9">
        <w:t xml:space="preserve">working order. These meter provers are not subject to the specification testing and inspection requirements in Part 178. However, </w:t>
      </w:r>
      <w:r w:rsidR="076F8FF8">
        <w:t>they</w:t>
      </w:r>
      <w:r w:rsidR="393D50E9">
        <w:t xml:space="preserve"> must be visually inspected annually and pressure tested every </w:t>
      </w:r>
      <w:r w:rsidR="72F0FF9D">
        <w:t xml:space="preserve">5 </w:t>
      </w:r>
      <w:r w:rsidR="393D50E9">
        <w:t xml:space="preserve">years in order to ensure they are properly working as specified in </w:t>
      </w:r>
      <w:r w:rsidR="5A15C986">
        <w:t>§</w:t>
      </w:r>
      <w:r w:rsidR="393D50E9">
        <w:t xml:space="preserve"> 173.5a of the HMR.</w:t>
      </w:r>
    </w:p>
    <w:p w:rsidR="00B51648" w14:paraId="44842F6C" w14:textId="77777777"/>
    <w:p w:rsidR="00AA5BC0" w:rsidP="00DB1017" w14:paraId="1E1C1E40" w14:textId="2EDC2DDE">
      <w:r>
        <w:t xml:space="preserve">The Pipeline and Hazardous Materials Safety Administration (PHMSA) has </w:t>
      </w:r>
      <w:r w:rsidR="76E7C6C0">
        <w:t xml:space="preserve">authorized the transportation of meter provers under </w:t>
      </w:r>
      <w:r w:rsidR="5892593B">
        <w:t>special permits</w:t>
      </w:r>
      <w:r w:rsidR="76E7C6C0">
        <w:t xml:space="preserve"> for several years with a safe and satisfactory transportation experience. </w:t>
      </w:r>
      <w:r>
        <w:t xml:space="preserve">Meter provers are excepted </w:t>
      </w:r>
      <w:r w:rsidR="76E7C6C0">
        <w:t>from the specification packaging requirements when</w:t>
      </w:r>
      <w:r>
        <w:t xml:space="preserve"> they: </w:t>
      </w:r>
      <w:r w:rsidR="76E7C6C0">
        <w:t xml:space="preserve">(1) </w:t>
      </w:r>
      <w:r>
        <w:t>h</w:t>
      </w:r>
      <w:r w:rsidR="76E7C6C0">
        <w:t xml:space="preserve">ave a capacity not over 1,000 gallons; (2) are permanently mounted on a truck chassis or a trailer; and (3) contain only the residue of a Class 3 or Division 2.1 material. The meter prover must be designed and constructed in accordance with </w:t>
      </w:r>
      <w:r w:rsidR="3F17E9F4">
        <w:t>American Society of Mechanical Engineers (</w:t>
      </w:r>
      <w:r w:rsidR="76E7C6C0">
        <w:t>ASME</w:t>
      </w:r>
      <w:r w:rsidR="3F17E9F4">
        <w:t>)</w:t>
      </w:r>
      <w:r w:rsidR="76E7C6C0">
        <w:t xml:space="preserve"> Standard B31.4 and is subject to periodic visual inspection and hydrostatic retesting. </w:t>
      </w:r>
      <w:r>
        <w:t>Th</w:t>
      </w:r>
      <w:r w:rsidR="76E7C6C0">
        <w:t>is information collection is necessary in order to ascertain whether meter provers are manufactured, inspected, and maintained in accordance with the HMR. The information is used to verify that meter provers meet required performance standards prior to being authorized for use with bulk packagings used in the transportation of liquid hazardous materials</w:t>
      </w:r>
      <w:r>
        <w:t>. In addition, the HMR require</w:t>
      </w:r>
      <w:r w:rsidR="680E2BCF">
        <w:t>s</w:t>
      </w:r>
      <w:r>
        <w:t xml:space="preserve"> that </w:t>
      </w:r>
      <w:r w:rsidR="76E7C6C0">
        <w:t>meter provers be visually inspected annually and hydrostatically (pressure) tested every 5 years.</w:t>
      </w:r>
    </w:p>
    <w:p w:rsidR="00AA5BC0" w14:paraId="37C132D3" w14:textId="77777777"/>
    <w:p w:rsidR="00AA5BC0" w:rsidRPr="00C2009D" w:rsidP="00DB1017" w14:paraId="09C79DA0" w14:textId="77777777">
      <w:pPr>
        <w:numPr>
          <w:ilvl w:val="0"/>
          <w:numId w:val="5"/>
        </w:numPr>
        <w:rPr>
          <w:b/>
          <w:u w:val="single"/>
        </w:rPr>
      </w:pPr>
      <w:r w:rsidRPr="00C2009D">
        <w:rPr>
          <w:b/>
          <w:u w:val="single"/>
        </w:rPr>
        <w:t xml:space="preserve">Annual </w:t>
      </w:r>
      <w:r w:rsidR="0094343B">
        <w:rPr>
          <w:b/>
          <w:u w:val="single"/>
        </w:rPr>
        <w:t>V</w:t>
      </w:r>
      <w:r w:rsidRPr="00C2009D" w:rsidR="0094343B">
        <w:rPr>
          <w:b/>
          <w:u w:val="single"/>
        </w:rPr>
        <w:t xml:space="preserve">isual </w:t>
      </w:r>
      <w:r w:rsidR="0094343B">
        <w:rPr>
          <w:b/>
          <w:u w:val="single"/>
        </w:rPr>
        <w:t>I</w:t>
      </w:r>
      <w:r w:rsidRPr="00C2009D" w:rsidR="0094343B">
        <w:rPr>
          <w:b/>
          <w:u w:val="single"/>
        </w:rPr>
        <w:t xml:space="preserve">nspection </w:t>
      </w:r>
      <w:r w:rsidRPr="00C2009D">
        <w:rPr>
          <w:b/>
          <w:u w:val="single"/>
        </w:rPr>
        <w:t>- § 173.5a(b)(3)(i)</w:t>
      </w:r>
    </w:p>
    <w:p w:rsidR="00AA5BC0" w14:paraId="49F6B5DA" w14:textId="77777777"/>
    <w:p w:rsidR="00AA5BC0" w:rsidP="00DB1017" w14:paraId="18AB44EA" w14:textId="77777777">
      <w:r>
        <w:t>This information collection requires that each</w:t>
      </w:r>
      <w:r>
        <w:t xml:space="preserve"> meter prover must undergo and pass an external visual inspection annually to ensure that the meter provers used in the flow of liquid hazardous materials into bulk packagings are accurate and in conformance with the performance standards in the HMR.</w:t>
      </w:r>
    </w:p>
    <w:p w:rsidR="00C2009D" w:rsidP="00DB1017" w14:paraId="7D7F7AE1" w14:textId="77777777"/>
    <w:p w:rsidR="00C2009D" w:rsidP="00DB1017" w14:paraId="1E99FA95" w14:textId="28DA86C2">
      <w:r>
        <w:t xml:space="preserve">As required in the HMR, meter provers must be visually inspected once a year; and pressure-tested once every 5 years at not less than 75% of design pressure. Each meter prover successfully completing the test and inspection must be marked in accordance with § 173.5a(b)(7). The marking must be on the side of a tank or the largest piping component in letters 1.25 inches high on a contrasting background. </w:t>
      </w:r>
      <w:r w:rsidRPr="005B33EA">
        <w:t>All required markings must be maintained in a legible manner.</w:t>
      </w:r>
      <w:r>
        <w:t xml:space="preserve"> The owner must retain a record of the most recent visual inspection and pressure test until the meter prover is requalified.</w:t>
      </w:r>
    </w:p>
    <w:p w:rsidR="00C2009D" w:rsidP="00C2009D" w14:paraId="142EEEE3" w14:textId="77777777"/>
    <w:p w:rsidR="00C2009D" w:rsidP="00C2009D" w14:paraId="678F3C40" w14:textId="77777777">
      <w:r>
        <w:t>The test or inspection report must include the following:</w:t>
      </w:r>
    </w:p>
    <w:p w:rsidR="00C2009D" w:rsidP="00C2009D" w14:paraId="7D074F85" w14:textId="77777777"/>
    <w:p w:rsidR="00C2009D" w:rsidP="00C2009D" w14:paraId="1C828D37" w14:textId="77777777">
      <w:r>
        <w:t>(a) Serial number or other meter prover identifier;</w:t>
      </w:r>
    </w:p>
    <w:p w:rsidR="00C2009D" w:rsidP="00C2009D" w14:paraId="57704009" w14:textId="77777777">
      <w:r>
        <w:t>(b) Type of test or inspection performed;</w:t>
      </w:r>
    </w:p>
    <w:p w:rsidR="00C2009D" w:rsidP="00C2009D" w14:paraId="085576EF" w14:textId="77777777">
      <w:r>
        <w:t>(c) Test date (month/year);</w:t>
      </w:r>
    </w:p>
    <w:p w:rsidR="00C2009D" w:rsidP="00C2009D" w14:paraId="51C0643F" w14:textId="2DF61DEF">
      <w:r>
        <w:t>(d) Location of defects found</w:t>
      </w:r>
      <w:r w:rsidR="0904FEA8">
        <w:t>,</w:t>
      </w:r>
      <w:r>
        <w:t xml:space="preserve"> and method used to repair each defect;</w:t>
      </w:r>
    </w:p>
    <w:p w:rsidR="00C2009D" w:rsidP="00C2009D" w14:paraId="5CD2B248" w14:textId="77777777">
      <w:r>
        <w:t xml:space="preserve">(e) Name and address of person performing the test or inspection; and </w:t>
      </w:r>
    </w:p>
    <w:p w:rsidR="00C2009D" w:rsidP="00DB1017" w14:paraId="32F27461" w14:textId="7E74AFA2">
      <w:r>
        <w:t xml:space="preserve">(f) Disposition statement, such as “Meter Prover returned to service” or “Meter Prover </w:t>
      </w:r>
      <w:r w:rsidR="0073457C">
        <w:t xml:space="preserve"> </w:t>
      </w:r>
      <w:r>
        <w:t>removed from service.”</w:t>
      </w:r>
    </w:p>
    <w:p w:rsidR="00AA5BC0" w14:paraId="0C604DDC" w14:textId="77777777"/>
    <w:p w:rsidR="00AA5BC0" w:rsidRPr="00C2009D" w:rsidP="00DB1017" w14:paraId="6597B5C7" w14:textId="77777777">
      <w:pPr>
        <w:numPr>
          <w:ilvl w:val="0"/>
          <w:numId w:val="5"/>
        </w:numPr>
        <w:rPr>
          <w:b/>
          <w:u w:val="single"/>
        </w:rPr>
      </w:pPr>
      <w:r w:rsidRPr="00C2009D">
        <w:rPr>
          <w:b/>
          <w:u w:val="single"/>
        </w:rPr>
        <w:t xml:space="preserve">Hydrostatic </w:t>
      </w:r>
      <w:r w:rsidR="0094343B">
        <w:rPr>
          <w:b/>
          <w:u w:val="single"/>
        </w:rPr>
        <w:t>P</w:t>
      </w:r>
      <w:r w:rsidRPr="00C2009D" w:rsidR="0094343B">
        <w:rPr>
          <w:b/>
          <w:u w:val="single"/>
        </w:rPr>
        <w:t xml:space="preserve">ressure </w:t>
      </w:r>
      <w:r w:rsidR="0094343B">
        <w:rPr>
          <w:b/>
          <w:u w:val="single"/>
        </w:rPr>
        <w:t>T</w:t>
      </w:r>
      <w:r w:rsidRPr="00C2009D" w:rsidR="0094343B">
        <w:rPr>
          <w:b/>
          <w:u w:val="single"/>
        </w:rPr>
        <w:t xml:space="preserve">est </w:t>
      </w:r>
      <w:r w:rsidRPr="00C2009D">
        <w:rPr>
          <w:b/>
          <w:u w:val="single"/>
        </w:rPr>
        <w:t>- § 173.5a(b)(3)(ii)</w:t>
      </w:r>
    </w:p>
    <w:p w:rsidR="00AA5BC0" w14:paraId="082590BA" w14:textId="77777777"/>
    <w:p w:rsidR="00AA5BC0" w14:paraId="0FCDD0A3" w14:textId="4E34D068">
      <w:r>
        <w:t>This information collection requires that e</w:t>
      </w:r>
      <w:r>
        <w:t xml:space="preserve">ach meter prover must undergo and pass a hydrostatic pressure test at least every </w:t>
      </w:r>
      <w:r w:rsidR="0095229D">
        <w:t xml:space="preserve">5 </w:t>
      </w:r>
      <w:r>
        <w:t>years to ensure that the meter provers used in the flow of liquid hazardous materials into bulk packagings are accurate and in conformance with the performance standards in the HMR.</w:t>
      </w:r>
    </w:p>
    <w:p w:rsidR="00754841" w14:paraId="65C9BD94" w14:textId="77777777"/>
    <w:p w:rsidR="00AA5BC0" w14:paraId="077AB1BB" w14:textId="77777777">
      <w:pPr>
        <w:ind w:left="360" w:hanging="360"/>
      </w:pPr>
      <w:r>
        <w:t>3</w:t>
      </w:r>
      <w:r w:rsidR="00046B96">
        <w:t xml:space="preserve">.  </w:t>
      </w:r>
      <w:r w:rsidR="005E62C8">
        <w:rPr>
          <w:u w:val="single"/>
        </w:rPr>
        <w:t>Extent of automated information collection</w:t>
      </w:r>
      <w:r>
        <w:t>.</w:t>
      </w:r>
    </w:p>
    <w:p w:rsidR="00AA5BC0" w14:paraId="09011A0B" w14:textId="77777777">
      <w:r>
        <w:t xml:space="preserve">  </w:t>
      </w:r>
    </w:p>
    <w:p w:rsidR="00AA5BC0" w:rsidP="00DB1017" w14:paraId="0A50D9F0" w14:textId="63AA1BE5">
      <w:r>
        <w:t>The information required is particular and unique. Industry is encouraged to use any type of technology to meet the information collection and recordkeeping requirements</w:t>
      </w:r>
      <w:r w:rsidR="0BDF1402">
        <w:t>,</w:t>
      </w:r>
      <w:r>
        <w:t xml:space="preserve"> </w:t>
      </w:r>
      <w:r w:rsidR="47C20F07">
        <w:t>provided t</w:t>
      </w:r>
      <w:r>
        <w:t>he required information can be retrieved when necessary. The Government Paperwork Elimination Act directs agencies to allow the option of electronic filing and</w:t>
      </w:r>
      <w:r w:rsidR="6316A512">
        <w:t xml:space="preserve"> r</w:t>
      </w:r>
      <w:r>
        <w:t>ecordkeeping by October 2003, when practicable</w:t>
      </w:r>
      <w:r w:rsidR="7297320A">
        <w:t>,</w:t>
      </w:r>
      <w:r>
        <w:t xml:space="preserve"> </w:t>
      </w:r>
      <w:r w:rsidR="24136C68">
        <w:t xml:space="preserve">both </w:t>
      </w:r>
      <w:r w:rsidR="64D8D339">
        <w:t>e</w:t>
      </w:r>
      <w:r>
        <w:t xml:space="preserve">lectronic filing and recordkeeping </w:t>
      </w:r>
      <w:r w:rsidR="3A0B62AE">
        <w:t xml:space="preserve">are </w:t>
      </w:r>
      <w:r>
        <w:t xml:space="preserve"> authorized. However, </w:t>
      </w:r>
      <w:r w:rsidR="126FC8AB">
        <w:t>PHMSA</w:t>
      </w:r>
      <w:r>
        <w:t xml:space="preserve"> do</w:t>
      </w:r>
      <w:r w:rsidR="6961DE81">
        <w:t>es</w:t>
      </w:r>
      <w:r>
        <w:t xml:space="preserve"> not require any information to be </w:t>
      </w:r>
      <w:r w:rsidR="7DB957BB">
        <w:t>submitted</w:t>
      </w:r>
      <w:r>
        <w:t>, so this is not applicable.</w:t>
      </w:r>
    </w:p>
    <w:p w:rsidR="00754841" w14:paraId="64D978C6" w14:textId="77777777"/>
    <w:p w:rsidR="00AA5BC0" w14:paraId="05FB341A" w14:textId="77777777">
      <w:pPr>
        <w:ind w:left="360" w:hanging="360"/>
      </w:pPr>
      <w:r>
        <w:t>4</w:t>
      </w:r>
      <w:r w:rsidR="00046B96">
        <w:t xml:space="preserve">.  </w:t>
      </w:r>
      <w:r>
        <w:rPr>
          <w:u w:val="single"/>
        </w:rPr>
        <w:t>Efforts to identify duplication</w:t>
      </w:r>
      <w:r>
        <w:t>.</w:t>
      </w:r>
    </w:p>
    <w:p w:rsidR="00AA5BC0" w14:paraId="110A79B4" w14:textId="77777777">
      <w:r>
        <w:t xml:space="preserve">  </w:t>
      </w:r>
    </w:p>
    <w:p w:rsidR="00AA5BC0" w14:paraId="59EBA0F7" w14:textId="78166ACE">
      <w:r w:rsidRPr="00C06386">
        <w:t>There is no duplication as the information is unique to specific situations. Each response is unique, and information derived from one may not be inferred to another. PHMSA has done its best effort to avoid duplication, while still ensuring that all requirements comply with application State requirements.</w:t>
      </w:r>
    </w:p>
    <w:p w:rsidR="00754841" w14:paraId="55AC937D" w14:textId="77777777"/>
    <w:p w:rsidR="00AA5BC0" w14:paraId="58A31280" w14:textId="77777777">
      <w:pPr>
        <w:ind w:left="360" w:hanging="360"/>
      </w:pPr>
      <w:r>
        <w:t>5</w:t>
      </w:r>
      <w:r w:rsidR="00046B96">
        <w:t xml:space="preserve">.  </w:t>
      </w:r>
      <w:r w:rsidR="005E62C8">
        <w:rPr>
          <w:u w:val="single"/>
        </w:rPr>
        <w:t>Efforts to</w:t>
      </w:r>
      <w:r>
        <w:rPr>
          <w:u w:val="single"/>
        </w:rPr>
        <w:t xml:space="preserve"> minimize </w:t>
      </w:r>
      <w:r w:rsidR="005E62C8">
        <w:rPr>
          <w:u w:val="single"/>
        </w:rPr>
        <w:t xml:space="preserve">the </w:t>
      </w:r>
      <w:r>
        <w:rPr>
          <w:u w:val="single"/>
        </w:rPr>
        <w:t>burden on small businesses</w:t>
      </w:r>
      <w:r w:rsidRPr="00046B96" w:rsidR="005E62C8">
        <w:t>.</w:t>
      </w:r>
    </w:p>
    <w:p w:rsidR="00AA5BC0" w14:paraId="0309AE84" w14:textId="77777777"/>
    <w:p w:rsidR="00C06386" w14:paraId="22B73514" w14:textId="7EEF16C4">
      <w:r w:rsidRPr="00C06386">
        <w:t>PHMSA periodically reviews the collection of this information to ensure that the amount of information needed is kept to a minimum.</w:t>
      </w:r>
    </w:p>
    <w:p w:rsidR="00754841" w14:paraId="697BF28A" w14:textId="77777777"/>
    <w:p w:rsidR="00AA5BC0" w14:paraId="531493C3" w14:textId="77777777">
      <w:pPr>
        <w:ind w:left="360" w:hanging="360"/>
      </w:pPr>
      <w:r>
        <w:t>6</w:t>
      </w:r>
      <w:r w:rsidR="00046B96">
        <w:t xml:space="preserve">.  </w:t>
      </w:r>
      <w:r w:rsidR="005E62C8">
        <w:rPr>
          <w:u w:val="single"/>
        </w:rPr>
        <w:t xml:space="preserve">Impact of </w:t>
      </w:r>
      <w:r>
        <w:rPr>
          <w:u w:val="single"/>
        </w:rPr>
        <w:t>less frequent</w:t>
      </w:r>
      <w:r w:rsidR="005E62C8">
        <w:rPr>
          <w:u w:val="single"/>
        </w:rPr>
        <w:t xml:space="preserve"> collection of information</w:t>
      </w:r>
      <w:r>
        <w:t>.</w:t>
      </w:r>
    </w:p>
    <w:p w:rsidR="00AA5BC0" w14:paraId="577594CD" w14:textId="77777777">
      <w:r>
        <w:t xml:space="preserve">  </w:t>
      </w:r>
    </w:p>
    <w:p w:rsidR="00AA5BC0" w:rsidP="00366A19" w14:paraId="54DA6B11" w14:textId="77777777">
      <w:pPr>
        <w:jc w:val="both"/>
      </w:pPr>
      <w:r>
        <w:t>Due to the hazards involved, if collection of information and recordkeeping was required less frequently, the hazards to public safety would increase due to the probability of incidents during transportation.</w:t>
      </w:r>
    </w:p>
    <w:p w:rsidR="00754841" w14:paraId="6EDBF566" w14:textId="77777777"/>
    <w:p w:rsidR="00AA5BC0" w14:paraId="07623355" w14:textId="77777777">
      <w:pPr>
        <w:ind w:left="360" w:hanging="360"/>
      </w:pPr>
      <w:r>
        <w:t>7</w:t>
      </w:r>
      <w:r w:rsidR="00046B96">
        <w:t xml:space="preserve">.  </w:t>
      </w:r>
      <w:r>
        <w:rPr>
          <w:u w:val="single"/>
        </w:rPr>
        <w:t>Special circumstances</w:t>
      </w:r>
      <w:r w:rsidRPr="00046B96" w:rsidR="00BA5BC5">
        <w:t>.</w:t>
      </w:r>
    </w:p>
    <w:p w:rsidR="00AA5BC0" w14:paraId="5D57FF4C" w14:textId="77777777">
      <w:r>
        <w:t xml:space="preserve"> </w:t>
      </w:r>
    </w:p>
    <w:p w:rsidR="006408CB" w14:paraId="13E9E206" w14:textId="77777777">
      <w:r w:rsidRPr="00C06386">
        <w:t>This collection of information is conducted in a manner consistent with the guidelines in 5 CFR 1320.5 (d)(2).</w:t>
      </w:r>
    </w:p>
    <w:p w:rsidR="00C06386" w14:paraId="0E90CABD" w14:textId="77777777"/>
    <w:p w:rsidR="00754841" w14:paraId="63BE5DDE" w14:textId="77777777"/>
    <w:p w:rsidR="00AA5BC0" w:rsidP="005222A4" w14:paraId="19240A1B" w14:textId="77777777">
      <w:pPr>
        <w:keepNext/>
        <w:keepLines/>
        <w:rPr>
          <w:u w:val="single"/>
        </w:rPr>
      </w:pPr>
      <w:r>
        <w:t>8</w:t>
      </w:r>
      <w:r w:rsidR="00046B96">
        <w:t xml:space="preserve">.  </w:t>
      </w:r>
      <w:r w:rsidR="00BA5BC5">
        <w:rPr>
          <w:u w:val="single"/>
        </w:rPr>
        <w:t>Compliance with 5 CFR 1320.8</w:t>
      </w:r>
      <w:r w:rsidRPr="00046B96" w:rsidR="00BA5BC5">
        <w:t>.</w:t>
      </w:r>
    </w:p>
    <w:p w:rsidR="009E707F" w:rsidP="005222A4" w14:paraId="16A47C56" w14:textId="77777777">
      <w:pPr>
        <w:keepNext/>
        <w:keepLines/>
      </w:pPr>
    </w:p>
    <w:p w:rsidR="00754841" w:rsidP="7E04A05B" w14:paraId="294896CD" w14:textId="093994E3">
      <w:pPr>
        <w:rPr>
          <w:color w:val="000000" w:themeColor="text1"/>
        </w:rPr>
      </w:pPr>
      <w:r w:rsidRPr="7E04A05B">
        <w:rPr>
          <w:color w:val="000000" w:themeColor="text1"/>
        </w:rPr>
        <w:t xml:space="preserve">PHMSA published a 60-Day Notice and Request for Comments on the extension without change for this information collection in the Federal Register on January 30, 2026, under Docket No. PHMSA-2026-0199 (Notice No. 2026-01).  The comment period closed March 31, 2026. No comments were received for this information collection.  </w:t>
      </w:r>
    </w:p>
    <w:p w:rsidR="00754841" w:rsidP="7E04A05B" w14:paraId="7DCF22F9" w14:textId="02291086">
      <w:pPr>
        <w:rPr>
          <w:color w:val="000000" w:themeColor="text1"/>
        </w:rPr>
      </w:pPr>
    </w:p>
    <w:p w:rsidR="00754841" w:rsidP="2CADAD94" w14:paraId="432BA499" w14:textId="6CB07BE0">
      <w:pPr>
        <w:rPr>
          <w:color w:val="000000" w:themeColor="text1"/>
        </w:rPr>
      </w:pPr>
      <w:r w:rsidRPr="2CADAD94">
        <w:rPr>
          <w:color w:val="000000" w:themeColor="text1"/>
        </w:rPr>
        <w:t>PHMSA published a 30-Day Notice and Request for Comments on the extension without change of this information collection in the Federal Register o</w:t>
      </w:r>
      <w:r w:rsidRPr="2CADAD94" w:rsidR="661055FE">
        <w:rPr>
          <w:color w:val="000000" w:themeColor="text1"/>
        </w:rPr>
        <w:t xml:space="preserve">n July 1, </w:t>
      </w:r>
      <w:r w:rsidRPr="2CADAD94" w:rsidR="46D6A794">
        <w:rPr>
          <w:color w:val="000000" w:themeColor="text1"/>
        </w:rPr>
        <w:t>2026,</w:t>
      </w:r>
      <w:r w:rsidRPr="2CADAD94" w:rsidR="661055FE">
        <w:rPr>
          <w:color w:val="000000" w:themeColor="text1"/>
        </w:rPr>
        <w:t xml:space="preserve"> </w:t>
      </w:r>
      <w:r w:rsidRPr="2CADAD94">
        <w:rPr>
          <w:color w:val="000000" w:themeColor="text1"/>
        </w:rPr>
        <w:t>also under Docket No. PHMSA-2026-0199 (Notice No. 2026</w:t>
      </w:r>
      <w:r w:rsidRPr="2CADAD94" w:rsidR="6D1A8E33">
        <w:rPr>
          <w:color w:val="000000" w:themeColor="text1"/>
        </w:rPr>
        <w:t>-04</w:t>
      </w:r>
      <w:r w:rsidRPr="2CADAD94">
        <w:rPr>
          <w:color w:val="000000" w:themeColor="text1"/>
        </w:rPr>
        <w:t>).</w:t>
      </w:r>
    </w:p>
    <w:p w:rsidR="00754841" w:rsidP="7E04A05B" w14:paraId="752C4339" w14:textId="64436464"/>
    <w:p w:rsidR="00AA5BC0" w14:paraId="3E1BCE94" w14:textId="77777777">
      <w:pPr>
        <w:ind w:left="360" w:hanging="360"/>
      </w:pPr>
      <w:r>
        <w:t>9</w:t>
      </w:r>
      <w:r w:rsidR="00046B96">
        <w:t xml:space="preserve">.  </w:t>
      </w:r>
      <w:r w:rsidR="00BA5BC5">
        <w:rPr>
          <w:u w:val="single"/>
        </w:rPr>
        <w:t>P</w:t>
      </w:r>
      <w:r>
        <w:rPr>
          <w:u w:val="single"/>
        </w:rPr>
        <w:t>ayment</w:t>
      </w:r>
      <w:r w:rsidR="00BA5BC5">
        <w:rPr>
          <w:u w:val="single"/>
        </w:rPr>
        <w:t>s</w:t>
      </w:r>
      <w:r>
        <w:rPr>
          <w:u w:val="single"/>
        </w:rPr>
        <w:t xml:space="preserve"> or gift to respondents</w:t>
      </w:r>
      <w:r>
        <w:t xml:space="preserve">. </w:t>
      </w:r>
    </w:p>
    <w:p w:rsidR="00AA5BC0" w14:paraId="4BD0DAC2" w14:textId="77777777"/>
    <w:p w:rsidR="00AA5BC0" w14:paraId="266519E6" w14:textId="77777777">
      <w:r w:rsidRPr="00EE2465">
        <w:t>This collection of information provides no payment or gift to respondents.</w:t>
      </w:r>
    </w:p>
    <w:p w:rsidR="00754841" w:rsidP="001B381F" w14:paraId="6BCFBFEC" w14:textId="71795819"/>
    <w:p w:rsidR="00AA5BC0" w14:paraId="1C029F39" w14:textId="77777777">
      <w:pPr>
        <w:ind w:left="360" w:hanging="360"/>
      </w:pPr>
      <w:r>
        <w:t>10</w:t>
      </w:r>
      <w:r w:rsidR="00046B96">
        <w:t xml:space="preserve">.  </w:t>
      </w:r>
      <w:r>
        <w:rPr>
          <w:u w:val="single"/>
        </w:rPr>
        <w:t>Assurance of confidentiality</w:t>
      </w:r>
      <w:r w:rsidRPr="00046B96" w:rsidR="00BA5BC5">
        <w:t>.</w:t>
      </w:r>
      <w:r>
        <w:t xml:space="preserve"> </w:t>
      </w:r>
    </w:p>
    <w:p w:rsidR="00AA5BC0" w14:paraId="2BA30322" w14:textId="77777777">
      <w:r>
        <w:t xml:space="preserve"> </w:t>
      </w:r>
    </w:p>
    <w:p w:rsidR="00EE2465" w:rsidRPr="00046B96" w:rsidP="00DB1017" w14:paraId="27BBF663" w14:textId="77777777">
      <w:r w:rsidRPr="00046B96">
        <w:t>None of the data collected contain personally identifiable information (PII) or business confidential information. Therefore, no guarantees of confidentiality are provided to applicants.</w:t>
      </w:r>
    </w:p>
    <w:p w:rsidR="00754841" w14:paraId="0CC61ECB" w14:textId="77777777"/>
    <w:p w:rsidR="00AA5BC0" w14:paraId="27980ED1" w14:textId="77777777">
      <w:pPr>
        <w:ind w:left="360" w:hanging="360"/>
      </w:pPr>
      <w:r>
        <w:t>11.</w:t>
      </w:r>
      <w:r>
        <w:tab/>
      </w:r>
      <w:r w:rsidR="00BA5BC5">
        <w:rPr>
          <w:u w:val="single"/>
        </w:rPr>
        <w:t>Justification for collection of</w:t>
      </w:r>
      <w:r>
        <w:rPr>
          <w:u w:val="single"/>
        </w:rPr>
        <w:t xml:space="preserve"> sensitive </w:t>
      </w:r>
      <w:r w:rsidR="00BA5BC5">
        <w:rPr>
          <w:u w:val="single"/>
        </w:rPr>
        <w:t>information</w:t>
      </w:r>
      <w:r>
        <w:t xml:space="preserve">.  </w:t>
      </w:r>
    </w:p>
    <w:p w:rsidR="00AA5BC0" w14:paraId="0F7D1CD4" w14:textId="77777777"/>
    <w:p w:rsidR="00754841" w14:paraId="4DC7ADA2" w14:textId="77777777">
      <w:r w:rsidRPr="00EE2465">
        <w:t>Not applicable.  This collection of information requires no sensitive information.</w:t>
      </w:r>
      <w:r w:rsidR="00AA5BC0">
        <w:tab/>
      </w:r>
      <w:r w:rsidR="00AA5BC0">
        <w:tab/>
      </w:r>
    </w:p>
    <w:p w:rsidR="00754841" w14:paraId="005CF7AC" w14:textId="77777777"/>
    <w:p w:rsidR="00754841" w14:paraId="09963078" w14:textId="77777777"/>
    <w:p w:rsidR="00AA5BC0" w14:paraId="61CE1ACC" w14:textId="77777777">
      <w:r>
        <w:t>12.</w:t>
      </w:r>
      <w:r w:rsidR="00B51648">
        <w:t xml:space="preserve"> </w:t>
      </w:r>
      <w:r>
        <w:rPr>
          <w:u w:val="single"/>
        </w:rPr>
        <w:t xml:space="preserve">Estimate </w:t>
      </w:r>
      <w:r w:rsidR="00410827">
        <w:rPr>
          <w:u w:val="single"/>
        </w:rPr>
        <w:t>of burden</w:t>
      </w:r>
      <w:r w:rsidR="00BA5BC5">
        <w:rPr>
          <w:u w:val="single"/>
        </w:rPr>
        <w:t xml:space="preserve"> hours for</w:t>
      </w:r>
      <w:r>
        <w:rPr>
          <w:u w:val="single"/>
        </w:rPr>
        <w:t xml:space="preserve"> information</w:t>
      </w:r>
      <w:r w:rsidR="00BA5BC5">
        <w:rPr>
          <w:u w:val="single"/>
        </w:rPr>
        <w:t xml:space="preserve"> requested</w:t>
      </w:r>
      <w:r>
        <w:t>.</w:t>
      </w:r>
    </w:p>
    <w:p w:rsidR="00031C02" w14:paraId="3AE6FCF6" w14:textId="77777777"/>
    <w:tbl>
      <w:tblPr>
        <w:tblW w:w="8160" w:type="dxa"/>
        <w:jc w:val="center"/>
        <w:tblCellMar>
          <w:top w:w="15" w:type="dxa"/>
          <w:bottom w:w="15" w:type="dxa"/>
        </w:tblCellMar>
        <w:tblLook w:val="04A0"/>
      </w:tblPr>
      <w:tblGrid>
        <w:gridCol w:w="1890"/>
        <w:gridCol w:w="1682"/>
        <w:gridCol w:w="1628"/>
        <w:gridCol w:w="1420"/>
        <w:gridCol w:w="1540"/>
      </w:tblGrid>
      <w:tr w14:paraId="34F8F3D0" w14:textId="77777777" w:rsidTr="00DB1017">
        <w:tblPrEx>
          <w:tblW w:w="8160" w:type="dxa"/>
          <w:jc w:val="center"/>
          <w:tblCellMar>
            <w:top w:w="15" w:type="dxa"/>
            <w:bottom w:w="15" w:type="dxa"/>
          </w:tblCellMar>
          <w:tblLook w:val="04A0"/>
        </w:tblPrEx>
        <w:trPr>
          <w:trHeight w:val="560"/>
          <w:jc w:val="center"/>
        </w:trPr>
        <w:tc>
          <w:tcPr>
            <w:tcW w:w="1890" w:type="dxa"/>
            <w:tcBorders>
              <w:top w:val="single" w:sz="4" w:space="0" w:color="auto"/>
              <w:left w:val="single" w:sz="4" w:space="0" w:color="auto"/>
              <w:bottom w:val="single" w:sz="4" w:space="0" w:color="auto"/>
              <w:right w:val="single" w:sz="4" w:space="0" w:color="auto"/>
            </w:tcBorders>
            <w:vAlign w:val="bottom"/>
            <w:hideMark/>
          </w:tcPr>
          <w:p w:rsidR="00031C02" w:rsidRPr="001139A7" w:rsidP="00B535C7" w14:paraId="4A833365" w14:textId="77777777">
            <w:pPr>
              <w:jc w:val="center"/>
              <w:rPr>
                <w:b/>
                <w:bCs/>
                <w:color w:val="000000"/>
                <w:u w:val="single"/>
              </w:rPr>
            </w:pPr>
            <w:r w:rsidRPr="001139A7">
              <w:rPr>
                <w:b/>
                <w:bCs/>
                <w:color w:val="000000"/>
                <w:u w:val="single"/>
              </w:rPr>
              <w:t>Total Number of Respondents</w:t>
            </w:r>
          </w:p>
        </w:tc>
        <w:tc>
          <w:tcPr>
            <w:tcW w:w="1682" w:type="dxa"/>
            <w:tcBorders>
              <w:top w:val="single" w:sz="4" w:space="0" w:color="auto"/>
              <w:left w:val="single" w:sz="4" w:space="0" w:color="auto"/>
              <w:bottom w:val="single" w:sz="4" w:space="0" w:color="auto"/>
              <w:right w:val="single" w:sz="4" w:space="0" w:color="auto"/>
            </w:tcBorders>
            <w:vAlign w:val="bottom"/>
            <w:hideMark/>
          </w:tcPr>
          <w:p w:rsidR="00031C02" w:rsidRPr="001139A7" w:rsidP="00B535C7" w14:paraId="26579537" w14:textId="77777777">
            <w:pPr>
              <w:jc w:val="center"/>
              <w:rPr>
                <w:b/>
                <w:bCs/>
                <w:color w:val="000000"/>
                <w:u w:val="single"/>
              </w:rPr>
            </w:pPr>
            <w:r w:rsidRPr="001139A7">
              <w:rPr>
                <w:b/>
                <w:bCs/>
                <w:color w:val="000000"/>
                <w:u w:val="single"/>
              </w:rPr>
              <w:t>Total Number of Responses</w:t>
            </w:r>
          </w:p>
        </w:tc>
        <w:tc>
          <w:tcPr>
            <w:tcW w:w="1628" w:type="dxa"/>
            <w:tcBorders>
              <w:top w:val="single" w:sz="4" w:space="0" w:color="auto"/>
              <w:left w:val="single" w:sz="4" w:space="0" w:color="auto"/>
              <w:bottom w:val="single" w:sz="4" w:space="0" w:color="auto"/>
              <w:right w:val="single" w:sz="4" w:space="0" w:color="auto"/>
            </w:tcBorders>
            <w:vAlign w:val="bottom"/>
            <w:hideMark/>
          </w:tcPr>
          <w:p w:rsidR="00031C02" w:rsidRPr="001139A7" w:rsidP="00B535C7" w14:paraId="09042B90" w14:textId="77777777">
            <w:pPr>
              <w:jc w:val="center"/>
              <w:rPr>
                <w:b/>
                <w:bCs/>
                <w:color w:val="000000"/>
                <w:u w:val="single"/>
              </w:rPr>
            </w:pPr>
            <w:r w:rsidRPr="001139A7">
              <w:rPr>
                <w:b/>
                <w:bCs/>
                <w:color w:val="000000"/>
                <w:u w:val="single"/>
              </w:rPr>
              <w:t>Total Burden Hours</w:t>
            </w:r>
          </w:p>
        </w:tc>
        <w:tc>
          <w:tcPr>
            <w:tcW w:w="1420" w:type="dxa"/>
            <w:tcBorders>
              <w:top w:val="single" w:sz="4" w:space="0" w:color="auto"/>
              <w:left w:val="single" w:sz="4" w:space="0" w:color="auto"/>
              <w:bottom w:val="single" w:sz="4" w:space="0" w:color="auto"/>
              <w:right w:val="single" w:sz="4" w:space="0" w:color="auto"/>
            </w:tcBorders>
            <w:vAlign w:val="bottom"/>
            <w:hideMark/>
          </w:tcPr>
          <w:p w:rsidR="00031C02" w:rsidRPr="001139A7" w:rsidP="00B535C7" w14:paraId="0007D8DB" w14:textId="77777777">
            <w:pPr>
              <w:jc w:val="center"/>
              <w:rPr>
                <w:b/>
                <w:bCs/>
                <w:color w:val="000000"/>
                <w:u w:val="single"/>
              </w:rPr>
            </w:pPr>
            <w:r w:rsidRPr="001139A7">
              <w:rPr>
                <w:b/>
                <w:bCs/>
                <w:color w:val="000000"/>
                <w:u w:val="single"/>
              </w:rPr>
              <w:t>Total Salary Cost</w:t>
            </w:r>
          </w:p>
        </w:tc>
        <w:tc>
          <w:tcPr>
            <w:tcW w:w="1540" w:type="dxa"/>
            <w:tcBorders>
              <w:top w:val="single" w:sz="4" w:space="0" w:color="auto"/>
              <w:left w:val="single" w:sz="4" w:space="0" w:color="auto"/>
              <w:bottom w:val="single" w:sz="4" w:space="0" w:color="auto"/>
              <w:right w:val="single" w:sz="4" w:space="0" w:color="auto"/>
            </w:tcBorders>
          </w:tcPr>
          <w:p w:rsidR="00031C02" w:rsidRPr="001139A7" w:rsidP="00B535C7" w14:paraId="4816FD1C" w14:textId="77777777">
            <w:pPr>
              <w:jc w:val="center"/>
              <w:rPr>
                <w:b/>
                <w:bCs/>
                <w:color w:val="000000"/>
                <w:u w:val="single"/>
              </w:rPr>
            </w:pPr>
            <w:r>
              <w:rPr>
                <w:b/>
                <w:bCs/>
                <w:color w:val="000000"/>
                <w:u w:val="single"/>
              </w:rPr>
              <w:t>Total Burden Cost</w:t>
            </w:r>
          </w:p>
        </w:tc>
      </w:tr>
      <w:tr w14:paraId="152BF40B" w14:textId="77777777" w:rsidTr="00DB1017">
        <w:tblPrEx>
          <w:tblW w:w="8160" w:type="dxa"/>
          <w:jc w:val="center"/>
          <w:tblCellMar>
            <w:top w:w="15" w:type="dxa"/>
            <w:bottom w:w="15" w:type="dxa"/>
          </w:tblCellMar>
          <w:tblLook w:val="04A0"/>
        </w:tblPrEx>
        <w:trPr>
          <w:trHeight w:val="315"/>
          <w:jc w:val="center"/>
        </w:trPr>
        <w:tc>
          <w:tcPr>
            <w:tcW w:w="1890" w:type="dxa"/>
            <w:tcBorders>
              <w:top w:val="single" w:sz="4" w:space="0" w:color="auto"/>
              <w:left w:val="single" w:sz="4" w:space="0" w:color="auto"/>
              <w:bottom w:val="single" w:sz="4" w:space="0" w:color="auto"/>
              <w:right w:val="single" w:sz="4" w:space="0" w:color="auto"/>
            </w:tcBorders>
            <w:noWrap/>
            <w:vAlign w:val="bottom"/>
            <w:hideMark/>
          </w:tcPr>
          <w:p w:rsidR="00031C02" w:rsidRPr="00EB75A1" w:rsidP="00B535C7" w14:paraId="4DAE5578" w14:textId="77777777">
            <w:pPr>
              <w:jc w:val="center"/>
              <w:rPr>
                <w:color w:val="000000"/>
              </w:rPr>
            </w:pPr>
            <w:r>
              <w:rPr>
                <w:color w:val="000000"/>
              </w:rPr>
              <w:t>500</w:t>
            </w:r>
          </w:p>
        </w:tc>
        <w:tc>
          <w:tcPr>
            <w:tcW w:w="1682" w:type="dxa"/>
            <w:tcBorders>
              <w:top w:val="single" w:sz="4" w:space="0" w:color="auto"/>
              <w:left w:val="single" w:sz="4" w:space="0" w:color="auto"/>
              <w:bottom w:val="single" w:sz="4" w:space="0" w:color="auto"/>
              <w:right w:val="single" w:sz="4" w:space="0" w:color="auto"/>
            </w:tcBorders>
            <w:noWrap/>
            <w:vAlign w:val="bottom"/>
            <w:hideMark/>
          </w:tcPr>
          <w:p w:rsidR="00031C02" w:rsidRPr="00EB75A1" w:rsidP="00B535C7" w14:paraId="3411AD71" w14:textId="77777777">
            <w:pPr>
              <w:jc w:val="center"/>
              <w:rPr>
                <w:color w:val="000000"/>
              </w:rPr>
            </w:pPr>
            <w:r>
              <w:rPr>
                <w:color w:val="000000"/>
              </w:rPr>
              <w:t>500</w:t>
            </w:r>
          </w:p>
        </w:tc>
        <w:tc>
          <w:tcPr>
            <w:tcW w:w="1628" w:type="dxa"/>
            <w:tcBorders>
              <w:top w:val="single" w:sz="4" w:space="0" w:color="auto"/>
              <w:left w:val="single" w:sz="4" w:space="0" w:color="auto"/>
              <w:bottom w:val="single" w:sz="4" w:space="0" w:color="auto"/>
              <w:right w:val="single" w:sz="4" w:space="0" w:color="auto"/>
            </w:tcBorders>
            <w:noWrap/>
            <w:vAlign w:val="bottom"/>
            <w:hideMark/>
          </w:tcPr>
          <w:p w:rsidR="00031C02" w:rsidRPr="00EB75A1" w:rsidP="00B535C7" w14:paraId="2537A184" w14:textId="77777777">
            <w:pPr>
              <w:jc w:val="center"/>
              <w:rPr>
                <w:color w:val="000000"/>
              </w:rPr>
            </w:pPr>
            <w:r>
              <w:rPr>
                <w:color w:val="000000"/>
              </w:rPr>
              <w:t>175</w:t>
            </w:r>
          </w:p>
        </w:tc>
        <w:tc>
          <w:tcPr>
            <w:tcW w:w="1420" w:type="dxa"/>
            <w:tcBorders>
              <w:top w:val="single" w:sz="4" w:space="0" w:color="auto"/>
              <w:left w:val="single" w:sz="4" w:space="0" w:color="auto"/>
              <w:bottom w:val="single" w:sz="4" w:space="0" w:color="auto"/>
              <w:right w:val="single" w:sz="4" w:space="0" w:color="auto"/>
            </w:tcBorders>
            <w:noWrap/>
            <w:vAlign w:val="bottom"/>
            <w:hideMark/>
          </w:tcPr>
          <w:p w:rsidR="00031C02" w:rsidRPr="00EB75A1" w:rsidP="007D6DF0" w14:paraId="623C1A25" w14:textId="77AD5699">
            <w:pPr>
              <w:spacing w:line="259" w:lineRule="auto"/>
              <w:jc w:val="center"/>
            </w:pPr>
            <w:r w:rsidRPr="1E45B01F">
              <w:rPr>
                <w:color w:val="000000" w:themeColor="text1"/>
              </w:rPr>
              <w:t>$</w:t>
            </w:r>
            <w:r w:rsidRPr="1E45B01F" w:rsidR="7595C56C">
              <w:rPr>
                <w:color w:val="000000" w:themeColor="text1"/>
              </w:rPr>
              <w:t>1</w:t>
            </w:r>
            <w:r w:rsidR="005A3E8E">
              <w:rPr>
                <w:color w:val="000000" w:themeColor="text1"/>
              </w:rPr>
              <w:t>3,995</w:t>
            </w:r>
          </w:p>
        </w:tc>
        <w:tc>
          <w:tcPr>
            <w:tcW w:w="1540" w:type="dxa"/>
            <w:tcBorders>
              <w:top w:val="single" w:sz="4" w:space="0" w:color="auto"/>
              <w:left w:val="single" w:sz="4" w:space="0" w:color="auto"/>
              <w:bottom w:val="single" w:sz="4" w:space="0" w:color="auto"/>
              <w:right w:val="single" w:sz="4" w:space="0" w:color="auto"/>
            </w:tcBorders>
          </w:tcPr>
          <w:p w:rsidR="00031C02" w:rsidRPr="00EB75A1" w:rsidP="00B535C7" w14:paraId="36C3EB70" w14:textId="77777777">
            <w:pPr>
              <w:jc w:val="center"/>
              <w:rPr>
                <w:color w:val="000000"/>
              </w:rPr>
            </w:pPr>
            <w:r>
              <w:rPr>
                <w:color w:val="000000"/>
              </w:rPr>
              <w:t>$0</w:t>
            </w:r>
          </w:p>
        </w:tc>
      </w:tr>
    </w:tbl>
    <w:p w:rsidR="00031C02" w:rsidP="00046B96" w14:paraId="523E00FE" w14:textId="77777777">
      <w:pPr>
        <w:jc w:val="both"/>
      </w:pPr>
    </w:p>
    <w:p w:rsidR="00031C02" w:rsidRPr="00C2009D" w:rsidP="00031C02" w14:paraId="2FB8F68D" w14:textId="77777777">
      <w:pPr>
        <w:rPr>
          <w:b/>
          <w:u w:val="single"/>
        </w:rPr>
      </w:pPr>
      <w:r w:rsidRPr="00C2009D">
        <w:rPr>
          <w:b/>
          <w:u w:val="single"/>
        </w:rPr>
        <w:t>Annual visual inspection - § 173.5a(b)(3)(i)</w:t>
      </w:r>
    </w:p>
    <w:p w:rsidR="00031C02" w:rsidP="00046B96" w14:paraId="65D756BD" w14:textId="77777777">
      <w:pPr>
        <w:jc w:val="both"/>
      </w:pPr>
    </w:p>
    <w:p w:rsidR="00031C02" w:rsidP="00DB1017" w14:paraId="1127707F" w14:textId="4C399C70">
      <w:r w:rsidRPr="00031C02">
        <w:t xml:space="preserve">Based on historical data, it is estimated that </w:t>
      </w:r>
      <w:r w:rsidR="00193306">
        <w:t>250</w:t>
      </w:r>
      <w:r w:rsidRPr="00031C02">
        <w:t xml:space="preserve"> </w:t>
      </w:r>
      <w:r w:rsidR="00513545">
        <w:t>annual inspections of meter provers are completed</w:t>
      </w:r>
      <w:r w:rsidRPr="00031C02">
        <w:t xml:space="preserve"> each year. PHMSA estimates that </w:t>
      </w:r>
      <w:r w:rsidR="00513545">
        <w:t>paperwork burden for each inspection will take</w:t>
      </w:r>
      <w:r w:rsidRPr="00031C02">
        <w:t xml:space="preserve"> </w:t>
      </w:r>
      <w:r w:rsidR="00193306">
        <w:t>30 minutes to complete</w:t>
      </w:r>
      <w:r w:rsidRPr="00031C02">
        <w:t xml:space="preserve"> for a total of </w:t>
      </w:r>
      <w:r w:rsidR="00193306">
        <w:t>125</w:t>
      </w:r>
      <w:r w:rsidRPr="00031C02">
        <w:t xml:space="preserve"> burden hours (</w:t>
      </w:r>
      <w:r w:rsidR="00193306">
        <w:t>250</w:t>
      </w:r>
      <w:r w:rsidRPr="00031C02" w:rsidR="00193306">
        <w:t xml:space="preserve"> </w:t>
      </w:r>
      <w:r w:rsidRPr="00031C02">
        <w:t xml:space="preserve">responses x </w:t>
      </w:r>
      <w:r w:rsidR="00193306">
        <w:t>30 minutes</w:t>
      </w:r>
      <w:r w:rsidRPr="00031C02">
        <w:t xml:space="preserve"> per response). Each </w:t>
      </w:r>
      <w:r w:rsidR="00193306">
        <w:t xml:space="preserve">person completing this information collection is expected to make </w:t>
      </w:r>
      <w:r w:rsidRPr="00031C02">
        <w:t>$</w:t>
      </w:r>
      <w:r w:rsidR="008C30CF">
        <w:t>7</w:t>
      </w:r>
      <w:r w:rsidR="005A3E8E">
        <w:t>9</w:t>
      </w:r>
      <w:r w:rsidR="008C30CF">
        <w:t>.97</w:t>
      </w:r>
      <w:r w:rsidRPr="00031C02">
        <w:t xml:space="preserve"> per hour</w:t>
      </w:r>
      <w:r w:rsidR="00193306">
        <w:t>,</w:t>
      </w:r>
      <w:r w:rsidRPr="00031C02">
        <w:t xml:space="preserve"> for a total salary cost of $</w:t>
      </w:r>
      <w:r w:rsidR="005A3E8E">
        <w:t>9,996</w:t>
      </w:r>
      <w:r w:rsidRPr="00031C02">
        <w:t xml:space="preserve"> ($</w:t>
      </w:r>
      <w:r w:rsidR="008C30CF">
        <w:t>7</w:t>
      </w:r>
      <w:r w:rsidR="005A3E8E">
        <w:t>9</w:t>
      </w:r>
      <w:r w:rsidR="008C30CF">
        <w:t>.97</w:t>
      </w:r>
      <w:r w:rsidRPr="00031C02">
        <w:t xml:space="preserve"> x </w:t>
      </w:r>
      <w:r w:rsidR="00193306">
        <w:t>125</w:t>
      </w:r>
      <w:r w:rsidRPr="00031C02">
        <w:t xml:space="preserve"> burden hours). There are no out of pocket cost associated with this information collection.</w:t>
      </w:r>
      <w:r>
        <w:rPr>
          <w:vertAlign w:val="superscript"/>
        </w:rPr>
        <w:footnoteReference w:id="5"/>
      </w:r>
    </w:p>
    <w:p w:rsidR="00193306" w:rsidP="00046B96" w14:paraId="467F6052" w14:textId="77777777">
      <w:pPr>
        <w:jc w:val="both"/>
      </w:pPr>
    </w:p>
    <w:tbl>
      <w:tblPr>
        <w:tblW w:w="11006" w:type="dxa"/>
        <w:jc w:val="center"/>
        <w:tblLayout w:type="fixed"/>
        <w:tblLook w:val="04A0"/>
      </w:tblPr>
      <w:tblGrid>
        <w:gridCol w:w="1440"/>
        <w:gridCol w:w="1665"/>
        <w:gridCol w:w="1253"/>
        <w:gridCol w:w="1248"/>
        <w:gridCol w:w="1080"/>
        <w:gridCol w:w="990"/>
        <w:gridCol w:w="810"/>
        <w:gridCol w:w="900"/>
        <w:gridCol w:w="810"/>
        <w:gridCol w:w="810"/>
      </w:tblGrid>
      <w:tr w14:paraId="2D9526C9" w14:textId="77777777" w:rsidTr="007D6DF0">
        <w:tblPrEx>
          <w:tblW w:w="11006" w:type="dxa"/>
          <w:jc w:val="center"/>
          <w:tblLayout w:type="fixed"/>
          <w:tblLook w:val="04A0"/>
        </w:tblPrEx>
        <w:trPr>
          <w:trHeight w:val="80"/>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3306" w:rsidRPr="00DB1017" w:rsidP="00DB1017" w14:paraId="1F9F0EB8" w14:textId="77777777">
            <w:pPr>
              <w:keepNext/>
              <w:keepLines/>
              <w:jc w:val="center"/>
              <w:rPr>
                <w:bCs/>
                <w:color w:val="000000"/>
                <w:sz w:val="20"/>
                <w:szCs w:val="20"/>
                <w:u w:val="single"/>
              </w:rPr>
            </w:pPr>
            <w:r w:rsidRPr="00DB1017">
              <w:rPr>
                <w:bCs/>
                <w:color w:val="000000"/>
                <w:sz w:val="20"/>
                <w:szCs w:val="20"/>
                <w:u w:val="single"/>
              </w:rPr>
              <w:t>Information Collection</w:t>
            </w:r>
          </w:p>
        </w:tc>
        <w:tc>
          <w:tcPr>
            <w:tcW w:w="1665"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34047605" w14:textId="77777777">
            <w:pPr>
              <w:keepNext/>
              <w:keepLines/>
              <w:jc w:val="center"/>
              <w:rPr>
                <w:bCs/>
                <w:color w:val="000000"/>
                <w:sz w:val="20"/>
                <w:szCs w:val="20"/>
                <w:u w:val="single"/>
              </w:rPr>
            </w:pPr>
            <w:r w:rsidRPr="00DB1017">
              <w:rPr>
                <w:bCs/>
                <w:color w:val="000000"/>
                <w:sz w:val="20"/>
                <w:szCs w:val="20"/>
                <w:u w:val="single"/>
              </w:rPr>
              <w:t>Regulation</w:t>
            </w:r>
          </w:p>
        </w:tc>
        <w:tc>
          <w:tcPr>
            <w:tcW w:w="1253"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2A307B1B" w14:textId="77777777">
            <w:pPr>
              <w:keepNext/>
              <w:keepLines/>
              <w:jc w:val="center"/>
              <w:rPr>
                <w:bCs/>
                <w:color w:val="000000"/>
                <w:sz w:val="20"/>
                <w:szCs w:val="20"/>
                <w:u w:val="single"/>
              </w:rPr>
            </w:pPr>
            <w:r w:rsidRPr="00DB1017">
              <w:rPr>
                <w:bCs/>
                <w:color w:val="000000"/>
                <w:sz w:val="20"/>
                <w:szCs w:val="20"/>
                <w:u w:val="single"/>
              </w:rPr>
              <w:t>Total Respondents</w:t>
            </w:r>
          </w:p>
        </w:tc>
        <w:tc>
          <w:tcPr>
            <w:tcW w:w="1248"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20EF73C2" w14:textId="77777777">
            <w:pPr>
              <w:keepNext/>
              <w:keepLines/>
              <w:jc w:val="center"/>
              <w:rPr>
                <w:bCs/>
                <w:color w:val="000000"/>
                <w:sz w:val="20"/>
                <w:szCs w:val="20"/>
                <w:u w:val="single"/>
              </w:rPr>
            </w:pPr>
            <w:r w:rsidRPr="00DB1017">
              <w:rPr>
                <w:bCs/>
                <w:color w:val="000000"/>
                <w:sz w:val="20"/>
                <w:szCs w:val="20"/>
                <w:u w:val="single"/>
              </w:rPr>
              <w:t>Reponses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1D388EC1" w14:textId="77777777">
            <w:pPr>
              <w:keepNext/>
              <w:keepLines/>
              <w:jc w:val="center"/>
              <w:rPr>
                <w:bCs/>
                <w:color w:val="000000"/>
                <w:sz w:val="20"/>
                <w:szCs w:val="20"/>
                <w:u w:val="single"/>
              </w:rPr>
            </w:pPr>
            <w:r w:rsidRPr="00DB1017">
              <w:rPr>
                <w:bCs/>
                <w:color w:val="000000"/>
                <w:sz w:val="20"/>
                <w:szCs w:val="20"/>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1DC93B36" w14:textId="77777777">
            <w:pPr>
              <w:keepNext/>
              <w:keepLines/>
              <w:jc w:val="center"/>
              <w:rPr>
                <w:bCs/>
                <w:color w:val="000000"/>
                <w:sz w:val="20"/>
                <w:szCs w:val="20"/>
                <w:u w:val="single"/>
              </w:rPr>
            </w:pPr>
            <w:r w:rsidRPr="00DB1017">
              <w:rPr>
                <w:bCs/>
                <w:color w:val="000000"/>
                <w:sz w:val="20"/>
                <w:szCs w:val="20"/>
                <w:u w:val="single"/>
              </w:rPr>
              <w:t>Minutes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4BF149D4" w14:textId="77777777">
            <w:pPr>
              <w:keepNext/>
              <w:keepLines/>
              <w:jc w:val="center"/>
              <w:rPr>
                <w:bCs/>
                <w:color w:val="000000"/>
                <w:sz w:val="20"/>
                <w:szCs w:val="20"/>
                <w:u w:val="single"/>
              </w:rPr>
            </w:pPr>
            <w:r w:rsidRPr="00DB1017">
              <w:rPr>
                <w:bCs/>
                <w:color w:val="000000"/>
                <w:sz w:val="20"/>
                <w:szCs w:val="20"/>
                <w:u w:val="single"/>
              </w:rPr>
              <w:t>Annual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02AA213C" w14:textId="77777777">
            <w:pPr>
              <w:keepNext/>
              <w:keepLines/>
              <w:jc w:val="center"/>
              <w:rPr>
                <w:bCs/>
                <w:color w:val="000000"/>
                <w:sz w:val="20"/>
                <w:szCs w:val="20"/>
                <w:u w:val="single"/>
              </w:rPr>
            </w:pPr>
            <w:r w:rsidRPr="00DB1017">
              <w:rPr>
                <w:bCs/>
                <w:color w:val="000000"/>
                <w:sz w:val="20"/>
                <w:szCs w:val="20"/>
                <w:u w:val="single"/>
              </w:rPr>
              <w:t>Salary Cost per Hour</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53C9BEC2" w14:textId="77777777">
            <w:pPr>
              <w:keepNext/>
              <w:keepLines/>
              <w:jc w:val="center"/>
              <w:rPr>
                <w:bCs/>
                <w:color w:val="000000"/>
                <w:sz w:val="20"/>
                <w:szCs w:val="20"/>
                <w:u w:val="single"/>
              </w:rPr>
            </w:pPr>
            <w:r w:rsidRPr="00DB1017">
              <w:rPr>
                <w:bCs/>
                <w:color w:val="000000"/>
                <w:sz w:val="20"/>
                <w:szCs w:val="20"/>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93306" w:rsidRPr="00DB1017" w:rsidP="00DB1017" w14:paraId="7DA7E8A6" w14:textId="77777777">
            <w:pPr>
              <w:keepNext/>
              <w:keepLines/>
              <w:jc w:val="center"/>
              <w:rPr>
                <w:bCs/>
                <w:color w:val="000000"/>
                <w:sz w:val="20"/>
                <w:szCs w:val="20"/>
                <w:u w:val="single"/>
              </w:rPr>
            </w:pPr>
            <w:r w:rsidRPr="00DB1017">
              <w:rPr>
                <w:bCs/>
                <w:color w:val="000000"/>
                <w:sz w:val="20"/>
                <w:szCs w:val="20"/>
                <w:u w:val="single"/>
              </w:rPr>
              <w:t>Annual Burden Cost</w:t>
            </w:r>
          </w:p>
        </w:tc>
      </w:tr>
      <w:tr w14:paraId="73FF25D7" w14:textId="77777777" w:rsidTr="007D6DF0">
        <w:tblPrEx>
          <w:tblW w:w="11006" w:type="dxa"/>
          <w:jc w:val="center"/>
          <w:tblLayout w:type="fixed"/>
          <w:tblLook w:val="04A0"/>
        </w:tblPrEx>
        <w:trPr>
          <w:trHeight w:val="58"/>
          <w:jc w:val="center"/>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193306" w:rsidRPr="00DB1017" w:rsidP="00DB1017" w14:paraId="4DFDB7DF" w14:textId="77777777">
            <w:pPr>
              <w:keepNext/>
              <w:keepLines/>
              <w:rPr>
                <w:color w:val="000000"/>
                <w:sz w:val="20"/>
                <w:szCs w:val="20"/>
              </w:rPr>
            </w:pPr>
            <w:r w:rsidRPr="00DB1017">
              <w:rPr>
                <w:color w:val="000000"/>
                <w:sz w:val="20"/>
                <w:szCs w:val="20"/>
              </w:rPr>
              <w:t>Annual Visual Inspection</w:t>
            </w:r>
          </w:p>
        </w:tc>
        <w:tc>
          <w:tcPr>
            <w:tcW w:w="1665" w:type="dxa"/>
            <w:tcBorders>
              <w:top w:val="nil"/>
              <w:left w:val="nil"/>
              <w:bottom w:val="single" w:sz="4" w:space="0" w:color="auto"/>
              <w:right w:val="single" w:sz="4" w:space="0" w:color="auto"/>
            </w:tcBorders>
            <w:shd w:val="clear" w:color="auto" w:fill="auto"/>
            <w:vAlign w:val="bottom"/>
            <w:hideMark/>
          </w:tcPr>
          <w:p w:rsidR="00193306" w:rsidRPr="00DB1017" w:rsidP="00DB1017" w14:paraId="1983D176" w14:textId="77777777">
            <w:pPr>
              <w:keepNext/>
              <w:keepLines/>
              <w:rPr>
                <w:color w:val="000000"/>
                <w:sz w:val="20"/>
                <w:szCs w:val="20"/>
              </w:rPr>
            </w:pPr>
            <w:r w:rsidRPr="00DB1017">
              <w:rPr>
                <w:color w:val="000000"/>
                <w:sz w:val="20"/>
                <w:szCs w:val="20"/>
              </w:rPr>
              <w:t>§ 173.5a(b)(3)(i)</w:t>
            </w:r>
          </w:p>
        </w:tc>
        <w:tc>
          <w:tcPr>
            <w:tcW w:w="1253"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71076179" w14:textId="77777777">
            <w:pPr>
              <w:keepNext/>
              <w:keepLines/>
              <w:jc w:val="right"/>
              <w:rPr>
                <w:color w:val="000000"/>
                <w:sz w:val="20"/>
                <w:szCs w:val="20"/>
              </w:rPr>
            </w:pPr>
            <w:r w:rsidRPr="00DB1017">
              <w:rPr>
                <w:color w:val="000000"/>
                <w:sz w:val="20"/>
                <w:szCs w:val="20"/>
              </w:rPr>
              <w:t>250</w:t>
            </w:r>
          </w:p>
        </w:tc>
        <w:tc>
          <w:tcPr>
            <w:tcW w:w="1248"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43335558" w14:textId="77777777">
            <w:pPr>
              <w:keepNext/>
              <w:keepLines/>
              <w:jc w:val="right"/>
              <w:rPr>
                <w:color w:val="000000"/>
                <w:sz w:val="20"/>
                <w:szCs w:val="20"/>
              </w:rPr>
            </w:pPr>
            <w:r w:rsidRPr="00DB101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235DEA83" w14:textId="77777777">
            <w:pPr>
              <w:keepNext/>
              <w:keepLines/>
              <w:jc w:val="right"/>
              <w:rPr>
                <w:color w:val="000000"/>
                <w:sz w:val="20"/>
                <w:szCs w:val="20"/>
              </w:rPr>
            </w:pPr>
            <w:r w:rsidRPr="00DB1017">
              <w:rPr>
                <w:color w:val="000000"/>
                <w:sz w:val="20"/>
                <w:szCs w:val="20"/>
              </w:rPr>
              <w:t>250</w:t>
            </w:r>
          </w:p>
        </w:tc>
        <w:tc>
          <w:tcPr>
            <w:tcW w:w="990"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64FA5963" w14:textId="77777777">
            <w:pPr>
              <w:keepNext/>
              <w:keepLines/>
              <w:jc w:val="right"/>
              <w:rPr>
                <w:color w:val="000000"/>
                <w:sz w:val="20"/>
                <w:szCs w:val="20"/>
              </w:rPr>
            </w:pPr>
            <w:r w:rsidRPr="00DB1017">
              <w:rPr>
                <w:color w:val="000000"/>
                <w:sz w:val="20"/>
                <w:szCs w:val="20"/>
              </w:rPr>
              <w:t>30</w:t>
            </w:r>
          </w:p>
        </w:tc>
        <w:tc>
          <w:tcPr>
            <w:tcW w:w="810"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734414D6" w14:textId="77777777">
            <w:pPr>
              <w:keepNext/>
              <w:keepLines/>
              <w:jc w:val="right"/>
              <w:rPr>
                <w:color w:val="000000"/>
                <w:sz w:val="20"/>
                <w:szCs w:val="20"/>
              </w:rPr>
            </w:pPr>
            <w:r w:rsidRPr="00DB1017">
              <w:rPr>
                <w:color w:val="000000"/>
                <w:sz w:val="20"/>
                <w:szCs w:val="20"/>
              </w:rPr>
              <w:t>125</w:t>
            </w:r>
          </w:p>
        </w:tc>
        <w:tc>
          <w:tcPr>
            <w:tcW w:w="900"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15E048D6" w14:textId="085FECD9">
            <w:pPr>
              <w:keepNext/>
              <w:keepLines/>
              <w:jc w:val="right"/>
              <w:rPr>
                <w:color w:val="000000"/>
                <w:sz w:val="20"/>
                <w:szCs w:val="20"/>
              </w:rPr>
            </w:pPr>
            <w:r w:rsidRPr="00DB1017">
              <w:rPr>
                <w:color w:val="000000"/>
                <w:sz w:val="20"/>
                <w:szCs w:val="20"/>
              </w:rPr>
              <w:t>$</w:t>
            </w:r>
            <w:r w:rsidR="00071A90">
              <w:rPr>
                <w:color w:val="000000"/>
                <w:sz w:val="20"/>
                <w:szCs w:val="20"/>
              </w:rPr>
              <w:t>7</w:t>
            </w:r>
            <w:r w:rsidR="005A3E8E">
              <w:rPr>
                <w:color w:val="000000"/>
                <w:sz w:val="20"/>
                <w:szCs w:val="20"/>
              </w:rPr>
              <w:t>9</w:t>
            </w:r>
            <w:r w:rsidR="00071A90">
              <w:rPr>
                <w:color w:val="000000"/>
                <w:sz w:val="20"/>
                <w:szCs w:val="20"/>
              </w:rPr>
              <w:t>.97</w:t>
            </w:r>
          </w:p>
        </w:tc>
        <w:tc>
          <w:tcPr>
            <w:tcW w:w="810"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5856ED37" w14:textId="604FD5F4">
            <w:pPr>
              <w:keepNext/>
              <w:keepLines/>
              <w:jc w:val="right"/>
              <w:rPr>
                <w:color w:val="000000"/>
                <w:sz w:val="20"/>
                <w:szCs w:val="20"/>
              </w:rPr>
            </w:pPr>
            <w:r w:rsidRPr="00DB1017">
              <w:rPr>
                <w:color w:val="000000"/>
                <w:sz w:val="20"/>
                <w:szCs w:val="20"/>
              </w:rPr>
              <w:t>$</w:t>
            </w:r>
            <w:r w:rsidR="005A3E8E">
              <w:rPr>
                <w:color w:val="000000"/>
                <w:sz w:val="20"/>
                <w:szCs w:val="20"/>
              </w:rPr>
              <w:t>9,996</w:t>
            </w:r>
          </w:p>
        </w:tc>
        <w:tc>
          <w:tcPr>
            <w:tcW w:w="810" w:type="dxa"/>
            <w:tcBorders>
              <w:top w:val="nil"/>
              <w:left w:val="nil"/>
              <w:bottom w:val="single" w:sz="4" w:space="0" w:color="auto"/>
              <w:right w:val="single" w:sz="4" w:space="0" w:color="auto"/>
            </w:tcBorders>
            <w:shd w:val="clear" w:color="auto" w:fill="auto"/>
            <w:noWrap/>
            <w:vAlign w:val="bottom"/>
            <w:hideMark/>
          </w:tcPr>
          <w:p w:rsidR="00193306" w:rsidRPr="00DB1017" w:rsidP="00DB1017" w14:paraId="19D74F05" w14:textId="77777777">
            <w:pPr>
              <w:keepNext/>
              <w:keepLines/>
              <w:jc w:val="right"/>
              <w:rPr>
                <w:color w:val="000000"/>
                <w:sz w:val="20"/>
                <w:szCs w:val="20"/>
              </w:rPr>
            </w:pPr>
            <w:r w:rsidRPr="00DB1017">
              <w:rPr>
                <w:color w:val="000000"/>
                <w:sz w:val="20"/>
                <w:szCs w:val="20"/>
              </w:rPr>
              <w:t>$0</w:t>
            </w:r>
          </w:p>
        </w:tc>
      </w:tr>
    </w:tbl>
    <w:p w:rsidR="00031C02" w:rsidP="00046B96" w14:paraId="1E5B9DB2" w14:textId="77777777">
      <w:pPr>
        <w:jc w:val="both"/>
      </w:pPr>
    </w:p>
    <w:p w:rsidR="00513545" w:rsidP="00046B96" w14:paraId="3BBD816B" w14:textId="77777777">
      <w:pPr>
        <w:jc w:val="both"/>
      </w:pPr>
      <w:r w:rsidRPr="00513545">
        <w:rPr>
          <w:b/>
          <w:u w:val="single"/>
        </w:rPr>
        <w:t xml:space="preserve">Hydrostatic </w:t>
      </w:r>
      <w:r w:rsidR="00193306">
        <w:rPr>
          <w:b/>
          <w:u w:val="single"/>
        </w:rPr>
        <w:t>P</w:t>
      </w:r>
      <w:r w:rsidRPr="00513545">
        <w:rPr>
          <w:b/>
          <w:u w:val="single"/>
        </w:rPr>
        <w:t xml:space="preserve">ressure </w:t>
      </w:r>
      <w:r w:rsidR="00193306">
        <w:rPr>
          <w:b/>
          <w:u w:val="single"/>
        </w:rPr>
        <w:t>T</w:t>
      </w:r>
      <w:r w:rsidRPr="00513545" w:rsidR="00193306">
        <w:rPr>
          <w:b/>
          <w:u w:val="single"/>
        </w:rPr>
        <w:t xml:space="preserve">est </w:t>
      </w:r>
      <w:r w:rsidRPr="00513545">
        <w:rPr>
          <w:b/>
          <w:u w:val="single"/>
        </w:rPr>
        <w:t>- § 173.5a(b)(3)(ii)</w:t>
      </w:r>
    </w:p>
    <w:p w:rsidR="00513545" w:rsidP="00046B96" w14:paraId="701AB1D9" w14:textId="77777777">
      <w:pPr>
        <w:jc w:val="both"/>
      </w:pPr>
    </w:p>
    <w:p w:rsidR="00513545" w:rsidP="00DB1017" w14:paraId="4B25B2B7" w14:textId="75BFA243">
      <w:r w:rsidRPr="00513545">
        <w:t xml:space="preserve">Based on historical data, it is estimated that </w:t>
      </w:r>
      <w:r w:rsidR="00B55694">
        <w:t>250</w:t>
      </w:r>
      <w:r w:rsidRPr="00513545">
        <w:t xml:space="preserve"> </w:t>
      </w:r>
      <w:r w:rsidR="00B55694">
        <w:t>hydrostatic pressure test</w:t>
      </w:r>
      <w:r w:rsidR="00193306">
        <w:t>s are</w:t>
      </w:r>
      <w:r w:rsidR="00B55694">
        <w:t xml:space="preserve"> conducted</w:t>
      </w:r>
      <w:r w:rsidRPr="00513545">
        <w:t xml:space="preserve"> each year.  PHMSA estimates that </w:t>
      </w:r>
      <w:r w:rsidR="00B55694">
        <w:t xml:space="preserve">documenting the hydrostatic pressure test </w:t>
      </w:r>
      <w:r w:rsidRPr="00513545">
        <w:t xml:space="preserve">will take </w:t>
      </w:r>
      <w:r w:rsidR="00193306">
        <w:t xml:space="preserve">12 minutes per response, </w:t>
      </w:r>
      <w:r w:rsidRPr="00513545">
        <w:t xml:space="preserve">for a total of </w:t>
      </w:r>
      <w:r w:rsidR="00B55694">
        <w:t>50</w:t>
      </w:r>
      <w:r w:rsidRPr="00513545">
        <w:t xml:space="preserve"> </w:t>
      </w:r>
      <w:r w:rsidR="00193306">
        <w:t xml:space="preserve">annual </w:t>
      </w:r>
      <w:r w:rsidRPr="00513545">
        <w:t>burden hours (</w:t>
      </w:r>
      <w:r w:rsidR="00B55694">
        <w:t>250</w:t>
      </w:r>
      <w:r w:rsidRPr="00513545">
        <w:t xml:space="preserve"> responses x </w:t>
      </w:r>
      <w:r w:rsidR="00193306">
        <w:t>12 minutes</w:t>
      </w:r>
      <w:r w:rsidRPr="00513545">
        <w:t xml:space="preserve"> per response). Each </w:t>
      </w:r>
      <w:r w:rsidR="00193306">
        <w:t xml:space="preserve">person creating the report </w:t>
      </w:r>
      <w:r w:rsidRPr="00513545">
        <w:t xml:space="preserve">is expected to </w:t>
      </w:r>
      <w:r w:rsidR="00193306">
        <w:t>make</w:t>
      </w:r>
      <w:r w:rsidRPr="00513545" w:rsidR="00193306">
        <w:t xml:space="preserve"> </w:t>
      </w:r>
      <w:r w:rsidRPr="00513545">
        <w:t>$</w:t>
      </w:r>
      <w:r w:rsidR="005A3E8E">
        <w:t>79.97</w:t>
      </w:r>
      <w:r w:rsidRPr="00513545">
        <w:t xml:space="preserve"> per hour</w:t>
      </w:r>
      <w:r w:rsidR="00193306">
        <w:t>,</w:t>
      </w:r>
      <w:r w:rsidRPr="00513545">
        <w:t xml:space="preserve"> for a total salary cost of $</w:t>
      </w:r>
      <w:r w:rsidR="00B55694">
        <w:t>3,</w:t>
      </w:r>
      <w:r w:rsidR="005A3E8E">
        <w:t>999</w:t>
      </w:r>
      <w:r w:rsidR="002E0842">
        <w:t xml:space="preserve"> </w:t>
      </w:r>
      <w:r w:rsidR="00B55694">
        <w:t>($</w:t>
      </w:r>
      <w:r w:rsidR="00C9198F">
        <w:t>7</w:t>
      </w:r>
      <w:r w:rsidR="005A3E8E">
        <w:t>9.97</w:t>
      </w:r>
      <w:r w:rsidR="00B55694">
        <w:t xml:space="preserve"> x 50</w:t>
      </w:r>
      <w:r w:rsidRPr="00513545">
        <w:t xml:space="preserve"> burden hours). There are no out of pocket cost associated with this information collection.</w:t>
      </w:r>
      <w:r>
        <w:rPr>
          <w:vertAlign w:val="superscript"/>
        </w:rPr>
        <w:footnoteReference w:id="6"/>
      </w:r>
    </w:p>
    <w:p w:rsidR="00193306" w:rsidP="00DB1017" w14:paraId="15581484" w14:textId="77777777"/>
    <w:tbl>
      <w:tblPr>
        <w:tblW w:w="10841" w:type="dxa"/>
        <w:jc w:val="center"/>
        <w:tblLayout w:type="fixed"/>
        <w:tblLook w:val="04A0"/>
      </w:tblPr>
      <w:tblGrid>
        <w:gridCol w:w="1370"/>
        <w:gridCol w:w="1681"/>
        <w:gridCol w:w="1260"/>
        <w:gridCol w:w="1170"/>
        <w:gridCol w:w="1080"/>
        <w:gridCol w:w="990"/>
        <w:gridCol w:w="810"/>
        <w:gridCol w:w="900"/>
        <w:gridCol w:w="770"/>
        <w:gridCol w:w="810"/>
      </w:tblGrid>
      <w:tr w14:paraId="4D2E7B26" w14:textId="77777777" w:rsidTr="00DB1017">
        <w:tblPrEx>
          <w:tblW w:w="10841" w:type="dxa"/>
          <w:jc w:val="center"/>
          <w:tblLayout w:type="fixed"/>
          <w:tblLook w:val="04A0"/>
        </w:tblPrEx>
        <w:trPr>
          <w:trHeight w:val="58"/>
          <w:jc w:val="center"/>
        </w:trPr>
        <w:tc>
          <w:tcPr>
            <w:tcW w:w="13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3306" w:rsidRPr="00DB1017" w14:paraId="6F17D2E9" w14:textId="77777777">
            <w:pPr>
              <w:jc w:val="center"/>
              <w:rPr>
                <w:bCs/>
                <w:color w:val="000000"/>
                <w:sz w:val="20"/>
                <w:szCs w:val="20"/>
                <w:u w:val="single"/>
              </w:rPr>
            </w:pPr>
            <w:r w:rsidRPr="00DB1017">
              <w:rPr>
                <w:bCs/>
                <w:color w:val="000000"/>
                <w:sz w:val="20"/>
                <w:szCs w:val="20"/>
                <w:u w:val="single"/>
              </w:rPr>
              <w:t>Information Collection</w:t>
            </w:r>
          </w:p>
        </w:tc>
        <w:tc>
          <w:tcPr>
            <w:tcW w:w="1681"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00031D61" w14:textId="77777777">
            <w:pPr>
              <w:jc w:val="center"/>
              <w:rPr>
                <w:bCs/>
                <w:color w:val="000000"/>
                <w:sz w:val="20"/>
                <w:szCs w:val="20"/>
                <w:u w:val="single"/>
              </w:rPr>
            </w:pPr>
            <w:r w:rsidRPr="00DB1017">
              <w:rPr>
                <w:bCs/>
                <w:color w:val="000000"/>
                <w:sz w:val="20"/>
                <w:szCs w:val="20"/>
                <w:u w:val="single"/>
              </w:rPr>
              <w:t>Regulation</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128ACB1D" w14:textId="77777777">
            <w:pPr>
              <w:jc w:val="center"/>
              <w:rPr>
                <w:bCs/>
                <w:color w:val="000000"/>
                <w:sz w:val="20"/>
                <w:szCs w:val="20"/>
                <w:u w:val="single"/>
              </w:rPr>
            </w:pPr>
            <w:r w:rsidRPr="00DB1017">
              <w:rPr>
                <w:bCs/>
                <w:color w:val="000000"/>
                <w:sz w:val="20"/>
                <w:szCs w:val="20"/>
                <w:u w:val="single"/>
              </w:rPr>
              <w:t>Total Respondents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719EC5D7" w14:textId="77777777">
            <w:pPr>
              <w:jc w:val="center"/>
              <w:rPr>
                <w:bCs/>
                <w:color w:val="000000"/>
                <w:sz w:val="20"/>
                <w:szCs w:val="20"/>
                <w:u w:val="single"/>
              </w:rPr>
            </w:pPr>
            <w:r w:rsidRPr="00DB1017">
              <w:rPr>
                <w:bCs/>
                <w:color w:val="000000"/>
                <w:sz w:val="20"/>
                <w:szCs w:val="20"/>
                <w:u w:val="single"/>
              </w:rPr>
              <w:t>Reponses per Respondent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7318BA82" w14:textId="77777777">
            <w:pPr>
              <w:jc w:val="center"/>
              <w:rPr>
                <w:bCs/>
                <w:color w:val="000000"/>
                <w:sz w:val="20"/>
                <w:szCs w:val="20"/>
                <w:u w:val="single"/>
              </w:rPr>
            </w:pPr>
            <w:r w:rsidRPr="00DB1017">
              <w:rPr>
                <w:bCs/>
                <w:color w:val="000000"/>
                <w:sz w:val="20"/>
                <w:szCs w:val="20"/>
                <w:u w:val="single"/>
              </w:rPr>
              <w:t>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16B7F6F4" w14:textId="77777777">
            <w:pPr>
              <w:jc w:val="center"/>
              <w:rPr>
                <w:bCs/>
                <w:color w:val="000000"/>
                <w:sz w:val="20"/>
                <w:szCs w:val="20"/>
                <w:u w:val="single"/>
              </w:rPr>
            </w:pPr>
            <w:r w:rsidRPr="00DB1017">
              <w:rPr>
                <w:bCs/>
                <w:color w:val="000000"/>
                <w:sz w:val="20"/>
                <w:szCs w:val="20"/>
                <w:u w:val="single"/>
              </w:rPr>
              <w:t>Minutes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2A89AD82" w14:textId="77777777">
            <w:pPr>
              <w:jc w:val="center"/>
              <w:rPr>
                <w:bCs/>
                <w:color w:val="000000"/>
                <w:sz w:val="20"/>
                <w:szCs w:val="20"/>
                <w:u w:val="single"/>
              </w:rPr>
            </w:pPr>
            <w:r w:rsidRPr="00DB1017">
              <w:rPr>
                <w:bCs/>
                <w:color w:val="000000"/>
                <w:sz w:val="20"/>
                <w:szCs w:val="20"/>
                <w:u w:val="single"/>
              </w:rPr>
              <w:t>Annual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7ED216E9" w14:textId="77777777">
            <w:pPr>
              <w:jc w:val="center"/>
              <w:rPr>
                <w:bCs/>
                <w:color w:val="000000"/>
                <w:sz w:val="20"/>
                <w:szCs w:val="20"/>
                <w:u w:val="single"/>
              </w:rPr>
            </w:pPr>
            <w:r w:rsidRPr="00DB1017">
              <w:rPr>
                <w:bCs/>
                <w:color w:val="000000"/>
                <w:sz w:val="20"/>
                <w:szCs w:val="20"/>
                <w:u w:val="single"/>
              </w:rPr>
              <w:t>Salary Cost per Hour</w:t>
            </w:r>
          </w:p>
        </w:tc>
        <w:tc>
          <w:tcPr>
            <w:tcW w:w="77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5CC5DBCF" w14:textId="77777777">
            <w:pPr>
              <w:jc w:val="center"/>
              <w:rPr>
                <w:bCs/>
                <w:color w:val="000000"/>
                <w:sz w:val="20"/>
                <w:szCs w:val="20"/>
                <w:u w:val="single"/>
              </w:rPr>
            </w:pPr>
            <w:r w:rsidRPr="00DB1017">
              <w:rPr>
                <w:bCs/>
                <w:color w:val="000000"/>
                <w:sz w:val="20"/>
                <w:szCs w:val="20"/>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93306" w:rsidRPr="00DB1017" w14:paraId="2D8E7515" w14:textId="77777777">
            <w:pPr>
              <w:jc w:val="center"/>
              <w:rPr>
                <w:bCs/>
                <w:color w:val="000000"/>
                <w:sz w:val="20"/>
                <w:szCs w:val="20"/>
                <w:u w:val="single"/>
              </w:rPr>
            </w:pPr>
            <w:r w:rsidRPr="00DB1017">
              <w:rPr>
                <w:bCs/>
                <w:color w:val="000000"/>
                <w:sz w:val="20"/>
                <w:szCs w:val="20"/>
                <w:u w:val="single"/>
              </w:rPr>
              <w:t>Annual Burden Cost</w:t>
            </w:r>
          </w:p>
        </w:tc>
      </w:tr>
      <w:tr w14:paraId="14B17F2C" w14:textId="77777777" w:rsidTr="00DB1017">
        <w:tblPrEx>
          <w:tblW w:w="10841" w:type="dxa"/>
          <w:jc w:val="center"/>
          <w:tblLayout w:type="fixed"/>
          <w:tblLook w:val="04A0"/>
        </w:tblPrEx>
        <w:trPr>
          <w:trHeight w:val="58"/>
          <w:jc w:val="center"/>
        </w:trPr>
        <w:tc>
          <w:tcPr>
            <w:tcW w:w="1370" w:type="dxa"/>
            <w:tcBorders>
              <w:top w:val="nil"/>
              <w:left w:val="single" w:sz="4" w:space="0" w:color="auto"/>
              <w:bottom w:val="single" w:sz="4" w:space="0" w:color="auto"/>
              <w:right w:val="single" w:sz="4" w:space="0" w:color="auto"/>
            </w:tcBorders>
            <w:shd w:val="clear" w:color="auto" w:fill="auto"/>
            <w:vAlign w:val="bottom"/>
            <w:hideMark/>
          </w:tcPr>
          <w:p w:rsidR="00193306" w:rsidRPr="00DB1017" w14:paraId="0B373674" w14:textId="77777777">
            <w:pPr>
              <w:rPr>
                <w:color w:val="000000"/>
                <w:sz w:val="20"/>
                <w:szCs w:val="20"/>
              </w:rPr>
            </w:pPr>
            <w:r w:rsidRPr="00DB1017">
              <w:rPr>
                <w:color w:val="000000"/>
                <w:sz w:val="20"/>
                <w:szCs w:val="20"/>
              </w:rPr>
              <w:t>Hydrostatic Pressure Test</w:t>
            </w:r>
          </w:p>
        </w:tc>
        <w:tc>
          <w:tcPr>
            <w:tcW w:w="1681" w:type="dxa"/>
            <w:tcBorders>
              <w:top w:val="nil"/>
              <w:left w:val="nil"/>
              <w:bottom w:val="single" w:sz="4" w:space="0" w:color="auto"/>
              <w:right w:val="single" w:sz="4" w:space="0" w:color="auto"/>
            </w:tcBorders>
            <w:shd w:val="clear" w:color="auto" w:fill="auto"/>
            <w:vAlign w:val="bottom"/>
            <w:hideMark/>
          </w:tcPr>
          <w:p w:rsidR="00193306" w:rsidRPr="00DB1017" w14:paraId="6030A4DB" w14:textId="77777777">
            <w:pPr>
              <w:rPr>
                <w:color w:val="000000"/>
                <w:sz w:val="20"/>
                <w:szCs w:val="20"/>
              </w:rPr>
            </w:pPr>
            <w:r w:rsidRPr="00DB1017">
              <w:rPr>
                <w:color w:val="000000"/>
                <w:sz w:val="20"/>
                <w:szCs w:val="20"/>
              </w:rPr>
              <w:t>§ 173.5a(b)(3)(ii)</w:t>
            </w:r>
          </w:p>
        </w:tc>
        <w:tc>
          <w:tcPr>
            <w:tcW w:w="1260" w:type="dxa"/>
            <w:tcBorders>
              <w:top w:val="nil"/>
              <w:left w:val="nil"/>
              <w:bottom w:val="single" w:sz="4" w:space="0" w:color="auto"/>
              <w:right w:val="single" w:sz="4" w:space="0" w:color="auto"/>
            </w:tcBorders>
            <w:shd w:val="clear" w:color="auto" w:fill="auto"/>
            <w:noWrap/>
            <w:vAlign w:val="bottom"/>
            <w:hideMark/>
          </w:tcPr>
          <w:p w:rsidR="00193306" w:rsidRPr="00DB1017" w14:paraId="45313F8C" w14:textId="77777777">
            <w:pPr>
              <w:jc w:val="right"/>
              <w:rPr>
                <w:color w:val="000000"/>
                <w:sz w:val="20"/>
                <w:szCs w:val="20"/>
              </w:rPr>
            </w:pPr>
            <w:r w:rsidRPr="00DB1017">
              <w:rPr>
                <w:color w:val="000000"/>
                <w:sz w:val="20"/>
                <w:szCs w:val="20"/>
              </w:rPr>
              <w:t>250</w:t>
            </w:r>
          </w:p>
        </w:tc>
        <w:tc>
          <w:tcPr>
            <w:tcW w:w="1170" w:type="dxa"/>
            <w:tcBorders>
              <w:top w:val="nil"/>
              <w:left w:val="nil"/>
              <w:bottom w:val="single" w:sz="4" w:space="0" w:color="auto"/>
              <w:right w:val="single" w:sz="4" w:space="0" w:color="auto"/>
            </w:tcBorders>
            <w:shd w:val="clear" w:color="auto" w:fill="auto"/>
            <w:noWrap/>
            <w:vAlign w:val="bottom"/>
            <w:hideMark/>
          </w:tcPr>
          <w:p w:rsidR="00193306" w:rsidRPr="00DB1017" w14:paraId="0D5FBD79" w14:textId="77777777">
            <w:pPr>
              <w:jc w:val="right"/>
              <w:rPr>
                <w:color w:val="000000"/>
                <w:sz w:val="20"/>
                <w:szCs w:val="20"/>
              </w:rPr>
            </w:pPr>
            <w:r w:rsidRPr="00DB1017">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193306" w:rsidRPr="00DB1017" w14:paraId="2CF475BE" w14:textId="77777777">
            <w:pPr>
              <w:jc w:val="right"/>
              <w:rPr>
                <w:color w:val="000000"/>
                <w:sz w:val="20"/>
                <w:szCs w:val="20"/>
              </w:rPr>
            </w:pPr>
            <w:r w:rsidRPr="00DB1017">
              <w:rPr>
                <w:color w:val="000000"/>
                <w:sz w:val="20"/>
                <w:szCs w:val="20"/>
              </w:rPr>
              <w:t>250</w:t>
            </w:r>
          </w:p>
        </w:tc>
        <w:tc>
          <w:tcPr>
            <w:tcW w:w="990" w:type="dxa"/>
            <w:tcBorders>
              <w:top w:val="nil"/>
              <w:left w:val="nil"/>
              <w:bottom w:val="single" w:sz="4" w:space="0" w:color="auto"/>
              <w:right w:val="single" w:sz="4" w:space="0" w:color="auto"/>
            </w:tcBorders>
            <w:shd w:val="clear" w:color="auto" w:fill="auto"/>
            <w:noWrap/>
            <w:vAlign w:val="bottom"/>
            <w:hideMark/>
          </w:tcPr>
          <w:p w:rsidR="00193306" w:rsidRPr="00DB1017" w14:paraId="3955C900" w14:textId="77777777">
            <w:pPr>
              <w:jc w:val="right"/>
              <w:rPr>
                <w:color w:val="000000"/>
                <w:sz w:val="20"/>
                <w:szCs w:val="20"/>
              </w:rPr>
            </w:pPr>
            <w:r w:rsidRPr="00DB1017">
              <w:rPr>
                <w:color w:val="000000"/>
                <w:sz w:val="20"/>
                <w:szCs w:val="20"/>
              </w:rPr>
              <w:t>12</w:t>
            </w:r>
          </w:p>
        </w:tc>
        <w:tc>
          <w:tcPr>
            <w:tcW w:w="810" w:type="dxa"/>
            <w:tcBorders>
              <w:top w:val="nil"/>
              <w:left w:val="nil"/>
              <w:bottom w:val="single" w:sz="4" w:space="0" w:color="auto"/>
              <w:right w:val="single" w:sz="4" w:space="0" w:color="auto"/>
            </w:tcBorders>
            <w:shd w:val="clear" w:color="auto" w:fill="auto"/>
            <w:noWrap/>
            <w:vAlign w:val="bottom"/>
            <w:hideMark/>
          </w:tcPr>
          <w:p w:rsidR="00193306" w:rsidRPr="00DB1017" w14:paraId="2B0CC9B6" w14:textId="77777777">
            <w:pPr>
              <w:jc w:val="right"/>
              <w:rPr>
                <w:color w:val="000000"/>
                <w:sz w:val="20"/>
                <w:szCs w:val="20"/>
              </w:rPr>
            </w:pPr>
            <w:r w:rsidRPr="00DB1017">
              <w:rPr>
                <w:color w:val="000000"/>
                <w:sz w:val="20"/>
                <w:szCs w:val="20"/>
              </w:rPr>
              <w:t>50</w:t>
            </w:r>
          </w:p>
        </w:tc>
        <w:tc>
          <w:tcPr>
            <w:tcW w:w="900" w:type="dxa"/>
            <w:tcBorders>
              <w:top w:val="nil"/>
              <w:left w:val="nil"/>
              <w:bottom w:val="single" w:sz="4" w:space="0" w:color="auto"/>
              <w:right w:val="single" w:sz="4" w:space="0" w:color="auto"/>
            </w:tcBorders>
            <w:shd w:val="clear" w:color="auto" w:fill="auto"/>
            <w:noWrap/>
            <w:vAlign w:val="bottom"/>
            <w:hideMark/>
          </w:tcPr>
          <w:p w:rsidR="00193306" w:rsidRPr="00DB1017" w14:paraId="24A31440" w14:textId="374CADD0">
            <w:pPr>
              <w:jc w:val="right"/>
              <w:rPr>
                <w:color w:val="000000"/>
                <w:sz w:val="20"/>
                <w:szCs w:val="20"/>
              </w:rPr>
            </w:pPr>
            <w:r w:rsidRPr="00DB1017">
              <w:rPr>
                <w:color w:val="000000"/>
                <w:sz w:val="20"/>
                <w:szCs w:val="20"/>
              </w:rPr>
              <w:t>$</w:t>
            </w:r>
            <w:r w:rsidR="00C9198F">
              <w:rPr>
                <w:color w:val="000000"/>
                <w:sz w:val="20"/>
                <w:szCs w:val="20"/>
              </w:rPr>
              <w:t>7</w:t>
            </w:r>
            <w:r w:rsidR="005A3E8E">
              <w:rPr>
                <w:color w:val="000000"/>
                <w:sz w:val="20"/>
                <w:szCs w:val="20"/>
              </w:rPr>
              <w:t>9</w:t>
            </w:r>
            <w:r w:rsidR="00C9198F">
              <w:rPr>
                <w:color w:val="000000"/>
                <w:sz w:val="20"/>
                <w:szCs w:val="20"/>
              </w:rPr>
              <w:t>.97</w:t>
            </w:r>
          </w:p>
        </w:tc>
        <w:tc>
          <w:tcPr>
            <w:tcW w:w="770" w:type="dxa"/>
            <w:tcBorders>
              <w:top w:val="nil"/>
              <w:left w:val="nil"/>
              <w:bottom w:val="single" w:sz="4" w:space="0" w:color="auto"/>
              <w:right w:val="single" w:sz="4" w:space="0" w:color="auto"/>
            </w:tcBorders>
            <w:shd w:val="clear" w:color="auto" w:fill="auto"/>
            <w:noWrap/>
            <w:vAlign w:val="bottom"/>
            <w:hideMark/>
          </w:tcPr>
          <w:p w:rsidR="00193306" w:rsidRPr="00DB1017" w14:paraId="1F4C9985" w14:textId="5B137907">
            <w:pPr>
              <w:jc w:val="right"/>
              <w:rPr>
                <w:color w:val="000000"/>
                <w:sz w:val="20"/>
                <w:szCs w:val="20"/>
              </w:rPr>
            </w:pPr>
            <w:r w:rsidRPr="00DB1017">
              <w:rPr>
                <w:color w:val="000000"/>
                <w:sz w:val="20"/>
                <w:szCs w:val="20"/>
              </w:rPr>
              <w:t>$3,</w:t>
            </w:r>
            <w:r w:rsidR="005A3E8E">
              <w:rPr>
                <w:color w:val="000000"/>
                <w:sz w:val="20"/>
                <w:szCs w:val="20"/>
              </w:rPr>
              <w:t>999</w:t>
            </w:r>
          </w:p>
        </w:tc>
        <w:tc>
          <w:tcPr>
            <w:tcW w:w="810" w:type="dxa"/>
            <w:tcBorders>
              <w:top w:val="nil"/>
              <w:left w:val="nil"/>
              <w:bottom w:val="single" w:sz="4" w:space="0" w:color="auto"/>
              <w:right w:val="single" w:sz="4" w:space="0" w:color="auto"/>
            </w:tcBorders>
            <w:shd w:val="clear" w:color="auto" w:fill="auto"/>
            <w:noWrap/>
            <w:vAlign w:val="bottom"/>
            <w:hideMark/>
          </w:tcPr>
          <w:p w:rsidR="00193306" w:rsidRPr="00DB1017" w14:paraId="58AA349E" w14:textId="77777777">
            <w:pPr>
              <w:jc w:val="right"/>
              <w:rPr>
                <w:color w:val="000000"/>
                <w:sz w:val="20"/>
                <w:szCs w:val="20"/>
              </w:rPr>
            </w:pPr>
            <w:r w:rsidRPr="00DB1017">
              <w:rPr>
                <w:color w:val="000000"/>
                <w:sz w:val="20"/>
                <w:szCs w:val="20"/>
              </w:rPr>
              <w:t>$0</w:t>
            </w:r>
          </w:p>
        </w:tc>
      </w:tr>
    </w:tbl>
    <w:p w:rsidR="00513545" w:rsidP="00046B96" w14:paraId="7868726E" w14:textId="77777777">
      <w:pPr>
        <w:jc w:val="both"/>
      </w:pPr>
    </w:p>
    <w:p w:rsidR="00AA5BC0" w:rsidP="00AA5BC0" w14:paraId="59FACFAF" w14:textId="77777777">
      <w:pPr>
        <w:pStyle w:val="1AutoList1"/>
        <w:tabs>
          <w:tab w:val="clear" w:pos="720"/>
        </w:tabs>
        <w:ind w:left="0" w:firstLine="0"/>
        <w:rPr>
          <w:rFonts w:ascii="Times New Roman" w:hAnsi="Times New Roman"/>
          <w:sz w:val="24"/>
        </w:rPr>
      </w:pPr>
    </w:p>
    <w:p w:rsidR="00AA5BC0" w:rsidP="00AA5BC0" w14:paraId="05FE51CE" w14:textId="77777777">
      <w:pPr>
        <w:pStyle w:val="1AutoList1"/>
        <w:tabs>
          <w:tab w:val="clear" w:pos="720"/>
        </w:tabs>
        <w:ind w:left="0" w:firstLine="0"/>
        <w:rPr>
          <w:rFonts w:ascii="Times New Roman" w:hAnsi="Times New Roman"/>
          <w:sz w:val="24"/>
        </w:rPr>
      </w:pPr>
      <w:r w:rsidRPr="00AA5BC0">
        <w:rPr>
          <w:rFonts w:ascii="Times New Roman" w:hAnsi="Times New Roman"/>
          <w:sz w:val="24"/>
        </w:rPr>
        <w:t>13</w:t>
      </w:r>
      <w:r w:rsidR="00CE7DB1">
        <w:rPr>
          <w:rFonts w:ascii="Times New Roman" w:hAnsi="Times New Roman"/>
          <w:sz w:val="24"/>
        </w:rPr>
        <w:t xml:space="preserve">.  </w:t>
      </w:r>
      <w:r w:rsidR="00BA5BC5">
        <w:rPr>
          <w:rFonts w:ascii="Times New Roman" w:hAnsi="Times New Roman"/>
          <w:sz w:val="24"/>
          <w:u w:val="single"/>
        </w:rPr>
        <w:t>Estimate of t</w:t>
      </w:r>
      <w:r>
        <w:rPr>
          <w:rFonts w:ascii="Times New Roman" w:hAnsi="Times New Roman"/>
          <w:sz w:val="24"/>
          <w:u w:val="single"/>
        </w:rPr>
        <w:t>otal annual cost</w:t>
      </w:r>
      <w:r w:rsidR="00BA5BC5">
        <w:rPr>
          <w:rFonts w:ascii="Times New Roman" w:hAnsi="Times New Roman"/>
          <w:sz w:val="24"/>
          <w:u w:val="single"/>
        </w:rPr>
        <w:t xml:space="preserve">s </w:t>
      </w:r>
      <w:r>
        <w:rPr>
          <w:rFonts w:ascii="Times New Roman" w:hAnsi="Times New Roman"/>
          <w:sz w:val="24"/>
          <w:u w:val="single"/>
        </w:rPr>
        <w:t>to respondents</w:t>
      </w:r>
      <w:r w:rsidRPr="00CE7DB1">
        <w:rPr>
          <w:rFonts w:ascii="Times New Roman" w:hAnsi="Times New Roman"/>
          <w:sz w:val="24"/>
        </w:rPr>
        <w:t>.</w:t>
      </w:r>
    </w:p>
    <w:p w:rsidR="00AA5BC0" w14:paraId="08950E87" w14:textId="77777777"/>
    <w:p w:rsidR="00AA5BC0" w14:paraId="595AF77B" w14:textId="77777777">
      <w:r w:rsidRPr="00B55694">
        <w:t>PHMSA does not estimate any out-of-pocket expenses as identified above.</w:t>
      </w:r>
    </w:p>
    <w:p w:rsidR="002E0842" w14:paraId="35005153" w14:textId="77777777"/>
    <w:p w:rsidR="00AA5BC0" w14:paraId="683CB6EA" w14:textId="77777777">
      <w:pPr>
        <w:ind w:left="360" w:hanging="360"/>
      </w:pPr>
      <w:r>
        <w:t>14</w:t>
      </w:r>
      <w:r w:rsidR="00CE7DB1">
        <w:t xml:space="preserve">.  </w:t>
      </w:r>
      <w:r>
        <w:rPr>
          <w:u w:val="single"/>
        </w:rPr>
        <w:t>Estimate of cost to the Federal government</w:t>
      </w:r>
      <w:r w:rsidRPr="00CE7DB1">
        <w:t>.</w:t>
      </w:r>
    </w:p>
    <w:p w:rsidR="00AA5BC0" w14:paraId="7C422012" w14:textId="77777777"/>
    <w:p w:rsidR="00AA5BC0" w14:paraId="0FD5566B" w14:textId="77777777">
      <w:r w:rsidRPr="00B55694">
        <w:t>There is no cost to the Federal government.</w:t>
      </w:r>
    </w:p>
    <w:p w:rsidR="002E0842" w14:paraId="4FA50EB2" w14:textId="77777777"/>
    <w:p w:rsidR="00AA5BC0" w:rsidP="00CE7DB1" w14:paraId="0A31A340" w14:textId="77777777">
      <w:r w:rsidRPr="00CE7DB1">
        <w:t xml:space="preserve">15.  </w:t>
      </w:r>
      <w:r w:rsidR="00BA5BC5">
        <w:rPr>
          <w:u w:val="single"/>
        </w:rPr>
        <w:t>Explanation of program changes or adjustments</w:t>
      </w:r>
      <w:r>
        <w:rPr>
          <w:u w:val="single"/>
        </w:rPr>
        <w:t>.</w:t>
      </w:r>
      <w:r>
        <w:t xml:space="preserve"> </w:t>
      </w:r>
    </w:p>
    <w:p w:rsidR="009E707F" w:rsidP="009E707F" w14:paraId="2D5086E6" w14:textId="77777777"/>
    <w:p w:rsidR="002E0842" w14:paraId="4C12E082" w14:textId="1540DF3D">
      <w:r w:rsidRPr="00FB2F2B">
        <w:t>There is no change in burden resulting from the renewal of this information collection.</w:t>
      </w:r>
    </w:p>
    <w:p w:rsidR="00FB2F2B" w14:paraId="00157BC4" w14:textId="77777777"/>
    <w:p w:rsidR="00AA5BC0" w:rsidP="00CE7DB1" w14:paraId="0B3BC46E" w14:textId="77777777">
      <w:r>
        <w:t>16</w:t>
      </w:r>
      <w:r w:rsidR="00CE7DB1">
        <w:t xml:space="preserve">.  </w:t>
      </w:r>
      <w:r>
        <w:rPr>
          <w:u w:val="single"/>
        </w:rPr>
        <w:t>Pu</w:t>
      </w:r>
      <w:r>
        <w:rPr>
          <w:u w:val="single"/>
        </w:rPr>
        <w:t>blication</w:t>
      </w:r>
      <w:r>
        <w:rPr>
          <w:u w:val="single"/>
        </w:rPr>
        <w:t xml:space="preserve"> of results of data collection</w:t>
      </w:r>
      <w:r w:rsidRPr="00CE7DB1">
        <w:t xml:space="preserve">. </w:t>
      </w:r>
    </w:p>
    <w:p w:rsidR="00AA5BC0" w14:paraId="0EEB6457" w14:textId="77777777"/>
    <w:p w:rsidR="002E0842" w14:paraId="63596F4B" w14:textId="7B4D9F8E">
      <w:r>
        <w:t xml:space="preserve">There is no publication for statistical use and no statistical techniques are involved. </w:t>
      </w:r>
    </w:p>
    <w:p w:rsidR="00B86014" w14:paraId="4B5E4610" w14:textId="77777777"/>
    <w:p w:rsidR="00AA5BC0" w14:paraId="790F856E" w14:textId="77777777">
      <w:pPr>
        <w:ind w:left="360" w:hanging="360"/>
      </w:pPr>
      <w:r>
        <w:t>17</w:t>
      </w:r>
      <w:r w:rsidR="00CE7DB1">
        <w:t xml:space="preserve">.  </w:t>
      </w:r>
      <w:r w:rsidRPr="00CE7DB1" w:rsidR="00CE7DB1">
        <w:rPr>
          <w:u w:val="single"/>
        </w:rPr>
        <w:t>A</w:t>
      </w:r>
      <w:r w:rsidR="00BA5BC5">
        <w:rPr>
          <w:u w:val="single"/>
        </w:rPr>
        <w:t>pproval for not displaying the</w:t>
      </w:r>
      <w:r>
        <w:rPr>
          <w:u w:val="single"/>
        </w:rPr>
        <w:t xml:space="preserve"> expiration date of OMB </w:t>
      </w:r>
      <w:r w:rsidR="00BA5BC5">
        <w:rPr>
          <w:u w:val="single"/>
        </w:rPr>
        <w:t>a</w:t>
      </w:r>
      <w:r>
        <w:rPr>
          <w:u w:val="single"/>
        </w:rPr>
        <w:t>pproval</w:t>
      </w:r>
      <w:r w:rsidRPr="00CE7DB1">
        <w:t>.</w:t>
      </w:r>
      <w:r>
        <w:t xml:space="preserve">  </w:t>
      </w:r>
    </w:p>
    <w:p w:rsidR="00AA5BC0" w14:paraId="637ED075" w14:textId="77777777"/>
    <w:p w:rsidR="00AC5DB2" w:rsidRPr="00AC5DB2" w:rsidP="00AC5DB2" w14:paraId="13101051" w14:textId="77777777">
      <w:r w:rsidRPr="00AC5DB2">
        <w:t xml:space="preserve">This information collection OMB Control number is prominently displayed in the HMR, specifically under § 171.6, </w:t>
      </w:r>
      <w:r w:rsidR="00F25FEE">
        <w:t xml:space="preserve">and </w:t>
      </w:r>
      <w:r w:rsidRPr="00AC5DB2">
        <w:t>titled, “Control Numbers under the Paperwork Reduction Act.”</w:t>
      </w:r>
    </w:p>
    <w:p w:rsidR="002E0842" w14:paraId="68F2403B" w14:textId="77777777"/>
    <w:p w:rsidR="00AA5BC0" w14:paraId="3097086D" w14:textId="77777777">
      <w:pPr>
        <w:ind w:left="360" w:hanging="360"/>
      </w:pPr>
      <w:r>
        <w:t>18</w:t>
      </w:r>
      <w:r w:rsidR="00CE7DB1">
        <w:t xml:space="preserve">.  </w:t>
      </w:r>
      <w:r>
        <w:rPr>
          <w:u w:val="single"/>
        </w:rPr>
        <w:t>Exceptions to certification statement</w:t>
      </w:r>
      <w:r w:rsidRPr="00CE7DB1" w:rsidR="00BA5BC5">
        <w:t>.</w:t>
      </w:r>
      <w:r>
        <w:t xml:space="preserve"> </w:t>
      </w:r>
    </w:p>
    <w:p w:rsidR="00B51648" w14:paraId="2D2B1424" w14:textId="77777777"/>
    <w:p w:rsidR="00BA5BC5" w:rsidP="00CE7DB1" w14:paraId="68B07B0C" w14:textId="77777777">
      <w:r>
        <w:t xml:space="preserve">There is no exception to </w:t>
      </w:r>
      <w:r w:rsidR="00F25FEE">
        <w:t xml:space="preserve">PHMSA’s </w:t>
      </w:r>
      <w:r>
        <w:t>certification of this request for information collection approval.</w:t>
      </w:r>
    </w:p>
    <w:sectPr>
      <w:footerReference w:type="even"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E54" w14:paraId="368C8B9E"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97E54" w14:paraId="48D50F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E54" w14:paraId="582303E2"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620E7">
      <w:rPr>
        <w:rStyle w:val="PageNumber"/>
        <w:noProof/>
      </w:rPr>
      <w:t>6</w:t>
    </w:r>
    <w:r>
      <w:rPr>
        <w:rStyle w:val="PageNumber"/>
      </w:rPr>
      <w:fldChar w:fldCharType="end"/>
    </w:r>
  </w:p>
  <w:p w:rsidR="00F97E54" w14:paraId="5258CC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7789" w14:paraId="02DF1F48" w14:textId="77777777">
      <w:r>
        <w:separator/>
      </w:r>
    </w:p>
  </w:footnote>
  <w:footnote w:type="continuationSeparator" w:id="1">
    <w:p w:rsidR="002F7789" w14:paraId="09BB6AA3" w14:textId="77777777">
      <w:r>
        <w:continuationSeparator/>
      </w:r>
    </w:p>
  </w:footnote>
  <w:footnote w:type="continuationNotice" w:id="2">
    <w:p w:rsidR="002F7789" w14:paraId="0FA72AAD" w14:textId="77777777"/>
  </w:footnote>
  <w:footnote w:id="3">
    <w:p w:rsidR="0073457C" w:rsidP="0073457C" w14:paraId="4A308EB1" w14:textId="77777777">
      <w:pPr>
        <w:pStyle w:val="FootnoteText"/>
      </w:pPr>
      <w:r>
        <w:rPr>
          <w:rStyle w:val="FootnoteReference"/>
        </w:rPr>
        <w:footnoteRef/>
      </w:r>
      <w:r>
        <w:t xml:space="preserve"> </w:t>
      </w:r>
      <w:hyperlink r:id="rId1" w:history="1">
        <w:r w:rsidRPr="00314EDB">
          <w:rPr>
            <w:rStyle w:val="Hyperlink"/>
          </w:rPr>
          <w:t>OMB Control Number History (reginfo.gov)</w:t>
        </w:r>
      </w:hyperlink>
    </w:p>
  </w:footnote>
  <w:footnote w:id="4">
    <w:p w:rsidR="004C645B" w:rsidRPr="00AA22F7" w:rsidP="004C645B" w14:paraId="1D3B69D4" w14:textId="77777777">
      <w:pPr>
        <w:rPr>
          <w:sz w:val="20"/>
          <w:szCs w:val="20"/>
        </w:rPr>
      </w:pPr>
      <w:r>
        <w:rPr>
          <w:rStyle w:val="FootnoteReference"/>
        </w:rPr>
        <w:footnoteRef/>
      </w:r>
      <w:r>
        <w:t xml:space="preserve"> “</w:t>
      </w:r>
      <w:r w:rsidRPr="00AA22F7">
        <w:rPr>
          <w:sz w:val="20"/>
          <w:szCs w:val="20"/>
        </w:rPr>
        <w:t>Hazardous Materials; Incorporation of Exemptions Into Regulations.” [70 FR 3302]</w:t>
      </w:r>
      <w:r>
        <w:rPr>
          <w:sz w:val="20"/>
          <w:szCs w:val="20"/>
        </w:rPr>
        <w:t xml:space="preserve">, </w:t>
      </w:r>
      <w:hyperlink r:id="rId2" w:history="1">
        <w:r w:rsidRPr="00E12947">
          <w:rPr>
            <w:rStyle w:val="Hyperlink"/>
            <w:sz w:val="20"/>
            <w:szCs w:val="20"/>
          </w:rPr>
          <w:t>https://www.federalregister.gov/documents/2005/01/24/05-1113/hazardous-materials-incorporation-of-exemptions-into-regulations</w:t>
        </w:r>
      </w:hyperlink>
    </w:p>
    <w:p w:rsidR="004C645B" w:rsidP="004C645B" w14:paraId="0B57B3AC" w14:textId="77777777">
      <w:pPr>
        <w:pStyle w:val="FootnoteText"/>
      </w:pPr>
    </w:p>
  </w:footnote>
  <w:footnote w:id="5">
    <w:p w:rsidR="0073457C" w:rsidP="0073457C" w14:paraId="732B5A0E" w14:textId="77777777">
      <w:pPr>
        <w:pStyle w:val="FootnoteText"/>
      </w:pPr>
      <w:r>
        <w:rPr>
          <w:rStyle w:val="FootnoteReference"/>
        </w:rPr>
        <w:footnoteRef/>
      </w:r>
      <w:r>
        <w:t xml:space="preserve"> </w:t>
      </w:r>
      <w:r w:rsidRPr="00193306">
        <w:t xml:space="preserve">Occupation labor rates based on </w:t>
      </w:r>
      <w:r>
        <w:t>2025</w:t>
      </w:r>
      <w:r w:rsidRPr="00193306">
        <w:t xml:space="preserve"> Occupational and Employment Statistics Survey (OES) for “17-2141 Mechanical Engineers.” </w:t>
      </w:r>
      <w:hyperlink r:id="rId3" w:history="1">
        <w:r w:rsidRPr="001B4F6B">
          <w:rPr>
            <w:rStyle w:val="Hyperlink"/>
          </w:rPr>
          <w:t>https://www.bls.gov/oes/current/oes172141.htm</w:t>
        </w:r>
      </w:hyperlink>
      <w:r w:rsidRPr="00193306">
        <w:t>The hourly mean wage for this occupation ($</w:t>
      </w:r>
      <w:r>
        <w:t>54.62</w:t>
      </w:r>
      <w:r w:rsidRPr="00193306">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6">
    <w:p w:rsidR="0073457C" w:rsidP="0073457C" w14:paraId="1459FC9C" w14:textId="7777777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D12A5A"/>
    <w:multiLevelType w:val="multilevel"/>
    <w:tmpl w:val="D5CC86B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E6006E0"/>
    <w:multiLevelType w:val="hybridMultilevel"/>
    <w:tmpl w:val="563A7E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F26DB8"/>
    <w:multiLevelType w:val="hybridMultilevel"/>
    <w:tmpl w:val="2070B6B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F69511D"/>
    <w:multiLevelType w:val="hybridMultilevel"/>
    <w:tmpl w:val="6BCCEEE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37054BA"/>
    <w:multiLevelType w:val="hybridMultilevel"/>
    <w:tmpl w:val="B57AB482"/>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62062218">
    <w:abstractNumId w:val="0"/>
  </w:num>
  <w:num w:numId="2" w16cid:durableId="752507903">
    <w:abstractNumId w:val="3"/>
  </w:num>
  <w:num w:numId="3" w16cid:durableId="860969714">
    <w:abstractNumId w:val="4"/>
  </w:num>
  <w:num w:numId="4" w16cid:durableId="1186599006">
    <w:abstractNumId w:val="2"/>
  </w:num>
  <w:num w:numId="5" w16cid:durableId="279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C0"/>
    <w:rsid w:val="00006096"/>
    <w:rsid w:val="0000695F"/>
    <w:rsid w:val="00017C3C"/>
    <w:rsid w:val="00025323"/>
    <w:rsid w:val="00027C1D"/>
    <w:rsid w:val="00031C02"/>
    <w:rsid w:val="00046B96"/>
    <w:rsid w:val="00055698"/>
    <w:rsid w:val="00062F6D"/>
    <w:rsid w:val="00067B81"/>
    <w:rsid w:val="00071A90"/>
    <w:rsid w:val="000849A8"/>
    <w:rsid w:val="000F303D"/>
    <w:rsid w:val="000F3992"/>
    <w:rsid w:val="000F78B6"/>
    <w:rsid w:val="001052A4"/>
    <w:rsid w:val="001139A7"/>
    <w:rsid w:val="00137BC0"/>
    <w:rsid w:val="00142308"/>
    <w:rsid w:val="001576DF"/>
    <w:rsid w:val="00160747"/>
    <w:rsid w:val="00161079"/>
    <w:rsid w:val="00173903"/>
    <w:rsid w:val="00187B1F"/>
    <w:rsid w:val="00193306"/>
    <w:rsid w:val="001B381F"/>
    <w:rsid w:val="001B4F6B"/>
    <w:rsid w:val="001C7023"/>
    <w:rsid w:val="001C7862"/>
    <w:rsid w:val="001D1B41"/>
    <w:rsid w:val="001D7577"/>
    <w:rsid w:val="00210640"/>
    <w:rsid w:val="00211A89"/>
    <w:rsid w:val="00211E89"/>
    <w:rsid w:val="00217CD5"/>
    <w:rsid w:val="00227CB4"/>
    <w:rsid w:val="0024262C"/>
    <w:rsid w:val="00247C33"/>
    <w:rsid w:val="002710BC"/>
    <w:rsid w:val="00283179"/>
    <w:rsid w:val="00294047"/>
    <w:rsid w:val="002A29B8"/>
    <w:rsid w:val="002A5547"/>
    <w:rsid w:val="002D1A92"/>
    <w:rsid w:val="002E0842"/>
    <w:rsid w:val="002F4543"/>
    <w:rsid w:val="002F57F3"/>
    <w:rsid w:val="002F7789"/>
    <w:rsid w:val="003002AF"/>
    <w:rsid w:val="00310C4C"/>
    <w:rsid w:val="00314EDB"/>
    <w:rsid w:val="00324EE6"/>
    <w:rsid w:val="00326CF8"/>
    <w:rsid w:val="00343B24"/>
    <w:rsid w:val="00366A19"/>
    <w:rsid w:val="00367652"/>
    <w:rsid w:val="00393024"/>
    <w:rsid w:val="003946A7"/>
    <w:rsid w:val="003B0DC3"/>
    <w:rsid w:val="003B4288"/>
    <w:rsid w:val="003B4E40"/>
    <w:rsid w:val="003D1895"/>
    <w:rsid w:val="003E0941"/>
    <w:rsid w:val="003E105E"/>
    <w:rsid w:val="003E1374"/>
    <w:rsid w:val="003E1BB1"/>
    <w:rsid w:val="003E24BF"/>
    <w:rsid w:val="003F3D7F"/>
    <w:rsid w:val="00410827"/>
    <w:rsid w:val="00414EAE"/>
    <w:rsid w:val="0045514D"/>
    <w:rsid w:val="00463DDC"/>
    <w:rsid w:val="00485FF5"/>
    <w:rsid w:val="004925B8"/>
    <w:rsid w:val="004971C4"/>
    <w:rsid w:val="004A2872"/>
    <w:rsid w:val="004C645B"/>
    <w:rsid w:val="004F5C99"/>
    <w:rsid w:val="0050010A"/>
    <w:rsid w:val="00505D30"/>
    <w:rsid w:val="0051299E"/>
    <w:rsid w:val="00513545"/>
    <w:rsid w:val="005222A4"/>
    <w:rsid w:val="00542E85"/>
    <w:rsid w:val="00543FEC"/>
    <w:rsid w:val="00545BCA"/>
    <w:rsid w:val="00545C19"/>
    <w:rsid w:val="00554908"/>
    <w:rsid w:val="00563498"/>
    <w:rsid w:val="00565D0D"/>
    <w:rsid w:val="00570D64"/>
    <w:rsid w:val="0058365E"/>
    <w:rsid w:val="005A3E8E"/>
    <w:rsid w:val="005A5994"/>
    <w:rsid w:val="005B33EA"/>
    <w:rsid w:val="005D5161"/>
    <w:rsid w:val="005E62C8"/>
    <w:rsid w:val="005F313C"/>
    <w:rsid w:val="005F6921"/>
    <w:rsid w:val="0061661D"/>
    <w:rsid w:val="0062722A"/>
    <w:rsid w:val="006408CB"/>
    <w:rsid w:val="006411A6"/>
    <w:rsid w:val="00645624"/>
    <w:rsid w:val="00651AAE"/>
    <w:rsid w:val="0065757E"/>
    <w:rsid w:val="00666CF3"/>
    <w:rsid w:val="00693655"/>
    <w:rsid w:val="006954C5"/>
    <w:rsid w:val="006D3F5D"/>
    <w:rsid w:val="006E2136"/>
    <w:rsid w:val="006E62FD"/>
    <w:rsid w:val="0070488F"/>
    <w:rsid w:val="00706FD0"/>
    <w:rsid w:val="00710E09"/>
    <w:rsid w:val="00715DBF"/>
    <w:rsid w:val="00722BC2"/>
    <w:rsid w:val="00724BAA"/>
    <w:rsid w:val="007276F7"/>
    <w:rsid w:val="0073457C"/>
    <w:rsid w:val="00735580"/>
    <w:rsid w:val="007416BC"/>
    <w:rsid w:val="00754841"/>
    <w:rsid w:val="007557FD"/>
    <w:rsid w:val="007805D7"/>
    <w:rsid w:val="007A3951"/>
    <w:rsid w:val="007B4FC1"/>
    <w:rsid w:val="007D6DF0"/>
    <w:rsid w:val="007E0B2A"/>
    <w:rsid w:val="007E0E53"/>
    <w:rsid w:val="007E2FFB"/>
    <w:rsid w:val="007E545D"/>
    <w:rsid w:val="00801B26"/>
    <w:rsid w:val="00802A8B"/>
    <w:rsid w:val="00805DF2"/>
    <w:rsid w:val="00850545"/>
    <w:rsid w:val="00851E41"/>
    <w:rsid w:val="00882C68"/>
    <w:rsid w:val="00883CE7"/>
    <w:rsid w:val="008B4DE0"/>
    <w:rsid w:val="008C30CF"/>
    <w:rsid w:val="008E100C"/>
    <w:rsid w:val="00941A2E"/>
    <w:rsid w:val="0094343B"/>
    <w:rsid w:val="00947D09"/>
    <w:rsid w:val="00951D21"/>
    <w:rsid w:val="0095229D"/>
    <w:rsid w:val="00954B48"/>
    <w:rsid w:val="0095540A"/>
    <w:rsid w:val="0096062D"/>
    <w:rsid w:val="009C53FC"/>
    <w:rsid w:val="009E433A"/>
    <w:rsid w:val="009E707F"/>
    <w:rsid w:val="009F34CA"/>
    <w:rsid w:val="009F49BB"/>
    <w:rsid w:val="00A05EA6"/>
    <w:rsid w:val="00A126E2"/>
    <w:rsid w:val="00A21F32"/>
    <w:rsid w:val="00A34540"/>
    <w:rsid w:val="00A5012B"/>
    <w:rsid w:val="00A57100"/>
    <w:rsid w:val="00A718C6"/>
    <w:rsid w:val="00A74464"/>
    <w:rsid w:val="00A849EA"/>
    <w:rsid w:val="00A92806"/>
    <w:rsid w:val="00A94FA1"/>
    <w:rsid w:val="00AA22F7"/>
    <w:rsid w:val="00AA34B1"/>
    <w:rsid w:val="00AA5BC0"/>
    <w:rsid w:val="00AC5DB2"/>
    <w:rsid w:val="00AC7258"/>
    <w:rsid w:val="00AE4428"/>
    <w:rsid w:val="00AF4741"/>
    <w:rsid w:val="00AF7B50"/>
    <w:rsid w:val="00B062F8"/>
    <w:rsid w:val="00B14422"/>
    <w:rsid w:val="00B15759"/>
    <w:rsid w:val="00B34C52"/>
    <w:rsid w:val="00B41E61"/>
    <w:rsid w:val="00B437FA"/>
    <w:rsid w:val="00B4434F"/>
    <w:rsid w:val="00B51648"/>
    <w:rsid w:val="00B535C7"/>
    <w:rsid w:val="00B55694"/>
    <w:rsid w:val="00B61CCB"/>
    <w:rsid w:val="00B620E7"/>
    <w:rsid w:val="00B63FFE"/>
    <w:rsid w:val="00B71FFB"/>
    <w:rsid w:val="00B843F6"/>
    <w:rsid w:val="00B86014"/>
    <w:rsid w:val="00B90BFC"/>
    <w:rsid w:val="00BA5BC5"/>
    <w:rsid w:val="00BC523A"/>
    <w:rsid w:val="00BF55F4"/>
    <w:rsid w:val="00BF75BE"/>
    <w:rsid w:val="00C024D2"/>
    <w:rsid w:val="00C03984"/>
    <w:rsid w:val="00C06386"/>
    <w:rsid w:val="00C12FB0"/>
    <w:rsid w:val="00C132BA"/>
    <w:rsid w:val="00C2009D"/>
    <w:rsid w:val="00C303BF"/>
    <w:rsid w:val="00C50774"/>
    <w:rsid w:val="00C565CA"/>
    <w:rsid w:val="00C61F9B"/>
    <w:rsid w:val="00C7141C"/>
    <w:rsid w:val="00C9198F"/>
    <w:rsid w:val="00CA366E"/>
    <w:rsid w:val="00CB649F"/>
    <w:rsid w:val="00CE25DB"/>
    <w:rsid w:val="00CE339E"/>
    <w:rsid w:val="00CE672E"/>
    <w:rsid w:val="00CE7DB1"/>
    <w:rsid w:val="00CF27A9"/>
    <w:rsid w:val="00D067EE"/>
    <w:rsid w:val="00D171F4"/>
    <w:rsid w:val="00D40463"/>
    <w:rsid w:val="00D40B79"/>
    <w:rsid w:val="00D52100"/>
    <w:rsid w:val="00D543B3"/>
    <w:rsid w:val="00D60600"/>
    <w:rsid w:val="00D60620"/>
    <w:rsid w:val="00D62F7F"/>
    <w:rsid w:val="00D67776"/>
    <w:rsid w:val="00D92476"/>
    <w:rsid w:val="00D93032"/>
    <w:rsid w:val="00D9401E"/>
    <w:rsid w:val="00DA1C11"/>
    <w:rsid w:val="00DB1017"/>
    <w:rsid w:val="00DC20A8"/>
    <w:rsid w:val="00DD7A04"/>
    <w:rsid w:val="00DF25F8"/>
    <w:rsid w:val="00E041F4"/>
    <w:rsid w:val="00E1015B"/>
    <w:rsid w:val="00E12947"/>
    <w:rsid w:val="00E17F2E"/>
    <w:rsid w:val="00E25219"/>
    <w:rsid w:val="00E26537"/>
    <w:rsid w:val="00E34F37"/>
    <w:rsid w:val="00E41CE4"/>
    <w:rsid w:val="00E528C5"/>
    <w:rsid w:val="00E62A70"/>
    <w:rsid w:val="00E7343E"/>
    <w:rsid w:val="00E7511B"/>
    <w:rsid w:val="00E77EA6"/>
    <w:rsid w:val="00E805FA"/>
    <w:rsid w:val="00EA3116"/>
    <w:rsid w:val="00EA3567"/>
    <w:rsid w:val="00EB75A1"/>
    <w:rsid w:val="00EE0BFC"/>
    <w:rsid w:val="00EE2465"/>
    <w:rsid w:val="00EF56E7"/>
    <w:rsid w:val="00F02186"/>
    <w:rsid w:val="00F04AD9"/>
    <w:rsid w:val="00F13251"/>
    <w:rsid w:val="00F2181A"/>
    <w:rsid w:val="00F25FEE"/>
    <w:rsid w:val="00F30370"/>
    <w:rsid w:val="00F71869"/>
    <w:rsid w:val="00F73326"/>
    <w:rsid w:val="00F90336"/>
    <w:rsid w:val="00F94B1A"/>
    <w:rsid w:val="00F97E54"/>
    <w:rsid w:val="00FA2DB3"/>
    <w:rsid w:val="00FA36AC"/>
    <w:rsid w:val="00FB288A"/>
    <w:rsid w:val="00FB2F2B"/>
    <w:rsid w:val="00FC4E9F"/>
    <w:rsid w:val="00FC6EB4"/>
    <w:rsid w:val="00FD346C"/>
    <w:rsid w:val="00FD491D"/>
    <w:rsid w:val="00FF2DFB"/>
    <w:rsid w:val="01D4B81C"/>
    <w:rsid w:val="04F22F43"/>
    <w:rsid w:val="076F8FF8"/>
    <w:rsid w:val="0904FEA8"/>
    <w:rsid w:val="09619DFE"/>
    <w:rsid w:val="0BDF1402"/>
    <w:rsid w:val="126FC8AB"/>
    <w:rsid w:val="17C1C07D"/>
    <w:rsid w:val="17C6D246"/>
    <w:rsid w:val="1C61C7ED"/>
    <w:rsid w:val="1E45B01F"/>
    <w:rsid w:val="23C7F692"/>
    <w:rsid w:val="24136C68"/>
    <w:rsid w:val="2995ADFF"/>
    <w:rsid w:val="2CADAD94"/>
    <w:rsid w:val="2E986E9C"/>
    <w:rsid w:val="2F2EB426"/>
    <w:rsid w:val="370A1E94"/>
    <w:rsid w:val="391EB48F"/>
    <w:rsid w:val="393D50E9"/>
    <w:rsid w:val="3A0B62AE"/>
    <w:rsid w:val="3E838979"/>
    <w:rsid w:val="3F17E9F4"/>
    <w:rsid w:val="3FFFFEA4"/>
    <w:rsid w:val="40A10E37"/>
    <w:rsid w:val="46D6A794"/>
    <w:rsid w:val="47B272C7"/>
    <w:rsid w:val="47C20F07"/>
    <w:rsid w:val="4C92D20C"/>
    <w:rsid w:val="4F01A755"/>
    <w:rsid w:val="518B7830"/>
    <w:rsid w:val="519D63B5"/>
    <w:rsid w:val="5280CA2D"/>
    <w:rsid w:val="546EDADD"/>
    <w:rsid w:val="56666CAA"/>
    <w:rsid w:val="5875287E"/>
    <w:rsid w:val="5892593B"/>
    <w:rsid w:val="5A15C986"/>
    <w:rsid w:val="5D577CB0"/>
    <w:rsid w:val="5E23D0CC"/>
    <w:rsid w:val="60AA073E"/>
    <w:rsid w:val="6316A512"/>
    <w:rsid w:val="64D8D339"/>
    <w:rsid w:val="661055FE"/>
    <w:rsid w:val="680E2BCF"/>
    <w:rsid w:val="6961DE81"/>
    <w:rsid w:val="6D1A8E33"/>
    <w:rsid w:val="6E1DCC7E"/>
    <w:rsid w:val="7297320A"/>
    <w:rsid w:val="72F0FF9D"/>
    <w:rsid w:val="7595C56C"/>
    <w:rsid w:val="76E7C6C0"/>
    <w:rsid w:val="783D38C1"/>
    <w:rsid w:val="784B0C45"/>
    <w:rsid w:val="7919C38F"/>
    <w:rsid w:val="7A84DE03"/>
    <w:rsid w:val="7DB957BB"/>
    <w:rsid w:val="7E04A0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56EC010"/>
  <w15:chartTrackingRefBased/>
  <w15:docId w15:val="{CB577C49-3991-469A-BD7F-0AC0995B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1C02"/>
    <w:rPr>
      <w:sz w:val="24"/>
      <w:szCs w:val="24"/>
    </w:rPr>
  </w:style>
  <w:style w:type="paragraph" w:styleId="Heading1">
    <w:name w:val="heading 1"/>
    <w:basedOn w:val="Normal"/>
    <w:next w:val="Normal"/>
    <w:link w:val="Heading1Char"/>
    <w:qFormat/>
    <w:rsid w:val="0069365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w:hAnsi="Courier"/>
      <w:szCs w:val="24"/>
    </w:rPr>
  </w:style>
  <w:style w:type="paragraph" w:styleId="Footer">
    <w:name w:val="footer"/>
    <w:basedOn w:val="Normal"/>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style>
  <w:style w:type="paragraph" w:styleId="Title">
    <w:name w:val="Title"/>
    <w:basedOn w:val="Normal"/>
    <w:link w:val="TitleChar"/>
    <w:qFormat/>
    <w:rsid w:val="00F2181A"/>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link w:val="Title"/>
    <w:rsid w:val="00F2181A"/>
    <w:rPr>
      <w:rFonts w:ascii="Letter Gothic 12cpi" w:hAnsi="Letter Gothic 12cpi"/>
      <w:b/>
      <w:bCs/>
      <w:sz w:val="24"/>
      <w:szCs w:val="24"/>
      <w:u w:val="single"/>
    </w:rPr>
  </w:style>
  <w:style w:type="character" w:customStyle="1" w:styleId="Heading1Char">
    <w:name w:val="Heading 1 Char"/>
    <w:link w:val="Heading1"/>
    <w:rsid w:val="00693655"/>
    <w:rPr>
      <w:rFonts w:ascii="Cambria" w:eastAsia="Times New Roman" w:hAnsi="Cambria" w:cs="Times New Roman"/>
      <w:b/>
      <w:bCs/>
      <w:kern w:val="32"/>
      <w:sz w:val="32"/>
      <w:szCs w:val="32"/>
    </w:rPr>
  </w:style>
  <w:style w:type="character" w:styleId="CommentReference">
    <w:name w:val="annotation reference"/>
    <w:rsid w:val="001576DF"/>
    <w:rPr>
      <w:sz w:val="16"/>
      <w:szCs w:val="16"/>
    </w:rPr>
  </w:style>
  <w:style w:type="paragraph" w:styleId="CommentText">
    <w:name w:val="annotation text"/>
    <w:basedOn w:val="Normal"/>
    <w:link w:val="CommentTextChar"/>
    <w:rsid w:val="001576DF"/>
    <w:rPr>
      <w:sz w:val="20"/>
      <w:szCs w:val="20"/>
    </w:rPr>
  </w:style>
  <w:style w:type="character" w:customStyle="1" w:styleId="CommentTextChar">
    <w:name w:val="Comment Text Char"/>
    <w:basedOn w:val="DefaultParagraphFont"/>
    <w:link w:val="CommentText"/>
    <w:rsid w:val="001576DF"/>
  </w:style>
  <w:style w:type="paragraph" w:styleId="CommentSubject">
    <w:name w:val="annotation subject"/>
    <w:basedOn w:val="CommentText"/>
    <w:next w:val="CommentText"/>
    <w:link w:val="CommentSubjectChar"/>
    <w:rsid w:val="001576DF"/>
    <w:rPr>
      <w:b/>
      <w:bCs/>
    </w:rPr>
  </w:style>
  <w:style w:type="character" w:customStyle="1" w:styleId="CommentSubjectChar">
    <w:name w:val="Comment Subject Char"/>
    <w:link w:val="CommentSubject"/>
    <w:rsid w:val="001576DF"/>
    <w:rPr>
      <w:b/>
      <w:bCs/>
    </w:rPr>
  </w:style>
  <w:style w:type="paragraph" w:styleId="BalloonText">
    <w:name w:val="Balloon Text"/>
    <w:basedOn w:val="Normal"/>
    <w:link w:val="BalloonTextChar"/>
    <w:rsid w:val="001576DF"/>
    <w:rPr>
      <w:rFonts w:ascii="Tahoma" w:hAnsi="Tahoma" w:cs="Tahoma"/>
      <w:sz w:val="16"/>
      <w:szCs w:val="16"/>
    </w:rPr>
  </w:style>
  <w:style w:type="character" w:customStyle="1" w:styleId="BalloonTextChar">
    <w:name w:val="Balloon Text Char"/>
    <w:link w:val="BalloonText"/>
    <w:rsid w:val="001576DF"/>
    <w:rPr>
      <w:rFonts w:ascii="Tahoma" w:hAnsi="Tahoma" w:cs="Tahoma"/>
      <w:sz w:val="16"/>
      <w:szCs w:val="16"/>
    </w:rPr>
  </w:style>
  <w:style w:type="paragraph" w:styleId="Revision">
    <w:name w:val="Revision"/>
    <w:hidden/>
    <w:uiPriority w:val="99"/>
    <w:semiHidden/>
    <w:rsid w:val="004F5C99"/>
    <w:rPr>
      <w:sz w:val="24"/>
      <w:szCs w:val="24"/>
    </w:rPr>
  </w:style>
  <w:style w:type="paragraph" w:styleId="FootnoteText">
    <w:name w:val="footnote text"/>
    <w:basedOn w:val="Normal"/>
    <w:link w:val="FootnoteTextChar"/>
    <w:rsid w:val="00193306"/>
    <w:rPr>
      <w:sz w:val="20"/>
      <w:szCs w:val="20"/>
    </w:rPr>
  </w:style>
  <w:style w:type="character" w:customStyle="1" w:styleId="FootnoteTextChar">
    <w:name w:val="Footnote Text Char"/>
    <w:basedOn w:val="DefaultParagraphFont"/>
    <w:link w:val="FootnoteText"/>
    <w:rsid w:val="00193306"/>
  </w:style>
  <w:style w:type="character" w:styleId="FootnoteReference">
    <w:name w:val="footnote reference"/>
    <w:rsid w:val="00193306"/>
    <w:rPr>
      <w:vertAlign w:val="superscript"/>
    </w:rPr>
  </w:style>
  <w:style w:type="character" w:styleId="Hyperlink">
    <w:name w:val="Hyperlink"/>
    <w:rsid w:val="00193306"/>
    <w:rPr>
      <w:color w:val="0563C1"/>
      <w:u w:val="single"/>
    </w:rPr>
  </w:style>
  <w:style w:type="character" w:customStyle="1" w:styleId="UnresolvedMention1">
    <w:name w:val="Unresolved Mention1"/>
    <w:uiPriority w:val="99"/>
    <w:semiHidden/>
    <w:unhideWhenUsed/>
    <w:rsid w:val="00193306"/>
    <w:rPr>
      <w:color w:val="808080"/>
      <w:shd w:val="clear" w:color="auto" w:fill="E6E6E6"/>
    </w:rPr>
  </w:style>
  <w:style w:type="table" w:styleId="TableGrid">
    <w:name w:val="Table Grid"/>
    <w:basedOn w:val="TableNormal"/>
    <w:rsid w:val="00105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71A90"/>
    <w:rPr>
      <w:color w:val="605E5C"/>
      <w:shd w:val="clear" w:color="auto" w:fill="E1DFDD"/>
    </w:rPr>
  </w:style>
  <w:style w:type="paragraph" w:styleId="Header">
    <w:name w:val="header"/>
    <w:basedOn w:val="Normal"/>
    <w:link w:val="HeaderChar"/>
    <w:rsid w:val="00DF25F8"/>
    <w:pPr>
      <w:tabs>
        <w:tab w:val="center" w:pos="4680"/>
        <w:tab w:val="right" w:pos="9360"/>
      </w:tabs>
    </w:pPr>
  </w:style>
  <w:style w:type="character" w:customStyle="1" w:styleId="HeaderChar">
    <w:name w:val="Header Char"/>
    <w:basedOn w:val="DefaultParagraphFont"/>
    <w:link w:val="Header"/>
    <w:rsid w:val="00DF2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OMBHistory?ombControlNumber=2137-0620" TargetMode="External" /><Relationship Id="rId2" Type="http://schemas.openxmlformats.org/officeDocument/2006/relationships/hyperlink" Target="https://www.federalregister.gov/documents/2005/01/24/05-1113/hazardous-materials-incorporation-of-exemptions-into-regulations" TargetMode="External" /><Relationship Id="rId3" Type="http://schemas.openxmlformats.org/officeDocument/2006/relationships/hyperlink" Target="https://www.bls.gov/oes/current/oes1721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etails xmlns="63ed583d-7590-47b9-98bc-2af72f9646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3" ma:contentTypeDescription="Create a new document." ma:contentTypeScope="" ma:versionID="84e4c2143383a175b94425cdc6e4f45e">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2761d2c23573063de576a04d91a16e98"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etails" ma:index="24" nillable="true" ma:displayName="Details" ma:description="File 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07C0B-EBDE-4C75-943B-9B0127A35B47}">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customXml/itemProps2.xml><?xml version="1.0" encoding="utf-8"?>
<ds:datastoreItem xmlns:ds="http://schemas.openxmlformats.org/officeDocument/2006/customXml" ds:itemID="{5997E23D-7829-4032-9637-847E61CA6044}">
  <ds:schemaRefs>
    <ds:schemaRef ds:uri="http://schemas.microsoft.com/sharepoint/v3/contenttype/forms"/>
  </ds:schemaRefs>
</ds:datastoreItem>
</file>

<file path=customXml/itemProps3.xml><?xml version="1.0" encoding="utf-8"?>
<ds:datastoreItem xmlns:ds="http://schemas.openxmlformats.org/officeDocument/2006/customXml" ds:itemID="{9BC15462-F47E-4BE9-BB2B-74E98223A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956FA-8390-4A1C-A8BD-F0A0512D1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1630</Words>
  <Characters>9295</Characters>
  <Application>Microsoft Office Word</Application>
  <DocSecurity>0</DocSecurity>
  <Lines>77</Lines>
  <Paragraphs>21</Paragraphs>
  <ScaleCrop>false</ScaleCrop>
  <Company>USDOT</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Testing of</dc:title>
  <dc:creator>Foster, T. Glenn</dc:creator>
  <cp:lastModifiedBy>Larson, Ryan (PHMSA)</cp:lastModifiedBy>
  <cp:revision>2</cp:revision>
  <cp:lastPrinted>2008-02-01T18:18:00Z</cp:lastPrinted>
  <dcterms:created xsi:type="dcterms:W3CDTF">2026-07-02T13:39:00Z</dcterms:created>
  <dcterms:modified xsi:type="dcterms:W3CDTF">2026-07-02T13:39:00Z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