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6728" w:rsidRPr="0096525A" w:rsidP="00376728" w14:paraId="2C17C9D0" w14:textId="77777777">
      <w:pPr>
        <w:jc w:val="center"/>
        <w:rPr>
          <w:b/>
          <w:bCs/>
        </w:rPr>
      </w:pPr>
      <w:r w:rsidRPr="0096525A">
        <w:rPr>
          <w:b/>
          <w:bCs/>
        </w:rPr>
        <w:t xml:space="preserve">Department </w:t>
      </w:r>
      <w:r w:rsidRPr="0096525A">
        <w:rPr>
          <w:b/>
          <w:bCs/>
        </w:rPr>
        <w:tab/>
        <w:t>of Transportation</w:t>
      </w:r>
    </w:p>
    <w:p w:rsidR="00376728" w:rsidRPr="0096525A" w:rsidP="00376728" w14:paraId="27A5FD24" w14:textId="77777777">
      <w:pPr>
        <w:jc w:val="center"/>
        <w:rPr>
          <w:b/>
          <w:bCs/>
        </w:rPr>
      </w:pPr>
      <w:r w:rsidRPr="0096525A">
        <w:rPr>
          <w:b/>
          <w:bCs/>
        </w:rPr>
        <w:t>Office of the Chief Information Officer</w:t>
      </w:r>
    </w:p>
    <w:p w:rsidR="00376728" w:rsidP="00376728" w14:paraId="25ED19FB" w14:textId="77777777">
      <w:pPr>
        <w:jc w:val="center"/>
        <w:rPr>
          <w:bCs/>
        </w:rPr>
      </w:pPr>
    </w:p>
    <w:p w:rsidR="00376728" w:rsidP="00376728" w14:paraId="140A8C1A" w14:textId="77777777">
      <w:pPr>
        <w:jc w:val="center"/>
        <w:rPr>
          <w:b/>
          <w:bCs/>
        </w:rPr>
      </w:pPr>
      <w:r w:rsidRPr="0096525A">
        <w:rPr>
          <w:b/>
          <w:bCs/>
        </w:rPr>
        <w:t xml:space="preserve">Supporting Statement </w:t>
      </w:r>
    </w:p>
    <w:p w:rsidR="00376728" w:rsidP="00376728" w14:paraId="73AD73B8" w14:textId="1378512A">
      <w:pPr>
        <w:jc w:val="center"/>
        <w:rPr>
          <w:b/>
          <w:bCs/>
        </w:rPr>
      </w:pPr>
      <w:r>
        <w:rPr>
          <w:b/>
          <w:bCs/>
        </w:rPr>
        <w:t>“</w:t>
      </w:r>
      <w:r w:rsidRPr="002D368B">
        <w:rPr>
          <w:b/>
          <w:bCs/>
        </w:rPr>
        <w:t>Annual Reports for Gas Pipeline Operators</w:t>
      </w:r>
      <w:r>
        <w:rPr>
          <w:b/>
          <w:bCs/>
        </w:rPr>
        <w:t>”</w:t>
      </w:r>
    </w:p>
    <w:p w:rsidR="00D132C8" w:rsidP="00D132C8" w14:paraId="7B735041" w14:textId="10291787">
      <w:pPr>
        <w:jc w:val="center"/>
        <w:rPr>
          <w:b/>
          <w:bCs/>
        </w:rPr>
      </w:pPr>
      <w:r>
        <w:rPr>
          <w:b/>
          <w:bCs/>
        </w:rPr>
        <w:t>OMB Control No. 2137-0522</w:t>
      </w:r>
    </w:p>
    <w:p w:rsidR="00376728" w:rsidP="00376728" w14:paraId="00FB1540" w14:textId="77777777">
      <w:pPr>
        <w:rPr>
          <w:bCs/>
        </w:rPr>
      </w:pPr>
    </w:p>
    <w:p w:rsidR="00376728" w:rsidRPr="007F2B6B" w:rsidP="00376728" w14:paraId="3B6AF564" w14:textId="77777777">
      <w:pPr>
        <w:rPr>
          <w:b/>
          <w:bCs/>
          <w:u w:val="single"/>
        </w:rPr>
      </w:pPr>
      <w:r w:rsidRPr="007F2B6B">
        <w:rPr>
          <w:b/>
          <w:bCs/>
          <w:u w:val="single"/>
        </w:rPr>
        <w:t>INTRODUCTION</w:t>
      </w:r>
    </w:p>
    <w:p w:rsidR="00DE7CC5" w:rsidP="00A72CE8" w14:paraId="1154DF90" w14:textId="77777777"/>
    <w:p w:rsidR="00D81A16" w:rsidP="00A72CE8" w14:paraId="00115B47" w14:textId="198E59C4">
      <w:bookmarkStart w:id="0" w:name="_Hlk105683449"/>
      <w:r w:rsidRPr="002A2BA0">
        <w:t xml:space="preserve">The Pipeline and Hazardous Materials Safety Administration (PHMSA) requests approval from the Office of Management and Budget (OMB) for </w:t>
      </w:r>
      <w:r>
        <w:t xml:space="preserve">an extension </w:t>
      </w:r>
      <w:r w:rsidRPr="002A2BA0">
        <w:t>of a currently approved collection entitled</w:t>
      </w:r>
      <w:r w:rsidRPr="002A2BA0" w:rsidR="00C6101A">
        <w:t xml:space="preserve"> </w:t>
      </w:r>
      <w:bookmarkEnd w:id="0"/>
      <w:r w:rsidRPr="002B7DAA" w:rsidR="00A72CE8">
        <w:rPr>
          <w:bCs/>
        </w:rPr>
        <w:t>“</w:t>
      </w:r>
      <w:r w:rsidR="003D6686">
        <w:rPr>
          <w:bCs/>
        </w:rPr>
        <w:t xml:space="preserve">Incident and </w:t>
      </w:r>
      <w:r w:rsidRPr="002D368B" w:rsidR="00A72CE8">
        <w:rPr>
          <w:bCs/>
        </w:rPr>
        <w:t xml:space="preserve">Annual Reports for </w:t>
      </w:r>
      <w:r w:rsidR="00FB5DD9">
        <w:rPr>
          <w:bCs/>
        </w:rPr>
        <w:t xml:space="preserve">Natural </w:t>
      </w:r>
      <w:r w:rsidRPr="002D368B" w:rsidR="00A72CE8">
        <w:rPr>
          <w:bCs/>
        </w:rPr>
        <w:t>Gas Pipeline Operators</w:t>
      </w:r>
      <w:r w:rsidR="00A72CE8">
        <w:rPr>
          <w:bCs/>
        </w:rPr>
        <w:t xml:space="preserve">” (OMB Control No. 2137-0522).  </w:t>
      </w:r>
      <w:r w:rsidR="00A72CE8">
        <w:t xml:space="preserve">The current expiration date for this information collection is </w:t>
      </w:r>
      <w:r>
        <w:t>August</w:t>
      </w:r>
      <w:r w:rsidR="000605B4">
        <w:t xml:space="preserve"> 31, </w:t>
      </w:r>
      <w:r w:rsidR="00B905F4">
        <w:t>202</w:t>
      </w:r>
      <w:r w:rsidR="00B07C60">
        <w:t>6</w:t>
      </w:r>
      <w:r w:rsidR="00A72CE8">
        <w:t xml:space="preserve">.  </w:t>
      </w:r>
    </w:p>
    <w:p w:rsidR="00D81A16" w:rsidP="00A72CE8" w14:paraId="34E75C9B" w14:textId="77777777"/>
    <w:p w:rsidR="00376728" w:rsidRPr="007F2B6B" w:rsidP="00376728" w14:paraId="28EE230C" w14:textId="77777777">
      <w:pPr>
        <w:rPr>
          <w:b/>
          <w:bCs/>
          <w:u w:val="single"/>
        </w:rPr>
      </w:pPr>
      <w:r w:rsidRPr="007F2B6B">
        <w:rPr>
          <w:b/>
          <w:bCs/>
          <w:u w:val="single"/>
        </w:rPr>
        <w:t>Part A. Justification</w:t>
      </w:r>
    </w:p>
    <w:p w:rsidR="00376728" w:rsidP="00376728" w14:paraId="52C3418D" w14:textId="77777777">
      <w:pPr>
        <w:rPr>
          <w:bCs/>
        </w:rPr>
      </w:pPr>
    </w:p>
    <w:p w:rsidR="00376728" w:rsidRPr="004B4409" w:rsidP="00376728" w14:paraId="27B68EEC" w14:textId="77777777">
      <w:r w:rsidRPr="004B4409">
        <w:rPr>
          <w:bCs/>
        </w:rPr>
        <w:t>1.</w:t>
      </w:r>
      <w:r w:rsidRPr="004B4409">
        <w:rPr>
          <w:bCs/>
        </w:rPr>
        <w:tab/>
      </w:r>
      <w:r w:rsidRPr="004B4409">
        <w:rPr>
          <w:bCs/>
          <w:u w:val="single"/>
        </w:rPr>
        <w:t>Circumstances that make collection of information necessary.</w:t>
      </w:r>
      <w:r w:rsidRPr="004B4409">
        <w:t xml:space="preserve"> </w:t>
      </w:r>
    </w:p>
    <w:p w:rsidR="00376728" w:rsidP="00376728" w14:paraId="2195BF44" w14:textId="77777777">
      <w:pPr>
        <w:rPr>
          <w:i/>
        </w:rPr>
      </w:pPr>
    </w:p>
    <w:p w:rsidR="00376728" w:rsidP="00376728" w14:paraId="08D74AC7" w14:textId="59264FF1">
      <w:r>
        <w:t xml:space="preserve">The reports contained within this information collection support the Department of Transportation’s strategic goal of safety.  </w:t>
      </w:r>
      <w:r w:rsidR="00024697">
        <w:t>A</w:t>
      </w:r>
      <w:r>
        <w:t xml:space="preserve">nnual summary reports help to inform PHMSA and the public of release incident risks and trends.  The National Transportation Safety Board (NTSB), the U.S. Department of Transportation’s Office of the Inspector General, and the General Accounting Office all urged PHMSA to collect this information.  </w:t>
      </w:r>
      <w:r w:rsidR="00B30B57">
        <w:t>This</w:t>
      </w:r>
      <w:r>
        <w:t xml:space="preserve"> information is an essential part of PHMSA’s overall effort to minimize natural gas </w:t>
      </w:r>
      <w:r w:rsidR="00D13582">
        <w:t xml:space="preserve">storage, </w:t>
      </w:r>
      <w:r>
        <w:t>transmission, gathering, and d</w:t>
      </w:r>
      <w:r w:rsidR="00B809E8">
        <w:t xml:space="preserve">istribution pipeline failures.  </w:t>
      </w:r>
    </w:p>
    <w:p w:rsidR="00FF7653" w:rsidP="00376728" w14:paraId="465C7B2D" w14:textId="77777777"/>
    <w:p w:rsidR="005A4737" w:rsidP="00376728" w14:paraId="64EE40BE" w14:textId="35280CCD">
      <w:r>
        <w:t xml:space="preserve">The requirements for annual reporting are in 49 CFR Part 191.   The PHMSA delegation of authority is found in 49 CFR 1.97 which allows for PHMSA to exercise the authority </w:t>
      </w:r>
      <w:r>
        <w:t>vested in the Secretary in under Chapter 601 of title 49, U.S.C.</w:t>
      </w:r>
    </w:p>
    <w:p w:rsidR="00376728" w:rsidP="00376728" w14:paraId="2336993C" w14:textId="7DAA5B8C">
      <w:r>
        <w:t xml:space="preserve">The </w:t>
      </w:r>
      <w:r w:rsidR="005C74D1">
        <w:t xml:space="preserve">specific </w:t>
      </w:r>
      <w:r>
        <w:t>legislative authority</w:t>
      </w:r>
      <w:r w:rsidR="005C74D1">
        <w:t xml:space="preserve"> cites</w:t>
      </w:r>
      <w:r>
        <w:t xml:space="preserve"> for the requirements in 49 CFR Part 191 </w:t>
      </w:r>
      <w:r w:rsidR="005C74D1">
        <w:t>include</w:t>
      </w:r>
      <w:r>
        <w:t>49 U.S.C. 60102, 60103, 60104, 60108, 60117, 60118, 60124</w:t>
      </w:r>
      <w:r w:rsidR="005C74D1">
        <w:t xml:space="preserve"> and 6013</w:t>
      </w:r>
      <w:r w:rsidR="0035611E">
        <w:t>9</w:t>
      </w:r>
      <w:r>
        <w:t xml:space="preserve">.  </w:t>
      </w:r>
    </w:p>
    <w:p w:rsidR="00D0573B" w:rsidP="00376728" w14:paraId="6D451969" w14:textId="6D2AACF3"/>
    <w:p w:rsidR="00D0573B" w:rsidRPr="00D0573B" w:rsidP="00D0573B" w14:paraId="591E7E8A" w14:textId="77777777">
      <w:pPr>
        <w:autoSpaceDE w:val="0"/>
        <w:autoSpaceDN w:val="0"/>
        <w:adjustRightInd w:val="0"/>
        <w:rPr>
          <w:bCs/>
        </w:rPr>
      </w:pPr>
      <w:r w:rsidRPr="00D0573B">
        <w:rPr>
          <w:bCs/>
        </w:rPr>
        <w:t>49 USC 60117 requires that:</w:t>
      </w:r>
    </w:p>
    <w:p w:rsidR="00D0573B" w:rsidRPr="00D0573B" w:rsidP="00D0573B" w14:paraId="01E952FF" w14:textId="77777777">
      <w:pPr>
        <w:autoSpaceDE w:val="0"/>
        <w:autoSpaceDN w:val="0"/>
        <w:adjustRightInd w:val="0"/>
        <w:rPr>
          <w:bCs/>
        </w:rPr>
      </w:pPr>
      <w:r w:rsidRPr="00D0573B">
        <w:rPr>
          <w:bCs/>
        </w:rPr>
        <w:t xml:space="preserve">“To enable the Secretary to decide whether a person transporting gas or hazardous liquid or operating a pipeline facility is complying with this chapter and standards prescribed or orders issued under this chapter, the person shall – </w:t>
      </w:r>
    </w:p>
    <w:p w:rsidR="00D0573B" w:rsidRPr="00D0573B" w:rsidP="00D0573B" w14:paraId="6F21B276" w14:textId="77777777">
      <w:pPr>
        <w:autoSpaceDE w:val="0"/>
        <w:autoSpaceDN w:val="0"/>
        <w:adjustRightInd w:val="0"/>
        <w:rPr>
          <w:bCs/>
        </w:rPr>
      </w:pPr>
      <w:r w:rsidRPr="00D0573B">
        <w:rPr>
          <w:bCs/>
        </w:rPr>
        <w:t>(1) maintain records, make reports, and provide information the Secretary requires; and</w:t>
      </w:r>
    </w:p>
    <w:p w:rsidR="00D0573B" w:rsidRPr="00D0573B" w:rsidP="00D0573B" w14:paraId="7AC8510D" w14:textId="77777777">
      <w:pPr>
        <w:autoSpaceDE w:val="0"/>
        <w:autoSpaceDN w:val="0"/>
        <w:adjustRightInd w:val="0"/>
        <w:rPr>
          <w:bCs/>
        </w:rPr>
      </w:pPr>
      <w:r w:rsidRPr="00D0573B">
        <w:rPr>
          <w:bCs/>
        </w:rPr>
        <w:t>(2) make the records, reports and information available when the Secretary requests.”</w:t>
      </w:r>
    </w:p>
    <w:p w:rsidR="00D0573B" w:rsidRPr="00D0573B" w:rsidP="00D0573B" w14:paraId="71DA5E20" w14:textId="77777777">
      <w:pPr>
        <w:autoSpaceDE w:val="0"/>
        <w:autoSpaceDN w:val="0"/>
        <w:adjustRightInd w:val="0"/>
        <w:rPr>
          <w:bCs/>
        </w:rPr>
      </w:pPr>
    </w:p>
    <w:p w:rsidR="00D0573B" w:rsidRPr="00D0573B" w:rsidP="00D0573B" w14:paraId="6159DBF2" w14:textId="77777777">
      <w:pPr>
        <w:autoSpaceDE w:val="0"/>
        <w:autoSpaceDN w:val="0"/>
        <w:adjustRightInd w:val="0"/>
        <w:rPr>
          <w:bCs/>
        </w:rPr>
      </w:pPr>
      <w:r w:rsidRPr="00D0573B">
        <w:rPr>
          <w:bCs/>
        </w:rPr>
        <w:t xml:space="preserve">The regulations set forth in 49 CFR 192 require operators to make various notifications upon the occurrence of certain events. The provisions covered under this ICR involve notification requirements for operators who utilize alternative or expanded technologies and analyses when conducting tests and inspections. These notification requirements are necessary to ensure safe operation of transmission pipelines, ascertain compliance with gas pipeline safety regulations, and to provide a background for incident </w:t>
      </w:r>
      <w:r w:rsidRPr="00D0573B">
        <w:rPr>
          <w:bCs/>
        </w:rPr>
        <w:t>investigations.</w:t>
      </w:r>
    </w:p>
    <w:p w:rsidR="00D0573B" w:rsidP="00376728" w14:paraId="1939CA9C" w14:textId="77777777"/>
    <w:p w:rsidR="00376728" w:rsidRPr="004B4409" w:rsidP="00376728" w14:paraId="475F2E19" w14:textId="77777777">
      <w:r w:rsidRPr="004B4409">
        <w:rPr>
          <w:bCs/>
        </w:rPr>
        <w:t>2.</w:t>
      </w:r>
      <w:r w:rsidRPr="004B4409">
        <w:rPr>
          <w:bCs/>
        </w:rPr>
        <w:tab/>
      </w:r>
      <w:r w:rsidRPr="004B4409">
        <w:rPr>
          <w:bCs/>
          <w:u w:val="single"/>
        </w:rPr>
        <w:t>How, by whom, and for what purpose is the information used.</w:t>
      </w:r>
      <w:r w:rsidRPr="004B4409">
        <w:t xml:space="preserve"> </w:t>
      </w:r>
    </w:p>
    <w:p w:rsidR="00376728" w:rsidP="00376728" w14:paraId="29786328" w14:textId="77777777">
      <w:pPr>
        <w:rPr>
          <w:i/>
        </w:rPr>
      </w:pPr>
    </w:p>
    <w:p w:rsidR="00CD7B52" w:rsidP="00CD7B52" w14:paraId="6FAB9DE5" w14:textId="77777777">
      <w:r>
        <w:t>PHMSA uses this information collection to gather annual data and failure information from natural gas pipeline operators.  The term “natural gas pipeline operators” includes Gas Transmission operators, Gas Distribution operators, and LNG pipeline facility operators.</w:t>
      </w:r>
    </w:p>
    <w:p w:rsidR="00CD7B52" w:rsidP="00CD7B52" w14:paraId="25D544E4" w14:textId="77777777"/>
    <w:p w:rsidR="00CD7B52" w:rsidP="00CD7B52" w14:paraId="01C0AB7C" w14:textId="77777777">
      <w:pPr>
        <w:ind w:firstLine="720"/>
      </w:pPr>
      <w:r>
        <w:t>PHMSA collects annual information from gas pipeline operators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  The annual report forms are identified as follows:</w:t>
      </w:r>
    </w:p>
    <w:p w:rsidR="00CD7B52" w:rsidP="00CD7B52" w14:paraId="577F608E" w14:textId="77777777">
      <w:pPr>
        <w:pStyle w:val="ListParagraph"/>
        <w:numPr>
          <w:ilvl w:val="0"/>
          <w:numId w:val="1"/>
        </w:numPr>
      </w:pPr>
      <w:r>
        <w:t>Underground Natural Gas Storage</w:t>
      </w:r>
      <w:r w:rsidRPr="001B4315">
        <w:t xml:space="preserve"> Annual Report</w:t>
      </w:r>
      <w:r>
        <w:t xml:space="preserve"> </w:t>
      </w:r>
    </w:p>
    <w:p w:rsidR="00CD7B52" w:rsidP="00CD7B52" w14:paraId="4CA7FD61" w14:textId="77777777">
      <w:pPr>
        <w:pStyle w:val="ListParagraph"/>
        <w:numPr>
          <w:ilvl w:val="0"/>
          <w:numId w:val="1"/>
        </w:numPr>
      </w:pPr>
      <w:r>
        <w:t xml:space="preserve">Gas Transmission </w:t>
      </w:r>
      <w:r>
        <w:t>Annual Report</w:t>
      </w:r>
    </w:p>
    <w:p w:rsidR="00CD7B52" w:rsidP="00CD7B52" w14:paraId="63B06241" w14:textId="77777777">
      <w:pPr>
        <w:pStyle w:val="ListParagraph"/>
        <w:numPr>
          <w:ilvl w:val="0"/>
          <w:numId w:val="1"/>
        </w:numPr>
      </w:pPr>
      <w:r>
        <w:t>LNG Annual Report</w:t>
      </w:r>
    </w:p>
    <w:p w:rsidR="00CD7B52" w:rsidP="00CD7B52" w14:paraId="00B646A9" w14:textId="77777777">
      <w:pPr>
        <w:pStyle w:val="ListParagraph"/>
        <w:numPr>
          <w:ilvl w:val="0"/>
          <w:numId w:val="1"/>
        </w:numPr>
      </w:pPr>
      <w:r>
        <w:t>Type R Reporting-Regulated Annual Report</w:t>
      </w:r>
    </w:p>
    <w:p w:rsidR="00CD7B52" w:rsidP="00CD7B52" w14:paraId="6BC17C36" w14:textId="77777777">
      <w:pPr>
        <w:pStyle w:val="ListParagraph"/>
      </w:pPr>
    </w:p>
    <w:p w:rsidR="00CD7B52" w:rsidP="00CD7B52" w14:paraId="78C71402" w14:textId="253D0375">
      <w:r>
        <w:t xml:space="preserve">The information from annual reports </w:t>
      </w:r>
      <w:r w:rsidR="00EB0BDA">
        <w:t>is</w:t>
      </w:r>
      <w:r>
        <w:t xml:space="preserve"> used for identifying existing or potential pipeline safety problems, to develop statistical and data/safety reports, and to develop benefit-cost analyses pertaining to pipeline safety.  </w:t>
      </w:r>
    </w:p>
    <w:p w:rsidR="00CD7B52" w:rsidP="00CD7B52" w14:paraId="085787CB" w14:textId="77777777"/>
    <w:p w:rsidR="00D0573B" w:rsidRPr="00D0573B" w:rsidP="00D0573B" w14:paraId="166A0E73" w14:textId="18935744">
      <w:pPr>
        <w:autoSpaceDE w:val="0"/>
        <w:autoSpaceDN w:val="0"/>
        <w:adjustRightInd w:val="0"/>
        <w:rPr>
          <w:bCs/>
        </w:rPr>
      </w:pPr>
      <w:r>
        <w:rPr>
          <w:bCs/>
        </w:rPr>
        <w:t>Data derived from required notifications</w:t>
      </w:r>
      <w:r w:rsidRPr="00D0573B">
        <w:rPr>
          <w:bCs/>
        </w:rPr>
        <w:t xml:space="preserve"> is used to assist Federal pipeline safety inspectors and State pipeline safety inspectors participating in the gas pipeline safety program. From these notifications, the inspectors will be able to ascertain compliance with regulations. </w:t>
      </w:r>
      <w:r w:rsidRPr="00D0573B" w:rsidR="00B30B57">
        <w:rPr>
          <w:bCs/>
        </w:rPr>
        <w:t>This</w:t>
      </w:r>
      <w:r w:rsidRPr="00D0573B">
        <w:rPr>
          <w:bCs/>
        </w:rPr>
        <w:t xml:space="preserve"> information will also help to ensure safe pipeline construction, operation, and maintenance, and it will provide important information needed in incident investigations. Further, the information retained will form a record of pipe materials and characteristics that will assist in pipe maintenance and repair efforts by operators.</w:t>
      </w:r>
    </w:p>
    <w:p w:rsidR="00D0573B" w:rsidRPr="00D0573B" w:rsidP="00D0573B" w14:paraId="7DB90087" w14:textId="77777777">
      <w:pPr>
        <w:autoSpaceDE w:val="0"/>
        <w:autoSpaceDN w:val="0"/>
        <w:adjustRightInd w:val="0"/>
        <w:rPr>
          <w:bCs/>
        </w:rPr>
      </w:pPr>
    </w:p>
    <w:p w:rsidR="00376728" w:rsidP="00376728" w14:paraId="2FD2257B" w14:textId="77777777">
      <w:pPr>
        <w:rPr>
          <w:bCs/>
          <w:u w:val="single"/>
        </w:rPr>
      </w:pPr>
      <w:r w:rsidRPr="004B4409">
        <w:rPr>
          <w:bCs/>
        </w:rPr>
        <w:t xml:space="preserve">3.  </w:t>
      </w:r>
      <w:r w:rsidRPr="004B4409">
        <w:rPr>
          <w:bCs/>
        </w:rPr>
        <w:tab/>
      </w:r>
      <w:r w:rsidRPr="004B4409">
        <w:rPr>
          <w:bCs/>
          <w:u w:val="single"/>
        </w:rPr>
        <w:t>Extent of automated information collection.</w:t>
      </w:r>
    </w:p>
    <w:p w:rsidR="00376728" w:rsidP="00376728" w14:paraId="2BF49E8D" w14:textId="77777777"/>
    <w:p w:rsidR="00376728" w:rsidP="00376728" w14:paraId="627349E8" w14:textId="77777777">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Pipeline operators are encouraged to file annual reports on-line</w:t>
      </w:r>
      <w:r w:rsidR="00C578CE">
        <w:t xml:space="preserve"> at www.opsweb.phmsa.dot.gov</w:t>
      </w:r>
      <w:r>
        <w:t xml:space="preserve">.  </w:t>
      </w:r>
    </w:p>
    <w:p w:rsidR="00376728" w:rsidP="00376728" w14:paraId="7BE73C71" w14:textId="77777777"/>
    <w:p w:rsidR="00376728" w:rsidP="00376728" w14:paraId="7106C238" w14:textId="77777777">
      <w:r w:rsidRPr="004B4409">
        <w:rPr>
          <w:bCs/>
        </w:rPr>
        <w:t xml:space="preserve">4.  </w:t>
      </w:r>
      <w:r w:rsidRPr="004B4409">
        <w:rPr>
          <w:bCs/>
        </w:rPr>
        <w:tab/>
      </w:r>
      <w:r w:rsidRPr="004B4409">
        <w:rPr>
          <w:bCs/>
          <w:u w:val="single"/>
        </w:rPr>
        <w:t>Efforts to identify duplication.</w:t>
      </w:r>
    </w:p>
    <w:p w:rsidR="009F13DF" w:rsidP="00376728" w14:paraId="2B55D242" w14:textId="77777777"/>
    <w:p w:rsidR="00376728" w:rsidP="00376728" w14:paraId="137EFCF9" w14:textId="282FB369">
      <w:r>
        <w:t xml:space="preserve">PHMSA is the only federal agency that collects information related to </w:t>
      </w:r>
      <w:r w:rsidR="004C6A5B">
        <w:t xml:space="preserve">natural and other gas </w:t>
      </w:r>
      <w:r>
        <w:t xml:space="preserve">pipeline </w:t>
      </w:r>
      <w:r w:rsidR="00647EC4">
        <w:t>safety</w:t>
      </w:r>
      <w:r>
        <w:t xml:space="preserve">.  No similar information is requested by the government or industry on </w:t>
      </w:r>
      <w:r w:rsidR="00647EC4">
        <w:t>such pipeline attributes</w:t>
      </w:r>
      <w:r>
        <w:t>.</w:t>
      </w:r>
      <w:r w:rsidR="00647EC4">
        <w:t xml:space="preserve">  </w:t>
      </w:r>
      <w:r>
        <w:t xml:space="preserve">The </w:t>
      </w:r>
      <w:r w:rsidR="00647EC4">
        <w:t>data collected</w:t>
      </w:r>
      <w:r>
        <w:t xml:space="preserve"> on gas transmission and gathering pipelines is extremely limited in terms of scope and population of gas pipeline operators covered.  The Department of Interior (DOI) collects information that is in some ways </w:t>
      </w:r>
      <w:r>
        <w:t>similar to that collected by PHMSA, but the information DOI collects does not cover all gas transportation or gathering pipelines.</w:t>
      </w:r>
    </w:p>
    <w:p w:rsidR="00376728" w:rsidP="00376728" w14:paraId="09BBAAB0" w14:textId="77777777"/>
    <w:p w:rsidR="00376728" w:rsidP="00376728" w14:paraId="7F8FC753" w14:textId="77777777">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P="00376728" w14:paraId="49DEAD7E" w14:textId="77777777">
      <w:pPr>
        <w:rPr>
          <w:i/>
        </w:rPr>
      </w:pPr>
    </w:p>
    <w:p w:rsidR="00376728" w:rsidP="00376728" w14:paraId="7EB29BCD" w14:textId="77777777">
      <w:r>
        <w:t xml:space="preserve">For PHMSA to be able to effectively carry out its legislative mandate and monitor natural gas pipeline safety, it is essential that both large and small operators of pipelines provide annual reports.  </w:t>
      </w:r>
      <w:r w:rsidR="001457D4">
        <w:t>PHMSA will make exception in cases where it is not feasible for operators to submit electronically.</w:t>
      </w:r>
    </w:p>
    <w:p w:rsidR="00376728" w:rsidP="00376728" w14:paraId="2510104B" w14:textId="77777777"/>
    <w:p w:rsidR="00376728" w:rsidRPr="004B4409" w:rsidP="00376728" w14:paraId="744DDACB" w14:textId="77777777">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P="00376728" w14:paraId="69CF9DDF" w14:textId="77777777">
      <w:pPr>
        <w:rPr>
          <w:i/>
        </w:rPr>
      </w:pPr>
    </w:p>
    <w:p w:rsidR="00376728" w:rsidP="00376728" w14:paraId="5CE8653A" w14:textId="77777777">
      <w:pPr>
        <w:rPr>
          <w:bCs/>
        </w:rPr>
      </w:pPr>
      <w:r>
        <w:t>The biennial report to Congress mandated by 49 U.S.C. 60124(b) would not have current information without the annual report</w:t>
      </w:r>
      <w:r w:rsidR="00D13582">
        <w:t xml:space="preserve"> data</w:t>
      </w:r>
      <w:r>
        <w:t xml:space="preserve">.  Less frequent information collection could compromise the safety and economic viability of the U.S. pipeline system.    </w:t>
      </w:r>
    </w:p>
    <w:p w:rsidR="00376728" w:rsidP="00376728" w14:paraId="5A804D84" w14:textId="77777777">
      <w:pPr>
        <w:rPr>
          <w:bCs/>
        </w:rPr>
      </w:pPr>
    </w:p>
    <w:p w:rsidR="00376728" w:rsidRPr="004B4409" w:rsidP="00376728" w14:paraId="072AACEE" w14:textId="77777777">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P="00376728" w14:paraId="0B38D020" w14:textId="77777777">
      <w:pPr>
        <w:rPr>
          <w:i/>
        </w:rPr>
      </w:pPr>
    </w:p>
    <w:p w:rsidR="00376728" w:rsidP="00376728" w14:paraId="1D950ECE" w14:textId="77777777">
      <w:r>
        <w:t xml:space="preserve">There </w:t>
      </w:r>
      <w:r w:rsidR="00D34FE9">
        <w:t>are no special circumstances within this request.</w:t>
      </w:r>
    </w:p>
    <w:p w:rsidR="00376728" w:rsidP="00376728" w14:paraId="7A65AAA2" w14:textId="77777777">
      <w:pPr>
        <w:rPr>
          <w:bCs/>
        </w:rPr>
      </w:pPr>
    </w:p>
    <w:p w:rsidR="00376728" w:rsidRPr="00390EAD" w:rsidP="00376728" w14:paraId="294FF2BA" w14:textId="77777777">
      <w:r w:rsidRPr="004B4409">
        <w:rPr>
          <w:bCs/>
        </w:rPr>
        <w:t xml:space="preserve">8.  </w:t>
      </w:r>
      <w:r w:rsidRPr="004B4409">
        <w:rPr>
          <w:bCs/>
        </w:rPr>
        <w:tab/>
      </w:r>
      <w:r w:rsidRPr="00390EAD">
        <w:rPr>
          <w:bCs/>
          <w:u w:val="single"/>
        </w:rPr>
        <w:t>Compliance with 5 CFR 1320.8.</w:t>
      </w:r>
      <w:r w:rsidRPr="00390EAD">
        <w:t xml:space="preserve"> </w:t>
      </w:r>
    </w:p>
    <w:p w:rsidR="00CE3167" w:rsidRPr="00390EAD" w:rsidP="00376728" w14:paraId="7B1F965E" w14:textId="77777777">
      <w:pPr>
        <w:rPr>
          <w:bCs/>
        </w:rPr>
      </w:pPr>
    </w:p>
    <w:p w:rsidR="00B30B57" w:rsidP="00B30B57" w14:paraId="3E806D63" w14:textId="77777777">
      <w:pPr>
        <w:pStyle w:val="Normal1"/>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PHMSA published a notice in the Federal Register [90 FR 31748] on July 15, 2025. PHMSA did not receive any comments pertaining to this information collection request.</w:t>
      </w:r>
    </w:p>
    <w:p w:rsidR="00B30B57" w:rsidP="00B30B57" w14:paraId="5FF137DE" w14:textId="77777777">
      <w:pPr>
        <w:pStyle w:val="Normal1"/>
        <w:widowControl/>
        <w:rPr>
          <w:rFonts w:ascii="Times New Roman" w:eastAsia="Times New Roman" w:hAnsi="Times New Roman" w:cs="Times New Roman"/>
          <w:sz w:val="24"/>
          <w:szCs w:val="24"/>
        </w:rPr>
      </w:pPr>
      <w:bookmarkStart w:id="1" w:name="_heading=h.hynwbj1017px"/>
      <w:bookmarkEnd w:id="1"/>
    </w:p>
    <w:p w:rsidR="00376728" w:rsidP="00376728" w14:paraId="58359437" w14:textId="33B85642">
      <w:pPr>
        <w:rPr>
          <w:bCs/>
          <w:u w:val="single"/>
        </w:rPr>
      </w:pPr>
      <w:r w:rsidRPr="004B4409">
        <w:rPr>
          <w:bCs/>
        </w:rPr>
        <w:t xml:space="preserve">9.  </w:t>
      </w:r>
      <w:r w:rsidRPr="004B4409">
        <w:rPr>
          <w:bCs/>
        </w:rPr>
        <w:tab/>
      </w:r>
      <w:r w:rsidRPr="004B4409">
        <w:rPr>
          <w:bCs/>
          <w:u w:val="single"/>
        </w:rPr>
        <w:t>Payments or gifts to respondents.</w:t>
      </w:r>
    </w:p>
    <w:p w:rsidR="00376728" w:rsidP="00376728" w14:paraId="1A83DF7E" w14:textId="77777777"/>
    <w:p w:rsidR="00376728" w:rsidRPr="0032069D" w:rsidP="00376728" w14:paraId="5021B2A0" w14:textId="77777777">
      <w:pPr>
        <w:jc w:val="both"/>
      </w:pPr>
      <w:r w:rsidRPr="0032069D">
        <w:t>There is no payment or gift provided to respondents associated with this collection of information.</w:t>
      </w:r>
    </w:p>
    <w:p w:rsidR="00376728" w:rsidP="00376728" w14:paraId="37CE7366" w14:textId="77777777"/>
    <w:p w:rsidR="00376728" w:rsidRPr="004B4409" w:rsidP="00376728" w14:paraId="062DF0A4" w14:textId="77777777">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P="00376728" w14:paraId="2B757C3A" w14:textId="77777777">
      <w:pPr>
        <w:rPr>
          <w:i/>
        </w:rPr>
      </w:pPr>
    </w:p>
    <w:p w:rsidR="00376728" w:rsidP="00376728" w14:paraId="552B7CD5" w14:textId="77777777">
      <w:pPr>
        <w:rPr>
          <w:bCs/>
        </w:rPr>
      </w:pPr>
      <w:r>
        <w:rPr>
          <w:bCs/>
        </w:rPr>
        <w:t>PHMSA does not have the authority to guarantee confidentiality, however, t</w:t>
      </w:r>
      <w:r w:rsidR="00F63DF5">
        <w:rPr>
          <w:bCs/>
        </w:rPr>
        <w:t>his</w:t>
      </w:r>
      <w:r>
        <w:rPr>
          <w:bCs/>
        </w:rPr>
        <w:t xml:space="preserve"> information collection do</w:t>
      </w:r>
      <w:r w:rsidR="00F63DF5">
        <w:rPr>
          <w:bCs/>
        </w:rPr>
        <w:t>es</w:t>
      </w:r>
      <w:r>
        <w:rPr>
          <w:bCs/>
        </w:rPr>
        <w:t xml:space="preserve"> not include anything of a sensitive nature or of any matters considered private.  </w:t>
      </w:r>
    </w:p>
    <w:p w:rsidR="00C92A17" w:rsidP="00376728" w14:paraId="0060E753" w14:textId="77777777">
      <w:pPr>
        <w:rPr>
          <w:bCs/>
        </w:rPr>
      </w:pPr>
    </w:p>
    <w:p w:rsidR="00376728" w:rsidP="00376728" w14:paraId="20971CDE" w14:textId="77777777">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P="00376728" w14:paraId="603B2F97" w14:textId="77777777">
      <w:pPr>
        <w:rPr>
          <w:i/>
        </w:rPr>
      </w:pPr>
    </w:p>
    <w:p w:rsidR="00376728" w:rsidP="00376728" w14:paraId="599D8BE5" w14:textId="77777777">
      <w:pPr>
        <w:jc w:val="both"/>
      </w:pPr>
      <w:r>
        <w:t>This information collection does not involve questions of a sensitive nature.</w:t>
      </w:r>
    </w:p>
    <w:p w:rsidR="00376728" w:rsidP="00376728" w14:paraId="0C0CBA71" w14:textId="77777777"/>
    <w:p w:rsidR="00376728" w:rsidP="00376728" w14:paraId="5F594A41" w14:textId="607687FF">
      <w:r>
        <w:rPr>
          <w:bCs/>
        </w:rPr>
        <w:t>12.</w:t>
      </w:r>
      <w:r w:rsidRPr="004B4409">
        <w:rPr>
          <w:bCs/>
        </w:rPr>
        <w:t xml:space="preserve"> </w:t>
      </w:r>
      <w:r w:rsidRPr="004B4409">
        <w:rPr>
          <w:bCs/>
        </w:rPr>
        <w:tab/>
      </w:r>
      <w:r w:rsidRPr="006077EB">
        <w:rPr>
          <w:bCs/>
          <w:u w:val="single"/>
        </w:rPr>
        <w:t>Estimate of burden hours for information requested.</w:t>
      </w:r>
      <w:r w:rsidRPr="006077EB">
        <w:t xml:space="preserve"> </w:t>
      </w:r>
    </w:p>
    <w:p w:rsidR="00CF2DED" w:rsidRPr="006077EB" w:rsidP="00376728" w14:paraId="2E916EC6" w14:textId="77777777"/>
    <w:tbl>
      <w:tblPr>
        <w:tblStyle w:val="TableGrid1"/>
        <w:tblW w:w="0" w:type="auto"/>
        <w:tblLook w:val="04A0"/>
      </w:tblPr>
      <w:tblGrid>
        <w:gridCol w:w="4320"/>
        <w:gridCol w:w="4310"/>
      </w:tblGrid>
      <w:tr w14:paraId="5AE15ACA" w14:textId="77777777" w:rsidTr="00CF2DED">
        <w:tblPrEx>
          <w:tblW w:w="0" w:type="auto"/>
          <w:tblLook w:val="04A0"/>
        </w:tblPrEx>
        <w:tc>
          <w:tcPr>
            <w:tcW w:w="4320" w:type="dxa"/>
          </w:tcPr>
          <w:p w:rsidR="00CF2DED" w:rsidRPr="00C92A17" w:rsidP="00CF2DED" w14:paraId="4E236A29" w14:textId="5EB0DED8">
            <w:pPr>
              <w:autoSpaceDE w:val="0"/>
              <w:autoSpaceDN w:val="0"/>
              <w:adjustRightInd w:val="0"/>
            </w:pPr>
            <w:r w:rsidRPr="00C92A17">
              <w:t xml:space="preserve">Current Number of Responses: </w:t>
            </w:r>
            <w:r>
              <w:t>2,445</w:t>
            </w:r>
          </w:p>
        </w:tc>
        <w:tc>
          <w:tcPr>
            <w:tcW w:w="4310" w:type="dxa"/>
          </w:tcPr>
          <w:p w:rsidR="00CF2DED" w:rsidRPr="00C92A17" w:rsidP="00CF2DED" w14:paraId="3FAC951D" w14:textId="1B46AD4B">
            <w:pPr>
              <w:autoSpaceDE w:val="0"/>
              <w:autoSpaceDN w:val="0"/>
              <w:adjustRightInd w:val="0"/>
            </w:pPr>
            <w:r w:rsidRPr="00C92A17">
              <w:t xml:space="preserve">Proposed Burden Estimate: </w:t>
            </w:r>
            <w:r>
              <w:t>104,596 hours</w:t>
            </w:r>
          </w:p>
        </w:tc>
      </w:tr>
    </w:tbl>
    <w:p w:rsidR="00A30DD0" w:rsidP="00A23D30" w14:paraId="09ACDEA6" w14:textId="77777777">
      <w:pPr>
        <w:rPr>
          <w:bCs/>
        </w:rPr>
      </w:pPr>
    </w:p>
    <w:p w:rsidR="00A23D30" w:rsidRPr="006077EB" w:rsidP="00A23D30" w14:paraId="43DEFE5D" w14:textId="3E4C2178">
      <w:pPr>
        <w:rPr>
          <w:b/>
          <w:bCs/>
        </w:rPr>
      </w:pPr>
      <w:r>
        <w:rPr>
          <w:bCs/>
        </w:rPr>
        <w:t xml:space="preserve"> A breakdown of the estimated burden for this information collection is</w:t>
      </w:r>
      <w:r w:rsidRPr="00455CC4" w:rsidR="00455CC4">
        <w:rPr>
          <w:bCs/>
        </w:rPr>
        <w:t xml:space="preserve"> </w:t>
      </w:r>
      <w:r w:rsidR="00455CC4">
        <w:rPr>
          <w:bCs/>
        </w:rPr>
        <w:t>detailed</w:t>
      </w:r>
      <w:r>
        <w:rPr>
          <w:bCs/>
        </w:rPr>
        <w:t xml:space="preserve"> below:</w:t>
      </w:r>
    </w:p>
    <w:tbl>
      <w:tblPr>
        <w:tblStyle w:val="TableGrid"/>
        <w:tblW w:w="9715" w:type="dxa"/>
        <w:tblLook w:val="04A0"/>
      </w:tblPr>
      <w:tblGrid>
        <w:gridCol w:w="2157"/>
        <w:gridCol w:w="2157"/>
        <w:gridCol w:w="2158"/>
        <w:gridCol w:w="3243"/>
      </w:tblGrid>
      <w:tr w14:paraId="76DE4FA1" w14:textId="77777777" w:rsidTr="00B2010F">
        <w:tblPrEx>
          <w:tblW w:w="9715" w:type="dxa"/>
          <w:tblLook w:val="04A0"/>
        </w:tblPrEx>
        <w:tc>
          <w:tcPr>
            <w:tcW w:w="2157" w:type="dxa"/>
            <w:shd w:val="clear" w:color="auto" w:fill="DBEEF3" w:themeFill="accent5" w:themeFillTint="33"/>
          </w:tcPr>
          <w:p w:rsidR="00D67B5C" w:rsidRPr="00B2010F" w:rsidP="00B2010F" w14:paraId="09269EE3" w14:textId="703F9CDB">
            <w:pPr>
              <w:jc w:val="center"/>
              <w:rPr>
                <w:b/>
              </w:rPr>
            </w:pPr>
            <w:r w:rsidRPr="00B2010F">
              <w:rPr>
                <w:b/>
              </w:rPr>
              <w:t>IC</w:t>
            </w:r>
          </w:p>
        </w:tc>
        <w:tc>
          <w:tcPr>
            <w:tcW w:w="2157" w:type="dxa"/>
            <w:shd w:val="clear" w:color="auto" w:fill="DBEEF3" w:themeFill="accent5" w:themeFillTint="33"/>
          </w:tcPr>
          <w:p w:rsidR="00D67B5C" w:rsidRPr="00B2010F" w:rsidP="00B2010F" w14:paraId="29AA2C1B" w14:textId="2741D2F4">
            <w:pPr>
              <w:jc w:val="center"/>
              <w:rPr>
                <w:b/>
              </w:rPr>
            </w:pPr>
            <w:r w:rsidRPr="00B2010F">
              <w:rPr>
                <w:b/>
              </w:rPr>
              <w:t>Responses</w:t>
            </w:r>
          </w:p>
        </w:tc>
        <w:tc>
          <w:tcPr>
            <w:tcW w:w="2158" w:type="dxa"/>
            <w:shd w:val="clear" w:color="auto" w:fill="DBEEF3" w:themeFill="accent5" w:themeFillTint="33"/>
          </w:tcPr>
          <w:p w:rsidR="00D67B5C" w:rsidRPr="00B2010F" w:rsidP="00B2010F" w14:paraId="006ABFC9" w14:textId="62242137">
            <w:pPr>
              <w:jc w:val="center"/>
              <w:rPr>
                <w:b/>
              </w:rPr>
            </w:pPr>
            <w:r w:rsidRPr="00B2010F">
              <w:rPr>
                <w:b/>
              </w:rPr>
              <w:t>Burden Per Response</w:t>
            </w:r>
          </w:p>
        </w:tc>
        <w:tc>
          <w:tcPr>
            <w:tcW w:w="3243" w:type="dxa"/>
            <w:shd w:val="clear" w:color="auto" w:fill="DBEEF3" w:themeFill="accent5" w:themeFillTint="33"/>
          </w:tcPr>
          <w:p w:rsidR="00D67B5C" w:rsidRPr="00B2010F" w:rsidP="00B2010F" w14:paraId="1A4C296F" w14:textId="0E2DE429">
            <w:pPr>
              <w:jc w:val="center"/>
              <w:rPr>
                <w:b/>
              </w:rPr>
            </w:pPr>
            <w:r w:rsidRPr="00B2010F">
              <w:rPr>
                <w:b/>
              </w:rPr>
              <w:t>Total Burden</w:t>
            </w:r>
          </w:p>
        </w:tc>
      </w:tr>
      <w:tr w14:paraId="7AC0E405" w14:textId="77777777" w:rsidTr="00B2010F">
        <w:tblPrEx>
          <w:tblW w:w="9715" w:type="dxa"/>
          <w:tblLook w:val="04A0"/>
        </w:tblPrEx>
        <w:tc>
          <w:tcPr>
            <w:tcW w:w="2157" w:type="dxa"/>
          </w:tcPr>
          <w:p w:rsidR="00D67B5C" w:rsidP="00376728" w14:paraId="49A1C3B1" w14:textId="75880428">
            <w:r>
              <w:t>Annual Report for Gas Transmission and Gas Gathering Pipeline Operators</w:t>
            </w:r>
          </w:p>
        </w:tc>
        <w:tc>
          <w:tcPr>
            <w:tcW w:w="2157" w:type="dxa"/>
          </w:tcPr>
          <w:p w:rsidR="00D67B5C" w:rsidP="00376728" w14:paraId="5DDD4A9F" w14:textId="11145B0D">
            <w:r>
              <w:t>1,810`</w:t>
            </w:r>
          </w:p>
        </w:tc>
        <w:tc>
          <w:tcPr>
            <w:tcW w:w="2158" w:type="dxa"/>
          </w:tcPr>
          <w:p w:rsidR="00D67B5C" w:rsidP="00376728" w14:paraId="0D849021" w14:textId="75D5C574">
            <w:r>
              <w:t>54</w:t>
            </w:r>
            <w:r w:rsidR="00587D79">
              <w:t xml:space="preserve"> hours per report</w:t>
            </w:r>
          </w:p>
        </w:tc>
        <w:tc>
          <w:tcPr>
            <w:tcW w:w="3243" w:type="dxa"/>
          </w:tcPr>
          <w:p w:rsidR="00D67B5C" w:rsidP="00376728" w14:paraId="3199F7B7" w14:textId="0060B32C">
            <w:r>
              <w:t>97,740</w:t>
            </w:r>
            <w:r w:rsidR="00587D79">
              <w:t xml:space="preserve"> hours</w:t>
            </w:r>
          </w:p>
        </w:tc>
      </w:tr>
      <w:tr w14:paraId="65DA85B3" w14:textId="77777777" w:rsidTr="00B2010F">
        <w:tblPrEx>
          <w:tblW w:w="9715" w:type="dxa"/>
          <w:tblLook w:val="04A0"/>
        </w:tblPrEx>
        <w:tc>
          <w:tcPr>
            <w:tcW w:w="2157" w:type="dxa"/>
          </w:tcPr>
          <w:p w:rsidR="00D67B5C" w:rsidP="00376728" w14:paraId="54F88B07" w14:textId="20FB3F90">
            <w:r>
              <w:t>Annual Report for Liquefied Natural Gas</w:t>
            </w:r>
          </w:p>
        </w:tc>
        <w:tc>
          <w:tcPr>
            <w:tcW w:w="2157" w:type="dxa"/>
          </w:tcPr>
          <w:p w:rsidR="00D67B5C" w:rsidP="00376728" w14:paraId="5DFA6515" w14:textId="782D4957">
            <w:r>
              <w:t>113</w:t>
            </w:r>
          </w:p>
        </w:tc>
        <w:tc>
          <w:tcPr>
            <w:tcW w:w="2158" w:type="dxa"/>
          </w:tcPr>
          <w:p w:rsidR="00D67B5C" w:rsidP="00376728" w14:paraId="6A04B2CA" w14:textId="36CCEEB4">
            <w:r>
              <w:t>12 hours per report</w:t>
            </w:r>
          </w:p>
        </w:tc>
        <w:tc>
          <w:tcPr>
            <w:tcW w:w="3243" w:type="dxa"/>
          </w:tcPr>
          <w:p w:rsidR="00D67B5C" w:rsidP="00376728" w14:paraId="514BD941" w14:textId="0A63888A">
            <w:r>
              <w:t>1</w:t>
            </w:r>
            <w:r w:rsidR="00B07C60">
              <w:t>,</w:t>
            </w:r>
            <w:r>
              <w:t>356 hours</w:t>
            </w:r>
          </w:p>
        </w:tc>
      </w:tr>
      <w:tr w14:paraId="09AD9FDF" w14:textId="77777777" w:rsidTr="00B2010F">
        <w:tblPrEx>
          <w:tblW w:w="9715" w:type="dxa"/>
          <w:tblLook w:val="04A0"/>
        </w:tblPrEx>
        <w:tc>
          <w:tcPr>
            <w:tcW w:w="2157" w:type="dxa"/>
          </w:tcPr>
          <w:p w:rsidR="00D67B5C" w:rsidP="00376728" w14:paraId="0B48243C" w14:textId="62CD9169">
            <w:r>
              <w:t xml:space="preserve">Underground </w:t>
            </w:r>
            <w:r w:rsidR="00246C26">
              <w:t>N</w:t>
            </w:r>
            <w:r w:rsidR="00B905F4">
              <w:t xml:space="preserve">atural Gas </w:t>
            </w:r>
            <w:r>
              <w:t>Storage</w:t>
            </w:r>
            <w:r w:rsidR="00246C26">
              <w:t xml:space="preserve"> Facility</w:t>
            </w:r>
            <w:r>
              <w:t xml:space="preserve"> Annual Report</w:t>
            </w:r>
          </w:p>
        </w:tc>
        <w:tc>
          <w:tcPr>
            <w:tcW w:w="2157" w:type="dxa"/>
          </w:tcPr>
          <w:p w:rsidR="00D67B5C" w:rsidP="00376728" w14:paraId="69A2BD1A" w14:textId="64FF8D54">
            <w:r>
              <w:t>124</w:t>
            </w:r>
          </w:p>
        </w:tc>
        <w:tc>
          <w:tcPr>
            <w:tcW w:w="2158" w:type="dxa"/>
          </w:tcPr>
          <w:p w:rsidR="00D67B5C" w:rsidP="00376728" w14:paraId="233D8E33" w14:textId="24890205">
            <w:r>
              <w:t>20 hours per report</w:t>
            </w:r>
          </w:p>
        </w:tc>
        <w:tc>
          <w:tcPr>
            <w:tcW w:w="3243" w:type="dxa"/>
          </w:tcPr>
          <w:p w:rsidR="00D67B5C" w:rsidP="00376728" w14:paraId="0B8508C2" w14:textId="6C14B7BB">
            <w:r>
              <w:t>2,480 hours</w:t>
            </w:r>
          </w:p>
        </w:tc>
      </w:tr>
      <w:tr w14:paraId="63A40D7C" w14:textId="77777777" w:rsidTr="00B2010F">
        <w:tblPrEx>
          <w:tblW w:w="9715" w:type="dxa"/>
          <w:tblLook w:val="04A0"/>
        </w:tblPrEx>
        <w:tc>
          <w:tcPr>
            <w:tcW w:w="2157" w:type="dxa"/>
          </w:tcPr>
          <w:p w:rsidR="00D67B5C" w:rsidP="00376728" w14:paraId="64DAD3A0" w14:textId="13C5EBC0">
            <w:r>
              <w:t>Annual Report for Type R (Reporting-Regulated) Gas Gathering Pipeline Systems</w:t>
            </w:r>
          </w:p>
        </w:tc>
        <w:tc>
          <w:tcPr>
            <w:tcW w:w="2157" w:type="dxa"/>
          </w:tcPr>
          <w:p w:rsidR="00D67B5C" w:rsidP="00376728" w14:paraId="39F58202" w14:textId="2AF1D6F4">
            <w:r>
              <w:t xml:space="preserve"> 130</w:t>
            </w:r>
          </w:p>
        </w:tc>
        <w:tc>
          <w:tcPr>
            <w:tcW w:w="2158" w:type="dxa"/>
          </w:tcPr>
          <w:p w:rsidR="00D67B5C" w:rsidP="00376728" w14:paraId="1A895B40" w14:textId="13A86109">
            <w:r>
              <w:t>21 hours per report</w:t>
            </w:r>
          </w:p>
        </w:tc>
        <w:tc>
          <w:tcPr>
            <w:tcW w:w="3243" w:type="dxa"/>
          </w:tcPr>
          <w:p w:rsidR="00D67B5C" w:rsidP="00376728" w14:paraId="227E5588" w14:textId="1AD01CF1">
            <w:r>
              <w:t>2,730 hours</w:t>
            </w:r>
          </w:p>
        </w:tc>
      </w:tr>
      <w:tr w14:paraId="09177722" w14:textId="77777777" w:rsidTr="00B07C60">
        <w:tblPrEx>
          <w:tblW w:w="9715" w:type="dxa"/>
          <w:tblLook w:val="04A0"/>
        </w:tblPrEx>
        <w:tc>
          <w:tcPr>
            <w:tcW w:w="2157" w:type="dxa"/>
            <w:shd w:val="clear" w:color="auto" w:fill="auto"/>
          </w:tcPr>
          <w:p w:rsidR="00B11E95" w:rsidP="00376728" w14:paraId="368F1582" w14:textId="609A6D20">
            <w:r>
              <w:t>Notifications for Gas Transmission Operators</w:t>
            </w:r>
            <w:r w:rsidR="005B4A13">
              <w:t xml:space="preserve"> </w:t>
            </w:r>
          </w:p>
        </w:tc>
        <w:tc>
          <w:tcPr>
            <w:tcW w:w="2157" w:type="dxa"/>
            <w:shd w:val="clear" w:color="auto" w:fill="auto"/>
          </w:tcPr>
          <w:p w:rsidR="00B11E95" w:rsidP="00376728" w14:paraId="2A38E057" w14:textId="6837F40D">
            <w:r>
              <w:t>268</w:t>
            </w:r>
          </w:p>
        </w:tc>
        <w:tc>
          <w:tcPr>
            <w:tcW w:w="2158" w:type="dxa"/>
            <w:shd w:val="clear" w:color="auto" w:fill="auto"/>
          </w:tcPr>
          <w:p w:rsidR="00B11E95" w:rsidP="00376728" w14:paraId="6303215A" w14:textId="067E9727">
            <w:r>
              <w:t>1.082</w:t>
            </w:r>
          </w:p>
        </w:tc>
        <w:tc>
          <w:tcPr>
            <w:tcW w:w="3243" w:type="dxa"/>
            <w:shd w:val="clear" w:color="auto" w:fill="auto"/>
          </w:tcPr>
          <w:p w:rsidR="00B11E95" w:rsidP="00376728" w14:paraId="0A2358EF" w14:textId="67AC3774">
            <w:r>
              <w:t>290 hours</w:t>
            </w:r>
          </w:p>
        </w:tc>
      </w:tr>
      <w:tr w14:paraId="2C4806D6" w14:textId="77777777" w:rsidTr="00B2010F">
        <w:tblPrEx>
          <w:tblW w:w="9715" w:type="dxa"/>
          <w:tblLook w:val="04A0"/>
        </w:tblPrEx>
        <w:tc>
          <w:tcPr>
            <w:tcW w:w="2157" w:type="dxa"/>
            <w:shd w:val="clear" w:color="auto" w:fill="DBEEF3" w:themeFill="accent5" w:themeFillTint="33"/>
          </w:tcPr>
          <w:p w:rsidR="00D67B5C" w:rsidRPr="00B2010F" w:rsidP="00376728" w14:paraId="67901C0B" w14:textId="444A6D7D">
            <w:pPr>
              <w:rPr>
                <w:b/>
              </w:rPr>
            </w:pPr>
            <w:r w:rsidRPr="00B2010F">
              <w:rPr>
                <w:b/>
              </w:rPr>
              <w:t xml:space="preserve">Total </w:t>
            </w:r>
          </w:p>
        </w:tc>
        <w:tc>
          <w:tcPr>
            <w:tcW w:w="2157" w:type="dxa"/>
            <w:shd w:val="clear" w:color="auto" w:fill="DBEEF3" w:themeFill="accent5" w:themeFillTint="33"/>
          </w:tcPr>
          <w:p w:rsidR="00D67B5C" w:rsidRPr="00B2010F" w:rsidP="00376728" w14:paraId="1E90BD98" w14:textId="042DA240">
            <w:pPr>
              <w:rPr>
                <w:b/>
              </w:rPr>
            </w:pPr>
            <w:r>
              <w:rPr>
                <w:b/>
              </w:rPr>
              <w:t>2,</w:t>
            </w:r>
            <w:r w:rsidR="00B07C60">
              <w:rPr>
                <w:b/>
              </w:rPr>
              <w:t xml:space="preserve">445 </w:t>
            </w:r>
            <w:r w:rsidR="00B2010F">
              <w:rPr>
                <w:b/>
              </w:rPr>
              <w:t>Annual Resp</w:t>
            </w:r>
            <w:r w:rsidRPr="00B2010F" w:rsidR="00587D79">
              <w:rPr>
                <w:b/>
              </w:rPr>
              <w:t>onses</w:t>
            </w:r>
          </w:p>
        </w:tc>
        <w:tc>
          <w:tcPr>
            <w:tcW w:w="2158" w:type="dxa"/>
            <w:shd w:val="clear" w:color="auto" w:fill="DBEEF3" w:themeFill="accent5" w:themeFillTint="33"/>
          </w:tcPr>
          <w:p w:rsidR="00D67B5C" w:rsidRPr="00B2010F" w:rsidP="00376728" w14:paraId="31C643C4" w14:textId="5C508686">
            <w:pPr>
              <w:rPr>
                <w:b/>
              </w:rPr>
            </w:pPr>
          </w:p>
        </w:tc>
        <w:tc>
          <w:tcPr>
            <w:tcW w:w="3243" w:type="dxa"/>
            <w:shd w:val="clear" w:color="auto" w:fill="DBEEF3" w:themeFill="accent5" w:themeFillTint="33"/>
          </w:tcPr>
          <w:p w:rsidR="00D67B5C" w:rsidRPr="00B2010F" w:rsidP="00376728" w14:paraId="1E227DFD" w14:textId="3D4DAF95">
            <w:pPr>
              <w:rPr>
                <w:b/>
              </w:rPr>
            </w:pPr>
            <w:r>
              <w:rPr>
                <w:b/>
              </w:rPr>
              <w:t>104,</w:t>
            </w:r>
            <w:r w:rsidR="00B07C60">
              <w:rPr>
                <w:b/>
              </w:rPr>
              <w:t>59</w:t>
            </w:r>
            <w:r>
              <w:rPr>
                <w:b/>
              </w:rPr>
              <w:t>6</w:t>
            </w:r>
            <w:r w:rsidR="001745B5">
              <w:rPr>
                <w:b/>
              </w:rPr>
              <w:t xml:space="preserve"> </w:t>
            </w:r>
            <w:r w:rsidR="00B2010F">
              <w:rPr>
                <w:b/>
              </w:rPr>
              <w:t>Annual Burden Hours</w:t>
            </w:r>
          </w:p>
        </w:tc>
      </w:tr>
    </w:tbl>
    <w:p w:rsidR="00871BE4" w:rsidP="00376728" w14:paraId="1757AB6C" w14:textId="757FC6DA"/>
    <w:p w:rsidR="008A4FE0" w:rsidP="004602FF" w14:paraId="7CFA6445" w14:textId="77777777">
      <w:pPr>
        <w:rPr>
          <w:i/>
        </w:rPr>
      </w:pPr>
    </w:p>
    <w:p w:rsidR="004602FF" w:rsidP="004602FF" w14:paraId="4FB12602" w14:textId="6630E627">
      <w:pPr>
        <w:rPr>
          <w:i/>
        </w:rPr>
      </w:pPr>
      <w:r>
        <w:rPr>
          <w:i/>
        </w:rPr>
        <w:t>(a) Annual Reports for gas transmission and gas gathering systems, LNG Facilities, and underground natural gas storage facilities (Section 191.17) w</w:t>
      </w:r>
      <w:r>
        <w:rPr>
          <w:b/>
          <w:i/>
        </w:rPr>
        <w:t>/</w:t>
      </w:r>
      <w:r>
        <w:rPr>
          <w:i/>
        </w:rPr>
        <w:t>1677 responses</w:t>
      </w:r>
    </w:p>
    <w:p w:rsidR="004602FF" w:rsidP="004602FF" w14:paraId="5742504B" w14:textId="64B43A8C">
      <w:pPr>
        <w:rPr>
          <w:i/>
        </w:rPr>
      </w:pPr>
    </w:p>
    <w:p w:rsidR="00376728" w:rsidRPr="006077EB" w:rsidP="00376728" w14:paraId="6328DF74" w14:textId="77777777">
      <w:r w:rsidRPr="006077EB">
        <w:t>Annual reports are required for all operators of gas transmission and gathering pipeline</w:t>
      </w:r>
      <w:r w:rsidR="00AE4DA5">
        <w:t xml:space="preserve"> </w:t>
      </w:r>
      <w:r w:rsidRPr="006077EB">
        <w:t>s</w:t>
      </w:r>
      <w:r w:rsidR="00AE4DA5">
        <w:t>ystems</w:t>
      </w:r>
      <w:r w:rsidRPr="006077EB" w:rsidR="00CE1FF7">
        <w:t xml:space="preserve">, </w:t>
      </w:r>
      <w:r w:rsidR="00A66F27">
        <w:t xml:space="preserve">liquefied natural gas </w:t>
      </w:r>
      <w:r w:rsidR="00AE4DA5">
        <w:t xml:space="preserve">facilities </w:t>
      </w:r>
      <w:r w:rsidR="00A66F27">
        <w:t xml:space="preserve">and </w:t>
      </w:r>
      <w:r w:rsidR="00D93F00">
        <w:t xml:space="preserve">underground natural gas storage </w:t>
      </w:r>
      <w:r w:rsidRPr="006077EB" w:rsidR="00CE1FF7">
        <w:t>facilities</w:t>
      </w:r>
      <w:r w:rsidRPr="006077EB">
        <w:t xml:space="preserve">.  An explanation of the estimated burden for </w:t>
      </w:r>
      <w:r w:rsidR="00A66F27">
        <w:t xml:space="preserve">each </w:t>
      </w:r>
      <w:r w:rsidR="00DC418F">
        <w:t xml:space="preserve">report collection </w:t>
      </w:r>
      <w:r w:rsidRPr="006077EB">
        <w:t xml:space="preserve">is detailed as follows: </w:t>
      </w:r>
    </w:p>
    <w:p w:rsidR="00376728" w:rsidRPr="006077EB" w:rsidP="00376728" w14:paraId="321157DB" w14:textId="77777777"/>
    <w:p w:rsidR="00376728" w:rsidRPr="008A4FE0" w:rsidP="008A4FE0" w14:paraId="4874A2A6" w14:textId="6670D5A9">
      <w:pPr>
        <w:pStyle w:val="ListParagraph"/>
        <w:numPr>
          <w:ilvl w:val="0"/>
          <w:numId w:val="13"/>
        </w:numPr>
        <w:rPr>
          <w:b/>
          <w:u w:val="single"/>
        </w:rPr>
      </w:pPr>
      <w:r w:rsidRPr="006077EB">
        <w:t>Transmission Systems Annual Report</w:t>
      </w:r>
      <w:r w:rsidRPr="006077EB" w:rsidR="00864F8D">
        <w:t xml:space="preserve"> </w:t>
      </w:r>
      <w:r w:rsidRPr="008A4FE0" w:rsidR="00864F8D">
        <w:rPr>
          <w:u w:val="single"/>
        </w:rPr>
        <w:t>(</w:t>
      </w:r>
      <w:r w:rsidRPr="008A4FE0" w:rsidR="00474C2A">
        <w:rPr>
          <w:b/>
          <w:u w:val="single"/>
        </w:rPr>
        <w:t>97,740</w:t>
      </w:r>
      <w:r w:rsidRPr="008A4FE0" w:rsidR="00864F8D">
        <w:rPr>
          <w:b/>
          <w:u w:val="single"/>
        </w:rPr>
        <w:t xml:space="preserve"> hours)</w:t>
      </w:r>
    </w:p>
    <w:p w:rsidR="008A4FE0" w:rsidRPr="008A4FE0" w:rsidP="008A4FE0" w14:paraId="25591B16" w14:textId="77777777">
      <w:pPr>
        <w:pStyle w:val="ListParagraph"/>
        <w:ind w:left="1080"/>
        <w:rPr>
          <w:b/>
          <w:u w:val="single"/>
        </w:rPr>
      </w:pPr>
    </w:p>
    <w:p w:rsidR="007C389F" w:rsidP="00376728" w14:paraId="3D9091D2" w14:textId="47FCCE26">
      <w:r w:rsidRPr="006077EB">
        <w:t>P</w:t>
      </w:r>
      <w:r w:rsidRPr="006077EB">
        <w:t xml:space="preserve">HMSA </w:t>
      </w:r>
      <w:r w:rsidR="00C906B8">
        <w:t>estimates that it receives</w:t>
      </w:r>
      <w:r w:rsidRPr="006077EB" w:rsidR="00C906B8">
        <w:t xml:space="preserve"> </w:t>
      </w:r>
      <w:r w:rsidRPr="006077EB">
        <w:t xml:space="preserve">approximately </w:t>
      </w:r>
      <w:r w:rsidR="00CD7B52">
        <w:t>1,810</w:t>
      </w:r>
      <w:r w:rsidRPr="006077EB">
        <w:t xml:space="preserve"> gas transmission annual reports each year.  </w:t>
      </w:r>
      <w:r w:rsidR="00C906B8">
        <w:t xml:space="preserve">PHMSA </w:t>
      </w:r>
      <w:r w:rsidR="008A4FE0">
        <w:t>estimates</w:t>
      </w:r>
      <w:r w:rsidR="00C906B8">
        <w:t xml:space="preserve"> that it take</w:t>
      </w:r>
      <w:r w:rsidR="008A4FE0">
        <w:t>s</w:t>
      </w:r>
      <w:r w:rsidR="00C906B8">
        <w:t xml:space="preserve"> operators of natural gas transmission and gathering systems approximately </w:t>
      </w:r>
      <w:r w:rsidR="008A4FE0">
        <w:t>54</w:t>
      </w:r>
      <w:r w:rsidR="00C906B8">
        <w:t xml:space="preserve"> </w:t>
      </w:r>
      <w:r w:rsidR="008A4FE0">
        <w:t xml:space="preserve">hours, </w:t>
      </w:r>
      <w:r w:rsidR="00C906B8">
        <w:t>per response, to satisfy the reporting requirement.  This includes time for reviewing instructions, gathering the data needed, completing, reviewing and submitting the requested data</w:t>
      </w:r>
      <w:r w:rsidR="008A4FE0">
        <w:t xml:space="preserve">. </w:t>
      </w:r>
      <w:r w:rsidR="00C906B8">
        <w:t xml:space="preserve">Accordingly, PHMSA estimates the burden associated with collecting Gas Transmission and Gathering Systems annual data to be </w:t>
      </w:r>
      <w:r w:rsidR="00AD3458">
        <w:t>97,740</w:t>
      </w:r>
      <w:r w:rsidR="00C906B8">
        <w:t xml:space="preserve"> hours (</w:t>
      </w:r>
      <w:r w:rsidR="00CD7B52">
        <w:t>1,810</w:t>
      </w:r>
      <w:r w:rsidR="00C906B8">
        <w:t xml:space="preserve"> reports *</w:t>
      </w:r>
      <w:r w:rsidR="00AD3458">
        <w:t>54</w:t>
      </w:r>
      <w:r w:rsidR="00DE640B">
        <w:t xml:space="preserve"> </w:t>
      </w:r>
      <w:r w:rsidR="00C906B8">
        <w:t>hours per report)</w:t>
      </w:r>
      <w:r w:rsidR="00F418DE">
        <w:t xml:space="preserve"> each year.</w:t>
      </w:r>
    </w:p>
    <w:p w:rsidR="00C906B8" w:rsidRPr="006077EB" w:rsidP="00376728" w14:paraId="6E37051F" w14:textId="77777777"/>
    <w:p w:rsidR="00DA38F0" w:rsidRPr="008A4FE0" w:rsidP="008A4FE0" w14:paraId="4FCC5C50" w14:textId="487E9EDB">
      <w:pPr>
        <w:pStyle w:val="ListParagraph"/>
        <w:numPr>
          <w:ilvl w:val="0"/>
          <w:numId w:val="13"/>
        </w:numPr>
        <w:rPr>
          <w:u w:val="single"/>
        </w:rPr>
      </w:pPr>
      <w:r w:rsidRPr="006077EB">
        <w:t xml:space="preserve">LNG Annual Report </w:t>
      </w:r>
      <w:r w:rsidRPr="008A4FE0">
        <w:rPr>
          <w:u w:val="single"/>
        </w:rPr>
        <w:t>(</w:t>
      </w:r>
      <w:r w:rsidRPr="008A4FE0" w:rsidR="00CE1FF7">
        <w:rPr>
          <w:b/>
          <w:u w:val="single"/>
        </w:rPr>
        <w:t>1,356 hours</w:t>
      </w:r>
      <w:r w:rsidRPr="008A4FE0">
        <w:rPr>
          <w:u w:val="single"/>
        </w:rPr>
        <w:t>)</w:t>
      </w:r>
    </w:p>
    <w:p w:rsidR="008A4FE0" w:rsidRPr="006077EB" w:rsidP="008A4FE0" w14:paraId="24F43AC0" w14:textId="77777777">
      <w:pPr>
        <w:pStyle w:val="ListParagraph"/>
        <w:ind w:left="1080"/>
      </w:pPr>
    </w:p>
    <w:p w:rsidR="00376728" w:rsidP="00376728" w14:paraId="6DFE522F" w14:textId="43C583F0">
      <w:r w:rsidRPr="006077EB">
        <w:t xml:space="preserve">PHMSA </w:t>
      </w:r>
      <w:r>
        <w:t>estimates that it receives</w:t>
      </w:r>
      <w:r w:rsidRPr="006077EB">
        <w:t xml:space="preserve"> approximately</w:t>
      </w:r>
      <w:r w:rsidRPr="006077EB" w:rsidR="00C6101A">
        <w:t xml:space="preserve"> 113 </w:t>
      </w:r>
      <w:r>
        <w:t xml:space="preserve">annual reports for </w:t>
      </w:r>
      <w:r w:rsidRPr="006077EB" w:rsidR="00C6101A">
        <w:t xml:space="preserve">LNG facilities. </w:t>
      </w:r>
      <w:r w:rsidR="00C906B8">
        <w:t xml:space="preserve">PHMSA </w:t>
      </w:r>
      <w:r w:rsidR="00F418DE">
        <w:t xml:space="preserve">estimates that it will take LNG operators 12 hours to prepare each annual report </w:t>
      </w:r>
      <w:r w:rsidR="00F418DE">
        <w:t>submission.  This includes the time it will take to review instructions, gathering the data needed, completing, reviewing and submitting the requested data.  Accordingly, PHMSA e</w:t>
      </w:r>
      <w:r w:rsidRPr="006077EB" w:rsidR="00DA38F0">
        <w:t xml:space="preserve">stimates the information collection burden </w:t>
      </w:r>
      <w:r w:rsidR="00F418DE">
        <w:t>associated with</w:t>
      </w:r>
      <w:r w:rsidRPr="006077EB" w:rsidR="00DA38F0">
        <w:t xml:space="preserve"> the LNG annual report</w:t>
      </w:r>
      <w:r w:rsidR="00F418DE">
        <w:t xml:space="preserve"> information collection</w:t>
      </w:r>
      <w:r w:rsidRPr="006077EB" w:rsidR="00DA38F0">
        <w:t xml:space="preserve"> </w:t>
      </w:r>
      <w:r w:rsidRPr="006077EB" w:rsidR="00D34FE9">
        <w:t xml:space="preserve">to </w:t>
      </w:r>
      <w:r w:rsidRPr="006077EB" w:rsidR="00DA38F0">
        <w:t>be approximately 1,356 hours (</w:t>
      </w:r>
      <w:r w:rsidRPr="006077EB" w:rsidR="00C6101A">
        <w:t xml:space="preserve">113 LNG </w:t>
      </w:r>
      <w:r w:rsidR="00F418DE">
        <w:t>reports</w:t>
      </w:r>
      <w:r w:rsidRPr="006077EB" w:rsidR="00DA38F0">
        <w:t xml:space="preserve">* 12 hours </w:t>
      </w:r>
      <w:r w:rsidR="00F418DE">
        <w:t>per</w:t>
      </w:r>
      <w:r w:rsidRPr="006077EB" w:rsidR="00DA38F0">
        <w:t xml:space="preserve"> report) </w:t>
      </w:r>
      <w:r w:rsidR="00F418DE">
        <w:t>each</w:t>
      </w:r>
      <w:r w:rsidRPr="006077EB" w:rsidR="00F418DE">
        <w:t xml:space="preserve"> </w:t>
      </w:r>
      <w:r w:rsidRPr="006077EB" w:rsidR="00DA38F0">
        <w:t>year.</w:t>
      </w:r>
    </w:p>
    <w:p w:rsidR="00D93F00" w:rsidP="00376728" w14:paraId="50A3CF35" w14:textId="77777777"/>
    <w:p w:rsidR="00D93F00" w:rsidP="00C35A6E" w14:paraId="37510117" w14:textId="77777777">
      <w:pPr>
        <w:ind w:firstLine="720"/>
      </w:pPr>
      <w:r>
        <w:t>3</w:t>
      </w:r>
      <w:r w:rsidR="00C35A6E">
        <w:t>. Underground Natural Gas Storage Facility Annual Report (</w:t>
      </w:r>
      <w:r w:rsidRPr="00985A9F" w:rsidR="007A51FB">
        <w:rPr>
          <w:b/>
          <w:u w:val="single"/>
        </w:rPr>
        <w:t xml:space="preserve">2,480 </w:t>
      </w:r>
      <w:r w:rsidRPr="00985A9F" w:rsidR="00C35A6E">
        <w:rPr>
          <w:b/>
          <w:u w:val="single"/>
        </w:rPr>
        <w:t>hours</w:t>
      </w:r>
      <w:r w:rsidR="00C35A6E">
        <w:t>)</w:t>
      </w:r>
    </w:p>
    <w:p w:rsidR="00C35A6E" w:rsidP="00C35A6E" w14:paraId="39A3AB38" w14:textId="77777777"/>
    <w:p w:rsidR="00C35A6E" w:rsidP="00C35A6E" w14:paraId="56EC5158" w14:textId="166023D4">
      <w:pPr>
        <w:rPr>
          <w:iCs/>
        </w:rPr>
      </w:pPr>
      <w:r>
        <w:t>49 CFR § 191.17 requires e</w:t>
      </w:r>
      <w:r w:rsidRPr="00C4399F">
        <w:t xml:space="preserve">ach operator of </w:t>
      </w:r>
      <w:r>
        <w:t xml:space="preserve">an </w:t>
      </w:r>
      <w:r w:rsidRPr="00C4399F">
        <w:t xml:space="preserve">underground </w:t>
      </w:r>
      <w:r>
        <w:t xml:space="preserve">natural </w:t>
      </w:r>
      <w:r w:rsidRPr="00C4399F">
        <w:t xml:space="preserve">gas storage </w:t>
      </w:r>
      <w:r>
        <w:t>facility</w:t>
      </w:r>
      <w:r w:rsidRPr="00C4399F">
        <w:t xml:space="preserve"> </w:t>
      </w:r>
      <w:r>
        <w:t xml:space="preserve">to </w:t>
      </w:r>
      <w:r w:rsidRPr="00C4399F">
        <w:t xml:space="preserve">submit </w:t>
      </w:r>
      <w:r>
        <w:t>an annual report on DOT PHMSA Form 7100.4-1</w:t>
      </w:r>
      <w:r w:rsidRPr="00C4399F">
        <w:t xml:space="preserve"> by March 15, </w:t>
      </w:r>
      <w:r>
        <w:t>for</w:t>
      </w:r>
      <w:r w:rsidRPr="00C4399F">
        <w:t xml:space="preserve"> the preceding calendar year</w:t>
      </w:r>
      <w:r w:rsidR="007A1447">
        <w:t>.</w:t>
      </w:r>
      <w:r w:rsidRPr="00B46111">
        <w:t xml:space="preserve"> </w:t>
      </w:r>
      <w:r>
        <w:rPr>
          <w:iCs/>
        </w:rPr>
        <w:t>PHMSA estimates that there are 124 operators of underground natural gas storage facilities.  PHMSA expects each of the</w:t>
      </w:r>
      <w:r w:rsidR="00DC418F">
        <w:rPr>
          <w:iCs/>
        </w:rPr>
        <w:t>se</w:t>
      </w:r>
      <w:r>
        <w:rPr>
          <w:iCs/>
        </w:rPr>
        <w:t xml:space="preserve"> operators to spend </w:t>
      </w:r>
      <w:r w:rsidR="007A51FB">
        <w:rPr>
          <w:iCs/>
        </w:rPr>
        <w:t xml:space="preserve">20 </w:t>
      </w:r>
      <w:r>
        <w:rPr>
          <w:iCs/>
        </w:rPr>
        <w:t>hours</w:t>
      </w:r>
      <w:r w:rsidR="00DC418F">
        <w:rPr>
          <w:iCs/>
        </w:rPr>
        <w:t>,</w:t>
      </w:r>
      <w:r>
        <w:rPr>
          <w:iCs/>
        </w:rPr>
        <w:t xml:space="preserve"> annually,</w:t>
      </w:r>
      <w:r w:rsidRPr="00E5701A">
        <w:rPr>
          <w:iCs/>
        </w:rPr>
        <w:t xml:space="preserve"> </w:t>
      </w:r>
      <w:r w:rsidR="00DC418F">
        <w:rPr>
          <w:iCs/>
        </w:rPr>
        <w:t xml:space="preserve">to prepare annual report submissions.  This includes </w:t>
      </w:r>
      <w:r w:rsidRPr="00E5701A">
        <w:rPr>
          <w:iCs/>
        </w:rPr>
        <w:t>time for reviewing instructions, gathering the data needed, reviewing</w:t>
      </w:r>
      <w:r>
        <w:rPr>
          <w:iCs/>
        </w:rPr>
        <w:t xml:space="preserve"> the required data, </w:t>
      </w:r>
      <w:r w:rsidR="00DC418F">
        <w:rPr>
          <w:iCs/>
        </w:rPr>
        <w:t xml:space="preserve">and </w:t>
      </w:r>
      <w:r>
        <w:rPr>
          <w:iCs/>
        </w:rPr>
        <w:t>completing</w:t>
      </w:r>
      <w:r w:rsidR="00DC418F">
        <w:rPr>
          <w:iCs/>
        </w:rPr>
        <w:t xml:space="preserve"> and submitting</w:t>
      </w:r>
      <w:r>
        <w:rPr>
          <w:iCs/>
        </w:rPr>
        <w:t xml:space="preserve"> PHMSA Form 7100.4-1f</w:t>
      </w:r>
      <w:r>
        <w:rPr>
          <w:iCs/>
        </w:rPr>
        <w:t xml:space="preserve">or an overall burden of </w:t>
      </w:r>
      <w:r w:rsidR="007A51FB">
        <w:rPr>
          <w:iCs/>
        </w:rPr>
        <w:t>2,480</w:t>
      </w:r>
      <w:r w:rsidR="00964E71">
        <w:rPr>
          <w:iCs/>
        </w:rPr>
        <w:t xml:space="preserve"> </w:t>
      </w:r>
      <w:r>
        <w:rPr>
          <w:iCs/>
        </w:rPr>
        <w:t>hours</w:t>
      </w:r>
      <w:r w:rsidR="00DC418F">
        <w:rPr>
          <w:iCs/>
        </w:rPr>
        <w:t xml:space="preserve"> (124 reports *</w:t>
      </w:r>
      <w:r w:rsidR="00931E3E">
        <w:rPr>
          <w:iCs/>
        </w:rPr>
        <w:t xml:space="preserve">20 </w:t>
      </w:r>
      <w:r w:rsidR="00DC418F">
        <w:rPr>
          <w:iCs/>
        </w:rPr>
        <w:t>hours per report)</w:t>
      </w:r>
      <w:r>
        <w:rPr>
          <w:iCs/>
        </w:rPr>
        <w:t xml:space="preserve"> for annual report submissions.</w:t>
      </w:r>
    </w:p>
    <w:p w:rsidR="00EB0BDA" w:rsidP="00C35A6E" w14:paraId="014B3B09" w14:textId="3E247288">
      <w:pPr>
        <w:rPr>
          <w:iCs/>
        </w:rPr>
      </w:pPr>
    </w:p>
    <w:p w:rsidR="00EB0BDA" w:rsidP="00EB0BDA" w14:paraId="0214FD85" w14:textId="77777777">
      <w:pPr>
        <w:ind w:firstLine="720"/>
        <w:rPr>
          <w:iCs/>
        </w:rPr>
      </w:pPr>
      <w:r>
        <w:rPr>
          <w:iCs/>
        </w:rPr>
        <w:t>4. Type R Reporting Regulated Gas Gathering Annual Report (</w:t>
      </w:r>
      <w:r w:rsidRPr="00F23FAC">
        <w:rPr>
          <w:b/>
          <w:bCs/>
          <w:iCs/>
          <w:u w:val="single"/>
        </w:rPr>
        <w:t>2,730 hours</w:t>
      </w:r>
      <w:r>
        <w:rPr>
          <w:iCs/>
        </w:rPr>
        <w:t>)</w:t>
      </w:r>
    </w:p>
    <w:p w:rsidR="00EB0BDA" w:rsidP="00EB0BDA" w14:paraId="7A4E926E" w14:textId="77777777">
      <w:pPr>
        <w:rPr>
          <w:iCs/>
        </w:rPr>
      </w:pPr>
    </w:p>
    <w:p w:rsidR="00EB0BDA" w:rsidRPr="006077EB" w:rsidP="00EB0BDA" w14:paraId="3354923B" w14:textId="379F4A57">
      <w:pPr>
        <w:autoSpaceDE w:val="0"/>
        <w:autoSpaceDN w:val="0"/>
        <w:adjustRightInd w:val="0"/>
        <w:ind w:firstLine="720"/>
      </w:pPr>
      <w:r>
        <w:t xml:space="preserve">49 CFR§ 192.8 designates “Type R” gathering lines as lines that are not regulated gathering lines under 49 CFR Part 192 but are subject to incident and annual reporting requirements in 49 CFR Part 191. PHMSA </w:t>
      </w:r>
      <w:r>
        <w:rPr>
          <w:iCs/>
        </w:rPr>
        <w:t>Form PHMSA F7 100.2-3</w:t>
      </w:r>
      <w:r>
        <w:t xml:space="preserve"> </w:t>
      </w:r>
      <w:r w:rsidR="008A4FE0">
        <w:t xml:space="preserve">is </w:t>
      </w:r>
      <w:r>
        <w:t>for Type R gas gathering systems that are not subject to the safety requirements in 49 CFR Part 192. Type R operators are required to submit DOT Form PHMSA F7 100.2-3</w:t>
      </w:r>
      <w:r w:rsidRPr="00C4399F">
        <w:t xml:space="preserve"> by March 15, </w:t>
      </w:r>
      <w:r>
        <w:t>for</w:t>
      </w:r>
      <w:r w:rsidRPr="00C4399F">
        <w:t xml:space="preserve"> the preceding calendar year</w:t>
      </w:r>
      <w:r>
        <w:t>.</w:t>
      </w:r>
      <w:r w:rsidRPr="00B46111">
        <w:t xml:space="preserve"> </w:t>
      </w:r>
      <w:r>
        <w:rPr>
          <w:iCs/>
        </w:rPr>
        <w:t xml:space="preserve">PHMSA estimates that there are 130 Type R operators who are subject to this requirement.  PHMSA estimates that it will take operators approximately 21 hours annually to complete this report. This includes </w:t>
      </w:r>
      <w:r w:rsidRPr="00E5701A">
        <w:rPr>
          <w:iCs/>
        </w:rPr>
        <w:t>time for reviewing instructions, gathering the data needed, reviewing</w:t>
      </w:r>
      <w:r>
        <w:rPr>
          <w:iCs/>
        </w:rPr>
        <w:t xml:space="preserve"> the required data, and c</w:t>
      </w:r>
      <w:r>
        <w:rPr>
          <w:iCs/>
        </w:rPr>
        <w:t xml:space="preserve">ompleting and submitting the mandatory report.  This will result in an overall annual burden of </w:t>
      </w:r>
      <w:r w:rsidRPr="00CC56C1">
        <w:rPr>
          <w:iCs/>
        </w:rPr>
        <w:t xml:space="preserve">130 responses and 2,730 </w:t>
      </w:r>
      <w:r>
        <w:rPr>
          <w:iCs/>
        </w:rPr>
        <w:t xml:space="preserve">(130 reports *21 hours per report) </w:t>
      </w:r>
      <w:r w:rsidRPr="00CC56C1">
        <w:rPr>
          <w:iCs/>
        </w:rPr>
        <w:t>hours.</w:t>
      </w:r>
    </w:p>
    <w:p w:rsidR="00EB0BDA" w:rsidRPr="006077EB" w:rsidP="00C35A6E" w14:paraId="174A8FF8" w14:textId="77777777"/>
    <w:p w:rsidR="00B11E95" w:rsidP="00EB0BDA" w14:paraId="1FFFB562" w14:textId="0492316D">
      <w:pPr>
        <w:rPr>
          <w:i/>
        </w:rPr>
      </w:pPr>
      <w:r w:rsidRPr="00B11E95">
        <w:rPr>
          <w:i/>
        </w:rPr>
        <w:t>(</w:t>
      </w:r>
      <w:r w:rsidR="00AD3458">
        <w:rPr>
          <w:i/>
        </w:rPr>
        <w:t>b</w:t>
      </w:r>
      <w:r w:rsidRPr="00B11E95">
        <w:rPr>
          <w:i/>
        </w:rPr>
        <w:t>) Notification Requirements for Gas Transmission Operators</w:t>
      </w:r>
      <w:r>
        <w:rPr>
          <w:i/>
        </w:rPr>
        <w:t xml:space="preserve"> w/268 (</w:t>
      </w:r>
      <w:r w:rsidRPr="00B11E95">
        <w:rPr>
          <w:b/>
          <w:bCs/>
          <w:iCs/>
          <w:u w:val="single"/>
        </w:rPr>
        <w:t>290 hours</w:t>
      </w:r>
      <w:r>
        <w:rPr>
          <w:i/>
        </w:rPr>
        <w:t>)</w:t>
      </w:r>
    </w:p>
    <w:p w:rsidR="006F67CB" w:rsidP="00EB0BDA" w14:paraId="3E905B6D" w14:textId="431039A4">
      <w:pPr>
        <w:rPr>
          <w:i/>
        </w:rPr>
      </w:pPr>
    </w:p>
    <w:p w:rsidR="00714AC8" w:rsidP="00227BA8" w14:paraId="4DF03737" w14:textId="11476B70">
      <w:pPr>
        <w:widowControl w:val="0"/>
        <w:autoSpaceDE w:val="0"/>
        <w:autoSpaceDN w:val="0"/>
        <w:adjustRightInd w:val="0"/>
        <w:spacing w:after="240"/>
        <w:jc w:val="both"/>
        <w:rPr>
          <w:b/>
          <w:bCs/>
          <w:i/>
        </w:rPr>
      </w:pPr>
      <w:r w:rsidRPr="006F67CB">
        <w:rPr>
          <w:rFonts w:cs="Arial"/>
          <w:bCs/>
        </w:rPr>
        <w:t xml:space="preserve">The provisions in </w:t>
      </w:r>
      <w:r w:rsidRPr="006F67CB">
        <w:rPr>
          <w:rFonts w:cs="Arial"/>
        </w:rPr>
        <w:t>the Pipeline Safety:  Safety of Gas Transmission Pipelines:  Repair Criteria, Integrity Management Improvements, Cathodic Protection, Management of Change, and Other Related Amendments final rule</w:t>
      </w:r>
      <w:r>
        <w:rPr>
          <w:rFonts w:cs="Arial"/>
        </w:rPr>
        <w:t xml:space="preserve"> contained</w:t>
      </w:r>
      <w:r w:rsidRPr="006F67CB">
        <w:rPr>
          <w:rFonts w:cs="Arial"/>
        </w:rPr>
        <w:t xml:space="preserve"> </w:t>
      </w:r>
      <w:r w:rsidRPr="006F67CB">
        <w:rPr>
          <w:rFonts w:cs="Arial"/>
        </w:rPr>
        <w:t xml:space="preserve">mandatory notification </w:t>
      </w:r>
      <w:r w:rsidRPr="006F67CB">
        <w:rPr>
          <w:rFonts w:cs="Arial"/>
          <w:bCs/>
        </w:rPr>
        <w:t xml:space="preserve">requirements for </w:t>
      </w:r>
      <w:r w:rsidRPr="006F67CB">
        <w:rPr>
          <w:rFonts w:cs="Arial"/>
        </w:rPr>
        <w:t>operators of natural gas transmission pipelines</w:t>
      </w:r>
      <w:r>
        <w:rPr>
          <w:rFonts w:cs="Arial"/>
        </w:rPr>
        <w:t xml:space="preserve"> including notifying PHMSA of the intent to use alternate technologies, notifying PHMSA if an operator is unable to perform an initial inspection 72 hours after an extreme weather event, notifying affected communities of steps to ensure public safety after an extreme weather event, and notifying PHMSA when there is a failure to meet the schedule for  anomaly evaluation and remediation or when a temporary pressure reduction exceeds 365 days.</w:t>
      </w:r>
      <w:r w:rsidRPr="006F67CB">
        <w:rPr>
          <w:rFonts w:cs="Arial"/>
        </w:rPr>
        <w:t xml:space="preserve">.  </w:t>
      </w:r>
      <w:r>
        <w:rPr>
          <w:rFonts w:cs="Arial"/>
        </w:rPr>
        <w:t xml:space="preserve">PHMSA expects approximately </w:t>
      </w:r>
      <w:r>
        <w:rPr>
          <w:rFonts w:cs="Arial"/>
        </w:rPr>
        <w:t xml:space="preserve">268 gas transmission operators to make </w:t>
      </w:r>
      <w:r>
        <w:rPr>
          <w:rFonts w:cs="Arial"/>
        </w:rPr>
        <w:t>these notifications annually.  PHMSA estimates that it will take most respondents a little over 1 hour (approx. 1.0892 hours) to make the required notifications</w:t>
      </w:r>
      <w:r w:rsidR="00227BA8">
        <w:rPr>
          <w:rFonts w:cs="Arial"/>
        </w:rPr>
        <w:t xml:space="preserve">.  This results in </w:t>
      </w:r>
      <w:r w:rsidRPr="006F67CB">
        <w:rPr>
          <w:rFonts w:cs="Arial"/>
        </w:rPr>
        <w:t xml:space="preserve">burden </w:t>
      </w:r>
      <w:r w:rsidR="00227BA8">
        <w:rPr>
          <w:rFonts w:cs="Arial"/>
        </w:rPr>
        <w:t xml:space="preserve">of </w:t>
      </w:r>
      <w:r w:rsidRPr="006F67CB" w:rsidR="00227BA8">
        <w:rPr>
          <w:rFonts w:cs="Arial"/>
        </w:rPr>
        <w:t>290 hours annually</w:t>
      </w:r>
      <w:r w:rsidR="00227BA8">
        <w:rPr>
          <w:rFonts w:cs="Arial"/>
        </w:rPr>
        <w:t xml:space="preserve"> for</w:t>
      </w:r>
      <w:r w:rsidRPr="006F67CB">
        <w:rPr>
          <w:rFonts w:cs="Arial"/>
        </w:rPr>
        <w:t xml:space="preserve"> this information collection</w:t>
      </w:r>
      <w:r w:rsidRPr="006F67CB">
        <w:rPr>
          <w:rFonts w:cs="Arial"/>
        </w:rPr>
        <w:t xml:space="preserve">. </w:t>
      </w:r>
    </w:p>
    <w:p w:rsidR="00EB0BDA" w:rsidP="00EB0BDA" w14:paraId="34335B73" w14:textId="03B83C5C">
      <w:pPr>
        <w:rPr>
          <w:b/>
          <w:bCs/>
          <w:i/>
        </w:rPr>
      </w:pPr>
      <w:r w:rsidRPr="006077EB">
        <w:rPr>
          <w:b/>
          <w:bCs/>
          <w:i/>
        </w:rPr>
        <w:t>Total Hours:</w:t>
      </w:r>
    </w:p>
    <w:p w:rsidR="00A30DD0" w:rsidRPr="006077EB" w:rsidP="00EB0BDA" w14:paraId="20DEA371" w14:textId="77777777">
      <w:pPr>
        <w:rPr>
          <w:b/>
          <w:bCs/>
          <w:i/>
        </w:rPr>
      </w:pPr>
    </w:p>
    <w:p w:rsidR="00EB0BDA" w:rsidRPr="001348EC" w:rsidP="00EB0BDA" w14:paraId="38106ECE" w14:textId="619AB822">
      <w:pPr>
        <w:rPr>
          <w:bCs/>
        </w:rPr>
      </w:pPr>
      <w:r w:rsidRPr="006077EB">
        <w:rPr>
          <w:bCs/>
        </w:rPr>
        <w:t>Annual Reports</w:t>
      </w:r>
      <w:r w:rsidRPr="006077EB">
        <w:rPr>
          <w:bCs/>
        </w:rPr>
        <w:t xml:space="preserve"> (</w:t>
      </w:r>
      <w:r w:rsidR="00AD3458">
        <w:t>97,740</w:t>
      </w:r>
      <w:r>
        <w:t xml:space="preserve"> </w:t>
      </w:r>
      <w:r w:rsidRPr="006077EB">
        <w:rPr>
          <w:bCs/>
        </w:rPr>
        <w:t>+1,356</w:t>
      </w:r>
      <w:r>
        <w:rPr>
          <w:bCs/>
        </w:rPr>
        <w:t>+2,480+2,730</w:t>
      </w:r>
      <w:r w:rsidR="00A30DD0">
        <w:rPr>
          <w:bCs/>
        </w:rPr>
        <w:t xml:space="preserve">) </w:t>
      </w:r>
      <w:r w:rsidR="00B07C60">
        <w:rPr>
          <w:bCs/>
        </w:rPr>
        <w:t>+</w:t>
      </w:r>
      <w:r w:rsidR="00A30DD0">
        <w:rPr>
          <w:bCs/>
        </w:rPr>
        <w:t xml:space="preserve"> Notifications for Gas Transmission Operators</w:t>
      </w:r>
      <w:r w:rsidR="00A30DD0">
        <w:rPr>
          <w:bCs/>
        </w:rPr>
        <w:t xml:space="preserve"> (</w:t>
      </w:r>
      <w:r w:rsidR="00B07C60">
        <w:rPr>
          <w:bCs/>
        </w:rPr>
        <w:t>290</w:t>
      </w:r>
      <w:r w:rsidR="00A30DD0">
        <w:rPr>
          <w:bCs/>
        </w:rPr>
        <w:t>)</w:t>
      </w:r>
      <w:r w:rsidR="00AD3458">
        <w:rPr>
          <w:bCs/>
        </w:rPr>
        <w:t xml:space="preserve"> </w:t>
      </w:r>
      <w:r w:rsidRPr="006077EB">
        <w:rPr>
          <w:bCs/>
        </w:rPr>
        <w:t xml:space="preserve">= </w:t>
      </w:r>
      <w:r w:rsidR="00AD3458">
        <w:rPr>
          <w:b/>
          <w:bCs/>
        </w:rPr>
        <w:t>104,</w:t>
      </w:r>
      <w:r w:rsidR="00B07C60">
        <w:rPr>
          <w:b/>
          <w:bCs/>
        </w:rPr>
        <w:t>59</w:t>
      </w:r>
      <w:r w:rsidR="00AD3458">
        <w:rPr>
          <w:b/>
          <w:bCs/>
        </w:rPr>
        <w:t>6</w:t>
      </w:r>
      <w:r>
        <w:rPr>
          <w:b/>
          <w:bCs/>
        </w:rPr>
        <w:t xml:space="preserve"> </w:t>
      </w:r>
      <w:r w:rsidRPr="00183684">
        <w:rPr>
          <w:b/>
          <w:bCs/>
        </w:rPr>
        <w:t>hours</w:t>
      </w:r>
      <w:r w:rsidRPr="006077EB">
        <w:rPr>
          <w:bCs/>
        </w:rPr>
        <w:t>.</w:t>
      </w:r>
      <w:r>
        <w:rPr>
          <w:bCs/>
        </w:rPr>
        <w:t xml:space="preserve">  </w:t>
      </w:r>
    </w:p>
    <w:p w:rsidR="00EB0BDA" w:rsidRPr="006077EB" w:rsidP="00EB0BDA" w14:paraId="69779951" w14:textId="77777777"/>
    <w:p w:rsidR="00376728" w:rsidP="00376728" w14:paraId="5F2BD506" w14:textId="77777777">
      <w:r w:rsidRPr="004B4409">
        <w:rPr>
          <w:bCs/>
        </w:rPr>
        <w:t xml:space="preserve">13. </w:t>
      </w:r>
      <w:r w:rsidRPr="004B4409">
        <w:rPr>
          <w:bCs/>
        </w:rPr>
        <w:tab/>
      </w:r>
      <w:r w:rsidRPr="004B4409">
        <w:rPr>
          <w:bCs/>
          <w:u w:val="single"/>
        </w:rPr>
        <w:t xml:space="preserve">Estimate of total annual costs to </w:t>
      </w:r>
      <w:r w:rsidRPr="004B4409">
        <w:rPr>
          <w:bCs/>
          <w:u w:val="single"/>
        </w:rPr>
        <w:t>respondents.</w:t>
      </w:r>
      <w:r w:rsidRPr="004B4409">
        <w:t xml:space="preserve"> </w:t>
      </w:r>
    </w:p>
    <w:p w:rsidR="00A30DD0" w:rsidP="00376728" w14:paraId="289C791C" w14:textId="77777777"/>
    <w:p w:rsidR="005959AF" w:rsidRPr="005959AF" w:rsidP="005959AF" w14:paraId="346CBF66" w14:textId="72061547">
      <w:pPr>
        <w:autoSpaceDE w:val="0"/>
        <w:autoSpaceDN w:val="0"/>
        <w:adjustRightInd w:val="0"/>
        <w:rPr>
          <w:bCs/>
        </w:rPr>
      </w:pPr>
      <w:r w:rsidRPr="006077EB">
        <w:t xml:space="preserve">PHMSA assumes that the reporting </w:t>
      </w:r>
      <w:r w:rsidR="00A30DD0">
        <w:t>is</w:t>
      </w:r>
      <w:r w:rsidRPr="006077EB">
        <w:t xml:space="preserve"> </w:t>
      </w:r>
      <w:r w:rsidR="00A30DD0">
        <w:t>done</w:t>
      </w:r>
      <w:r w:rsidRPr="006077EB">
        <w:t xml:space="preserve"> by an engineering manager</w:t>
      </w:r>
      <w:r>
        <w:rPr>
          <w:bCs/>
        </w:rPr>
        <w:t xml:space="preserve">.  </w:t>
      </w:r>
      <w:r w:rsidRPr="005959AF">
        <w:rPr>
          <w:bCs/>
        </w:rPr>
        <w:t>Based on the industry-specific occupational and wage estimates provided by the U.S. Department of Labor’s Bureau of Labor Statistics, median hourly wage of an engineering manager (for NAICS 486000 – pipeline transportation)</w:t>
      </w:r>
      <w:r>
        <w:rPr>
          <w:rFonts w:ascii="Courier" w:hAnsi="Courier"/>
          <w:bCs/>
        </w:rPr>
        <w:footnoteReference w:id="2"/>
      </w:r>
      <w:r w:rsidRPr="005959AF">
        <w:rPr>
          <w:bCs/>
        </w:rPr>
        <w:t xml:space="preserve"> is estimated as $77.50. Using an estimated fringe benefit of approximately 35 percent, the re</w:t>
      </w:r>
      <w:r w:rsidR="00DF5F78">
        <w:rPr>
          <w:bCs/>
        </w:rPr>
        <w:t>porting</w:t>
      </w:r>
      <w:r w:rsidRPr="005959AF">
        <w:rPr>
          <w:bCs/>
        </w:rPr>
        <w:t xml:space="preserve"> requirements for the gas operators are prepared at the average rate of $104.63 per hour. </w:t>
      </w:r>
    </w:p>
    <w:p w:rsidR="005959AF" w:rsidP="005959AF" w14:paraId="4AF78272" w14:textId="77777777"/>
    <w:p w:rsidR="005959AF" w:rsidP="005959AF" w14:paraId="145439D1" w14:textId="4223CCE5">
      <w:r w:rsidRPr="006077EB">
        <w:t>The total annual estimated costs for this information collection with all of the incorporated proposals would be $</w:t>
      </w:r>
      <w:r w:rsidR="00B11E95">
        <w:t>10,</w:t>
      </w:r>
      <w:r w:rsidR="00AD3458">
        <w:t>9</w:t>
      </w:r>
      <w:r w:rsidR="00B07C60">
        <w:t>4</w:t>
      </w:r>
      <w:r w:rsidR="00AD3458">
        <w:t>3</w:t>
      </w:r>
      <w:r w:rsidR="00B11E95">
        <w:t>,</w:t>
      </w:r>
      <w:r w:rsidR="00B07C60">
        <w:t>879.50</w:t>
      </w:r>
      <w:r w:rsidRPr="006077EB" w:rsidR="00F87BA9">
        <w:t xml:space="preserve"> </w:t>
      </w:r>
      <w:r w:rsidRPr="006077EB">
        <w:t>(= $</w:t>
      </w:r>
      <w:r>
        <w:t>104.63</w:t>
      </w:r>
      <w:r w:rsidRPr="006077EB">
        <w:t xml:space="preserve"> * </w:t>
      </w:r>
      <w:r w:rsidR="00AD3458">
        <w:t>104,</w:t>
      </w:r>
      <w:r w:rsidR="00B07C60">
        <w:t>59</w:t>
      </w:r>
      <w:r w:rsidR="00AD3458">
        <w:t>6</w:t>
      </w:r>
      <w:r w:rsidRPr="006077EB" w:rsidR="00F87BA9">
        <w:t xml:space="preserve"> </w:t>
      </w:r>
      <w:r w:rsidRPr="006077EB">
        <w:t>hours)</w:t>
      </w:r>
    </w:p>
    <w:p w:rsidR="00376728" w:rsidP="00376728" w14:paraId="00BA0B4D" w14:textId="77777777"/>
    <w:p w:rsidR="00376728" w:rsidP="00376728" w14:paraId="7C503E3E" w14:textId="2E66AC04">
      <w:r w:rsidRPr="004B4409">
        <w:rPr>
          <w:bCs/>
        </w:rPr>
        <w:t xml:space="preserve">14. </w:t>
      </w:r>
      <w:r w:rsidRPr="004B4409">
        <w:rPr>
          <w:bCs/>
        </w:rPr>
        <w:tab/>
      </w:r>
      <w:r w:rsidRPr="004B4409">
        <w:rPr>
          <w:bCs/>
          <w:u w:val="single"/>
        </w:rPr>
        <w:t>Estimate of cost to the Federal Government.</w:t>
      </w:r>
      <w:r w:rsidRPr="004B4409">
        <w:t xml:space="preserve"> </w:t>
      </w:r>
    </w:p>
    <w:p w:rsidR="00376728" w:rsidP="00376728" w14:paraId="2D70D659" w14:textId="77777777">
      <w:pPr>
        <w:rPr>
          <w:bCs/>
        </w:rPr>
      </w:pPr>
    </w:p>
    <w:p w:rsidR="00EB0BDA" w:rsidP="00EB0BDA" w14:paraId="19D4D515" w14:textId="77777777">
      <w:r w:rsidRPr="00EF4BE6">
        <w:t>PHMSA spends an estimated cost of $</w:t>
      </w:r>
      <w:r>
        <w:t>189,969.00</w:t>
      </w:r>
      <w:r w:rsidRPr="00EF4BE6">
        <w:t xml:space="preserve"> to operate and maintain this information collection.  Operations and maintenance include PRA compliance, interface improvements, database management, planning, revisions, and customer service.</w:t>
      </w:r>
    </w:p>
    <w:p w:rsidR="00EB0BDA" w:rsidP="00EB0BDA" w14:paraId="7E1CACED" w14:textId="77777777"/>
    <w:tbl>
      <w:tblPr>
        <w:tblStyle w:val="TableGrid"/>
        <w:tblW w:w="0" w:type="auto"/>
        <w:tblLook w:val="04A0"/>
      </w:tblPr>
      <w:tblGrid>
        <w:gridCol w:w="2382"/>
        <w:gridCol w:w="1493"/>
        <w:gridCol w:w="1218"/>
        <w:gridCol w:w="1093"/>
        <w:gridCol w:w="1530"/>
      </w:tblGrid>
      <w:tr w14:paraId="2A12B0C0" w14:textId="77777777" w:rsidTr="001835BA">
        <w:tblPrEx>
          <w:tblW w:w="0" w:type="auto"/>
          <w:tblLook w:val="04A0"/>
        </w:tblPrEx>
        <w:tc>
          <w:tcPr>
            <w:tcW w:w="2382" w:type="dxa"/>
          </w:tcPr>
          <w:p w:rsidR="00EB0BDA" w:rsidRPr="00F66136" w:rsidP="001835BA" w14:paraId="2D230AA4" w14:textId="77777777">
            <w:pPr>
              <w:rPr>
                <w:sz w:val="22"/>
                <w:szCs w:val="22"/>
              </w:rPr>
            </w:pPr>
          </w:p>
        </w:tc>
        <w:tc>
          <w:tcPr>
            <w:tcW w:w="1493" w:type="dxa"/>
          </w:tcPr>
          <w:p w:rsidR="00EB0BDA" w:rsidRPr="00F66136" w:rsidP="001835BA" w14:paraId="345C09E0" w14:textId="77777777">
            <w:pPr>
              <w:rPr>
                <w:sz w:val="22"/>
                <w:szCs w:val="22"/>
              </w:rPr>
            </w:pPr>
            <w:r w:rsidRPr="00F66136">
              <w:rPr>
                <w:sz w:val="22"/>
                <w:szCs w:val="22"/>
              </w:rPr>
              <w:t>Monthly Average (</w:t>
            </w:r>
            <w:r w:rsidRPr="00F66136">
              <w:rPr>
                <w:sz w:val="22"/>
                <w:szCs w:val="22"/>
              </w:rPr>
              <w:t>Hrs</w:t>
            </w:r>
            <w:r w:rsidRPr="00F66136">
              <w:rPr>
                <w:sz w:val="22"/>
                <w:szCs w:val="22"/>
              </w:rPr>
              <w:t>)</w:t>
            </w:r>
          </w:p>
        </w:tc>
        <w:tc>
          <w:tcPr>
            <w:tcW w:w="1218" w:type="dxa"/>
          </w:tcPr>
          <w:p w:rsidR="00EB0BDA" w:rsidRPr="00F66136" w:rsidP="001835BA" w14:paraId="49F3971D" w14:textId="77777777">
            <w:pPr>
              <w:rPr>
                <w:sz w:val="22"/>
                <w:szCs w:val="22"/>
              </w:rPr>
            </w:pPr>
            <w:r w:rsidRPr="00F66136">
              <w:rPr>
                <w:sz w:val="22"/>
                <w:szCs w:val="22"/>
              </w:rPr>
              <w:t>Hourly Rate</w:t>
            </w:r>
          </w:p>
        </w:tc>
        <w:tc>
          <w:tcPr>
            <w:tcW w:w="1093" w:type="dxa"/>
          </w:tcPr>
          <w:p w:rsidR="00EB0BDA" w:rsidRPr="00F66136" w:rsidP="001835BA" w14:paraId="20F90AFB" w14:textId="77777777">
            <w:pPr>
              <w:rPr>
                <w:sz w:val="22"/>
                <w:szCs w:val="22"/>
              </w:rPr>
            </w:pPr>
            <w:r w:rsidRPr="00F66136">
              <w:rPr>
                <w:sz w:val="22"/>
                <w:szCs w:val="22"/>
              </w:rPr>
              <w:t xml:space="preserve">Annual </w:t>
            </w:r>
            <w:r w:rsidRPr="00F66136">
              <w:rPr>
                <w:sz w:val="22"/>
                <w:szCs w:val="22"/>
              </w:rPr>
              <w:t>Hours</w:t>
            </w:r>
          </w:p>
        </w:tc>
        <w:tc>
          <w:tcPr>
            <w:tcW w:w="1530" w:type="dxa"/>
          </w:tcPr>
          <w:p w:rsidR="00EB0BDA" w:rsidRPr="00F66136" w:rsidP="001835BA" w14:paraId="0D26F1B0" w14:textId="77777777">
            <w:pPr>
              <w:rPr>
                <w:sz w:val="22"/>
                <w:szCs w:val="22"/>
              </w:rPr>
            </w:pPr>
            <w:r w:rsidRPr="00F66136">
              <w:rPr>
                <w:sz w:val="22"/>
                <w:szCs w:val="22"/>
              </w:rPr>
              <w:t>Total Costs</w:t>
            </w:r>
          </w:p>
        </w:tc>
      </w:tr>
      <w:tr w14:paraId="08B87446" w14:textId="77777777" w:rsidTr="001835BA">
        <w:tblPrEx>
          <w:tblW w:w="0" w:type="auto"/>
          <w:tblLook w:val="04A0"/>
        </w:tblPrEx>
        <w:tc>
          <w:tcPr>
            <w:tcW w:w="2382" w:type="dxa"/>
          </w:tcPr>
          <w:p w:rsidR="00EB0BDA" w:rsidRPr="00F66136" w:rsidP="001835BA" w14:paraId="2A1377FD" w14:textId="77777777">
            <w:pPr>
              <w:rPr>
                <w:sz w:val="22"/>
                <w:szCs w:val="22"/>
              </w:rPr>
            </w:pPr>
            <w:r w:rsidRPr="00F66136">
              <w:rPr>
                <w:sz w:val="22"/>
                <w:szCs w:val="22"/>
              </w:rPr>
              <w:t xml:space="preserve">Salary Costs* </w:t>
            </w:r>
          </w:p>
        </w:tc>
        <w:tc>
          <w:tcPr>
            <w:tcW w:w="1493" w:type="dxa"/>
          </w:tcPr>
          <w:p w:rsidR="00EB0BDA" w:rsidRPr="00F66136" w:rsidP="001835BA" w14:paraId="47EEEE44" w14:textId="77777777">
            <w:pPr>
              <w:rPr>
                <w:sz w:val="22"/>
                <w:szCs w:val="22"/>
              </w:rPr>
            </w:pPr>
            <w:r w:rsidRPr="00F66136">
              <w:rPr>
                <w:sz w:val="22"/>
                <w:szCs w:val="22"/>
              </w:rPr>
              <w:t>7</w:t>
            </w:r>
          </w:p>
        </w:tc>
        <w:tc>
          <w:tcPr>
            <w:tcW w:w="1218" w:type="dxa"/>
          </w:tcPr>
          <w:p w:rsidR="00EB0BDA" w:rsidRPr="00F66136" w:rsidP="001835BA" w14:paraId="343779E0" w14:textId="77777777">
            <w:pPr>
              <w:rPr>
                <w:sz w:val="22"/>
                <w:szCs w:val="22"/>
              </w:rPr>
            </w:pPr>
            <w:r w:rsidRPr="00F66136">
              <w:rPr>
                <w:sz w:val="22"/>
                <w:szCs w:val="22"/>
              </w:rPr>
              <w:t>$38.82/</w:t>
            </w:r>
            <w:r w:rsidRPr="00F66136">
              <w:rPr>
                <w:sz w:val="22"/>
                <w:szCs w:val="22"/>
              </w:rPr>
              <w:t>hr</w:t>
            </w:r>
          </w:p>
        </w:tc>
        <w:tc>
          <w:tcPr>
            <w:tcW w:w="1093" w:type="dxa"/>
          </w:tcPr>
          <w:p w:rsidR="00EB0BDA" w:rsidRPr="00F66136" w:rsidP="001835BA" w14:paraId="4F4B51AD" w14:textId="77777777">
            <w:pPr>
              <w:rPr>
                <w:sz w:val="22"/>
                <w:szCs w:val="22"/>
              </w:rPr>
            </w:pPr>
            <w:r w:rsidRPr="00F66136">
              <w:rPr>
                <w:sz w:val="22"/>
                <w:szCs w:val="22"/>
              </w:rPr>
              <w:t>84</w:t>
            </w:r>
          </w:p>
        </w:tc>
        <w:tc>
          <w:tcPr>
            <w:tcW w:w="1530" w:type="dxa"/>
          </w:tcPr>
          <w:p w:rsidR="00EB0BDA" w:rsidRPr="00F66136" w:rsidP="001835BA" w14:paraId="178948BF" w14:textId="77777777">
            <w:pPr>
              <w:rPr>
                <w:sz w:val="22"/>
                <w:szCs w:val="22"/>
              </w:rPr>
            </w:pPr>
            <w:r w:rsidRPr="00F66136">
              <w:rPr>
                <w:sz w:val="22"/>
                <w:szCs w:val="22"/>
              </w:rPr>
              <w:t>$3,260</w:t>
            </w:r>
          </w:p>
        </w:tc>
      </w:tr>
      <w:tr w14:paraId="0B598A3D" w14:textId="77777777" w:rsidTr="001835BA">
        <w:tblPrEx>
          <w:tblW w:w="0" w:type="auto"/>
          <w:tblLook w:val="04A0"/>
        </w:tblPrEx>
        <w:tc>
          <w:tcPr>
            <w:tcW w:w="2382" w:type="dxa"/>
          </w:tcPr>
          <w:p w:rsidR="00EB0BDA" w:rsidRPr="00F66136" w:rsidP="001835BA" w14:paraId="27514D57" w14:textId="77777777">
            <w:pPr>
              <w:rPr>
                <w:sz w:val="22"/>
                <w:szCs w:val="22"/>
              </w:rPr>
            </w:pPr>
            <w:r w:rsidRPr="00F66136">
              <w:rPr>
                <w:sz w:val="22"/>
                <w:szCs w:val="22"/>
              </w:rPr>
              <w:t>Contracting Costs</w:t>
            </w:r>
          </w:p>
        </w:tc>
        <w:tc>
          <w:tcPr>
            <w:tcW w:w="1493" w:type="dxa"/>
          </w:tcPr>
          <w:p w:rsidR="00EB0BDA" w:rsidRPr="00F66136" w:rsidP="001835BA" w14:paraId="7510C703" w14:textId="77777777">
            <w:pPr>
              <w:rPr>
                <w:sz w:val="22"/>
                <w:szCs w:val="22"/>
              </w:rPr>
            </w:pPr>
            <w:r w:rsidRPr="00F66136">
              <w:rPr>
                <w:sz w:val="22"/>
                <w:szCs w:val="22"/>
              </w:rPr>
              <w:t>129.25</w:t>
            </w:r>
          </w:p>
        </w:tc>
        <w:tc>
          <w:tcPr>
            <w:tcW w:w="1218" w:type="dxa"/>
          </w:tcPr>
          <w:p w:rsidR="00EB0BDA" w:rsidRPr="00F66136" w:rsidP="001835BA" w14:paraId="1FAFB813" w14:textId="77777777">
            <w:pPr>
              <w:rPr>
                <w:sz w:val="22"/>
                <w:szCs w:val="22"/>
              </w:rPr>
            </w:pPr>
            <w:r w:rsidRPr="00F66136">
              <w:rPr>
                <w:sz w:val="22"/>
                <w:szCs w:val="22"/>
              </w:rPr>
              <w:t>$120.38/</w:t>
            </w:r>
            <w:r w:rsidRPr="00F66136">
              <w:rPr>
                <w:sz w:val="22"/>
                <w:szCs w:val="22"/>
              </w:rPr>
              <w:t>hr</w:t>
            </w:r>
          </w:p>
        </w:tc>
        <w:tc>
          <w:tcPr>
            <w:tcW w:w="1093" w:type="dxa"/>
          </w:tcPr>
          <w:p w:rsidR="00EB0BDA" w:rsidRPr="00F66136" w:rsidP="001835BA" w14:paraId="33357FA7" w14:textId="77777777">
            <w:pPr>
              <w:rPr>
                <w:sz w:val="22"/>
                <w:szCs w:val="22"/>
              </w:rPr>
            </w:pPr>
            <w:r w:rsidRPr="00F66136">
              <w:rPr>
                <w:sz w:val="22"/>
                <w:szCs w:val="22"/>
              </w:rPr>
              <w:t>1551</w:t>
            </w:r>
          </w:p>
        </w:tc>
        <w:tc>
          <w:tcPr>
            <w:tcW w:w="1530" w:type="dxa"/>
          </w:tcPr>
          <w:p w:rsidR="00EB0BDA" w:rsidRPr="00F66136" w:rsidP="001835BA" w14:paraId="266EFFD6" w14:textId="77777777">
            <w:pPr>
              <w:rPr>
                <w:sz w:val="22"/>
                <w:szCs w:val="22"/>
              </w:rPr>
            </w:pPr>
            <w:r w:rsidRPr="00F66136">
              <w:rPr>
                <w:sz w:val="22"/>
                <w:szCs w:val="22"/>
              </w:rPr>
              <w:t>$186,709</w:t>
            </w:r>
          </w:p>
        </w:tc>
      </w:tr>
      <w:tr w14:paraId="78207BD6" w14:textId="77777777" w:rsidTr="001835BA">
        <w:tblPrEx>
          <w:tblW w:w="0" w:type="auto"/>
          <w:tblLook w:val="04A0"/>
        </w:tblPrEx>
        <w:tc>
          <w:tcPr>
            <w:tcW w:w="2382" w:type="dxa"/>
          </w:tcPr>
          <w:p w:rsidR="00EB0BDA" w:rsidRPr="00F66136" w:rsidP="001835BA" w14:paraId="0519034E" w14:textId="77777777">
            <w:pPr>
              <w:rPr>
                <w:sz w:val="22"/>
                <w:szCs w:val="22"/>
              </w:rPr>
            </w:pPr>
            <w:r w:rsidRPr="00F66136">
              <w:rPr>
                <w:sz w:val="22"/>
                <w:szCs w:val="22"/>
              </w:rPr>
              <w:t>TOTAL</w:t>
            </w:r>
          </w:p>
        </w:tc>
        <w:tc>
          <w:tcPr>
            <w:tcW w:w="1493" w:type="dxa"/>
          </w:tcPr>
          <w:p w:rsidR="00EB0BDA" w:rsidRPr="00F66136" w:rsidP="001835BA" w14:paraId="2BA08335" w14:textId="77777777">
            <w:pPr>
              <w:rPr>
                <w:sz w:val="22"/>
                <w:szCs w:val="22"/>
              </w:rPr>
            </w:pPr>
          </w:p>
        </w:tc>
        <w:tc>
          <w:tcPr>
            <w:tcW w:w="1218" w:type="dxa"/>
          </w:tcPr>
          <w:p w:rsidR="00EB0BDA" w:rsidRPr="00F66136" w:rsidP="001835BA" w14:paraId="47D640C0" w14:textId="77777777">
            <w:pPr>
              <w:rPr>
                <w:sz w:val="22"/>
                <w:szCs w:val="22"/>
              </w:rPr>
            </w:pPr>
          </w:p>
        </w:tc>
        <w:tc>
          <w:tcPr>
            <w:tcW w:w="1093" w:type="dxa"/>
          </w:tcPr>
          <w:p w:rsidR="00EB0BDA" w:rsidRPr="00F66136" w:rsidP="001835BA" w14:paraId="017EDDF2" w14:textId="77777777">
            <w:pPr>
              <w:rPr>
                <w:sz w:val="22"/>
                <w:szCs w:val="22"/>
              </w:rPr>
            </w:pPr>
          </w:p>
        </w:tc>
        <w:tc>
          <w:tcPr>
            <w:tcW w:w="1530" w:type="dxa"/>
          </w:tcPr>
          <w:p w:rsidR="00EB0BDA" w:rsidRPr="00F66136" w:rsidP="001835BA" w14:paraId="7B15385F" w14:textId="77777777">
            <w:pPr>
              <w:rPr>
                <w:sz w:val="22"/>
                <w:szCs w:val="22"/>
              </w:rPr>
            </w:pPr>
            <w:r w:rsidRPr="00F66136">
              <w:rPr>
                <w:sz w:val="22"/>
                <w:szCs w:val="22"/>
              </w:rPr>
              <w:t>$</w:t>
            </w:r>
            <w:r>
              <w:rPr>
                <w:sz w:val="22"/>
                <w:szCs w:val="22"/>
              </w:rPr>
              <w:t>189,969.00</w:t>
            </w:r>
          </w:p>
        </w:tc>
      </w:tr>
    </w:tbl>
    <w:p w:rsidR="00DF5F78" w:rsidP="00376728" w14:paraId="5BF53F02" w14:textId="77777777">
      <w:pPr>
        <w:rPr>
          <w:bCs/>
        </w:rPr>
      </w:pPr>
    </w:p>
    <w:p w:rsidR="00376728" w:rsidRPr="00864F8D" w:rsidP="00376728" w14:paraId="62BCC09B" w14:textId="0B6FD2C3">
      <w:r w:rsidRPr="00864F8D">
        <w:rPr>
          <w:bCs/>
        </w:rPr>
        <w:t>15.</w:t>
      </w:r>
      <w:r w:rsidRPr="00864F8D">
        <w:rPr>
          <w:bCs/>
        </w:rPr>
        <w:tab/>
        <w:t xml:space="preserve"> </w:t>
      </w:r>
      <w:r w:rsidRPr="00864F8D">
        <w:rPr>
          <w:bCs/>
          <w:u w:val="single"/>
        </w:rPr>
        <w:t>Explanation of program changes or adjustments.</w:t>
      </w:r>
      <w:r w:rsidRPr="00864F8D">
        <w:t xml:space="preserve"> </w:t>
      </w:r>
    </w:p>
    <w:p w:rsidR="00EB0BDA" w:rsidP="004602FF" w14:paraId="04A37470" w14:textId="77777777">
      <w:pPr>
        <w:autoSpaceDE w:val="0"/>
        <w:autoSpaceDN w:val="0"/>
      </w:pPr>
    </w:p>
    <w:p w:rsidR="00A30DD0" w:rsidP="00A30DD0" w14:paraId="0CF92FCD" w14:textId="77777777">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program changes at this time. </w:t>
      </w:r>
    </w:p>
    <w:p w:rsidR="00505397" w:rsidP="004602FF" w14:paraId="1085E48F" w14:textId="77777777">
      <w:pPr>
        <w:autoSpaceDE w:val="0"/>
        <w:autoSpaceDN w:val="0"/>
        <w:rPr>
          <w:bCs/>
        </w:rPr>
      </w:pPr>
    </w:p>
    <w:p w:rsidR="00376728" w:rsidRPr="004B4409" w:rsidP="00376728" w14:paraId="7B9DF81E" w14:textId="77777777">
      <w:r w:rsidRPr="004B4409">
        <w:rPr>
          <w:bCs/>
        </w:rPr>
        <w:t xml:space="preserve">16. </w:t>
      </w:r>
      <w:r w:rsidRPr="004B4409">
        <w:rPr>
          <w:bCs/>
        </w:rPr>
        <w:tab/>
      </w:r>
      <w:r w:rsidRPr="004B4409">
        <w:rPr>
          <w:bCs/>
          <w:u w:val="single"/>
        </w:rPr>
        <w:t>Publication of results of data collection.</w:t>
      </w:r>
      <w:r w:rsidRPr="004B4409">
        <w:t xml:space="preserve"> </w:t>
      </w:r>
    </w:p>
    <w:p w:rsidR="00376728" w:rsidP="00376728" w14:paraId="7644A39C" w14:textId="77777777"/>
    <w:p w:rsidR="00376728" w:rsidP="00376728" w14:paraId="42459CAB" w14:textId="77777777">
      <w:pPr>
        <w:rPr>
          <w:i/>
        </w:rPr>
      </w:pPr>
      <w:r>
        <w:t>PHMSA will summarize the incident and annual reports post the results on PHMSA’s website.</w:t>
      </w:r>
    </w:p>
    <w:p w:rsidR="00376728" w:rsidP="00376728" w14:paraId="039835D9" w14:textId="77777777"/>
    <w:p w:rsidR="00376728" w:rsidRPr="004B4409" w:rsidP="00376728" w14:paraId="015684A0" w14:textId="77777777">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P="00376728" w14:paraId="6F2AA9D7" w14:textId="77777777"/>
    <w:p w:rsidR="00376728" w:rsidP="00376728" w14:paraId="52C29464" w14:textId="77777777">
      <w:r>
        <w:t>PHMSA will display the expiration date.</w:t>
      </w:r>
    </w:p>
    <w:p w:rsidR="00376728" w:rsidP="00376728" w14:paraId="0DC3AC4E" w14:textId="77777777">
      <w:pPr>
        <w:rPr>
          <w:bCs/>
        </w:rPr>
      </w:pPr>
    </w:p>
    <w:p w:rsidR="00376728" w:rsidRPr="004B4409" w:rsidP="00376728" w14:paraId="26B5D5FF" w14:textId="77777777">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P="00376728" w14:paraId="28DF712E" w14:textId="77777777">
      <w:pPr>
        <w:rPr>
          <w:u w:val="single"/>
        </w:rPr>
      </w:pPr>
    </w:p>
    <w:p w:rsidR="00376728" w:rsidP="00376728" w14:paraId="1F05A783" w14:textId="77777777">
      <w:pPr>
        <w:rPr>
          <w:bCs/>
        </w:rPr>
      </w:pPr>
      <w:r>
        <w:rPr>
          <w:bCs/>
        </w:rPr>
        <w:t>There are no exceptions to the certification statement.</w:t>
      </w:r>
    </w:p>
    <w:sectPr w:rsidSect="00376728">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auto"/>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00D" w14:paraId="74281365" w14:textId="4CD808BD">
    <w:pPr>
      <w:pStyle w:val="Footer"/>
      <w:jc w:val="center"/>
    </w:pPr>
    <w:r>
      <w:rPr>
        <w:rStyle w:val="PageNumber"/>
      </w:rPr>
      <w:fldChar w:fldCharType="begin"/>
    </w:r>
    <w:r>
      <w:rPr>
        <w:rStyle w:val="PageNumber"/>
      </w:rPr>
      <w:instrText xml:space="preserve"> PAGE </w:instrText>
    </w:r>
    <w:r>
      <w:rPr>
        <w:rStyle w:val="PageNumber"/>
      </w:rPr>
      <w:fldChar w:fldCharType="separate"/>
    </w:r>
    <w:r w:rsidR="00926C2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000D" w:rsidP="008063B7" w14:paraId="148760F4" w14:textId="77777777">
      <w:r>
        <w:separator/>
      </w:r>
    </w:p>
  </w:footnote>
  <w:footnote w:type="continuationSeparator" w:id="1">
    <w:p w:rsidR="0007000D" w:rsidP="008063B7" w14:paraId="7F69BFD7" w14:textId="77777777">
      <w:r>
        <w:continuationSeparator/>
      </w:r>
    </w:p>
  </w:footnote>
  <w:footnote w:id="2">
    <w:p w:rsidR="005959AF" w:rsidP="005959AF" w14:paraId="7E3AB7B3"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63577"/>
    <w:multiLevelType w:val="hybridMultilevel"/>
    <w:tmpl w:val="C1CE9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6A1A43"/>
    <w:multiLevelType w:val="hybridMultilevel"/>
    <w:tmpl w:val="B990645A"/>
    <w:lvl w:ilvl="0">
      <w:start w:val="1"/>
      <w:numFmt w:val="decimal"/>
      <w:lvlText w:val="%1."/>
      <w:lvlJc w:val="left"/>
      <w:pPr>
        <w:ind w:left="1080" w:hanging="360"/>
      </w:pPr>
      <w:rPr>
        <w:rFonts w:hint="default"/>
        <w:b w:val="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28B75CE"/>
    <w:multiLevelType w:val="hybridMultilevel"/>
    <w:tmpl w:val="1C0C6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4127A76"/>
    <w:multiLevelType w:val="hybridMultilevel"/>
    <w:tmpl w:val="CDF4C20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92D63C7"/>
    <w:multiLevelType w:val="hybridMultilevel"/>
    <w:tmpl w:val="9A1813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01B1DA2"/>
    <w:multiLevelType w:val="hybridMultilevel"/>
    <w:tmpl w:val="B2CE2A38"/>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0286F8A"/>
    <w:multiLevelType w:val="multilevel"/>
    <w:tmpl w:val="9C2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06B7959"/>
    <w:multiLevelType w:val="hybridMultilevel"/>
    <w:tmpl w:val="30F698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B636DE"/>
    <w:multiLevelType w:val="hybridMultilevel"/>
    <w:tmpl w:val="D294F4F6"/>
    <w:lvl w:ilvl="0">
      <w:start w:va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93E1301"/>
    <w:multiLevelType w:val="hybridMultilevel"/>
    <w:tmpl w:val="7A580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99D1A8E"/>
    <w:multiLevelType w:val="hybridMultilevel"/>
    <w:tmpl w:val="6516778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5F6D36"/>
    <w:multiLevelType w:val="hybridMultilevel"/>
    <w:tmpl w:val="02ACC678"/>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92629F4"/>
    <w:multiLevelType w:val="hybridMultilevel"/>
    <w:tmpl w:val="3D22CB7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6201001">
    <w:abstractNumId w:val="4"/>
  </w:num>
  <w:num w:numId="2" w16cid:durableId="799611597">
    <w:abstractNumId w:val="8"/>
  </w:num>
  <w:num w:numId="3" w16cid:durableId="163591624">
    <w:abstractNumId w:val="5"/>
  </w:num>
  <w:num w:numId="4" w16cid:durableId="1613397791">
    <w:abstractNumId w:val="11"/>
  </w:num>
  <w:num w:numId="5" w16cid:durableId="1268199193">
    <w:abstractNumId w:val="2"/>
  </w:num>
  <w:num w:numId="6" w16cid:durableId="245261751">
    <w:abstractNumId w:val="6"/>
  </w:num>
  <w:num w:numId="7" w16cid:durableId="512500523">
    <w:abstractNumId w:val="0"/>
  </w:num>
  <w:num w:numId="8" w16cid:durableId="1078675409">
    <w:abstractNumId w:val="3"/>
  </w:num>
  <w:num w:numId="9" w16cid:durableId="568272007">
    <w:abstractNumId w:val="7"/>
  </w:num>
  <w:num w:numId="10" w16cid:durableId="1987591160">
    <w:abstractNumId w:val="9"/>
  </w:num>
  <w:num w:numId="11" w16cid:durableId="396093">
    <w:abstractNumId w:val="10"/>
  </w:num>
  <w:num w:numId="12" w16cid:durableId="1727292690">
    <w:abstractNumId w:val="12"/>
  </w:num>
  <w:num w:numId="13" w16cid:durableId="1818376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728"/>
    <w:rsid w:val="000114ED"/>
    <w:rsid w:val="00022703"/>
    <w:rsid w:val="00024697"/>
    <w:rsid w:val="000273B3"/>
    <w:rsid w:val="00032140"/>
    <w:rsid w:val="000357B8"/>
    <w:rsid w:val="00043481"/>
    <w:rsid w:val="00054B9D"/>
    <w:rsid w:val="000605B4"/>
    <w:rsid w:val="00066868"/>
    <w:rsid w:val="0007000D"/>
    <w:rsid w:val="00070660"/>
    <w:rsid w:val="00073412"/>
    <w:rsid w:val="000B0275"/>
    <w:rsid w:val="000B2E17"/>
    <w:rsid w:val="000E3EA2"/>
    <w:rsid w:val="000F4CF4"/>
    <w:rsid w:val="00107392"/>
    <w:rsid w:val="00122549"/>
    <w:rsid w:val="001263CB"/>
    <w:rsid w:val="001348EC"/>
    <w:rsid w:val="0014275C"/>
    <w:rsid w:val="00143E60"/>
    <w:rsid w:val="00144F00"/>
    <w:rsid w:val="001457D4"/>
    <w:rsid w:val="00160A14"/>
    <w:rsid w:val="001644C5"/>
    <w:rsid w:val="00165FB1"/>
    <w:rsid w:val="00173A6B"/>
    <w:rsid w:val="001745B5"/>
    <w:rsid w:val="0017741A"/>
    <w:rsid w:val="001835BA"/>
    <w:rsid w:val="00183684"/>
    <w:rsid w:val="001A00B8"/>
    <w:rsid w:val="001B4315"/>
    <w:rsid w:val="001C3919"/>
    <w:rsid w:val="001D135F"/>
    <w:rsid w:val="001F3CB9"/>
    <w:rsid w:val="001F3D85"/>
    <w:rsid w:val="001F6B64"/>
    <w:rsid w:val="002076A2"/>
    <w:rsid w:val="00227124"/>
    <w:rsid w:val="00227BA8"/>
    <w:rsid w:val="00246C26"/>
    <w:rsid w:val="0025028B"/>
    <w:rsid w:val="0027529E"/>
    <w:rsid w:val="00287F94"/>
    <w:rsid w:val="0029541D"/>
    <w:rsid w:val="002A2BA0"/>
    <w:rsid w:val="002A5A7C"/>
    <w:rsid w:val="002B5544"/>
    <w:rsid w:val="002B7DAA"/>
    <w:rsid w:val="002D0412"/>
    <w:rsid w:val="002D368B"/>
    <w:rsid w:val="002F32B9"/>
    <w:rsid w:val="002F3D71"/>
    <w:rsid w:val="00303DB1"/>
    <w:rsid w:val="003043E1"/>
    <w:rsid w:val="00313367"/>
    <w:rsid w:val="00316903"/>
    <w:rsid w:val="0032069D"/>
    <w:rsid w:val="00352F4B"/>
    <w:rsid w:val="0035611E"/>
    <w:rsid w:val="003566F3"/>
    <w:rsid w:val="00357A52"/>
    <w:rsid w:val="00372063"/>
    <w:rsid w:val="00374DE0"/>
    <w:rsid w:val="00376728"/>
    <w:rsid w:val="00390EAD"/>
    <w:rsid w:val="0039172F"/>
    <w:rsid w:val="003C5D4A"/>
    <w:rsid w:val="003C61A2"/>
    <w:rsid w:val="003D4BF2"/>
    <w:rsid w:val="003D6686"/>
    <w:rsid w:val="003E362B"/>
    <w:rsid w:val="00403669"/>
    <w:rsid w:val="004124FE"/>
    <w:rsid w:val="0041472A"/>
    <w:rsid w:val="00424026"/>
    <w:rsid w:val="00432088"/>
    <w:rsid w:val="00455CC4"/>
    <w:rsid w:val="004602FF"/>
    <w:rsid w:val="00474C2A"/>
    <w:rsid w:val="0047502B"/>
    <w:rsid w:val="00475741"/>
    <w:rsid w:val="00481952"/>
    <w:rsid w:val="00490540"/>
    <w:rsid w:val="00495772"/>
    <w:rsid w:val="004A2D46"/>
    <w:rsid w:val="004B4409"/>
    <w:rsid w:val="004C6A5B"/>
    <w:rsid w:val="004E398B"/>
    <w:rsid w:val="004E5292"/>
    <w:rsid w:val="004E629F"/>
    <w:rsid w:val="004F153D"/>
    <w:rsid w:val="004F26ED"/>
    <w:rsid w:val="004F78B0"/>
    <w:rsid w:val="00505397"/>
    <w:rsid w:val="00515EA5"/>
    <w:rsid w:val="00516EA8"/>
    <w:rsid w:val="00520DF2"/>
    <w:rsid w:val="00542010"/>
    <w:rsid w:val="00544F07"/>
    <w:rsid w:val="00563569"/>
    <w:rsid w:val="00563E9E"/>
    <w:rsid w:val="0056456C"/>
    <w:rsid w:val="00574F95"/>
    <w:rsid w:val="00587CEF"/>
    <w:rsid w:val="00587D79"/>
    <w:rsid w:val="00593286"/>
    <w:rsid w:val="005959AF"/>
    <w:rsid w:val="005A36AB"/>
    <w:rsid w:val="005A4737"/>
    <w:rsid w:val="005B4A13"/>
    <w:rsid w:val="005C03FE"/>
    <w:rsid w:val="005C74D1"/>
    <w:rsid w:val="005E64B4"/>
    <w:rsid w:val="005F2BE8"/>
    <w:rsid w:val="005F416F"/>
    <w:rsid w:val="006077EB"/>
    <w:rsid w:val="00627F91"/>
    <w:rsid w:val="00632DBE"/>
    <w:rsid w:val="00640C62"/>
    <w:rsid w:val="0064392C"/>
    <w:rsid w:val="00647EC4"/>
    <w:rsid w:val="00661C1F"/>
    <w:rsid w:val="00667FA1"/>
    <w:rsid w:val="00673951"/>
    <w:rsid w:val="00682844"/>
    <w:rsid w:val="00685855"/>
    <w:rsid w:val="006978DC"/>
    <w:rsid w:val="006A2E1A"/>
    <w:rsid w:val="006B1E38"/>
    <w:rsid w:val="006B2792"/>
    <w:rsid w:val="006E1DC7"/>
    <w:rsid w:val="006F67CB"/>
    <w:rsid w:val="006F75A4"/>
    <w:rsid w:val="00706344"/>
    <w:rsid w:val="0071204F"/>
    <w:rsid w:val="00714AC8"/>
    <w:rsid w:val="00716826"/>
    <w:rsid w:val="0075382D"/>
    <w:rsid w:val="00756BB0"/>
    <w:rsid w:val="007671AC"/>
    <w:rsid w:val="007772C2"/>
    <w:rsid w:val="00782D87"/>
    <w:rsid w:val="007856B1"/>
    <w:rsid w:val="0078624F"/>
    <w:rsid w:val="00786D4D"/>
    <w:rsid w:val="00794009"/>
    <w:rsid w:val="00797058"/>
    <w:rsid w:val="007A1447"/>
    <w:rsid w:val="007A1F7D"/>
    <w:rsid w:val="007A4A63"/>
    <w:rsid w:val="007A51FB"/>
    <w:rsid w:val="007A66CD"/>
    <w:rsid w:val="007B3D50"/>
    <w:rsid w:val="007C33B8"/>
    <w:rsid w:val="007C3892"/>
    <w:rsid w:val="007C389F"/>
    <w:rsid w:val="007D5C2A"/>
    <w:rsid w:val="007E16CB"/>
    <w:rsid w:val="007E48BA"/>
    <w:rsid w:val="007F2B6B"/>
    <w:rsid w:val="008031C7"/>
    <w:rsid w:val="008063B7"/>
    <w:rsid w:val="00821193"/>
    <w:rsid w:val="00833E10"/>
    <w:rsid w:val="00846584"/>
    <w:rsid w:val="00861D96"/>
    <w:rsid w:val="00864F8D"/>
    <w:rsid w:val="00865A0B"/>
    <w:rsid w:val="00871BE4"/>
    <w:rsid w:val="00887DCF"/>
    <w:rsid w:val="008912EC"/>
    <w:rsid w:val="0089426E"/>
    <w:rsid w:val="008A4FE0"/>
    <w:rsid w:val="008C1C10"/>
    <w:rsid w:val="008C5DF5"/>
    <w:rsid w:val="008C6B72"/>
    <w:rsid w:val="008D0146"/>
    <w:rsid w:val="008D6616"/>
    <w:rsid w:val="00910CE1"/>
    <w:rsid w:val="009111F0"/>
    <w:rsid w:val="00926C24"/>
    <w:rsid w:val="00931E3E"/>
    <w:rsid w:val="00935CA7"/>
    <w:rsid w:val="00936673"/>
    <w:rsid w:val="00937119"/>
    <w:rsid w:val="00944529"/>
    <w:rsid w:val="00960FC9"/>
    <w:rsid w:val="0096398C"/>
    <w:rsid w:val="00964E71"/>
    <w:rsid w:val="0096525A"/>
    <w:rsid w:val="00980327"/>
    <w:rsid w:val="00985A9F"/>
    <w:rsid w:val="00987505"/>
    <w:rsid w:val="00993B83"/>
    <w:rsid w:val="009A66B6"/>
    <w:rsid w:val="009B251B"/>
    <w:rsid w:val="009E1756"/>
    <w:rsid w:val="009E3397"/>
    <w:rsid w:val="009E6DCC"/>
    <w:rsid w:val="009E7AE2"/>
    <w:rsid w:val="009F10B1"/>
    <w:rsid w:val="009F13DF"/>
    <w:rsid w:val="00A018AE"/>
    <w:rsid w:val="00A05E96"/>
    <w:rsid w:val="00A076D6"/>
    <w:rsid w:val="00A107DE"/>
    <w:rsid w:val="00A1102B"/>
    <w:rsid w:val="00A15E5C"/>
    <w:rsid w:val="00A22A63"/>
    <w:rsid w:val="00A23D30"/>
    <w:rsid w:val="00A30DD0"/>
    <w:rsid w:val="00A36863"/>
    <w:rsid w:val="00A46EF4"/>
    <w:rsid w:val="00A61CE8"/>
    <w:rsid w:val="00A66F27"/>
    <w:rsid w:val="00A72CE8"/>
    <w:rsid w:val="00A76880"/>
    <w:rsid w:val="00AA0F25"/>
    <w:rsid w:val="00AA41B1"/>
    <w:rsid w:val="00AB1E64"/>
    <w:rsid w:val="00AB5759"/>
    <w:rsid w:val="00AC0A57"/>
    <w:rsid w:val="00AC6E99"/>
    <w:rsid w:val="00AD3458"/>
    <w:rsid w:val="00AD60C1"/>
    <w:rsid w:val="00AE4DA5"/>
    <w:rsid w:val="00AE4EF9"/>
    <w:rsid w:val="00AF2B23"/>
    <w:rsid w:val="00AF32CB"/>
    <w:rsid w:val="00AF67DF"/>
    <w:rsid w:val="00B0290C"/>
    <w:rsid w:val="00B07C60"/>
    <w:rsid w:val="00B11E95"/>
    <w:rsid w:val="00B12BBB"/>
    <w:rsid w:val="00B2010F"/>
    <w:rsid w:val="00B210DA"/>
    <w:rsid w:val="00B30B57"/>
    <w:rsid w:val="00B36D82"/>
    <w:rsid w:val="00B37988"/>
    <w:rsid w:val="00B46111"/>
    <w:rsid w:val="00B47217"/>
    <w:rsid w:val="00B6625F"/>
    <w:rsid w:val="00B66E72"/>
    <w:rsid w:val="00B71696"/>
    <w:rsid w:val="00B809E8"/>
    <w:rsid w:val="00B85066"/>
    <w:rsid w:val="00B905F4"/>
    <w:rsid w:val="00B96716"/>
    <w:rsid w:val="00BA0D1B"/>
    <w:rsid w:val="00BA6E77"/>
    <w:rsid w:val="00BB031C"/>
    <w:rsid w:val="00BB5D15"/>
    <w:rsid w:val="00BD0EBA"/>
    <w:rsid w:val="00BD282A"/>
    <w:rsid w:val="00BF20D3"/>
    <w:rsid w:val="00BF6FF5"/>
    <w:rsid w:val="00C06182"/>
    <w:rsid w:val="00C12253"/>
    <w:rsid w:val="00C21471"/>
    <w:rsid w:val="00C341FE"/>
    <w:rsid w:val="00C34A58"/>
    <w:rsid w:val="00C35A6E"/>
    <w:rsid w:val="00C4399F"/>
    <w:rsid w:val="00C4648F"/>
    <w:rsid w:val="00C578CE"/>
    <w:rsid w:val="00C60E56"/>
    <w:rsid w:val="00C6101A"/>
    <w:rsid w:val="00C66F47"/>
    <w:rsid w:val="00C8124A"/>
    <w:rsid w:val="00C906B8"/>
    <w:rsid w:val="00C92A17"/>
    <w:rsid w:val="00CA1D82"/>
    <w:rsid w:val="00CB7810"/>
    <w:rsid w:val="00CC2011"/>
    <w:rsid w:val="00CC56C1"/>
    <w:rsid w:val="00CD7B52"/>
    <w:rsid w:val="00CE19ED"/>
    <w:rsid w:val="00CE1FF7"/>
    <w:rsid w:val="00CE3167"/>
    <w:rsid w:val="00CE4CD3"/>
    <w:rsid w:val="00CF2DED"/>
    <w:rsid w:val="00CF5CFB"/>
    <w:rsid w:val="00D0331D"/>
    <w:rsid w:val="00D053F7"/>
    <w:rsid w:val="00D05708"/>
    <w:rsid w:val="00D0573B"/>
    <w:rsid w:val="00D132C8"/>
    <w:rsid w:val="00D13582"/>
    <w:rsid w:val="00D149C7"/>
    <w:rsid w:val="00D24B37"/>
    <w:rsid w:val="00D32396"/>
    <w:rsid w:val="00D34FE9"/>
    <w:rsid w:val="00D4653B"/>
    <w:rsid w:val="00D52E12"/>
    <w:rsid w:val="00D610F4"/>
    <w:rsid w:val="00D631CC"/>
    <w:rsid w:val="00D63FAD"/>
    <w:rsid w:val="00D64713"/>
    <w:rsid w:val="00D67B5C"/>
    <w:rsid w:val="00D77086"/>
    <w:rsid w:val="00D80B30"/>
    <w:rsid w:val="00D81822"/>
    <w:rsid w:val="00D81A16"/>
    <w:rsid w:val="00D85780"/>
    <w:rsid w:val="00D93F00"/>
    <w:rsid w:val="00D967B1"/>
    <w:rsid w:val="00DA38F0"/>
    <w:rsid w:val="00DA57C4"/>
    <w:rsid w:val="00DB6BB6"/>
    <w:rsid w:val="00DB6D02"/>
    <w:rsid w:val="00DC0A08"/>
    <w:rsid w:val="00DC1282"/>
    <w:rsid w:val="00DC418F"/>
    <w:rsid w:val="00DD021A"/>
    <w:rsid w:val="00DE4BBE"/>
    <w:rsid w:val="00DE640B"/>
    <w:rsid w:val="00DE7CC5"/>
    <w:rsid w:val="00DF5F78"/>
    <w:rsid w:val="00E036CB"/>
    <w:rsid w:val="00E03CFC"/>
    <w:rsid w:val="00E10672"/>
    <w:rsid w:val="00E236CD"/>
    <w:rsid w:val="00E27BB9"/>
    <w:rsid w:val="00E31867"/>
    <w:rsid w:val="00E3677C"/>
    <w:rsid w:val="00E545E5"/>
    <w:rsid w:val="00E56768"/>
    <w:rsid w:val="00E5701A"/>
    <w:rsid w:val="00E57603"/>
    <w:rsid w:val="00E94D8B"/>
    <w:rsid w:val="00EA6572"/>
    <w:rsid w:val="00EA698A"/>
    <w:rsid w:val="00EB0AFA"/>
    <w:rsid w:val="00EB0BDA"/>
    <w:rsid w:val="00EC65B7"/>
    <w:rsid w:val="00EC7D79"/>
    <w:rsid w:val="00EE1FBD"/>
    <w:rsid w:val="00EE6A0A"/>
    <w:rsid w:val="00EF4BE6"/>
    <w:rsid w:val="00EF51DC"/>
    <w:rsid w:val="00F1368E"/>
    <w:rsid w:val="00F23FAC"/>
    <w:rsid w:val="00F24DC7"/>
    <w:rsid w:val="00F26AF1"/>
    <w:rsid w:val="00F3387A"/>
    <w:rsid w:val="00F3720E"/>
    <w:rsid w:val="00F418DE"/>
    <w:rsid w:val="00F50338"/>
    <w:rsid w:val="00F62B69"/>
    <w:rsid w:val="00F63DF5"/>
    <w:rsid w:val="00F66136"/>
    <w:rsid w:val="00F804FD"/>
    <w:rsid w:val="00F81E4A"/>
    <w:rsid w:val="00F81F83"/>
    <w:rsid w:val="00F851E2"/>
    <w:rsid w:val="00F8564A"/>
    <w:rsid w:val="00F87BA9"/>
    <w:rsid w:val="00F87DF4"/>
    <w:rsid w:val="00F91FA0"/>
    <w:rsid w:val="00F93357"/>
    <w:rsid w:val="00FB5DD9"/>
    <w:rsid w:val="00FB6C3E"/>
    <w:rsid w:val="00FC781F"/>
    <w:rsid w:val="00FD7CF2"/>
    <w:rsid w:val="00FE63A5"/>
    <w:rsid w:val="00FF0F63"/>
    <w:rsid w:val="00FF5EA0"/>
    <w:rsid w:val="00FF76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E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 w:type="table" w:customStyle="1" w:styleId="TableGrid1">
    <w:name w:val="Table Grid1"/>
    <w:basedOn w:val="TableNormal"/>
    <w:next w:val="TableGrid"/>
    <w:rsid w:val="00C92A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6E72"/>
    <w:pPr>
      <w:spacing w:after="0" w:line="240" w:lineRule="auto"/>
    </w:pPr>
    <w:rPr>
      <w:rFonts w:ascii="Calibri" w:eastAsia="Calibri" w:hAnsi="Calibri" w:cs="Times New Roman"/>
    </w:rPr>
  </w:style>
  <w:style w:type="paragraph" w:customStyle="1" w:styleId="Default">
    <w:name w:val="Default"/>
    <w:rsid w:val="00F81F83"/>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semiHidden/>
    <w:rsid w:val="005959AF"/>
    <w:rPr>
      <w:rFonts w:ascii="Times New Roman" w:hAnsi="Times New Roman"/>
      <w:vertAlign w:val="superscript"/>
    </w:rPr>
  </w:style>
  <w:style w:type="paragraph" w:styleId="FootnoteText">
    <w:name w:val="footnote text"/>
    <w:basedOn w:val="Normal"/>
    <w:link w:val="FootnoteTextChar"/>
    <w:semiHidden/>
    <w:rsid w:val="005959A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5959AF"/>
    <w:rPr>
      <w:rFonts w:ascii="Times New Roman" w:eastAsia="Times New Roman" w:hAnsi="Times New Roman" w:cs="Times New Roman"/>
      <w:sz w:val="20"/>
      <w:szCs w:val="20"/>
    </w:rPr>
  </w:style>
  <w:style w:type="character" w:styleId="Hyperlink">
    <w:name w:val="Hyperlink"/>
    <w:basedOn w:val="DefaultParagraphFont"/>
    <w:rsid w:val="005959AF"/>
    <w:rPr>
      <w:color w:val="0000FF"/>
      <w:u w:val="single"/>
    </w:rPr>
  </w:style>
  <w:style w:type="paragraph" w:customStyle="1" w:styleId="Normal1">
    <w:name w:val="Normal1"/>
    <w:rsid w:val="00B30B57"/>
    <w:pPr>
      <w:widowControl w:val="0"/>
      <w:spacing w:after="0" w:line="240" w:lineRule="auto"/>
    </w:pPr>
    <w:rPr>
      <w:rFonts w:ascii="Courier" w:eastAsia="Courier" w:hAnsi="Courier" w:cs="Courier"/>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2BE6B-F37D-4686-8435-5CBC5EF7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2026-06-15T17:31:00Z</dcterms:created>
  <dcterms:modified xsi:type="dcterms:W3CDTF">2026-06-15T17:31:00Z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