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0C84" w:rsidRPr="00B62AE5" w:rsidP="00B62AE5" w14:paraId="7A1042B2" w14:textId="1EBC9439">
      <w:pPr>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SUPPORTING STATEMENT FOR REVISED INFORMATION COLLECTIONS</w:t>
      </w:r>
    </w:p>
    <w:p w:rsidR="00691A03" w:rsidRPr="00B62AE5" w:rsidP="005F7F42" w14:paraId="009E5006" w14:textId="025A1600">
      <w:pPr>
        <w:tabs>
          <w:tab w:val="center" w:pos="4680"/>
        </w:tabs>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OMB CONTROL NUMBERS</w:t>
      </w:r>
    </w:p>
    <w:p w:rsidR="00B62AE5" w:rsidRPr="009F6186" w:rsidP="009169F1" w14:paraId="6E04945D" w14:textId="7C119823">
      <w:pPr>
        <w:tabs>
          <w:tab w:val="center" w:pos="4680"/>
        </w:tabs>
        <w:suppressAutoHyphens/>
        <w:spacing w:after="240" w:line="240" w:lineRule="auto"/>
        <w:jc w:val="center"/>
        <w:rPr>
          <w:rFonts w:ascii="Times New Roman" w:eastAsia="Times New Roman" w:hAnsi="Times New Roman" w:cs="Times New Roman"/>
          <w:b/>
          <w:sz w:val="24"/>
          <w:szCs w:val="24"/>
        </w:rPr>
      </w:pPr>
      <w:r w:rsidRPr="009F6186">
        <w:rPr>
          <w:rFonts w:ascii="Times New Roman" w:eastAsia="Times New Roman" w:hAnsi="Times New Roman" w:cs="Times New Roman"/>
          <w:b/>
          <w:sz w:val="24"/>
          <w:szCs w:val="24"/>
        </w:rPr>
        <w:t>3038-</w:t>
      </w:r>
      <w:r w:rsidRPr="009F6186" w:rsidR="00D96E55">
        <w:rPr>
          <w:rFonts w:ascii="Times New Roman" w:eastAsia="Times New Roman" w:hAnsi="Times New Roman" w:cs="Times New Roman"/>
          <w:b/>
          <w:sz w:val="24"/>
          <w:szCs w:val="24"/>
        </w:rPr>
        <w:t xml:space="preserve">0009 </w:t>
      </w:r>
      <w:r w:rsidRPr="009F6186">
        <w:rPr>
          <w:rFonts w:ascii="Times New Roman" w:eastAsia="Times New Roman" w:hAnsi="Times New Roman" w:cs="Times New Roman"/>
          <w:b/>
          <w:sz w:val="24"/>
          <w:szCs w:val="24"/>
        </w:rPr>
        <w:t>(</w:t>
      </w:r>
      <w:r w:rsidRPr="009F6186" w:rsidR="00D96E55">
        <w:rPr>
          <w:rFonts w:ascii="Times New Roman" w:eastAsia="Times New Roman" w:hAnsi="Times New Roman" w:cs="Times New Roman"/>
          <w:b/>
          <w:sz w:val="24"/>
          <w:szCs w:val="24"/>
        </w:rPr>
        <w:t>Large Trader Report</w:t>
      </w:r>
      <w:r w:rsidRPr="009F6186" w:rsidR="007C2D28">
        <w:rPr>
          <w:rFonts w:ascii="Times New Roman" w:eastAsia="Times New Roman" w:hAnsi="Times New Roman" w:cs="Times New Roman"/>
          <w:b/>
          <w:sz w:val="24"/>
          <w:szCs w:val="24"/>
        </w:rPr>
        <w:t>s</w:t>
      </w:r>
      <w:r w:rsidRPr="009F6186">
        <w:rPr>
          <w:rFonts w:ascii="Times New Roman" w:eastAsia="Times New Roman" w:hAnsi="Times New Roman" w:cs="Times New Roman"/>
          <w:b/>
          <w:sz w:val="24"/>
          <w:szCs w:val="24"/>
        </w:rPr>
        <w:t>)</w:t>
      </w:r>
    </w:p>
    <w:p w:rsidR="009F6186" w:rsidRPr="00422484" w:rsidP="009169F1" w14:paraId="2B12DCF1" w14:textId="5C1C50E3">
      <w:pPr>
        <w:tabs>
          <w:tab w:val="center" w:pos="4680"/>
        </w:tabs>
        <w:suppressAutoHyphens/>
        <w:spacing w:after="240" w:line="240" w:lineRule="auto"/>
        <w:jc w:val="center"/>
        <w:rPr>
          <w:rFonts w:ascii="Times New Roman" w:hAnsi="Times New Roman" w:cs="Times New Roman"/>
          <w:b/>
          <w:bCs/>
          <w:sz w:val="24"/>
          <w:szCs w:val="24"/>
        </w:rPr>
      </w:pPr>
      <w:r w:rsidRPr="00422484">
        <w:rPr>
          <w:rFonts w:ascii="Times New Roman" w:eastAsia="Times New Roman" w:hAnsi="Times New Roman" w:cs="Times New Roman"/>
          <w:b/>
          <w:sz w:val="24"/>
          <w:szCs w:val="24"/>
        </w:rPr>
        <w:t>3038-0012 (Futures Volume, Open Interest, Price, Deliveries and Purchases/Sales of</w:t>
      </w:r>
      <w:r>
        <w:rPr>
          <w:rFonts w:ascii="Times New Roman" w:eastAsia="Times New Roman" w:hAnsi="Times New Roman" w:cs="Times New Roman"/>
          <w:b/>
          <w:sz w:val="24"/>
          <w:szCs w:val="24"/>
        </w:rPr>
        <w:t xml:space="preserve"> </w:t>
      </w:r>
      <w:r w:rsidRPr="00422484">
        <w:rPr>
          <w:rFonts w:ascii="Times New Roman" w:eastAsia="Times New Roman" w:hAnsi="Times New Roman" w:cs="Times New Roman"/>
          <w:b/>
          <w:sz w:val="24"/>
          <w:szCs w:val="24"/>
        </w:rPr>
        <w:t>Futures for Commodities or for Derivatives Positions)</w:t>
      </w:r>
    </w:p>
    <w:p w:rsidR="00923B93" w:rsidRPr="009F6186" w:rsidP="009169F1" w14:paraId="5821AE23" w14:textId="6A23B1FD">
      <w:pPr>
        <w:tabs>
          <w:tab w:val="center" w:pos="4680"/>
        </w:tabs>
        <w:suppressAutoHyphens/>
        <w:spacing w:after="0" w:line="240" w:lineRule="auto"/>
        <w:jc w:val="center"/>
        <w:rPr>
          <w:rFonts w:ascii="Times New Roman" w:eastAsia="Times New Roman" w:hAnsi="Times New Roman" w:cs="Times New Roman"/>
          <w:b/>
          <w:sz w:val="24"/>
          <w:szCs w:val="24"/>
        </w:rPr>
      </w:pPr>
      <w:r w:rsidRPr="00422484">
        <w:rPr>
          <w:rFonts w:ascii="Times New Roman" w:eastAsia="Times New Roman" w:hAnsi="Times New Roman" w:cs="Times New Roman"/>
          <w:b/>
          <w:sz w:val="24"/>
          <w:szCs w:val="24"/>
        </w:rPr>
        <w:t>3038-0103</w:t>
      </w:r>
      <w:r w:rsidR="008B3CBA">
        <w:rPr>
          <w:rFonts w:ascii="Times New Roman" w:eastAsia="Times New Roman" w:hAnsi="Times New Roman" w:cs="Times New Roman"/>
          <w:b/>
          <w:sz w:val="24"/>
          <w:szCs w:val="24"/>
        </w:rPr>
        <w:t xml:space="preserve"> </w:t>
      </w:r>
      <w:r w:rsidR="009F6186">
        <w:rPr>
          <w:rFonts w:ascii="Times New Roman" w:eastAsia="Times New Roman" w:hAnsi="Times New Roman" w:cs="Times New Roman"/>
          <w:b/>
          <w:sz w:val="24"/>
          <w:szCs w:val="24"/>
        </w:rPr>
        <w:t>(</w:t>
      </w:r>
      <w:r w:rsidRPr="00422484">
        <w:rPr>
          <w:rFonts w:ascii="Times New Roman" w:eastAsia="Times New Roman" w:hAnsi="Times New Roman" w:cs="Times New Roman"/>
          <w:b/>
          <w:sz w:val="24"/>
          <w:szCs w:val="24"/>
        </w:rPr>
        <w:t>Ownership and Control Reports, Forms 102/102S, 40/40S, and 71 (Trader and Account Identification Reports)</w:t>
      </w:r>
    </w:p>
    <w:p w:rsidR="00923B93" w:rsidRPr="00923B93" w:rsidP="00422484" w14:paraId="7B4F9280" w14:textId="77777777">
      <w:pPr>
        <w:tabs>
          <w:tab w:val="center" w:pos="4680"/>
        </w:tabs>
        <w:suppressAutoHyphens/>
        <w:spacing w:after="0" w:line="240" w:lineRule="auto"/>
        <w:jc w:val="center"/>
        <w:rPr>
          <w:rFonts w:ascii="Times New Roman" w:eastAsia="Times New Roman" w:hAnsi="Times New Roman" w:cs="Times New Roman"/>
          <w:b/>
          <w:sz w:val="24"/>
          <w:szCs w:val="20"/>
        </w:rPr>
      </w:pPr>
    </w:p>
    <w:p w:rsidR="00D50C84" w:rsidRPr="00E21E52" w:rsidP="005F7F42" w14:paraId="2E5C683A" w14:textId="3C51D2EF">
      <w:pPr>
        <w:tabs>
          <w:tab w:val="left" w:pos="-720"/>
          <w:tab w:val="left" w:pos="0"/>
        </w:tabs>
        <w:suppressAutoHyphens/>
        <w:spacing w:after="240" w:line="240" w:lineRule="auto"/>
        <w:ind w:left="720" w:hanging="720"/>
        <w:rPr>
          <w:rFonts w:ascii="Times New Roman" w:eastAsia="Times New Roman" w:hAnsi="Times New Roman" w:cs="Times New Roman"/>
          <w:sz w:val="24"/>
          <w:szCs w:val="20"/>
          <w:highlight w:val="yellow"/>
        </w:rPr>
      </w:pPr>
      <w:r w:rsidRPr="00E21E52">
        <w:rPr>
          <w:rFonts w:ascii="Times New Roman" w:eastAsia="Times New Roman" w:hAnsi="Times New Roman" w:cs="Times New Roman"/>
          <w:sz w:val="24"/>
          <w:szCs w:val="20"/>
        </w:rPr>
        <w:t>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21E52">
        <w:rPr>
          <w:rFonts w:ascii="Times New Roman" w:eastAsia="Times New Roman" w:hAnsi="Times New Roman" w:cs="Times New Roman"/>
          <w:sz w:val="24"/>
          <w:szCs w:val="20"/>
        </w:rPr>
        <w:t>.</w:t>
      </w:r>
    </w:p>
    <w:p w:rsidR="00573396" w:rsidP="00B401C3" w14:paraId="18FDE66D" w14:textId="4BD9EBB0">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CFTC is proposing rules that would </w:t>
      </w:r>
      <w:r w:rsidR="0036779A">
        <w:rPr>
          <w:rFonts w:ascii="Times New Roman" w:hAnsi="Times New Roman" w:cs="Times New Roman"/>
          <w:sz w:val="24"/>
          <w:szCs w:val="24"/>
        </w:rPr>
        <w:t>specify reporting requirements that would apply to fully collateralized event contracts.  Those reporting requirements are generally applicable to futures</w:t>
      </w:r>
      <w:r w:rsidR="00A177F8">
        <w:rPr>
          <w:rFonts w:ascii="Times New Roman" w:hAnsi="Times New Roman" w:cs="Times New Roman"/>
          <w:sz w:val="24"/>
          <w:szCs w:val="24"/>
        </w:rPr>
        <w:t xml:space="preserve"> and options contracts.</w:t>
      </w:r>
    </w:p>
    <w:p w:rsidR="00B401C3" w:rsidP="00B401C3" w14:paraId="2E183A08" w14:textId="77777777">
      <w:pPr>
        <w:spacing w:after="240" w:line="240" w:lineRule="auto"/>
        <w:ind w:firstLine="720"/>
        <w:rPr>
          <w:rFonts w:ascii="Times New Roman" w:eastAsia="Times New Roman" w:hAnsi="Times New Roman" w:cs="Times New Roman"/>
          <w:color w:val="000000"/>
          <w:sz w:val="24"/>
          <w:szCs w:val="24"/>
        </w:rPr>
      </w:pPr>
      <w:r w:rsidRPr="00A46C2D">
        <w:rPr>
          <w:rFonts w:ascii="Times New Roman" w:eastAsia="Times New Roman" w:hAnsi="Times New Roman" w:cs="Times New Roman"/>
          <w:color w:val="000000"/>
          <w:sz w:val="24"/>
          <w:szCs w:val="24"/>
        </w:rPr>
        <w:t>The reporting rules are primarily implemented by the Commission pursuant to §§ 4a, 4c(b), 4g, and 4i of the CEA.</w:t>
      </w:r>
      <w:r>
        <w:rPr>
          <w:rFonts w:ascii="Times New Roman" w:eastAsia="Times New Roman" w:hAnsi="Times New Roman" w:cs="Times New Roman"/>
          <w:color w:val="000000"/>
          <w:sz w:val="24"/>
          <w:szCs w:val="24"/>
          <w:vertAlign w:val="superscript"/>
        </w:rPr>
        <w:footnoteReference w:id="3"/>
      </w:r>
      <w:r w:rsidRPr="00A46C2D">
        <w:rPr>
          <w:rFonts w:ascii="Times New Roman" w:eastAsia="Times New Roman" w:hAnsi="Times New Roman" w:cs="Times New Roman"/>
          <w:color w:val="000000"/>
          <w:sz w:val="24"/>
          <w:szCs w:val="24"/>
        </w:rPr>
        <w:t xml:space="preserve">  Section 4a of the CEA, as amended by the Dodd-Frank Wall Street Reform and Consumer Protection Act (“Dodd-Frank Act”),</w:t>
      </w:r>
      <w:r>
        <w:rPr>
          <w:rFonts w:ascii="Times New Roman" w:eastAsia="Times New Roman" w:hAnsi="Times New Roman" w:cs="Times New Roman"/>
          <w:color w:val="000000"/>
          <w:sz w:val="24"/>
          <w:szCs w:val="24"/>
          <w:vertAlign w:val="superscript"/>
        </w:rPr>
        <w:footnoteReference w:id="4"/>
      </w:r>
      <w:r w:rsidRPr="00A46C2D">
        <w:rPr>
          <w:rFonts w:ascii="Times New Roman" w:eastAsia="Times New Roman" w:hAnsi="Times New Roman" w:cs="Times New Roman"/>
          <w:color w:val="000000"/>
          <w:sz w:val="24"/>
          <w:szCs w:val="24"/>
        </w:rPr>
        <w:t xml:space="preserve"> requires the Commission to set and enforce speculative position limits with respect to both futures and swaps.</w:t>
      </w:r>
      <w:r>
        <w:rPr>
          <w:rFonts w:ascii="Times New Roman" w:eastAsia="Times New Roman" w:hAnsi="Times New Roman" w:cs="Times New Roman"/>
          <w:color w:val="000000"/>
          <w:sz w:val="24"/>
          <w:szCs w:val="24"/>
          <w:vertAlign w:val="superscript"/>
        </w:rPr>
        <w:footnoteReference w:id="5"/>
      </w:r>
      <w:r w:rsidRPr="00A46C2D">
        <w:rPr>
          <w:rFonts w:ascii="Times New Roman" w:eastAsia="Times New Roman" w:hAnsi="Times New Roman" w:cs="Times New Roman"/>
          <w:color w:val="000000"/>
          <w:sz w:val="24"/>
          <w:szCs w:val="24"/>
        </w:rPr>
        <w:t xml:space="preserve">  Section 4c(b) gives the Commission plenary authority to regulate transactions that involve commodity options.</w:t>
      </w:r>
      <w:r>
        <w:rPr>
          <w:rFonts w:ascii="Times New Roman" w:eastAsia="Times New Roman" w:hAnsi="Times New Roman" w:cs="Times New Roman"/>
          <w:color w:val="000000"/>
          <w:sz w:val="24"/>
          <w:szCs w:val="24"/>
          <w:vertAlign w:val="superscript"/>
        </w:rPr>
        <w:footnoteReference w:id="6"/>
      </w:r>
      <w:r w:rsidRPr="00A46C2D">
        <w:rPr>
          <w:rFonts w:ascii="Times New Roman" w:eastAsia="Times New Roman" w:hAnsi="Times New Roman" w:cs="Times New Roman"/>
          <w:color w:val="000000"/>
          <w:sz w:val="24"/>
          <w:szCs w:val="24"/>
        </w:rPr>
        <w:t xml:space="preserve">  Section 4g(a) of the CEA requires, among other things, each futures commission merchant (“FCM”), introducing broker, floor broker, and floor trader to file such reports as the Commission may require on proprietary and customer transactions and positions in commodities for future delivery on any board of trade in the United States or elsewhere.  In addition, § 4g(b) requires registered entities to maintain daily trading records as required by the Commission, and § 4g(c) requires floor brokers, introducing brokers, and FCMs to maintain their own daily trading records for each customer in such manner and form as to be identifiable with the daily trading records maintained by registered entities.  Section 4g(d) permits the Commission to require that such daily trading records be made available to the Commission.</w:t>
      </w:r>
      <w:r>
        <w:rPr>
          <w:rFonts w:ascii="Times New Roman" w:eastAsia="Times New Roman" w:hAnsi="Times New Roman" w:cs="Times New Roman"/>
          <w:color w:val="000000"/>
          <w:sz w:val="24"/>
          <w:szCs w:val="24"/>
          <w:vertAlign w:val="superscript"/>
        </w:rPr>
        <w:footnoteReference w:id="7"/>
      </w:r>
      <w:r w:rsidRPr="00A46C2D">
        <w:rPr>
          <w:rFonts w:ascii="Times New Roman" w:eastAsia="Times New Roman" w:hAnsi="Times New Roman" w:cs="Times New Roman"/>
          <w:color w:val="000000"/>
          <w:sz w:val="24"/>
          <w:szCs w:val="24"/>
        </w:rPr>
        <w:t xml:space="preserve">  Lastly, § 4i of the CEA mandates the filing of such reports as the Commission may require when positions taken or </w:t>
      </w:r>
      <w:r w:rsidRPr="00A46C2D">
        <w:rPr>
          <w:rFonts w:ascii="Times New Roman" w:eastAsia="Times New Roman" w:hAnsi="Times New Roman" w:cs="Times New Roman"/>
          <w:color w:val="000000"/>
          <w:sz w:val="24"/>
          <w:szCs w:val="24"/>
        </w:rPr>
        <w:t>obtained on DCMs equal or exceed Commission-set levels.</w:t>
      </w:r>
      <w:r>
        <w:rPr>
          <w:rFonts w:ascii="Times New Roman" w:eastAsia="Times New Roman" w:hAnsi="Times New Roman" w:cs="Times New Roman"/>
          <w:color w:val="000000"/>
          <w:sz w:val="24"/>
          <w:szCs w:val="24"/>
          <w:vertAlign w:val="superscript"/>
        </w:rPr>
        <w:footnoteReference w:id="8"/>
      </w:r>
      <w:r w:rsidRPr="00A46C2D">
        <w:rPr>
          <w:rFonts w:ascii="Times New Roman" w:eastAsia="Times New Roman" w:hAnsi="Times New Roman" w:cs="Times New Roman"/>
          <w:color w:val="000000"/>
          <w:sz w:val="24"/>
          <w:szCs w:val="24"/>
        </w:rPr>
        <w:t xml:space="preserve">  Collectively, these CEA provisions warrant the maintenance of an effective and rigorous system of market and financial surveillance.</w:t>
      </w:r>
    </w:p>
    <w:p w:rsidR="00B401C3" w:rsidP="00B401C3" w14:paraId="5AF83B32" w14:textId="4557F5CC">
      <w:pPr>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The reporting rules at issue implicate information collection requirements via §§ 16.00, 17.00, and Part 21 (OMB control number 3038-0009), § 16.01 (OMB control number 3038-0012), </w:t>
      </w:r>
      <w:r w:rsidR="0024697B">
        <w:rPr>
          <w:rFonts w:ascii="Times New Roman" w:eastAsia="Times New Roman" w:hAnsi="Times New Roman" w:cs="Times New Roman"/>
          <w:color w:val="000000"/>
          <w:sz w:val="24"/>
          <w:szCs w:val="24"/>
        </w:rPr>
        <w:t>and</w:t>
      </w:r>
      <w:r w:rsidR="003202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17.01, 18.04, and 18.05 (OMB control number 3038-0103).</w:t>
      </w:r>
    </w:p>
    <w:p w:rsidR="004120FD" w:rsidRPr="009169F1" w:rsidP="00B401C3" w14:paraId="5A8FCC8D" w14:textId="02A49C6A">
      <w:pPr>
        <w:spacing w:after="240" w:line="240" w:lineRule="auto"/>
        <w:ind w:firstLine="720"/>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OMB Control Number 3038-0009</w:t>
      </w:r>
    </w:p>
    <w:p w:rsidR="00D96E55" w:rsidP="00B401C3" w14:paraId="732E0894" w14:textId="38AC6A41">
      <w:pPr>
        <w:spacing w:after="240" w:line="240" w:lineRule="auto"/>
        <w:ind w:firstLine="720"/>
        <w:rPr>
          <w:rFonts w:ascii="Times New Roman" w:hAnsi="Times New Roman" w:cs="Times New Roman"/>
          <w:sz w:val="24"/>
          <w:szCs w:val="24"/>
        </w:rPr>
      </w:pPr>
      <w:r w:rsidRPr="00422484">
        <w:rPr>
          <w:rFonts w:ascii="Times New Roman" w:hAnsi="Times New Roman" w:cs="Times New Roman"/>
          <w:sz w:val="24"/>
          <w:szCs w:val="24"/>
        </w:rPr>
        <w:t>The reporting rules covered by OMB Control Number 3038-0009</w:t>
      </w:r>
      <w:r w:rsidR="000569C5">
        <w:rPr>
          <w:rFonts w:ascii="Times New Roman" w:hAnsi="Times New Roman" w:cs="Times New Roman"/>
          <w:sz w:val="24"/>
          <w:szCs w:val="24"/>
        </w:rPr>
        <w:t xml:space="preserve"> require certain entities to submit large trader position reports and related information.  Those rules</w:t>
      </w:r>
      <w:r w:rsidRPr="00422484">
        <w:rPr>
          <w:rFonts w:ascii="Times New Roman" w:hAnsi="Times New Roman" w:cs="Times New Roman"/>
          <w:sz w:val="24"/>
          <w:szCs w:val="24"/>
        </w:rPr>
        <w:t xml:space="preserve"> are structured to ensure the Commission receives adequate information to carry out its market and financial surveillance programs.</w:t>
      </w:r>
      <w:r>
        <w:rPr>
          <w:rFonts w:ascii="Times New Roman" w:hAnsi="Times New Roman" w:cs="Times New Roman"/>
          <w:sz w:val="24"/>
          <w:szCs w:val="24"/>
          <w:vertAlign w:val="superscript"/>
        </w:rPr>
        <w:footnoteReference w:id="9"/>
      </w:r>
      <w:r w:rsidR="009F6186">
        <w:rPr>
          <w:rFonts w:ascii="Times New Roman" w:hAnsi="Times New Roman" w:cs="Times New Roman"/>
          <w:sz w:val="24"/>
          <w:szCs w:val="24"/>
        </w:rPr>
        <w:t xml:space="preserve">  </w:t>
      </w:r>
      <w:r w:rsidR="00B5726E">
        <w:rPr>
          <w:rFonts w:ascii="Times New Roman" w:hAnsi="Times New Roman" w:cs="Times New Roman"/>
          <w:sz w:val="24"/>
          <w:szCs w:val="24"/>
        </w:rPr>
        <w:t>Those</w:t>
      </w:r>
      <w:r w:rsidRPr="00422484">
        <w:rPr>
          <w:rFonts w:ascii="Times New Roman" w:hAnsi="Times New Roman" w:cs="Times New Roman"/>
          <w:sz w:val="24"/>
          <w:szCs w:val="24"/>
        </w:rPr>
        <w:t xml:space="preserve"> rules are implemented by the Commission partly pursuant to the authority of sections 4a, 4c(b), 4g, and 4i of the Commodity Exchange Act.</w:t>
      </w:r>
      <w:r>
        <w:rPr>
          <w:rFonts w:ascii="Times New Roman" w:hAnsi="Times New Roman" w:cs="Times New Roman"/>
          <w:sz w:val="24"/>
          <w:szCs w:val="24"/>
          <w:vertAlign w:val="superscript"/>
        </w:rPr>
        <w:footnoteReference w:id="10"/>
      </w:r>
      <w:r w:rsidRPr="00422484">
        <w:rPr>
          <w:rFonts w:ascii="Times New Roman" w:hAnsi="Times New Roman" w:cs="Times New Roman"/>
          <w:sz w:val="24"/>
          <w:szCs w:val="24"/>
        </w:rPr>
        <w:t xml:space="preserve">  Section 4a of the Act permits the Commission to set, approve exchange-set, and enforce speculative position limits.</w:t>
      </w:r>
      <w:r>
        <w:rPr>
          <w:rFonts w:ascii="Times New Roman" w:hAnsi="Times New Roman" w:cs="Times New Roman"/>
          <w:sz w:val="24"/>
          <w:szCs w:val="24"/>
          <w:vertAlign w:val="superscript"/>
        </w:rPr>
        <w:footnoteReference w:id="11"/>
      </w:r>
      <w:r w:rsidRPr="00422484">
        <w:rPr>
          <w:rFonts w:ascii="Times New Roman" w:hAnsi="Times New Roman" w:cs="Times New Roman"/>
          <w:sz w:val="24"/>
          <w:szCs w:val="24"/>
        </w:rPr>
        <w:t xml:space="preserve">  Section 4c(b) of the Act gives the Commission plenary authority to regulate transactions that involve commodity options.</w:t>
      </w:r>
      <w:r>
        <w:rPr>
          <w:rFonts w:ascii="Times New Roman" w:hAnsi="Times New Roman" w:cs="Times New Roman"/>
          <w:sz w:val="24"/>
          <w:szCs w:val="24"/>
          <w:vertAlign w:val="superscript"/>
        </w:rPr>
        <w:footnoteReference w:id="12"/>
      </w:r>
      <w:r w:rsidRPr="00422484">
        <w:rPr>
          <w:rFonts w:ascii="Times New Roman" w:hAnsi="Times New Roman" w:cs="Times New Roman"/>
          <w:sz w:val="24"/>
          <w:szCs w:val="24"/>
        </w:rPr>
        <w:t xml:space="preserve">  Section 4g of the Act imposes reporting and recordkeeping obligations on registered entities, and requires each registrant, whether a futures commission merchant (FCM), introducing broker, floor broker, or floor trader, to file such reports as the Commission may require on proprietary and customer positions executed on any board of trade in the United States or elsewhere.</w:t>
      </w:r>
      <w:r>
        <w:rPr>
          <w:rFonts w:ascii="Times New Roman" w:hAnsi="Times New Roman" w:cs="Times New Roman"/>
          <w:sz w:val="24"/>
          <w:szCs w:val="24"/>
          <w:vertAlign w:val="superscript"/>
        </w:rPr>
        <w:footnoteReference w:id="13"/>
      </w:r>
      <w:r w:rsidRPr="00422484">
        <w:rPr>
          <w:rFonts w:ascii="Times New Roman" w:hAnsi="Times New Roman" w:cs="Times New Roman"/>
          <w:sz w:val="24"/>
          <w:szCs w:val="24"/>
        </w:rPr>
        <w:t xml:space="preserve">  Lastly, section 4i of the Act requires the filing of such reports as the Commission may require when positions made or obtained on designated contract markets or derivatives transaction execution facilities equal or exceed Commission-set levels.</w:t>
      </w:r>
      <w:r>
        <w:rPr>
          <w:rFonts w:ascii="Times New Roman" w:hAnsi="Times New Roman" w:cs="Times New Roman"/>
          <w:sz w:val="24"/>
          <w:szCs w:val="24"/>
          <w:vertAlign w:val="superscript"/>
        </w:rPr>
        <w:footnoteReference w:id="14"/>
      </w:r>
    </w:p>
    <w:p w:rsidR="00772DEF" w:rsidRPr="00772DEF" w:rsidP="00B401C3" w14:paraId="2B8C7241" w14:textId="4FCCA9A0">
      <w:pPr>
        <w:spacing w:after="240" w:line="240" w:lineRule="auto"/>
        <w:ind w:firstLine="720"/>
        <w:rPr>
          <w:rFonts w:ascii="Times New Roman" w:hAnsi="Times New Roman" w:cs="Times New Roman"/>
          <w:sz w:val="24"/>
          <w:szCs w:val="24"/>
        </w:rPr>
      </w:pPr>
      <w:r w:rsidRPr="00772DEF">
        <w:rPr>
          <w:rFonts w:ascii="Times New Roman" w:hAnsi="Times New Roman" w:cs="Times New Roman"/>
          <w:sz w:val="24"/>
          <w:szCs w:val="24"/>
        </w:rPr>
        <w:t xml:space="preserve">The Proposal would provide that </w:t>
      </w:r>
      <w:r w:rsidR="0072388C">
        <w:rPr>
          <w:rFonts w:ascii="Times New Roman" w:hAnsi="Times New Roman" w:cs="Times New Roman"/>
          <w:sz w:val="24"/>
          <w:szCs w:val="24"/>
        </w:rPr>
        <w:t xml:space="preserve">non-intermediated </w:t>
      </w:r>
      <w:r w:rsidRPr="00772DEF">
        <w:rPr>
          <w:rFonts w:ascii="Times New Roman" w:hAnsi="Times New Roman" w:cs="Times New Roman"/>
          <w:sz w:val="24"/>
          <w:szCs w:val="24"/>
        </w:rPr>
        <w:t>DCMs submit § 17.00 large trader position reporting for positions of clearing members for “exclusively self-cleared contracts</w:t>
      </w:r>
      <w:r w:rsidR="009E1FA5">
        <w:rPr>
          <w:rFonts w:ascii="Times New Roman" w:hAnsi="Times New Roman" w:cs="Times New Roman"/>
          <w:sz w:val="24"/>
          <w:szCs w:val="24"/>
        </w:rPr>
        <w:t>.</w:t>
      </w:r>
      <w:r w:rsidRPr="00772DEF">
        <w:rPr>
          <w:rFonts w:ascii="Times New Roman" w:hAnsi="Times New Roman" w:cs="Times New Roman"/>
          <w:sz w:val="24"/>
          <w:szCs w:val="24"/>
        </w:rPr>
        <w:t xml:space="preserve">” </w:t>
      </w:r>
      <w:r w:rsidR="009E1FA5">
        <w:rPr>
          <w:rFonts w:ascii="Times New Roman" w:hAnsi="Times New Roman" w:cs="Times New Roman"/>
          <w:sz w:val="24"/>
          <w:szCs w:val="24"/>
        </w:rPr>
        <w:t xml:space="preserve">It would also </w:t>
      </w:r>
      <w:r w:rsidRPr="00772DEF">
        <w:rPr>
          <w:rFonts w:ascii="Times New Roman" w:hAnsi="Times New Roman" w:cs="Times New Roman"/>
          <w:sz w:val="24"/>
          <w:szCs w:val="24"/>
        </w:rPr>
        <w:t xml:space="preserve">add requirements that, in markets featuring a mix of </w:t>
      </w:r>
      <w:r w:rsidRPr="00772DEF">
        <w:rPr>
          <w:rFonts w:ascii="Times New Roman" w:hAnsi="Times New Roman" w:cs="Times New Roman"/>
          <w:sz w:val="24"/>
          <w:szCs w:val="24"/>
        </w:rPr>
        <w:t>intermediated</w:t>
      </w:r>
      <w:r w:rsidRPr="00772DEF">
        <w:rPr>
          <w:rFonts w:ascii="Times New Roman" w:hAnsi="Times New Roman" w:cs="Times New Roman"/>
          <w:sz w:val="24"/>
          <w:szCs w:val="24"/>
        </w:rPr>
        <w:t xml:space="preserve"> and non-</w:t>
      </w:r>
      <w:r w:rsidRPr="00772DEF">
        <w:rPr>
          <w:rFonts w:ascii="Times New Roman" w:hAnsi="Times New Roman" w:cs="Times New Roman"/>
          <w:sz w:val="24"/>
          <w:szCs w:val="24"/>
        </w:rPr>
        <w:t>intermediated</w:t>
      </w:r>
      <w:r w:rsidRPr="00772DEF">
        <w:rPr>
          <w:rFonts w:ascii="Times New Roman" w:hAnsi="Times New Roman" w:cs="Times New Roman"/>
          <w:sz w:val="24"/>
          <w:szCs w:val="24"/>
        </w:rPr>
        <w:t xml:space="preserve"> trading, DCMs must submit, for contracts that trade as fully collateralized positions, </w:t>
      </w:r>
      <w:r w:rsidR="00B1159E">
        <w:rPr>
          <w:rFonts w:ascii="Times New Roman" w:hAnsi="Times New Roman" w:cs="Times New Roman"/>
          <w:sz w:val="24"/>
          <w:szCs w:val="24"/>
        </w:rPr>
        <w:t xml:space="preserve">large trader reporting for </w:t>
      </w:r>
      <w:r w:rsidRPr="00772DEF">
        <w:rPr>
          <w:rFonts w:ascii="Times New Roman" w:hAnsi="Times New Roman" w:cs="Times New Roman"/>
          <w:sz w:val="24"/>
          <w:szCs w:val="24"/>
        </w:rPr>
        <w:t>special accounts carried by clearing members trading in their own name and not on behalf of any customer.</w:t>
      </w:r>
    </w:p>
    <w:p w:rsidR="004120FD" w:rsidRPr="00A01284" w:rsidP="009E1FA5" w14:paraId="4C70505F" w14:textId="7DB78781">
      <w:pPr>
        <w:keepNext/>
        <w:keepLines/>
        <w:spacing w:after="240" w:line="240" w:lineRule="auto"/>
        <w:ind w:firstLine="720"/>
        <w:rPr>
          <w:rFonts w:ascii="Times New Roman" w:hAnsi="Times New Roman" w:cs="Times New Roman"/>
          <w:b/>
          <w:bCs/>
          <w:sz w:val="24"/>
          <w:szCs w:val="24"/>
          <w:u w:val="single"/>
        </w:rPr>
      </w:pPr>
      <w:r w:rsidRPr="00A01284">
        <w:rPr>
          <w:rFonts w:ascii="Times New Roman" w:hAnsi="Times New Roman" w:cs="Times New Roman"/>
          <w:b/>
          <w:bCs/>
          <w:sz w:val="24"/>
          <w:szCs w:val="24"/>
          <w:u w:val="single"/>
        </w:rPr>
        <w:t>OMB Control Number 3038-00</w:t>
      </w:r>
      <w:r>
        <w:rPr>
          <w:rFonts w:ascii="Times New Roman" w:hAnsi="Times New Roman" w:cs="Times New Roman"/>
          <w:b/>
          <w:bCs/>
          <w:sz w:val="24"/>
          <w:szCs w:val="24"/>
          <w:u w:val="single"/>
        </w:rPr>
        <w:t>12</w:t>
      </w:r>
    </w:p>
    <w:p w:rsidR="00FD7CCE" w:rsidP="009E1FA5" w14:paraId="722073F4" w14:textId="2BB7A123">
      <w:pPr>
        <w:keepNext/>
        <w:keepLines/>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reporting rules covered by OMB Control Number </w:t>
      </w:r>
      <w:r w:rsidR="006543A9">
        <w:rPr>
          <w:rFonts w:ascii="Times New Roman" w:hAnsi="Times New Roman" w:cs="Times New Roman"/>
          <w:sz w:val="24"/>
          <w:szCs w:val="24"/>
        </w:rPr>
        <w:t xml:space="preserve">3038-0012 require </w:t>
      </w:r>
      <w:r w:rsidR="00200434">
        <w:rPr>
          <w:rFonts w:ascii="Times New Roman" w:hAnsi="Times New Roman" w:cs="Times New Roman"/>
          <w:sz w:val="24"/>
          <w:szCs w:val="24"/>
        </w:rPr>
        <w:t>reporting markets</w:t>
      </w:r>
      <w:r w:rsidR="006543A9">
        <w:rPr>
          <w:rFonts w:ascii="Times New Roman" w:hAnsi="Times New Roman" w:cs="Times New Roman"/>
          <w:sz w:val="24"/>
          <w:szCs w:val="24"/>
        </w:rPr>
        <w:t xml:space="preserve"> to </w:t>
      </w:r>
      <w:r w:rsidR="006357D6">
        <w:rPr>
          <w:rFonts w:ascii="Times New Roman" w:hAnsi="Times New Roman" w:cs="Times New Roman"/>
          <w:sz w:val="24"/>
          <w:szCs w:val="24"/>
        </w:rPr>
        <w:t xml:space="preserve">report to the Commission and make public the daily volume of trading on each type of contract and other information the Commission deems necessary to the public interest and </w:t>
      </w:r>
      <w:r w:rsidR="0009422E">
        <w:rPr>
          <w:rFonts w:ascii="Times New Roman" w:hAnsi="Times New Roman" w:cs="Times New Roman"/>
          <w:sz w:val="24"/>
          <w:szCs w:val="24"/>
        </w:rPr>
        <w:t>prescribes by rule, order, or regulation</w:t>
      </w:r>
      <w:r w:rsidR="000C4F3B">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09422E">
        <w:rPr>
          <w:rFonts w:ascii="Times New Roman" w:hAnsi="Times New Roman" w:cs="Times New Roman"/>
          <w:sz w:val="24"/>
          <w:szCs w:val="24"/>
        </w:rPr>
        <w:t xml:space="preserve"> </w:t>
      </w:r>
      <w:r w:rsidR="000C4F3B">
        <w:rPr>
          <w:rFonts w:ascii="Times New Roman" w:hAnsi="Times New Roman" w:cs="Times New Roman"/>
          <w:sz w:val="24"/>
          <w:szCs w:val="24"/>
        </w:rPr>
        <w:t xml:space="preserve"> </w:t>
      </w:r>
      <w:r w:rsidRPr="0009422E" w:rsidR="0009422E">
        <w:rPr>
          <w:rFonts w:ascii="Times New Roman" w:hAnsi="Times New Roman" w:cs="Times New Roman"/>
          <w:sz w:val="24"/>
          <w:szCs w:val="24"/>
        </w:rPr>
        <w:t>The Commission has determined that in addition to volume</w:t>
      </w:r>
      <w:r w:rsidR="0009422E">
        <w:rPr>
          <w:rFonts w:ascii="Times New Roman" w:hAnsi="Times New Roman" w:cs="Times New Roman"/>
          <w:sz w:val="24"/>
          <w:szCs w:val="24"/>
        </w:rPr>
        <w:t xml:space="preserve"> </w:t>
      </w:r>
      <w:r w:rsidRPr="0009422E" w:rsidR="0009422E">
        <w:rPr>
          <w:rFonts w:ascii="Times New Roman" w:hAnsi="Times New Roman" w:cs="Times New Roman"/>
          <w:sz w:val="24"/>
          <w:szCs w:val="24"/>
        </w:rPr>
        <w:t>of trading, it is in the public interest and necessary for market surveillance that exchanges</w:t>
      </w:r>
      <w:r w:rsidR="0009422E">
        <w:rPr>
          <w:rFonts w:ascii="Times New Roman" w:hAnsi="Times New Roman" w:cs="Times New Roman"/>
          <w:sz w:val="24"/>
          <w:szCs w:val="24"/>
        </w:rPr>
        <w:t xml:space="preserve"> </w:t>
      </w:r>
      <w:r w:rsidRPr="0009422E" w:rsidR="0009422E">
        <w:rPr>
          <w:rFonts w:ascii="Times New Roman" w:hAnsi="Times New Roman" w:cs="Times New Roman"/>
          <w:sz w:val="24"/>
          <w:szCs w:val="24"/>
        </w:rPr>
        <w:t>publish</w:t>
      </w:r>
      <w:r w:rsidR="0009422E">
        <w:rPr>
          <w:rFonts w:ascii="Times New Roman" w:hAnsi="Times New Roman" w:cs="Times New Roman"/>
          <w:sz w:val="24"/>
          <w:szCs w:val="24"/>
        </w:rPr>
        <w:t xml:space="preserve"> (</w:t>
      </w:r>
      <w:r w:rsidRPr="0009422E" w:rsidR="0009422E">
        <w:rPr>
          <w:rFonts w:ascii="Times New Roman" w:hAnsi="Times New Roman" w:cs="Times New Roman"/>
          <w:sz w:val="24"/>
          <w:szCs w:val="24"/>
        </w:rPr>
        <w:t>1</w:t>
      </w:r>
      <w:r w:rsidR="0009422E">
        <w:rPr>
          <w:rFonts w:ascii="Times New Roman" w:hAnsi="Times New Roman" w:cs="Times New Roman"/>
          <w:sz w:val="24"/>
          <w:szCs w:val="24"/>
        </w:rPr>
        <w:t>) t</w:t>
      </w:r>
      <w:r w:rsidRPr="0009422E" w:rsidR="0009422E">
        <w:rPr>
          <w:rFonts w:ascii="Times New Roman" w:hAnsi="Times New Roman" w:cs="Times New Roman"/>
          <w:sz w:val="24"/>
          <w:szCs w:val="24"/>
        </w:rPr>
        <w:t>rading volume and open contracts;</w:t>
      </w:r>
      <w:r w:rsidR="0009422E">
        <w:rPr>
          <w:rFonts w:ascii="Times New Roman" w:hAnsi="Times New Roman" w:cs="Times New Roman"/>
          <w:sz w:val="24"/>
          <w:szCs w:val="24"/>
        </w:rPr>
        <w:t xml:space="preserve"> (2) price information; (3) critical dates; (4) deliver notices issued and stopped; and (5) delta factors.</w:t>
      </w:r>
      <w:r w:rsidR="00215688">
        <w:rPr>
          <w:rFonts w:ascii="Times New Roman" w:hAnsi="Times New Roman" w:cs="Times New Roman"/>
          <w:sz w:val="24"/>
          <w:szCs w:val="24"/>
        </w:rPr>
        <w:t xml:space="preserve">  </w:t>
      </w:r>
      <w:r w:rsidRPr="00FD7CCE">
        <w:rPr>
          <w:rFonts w:ascii="Times New Roman" w:hAnsi="Times New Roman" w:cs="Times New Roman"/>
          <w:sz w:val="24"/>
          <w:szCs w:val="24"/>
        </w:rPr>
        <w:t>Section 4g(b) of the Commodity Exchange Act, as amended by the reauthorization Act, requires registered entities to maintain daily trading records that include such information as the Commission shall prescribe by rule.</w:t>
      </w:r>
      <w:r>
        <w:rPr>
          <w:rStyle w:val="FootnoteReference"/>
          <w:rFonts w:ascii="Times New Roman" w:hAnsi="Times New Roman" w:cs="Times New Roman"/>
          <w:sz w:val="24"/>
          <w:szCs w:val="24"/>
        </w:rPr>
        <w:footnoteReference w:id="16"/>
      </w:r>
      <w:r w:rsidRPr="00FD7CCE">
        <w:rPr>
          <w:rFonts w:ascii="Times New Roman" w:hAnsi="Times New Roman" w:cs="Times New Roman"/>
          <w:sz w:val="24"/>
          <w:szCs w:val="24"/>
        </w:rPr>
        <w:t xml:space="preserve">  Section 4g(d) of the Act requires exchanges to make reports from those records as required by the Commission.</w:t>
      </w:r>
      <w:r>
        <w:rPr>
          <w:rStyle w:val="FootnoteReference"/>
          <w:rFonts w:ascii="Times New Roman" w:hAnsi="Times New Roman" w:cs="Times New Roman"/>
          <w:sz w:val="24"/>
          <w:szCs w:val="24"/>
        </w:rPr>
        <w:footnoteReference w:id="17"/>
      </w:r>
      <w:r w:rsidRPr="00FD7CCE">
        <w:rPr>
          <w:rFonts w:ascii="Times New Roman" w:hAnsi="Times New Roman" w:cs="Times New Roman"/>
          <w:sz w:val="24"/>
          <w:szCs w:val="24"/>
        </w:rPr>
        <w:t xml:space="preserve">  Section 4g(e) of the Act requires exchanges to publish the volume of trading for each contract, along with such other information that the Commission determines should be published.</w:t>
      </w:r>
      <w:r>
        <w:rPr>
          <w:rStyle w:val="FootnoteReference"/>
          <w:rFonts w:ascii="Times New Roman" w:hAnsi="Times New Roman" w:cs="Times New Roman"/>
          <w:sz w:val="24"/>
          <w:szCs w:val="24"/>
        </w:rPr>
        <w:footnoteReference w:id="18"/>
      </w:r>
    </w:p>
    <w:p w:rsidR="00C45B2A" w:rsidRPr="00C45B2A" w:rsidP="009E1FA5" w14:paraId="6B586308" w14:textId="6DB810EA">
      <w:pPr>
        <w:keepNext/>
        <w:keepLines/>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Proposal in </w:t>
      </w:r>
      <w:r w:rsidRPr="00C45B2A">
        <w:rPr>
          <w:rFonts w:ascii="Times New Roman" w:hAnsi="Times New Roman" w:cs="Times New Roman"/>
          <w:sz w:val="24"/>
          <w:szCs w:val="24"/>
        </w:rPr>
        <w:t>§ 16.03(b)</w:t>
      </w:r>
      <w:r>
        <w:rPr>
          <w:rFonts w:ascii="Times New Roman" w:hAnsi="Times New Roman" w:cs="Times New Roman"/>
          <w:sz w:val="24"/>
          <w:szCs w:val="24"/>
        </w:rPr>
        <w:t xml:space="preserve">, 17 CFR 16.03(b), would require that </w:t>
      </w:r>
      <w:r w:rsidRPr="00C45B2A">
        <w:rPr>
          <w:rFonts w:ascii="Times New Roman" w:hAnsi="Times New Roman" w:cs="Times New Roman"/>
          <w:sz w:val="24"/>
          <w:szCs w:val="24"/>
        </w:rPr>
        <w:t>DCMs include certain settlement information in daily market data reports</w:t>
      </w:r>
      <w:r>
        <w:rPr>
          <w:rFonts w:ascii="Times New Roman" w:hAnsi="Times New Roman" w:cs="Times New Roman"/>
          <w:sz w:val="24"/>
          <w:szCs w:val="24"/>
        </w:rPr>
        <w:t xml:space="preserve">.  The Commission anticipates that this new requirement </w:t>
      </w:r>
      <w:r w:rsidRPr="00C45B2A">
        <w:rPr>
          <w:rFonts w:ascii="Times New Roman" w:hAnsi="Times New Roman" w:cs="Times New Roman"/>
          <w:sz w:val="24"/>
          <w:szCs w:val="24"/>
        </w:rPr>
        <w:t>may require minor modifications to the systems that DCMs use to submit such reports.</w:t>
      </w:r>
    </w:p>
    <w:p w:rsidR="004120FD" w:rsidRPr="00A01284" w:rsidP="00B401C3" w14:paraId="12364686" w14:textId="0F795A0C">
      <w:pPr>
        <w:spacing w:after="240" w:line="240" w:lineRule="auto"/>
        <w:ind w:firstLine="720"/>
        <w:rPr>
          <w:rFonts w:ascii="Times New Roman" w:hAnsi="Times New Roman" w:cs="Times New Roman"/>
          <w:b/>
          <w:bCs/>
          <w:sz w:val="24"/>
          <w:szCs w:val="24"/>
          <w:u w:val="single"/>
        </w:rPr>
      </w:pPr>
      <w:r w:rsidRPr="00A01284">
        <w:rPr>
          <w:rFonts w:ascii="Times New Roman" w:hAnsi="Times New Roman" w:cs="Times New Roman"/>
          <w:b/>
          <w:bCs/>
          <w:sz w:val="24"/>
          <w:szCs w:val="24"/>
          <w:u w:val="single"/>
        </w:rPr>
        <w:t>OMB Control Number 3038-0</w:t>
      </w:r>
      <w:r>
        <w:rPr>
          <w:rFonts w:ascii="Times New Roman" w:hAnsi="Times New Roman" w:cs="Times New Roman"/>
          <w:b/>
          <w:bCs/>
          <w:sz w:val="24"/>
          <w:szCs w:val="24"/>
          <w:u w:val="single"/>
        </w:rPr>
        <w:t>103</w:t>
      </w:r>
    </w:p>
    <w:p w:rsidR="00E5234A" w:rsidP="00B401C3" w14:paraId="304AFAB2" w14:textId="66D981B6">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reporting rules covered by OMB Control Number 3038-0103 </w:t>
      </w:r>
      <w:r w:rsidR="005F3BD2">
        <w:rPr>
          <w:rFonts w:ascii="Times New Roman" w:hAnsi="Times New Roman" w:cs="Times New Roman"/>
          <w:sz w:val="24"/>
          <w:szCs w:val="24"/>
        </w:rPr>
        <w:t xml:space="preserve">require certain market participants to report ownership and control information for </w:t>
      </w:r>
      <w:r w:rsidR="00802627">
        <w:rPr>
          <w:rFonts w:ascii="Times New Roman" w:hAnsi="Times New Roman" w:cs="Times New Roman"/>
          <w:sz w:val="24"/>
          <w:szCs w:val="24"/>
        </w:rPr>
        <w:t xml:space="preserve">certain accounts.  Specifically, these rules </w:t>
      </w:r>
      <w:r w:rsidR="004D2E24">
        <w:rPr>
          <w:rFonts w:ascii="Times New Roman" w:hAnsi="Times New Roman" w:cs="Times New Roman"/>
          <w:sz w:val="24"/>
          <w:szCs w:val="24"/>
        </w:rPr>
        <w:t>require reporting of (1) information necessary to identify persons who hold or control “reportable positions” in open contracts (via Form 40),</w:t>
      </w:r>
      <w:r>
        <w:rPr>
          <w:rStyle w:val="FootnoteReference"/>
          <w:rFonts w:ascii="Times New Roman" w:hAnsi="Times New Roman" w:cs="Times New Roman"/>
          <w:sz w:val="24"/>
          <w:szCs w:val="24"/>
        </w:rPr>
        <w:footnoteReference w:id="19"/>
      </w:r>
      <w:r w:rsidR="004D2E24">
        <w:rPr>
          <w:rFonts w:ascii="Times New Roman" w:hAnsi="Times New Roman" w:cs="Times New Roman"/>
          <w:sz w:val="24"/>
          <w:szCs w:val="24"/>
        </w:rPr>
        <w:t xml:space="preserve"> (2)</w:t>
      </w:r>
      <w:r w:rsidR="0002516F">
        <w:rPr>
          <w:rFonts w:ascii="Times New Roman" w:hAnsi="Times New Roman" w:cs="Times New Roman"/>
          <w:sz w:val="24"/>
          <w:szCs w:val="24"/>
        </w:rPr>
        <w:t xml:space="preserve"> information necessary to identify “special accounts” (via Form 102A),</w:t>
      </w:r>
      <w:r>
        <w:rPr>
          <w:rStyle w:val="FootnoteReference"/>
          <w:rFonts w:ascii="Times New Roman" w:hAnsi="Times New Roman" w:cs="Times New Roman"/>
          <w:sz w:val="24"/>
          <w:szCs w:val="24"/>
        </w:rPr>
        <w:footnoteReference w:id="20"/>
      </w:r>
      <w:r w:rsidR="0002516F">
        <w:rPr>
          <w:rFonts w:ascii="Times New Roman" w:hAnsi="Times New Roman" w:cs="Times New Roman"/>
          <w:sz w:val="24"/>
          <w:szCs w:val="24"/>
        </w:rPr>
        <w:t xml:space="preserve"> (3) information necessary to identify reportable volume threshold accounts (via Form 102B),</w:t>
      </w:r>
      <w:r>
        <w:rPr>
          <w:rStyle w:val="FootnoteReference"/>
          <w:rFonts w:ascii="Times New Roman" w:hAnsi="Times New Roman" w:cs="Times New Roman"/>
          <w:sz w:val="24"/>
          <w:szCs w:val="24"/>
        </w:rPr>
        <w:footnoteReference w:id="21"/>
      </w:r>
      <w:r w:rsidR="0002516F">
        <w:rPr>
          <w:rFonts w:ascii="Times New Roman" w:hAnsi="Times New Roman" w:cs="Times New Roman"/>
          <w:sz w:val="24"/>
          <w:szCs w:val="24"/>
        </w:rPr>
        <w:t xml:space="preserve"> (4) information necessary to identify omni</w:t>
      </w:r>
      <w:r w:rsidR="00BF1578">
        <w:rPr>
          <w:rFonts w:ascii="Times New Roman" w:hAnsi="Times New Roman" w:cs="Times New Roman"/>
          <w:sz w:val="24"/>
          <w:szCs w:val="24"/>
        </w:rPr>
        <w:t>bus accounts</w:t>
      </w:r>
      <w:r w:rsidR="008E1363">
        <w:rPr>
          <w:rFonts w:ascii="Times New Roman" w:hAnsi="Times New Roman" w:cs="Times New Roman"/>
          <w:sz w:val="24"/>
          <w:szCs w:val="24"/>
        </w:rPr>
        <w:t xml:space="preserve"> (via Form 71).</w:t>
      </w:r>
      <w:r>
        <w:rPr>
          <w:rStyle w:val="FootnoteReference"/>
          <w:rFonts w:ascii="Times New Roman" w:hAnsi="Times New Roman" w:cs="Times New Roman"/>
          <w:sz w:val="24"/>
          <w:szCs w:val="24"/>
        </w:rPr>
        <w:footnoteReference w:id="22"/>
      </w:r>
    </w:p>
    <w:p w:rsidR="004E7C97" w:rsidP="007F3192" w14:paraId="09B41832" w14:textId="57A9F935">
      <w:pPr>
        <w:autoSpaceDE w:val="0"/>
        <w:autoSpaceDN w:val="0"/>
        <w:adjustRightInd w:val="0"/>
        <w:spacing w:after="240" w:line="240" w:lineRule="auto"/>
        <w:ind w:firstLine="720"/>
        <w:rPr>
          <w:rFonts w:ascii="Times New Roman" w:hAnsi="Times New Roman" w:cs="Times New Roman"/>
          <w:sz w:val="24"/>
          <w:szCs w:val="24"/>
        </w:rPr>
      </w:pPr>
      <w:r w:rsidRPr="007F3192">
        <w:rPr>
          <w:rFonts w:ascii="Times New Roman" w:hAnsi="Times New Roman" w:cs="Times New Roman"/>
          <w:sz w:val="24"/>
          <w:szCs w:val="24"/>
        </w:rPr>
        <w:t xml:space="preserve">Whether an account or trader is subject to reporting requirements under Part 17 and Part 18 depends on whether a given account is a “special account”—namely, a “commodity futures or option account in which there is a reportable position” —or a “volume threshold account”—namely, a “trading account that carries reportable trading volume.”  For </w:t>
      </w:r>
      <w:r w:rsidR="00795702">
        <w:rPr>
          <w:rFonts w:ascii="Times New Roman" w:hAnsi="Times New Roman" w:cs="Times New Roman"/>
          <w:sz w:val="24"/>
          <w:szCs w:val="24"/>
        </w:rPr>
        <w:t>C</w:t>
      </w:r>
      <w:r w:rsidRPr="007F3192">
        <w:rPr>
          <w:rFonts w:ascii="Times New Roman" w:hAnsi="Times New Roman" w:cs="Times New Roman"/>
          <w:sz w:val="24"/>
          <w:szCs w:val="24"/>
        </w:rPr>
        <w:t xml:space="preserve">overed </w:t>
      </w:r>
      <w:r w:rsidR="00795702">
        <w:rPr>
          <w:rFonts w:ascii="Times New Roman" w:hAnsi="Times New Roman" w:cs="Times New Roman"/>
          <w:sz w:val="24"/>
          <w:szCs w:val="24"/>
        </w:rPr>
        <w:t>E</w:t>
      </w:r>
      <w:r w:rsidRPr="007F3192">
        <w:rPr>
          <w:rFonts w:ascii="Times New Roman" w:hAnsi="Times New Roman" w:cs="Times New Roman"/>
          <w:sz w:val="24"/>
          <w:szCs w:val="24"/>
        </w:rPr>
        <w:t xml:space="preserve">vent </w:t>
      </w:r>
      <w:r w:rsidR="00795702">
        <w:rPr>
          <w:rFonts w:ascii="Times New Roman" w:hAnsi="Times New Roman" w:cs="Times New Roman"/>
          <w:sz w:val="24"/>
          <w:szCs w:val="24"/>
        </w:rPr>
        <w:t>C</w:t>
      </w:r>
      <w:r w:rsidRPr="007F3192">
        <w:rPr>
          <w:rFonts w:ascii="Times New Roman" w:hAnsi="Times New Roman" w:cs="Times New Roman"/>
          <w:sz w:val="24"/>
          <w:szCs w:val="24"/>
        </w:rPr>
        <w:t>ontracts</w:t>
      </w:r>
      <w:r w:rsidR="00511A3E">
        <w:rPr>
          <w:rFonts w:ascii="Times New Roman" w:hAnsi="Times New Roman" w:cs="Times New Roman"/>
          <w:sz w:val="24"/>
          <w:szCs w:val="24"/>
        </w:rPr>
        <w:t xml:space="preserve"> (as defined in </w:t>
      </w:r>
      <w:r w:rsidRPr="00F05E18" w:rsidR="00F05E18">
        <w:rPr>
          <w:rFonts w:ascii="Times New Roman" w:hAnsi="Times New Roman" w:cs="Times New Roman"/>
          <w:sz w:val="24"/>
          <w:szCs w:val="24"/>
        </w:rPr>
        <w:t>§16.0</w:t>
      </w:r>
      <w:r w:rsidR="00F05E18">
        <w:rPr>
          <w:rFonts w:ascii="Times New Roman" w:hAnsi="Times New Roman" w:cs="Times New Roman"/>
          <w:sz w:val="24"/>
          <w:szCs w:val="24"/>
        </w:rPr>
        <w:t>3 of the Proposal)</w:t>
      </w:r>
      <w:r w:rsidRPr="007F3192">
        <w:rPr>
          <w:rFonts w:ascii="Times New Roman" w:hAnsi="Times New Roman" w:cs="Times New Roman"/>
          <w:sz w:val="24"/>
          <w:szCs w:val="24"/>
        </w:rPr>
        <w:t xml:space="preserve">, the Proposal would increase the reporting level that determines whether an account is a “special account” from 25 contracts to 125,000 contracts, and would increase the reportable volume threshold that determines whether an account is a “volume threshold account” from a trading volume of 50 or more contracts to a trading volume of  </w:t>
      </w:r>
      <w:r w:rsidRPr="007F3192">
        <w:rPr>
          <w:rFonts w:ascii="Times New Roman" w:hAnsi="Times New Roman" w:cs="Times New Roman"/>
          <w:sz w:val="24"/>
          <w:szCs w:val="24"/>
        </w:rPr>
        <w:t xml:space="preserve">125,000 or more contracts. </w:t>
      </w:r>
      <w:r w:rsidR="00FC737C">
        <w:rPr>
          <w:rFonts w:ascii="Times New Roman" w:hAnsi="Times New Roman" w:cs="Times New Roman"/>
          <w:sz w:val="24"/>
          <w:szCs w:val="24"/>
        </w:rPr>
        <w:t>T</w:t>
      </w:r>
      <w:r w:rsidRPr="007F3192">
        <w:rPr>
          <w:rFonts w:ascii="Times New Roman" w:hAnsi="Times New Roman" w:cs="Times New Roman"/>
          <w:sz w:val="24"/>
          <w:szCs w:val="24"/>
        </w:rPr>
        <w:t>he Commission is updating its PRA burden estimate</w:t>
      </w:r>
      <w:r w:rsidR="00FC737C">
        <w:rPr>
          <w:rFonts w:ascii="Times New Roman" w:hAnsi="Times New Roman" w:cs="Times New Roman"/>
          <w:sz w:val="24"/>
          <w:szCs w:val="24"/>
        </w:rPr>
        <w:t>s</w:t>
      </w:r>
      <w:r w:rsidRPr="007F3192">
        <w:rPr>
          <w:rFonts w:ascii="Times New Roman" w:hAnsi="Times New Roman" w:cs="Times New Roman"/>
          <w:sz w:val="24"/>
          <w:szCs w:val="24"/>
        </w:rPr>
        <w:t xml:space="preserve"> to adjust the number of respondents subject to this collection to account for the increase in the anticipated number of Covered Event Contract the Commission expects to receive</w:t>
      </w:r>
      <w:r w:rsidR="007D6E44">
        <w:rPr>
          <w:rFonts w:ascii="Times New Roman" w:hAnsi="Times New Roman" w:cs="Times New Roman"/>
          <w:sz w:val="24"/>
          <w:szCs w:val="24"/>
        </w:rPr>
        <w:t>; however, t</w:t>
      </w:r>
      <w:r w:rsidRPr="007F3192">
        <w:rPr>
          <w:rFonts w:ascii="Times New Roman" w:hAnsi="Times New Roman" w:cs="Times New Roman"/>
          <w:sz w:val="24"/>
          <w:szCs w:val="24"/>
        </w:rPr>
        <w:t xml:space="preserve">he </w:t>
      </w:r>
      <w:r w:rsidR="007D6E44">
        <w:rPr>
          <w:rFonts w:ascii="Times New Roman" w:hAnsi="Times New Roman" w:cs="Times New Roman"/>
          <w:sz w:val="24"/>
          <w:szCs w:val="24"/>
        </w:rPr>
        <w:t xml:space="preserve">Proposal’s </w:t>
      </w:r>
      <w:r w:rsidRPr="007F3192">
        <w:rPr>
          <w:rFonts w:ascii="Times New Roman" w:hAnsi="Times New Roman" w:cs="Times New Roman"/>
          <w:sz w:val="24"/>
          <w:szCs w:val="24"/>
        </w:rPr>
        <w:t>proposed increase in reportable volume thresholds is designed to reduce the reporting burden for covered entities.</w:t>
      </w:r>
      <w:r w:rsidR="007D6E44">
        <w:rPr>
          <w:rFonts w:ascii="Times New Roman" w:hAnsi="Times New Roman" w:cs="Times New Roman"/>
          <w:sz w:val="24"/>
          <w:szCs w:val="24"/>
        </w:rPr>
        <w:t xml:space="preserve">  </w:t>
      </w:r>
      <w:r w:rsidRPr="007F3192" w:rsidR="007D6E44">
        <w:rPr>
          <w:rFonts w:ascii="Times New Roman" w:hAnsi="Times New Roman" w:cs="Times New Roman"/>
          <w:sz w:val="24"/>
          <w:szCs w:val="24"/>
        </w:rPr>
        <w:t>The Commission expects increasing these thresholds for Covered Event Contracts would result in the filing of substantially fewer Form 102As, Form 102Bs, Form 71s, and Form 40s than the Commission would otherwise receive</w:t>
      </w:r>
      <w:r w:rsidR="007D6E44">
        <w:rPr>
          <w:rFonts w:ascii="Times New Roman" w:hAnsi="Times New Roman" w:cs="Times New Roman"/>
          <w:sz w:val="24"/>
          <w:szCs w:val="24"/>
        </w:rPr>
        <w:t xml:space="preserve"> upon adoption of the proposed reporting regime for</w:t>
      </w:r>
      <w:r w:rsidR="008740B7">
        <w:rPr>
          <w:rFonts w:ascii="Times New Roman" w:hAnsi="Times New Roman" w:cs="Times New Roman"/>
          <w:sz w:val="24"/>
          <w:szCs w:val="24"/>
        </w:rPr>
        <w:t xml:space="preserve"> </w:t>
      </w:r>
      <w:r w:rsidR="005316E6">
        <w:rPr>
          <w:rFonts w:ascii="Times New Roman" w:hAnsi="Times New Roman" w:cs="Times New Roman"/>
          <w:sz w:val="24"/>
          <w:szCs w:val="24"/>
        </w:rPr>
        <w:t>Covered Event Contracts</w:t>
      </w:r>
      <w:r w:rsidR="008740B7">
        <w:rPr>
          <w:rFonts w:ascii="Times New Roman" w:hAnsi="Times New Roman" w:cs="Times New Roman"/>
          <w:sz w:val="24"/>
          <w:szCs w:val="24"/>
        </w:rPr>
        <w:t>.</w:t>
      </w:r>
    </w:p>
    <w:p w:rsidR="00D50C84" w:rsidRPr="00E21E52" w:rsidP="004E7C97" w14:paraId="6FA01920" w14:textId="082189E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2.</w:t>
      </w:r>
      <w:r w:rsidRPr="00E21E52">
        <w:rPr>
          <w:rFonts w:ascii="Times New Roman" w:eastAsia="Times New Roman" w:hAnsi="Times New Roman" w:cs="Times New Roman"/>
          <w:sz w:val="24"/>
          <w:szCs w:val="20"/>
        </w:rPr>
        <w:tab/>
      </w:r>
      <w:r w:rsidRPr="004E7C97">
        <w:rPr>
          <w:rFonts w:ascii="Times New Roman" w:eastAsia="Times New Roman" w:hAnsi="Times New Roman" w:cs="Times New Roman"/>
          <w:sz w:val="24"/>
          <w:szCs w:val="20"/>
          <w:u w:val="single"/>
        </w:rPr>
        <w:t>Indicate how, by whom, and for what purpose the data would be used.  Except for a new collection, indicate the actual use the agency has made of the information received from the current collection.</w:t>
      </w:r>
    </w:p>
    <w:p w:rsidR="00A177F8" w:rsidP="0034191A" w14:paraId="23F762F9" w14:textId="798E1613">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reporting rules at issue support </w:t>
      </w:r>
      <w:r w:rsidRPr="00114020" w:rsidR="00114020">
        <w:rPr>
          <w:rFonts w:ascii="Times New Roman" w:eastAsia="Times New Roman" w:hAnsi="Times New Roman" w:cs="Times New Roman"/>
          <w:color w:val="000000"/>
          <w:sz w:val="24"/>
          <w:szCs w:val="24"/>
        </w:rPr>
        <w:t>the Commission’s trade practice and market surveillance programs</w:t>
      </w:r>
      <w:r>
        <w:rPr>
          <w:rFonts w:ascii="Times New Roman" w:eastAsia="Times New Roman" w:hAnsi="Times New Roman" w:cs="Times New Roman"/>
          <w:color w:val="000000"/>
          <w:sz w:val="24"/>
          <w:szCs w:val="24"/>
        </w:rPr>
        <w:t xml:space="preserve"> for event contracts.</w:t>
      </w:r>
      <w:r w:rsidR="00294014">
        <w:rPr>
          <w:rFonts w:ascii="Times New Roman" w:eastAsia="Times New Roman" w:hAnsi="Times New Roman" w:cs="Times New Roman"/>
          <w:color w:val="000000"/>
          <w:sz w:val="24"/>
          <w:szCs w:val="24"/>
        </w:rPr>
        <w:t xml:space="preserve">  Those rules </w:t>
      </w:r>
      <w:r w:rsidR="00773F7A">
        <w:rPr>
          <w:rFonts w:ascii="Times New Roman" w:eastAsia="Times New Roman" w:hAnsi="Times New Roman" w:cs="Times New Roman"/>
          <w:color w:val="000000"/>
          <w:sz w:val="24"/>
          <w:szCs w:val="24"/>
        </w:rPr>
        <w:t>require DCMs to report and publish market data pursuant to § 16.01 of the Commission’s regulations, to report transaction data pursuant to § 16.02</w:t>
      </w:r>
      <w:r w:rsidR="00D21B03">
        <w:rPr>
          <w:rFonts w:ascii="Times New Roman" w:eastAsia="Times New Roman" w:hAnsi="Times New Roman" w:cs="Times New Roman"/>
          <w:color w:val="000000"/>
          <w:sz w:val="24"/>
          <w:szCs w:val="24"/>
        </w:rPr>
        <w:t xml:space="preserve"> of the Commission’s regulations, to report large trader position data pursuant to § 17.00, and to report ownership and control information for large accounts pursuant to § 17.01 and </w:t>
      </w:r>
      <w:r w:rsidR="00837FF1">
        <w:rPr>
          <w:rFonts w:ascii="Times New Roman" w:eastAsia="Times New Roman" w:hAnsi="Times New Roman" w:cs="Times New Roman"/>
          <w:color w:val="000000"/>
          <w:sz w:val="24"/>
          <w:szCs w:val="24"/>
        </w:rPr>
        <w:t>Part 18 of the Commission’s regulations.  The reporting rules would also require DCMs to disseminate in real-time certain anonymized transaction data.</w:t>
      </w:r>
    </w:p>
    <w:p w:rsidR="00837FF1" w:rsidP="0034191A" w14:paraId="79F53AE1" w14:textId="522794AB">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data reporting requirements generally serve two functions.  First, data reported to the Commission supports the Commission’s surveillance and market monitoring functions.  Second, data required to be published supports price transparency.</w:t>
      </w:r>
    </w:p>
    <w:p w:rsidR="004F172A" w:rsidP="004F172A" w14:paraId="41FD6D43" w14:textId="1FED5824">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fulfill the Commission’s surveillance and market monitoring functions, the Commission </w:t>
      </w:r>
      <w:r w:rsidR="00660836">
        <w:rPr>
          <w:rFonts w:ascii="Times New Roman" w:eastAsia="Times New Roman" w:hAnsi="Times New Roman" w:cs="Times New Roman"/>
          <w:color w:val="000000"/>
          <w:sz w:val="24"/>
          <w:szCs w:val="24"/>
        </w:rPr>
        <w:t>generally relies on a combination of market data</w:t>
      </w:r>
      <w:r w:rsidR="00172A1F">
        <w:rPr>
          <w:rFonts w:ascii="Times New Roman" w:eastAsia="Times New Roman" w:hAnsi="Times New Roman" w:cs="Times New Roman"/>
          <w:color w:val="000000"/>
          <w:sz w:val="24"/>
          <w:szCs w:val="24"/>
        </w:rPr>
        <w:t xml:space="preserve"> reported pursuant to §§ 16.00 and 16.01</w:t>
      </w:r>
      <w:r w:rsidR="00660836">
        <w:rPr>
          <w:rFonts w:ascii="Times New Roman" w:eastAsia="Times New Roman" w:hAnsi="Times New Roman" w:cs="Times New Roman"/>
          <w:color w:val="000000"/>
          <w:sz w:val="24"/>
          <w:szCs w:val="24"/>
        </w:rPr>
        <w:t>, transaction data</w:t>
      </w:r>
      <w:r w:rsidR="00172A1F">
        <w:rPr>
          <w:rFonts w:ascii="Times New Roman" w:eastAsia="Times New Roman" w:hAnsi="Times New Roman" w:cs="Times New Roman"/>
          <w:color w:val="000000"/>
          <w:sz w:val="24"/>
          <w:szCs w:val="24"/>
        </w:rPr>
        <w:t xml:space="preserve"> reported pursuant to § 16.02</w:t>
      </w:r>
      <w:r w:rsidR="00660836">
        <w:rPr>
          <w:rFonts w:ascii="Times New Roman" w:eastAsia="Times New Roman" w:hAnsi="Times New Roman" w:cs="Times New Roman"/>
          <w:color w:val="000000"/>
          <w:sz w:val="24"/>
          <w:szCs w:val="24"/>
        </w:rPr>
        <w:t>, position data</w:t>
      </w:r>
      <w:r w:rsidR="00172A1F">
        <w:rPr>
          <w:rFonts w:ascii="Times New Roman" w:eastAsia="Times New Roman" w:hAnsi="Times New Roman" w:cs="Times New Roman"/>
          <w:color w:val="000000"/>
          <w:sz w:val="24"/>
          <w:szCs w:val="24"/>
        </w:rPr>
        <w:t xml:space="preserve"> reported pursuant to § 17.00</w:t>
      </w:r>
      <w:r w:rsidR="00660836">
        <w:rPr>
          <w:rFonts w:ascii="Times New Roman" w:eastAsia="Times New Roman" w:hAnsi="Times New Roman" w:cs="Times New Roman"/>
          <w:color w:val="000000"/>
          <w:sz w:val="24"/>
          <w:szCs w:val="24"/>
        </w:rPr>
        <w:t>, and ownership and control data</w:t>
      </w:r>
      <w:r w:rsidR="00172A1F">
        <w:rPr>
          <w:rFonts w:ascii="Times New Roman" w:eastAsia="Times New Roman" w:hAnsi="Times New Roman" w:cs="Times New Roman"/>
          <w:color w:val="000000"/>
          <w:sz w:val="24"/>
          <w:szCs w:val="24"/>
        </w:rPr>
        <w:t xml:space="preserve"> reported pursuant to § 17.01 and Part 18</w:t>
      </w:r>
      <w:r w:rsidR="00660836">
        <w:rPr>
          <w:rFonts w:ascii="Times New Roman" w:eastAsia="Times New Roman" w:hAnsi="Times New Roman" w:cs="Times New Roman"/>
          <w:color w:val="000000"/>
          <w:sz w:val="24"/>
          <w:szCs w:val="24"/>
        </w:rPr>
        <w:t xml:space="preserve">.  The Commission also needs the ability to link data across these separate files </w:t>
      </w:r>
      <w:r w:rsidR="00660836">
        <w:rPr>
          <w:rFonts w:ascii="Times New Roman" w:eastAsia="Times New Roman" w:hAnsi="Times New Roman" w:cs="Times New Roman"/>
          <w:color w:val="000000"/>
          <w:sz w:val="24"/>
          <w:szCs w:val="24"/>
        </w:rPr>
        <w:t>in order to</w:t>
      </w:r>
      <w:r w:rsidR="00660836">
        <w:rPr>
          <w:rFonts w:ascii="Times New Roman" w:eastAsia="Times New Roman" w:hAnsi="Times New Roman" w:cs="Times New Roman"/>
          <w:color w:val="000000"/>
          <w:sz w:val="24"/>
          <w:szCs w:val="24"/>
        </w:rPr>
        <w:t xml:space="preserve"> understand the relationships between owners, controllers, traders, accounts, and intermediaries.</w:t>
      </w:r>
      <w:r w:rsidR="00C10104">
        <w:rPr>
          <w:rFonts w:ascii="Times New Roman" w:eastAsia="Times New Roman" w:hAnsi="Times New Roman" w:cs="Times New Roman"/>
          <w:color w:val="000000"/>
          <w:sz w:val="24"/>
          <w:szCs w:val="24"/>
        </w:rPr>
        <w:t xml:space="preserve">  The data required to be reported </w:t>
      </w:r>
      <w:r w:rsidR="00E476CB">
        <w:rPr>
          <w:rFonts w:ascii="Times New Roman" w:eastAsia="Times New Roman" w:hAnsi="Times New Roman" w:cs="Times New Roman"/>
          <w:color w:val="000000"/>
          <w:sz w:val="24"/>
          <w:szCs w:val="24"/>
        </w:rPr>
        <w:t xml:space="preserve">for event contracts </w:t>
      </w:r>
      <w:r w:rsidR="00C10104">
        <w:rPr>
          <w:rFonts w:ascii="Times New Roman" w:eastAsia="Times New Roman" w:hAnsi="Times New Roman" w:cs="Times New Roman"/>
          <w:color w:val="000000"/>
          <w:sz w:val="24"/>
          <w:szCs w:val="24"/>
        </w:rPr>
        <w:t>by the</w:t>
      </w:r>
      <w:r w:rsidR="00E476CB">
        <w:rPr>
          <w:rFonts w:ascii="Times New Roman" w:eastAsia="Times New Roman" w:hAnsi="Times New Roman" w:cs="Times New Roman"/>
          <w:color w:val="000000"/>
          <w:sz w:val="24"/>
          <w:szCs w:val="24"/>
        </w:rPr>
        <w:t xml:space="preserve"> proposed rulemaking would cover these files</w:t>
      </w:r>
      <w:r w:rsidR="00FE708B">
        <w:rPr>
          <w:rFonts w:ascii="Times New Roman" w:eastAsia="Times New Roman" w:hAnsi="Times New Roman" w:cs="Times New Roman"/>
          <w:color w:val="000000"/>
          <w:sz w:val="24"/>
          <w:szCs w:val="24"/>
        </w:rPr>
        <w:t xml:space="preserve"> and support the Commission receives sufficient data for surveillance purposes.</w:t>
      </w:r>
      <w:r w:rsidR="006D77A9">
        <w:rPr>
          <w:rFonts w:ascii="Times New Roman" w:eastAsia="Times New Roman" w:hAnsi="Times New Roman" w:cs="Times New Roman"/>
          <w:color w:val="000000"/>
          <w:sz w:val="24"/>
          <w:szCs w:val="24"/>
        </w:rPr>
        <w:t xml:space="preserve">  The Commission receives much of this data for event contracts currently pursuant to a series of staff no-action letters,</w:t>
      </w:r>
      <w:r>
        <w:rPr>
          <w:rFonts w:ascii="Times New Roman" w:eastAsia="Times New Roman" w:hAnsi="Times New Roman" w:cs="Times New Roman"/>
          <w:bCs/>
          <w:color w:val="000000"/>
          <w:sz w:val="24"/>
          <w:szCs w:val="24"/>
          <w:vertAlign w:val="superscript"/>
        </w:rPr>
        <w:footnoteReference w:id="23"/>
      </w:r>
      <w:r>
        <w:rPr>
          <w:rFonts w:ascii="Times New Roman" w:eastAsia="Times New Roman" w:hAnsi="Times New Roman" w:cs="Times New Roman"/>
          <w:color w:val="000000"/>
          <w:sz w:val="24"/>
          <w:szCs w:val="24"/>
        </w:rPr>
        <w:t xml:space="preserve"> and the proposed rulemaking would codify those no-action letters, thereby ensuring the Commission continues to receive such data.</w:t>
      </w:r>
    </w:p>
    <w:p w:rsidR="004F172A" w:rsidRPr="004F172A" w:rsidP="004F172A" w14:paraId="4D17D0B9" w14:textId="0938AD28">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proposed rulemaking would also codify public dissemination requirements that are currently conditions of no-action letters.</w:t>
      </w:r>
      <w:r w:rsidR="00272CA9">
        <w:rPr>
          <w:rFonts w:ascii="Times New Roman" w:eastAsia="Times New Roman" w:hAnsi="Times New Roman" w:cs="Times New Roman"/>
          <w:color w:val="000000"/>
          <w:sz w:val="24"/>
          <w:szCs w:val="24"/>
        </w:rPr>
        <w:t xml:space="preserve">  Specifically, DCMs would be required to disseminate certain transaction data in real-time, in addition to continuing to disseminate daily market data required by § 16.01.  </w:t>
      </w:r>
      <w:r w:rsidR="00A86816">
        <w:rPr>
          <w:rFonts w:ascii="Times New Roman" w:eastAsia="Times New Roman" w:hAnsi="Times New Roman" w:cs="Times New Roman"/>
          <w:color w:val="000000"/>
          <w:sz w:val="24"/>
          <w:szCs w:val="24"/>
        </w:rPr>
        <w:t>Public dissemination requirements enhance price transparency and resemble similar requirements for public dissemination of swap transaction and pricing data.</w:t>
      </w:r>
    </w:p>
    <w:p w:rsidR="00D50C84" w:rsidRPr="00E21E52" w:rsidP="00364625" w14:paraId="7BA3B52F" w14:textId="22302B9B">
      <w:pPr>
        <w:keepNext/>
        <w:keepLines/>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0C84" w:rsidRPr="00E21E52" w:rsidP="00A944A0" w14:paraId="676D830E" w14:textId="3221ADB1">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411550">
        <w:rPr>
          <w:rFonts w:ascii="Times New Roman" w:eastAsia="Times New Roman" w:hAnsi="Times New Roman" w:cs="Times New Roman"/>
          <w:sz w:val="24"/>
          <w:szCs w:val="24"/>
        </w:rPr>
        <w:t>All of</w:t>
      </w:r>
      <w:r w:rsidRPr="00411550">
        <w:rPr>
          <w:rFonts w:ascii="Times New Roman" w:eastAsia="Times New Roman" w:hAnsi="Times New Roman" w:cs="Times New Roman"/>
          <w:sz w:val="24"/>
          <w:szCs w:val="24"/>
        </w:rPr>
        <w:t xml:space="preserve"> the information collections within Information Collection</w:t>
      </w:r>
      <w:r>
        <w:rPr>
          <w:rFonts w:ascii="Times New Roman" w:eastAsia="Times New Roman" w:hAnsi="Times New Roman" w:cs="Times New Roman"/>
          <w:sz w:val="24"/>
          <w:szCs w:val="24"/>
        </w:rPr>
        <w:t>s</w:t>
      </w:r>
      <w:r w:rsidRPr="00411550">
        <w:rPr>
          <w:rFonts w:ascii="Times New Roman" w:eastAsia="Times New Roman" w:hAnsi="Times New Roman" w:cs="Times New Roman"/>
          <w:sz w:val="24"/>
          <w:szCs w:val="24"/>
        </w:rPr>
        <w:t xml:space="preserve"> </w:t>
      </w:r>
      <w:r w:rsidR="009E6F10">
        <w:rPr>
          <w:rFonts w:ascii="Times New Roman" w:eastAsia="Times New Roman" w:hAnsi="Times New Roman" w:cs="Times New Roman"/>
          <w:sz w:val="24"/>
          <w:szCs w:val="24"/>
        </w:rPr>
        <w:t xml:space="preserve">3038-0009, 3038-0012, </w:t>
      </w:r>
      <w:r w:rsidR="00A80DB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3038-0</w:t>
      </w:r>
      <w:r w:rsidR="00216109">
        <w:rPr>
          <w:rFonts w:ascii="Times New Roman" w:eastAsia="Times New Roman" w:hAnsi="Times New Roman" w:cs="Times New Roman"/>
          <w:sz w:val="24"/>
          <w:szCs w:val="24"/>
        </w:rPr>
        <w:t>103</w:t>
      </w:r>
      <w:r w:rsidRPr="00411550">
        <w:rPr>
          <w:rFonts w:ascii="Times New Roman" w:eastAsia="Times New Roman" w:hAnsi="Times New Roman" w:cs="Times New Roman"/>
          <w:sz w:val="24"/>
          <w:szCs w:val="24"/>
        </w:rPr>
        <w:t xml:space="preserve"> involve the use of electronic collection protocols. </w:t>
      </w:r>
      <w:r w:rsidR="00A80DB3">
        <w:rPr>
          <w:rFonts w:ascii="Times New Roman" w:eastAsia="Times New Roman" w:hAnsi="Times New Roman" w:cs="Times New Roman"/>
          <w:sz w:val="24"/>
          <w:szCs w:val="24"/>
        </w:rPr>
        <w:t xml:space="preserve"> </w:t>
      </w:r>
      <w:r w:rsidRPr="00411550">
        <w:rPr>
          <w:rFonts w:ascii="Times New Roman" w:eastAsia="Times New Roman" w:hAnsi="Times New Roman" w:cs="Times New Roman"/>
          <w:sz w:val="24"/>
          <w:szCs w:val="24"/>
        </w:rPr>
        <w:t xml:space="preserve">All required data submissions to the Commission </w:t>
      </w:r>
      <w:r w:rsidRPr="00411550">
        <w:rPr>
          <w:rFonts w:ascii="Times New Roman" w:eastAsia="Calibri" w:hAnsi="Times New Roman" w:cs="Times New Roman"/>
          <w:sz w:val="24"/>
        </w:rPr>
        <w:t>may be submitted in electronic format</w:t>
      </w:r>
      <w:r>
        <w:rPr>
          <w:rFonts w:ascii="Times New Roman" w:eastAsia="Calibri" w:hAnsi="Times New Roman" w:cs="Times New Roman"/>
          <w:sz w:val="24"/>
        </w:rPr>
        <w:t>.</w:t>
      </w:r>
    </w:p>
    <w:p w:rsidR="00D50C84" w:rsidRPr="00E21E52" w:rsidP="005F7F42" w14:paraId="74093196" w14:textId="52050729">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E21E52">
        <w:rPr>
          <w:rFonts w:ascii="Times New Roman" w:eastAsia="Times New Roman" w:hAnsi="Times New Roman" w:cs="Times New Roman"/>
          <w:sz w:val="24"/>
          <w:szCs w:val="20"/>
        </w:rPr>
        <w:t>.</w:t>
      </w:r>
    </w:p>
    <w:p w:rsidR="00D50C84" w:rsidRPr="00E21E52" w:rsidP="00A944A0" w14:paraId="1FC02F45" w14:textId="1DE67EF3">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Calibri" w:hAnsi="Times New Roman" w:cs="Times New Roman"/>
          <w:sz w:val="24"/>
        </w:rPr>
        <w:t xml:space="preserve">The </w:t>
      </w:r>
      <w:r w:rsidR="00605DFF">
        <w:rPr>
          <w:rFonts w:ascii="Times New Roman" w:eastAsia="Calibri" w:hAnsi="Times New Roman" w:cs="Times New Roman"/>
          <w:sz w:val="24"/>
        </w:rPr>
        <w:t xml:space="preserve">information collected pursuant to </w:t>
      </w:r>
      <w:r w:rsidR="00F13323">
        <w:rPr>
          <w:rFonts w:ascii="Times New Roman" w:eastAsia="Calibri" w:hAnsi="Times New Roman" w:cs="Times New Roman"/>
          <w:sz w:val="24"/>
        </w:rPr>
        <w:t xml:space="preserve">the proposed rulemaking </w:t>
      </w:r>
      <w:r w:rsidR="00484132">
        <w:rPr>
          <w:rFonts w:ascii="Times New Roman" w:eastAsia="Calibri" w:hAnsi="Times New Roman" w:cs="Times New Roman"/>
          <w:sz w:val="24"/>
        </w:rPr>
        <w:t xml:space="preserve">is in large part currently collected pursuant to conditions </w:t>
      </w:r>
      <w:r w:rsidR="00A80DB3">
        <w:rPr>
          <w:rFonts w:ascii="Times New Roman" w:eastAsia="Calibri" w:hAnsi="Times New Roman" w:cs="Times New Roman"/>
          <w:sz w:val="24"/>
        </w:rPr>
        <w:t xml:space="preserve">prescribed in </w:t>
      </w:r>
      <w:r w:rsidR="00484132">
        <w:rPr>
          <w:rFonts w:ascii="Times New Roman" w:eastAsia="Calibri" w:hAnsi="Times New Roman" w:cs="Times New Roman"/>
          <w:sz w:val="24"/>
        </w:rPr>
        <w:t xml:space="preserve">staff no-action letters and </w:t>
      </w:r>
      <w:r w:rsidR="009220CA">
        <w:rPr>
          <w:rFonts w:ascii="Times New Roman" w:eastAsia="Calibri" w:hAnsi="Times New Roman" w:cs="Times New Roman"/>
          <w:sz w:val="24"/>
        </w:rPr>
        <w:t>currently applicable regulations.</w:t>
      </w:r>
      <w:r w:rsidR="008E4EEE">
        <w:rPr>
          <w:rFonts w:ascii="Times New Roman" w:eastAsia="Calibri" w:hAnsi="Times New Roman" w:cs="Times New Roman"/>
          <w:sz w:val="24"/>
        </w:rPr>
        <w:t xml:space="preserve">  Rather than creating new reporting formats, the proposed rulemaking relies on </w:t>
      </w:r>
      <w:r w:rsidR="00846C2B">
        <w:rPr>
          <w:rFonts w:ascii="Times New Roman" w:eastAsia="Calibri" w:hAnsi="Times New Roman" w:cs="Times New Roman"/>
          <w:sz w:val="24"/>
        </w:rPr>
        <w:t xml:space="preserve">existing </w:t>
      </w:r>
      <w:r w:rsidR="008E4EEE">
        <w:rPr>
          <w:rFonts w:ascii="Times New Roman" w:eastAsia="Calibri" w:hAnsi="Times New Roman" w:cs="Times New Roman"/>
          <w:sz w:val="24"/>
        </w:rPr>
        <w:t>reporting formats</w:t>
      </w:r>
      <w:r w:rsidR="00AB6A2F">
        <w:rPr>
          <w:rFonts w:ascii="Times New Roman" w:eastAsia="Calibri" w:hAnsi="Times New Roman" w:cs="Times New Roman"/>
          <w:sz w:val="24"/>
        </w:rPr>
        <w:t xml:space="preserve"> </w:t>
      </w:r>
      <w:r w:rsidR="00AB6A2F">
        <w:rPr>
          <w:rFonts w:ascii="Times New Roman" w:eastAsia="Calibri" w:hAnsi="Times New Roman" w:cs="Times New Roman"/>
          <w:sz w:val="24"/>
        </w:rPr>
        <w:t>in order to</w:t>
      </w:r>
      <w:r w:rsidR="00AB6A2F">
        <w:rPr>
          <w:rFonts w:ascii="Times New Roman" w:eastAsia="Calibri" w:hAnsi="Times New Roman" w:cs="Times New Roman"/>
          <w:sz w:val="24"/>
        </w:rPr>
        <w:t xml:space="preserve"> avoid duplication.</w:t>
      </w:r>
      <w:r w:rsidR="009220CA">
        <w:rPr>
          <w:rFonts w:ascii="Times New Roman" w:eastAsia="Calibri" w:hAnsi="Times New Roman" w:cs="Times New Roman"/>
          <w:sz w:val="24"/>
        </w:rPr>
        <w:t xml:space="preserve">  The proposed rulemaking would ensure that market participants are not required to report transaction data for commodity options pursuant to both § 16.02 for options and Part 34 and Part 45 for swaps.</w:t>
      </w:r>
    </w:p>
    <w:p w:rsidR="00D50C84" w:rsidRPr="00E21E52" w:rsidP="005F7F42" w14:paraId="42E14925" w14:textId="279BC4AC">
      <w:pPr>
        <w:keepNext/>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the collection of information involves small business or other small entities, describe the methods used to minimize burden</w:t>
      </w:r>
      <w:r w:rsidRPr="00E21E52">
        <w:rPr>
          <w:rFonts w:ascii="Times New Roman" w:eastAsia="Times New Roman" w:hAnsi="Times New Roman" w:cs="Times New Roman"/>
          <w:sz w:val="24"/>
          <w:szCs w:val="20"/>
        </w:rPr>
        <w:t>.</w:t>
      </w:r>
    </w:p>
    <w:p w:rsidR="00D50C84" w:rsidP="00A944A0" w14:paraId="7AE182ED" w14:textId="4409F929">
      <w:pPr>
        <w:widowControl w:val="0"/>
        <w:autoSpaceDE w:val="0"/>
        <w:autoSpaceDN w:val="0"/>
        <w:adjustRightInd w:val="0"/>
        <w:spacing w:after="240" w:line="240" w:lineRule="auto"/>
        <w:ind w:firstLine="720"/>
        <w:rPr>
          <w:rFonts w:ascii="Times New Roman" w:eastAsia="Calibri" w:hAnsi="Times New Roman" w:cs="Times New Roman"/>
          <w:sz w:val="24"/>
        </w:rPr>
      </w:pPr>
      <w:r w:rsidRPr="00FF7177">
        <w:rPr>
          <w:rFonts w:ascii="Times New Roman" w:eastAsia="Calibri" w:hAnsi="Times New Roman" w:cs="Times New Roman"/>
          <w:sz w:val="24"/>
        </w:rPr>
        <w:t xml:space="preserve">The Commission has previously established that DCMs, DCOs, </w:t>
      </w:r>
      <w:r w:rsidR="009E582B">
        <w:rPr>
          <w:rFonts w:ascii="Times New Roman" w:eastAsia="Calibri" w:hAnsi="Times New Roman" w:cs="Times New Roman"/>
          <w:sz w:val="24"/>
        </w:rPr>
        <w:t xml:space="preserve">FCMs, </w:t>
      </w:r>
      <w:r w:rsidR="005569D7">
        <w:rPr>
          <w:rFonts w:ascii="Times New Roman" w:eastAsia="Calibri" w:hAnsi="Times New Roman" w:cs="Times New Roman"/>
          <w:sz w:val="24"/>
        </w:rPr>
        <w:t xml:space="preserve">and </w:t>
      </w:r>
      <w:r w:rsidR="009E582B">
        <w:rPr>
          <w:rFonts w:ascii="Times New Roman" w:eastAsia="Calibri" w:hAnsi="Times New Roman" w:cs="Times New Roman"/>
          <w:sz w:val="24"/>
        </w:rPr>
        <w:t>foreign brokers</w:t>
      </w:r>
      <w:r w:rsidRPr="00FF7177">
        <w:rPr>
          <w:rFonts w:ascii="Times New Roman" w:eastAsia="Calibri" w:hAnsi="Times New Roman" w:cs="Times New Roman"/>
          <w:sz w:val="24"/>
        </w:rPr>
        <w:t xml:space="preserve"> are not small entities.</w:t>
      </w:r>
      <w:r>
        <w:rPr>
          <w:rFonts w:ascii="Times New Roman" w:eastAsia="Calibri" w:hAnsi="Times New Roman" w:cs="Times New Roman"/>
          <w:sz w:val="24"/>
          <w:vertAlign w:val="superscript"/>
        </w:rPr>
        <w:footnoteReference w:id="24"/>
      </w:r>
      <w:r w:rsidRPr="00FF7177">
        <w:rPr>
          <w:rFonts w:ascii="Times New Roman" w:eastAsia="Calibri" w:hAnsi="Times New Roman" w:cs="Times New Roman"/>
          <w:sz w:val="24"/>
        </w:rPr>
        <w:t xml:space="preserve"> </w:t>
      </w:r>
      <w:r w:rsidR="009E582B">
        <w:rPr>
          <w:rFonts w:ascii="Times New Roman" w:eastAsia="Calibri" w:hAnsi="Times New Roman" w:cs="Times New Roman"/>
          <w:sz w:val="24"/>
        </w:rPr>
        <w:t xml:space="preserve"> </w:t>
      </w:r>
      <w:r w:rsidR="00363111">
        <w:rPr>
          <w:rFonts w:ascii="Times New Roman" w:eastAsia="Calibri" w:hAnsi="Times New Roman" w:cs="Times New Roman"/>
          <w:sz w:val="24"/>
        </w:rPr>
        <w:t>Part 18 and</w:t>
      </w:r>
      <w:r w:rsidR="009F0CA4">
        <w:rPr>
          <w:rFonts w:ascii="Times New Roman" w:eastAsia="Calibri" w:hAnsi="Times New Roman" w:cs="Times New Roman"/>
          <w:sz w:val="24"/>
        </w:rPr>
        <w:t xml:space="preserve"> Form 40 require reporting from</w:t>
      </w:r>
      <w:r w:rsidR="006C5CB3">
        <w:rPr>
          <w:rFonts w:ascii="Times New Roman" w:eastAsia="Calibri" w:hAnsi="Times New Roman" w:cs="Times New Roman"/>
          <w:sz w:val="24"/>
        </w:rPr>
        <w:t xml:space="preserve"> </w:t>
      </w:r>
      <w:r w:rsidR="006C5CB3">
        <w:rPr>
          <w:rFonts w:ascii="Times New Roman" w:eastAsia="Calibri" w:hAnsi="Times New Roman" w:cs="Times New Roman"/>
          <w:sz w:val="24"/>
        </w:rPr>
        <w:t>traders, and</w:t>
      </w:r>
      <w:r w:rsidR="006C5CB3">
        <w:rPr>
          <w:rFonts w:ascii="Times New Roman" w:eastAsia="Calibri" w:hAnsi="Times New Roman" w:cs="Times New Roman"/>
          <w:sz w:val="24"/>
        </w:rPr>
        <w:t xml:space="preserve"> therefore could impose reporting requirements on</w:t>
      </w:r>
      <w:r w:rsidR="009F0CA4">
        <w:rPr>
          <w:rFonts w:ascii="Times New Roman" w:eastAsia="Calibri" w:hAnsi="Times New Roman" w:cs="Times New Roman"/>
          <w:sz w:val="24"/>
        </w:rPr>
        <w:t xml:space="preserve"> natural person trader</w:t>
      </w:r>
      <w:r w:rsidR="006C5CB3">
        <w:rPr>
          <w:rFonts w:ascii="Times New Roman" w:eastAsia="Calibri" w:hAnsi="Times New Roman" w:cs="Times New Roman"/>
          <w:sz w:val="24"/>
        </w:rPr>
        <w:t>s.  However</w:t>
      </w:r>
      <w:r w:rsidR="009F0CA4">
        <w:rPr>
          <w:rFonts w:ascii="Times New Roman" w:eastAsia="Calibri" w:hAnsi="Times New Roman" w:cs="Times New Roman"/>
          <w:sz w:val="24"/>
        </w:rPr>
        <w:t>, the Commission has</w:t>
      </w:r>
      <w:r w:rsidR="00FC758B">
        <w:rPr>
          <w:rFonts w:ascii="Times New Roman" w:eastAsia="Calibri" w:hAnsi="Times New Roman" w:cs="Times New Roman"/>
          <w:sz w:val="24"/>
        </w:rPr>
        <w:t xml:space="preserve"> proposed </w:t>
      </w:r>
      <w:r w:rsidR="00FC758B">
        <w:rPr>
          <w:rFonts w:ascii="Times New Roman" w:eastAsia="Calibri" w:hAnsi="Times New Roman" w:cs="Times New Roman"/>
          <w:sz w:val="24"/>
        </w:rPr>
        <w:t>to</w:t>
      </w:r>
      <w:r w:rsidR="009F0CA4">
        <w:rPr>
          <w:rFonts w:ascii="Times New Roman" w:eastAsia="Calibri" w:hAnsi="Times New Roman" w:cs="Times New Roman"/>
          <w:sz w:val="24"/>
        </w:rPr>
        <w:t xml:space="preserve"> set</w:t>
      </w:r>
      <w:r w:rsidR="009F0CA4">
        <w:rPr>
          <w:rFonts w:ascii="Times New Roman" w:eastAsia="Calibri" w:hAnsi="Times New Roman" w:cs="Times New Roman"/>
          <w:sz w:val="24"/>
        </w:rPr>
        <w:t xml:space="preserve"> a reporting level</w:t>
      </w:r>
      <w:r w:rsidR="006C5CB3">
        <w:rPr>
          <w:rFonts w:ascii="Times New Roman" w:eastAsia="Calibri" w:hAnsi="Times New Roman" w:cs="Times New Roman"/>
          <w:sz w:val="24"/>
        </w:rPr>
        <w:t xml:space="preserve"> </w:t>
      </w:r>
      <w:r w:rsidR="00FC758B">
        <w:rPr>
          <w:rFonts w:ascii="Times New Roman" w:eastAsia="Calibri" w:hAnsi="Times New Roman" w:cs="Times New Roman"/>
          <w:sz w:val="24"/>
        </w:rPr>
        <w:t>of 125,000 contracts</w:t>
      </w:r>
      <w:r w:rsidR="00D13B90">
        <w:rPr>
          <w:rFonts w:ascii="Times New Roman" w:eastAsia="Calibri" w:hAnsi="Times New Roman" w:cs="Times New Roman"/>
          <w:sz w:val="24"/>
        </w:rPr>
        <w:t xml:space="preserve"> and a reportable trading volume level of 125,000</w:t>
      </w:r>
      <w:r w:rsidR="00FC758B">
        <w:rPr>
          <w:rFonts w:ascii="Times New Roman" w:eastAsia="Calibri" w:hAnsi="Times New Roman" w:cs="Times New Roman"/>
          <w:sz w:val="24"/>
        </w:rPr>
        <w:t xml:space="preserve">, which </w:t>
      </w:r>
      <w:r w:rsidR="00D13B90">
        <w:rPr>
          <w:rFonts w:ascii="Times New Roman" w:eastAsia="Calibri" w:hAnsi="Times New Roman" w:cs="Times New Roman"/>
          <w:sz w:val="24"/>
        </w:rPr>
        <w:t xml:space="preserve">are </w:t>
      </w:r>
      <w:r w:rsidR="00FC758B">
        <w:rPr>
          <w:rFonts w:ascii="Times New Roman" w:eastAsia="Calibri" w:hAnsi="Times New Roman" w:cs="Times New Roman"/>
          <w:sz w:val="24"/>
        </w:rPr>
        <w:t>designed to</w:t>
      </w:r>
      <w:r w:rsidR="007548B6">
        <w:rPr>
          <w:rFonts w:ascii="Times New Roman" w:eastAsia="Calibri" w:hAnsi="Times New Roman" w:cs="Times New Roman"/>
          <w:sz w:val="24"/>
        </w:rPr>
        <w:t xml:space="preserve"> limit recipients of Form 40 to large traders and to</w:t>
      </w:r>
      <w:r w:rsidR="00FC758B">
        <w:rPr>
          <w:rFonts w:ascii="Times New Roman" w:eastAsia="Calibri" w:hAnsi="Times New Roman" w:cs="Times New Roman"/>
          <w:sz w:val="24"/>
        </w:rPr>
        <w:t xml:space="preserve"> exclude retail traders from</w:t>
      </w:r>
      <w:r w:rsidR="007548B6">
        <w:rPr>
          <w:rFonts w:ascii="Times New Roman" w:eastAsia="Calibri" w:hAnsi="Times New Roman" w:cs="Times New Roman"/>
          <w:sz w:val="24"/>
        </w:rPr>
        <w:t xml:space="preserve"> reporting requirements.</w:t>
      </w:r>
      <w:r w:rsidR="00FD6D6F">
        <w:rPr>
          <w:rFonts w:ascii="Times New Roman" w:eastAsia="Calibri" w:hAnsi="Times New Roman" w:cs="Times New Roman"/>
          <w:sz w:val="24"/>
        </w:rPr>
        <w:t xml:space="preserve">  </w:t>
      </w:r>
      <w:r w:rsidRPr="00FD6D6F" w:rsidR="00FD6D6F">
        <w:rPr>
          <w:rFonts w:ascii="Times New Roman" w:eastAsia="Calibri" w:hAnsi="Times New Roman" w:cs="Times New Roman"/>
          <w:sz w:val="24"/>
        </w:rPr>
        <w:t xml:space="preserve">The Commission believes that, due to the limited number of institutions likely to receive a Form 40 request in any given year, as well as the limited nature of the Form 40 reporting burden, the OCR rules with respect to Form 40 do not have a significant economic impact on a substantial number of small entities.  </w:t>
      </w:r>
      <w:r w:rsidR="00FD6D6F">
        <w:rPr>
          <w:rFonts w:ascii="Times New Roman" w:eastAsia="Calibri" w:hAnsi="Times New Roman" w:cs="Times New Roman"/>
          <w:sz w:val="24"/>
        </w:rPr>
        <w:t xml:space="preserve">Moreover, </w:t>
      </w:r>
      <w:r w:rsidR="00DE6C50">
        <w:rPr>
          <w:rFonts w:ascii="Times New Roman" w:eastAsia="Calibri" w:hAnsi="Times New Roman" w:cs="Times New Roman"/>
          <w:sz w:val="24"/>
        </w:rPr>
        <w:t xml:space="preserve">traders are not required to submit </w:t>
      </w:r>
      <w:r w:rsidRPr="00FD6D6F" w:rsidR="00FD6D6F">
        <w:rPr>
          <w:rFonts w:ascii="Times New Roman" w:eastAsia="Calibri" w:hAnsi="Times New Roman" w:cs="Times New Roman"/>
          <w:sz w:val="24"/>
        </w:rPr>
        <w:t>Form 40 on a routine and ongoing basis</w:t>
      </w:r>
      <w:r w:rsidR="004E271B">
        <w:rPr>
          <w:rFonts w:ascii="Times New Roman" w:eastAsia="Calibri" w:hAnsi="Times New Roman" w:cs="Times New Roman"/>
          <w:sz w:val="24"/>
        </w:rPr>
        <w:t xml:space="preserve">.  Instead, the Commission sends Form 40 pursuant to special calls </w:t>
      </w:r>
      <w:r w:rsidRPr="00FD6D6F" w:rsidR="00FD6D6F">
        <w:rPr>
          <w:rFonts w:ascii="Times New Roman" w:eastAsia="Calibri" w:hAnsi="Times New Roman" w:cs="Times New Roman"/>
          <w:sz w:val="24"/>
        </w:rPr>
        <w:t xml:space="preserve">on a discretionary basis in response to the reporting </w:t>
      </w:r>
      <w:r w:rsidR="00681632">
        <w:rPr>
          <w:rFonts w:ascii="Times New Roman" w:eastAsia="Calibri" w:hAnsi="Times New Roman" w:cs="Times New Roman"/>
          <w:sz w:val="24"/>
        </w:rPr>
        <w:t>indicating that an account has reached</w:t>
      </w:r>
      <w:r w:rsidRPr="00FD6D6F" w:rsidR="00FD6D6F">
        <w:rPr>
          <w:rFonts w:ascii="Times New Roman" w:eastAsia="Calibri" w:hAnsi="Times New Roman" w:cs="Times New Roman"/>
          <w:sz w:val="24"/>
        </w:rPr>
        <w:t xml:space="preserve"> a minimum position or volume threshold.  As a result, Form 40 affects only a small subset of the entities that may be small entities under the RFA.  In addition, Form 40 is not lengthy or complex, and requires reporting traders to provide only limited information to the Commission.  The Commission estimates that a reporting trader submitting Form 40 via the web-based portal will require five hours, on an annualized basis, to complete the form.</w:t>
      </w:r>
      <w:r w:rsidR="007548B6">
        <w:rPr>
          <w:rFonts w:ascii="Times New Roman" w:eastAsia="Calibri" w:hAnsi="Times New Roman" w:cs="Times New Roman"/>
          <w:sz w:val="24"/>
        </w:rPr>
        <w:t xml:space="preserve"> </w:t>
      </w:r>
      <w:r w:rsidR="009F0CA4">
        <w:rPr>
          <w:rFonts w:ascii="Times New Roman" w:eastAsia="Calibri" w:hAnsi="Times New Roman" w:cs="Times New Roman"/>
          <w:sz w:val="24"/>
        </w:rPr>
        <w:t xml:space="preserve"> </w:t>
      </w:r>
      <w:r w:rsidRPr="00FF7177">
        <w:rPr>
          <w:rFonts w:ascii="Times New Roman" w:eastAsia="Calibri" w:hAnsi="Times New Roman" w:cs="Times New Roman"/>
          <w:sz w:val="24"/>
        </w:rPr>
        <w:t>Accordingly, the Commission does not believe that this collection of information will affect a substantial number of small entities.</w:t>
      </w:r>
    </w:p>
    <w:p w:rsidR="009D09F0" w:rsidRPr="00E21E52" w:rsidP="00A944A0" w14:paraId="24174851" w14:textId="580F75BB">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Additionally, </w:t>
      </w:r>
      <w:r w:rsidR="00185817">
        <w:rPr>
          <w:rFonts w:ascii="Times New Roman" w:eastAsia="Times New Roman" w:hAnsi="Times New Roman" w:cs="Times New Roman"/>
          <w:sz w:val="24"/>
          <w:szCs w:val="20"/>
        </w:rPr>
        <w:t xml:space="preserve">certain DCMs listing event contracts for trade have direct participants who </w:t>
      </w:r>
      <w:r w:rsidR="00185817">
        <w:rPr>
          <w:rFonts w:ascii="Times New Roman" w:eastAsia="Times New Roman" w:hAnsi="Times New Roman" w:cs="Times New Roman"/>
          <w:sz w:val="24"/>
          <w:szCs w:val="20"/>
        </w:rPr>
        <w:t xml:space="preserve">do not intermediate trading through an FCM.  Such direct participants, </w:t>
      </w:r>
      <w:r w:rsidR="00AF567D">
        <w:rPr>
          <w:rFonts w:ascii="Times New Roman" w:eastAsia="Times New Roman" w:hAnsi="Times New Roman" w:cs="Times New Roman"/>
          <w:sz w:val="24"/>
          <w:szCs w:val="20"/>
        </w:rPr>
        <w:t>which could include retail traders, could be required to submit large trader position reporting pursuant to § 17.00 and ownership and control reporting pursuant to § 17.01.</w:t>
      </w:r>
      <w:r w:rsidR="003A09D8">
        <w:rPr>
          <w:rFonts w:ascii="Times New Roman" w:eastAsia="Times New Roman" w:hAnsi="Times New Roman" w:cs="Times New Roman"/>
          <w:sz w:val="24"/>
          <w:szCs w:val="20"/>
        </w:rPr>
        <w:t xml:space="preserve">  To avoid imposing such reporting obligations on retail participants, the proposed rulemaking would </w:t>
      </w:r>
      <w:r w:rsidR="00793FF3">
        <w:rPr>
          <w:rFonts w:ascii="Times New Roman" w:eastAsia="Times New Roman" w:hAnsi="Times New Roman" w:cs="Times New Roman"/>
          <w:sz w:val="24"/>
          <w:szCs w:val="20"/>
        </w:rPr>
        <w:t>require that Part 17 reporting for such direct participants must instead be submitted by the DCM.</w:t>
      </w:r>
    </w:p>
    <w:p w:rsidR="00D50C84" w:rsidRPr="00E21E52" w:rsidP="00A944A0" w14:paraId="234E3942" w14:textId="1425D1F5">
      <w:pPr>
        <w:keepNext/>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the consequence to the Federal Program or policy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activities if the collection were conducted less frequently as well as any technical or legal obstacles to reducing burden</w:t>
      </w:r>
      <w:r w:rsidRPr="00E21E52">
        <w:rPr>
          <w:rFonts w:ascii="Times New Roman" w:eastAsia="Times New Roman" w:hAnsi="Times New Roman" w:cs="Times New Roman"/>
          <w:sz w:val="24"/>
          <w:szCs w:val="20"/>
        </w:rPr>
        <w:t>.</w:t>
      </w:r>
    </w:p>
    <w:p w:rsidR="00C93AC7" w:rsidRPr="00C93AC7" w:rsidP="00C93AC7" w14:paraId="28CD7371" w14:textId="29FB9A0E">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respect to </w:t>
      </w:r>
      <w:r>
        <w:rPr>
          <w:rFonts w:ascii="Times New Roman" w:eastAsia="Times New Roman" w:hAnsi="Times New Roman" w:cs="Times New Roman"/>
          <w:color w:val="000000"/>
          <w:sz w:val="24"/>
          <w:szCs w:val="24"/>
        </w:rPr>
        <w:t>position data reported pursuant to § 17.00, m</w:t>
      </w:r>
      <w:r w:rsidRPr="00C93AC7">
        <w:rPr>
          <w:rFonts w:ascii="Times New Roman" w:eastAsia="Times New Roman" w:hAnsi="Times New Roman" w:cs="Times New Roman"/>
          <w:color w:val="000000"/>
          <w:sz w:val="24"/>
          <w:szCs w:val="24"/>
        </w:rPr>
        <w:t xml:space="preserve">arket activities require surveillance </w:t>
      </w:r>
      <w:r w:rsidRPr="00C93AC7">
        <w:rPr>
          <w:rFonts w:ascii="Times New Roman" w:eastAsia="Times New Roman" w:hAnsi="Times New Roman" w:cs="Times New Roman"/>
          <w:color w:val="000000"/>
          <w:sz w:val="24"/>
          <w:szCs w:val="24"/>
        </w:rPr>
        <w:t>on a daily basis</w:t>
      </w:r>
      <w:r w:rsidRPr="00C93AC7">
        <w:rPr>
          <w:rFonts w:ascii="Times New Roman" w:eastAsia="Times New Roman" w:hAnsi="Times New Roman" w:cs="Times New Roman"/>
          <w:color w:val="000000"/>
          <w:sz w:val="24"/>
          <w:szCs w:val="24"/>
        </w:rPr>
        <w:t xml:space="preserve"> because situations such as attempted manipulations or congestion can develop rapidly.  Adequate surveillance would be impossible if transactional and position reports were received on less than a daily basis.</w:t>
      </w:r>
    </w:p>
    <w:p w:rsidR="00043CAD" w:rsidP="00A944A0" w14:paraId="7431F83D" w14:textId="1E2D46F4">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transaction data reported pursuant to § 16.02</w:t>
      </w:r>
      <w:r w:rsidR="00B3462A">
        <w:rPr>
          <w:rFonts w:ascii="Times New Roman" w:eastAsia="Times New Roman" w:hAnsi="Times New Roman" w:cs="Times New Roman"/>
          <w:color w:val="000000"/>
          <w:sz w:val="24"/>
          <w:szCs w:val="24"/>
        </w:rPr>
        <w:t xml:space="preserve"> and market data reported pursuant to § 16.01</w:t>
      </w:r>
      <w:r>
        <w:rPr>
          <w:rFonts w:ascii="Times New Roman" w:eastAsia="Times New Roman" w:hAnsi="Times New Roman" w:cs="Times New Roman"/>
          <w:color w:val="000000"/>
          <w:sz w:val="24"/>
          <w:szCs w:val="24"/>
        </w:rPr>
        <w:t>, t</w:t>
      </w:r>
      <w:r w:rsidRPr="00043CAD">
        <w:rPr>
          <w:rFonts w:ascii="Times New Roman" w:eastAsia="Times New Roman" w:hAnsi="Times New Roman" w:cs="Times New Roman"/>
          <w:color w:val="000000"/>
          <w:sz w:val="24"/>
          <w:szCs w:val="24"/>
        </w:rPr>
        <w:t xml:space="preserve">he exercise of regulatory oversight for the purpose of conducting market surveillance, financial surveillance, and monitoring of trading for abusive </w:t>
      </w:r>
      <w:r w:rsidRPr="00043CAD">
        <w:rPr>
          <w:rFonts w:ascii="Times New Roman" w:eastAsia="Times New Roman" w:hAnsi="Times New Roman" w:cs="Times New Roman"/>
          <w:color w:val="000000"/>
          <w:sz w:val="24"/>
          <w:szCs w:val="24"/>
        </w:rPr>
        <w:t>conduct, by necessity</w:t>
      </w:r>
      <w:r w:rsidRPr="00043CAD">
        <w:rPr>
          <w:rFonts w:ascii="Times New Roman" w:eastAsia="Times New Roman" w:hAnsi="Times New Roman" w:cs="Times New Roman"/>
          <w:color w:val="000000"/>
          <w:sz w:val="24"/>
          <w:szCs w:val="24"/>
        </w:rPr>
        <w:t>, requires the collection of transactional information.  The information collection cannot be conducted less frequently than daily without compromising the accuracy and timeliness of the data.</w:t>
      </w:r>
    </w:p>
    <w:p w:rsidR="002C114E" w:rsidP="00A944A0" w14:paraId="21CE5D05" w14:textId="017B14BA">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ownership and control information reported pursuant to § 17.01 and Part 18, i</w:t>
      </w:r>
      <w:r w:rsidRPr="002C114E">
        <w:rPr>
          <w:rFonts w:ascii="Times New Roman" w:eastAsia="Times New Roman" w:hAnsi="Times New Roman" w:cs="Times New Roman"/>
          <w:color w:val="000000"/>
          <w:sz w:val="24"/>
          <w:szCs w:val="24"/>
        </w:rPr>
        <w:t>f the collection were conducted less frequently than required by the rules, the Commission may not be able to identify related accounts as efficiently or effectively; as a result, situations such as abusive trading between related accounts and attempted manipulations or congestion could persist and potentially impact market prices.</w:t>
      </w:r>
      <w:r>
        <w:rPr>
          <w:rFonts w:ascii="Times New Roman" w:eastAsia="Times New Roman" w:hAnsi="Times New Roman" w:cs="Times New Roman"/>
          <w:color w:val="000000"/>
          <w:sz w:val="24"/>
          <w:szCs w:val="24"/>
        </w:rPr>
        <w:t xml:space="preserve">  </w:t>
      </w:r>
    </w:p>
    <w:p w:rsidR="00D50C84" w:rsidP="0047550E" w14:paraId="50618017" w14:textId="506A31E3">
      <w:pPr>
        <w:keepNext/>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Additionally, the price transparency benefits from publication of daily market data would not be available if such data was not published daily pursuant to § 16.01(e).</w:t>
      </w:r>
    </w:p>
    <w:p w:rsidR="00D50C84" w:rsidRPr="00E21E52" w:rsidP="005F7F42" w14:paraId="7557F4AF" w14:textId="02DC52D3">
      <w:pPr>
        <w:tabs>
          <w:tab w:val="left" w:pos="-72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any special circumstances that require the collection to be conducted in a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manner</w:t>
      </w:r>
      <w:r w:rsidRPr="00E21E52">
        <w:rPr>
          <w:rFonts w:ascii="Times New Roman" w:eastAsia="Times New Roman" w:hAnsi="Times New Roman" w:cs="Times New Roman"/>
          <w:sz w:val="24"/>
          <w:szCs w:val="20"/>
        </w:rPr>
        <w:t>:</w:t>
      </w:r>
    </w:p>
    <w:p w:rsidR="00D50C84" w:rsidRPr="00E21E52" w:rsidP="005F7F42" w14:paraId="66B15CDF" w14:textId="6500A9DC">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report information to the agency more often than quarterly;</w:t>
      </w:r>
    </w:p>
    <w:p w:rsidR="002325C0" w:rsidRPr="002325C0" w:rsidP="002325C0" w14:paraId="515A9D73" w14:textId="0C0158AB">
      <w:pPr>
        <w:widowControl w:val="0"/>
        <w:autoSpaceDE w:val="0"/>
        <w:autoSpaceDN w:val="0"/>
        <w:adjustRightInd w:val="0"/>
        <w:spacing w:after="240" w:line="240" w:lineRule="auto"/>
        <w:ind w:firstLine="720"/>
        <w:rPr>
          <w:rFonts w:ascii="Times New Roman" w:eastAsia="Times New Roman" w:hAnsi="Times New Roman" w:cs="Times New Roman"/>
          <w:sz w:val="24"/>
          <w:szCs w:val="24"/>
        </w:rPr>
      </w:pPr>
      <w:r w:rsidRPr="002325C0">
        <w:rPr>
          <w:rFonts w:ascii="Times New Roman" w:eastAsia="Times New Roman" w:hAnsi="Times New Roman" w:cs="Times New Roman"/>
          <w:sz w:val="24"/>
          <w:szCs w:val="24"/>
        </w:rPr>
        <w:t xml:space="preserve">The Commission generally regulates the trading of commodity derivatives, including </w:t>
      </w:r>
      <w:r>
        <w:rPr>
          <w:rFonts w:ascii="Times New Roman" w:eastAsia="Times New Roman" w:hAnsi="Times New Roman" w:cs="Times New Roman"/>
          <w:sz w:val="24"/>
          <w:szCs w:val="24"/>
        </w:rPr>
        <w:t>commodity options</w:t>
      </w:r>
      <w:r w:rsidRPr="002325C0">
        <w:rPr>
          <w:rFonts w:ascii="Times New Roman" w:eastAsia="Times New Roman" w:hAnsi="Times New Roman" w:cs="Times New Roman"/>
          <w:sz w:val="24"/>
          <w:szCs w:val="24"/>
        </w:rPr>
        <w:t>.  The exercise of regulatory oversight for the purpose of conducting market surveillance, financial surveillance, and monitoring of trading for abusive conduct or compliance with position limit requirements, by necessity, requires the collection of transactio</w:t>
      </w:r>
      <w:r w:rsidR="00774B29">
        <w:rPr>
          <w:rFonts w:ascii="Times New Roman" w:eastAsia="Times New Roman" w:hAnsi="Times New Roman" w:cs="Times New Roman"/>
          <w:sz w:val="24"/>
          <w:szCs w:val="24"/>
        </w:rPr>
        <w:t>n</w:t>
      </w:r>
      <w:r w:rsidRPr="002325C0">
        <w:rPr>
          <w:rFonts w:ascii="Times New Roman" w:eastAsia="Times New Roman" w:hAnsi="Times New Roman" w:cs="Times New Roman"/>
          <w:sz w:val="24"/>
          <w:szCs w:val="24"/>
        </w:rPr>
        <w:t xml:space="preserve"> and position information on a monthly, weekly, or daily basis depending on the exact nature of the information required to be collected.</w:t>
      </w:r>
    </w:p>
    <w:p w:rsidR="00D50C84" w:rsidRPr="00E21E52" w:rsidP="005F7F42" w14:paraId="021144BF" w14:textId="7B0B0C2F">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prepare a written response to a collection of information in fewer than 30 days after receipt of it:</w:t>
      </w:r>
    </w:p>
    <w:p w:rsidR="007F432C" w:rsidRPr="00422484" w:rsidP="007F432C" w14:paraId="12E82A25" w14:textId="0A98AC88">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7F432C">
        <w:rPr>
          <w:rFonts w:ascii="Times New Roman" w:eastAsia="Times New Roman" w:hAnsi="Times New Roman" w:cs="Times New Roman"/>
          <w:sz w:val="24"/>
          <w:szCs w:val="20"/>
        </w:rPr>
        <w:t>In order to</w:t>
      </w:r>
      <w:r w:rsidRPr="007F432C">
        <w:rPr>
          <w:rFonts w:ascii="Times New Roman" w:eastAsia="Times New Roman" w:hAnsi="Times New Roman" w:cs="Times New Roman"/>
          <w:sz w:val="24"/>
          <w:szCs w:val="20"/>
        </w:rPr>
        <w:t xml:space="preserve"> adequately conduct market surveillance, </w:t>
      </w:r>
      <w:r w:rsidR="00D10616">
        <w:rPr>
          <w:rFonts w:ascii="Times New Roman" w:eastAsia="Times New Roman" w:hAnsi="Times New Roman" w:cs="Times New Roman"/>
          <w:sz w:val="24"/>
          <w:szCs w:val="20"/>
        </w:rPr>
        <w:t>CFTC</w:t>
      </w:r>
      <w:r w:rsidRPr="007F432C" w:rsidR="00D10616">
        <w:rPr>
          <w:rFonts w:ascii="Times New Roman" w:eastAsia="Times New Roman" w:hAnsi="Times New Roman" w:cs="Times New Roman"/>
          <w:sz w:val="24"/>
          <w:szCs w:val="20"/>
        </w:rPr>
        <w:t xml:space="preserve"> </w:t>
      </w:r>
      <w:r w:rsidRPr="007F432C">
        <w:rPr>
          <w:rFonts w:ascii="Times New Roman" w:eastAsia="Times New Roman" w:hAnsi="Times New Roman" w:cs="Times New Roman"/>
          <w:sz w:val="24"/>
          <w:szCs w:val="20"/>
        </w:rPr>
        <w:t xml:space="preserve">reporting rules routinely </w:t>
      </w:r>
      <w:r w:rsidRPr="007F432C">
        <w:rPr>
          <w:rFonts w:ascii="Times New Roman" w:eastAsia="Times New Roman" w:hAnsi="Times New Roman" w:cs="Times New Roman"/>
          <w:sz w:val="24"/>
          <w:szCs w:val="20"/>
        </w:rPr>
        <w:t>require the collection and presentation of information in fewer than 30 days.</w:t>
      </w:r>
      <w:r>
        <w:rPr>
          <w:rFonts w:ascii="Times New Roman" w:eastAsia="Times New Roman" w:hAnsi="Times New Roman" w:cs="Times New Roman"/>
          <w:sz w:val="24"/>
          <w:szCs w:val="20"/>
        </w:rPr>
        <w:t xml:space="preserve">  </w:t>
      </w:r>
      <w:r w:rsidRPr="007F432C">
        <w:rPr>
          <w:rFonts w:ascii="Times New Roman" w:eastAsia="Times New Roman" w:hAnsi="Times New Roman" w:cs="Times New Roman"/>
          <w:sz w:val="24"/>
          <w:szCs w:val="20"/>
        </w:rPr>
        <w:t xml:space="preserve">The exercise of regulatory oversight for the purpose of conducting market surveillance, financial surveillance, and monitoring of trading for abusive conduct, by necessity, requires the collection of aggregated transactional information </w:t>
      </w:r>
      <w:r w:rsidRPr="007F432C">
        <w:rPr>
          <w:rFonts w:ascii="Times New Roman" w:eastAsia="Times New Roman" w:hAnsi="Times New Roman" w:cs="Times New Roman"/>
          <w:sz w:val="24"/>
          <w:szCs w:val="20"/>
        </w:rPr>
        <w:t>on a daily basis</w:t>
      </w:r>
      <w:r w:rsidRPr="007F432C">
        <w:rPr>
          <w:rFonts w:ascii="Times New Roman" w:eastAsia="Times New Roman" w:hAnsi="Times New Roman" w:cs="Times New Roman"/>
          <w:sz w:val="24"/>
          <w:szCs w:val="20"/>
        </w:rPr>
        <w:t>.</w:t>
      </w:r>
    </w:p>
    <w:p w:rsidR="00D50C84" w:rsidRPr="00E21E52" w:rsidP="005F7F42" w14:paraId="20E700AB" w14:textId="5E68389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requiring respondents to submit more </w:t>
      </w:r>
      <w:r w:rsidRPr="00E21E52">
        <w:rPr>
          <w:rFonts w:ascii="Times New Roman" w:eastAsia="Times New Roman" w:hAnsi="Times New Roman" w:cs="Times New Roman"/>
          <w:sz w:val="24"/>
          <w:szCs w:val="20"/>
          <w:u w:val="single"/>
        </w:rPr>
        <w:t>that</w:t>
      </w:r>
      <w:r w:rsidRPr="00E21E52">
        <w:rPr>
          <w:rFonts w:ascii="Times New Roman" w:eastAsia="Times New Roman" w:hAnsi="Times New Roman" w:cs="Times New Roman"/>
          <w:sz w:val="24"/>
          <w:szCs w:val="20"/>
          <w:u w:val="single"/>
        </w:rPr>
        <w:t xml:space="preserve"> an original and two copies of any document</w:t>
      </w:r>
      <w:r w:rsidRPr="00E21E52">
        <w:rPr>
          <w:rFonts w:ascii="Times New Roman" w:eastAsia="Times New Roman" w:hAnsi="Times New Roman" w:cs="Times New Roman"/>
          <w:sz w:val="24"/>
          <w:szCs w:val="20"/>
        </w:rPr>
        <w:t>;</w:t>
      </w:r>
    </w:p>
    <w:p w:rsidR="00D50C84" w:rsidRPr="00E21E52" w:rsidP="005F7F42" w14:paraId="59115F22" w14:textId="12945BB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1A9D82A" w14:textId="3EDF4C0D">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retain records other than health, medical, government contract, grant-in-aid, or tax records, for more than three years</w:t>
      </w:r>
      <w:r w:rsidRPr="00E21E52">
        <w:rPr>
          <w:rFonts w:ascii="Times New Roman" w:eastAsia="Times New Roman" w:hAnsi="Times New Roman" w:cs="Times New Roman"/>
          <w:sz w:val="24"/>
          <w:szCs w:val="20"/>
        </w:rPr>
        <w:t>;</w:t>
      </w:r>
    </w:p>
    <w:p w:rsidR="00D50C84" w:rsidRPr="00E21E52" w:rsidP="005F7F42" w14:paraId="2BD6A4D1" w14:textId="1B63D38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44CF53E" w14:textId="0B1D89C1">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in connection with a statistical </w:t>
      </w:r>
      <w:r w:rsidRPr="00E21E52">
        <w:rPr>
          <w:rFonts w:ascii="Times New Roman" w:eastAsia="Times New Roman" w:hAnsi="Times New Roman" w:cs="Times New Roman"/>
          <w:sz w:val="24"/>
          <w:szCs w:val="20"/>
          <w:u w:val="single"/>
        </w:rPr>
        <w:t>survey,</w:t>
      </w:r>
      <w:r w:rsidRPr="00E21E52">
        <w:rPr>
          <w:rFonts w:ascii="Times New Roman" w:eastAsia="Times New Roman" w:hAnsi="Times New Roman" w:cs="Times New Roman"/>
          <w:sz w:val="24"/>
          <w:szCs w:val="20"/>
          <w:u w:val="single"/>
        </w:rPr>
        <w:t xml:space="preserve"> that is not designed to produce valid and reliable results that can be generalized to the universe of study</w:t>
      </w:r>
      <w:r w:rsidRPr="00E21E52">
        <w:rPr>
          <w:rFonts w:ascii="Times New Roman" w:eastAsia="Times New Roman" w:hAnsi="Times New Roman" w:cs="Times New Roman"/>
          <w:sz w:val="24"/>
          <w:szCs w:val="20"/>
        </w:rPr>
        <w:t>;</w:t>
      </w:r>
    </w:p>
    <w:p w:rsidR="00D50C84" w:rsidRPr="00E21E52" w:rsidP="005F7F42" w14:paraId="576919F9" w14:textId="5FB6580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F8CAC83" w14:textId="2A46B79A">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the use of a statistical data classification that has not been reviewed and approved by OMB</w:t>
      </w:r>
      <w:r w:rsidRPr="00E21E52">
        <w:rPr>
          <w:rFonts w:ascii="Times New Roman" w:eastAsia="Times New Roman" w:hAnsi="Times New Roman" w:cs="Times New Roman"/>
          <w:sz w:val="24"/>
          <w:szCs w:val="20"/>
        </w:rPr>
        <w:t>;</w:t>
      </w:r>
    </w:p>
    <w:p w:rsidR="00D50C84" w:rsidRPr="00E21E52" w:rsidP="005F7F42" w14:paraId="62C2FFAB" w14:textId="715AEB29">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33029E" w14:paraId="74E88836" w14:textId="6730D0D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that includes a pledge of confidentiality that is not supported by authority established in </w:t>
      </w:r>
      <w:r w:rsidRPr="00E21E52">
        <w:rPr>
          <w:rFonts w:ascii="Times New Roman" w:eastAsia="Times New Roman" w:hAnsi="Times New Roman" w:cs="Times New Roman"/>
          <w:sz w:val="24"/>
          <w:szCs w:val="20"/>
          <w:u w:val="single"/>
        </w:rPr>
        <w:t>statue</w:t>
      </w:r>
      <w:r w:rsidRPr="00E21E52">
        <w:rPr>
          <w:rFonts w:ascii="Times New Roman" w:eastAsia="Times New Roman" w:hAnsi="Times New Roman" w:cs="Times New Roman"/>
          <w:sz w:val="24"/>
          <w:szCs w:val="20"/>
          <w:u w:val="single"/>
        </w:rPr>
        <w:t xml:space="preserve"> or regulation, that is not supported by disclosure and data security policies that are consistent with the pledge, or which unnecessarily impedes sharing of data with other agencies for compatible confidential use; or</w:t>
      </w:r>
    </w:p>
    <w:p w:rsidR="00D50C84" w:rsidRPr="00E21E52" w:rsidP="0033029E" w14:paraId="17BE7721" w14:textId="784A41D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1E8DD750" w14:textId="36761AAE">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proprietary trade secrets, or other confidential information unless the agency can demonstrate that it has instituted procedures to protect the information's confidentiality to the extent permitted by law</w:t>
      </w:r>
      <w:r w:rsidRPr="00E21E52">
        <w:rPr>
          <w:rFonts w:ascii="Times New Roman" w:eastAsia="Times New Roman" w:hAnsi="Times New Roman" w:cs="Times New Roman"/>
          <w:sz w:val="24"/>
          <w:szCs w:val="20"/>
        </w:rPr>
        <w:t>.</w:t>
      </w:r>
    </w:p>
    <w:p w:rsidR="00D50C84" w:rsidRPr="00E21E52" w:rsidP="0033029E" w14:paraId="4289DD13" w14:textId="6248EA72">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6108B">
        <w:rPr>
          <w:rFonts w:ascii="Times New Roman" w:eastAsia="Times New Roman" w:hAnsi="Times New Roman" w:cs="Times New Roman"/>
          <w:sz w:val="24"/>
          <w:szCs w:val="20"/>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parts 145 and 147 of the Commission’s regulations</w:t>
      </w:r>
      <w:r w:rsidR="00FF7177">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w:t>
      </w:r>
    </w:p>
    <w:p w:rsidR="00D50C84" w:rsidRPr="00E21E52" w:rsidP="005F7F42" w14:paraId="2B5644C1" w14:textId="122A21BF">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If applicable, provide a copy and identify the date and page number of </w:t>
      </w:r>
      <w:r w:rsidRPr="00E21E52">
        <w:rPr>
          <w:rFonts w:ascii="Times New Roman" w:eastAsia="Times New Roman" w:hAnsi="Times New Roman" w:cs="Times New Roman"/>
          <w:sz w:val="24"/>
          <w:szCs w:val="20"/>
          <w:u w:val="single"/>
        </w:rPr>
        <w:t>publication</w:t>
      </w:r>
      <w:r w:rsidRPr="00E21E52">
        <w:rPr>
          <w:rFonts w:ascii="Times New Roman" w:eastAsia="Times New Roman" w:hAnsi="Times New Roman" w:cs="Times New Roman"/>
          <w:sz w:val="24"/>
          <w:szCs w:val="20"/>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50C84" w:rsidRPr="00E21E52" w:rsidP="005F7F42" w14:paraId="4CB5D244"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0C84" w:rsidRPr="00E21E52" w:rsidP="0033029E" w14:paraId="2F67A1DE" w14:textId="0105F21E">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E21E52">
        <w:rPr>
          <w:rFonts w:ascii="Times New Roman" w:eastAsia="Times New Roman" w:hAnsi="Times New Roman" w:cs="Times New Roman"/>
          <w:sz w:val="24"/>
          <w:szCs w:val="20"/>
        </w:rPr>
        <w:t>.</w:t>
      </w:r>
    </w:p>
    <w:p w:rsidR="006410BB" w:rsidRPr="00EF1247" w:rsidP="006410BB" w14:paraId="207667D6" w14:textId="716CEB7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EF1247">
        <w:rPr>
          <w:rFonts w:ascii="Times New Roman" w:eastAsia="Times New Roman" w:hAnsi="Times New Roman" w:cs="Times New Roman"/>
          <w:sz w:val="24"/>
          <w:szCs w:val="20"/>
        </w:rPr>
        <w:t>As part of the rulemaking process, the Commission published a notice of proposed rulemaking (“NPRM”) in the Federal Register</w:t>
      </w:r>
      <w:r w:rsidR="00DE1D26">
        <w:rPr>
          <w:rFonts w:ascii="Times New Roman" w:eastAsia="Times New Roman" w:hAnsi="Times New Roman" w:cs="Times New Roman"/>
          <w:sz w:val="24"/>
          <w:szCs w:val="20"/>
        </w:rPr>
        <w:t xml:space="preserve"> requesting comment on the proposed </w:t>
      </w:r>
      <w:r w:rsidR="00481AE0">
        <w:rPr>
          <w:rFonts w:ascii="Times New Roman" w:eastAsia="Times New Roman" w:hAnsi="Times New Roman" w:cs="Times New Roman"/>
          <w:sz w:val="24"/>
          <w:szCs w:val="20"/>
        </w:rPr>
        <w:t>amendments to its regulations, including the proposed changes to associated information collections</w:t>
      </w:r>
      <w:r w:rsidR="002B4A5A">
        <w:rPr>
          <w:rFonts w:ascii="Times New Roman" w:eastAsia="Times New Roman" w:hAnsi="Times New Roman" w:cs="Times New Roman"/>
          <w:sz w:val="24"/>
          <w:szCs w:val="20"/>
        </w:rPr>
        <w:t xml:space="preserve">.  </w:t>
      </w:r>
      <w:r w:rsidR="00FF260C">
        <w:rPr>
          <w:rFonts w:ascii="Times New Roman" w:eastAsia="Times New Roman" w:hAnsi="Times New Roman" w:cs="Times New Roman"/>
          <w:sz w:val="24"/>
          <w:szCs w:val="20"/>
        </w:rPr>
        <w:t>91 FR 40102 (</w:t>
      </w:r>
      <w:r w:rsidR="00AE4D13">
        <w:rPr>
          <w:rFonts w:ascii="Times New Roman" w:eastAsia="Times New Roman" w:hAnsi="Times New Roman" w:cs="Times New Roman"/>
          <w:sz w:val="24"/>
          <w:szCs w:val="20"/>
        </w:rPr>
        <w:t xml:space="preserve">July 1, 2026).  </w:t>
      </w:r>
      <w:r w:rsidRPr="00EF1247">
        <w:rPr>
          <w:rFonts w:ascii="Times New Roman" w:eastAsia="Times New Roman" w:hAnsi="Times New Roman" w:cs="Times New Roman"/>
          <w:sz w:val="24"/>
          <w:szCs w:val="20"/>
        </w:rPr>
        <w:t xml:space="preserve">The NPRM </w:t>
      </w:r>
      <w:r w:rsidR="002B4A5A">
        <w:rPr>
          <w:rFonts w:ascii="Times New Roman" w:eastAsia="Times New Roman" w:hAnsi="Times New Roman" w:cs="Times New Roman"/>
          <w:sz w:val="24"/>
          <w:szCs w:val="20"/>
        </w:rPr>
        <w:t>seeks</w:t>
      </w:r>
      <w:r>
        <w:rPr>
          <w:rFonts w:ascii="Times New Roman" w:eastAsia="Times New Roman" w:hAnsi="Times New Roman" w:cs="Times New Roman"/>
          <w:sz w:val="24"/>
          <w:szCs w:val="20"/>
        </w:rPr>
        <w:t xml:space="preserve"> comment on all aspects of the proposed information collections and the Commission’s associated burden estimates.</w:t>
      </w:r>
    </w:p>
    <w:p w:rsidR="006410BB" w:rsidRPr="00E21E52" w:rsidP="006410BB" w14:paraId="797A2FC4" w14:textId="77777777">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EF1247">
        <w:rPr>
          <w:rFonts w:ascii="Times New Roman" w:eastAsia="Times New Roman" w:hAnsi="Times New Roman" w:cs="Times New Roman"/>
          <w:sz w:val="24"/>
          <w:szCs w:val="20"/>
        </w:rPr>
        <w:t xml:space="preserve">In addition, </w:t>
      </w:r>
      <w:r>
        <w:rPr>
          <w:rFonts w:ascii="Times New Roman" w:eastAsia="Times New Roman" w:hAnsi="Times New Roman" w:cs="Times New Roman"/>
          <w:sz w:val="24"/>
          <w:szCs w:val="20"/>
        </w:rPr>
        <w:t xml:space="preserve">the Commission maintains </w:t>
      </w:r>
      <w:r w:rsidRPr="00EF1247">
        <w:rPr>
          <w:rFonts w:ascii="Times New Roman" w:eastAsia="Times New Roman" w:hAnsi="Times New Roman" w:cs="Times New Roman"/>
          <w:sz w:val="24"/>
          <w:szCs w:val="20"/>
        </w:rPr>
        <w:t xml:space="preserve">contact with derivatives markets and </w:t>
      </w:r>
      <w:r>
        <w:rPr>
          <w:rFonts w:ascii="Times New Roman" w:eastAsia="Times New Roman" w:hAnsi="Times New Roman" w:cs="Times New Roman"/>
          <w:sz w:val="24"/>
          <w:szCs w:val="20"/>
        </w:rPr>
        <w:t xml:space="preserve">other </w:t>
      </w:r>
      <w:r w:rsidRPr="00EF1247">
        <w:rPr>
          <w:rFonts w:ascii="Times New Roman" w:eastAsia="Times New Roman" w:hAnsi="Times New Roman" w:cs="Times New Roman"/>
          <w:sz w:val="24"/>
          <w:szCs w:val="20"/>
        </w:rPr>
        <w:t xml:space="preserve">market participants on a continuous and ongoing basis to </w:t>
      </w:r>
      <w:r>
        <w:rPr>
          <w:rFonts w:ascii="Times New Roman" w:eastAsia="Times New Roman" w:hAnsi="Times New Roman" w:cs="Times New Roman"/>
          <w:sz w:val="24"/>
          <w:szCs w:val="20"/>
        </w:rPr>
        <w:t>address any</w:t>
      </w:r>
      <w:r w:rsidRPr="00EF1247">
        <w:rPr>
          <w:rFonts w:ascii="Times New Roman" w:eastAsia="Times New Roman" w:hAnsi="Times New Roman" w:cs="Times New Roman"/>
          <w:sz w:val="24"/>
          <w:szCs w:val="20"/>
        </w:rPr>
        <w:t xml:space="preserve"> reporting problems and concerns. The Commission also, on an ongoing basis, solicit</w:t>
      </w:r>
      <w:r>
        <w:rPr>
          <w:rFonts w:ascii="Times New Roman" w:eastAsia="Times New Roman" w:hAnsi="Times New Roman" w:cs="Times New Roman"/>
          <w:sz w:val="24"/>
          <w:szCs w:val="20"/>
        </w:rPr>
        <w:t>s</w:t>
      </w:r>
      <w:r w:rsidRPr="00EF1247">
        <w:rPr>
          <w:rFonts w:ascii="Times New Roman" w:eastAsia="Times New Roman" w:hAnsi="Times New Roman" w:cs="Times New Roman"/>
          <w:sz w:val="24"/>
          <w:szCs w:val="20"/>
        </w:rPr>
        <w:t xml:space="preserve"> public comments through the notice required by 5 CFR 1320.8(d).</w:t>
      </w:r>
    </w:p>
    <w:p w:rsidR="00D50C84" w:rsidRPr="00E21E52" w:rsidP="005F7F42" w14:paraId="176984A5" w14:textId="74628D2A">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9.</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any decision to provide any payment or gift to respondents, other than remuneration of contractors or grantees</w:t>
      </w:r>
      <w:r w:rsidRPr="00E21E52">
        <w:rPr>
          <w:rFonts w:ascii="Times New Roman" w:eastAsia="Times New Roman" w:hAnsi="Times New Roman" w:cs="Times New Roman"/>
          <w:sz w:val="24"/>
          <w:szCs w:val="20"/>
        </w:rPr>
        <w:t>.</w:t>
      </w:r>
    </w:p>
    <w:p w:rsidR="00D50C84" w:rsidRPr="00E21E52" w:rsidP="0033029E" w14:paraId="46125B33" w14:textId="4DA99BBB">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Not applicable</w:t>
      </w:r>
      <w:r w:rsidRPr="00E21E52">
        <w:rPr>
          <w:rFonts w:ascii="Times New Roman" w:eastAsia="Times New Roman" w:hAnsi="Times New Roman" w:cs="Times New Roman"/>
          <w:sz w:val="24"/>
          <w:szCs w:val="20"/>
        </w:rPr>
        <w:t>.  This information collection does not involve the provision of any payment or gift to respondents.</w:t>
      </w:r>
    </w:p>
    <w:p w:rsidR="00D50C84" w:rsidRPr="00E21E52" w:rsidP="005F7F42" w14:paraId="712FB3F5" w14:textId="775B792A">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any assurance of confidentiality provided to respondents and the basis for the assurance in statute, regulations, or agency policy</w:t>
      </w:r>
      <w:r w:rsidRPr="00E21E52">
        <w:rPr>
          <w:rFonts w:ascii="Times New Roman" w:eastAsia="Times New Roman" w:hAnsi="Times New Roman" w:cs="Times New Roman"/>
          <w:sz w:val="24"/>
          <w:szCs w:val="20"/>
        </w:rPr>
        <w:t>.</w:t>
      </w:r>
    </w:p>
    <w:p w:rsidR="00D50C84" w:rsidRPr="00E21E52" w:rsidP="0033029E" w14:paraId="4E17B9DC" w14:textId="35F9965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009B3">
        <w:rPr>
          <w:rFonts w:ascii="Times New Roman" w:eastAsia="Times New Roman" w:hAnsi="Times New Roman" w:cs="Times New Roman"/>
          <w:sz w:val="24"/>
          <w:szCs w:val="20"/>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w:t>
      </w:r>
      <w:r w:rsidR="00477F1E">
        <w:rPr>
          <w:rFonts w:ascii="Times New Roman" w:eastAsia="Times New Roman" w:hAnsi="Times New Roman" w:cs="Times New Roman"/>
          <w:sz w:val="24"/>
          <w:szCs w:val="20"/>
        </w:rPr>
        <w:t>p</w:t>
      </w:r>
      <w:r w:rsidRPr="006009B3" w:rsidR="00477F1E">
        <w:rPr>
          <w:rFonts w:ascii="Times New Roman" w:eastAsia="Times New Roman" w:hAnsi="Times New Roman" w:cs="Times New Roman"/>
          <w:sz w:val="24"/>
          <w:szCs w:val="20"/>
        </w:rPr>
        <w:t xml:space="preserve">arts </w:t>
      </w:r>
      <w:r w:rsidRPr="006009B3">
        <w:rPr>
          <w:rFonts w:ascii="Times New Roman" w:eastAsia="Times New Roman" w:hAnsi="Times New Roman" w:cs="Times New Roman"/>
          <w:sz w:val="24"/>
          <w:szCs w:val="20"/>
        </w:rPr>
        <w:t>145 and 147 of the Commission’s regulations.</w:t>
      </w:r>
    </w:p>
    <w:p w:rsidR="00D50C84" w:rsidRPr="00E21E52" w:rsidP="005F7F42" w14:paraId="247FE7B4" w14:textId="1453633E">
      <w:pPr>
        <w:tabs>
          <w:tab w:val="left" w:pos="-72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1E52">
        <w:rPr>
          <w:rFonts w:ascii="Times New Roman" w:eastAsia="Times New Roman" w:hAnsi="Times New Roman" w:cs="Times New Roman"/>
          <w:sz w:val="24"/>
          <w:szCs w:val="20"/>
        </w:rPr>
        <w:t>.</w:t>
      </w:r>
    </w:p>
    <w:p w:rsidR="00D50C84" w:rsidRPr="00E21E52" w:rsidP="0033029E" w14:paraId="59E898C4" w14:textId="1B8AA04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w:t>
      </w:r>
      <w:r w:rsidR="00895B6F">
        <w:rPr>
          <w:rFonts w:ascii="Times New Roman" w:eastAsia="Times New Roman" w:hAnsi="Times New Roman" w:cs="Times New Roman"/>
          <w:sz w:val="24"/>
          <w:szCs w:val="20"/>
        </w:rPr>
        <w:t xml:space="preserve">question </w:t>
      </w:r>
      <w:r>
        <w:rPr>
          <w:rFonts w:ascii="Times New Roman" w:eastAsia="Times New Roman" w:hAnsi="Times New Roman" w:cs="Times New Roman"/>
          <w:sz w:val="24"/>
          <w:szCs w:val="20"/>
        </w:rPr>
        <w:t>does not apply.</w:t>
      </w:r>
      <w:r w:rsidR="00AB1E19">
        <w:rPr>
          <w:rFonts w:ascii="Times New Roman" w:eastAsia="Times New Roman" w:hAnsi="Times New Roman" w:cs="Times New Roman"/>
          <w:sz w:val="24"/>
          <w:szCs w:val="20"/>
        </w:rPr>
        <w:t xml:space="preserve">  The collections do not involve a request for information of a sensitive nature, as defined in Question 11.</w:t>
      </w:r>
    </w:p>
    <w:p w:rsidR="00D50C84" w:rsidRPr="00E21E52" w:rsidP="00E615A7" w14:paraId="7581A6DD" w14:textId="2458770C">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hour burden of the collection of information.  The Statement should</w:t>
      </w:r>
      <w:r w:rsidRPr="00E21E52">
        <w:rPr>
          <w:rFonts w:ascii="Times New Roman" w:eastAsia="Times New Roman" w:hAnsi="Times New Roman" w:cs="Times New Roman"/>
          <w:sz w:val="24"/>
          <w:szCs w:val="20"/>
        </w:rPr>
        <w:t>:</w:t>
      </w:r>
    </w:p>
    <w:p w:rsidR="00D50C84" w:rsidRPr="00E21E52" w:rsidP="0033029E" w14:paraId="269CB55F" w14:textId="53F013D2">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0C84" w:rsidRPr="00E21E52" w:rsidP="0033029E" w14:paraId="023D3EC8" w14:textId="2EFA52B3">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If the request for approval covers more than one form, provide separate hour burden estimates for each form and aggregate the hour burdens in Item 13 of OMB Form 83-I.</w:t>
      </w:r>
    </w:p>
    <w:p w:rsidR="00732516" w:rsidP="007645A7" w14:paraId="0BFE5C9F" w14:textId="751EC7BD">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603A5" w:rsidP="00895B6F" w14:paraId="3D634A8C" w14:textId="235A8AF2">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i/>
          <w:iCs/>
          <w:sz w:val="24"/>
          <w:szCs w:val="20"/>
        </w:rPr>
        <w:t>See</w:t>
      </w:r>
      <w:r>
        <w:rPr>
          <w:rFonts w:ascii="Times New Roman" w:eastAsia="Times New Roman" w:hAnsi="Times New Roman" w:cs="Times New Roman"/>
          <w:sz w:val="24"/>
          <w:szCs w:val="20"/>
        </w:rPr>
        <w:t xml:space="preserve"> </w:t>
      </w:r>
      <w:r w:rsidRPr="00753902" w:rsidR="00753902">
        <w:rPr>
          <w:rFonts w:ascii="Times New Roman" w:eastAsia="Times New Roman" w:hAnsi="Times New Roman" w:cs="Times New Roman"/>
          <w:sz w:val="24"/>
          <w:szCs w:val="20"/>
        </w:rPr>
        <w:t>Attachment A for a table illustrating the hour and associated labor cost burden for this collection.</w:t>
      </w:r>
    </w:p>
    <w:p w:rsidR="00B02D8A" w:rsidP="00895B6F" w14:paraId="3D175EF7" w14:textId="77777777">
      <w:pPr>
        <w:widowControl w:val="0"/>
        <w:autoSpaceDE w:val="0"/>
        <w:autoSpaceDN w:val="0"/>
        <w:adjustRightInd w:val="0"/>
        <w:spacing w:after="240" w:line="240" w:lineRule="auto"/>
        <w:rPr>
          <w:rFonts w:ascii="Times New Roman" w:eastAsia="Times New Roman" w:hAnsi="Times New Roman" w:cs="Times New Roman"/>
          <w:iCs/>
          <w:sz w:val="24"/>
          <w:szCs w:val="20"/>
        </w:rPr>
      </w:pPr>
      <w:bookmarkStart w:id="0" w:name="_Toc351731963"/>
      <w:r w:rsidRPr="00B02D8A">
        <w:rPr>
          <w:rFonts w:ascii="Times New Roman" w:eastAsia="Times New Roman" w:hAnsi="Times New Roman" w:cs="Times New Roman"/>
          <w:i/>
          <w:sz w:val="24"/>
          <w:szCs w:val="20"/>
        </w:rPr>
        <w:t>Methodology Used to Estimate Costs</w:t>
      </w:r>
      <w:bookmarkEnd w:id="0"/>
    </w:p>
    <w:p w:rsidR="00657E2D" w:rsidP="00895B6F" w14:paraId="47210DDF" w14:textId="09D57ED2">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Pr>
          <w:rFonts w:ascii="Times New Roman" w:eastAsia="Times New Roman" w:hAnsi="Times New Roman" w:cs="Times New Roman"/>
          <w:iCs/>
          <w:sz w:val="24"/>
          <w:szCs w:val="20"/>
        </w:rPr>
        <w:t xml:space="preserve">The Commission </w:t>
      </w:r>
      <w:r w:rsidR="00FF7BDF">
        <w:rPr>
          <w:rFonts w:ascii="Times New Roman" w:eastAsia="Times New Roman" w:hAnsi="Times New Roman" w:cs="Times New Roman"/>
          <w:iCs/>
          <w:sz w:val="24"/>
          <w:szCs w:val="20"/>
        </w:rPr>
        <w:t>calculated the total estimated industry cost for submitting each report required by the regulations implicated in the proposed rulemaking (§ 16.00</w:t>
      </w:r>
      <w:r w:rsidR="007C791F">
        <w:rPr>
          <w:rFonts w:ascii="Times New Roman" w:eastAsia="Times New Roman" w:hAnsi="Times New Roman" w:cs="Times New Roman"/>
          <w:iCs/>
          <w:sz w:val="24"/>
          <w:szCs w:val="20"/>
        </w:rPr>
        <w:t xml:space="preserve">, § 16.01, § 16.02, § 17.00, § 17.01, § 18.04, and Part 21).  </w:t>
      </w:r>
      <w:r w:rsidR="00521536">
        <w:rPr>
          <w:rFonts w:ascii="Times New Roman" w:eastAsia="Times New Roman" w:hAnsi="Times New Roman" w:cs="Times New Roman"/>
          <w:iCs/>
          <w:sz w:val="24"/>
          <w:szCs w:val="20"/>
        </w:rPr>
        <w:t>Because the proposed rulemaking would largely codify current pra</w:t>
      </w:r>
      <w:r w:rsidR="00CE7540">
        <w:rPr>
          <w:rFonts w:ascii="Times New Roman" w:eastAsia="Times New Roman" w:hAnsi="Times New Roman" w:cs="Times New Roman"/>
          <w:iCs/>
          <w:sz w:val="24"/>
          <w:szCs w:val="20"/>
        </w:rPr>
        <w:t>ctices into regulation, the proposed rulemaking does not impact</w:t>
      </w:r>
      <w:r w:rsidR="0074306F">
        <w:rPr>
          <w:rFonts w:ascii="Times New Roman" w:eastAsia="Times New Roman" w:hAnsi="Times New Roman" w:cs="Times New Roman"/>
          <w:iCs/>
          <w:sz w:val="24"/>
          <w:szCs w:val="20"/>
        </w:rPr>
        <w:t xml:space="preserve"> </w:t>
      </w:r>
      <w:r w:rsidR="00B64E38">
        <w:rPr>
          <w:rFonts w:ascii="Times New Roman" w:eastAsia="Times New Roman" w:hAnsi="Times New Roman" w:cs="Times New Roman"/>
          <w:iCs/>
          <w:sz w:val="24"/>
          <w:szCs w:val="20"/>
        </w:rPr>
        <w:t xml:space="preserve">most estimates.  However, the Commission does </w:t>
      </w:r>
      <w:r>
        <w:rPr>
          <w:rFonts w:ascii="Times New Roman" w:eastAsia="Times New Roman" w:hAnsi="Times New Roman" w:cs="Times New Roman"/>
          <w:iCs/>
          <w:sz w:val="24"/>
          <w:szCs w:val="20"/>
        </w:rPr>
        <w:t>update the applicable Bureau of Labor Occupation Employment and Wages Report</w:t>
      </w:r>
      <w:r>
        <w:rPr>
          <w:rStyle w:val="FootnoteReference"/>
          <w:rFonts w:ascii="Times New Roman" w:eastAsia="Times New Roman" w:hAnsi="Times New Roman" w:cs="Times New Roman"/>
          <w:iCs/>
          <w:sz w:val="24"/>
          <w:szCs w:val="20"/>
        </w:rPr>
        <w:footnoteReference w:id="25"/>
      </w:r>
      <w:r>
        <w:rPr>
          <w:rFonts w:ascii="Times New Roman" w:eastAsia="Times New Roman" w:hAnsi="Times New Roman" w:cs="Times New Roman"/>
          <w:iCs/>
          <w:sz w:val="24"/>
          <w:szCs w:val="20"/>
        </w:rPr>
        <w:t xml:space="preserve"> data used to calculate estimated wage rates applicable to the estimates for the impacted collections.</w:t>
      </w:r>
    </w:p>
    <w:p w:rsidR="00657E2D" w:rsidRPr="00895B6F" w:rsidP="00895B6F" w14:paraId="407D004D" w14:textId="77777777">
      <w:pPr>
        <w:pStyle w:val="ListParagraph"/>
        <w:widowControl w:val="0"/>
        <w:numPr>
          <w:ilvl w:val="0"/>
          <w:numId w:val="3"/>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895B6F">
        <w:rPr>
          <w:rFonts w:ascii="Times New Roman" w:eastAsia="Times New Roman" w:hAnsi="Times New Roman" w:cs="Times New Roman"/>
          <w:i/>
          <w:sz w:val="24"/>
          <w:szCs w:val="20"/>
        </w:rPr>
        <w:t>OMB Control Number 3038-0009</w:t>
      </w:r>
    </w:p>
    <w:p w:rsidR="00AA1286" w:rsidRPr="00AA1286" w:rsidP="00AA1286" w14:paraId="331F00C7" w14:textId="062A7199">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 xml:space="preserve">OMB Collection 3038-0009 reflects burdens resulting from clearing member reporting under § 16.00, large trader position reporting for special accounts required under § 17.00, and the burdens associated with the special call authority under Part 21.  Section 17.00 requires that </w:t>
      </w:r>
      <w:r w:rsidR="003F5393">
        <w:rPr>
          <w:rFonts w:ascii="Times New Roman" w:hAnsi="Times New Roman" w:cs="Times New Roman"/>
          <w:sz w:val="24"/>
          <w:szCs w:val="24"/>
        </w:rPr>
        <w:t xml:space="preserve">certain </w:t>
      </w:r>
      <w:r w:rsidRPr="00AA1286">
        <w:rPr>
          <w:rFonts w:ascii="Times New Roman" w:hAnsi="Times New Roman" w:cs="Times New Roman"/>
          <w:sz w:val="24"/>
          <w:szCs w:val="24"/>
        </w:rPr>
        <w:t>DCMs</w:t>
      </w:r>
      <w:r w:rsidR="003F5393">
        <w:rPr>
          <w:rFonts w:ascii="Times New Roman" w:hAnsi="Times New Roman" w:cs="Times New Roman"/>
          <w:sz w:val="24"/>
          <w:szCs w:val="24"/>
        </w:rPr>
        <w:t>, FCMs, foreign brokers, and clearing members</w:t>
      </w:r>
      <w:r w:rsidRPr="00AA1286">
        <w:rPr>
          <w:rFonts w:ascii="Times New Roman" w:hAnsi="Times New Roman" w:cs="Times New Roman"/>
          <w:sz w:val="24"/>
          <w:szCs w:val="24"/>
        </w:rPr>
        <w:t xml:space="preserve"> submit a report for each business day showing position information for each special account</w:t>
      </w:r>
      <w:r w:rsidR="008B5B14">
        <w:rPr>
          <w:rFonts w:ascii="Times New Roman" w:hAnsi="Times New Roman" w:cs="Times New Roman"/>
          <w:sz w:val="24"/>
          <w:szCs w:val="24"/>
        </w:rPr>
        <w:t xml:space="preserve"> they carry</w:t>
      </w:r>
      <w:r w:rsidRPr="00AA1286">
        <w:rPr>
          <w:rFonts w:ascii="Times New Roman" w:hAnsi="Times New Roman" w:cs="Times New Roman"/>
          <w:sz w:val="24"/>
          <w:szCs w:val="24"/>
        </w:rPr>
        <w:t>.  Generally, the Proposal would not require any firm that is not currently required to submit such reports to begin doing so</w:t>
      </w:r>
      <w:r w:rsidR="000F3563">
        <w:rPr>
          <w:rFonts w:ascii="Times New Roman" w:hAnsi="Times New Roman" w:cs="Times New Roman"/>
          <w:sz w:val="24"/>
          <w:szCs w:val="24"/>
        </w:rPr>
        <w:t xml:space="preserve">; however, </w:t>
      </w:r>
      <w:r w:rsidRPr="00AA1286">
        <w:rPr>
          <w:rFonts w:ascii="Times New Roman" w:hAnsi="Times New Roman" w:cs="Times New Roman"/>
          <w:sz w:val="24"/>
          <w:szCs w:val="24"/>
        </w:rPr>
        <w:t xml:space="preserve">the Commission is revising its PRA estimates to account for some DCMs submitting additional § 17.00 reports for non-intermediated accounts.  The Proposal would provide that such </w:t>
      </w:r>
      <w:r w:rsidRPr="00AA1286">
        <w:rPr>
          <w:rFonts w:ascii="Times New Roman" w:hAnsi="Times New Roman" w:cs="Times New Roman"/>
          <w:sz w:val="24"/>
          <w:szCs w:val="24"/>
        </w:rPr>
        <w:t>DCMs are required to submit § 17.00 large trader position reporting for positions of clearing members for “exclusively self-cleared contracts” and would add requirements that, in markets featuring a mix of intermediated and non-intermediated trading, DCMs must submit, for contracts that trade as fully collateralized positions, special accounts carried by clearing members trading in their own name and not on behalf of any customer.</w:t>
      </w:r>
    </w:p>
    <w:p w:rsidR="00AA1286" w:rsidRPr="00AA1286" w:rsidP="00AA1286" w14:paraId="52E20382" w14:textId="7E6F8B64">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 xml:space="preserve">Accordingly, the Commission </w:t>
      </w:r>
      <w:r w:rsidR="00C80B85">
        <w:rPr>
          <w:rFonts w:ascii="Times New Roman" w:hAnsi="Times New Roman" w:cs="Times New Roman"/>
          <w:sz w:val="24"/>
          <w:szCs w:val="24"/>
        </w:rPr>
        <w:t>is updating</w:t>
      </w:r>
      <w:r w:rsidRPr="00AA1286">
        <w:rPr>
          <w:rFonts w:ascii="Times New Roman" w:hAnsi="Times New Roman" w:cs="Times New Roman"/>
          <w:sz w:val="24"/>
          <w:szCs w:val="24"/>
        </w:rPr>
        <w:t xml:space="preserve"> its burden estimates </w:t>
      </w:r>
      <w:r w:rsidRPr="00AA1286">
        <w:rPr>
          <w:rFonts w:ascii="Times New Roman" w:hAnsi="Times New Roman" w:cs="Times New Roman"/>
          <w:sz w:val="24"/>
          <w:szCs w:val="24"/>
        </w:rPr>
        <w:t>for §</w:t>
      </w:r>
      <w:r w:rsidRPr="00AA1286">
        <w:rPr>
          <w:rFonts w:ascii="Times New Roman" w:hAnsi="Times New Roman" w:cs="Times New Roman"/>
          <w:sz w:val="24"/>
          <w:szCs w:val="24"/>
        </w:rPr>
        <w:t xml:space="preserve"> 17.00.  These updated burden estimates are based on anticipated reporting from an estimated 322 respondents (an increase from the Commission’s previous estimate of estimated 310 respondents).  This reflects the Commission’s expectation that each of the twelve DCMs that currently offer contracts that may be considered Covered Event Contracts may be required to submit § 17.00 reports from time to time.</w:t>
      </w:r>
      <w:r w:rsidR="003E72E6">
        <w:rPr>
          <w:rFonts w:ascii="Times New Roman" w:hAnsi="Times New Roman" w:cs="Times New Roman"/>
          <w:sz w:val="24"/>
          <w:szCs w:val="24"/>
        </w:rPr>
        <w:t xml:space="preserve">  </w:t>
      </w:r>
      <w:r w:rsidR="006A0848">
        <w:rPr>
          <w:rFonts w:ascii="Times New Roman" w:hAnsi="Times New Roman" w:cs="Times New Roman"/>
          <w:sz w:val="24"/>
          <w:szCs w:val="24"/>
        </w:rPr>
        <w:t>The</w:t>
      </w:r>
      <w:r w:rsidRPr="00AA1286">
        <w:rPr>
          <w:rFonts w:ascii="Times New Roman" w:hAnsi="Times New Roman" w:cs="Times New Roman"/>
          <w:sz w:val="24"/>
          <w:szCs w:val="24"/>
        </w:rPr>
        <w:t xml:space="preserve"> Commission estimates the updated annual burden associated with the proposed regulation, if adopted, as follows:</w:t>
      </w:r>
      <w:r w:rsidRPr="00A779BC" w:rsidR="00A779BC">
        <w:rPr>
          <w:vertAlign w:val="superscript"/>
        </w:rPr>
        <w:t xml:space="preserve"> </w:t>
      </w:r>
      <w:r>
        <w:rPr>
          <w:vertAlign w:val="superscript"/>
        </w:rPr>
        <w:footnoteReference w:id="26"/>
      </w:r>
    </w:p>
    <w:p w:rsidR="00AA1286" w:rsidRPr="00AA1286" w:rsidP="00AA1286" w14:paraId="43AD7E7F"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number of respondents: 322.</w:t>
      </w:r>
    </w:p>
    <w:p w:rsidR="00AA1286" w:rsidRPr="00AA1286" w:rsidP="00AA1286" w14:paraId="71DABA08"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frequency/</w:t>
      </w:r>
      <w:r w:rsidRPr="00AA1286">
        <w:rPr>
          <w:rFonts w:ascii="Times New Roman" w:hAnsi="Times New Roman" w:cs="Times New Roman"/>
          <w:sz w:val="24"/>
          <w:szCs w:val="24"/>
        </w:rPr>
        <w:t>timing of</w:t>
      </w:r>
      <w:r w:rsidRPr="00AA1286">
        <w:rPr>
          <w:rFonts w:ascii="Times New Roman" w:hAnsi="Times New Roman" w:cs="Times New Roman"/>
          <w:sz w:val="24"/>
          <w:szCs w:val="24"/>
        </w:rPr>
        <w:t xml:space="preserve"> responses: Daily.</w:t>
      </w:r>
    </w:p>
    <w:p w:rsidR="00AA1286" w:rsidRPr="00AA1286" w:rsidP="00AA1286" w14:paraId="6F1FB452"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number of annual responses per respondent: 208.</w:t>
      </w:r>
    </w:p>
    <w:p w:rsidR="00AA1286" w:rsidRPr="00AA1286" w:rsidP="00AA1286" w14:paraId="2E55B1E4"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number of annual responses for all respondents: 66,976.</w:t>
      </w:r>
    </w:p>
    <w:p w:rsidR="00AA1286" w:rsidRPr="00AA1286" w:rsidP="00AA1286" w14:paraId="2896344C"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annual burden hours per response: 0.25.</w:t>
      </w:r>
    </w:p>
    <w:p w:rsidR="00AA1286" w:rsidRPr="00AA1286" w:rsidP="00AA1286" w14:paraId="2561117E"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total annual burden hours per respondent: 52.</w:t>
      </w:r>
    </w:p>
    <w:p w:rsidR="00AA1286" w:rsidRPr="00AA1286" w:rsidP="00AA1286" w14:paraId="17E8C600"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total annual burden hours for all respondents: 16,744.</w:t>
      </w:r>
    </w:p>
    <w:p w:rsidR="00AA1286" w:rsidP="00AA1286" w14:paraId="692F37FA" w14:textId="58009C74">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total annual labor cost: $1,640,912.</w:t>
      </w:r>
    </w:p>
    <w:p w:rsidR="00EF6EDE" w:rsidP="00895B6F" w14:paraId="07297AD9" w14:textId="3FDF00D1">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annualized costs per affected registrant and in the aggregate were determined using an average salary of </w:t>
      </w:r>
      <w:r w:rsidR="00495FAF">
        <w:rPr>
          <w:rFonts w:ascii="Times New Roman" w:hAnsi="Times New Roman" w:cs="Times New Roman"/>
          <w:sz w:val="24"/>
          <w:szCs w:val="24"/>
        </w:rPr>
        <w:t>$98</w:t>
      </w:r>
      <w:r>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27"/>
      </w:r>
      <w:r w:rsidR="00074962">
        <w:rPr>
          <w:rFonts w:ascii="Times New Roman" w:hAnsi="Times New Roman" w:cs="Times New Roman"/>
          <w:sz w:val="24"/>
          <w:szCs w:val="24"/>
        </w:rPr>
        <w:t xml:space="preserve">  </w:t>
      </w:r>
      <w:r w:rsidRPr="000710A0" w:rsidR="00074962">
        <w:rPr>
          <w:rFonts w:ascii="Times New Roman" w:eastAsia="Times New Roman" w:hAnsi="Times New Roman" w:cs="Times New Roman"/>
          <w:iCs/>
          <w:sz w:val="24"/>
          <w:szCs w:val="20"/>
        </w:rPr>
        <w:t>Commission staff arrived at this hourly rate using figures from a weighted average of salaries and bonuses across different profession</w:t>
      </w:r>
      <w:r w:rsidR="009842D6">
        <w:rPr>
          <w:rFonts w:ascii="Times New Roman" w:eastAsia="Times New Roman" w:hAnsi="Times New Roman" w:cs="Times New Roman"/>
          <w:iCs/>
          <w:sz w:val="24"/>
          <w:szCs w:val="20"/>
        </w:rPr>
        <w:t>s</w:t>
      </w:r>
      <w:r w:rsidRPr="000710A0" w:rsidR="00074962">
        <w:rPr>
          <w:rFonts w:ascii="Times New Roman" w:eastAsia="Times New Roman" w:hAnsi="Times New Roman" w:cs="Times New Roman"/>
          <w:iCs/>
          <w:sz w:val="24"/>
          <w:szCs w:val="20"/>
        </w:rPr>
        <w:t xml:space="preserve"> contained in the most recent BLS Occupation Employment and Wages Report (May 202</w:t>
      </w:r>
      <w:r w:rsidR="00074962">
        <w:rPr>
          <w:rFonts w:ascii="Times New Roman" w:eastAsia="Times New Roman" w:hAnsi="Times New Roman" w:cs="Times New Roman"/>
          <w:iCs/>
          <w:sz w:val="24"/>
          <w:szCs w:val="20"/>
        </w:rPr>
        <w:t>4</w:t>
      </w:r>
      <w:r w:rsidR="004B448F">
        <w:rPr>
          <w:rFonts w:ascii="Times New Roman" w:eastAsia="Times New Roman" w:hAnsi="Times New Roman" w:cs="Times New Roman"/>
          <w:iCs/>
          <w:sz w:val="24"/>
          <w:szCs w:val="20"/>
        </w:rPr>
        <w:t>)</w:t>
      </w:r>
      <w:r w:rsidRPr="000710A0" w:rsidR="00074962">
        <w:rPr>
          <w:rFonts w:ascii="Times New Roman" w:eastAsia="Times New Roman" w:hAnsi="Times New Roman" w:cs="Times New Roman"/>
          <w:iCs/>
          <w:sz w:val="24"/>
          <w:szCs w:val="20"/>
        </w:rPr>
        <w:t>.</w:t>
      </w:r>
      <w:r w:rsidR="004904C7">
        <w:rPr>
          <w:rFonts w:ascii="Times New Roman" w:eastAsia="Times New Roman" w:hAnsi="Times New Roman" w:cs="Times New Roman"/>
          <w:iCs/>
          <w:sz w:val="24"/>
          <w:szCs w:val="20"/>
        </w:rPr>
        <w:t xml:space="preserve">  </w:t>
      </w:r>
      <w:r w:rsidRPr="000710A0" w:rsidR="004904C7">
        <w:rPr>
          <w:rFonts w:ascii="Times New Roman" w:eastAsia="Times New Roman" w:hAnsi="Times New Roman" w:cs="Times New Roman"/>
          <w:iCs/>
          <w:sz w:val="24"/>
          <w:szCs w:val="20"/>
        </w:rPr>
        <w:t>The Commission believes that this is an appropriate salary estimate for purposes of this collection.  The Commission estimated wage rate is a weighted national average of mean hourly wages for the following occupations:</w:t>
      </w:r>
      <w:r w:rsidRPr="00115C53">
        <w:rPr>
          <w:rFonts w:ascii="Times New Roman" w:hAnsi="Times New Roman" w:cs="Times New Roman"/>
          <w:sz w:val="24"/>
          <w:szCs w:val="24"/>
        </w:rPr>
        <w:t xml:space="preserve"> (1) </w:t>
      </w:r>
      <w:r w:rsidR="00F50328">
        <w:rPr>
          <w:rFonts w:ascii="Times New Roman" w:hAnsi="Times New Roman" w:cs="Times New Roman"/>
          <w:sz w:val="24"/>
          <w:szCs w:val="24"/>
        </w:rPr>
        <w:t>“</w:t>
      </w:r>
      <w:r w:rsidRPr="00115C53">
        <w:rPr>
          <w:rFonts w:ascii="Times New Roman" w:hAnsi="Times New Roman" w:cs="Times New Roman"/>
          <w:sz w:val="24"/>
          <w:szCs w:val="24"/>
        </w:rPr>
        <w:t>General and Operations Managers</w:t>
      </w:r>
      <w:r w:rsidR="00F50328">
        <w:rPr>
          <w:rFonts w:ascii="Times New Roman" w:hAnsi="Times New Roman" w:cs="Times New Roman"/>
          <w:sz w:val="24"/>
          <w:szCs w:val="24"/>
        </w:rPr>
        <w:t>”</w:t>
      </w:r>
      <w:r w:rsidR="00D96ACC">
        <w:rPr>
          <w:rFonts w:ascii="Times New Roman" w:hAnsi="Times New Roman" w:cs="Times New Roman"/>
          <w:sz w:val="24"/>
          <w:szCs w:val="24"/>
        </w:rPr>
        <w:t xml:space="preserve"> </w:t>
      </w:r>
      <w:r w:rsidRPr="000710A0" w:rsidR="00D96ACC">
        <w:rPr>
          <w:rFonts w:ascii="Times New Roman" w:eastAsia="Times New Roman" w:hAnsi="Times New Roman" w:cs="Times New Roman"/>
          <w:iCs/>
          <w:sz w:val="24"/>
          <w:szCs w:val="20"/>
        </w:rPr>
        <w:t>in the “Securities, Commodity Contracts, and Other Financial Investments and Related Activities Industry,”</w:t>
      </w:r>
      <w:r w:rsidR="00DF7EBB">
        <w:rPr>
          <w:rFonts w:ascii="Times New Roman" w:hAnsi="Times New Roman" w:cs="Times New Roman"/>
          <w:sz w:val="24"/>
          <w:szCs w:val="24"/>
        </w:rPr>
        <w:t xml:space="preserve"> which is </w:t>
      </w:r>
      <w:r w:rsidR="00F70D37">
        <w:rPr>
          <w:rFonts w:ascii="Times New Roman" w:hAnsi="Times New Roman" w:cs="Times New Roman"/>
          <w:sz w:val="24"/>
          <w:szCs w:val="24"/>
        </w:rPr>
        <w:t>$114.88</w:t>
      </w:r>
      <w:r w:rsidR="00955E73">
        <w:rPr>
          <w:rFonts w:ascii="Times New Roman" w:hAnsi="Times New Roman" w:cs="Times New Roman"/>
          <w:sz w:val="24"/>
          <w:szCs w:val="24"/>
        </w:rPr>
        <w:t xml:space="preserve"> (33% weight)</w:t>
      </w:r>
      <w:r w:rsidRPr="00115C53">
        <w:rPr>
          <w:rFonts w:ascii="Times New Roman" w:hAnsi="Times New Roman" w:cs="Times New Roman"/>
          <w:sz w:val="24"/>
          <w:szCs w:val="24"/>
        </w:rPr>
        <w:t xml:space="preserve"> (2) </w:t>
      </w:r>
      <w:r w:rsidR="00F50328">
        <w:rPr>
          <w:rFonts w:ascii="Times New Roman" w:hAnsi="Times New Roman" w:cs="Times New Roman"/>
          <w:sz w:val="24"/>
          <w:szCs w:val="24"/>
        </w:rPr>
        <w:t>“</w:t>
      </w:r>
      <w:r w:rsidRPr="00115C53">
        <w:rPr>
          <w:rFonts w:ascii="Times New Roman" w:hAnsi="Times New Roman" w:cs="Times New Roman"/>
          <w:sz w:val="24"/>
          <w:szCs w:val="24"/>
        </w:rPr>
        <w:t>Lawyers</w:t>
      </w:r>
      <w:r w:rsidR="00F50328">
        <w:rPr>
          <w:rFonts w:ascii="Times New Roman" w:hAnsi="Times New Roman" w:cs="Times New Roman"/>
          <w:sz w:val="24"/>
          <w:szCs w:val="24"/>
        </w:rPr>
        <w:t>”</w:t>
      </w:r>
      <w:r w:rsidR="00D96ACC">
        <w:rPr>
          <w:rFonts w:ascii="Times New Roman" w:hAnsi="Times New Roman" w:cs="Times New Roman"/>
          <w:sz w:val="24"/>
          <w:szCs w:val="24"/>
        </w:rPr>
        <w:t xml:space="preserve"> in the same industry</w:t>
      </w:r>
      <w:r w:rsidRPr="00115C53">
        <w:rPr>
          <w:rFonts w:ascii="Times New Roman" w:hAnsi="Times New Roman" w:cs="Times New Roman"/>
          <w:sz w:val="24"/>
          <w:szCs w:val="24"/>
        </w:rPr>
        <w:t>,</w:t>
      </w:r>
      <w:r w:rsidR="00955E73">
        <w:rPr>
          <w:rFonts w:ascii="Times New Roman" w:hAnsi="Times New Roman" w:cs="Times New Roman"/>
          <w:sz w:val="24"/>
          <w:szCs w:val="24"/>
        </w:rPr>
        <w:t xml:space="preserve"> which is </w:t>
      </w:r>
      <w:r w:rsidR="00F70D37">
        <w:rPr>
          <w:rFonts w:ascii="Times New Roman" w:hAnsi="Times New Roman" w:cs="Times New Roman"/>
          <w:sz w:val="24"/>
          <w:szCs w:val="24"/>
        </w:rPr>
        <w:t>$128.34</w:t>
      </w:r>
      <w:r w:rsidR="00955E73">
        <w:rPr>
          <w:rFonts w:ascii="Times New Roman" w:hAnsi="Times New Roman" w:cs="Times New Roman"/>
          <w:sz w:val="24"/>
          <w:szCs w:val="24"/>
        </w:rPr>
        <w:t xml:space="preserve"> (33% weight),</w:t>
      </w:r>
      <w:r w:rsidRPr="00115C53">
        <w:rPr>
          <w:rFonts w:ascii="Times New Roman" w:hAnsi="Times New Roman" w:cs="Times New Roman"/>
          <w:sz w:val="24"/>
          <w:szCs w:val="24"/>
        </w:rPr>
        <w:t xml:space="preserve"> and (3) </w:t>
      </w:r>
      <w:r w:rsidR="00F50328">
        <w:rPr>
          <w:rFonts w:ascii="Times New Roman" w:hAnsi="Times New Roman" w:cs="Times New Roman"/>
          <w:sz w:val="24"/>
          <w:szCs w:val="24"/>
        </w:rPr>
        <w:t>“</w:t>
      </w:r>
      <w:r w:rsidRPr="00115C53">
        <w:rPr>
          <w:rFonts w:ascii="Times New Roman" w:hAnsi="Times New Roman" w:cs="Times New Roman"/>
          <w:sz w:val="24"/>
          <w:szCs w:val="24"/>
        </w:rPr>
        <w:t>Compliance Officers</w:t>
      </w:r>
      <w:r w:rsidR="00F50328">
        <w:rPr>
          <w:rFonts w:ascii="Times New Roman" w:hAnsi="Times New Roman" w:cs="Times New Roman"/>
          <w:sz w:val="24"/>
          <w:szCs w:val="24"/>
        </w:rPr>
        <w:t>”</w:t>
      </w:r>
      <w:r w:rsidR="00D96ACC">
        <w:rPr>
          <w:rFonts w:ascii="Times New Roman" w:hAnsi="Times New Roman" w:cs="Times New Roman"/>
          <w:sz w:val="24"/>
          <w:szCs w:val="24"/>
        </w:rPr>
        <w:t xml:space="preserve"> in the same industry</w:t>
      </w:r>
      <w:r w:rsidR="00955E73">
        <w:rPr>
          <w:rFonts w:ascii="Times New Roman" w:hAnsi="Times New Roman" w:cs="Times New Roman"/>
          <w:sz w:val="24"/>
          <w:szCs w:val="24"/>
        </w:rPr>
        <w:t xml:space="preserve">, which is </w:t>
      </w:r>
      <w:r w:rsidR="00D96ACC">
        <w:rPr>
          <w:rFonts w:ascii="Times New Roman" w:hAnsi="Times New Roman" w:cs="Times New Roman"/>
          <w:sz w:val="24"/>
          <w:szCs w:val="24"/>
        </w:rPr>
        <w:t>$49.34</w:t>
      </w:r>
      <w:r w:rsidR="00955E73">
        <w:rPr>
          <w:rFonts w:ascii="Times New Roman" w:hAnsi="Times New Roman" w:cs="Times New Roman"/>
          <w:sz w:val="24"/>
          <w:szCs w:val="24"/>
        </w:rPr>
        <w:t xml:space="preserve"> (33% weight)</w:t>
      </w:r>
      <w:r w:rsidRPr="00115C53">
        <w:rPr>
          <w:rFonts w:ascii="Times New Roman" w:hAnsi="Times New Roman" w:cs="Times New Roman"/>
          <w:sz w:val="24"/>
          <w:szCs w:val="24"/>
        </w:rPr>
        <w:t>.</w:t>
      </w:r>
      <w:r w:rsidR="00D96ACC">
        <w:rPr>
          <w:rFonts w:ascii="Times New Roman" w:hAnsi="Times New Roman" w:cs="Times New Roman"/>
          <w:sz w:val="24"/>
          <w:szCs w:val="24"/>
        </w:rPr>
        <w:t xml:space="preserve">  </w:t>
      </w:r>
      <w:r w:rsidRPr="000710A0" w:rsidR="00D96ACC">
        <w:rPr>
          <w:rFonts w:ascii="Times New Roman" w:eastAsia="Times New Roman" w:hAnsi="Times New Roman" w:cs="Times New Roman"/>
          <w:iCs/>
          <w:sz w:val="24"/>
          <w:szCs w:val="20"/>
        </w:rPr>
        <w:t>Commission staff chose this methodology to account for the variance in skill sets that may be used to accomplish the collection of information.</w:t>
      </w:r>
    </w:p>
    <w:p w:rsidR="00657E2D" w:rsidRPr="00895B6F" w:rsidP="00895B6F" w14:paraId="0329AEDA" w14:textId="44B13649">
      <w:pPr>
        <w:pStyle w:val="ListParagraph"/>
        <w:widowControl w:val="0"/>
        <w:numPr>
          <w:ilvl w:val="0"/>
          <w:numId w:val="3"/>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895B6F">
        <w:rPr>
          <w:rFonts w:ascii="Times New Roman" w:eastAsia="Times New Roman" w:hAnsi="Times New Roman" w:cs="Times New Roman"/>
          <w:i/>
          <w:sz w:val="24"/>
          <w:szCs w:val="20"/>
        </w:rPr>
        <w:t>OMB Control Number 3038-00</w:t>
      </w:r>
      <w:r w:rsidRPr="00895B6F" w:rsidR="009432ED">
        <w:rPr>
          <w:rFonts w:ascii="Times New Roman" w:eastAsia="Times New Roman" w:hAnsi="Times New Roman" w:cs="Times New Roman"/>
          <w:i/>
          <w:sz w:val="24"/>
          <w:szCs w:val="20"/>
        </w:rPr>
        <w:t>12</w:t>
      </w:r>
    </w:p>
    <w:p w:rsidR="00913A8C" w:rsidRPr="00913A8C" w:rsidP="00913A8C" w14:paraId="4BEFB6A0" w14:textId="4CC9F018">
      <w:pPr>
        <w:widowControl w:val="0"/>
        <w:autoSpaceDE w:val="0"/>
        <w:autoSpaceDN w:val="0"/>
        <w:adjustRightInd w:val="0"/>
        <w:spacing w:after="240" w:line="240" w:lineRule="auto"/>
        <w:ind w:firstLine="720"/>
        <w:rPr>
          <w:rFonts w:ascii="Times New Roman" w:hAnsi="Times New Roman" w:cs="Times New Roman"/>
          <w:sz w:val="24"/>
          <w:szCs w:val="24"/>
        </w:rPr>
      </w:pPr>
      <w:r w:rsidRPr="00913A8C">
        <w:rPr>
          <w:rFonts w:ascii="Times New Roman" w:hAnsi="Times New Roman" w:cs="Times New Roman"/>
          <w:sz w:val="24"/>
          <w:szCs w:val="24"/>
        </w:rPr>
        <w:t xml:space="preserve">OMB Collection 3038-0012 reflects burdens resulting from § 16.01’s requirement that DCMs submit a daily market data report reflecting trading volume and open interest. </w:t>
      </w:r>
      <w:r w:rsidR="009D0620">
        <w:rPr>
          <w:rFonts w:ascii="Times New Roman" w:hAnsi="Times New Roman" w:cs="Times New Roman"/>
          <w:sz w:val="24"/>
          <w:szCs w:val="24"/>
        </w:rPr>
        <w:t xml:space="preserve"> </w:t>
      </w:r>
      <w:r w:rsidRPr="00913A8C">
        <w:rPr>
          <w:rFonts w:ascii="Times New Roman" w:hAnsi="Times New Roman" w:cs="Times New Roman"/>
          <w:sz w:val="24"/>
          <w:szCs w:val="24"/>
        </w:rPr>
        <w:t xml:space="preserve">Previously, the Commission estimated a total annual </w:t>
      </w:r>
      <w:r w:rsidRPr="00913A8C">
        <w:rPr>
          <w:rFonts w:ascii="Times New Roman" w:hAnsi="Times New Roman" w:cs="Times New Roman"/>
          <w:sz w:val="24"/>
          <w:szCs w:val="24"/>
        </w:rPr>
        <w:t>time-burden</w:t>
      </w:r>
      <w:r w:rsidRPr="00913A8C">
        <w:rPr>
          <w:rFonts w:ascii="Times New Roman" w:hAnsi="Times New Roman" w:cs="Times New Roman"/>
          <w:sz w:val="24"/>
          <w:szCs w:val="24"/>
        </w:rPr>
        <w:t xml:space="preserve"> for reporting markets of 9,500 hours for compliance with § 16.01.  The estimate was based on an estimate that 38 reporting markets would provide an average of 250 market data </w:t>
      </w:r>
      <w:r w:rsidRPr="00913A8C">
        <w:rPr>
          <w:rFonts w:ascii="Times New Roman" w:hAnsi="Times New Roman" w:cs="Times New Roman"/>
          <w:sz w:val="24"/>
          <w:szCs w:val="24"/>
        </w:rPr>
        <w:t>reports to the Commission</w:t>
      </w:r>
      <w:r w:rsidRPr="00913A8C">
        <w:rPr>
          <w:rFonts w:ascii="Times New Roman" w:hAnsi="Times New Roman" w:cs="Times New Roman"/>
          <w:sz w:val="24"/>
          <w:szCs w:val="24"/>
        </w:rPr>
        <w:t xml:space="preserve"> per </w:t>
      </w:r>
      <w:r w:rsidRPr="00913A8C">
        <w:rPr>
          <w:rFonts w:ascii="Times New Roman" w:hAnsi="Times New Roman" w:cs="Times New Roman"/>
          <w:sz w:val="24"/>
          <w:szCs w:val="24"/>
        </w:rPr>
        <w:t>year, and</w:t>
      </w:r>
      <w:r w:rsidRPr="00913A8C">
        <w:rPr>
          <w:rFonts w:ascii="Times New Roman" w:hAnsi="Times New Roman" w:cs="Times New Roman"/>
          <w:sz w:val="24"/>
          <w:szCs w:val="24"/>
        </w:rPr>
        <w:t xml:space="preserve"> would incur a burden of approximately two hours to compile and submit each report.  All DCMs are required to submit market data reports pursuant to § 16.01 and the Proposal would not require any reporting market that is not currently submitting such reports to begin doing so.  Accordingly, the Commission is retaining its existing burden estimates for OMB Collection 3038-0012.</w:t>
      </w:r>
      <w:r>
        <w:rPr>
          <w:vertAlign w:val="superscript"/>
        </w:rPr>
        <w:footnoteReference w:id="28"/>
      </w:r>
    </w:p>
    <w:p w:rsidR="001621C4" w:rsidRPr="009B60A3" w:rsidP="00895B6F" w14:paraId="68F4F1E7" w14:textId="2122D96F">
      <w:pPr>
        <w:pStyle w:val="ListParagraph"/>
        <w:widowControl w:val="0"/>
        <w:numPr>
          <w:ilvl w:val="0"/>
          <w:numId w:val="3"/>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9B60A3">
        <w:rPr>
          <w:rFonts w:ascii="Times New Roman" w:eastAsia="Times New Roman" w:hAnsi="Times New Roman" w:cs="Times New Roman"/>
          <w:i/>
          <w:sz w:val="24"/>
          <w:szCs w:val="20"/>
        </w:rPr>
        <w:t>OMB Control Number 3038-0103</w:t>
      </w:r>
    </w:p>
    <w:p w:rsidR="003F47A2" w:rsidRPr="003F47A2" w:rsidP="003F47A2" w14:paraId="0DA0E066" w14:textId="77EF6FB6">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OMB Collection 3038-0103 reflects information collection burdens </w:t>
      </w:r>
      <w:r w:rsidR="00E21D3F">
        <w:rPr>
          <w:rFonts w:ascii="Times New Roman" w:eastAsia="Times New Roman" w:hAnsi="Times New Roman" w:cs="Times New Roman"/>
          <w:iCs/>
          <w:sz w:val="24"/>
          <w:szCs w:val="20"/>
        </w:rPr>
        <w:t>ass</w:t>
      </w:r>
      <w:r w:rsidR="002342E9">
        <w:rPr>
          <w:rFonts w:ascii="Times New Roman" w:eastAsia="Times New Roman" w:hAnsi="Times New Roman" w:cs="Times New Roman"/>
          <w:iCs/>
          <w:sz w:val="24"/>
          <w:szCs w:val="20"/>
        </w:rPr>
        <w:t xml:space="preserve">ociated with </w:t>
      </w:r>
      <w:r w:rsidRPr="003F47A2">
        <w:rPr>
          <w:rFonts w:ascii="Times New Roman" w:eastAsia="Times New Roman" w:hAnsi="Times New Roman" w:cs="Times New Roman"/>
          <w:iCs/>
          <w:sz w:val="24"/>
          <w:szCs w:val="20"/>
        </w:rPr>
        <w:t xml:space="preserve">the filing of ownership and control reports.  Section 17.01(a) requires FCMs, clearing members, foreign brokers, and certain reporting markets to submit Form 102As concerning special accounts for futures and options.  Section 17.01(b)’s requires clearing members to submit Form 102Bs concerning volume threshold accounts.  Section 17.01(c) requires FCMs, clearing members, and foreign brokers to submit Form 71 for certain omnibus accounts.  Section 18.04(a) requires certain traders to submit Form 40 for special accounts.  Section 18.04(b) requires certain traders to submit Form 40 for volume threshold accounts.  Section 18.05 contains books and records requirements for traders.  The proposed amendments provide for event contracts that may be Covered Event Contracts of proposed § 16.03(a) to be largely treated as futures for reporting purposes.  Accordingly, the Proposal </w:t>
      </w:r>
      <w:r w:rsidR="0044320D">
        <w:rPr>
          <w:rFonts w:ascii="Times New Roman" w:eastAsia="Times New Roman" w:hAnsi="Times New Roman" w:cs="Times New Roman"/>
          <w:iCs/>
          <w:sz w:val="24"/>
          <w:szCs w:val="20"/>
        </w:rPr>
        <w:t xml:space="preserve">is expected to impact the burdens associated with the filing of Commission Forms 102A, 102B, </w:t>
      </w:r>
      <w:r w:rsidR="008A6F00">
        <w:rPr>
          <w:rFonts w:ascii="Times New Roman" w:eastAsia="Times New Roman" w:hAnsi="Times New Roman" w:cs="Times New Roman"/>
          <w:iCs/>
          <w:sz w:val="24"/>
          <w:szCs w:val="20"/>
        </w:rPr>
        <w:t>and 40.</w:t>
      </w:r>
    </w:p>
    <w:p w:rsidR="003F47A2" w:rsidRPr="003F47A2" w:rsidP="003F47A2" w14:paraId="0E8600FF" w14:textId="54AF30AD">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102A</w:t>
      </w:r>
      <w:r w:rsidRPr="003F47A2">
        <w:rPr>
          <w:rFonts w:ascii="Times New Roman" w:eastAsia="Times New Roman" w:hAnsi="Times New Roman" w:cs="Times New Roman"/>
          <w:iCs/>
          <w:sz w:val="24"/>
          <w:szCs w:val="20"/>
        </w:rPr>
        <w:t>: The Commission has previously estimated that it receives Form 102As, which identify special accounts, from approximately 312 reporting parties per year, and estimates each of those reporting parties will spend 106 annual burden hours on average on that reporting.  Based on an analysis of transaction data, the Commission anticipates the Proposal would result in DCMs, FCMs, clearing members, and foreign brokers submitting Form 102As for approximately 800 additional special accounts on an average business day.   Accordingly, the Commission anticipates that the estimated total of annual responses will increase by 200,000 (800 responses × 250 days), resulting in a revised estimate of 303,430 (the previous estimate of 103,430</w:t>
      </w:r>
      <w:r>
        <w:rPr>
          <w:rFonts w:ascii="Times New Roman" w:hAnsi="Times New Roman" w:cs="Times New Roman"/>
          <w:vertAlign w:val="superscript"/>
        </w:rPr>
        <w:footnoteReference w:id="29"/>
      </w:r>
      <w:r w:rsidRPr="00B27488">
        <w:rPr>
          <w:rFonts w:ascii="Times New Roman" w:eastAsia="Times New Roman" w:hAnsi="Times New Roman" w:cs="Times New Roman"/>
          <w:iCs/>
          <w:sz w:val="24"/>
          <w:szCs w:val="20"/>
        </w:rPr>
        <w:t xml:space="preserve"> </w:t>
      </w:r>
      <w:r w:rsidRPr="003F47A2">
        <w:rPr>
          <w:rFonts w:ascii="Times New Roman" w:eastAsia="Times New Roman" w:hAnsi="Times New Roman" w:cs="Times New Roman"/>
          <w:iCs/>
          <w:sz w:val="24"/>
          <w:szCs w:val="20"/>
        </w:rPr>
        <w:t>+ 200,000 estimated additional responses) total annual responses.</w:t>
      </w:r>
    </w:p>
    <w:p w:rsidR="003F47A2" w:rsidRPr="003F47A2" w:rsidP="003F47A2" w14:paraId="45E0E53E" w14:textId="0B3160CB">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Accordingly, the Commission estimates the updated annual burden associated with the proposed regulation, if adopted, as follows:</w:t>
      </w:r>
      <w:r>
        <w:rPr>
          <w:rFonts w:ascii="Times New Roman" w:hAnsi="Times New Roman" w:cs="Times New Roman"/>
          <w:vertAlign w:val="superscript"/>
        </w:rPr>
        <w:footnoteReference w:id="30"/>
      </w:r>
    </w:p>
    <w:p w:rsidR="003F47A2" w:rsidRPr="003F47A2" w:rsidP="003F47A2" w14:paraId="5FC7549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324.</w:t>
      </w:r>
    </w:p>
    <w:p w:rsidR="003F47A2" w:rsidRPr="003F47A2" w:rsidP="003F47A2" w14:paraId="7D05E3BF"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w:t>
      </w:r>
      <w:r w:rsidRPr="003F47A2">
        <w:rPr>
          <w:rFonts w:ascii="Times New Roman" w:eastAsia="Times New Roman" w:hAnsi="Times New Roman" w:cs="Times New Roman"/>
          <w:iCs/>
          <w:sz w:val="24"/>
          <w:szCs w:val="20"/>
        </w:rPr>
        <w:t>timing of</w:t>
      </w:r>
      <w:r w:rsidRPr="003F47A2">
        <w:rPr>
          <w:rFonts w:ascii="Times New Roman" w:eastAsia="Times New Roman" w:hAnsi="Times New Roman" w:cs="Times New Roman"/>
          <w:iCs/>
          <w:sz w:val="24"/>
          <w:szCs w:val="20"/>
        </w:rPr>
        <w:t xml:space="preserve"> responses: On occasion.</w:t>
      </w:r>
    </w:p>
    <w:p w:rsidR="003F47A2" w:rsidRPr="003F47A2" w:rsidP="003F47A2" w14:paraId="65FF18F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937.</w:t>
      </w:r>
    </w:p>
    <w:p w:rsidR="003F47A2" w:rsidRPr="003F47A2" w:rsidP="003F47A2" w14:paraId="066E6C78"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303,430.</w:t>
      </w:r>
    </w:p>
    <w:p w:rsidR="003F47A2" w:rsidRPr="003F47A2" w:rsidP="003F47A2" w14:paraId="5543E0CE"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0.32.</w:t>
      </w:r>
    </w:p>
    <w:p w:rsidR="003F47A2" w:rsidRPr="003F47A2" w:rsidP="003F47A2" w14:paraId="281414EE"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300.</w:t>
      </w:r>
    </w:p>
    <w:p w:rsidR="003F47A2" w:rsidRPr="003F47A2" w:rsidP="003F47A2" w14:paraId="2573BCF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 97,200.</w:t>
      </w:r>
    </w:p>
    <w:p w:rsidR="003F47A2" w:rsidRPr="003F47A2" w:rsidP="003F47A2" w14:paraId="6425F72C" w14:textId="64A15105">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labor cost: $12,052</w:t>
      </w:r>
      <w:r w:rsidRPr="0023769F">
        <w:rPr>
          <w:rFonts w:ascii="Times New Roman" w:eastAsia="Times New Roman" w:hAnsi="Times New Roman" w:cs="Times New Roman"/>
          <w:iCs/>
          <w:sz w:val="24"/>
          <w:szCs w:val="20"/>
        </w:rPr>
        <w:t>,800.</w:t>
      </w:r>
      <w:r>
        <w:rPr>
          <w:rFonts w:ascii="Times New Roman" w:hAnsi="Times New Roman" w:cs="Times New Roman"/>
          <w:vertAlign w:val="superscript"/>
        </w:rPr>
        <w:footnoteReference w:id="31"/>
      </w:r>
    </w:p>
    <w:p w:rsidR="003F47A2" w:rsidRPr="003F47A2" w:rsidP="003F47A2" w14:paraId="1F8834D8"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102B</w:t>
      </w:r>
      <w:r w:rsidRPr="003F47A2">
        <w:rPr>
          <w:rFonts w:ascii="Times New Roman" w:eastAsia="Times New Roman" w:hAnsi="Times New Roman" w:cs="Times New Roman"/>
          <w:iCs/>
          <w:sz w:val="24"/>
          <w:szCs w:val="20"/>
        </w:rPr>
        <w:t>:  The Commission has previously estimated that it receives Form 102Bs, through which clearing members of DCMs identify volume threshold accounts, from approximately 114 reporting parties per year, and estimates each of those reporting parties will spend 163 annual burden hours on average on that reporting.   Based on an analysis of transaction data, the Commission anticipates that, under the proposed reporting regime, clearing members would submit Form 102Bs for approximately 150 additional reportable volume threshold accounts on an average business day.  Accordingly, the Commission is increasing its estimate of total annual responses by 37,500 (150 responses × 250 days), resulting in a revised estimate of 566,500 (the previous estimate of 529,000  + 37,500 estimated additional responses) total annual responses.</w:t>
      </w:r>
    </w:p>
    <w:p w:rsidR="003F47A2" w:rsidRPr="003F47A2" w:rsidP="003F47A2" w14:paraId="475FFE7C" w14:textId="3DA280AE">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Accordingly, the Commission estimates the updated annual burden associated with the proposed regulation, if adopted, as follow</w:t>
      </w:r>
      <w:r w:rsidRPr="00690D5A">
        <w:rPr>
          <w:rFonts w:ascii="Times New Roman" w:eastAsia="Times New Roman" w:hAnsi="Times New Roman" w:cs="Times New Roman"/>
          <w:iCs/>
          <w:sz w:val="24"/>
          <w:szCs w:val="20"/>
        </w:rPr>
        <w:t>s:</w:t>
      </w:r>
      <w:r>
        <w:rPr>
          <w:rFonts w:ascii="Times New Roman" w:hAnsi="Times New Roman" w:cs="Times New Roman"/>
          <w:vertAlign w:val="superscript"/>
        </w:rPr>
        <w:footnoteReference w:id="32"/>
      </w:r>
    </w:p>
    <w:p w:rsidR="003F47A2" w:rsidRPr="003F47A2" w:rsidP="003F47A2" w14:paraId="48B2C7D8"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114.</w:t>
      </w:r>
    </w:p>
    <w:p w:rsidR="003F47A2" w:rsidRPr="003F47A2" w:rsidP="003F47A2" w14:paraId="0DA9796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w:t>
      </w:r>
      <w:r w:rsidRPr="003F47A2">
        <w:rPr>
          <w:rFonts w:ascii="Times New Roman" w:eastAsia="Times New Roman" w:hAnsi="Times New Roman" w:cs="Times New Roman"/>
          <w:iCs/>
          <w:sz w:val="24"/>
          <w:szCs w:val="20"/>
        </w:rPr>
        <w:t>timing of</w:t>
      </w:r>
      <w:r w:rsidRPr="003F47A2">
        <w:rPr>
          <w:rFonts w:ascii="Times New Roman" w:eastAsia="Times New Roman" w:hAnsi="Times New Roman" w:cs="Times New Roman"/>
          <w:iCs/>
          <w:sz w:val="24"/>
          <w:szCs w:val="20"/>
        </w:rPr>
        <w:t xml:space="preserve"> responses: On occasion.</w:t>
      </w:r>
    </w:p>
    <w:p w:rsidR="003F47A2" w:rsidRPr="003F47A2" w:rsidP="003F47A2" w14:paraId="39A3D071"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4,969.</w:t>
      </w:r>
    </w:p>
    <w:p w:rsidR="003F47A2" w:rsidRPr="003F47A2" w:rsidP="003F47A2" w14:paraId="5C805F55"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566,500.</w:t>
      </w:r>
    </w:p>
    <w:p w:rsidR="003F47A2" w:rsidRPr="003F47A2" w:rsidP="003F47A2" w14:paraId="43D62961"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0.04.</w:t>
      </w:r>
    </w:p>
    <w:p w:rsidR="003F47A2" w:rsidRPr="003F47A2" w:rsidP="003F47A2" w14:paraId="09FE3E7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199.</w:t>
      </w:r>
    </w:p>
    <w:p w:rsidR="003F47A2" w:rsidRPr="003F47A2" w:rsidP="003F47A2" w14:paraId="79B0097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respondents:22,686.</w:t>
      </w:r>
    </w:p>
    <w:p w:rsidR="003F47A2" w:rsidRPr="003F47A2" w:rsidP="003F47A2" w14:paraId="7168F692" w14:textId="7A892253">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labor cost: $2,813,064.</w:t>
      </w:r>
      <w:r>
        <w:rPr>
          <w:rStyle w:val="FootnoteReference"/>
          <w:rFonts w:ascii="Times New Roman" w:eastAsia="Times New Roman" w:hAnsi="Times New Roman" w:cs="Times New Roman"/>
          <w:iCs/>
          <w:sz w:val="24"/>
          <w:szCs w:val="20"/>
        </w:rPr>
        <w:footnoteReference w:id="33"/>
      </w:r>
    </w:p>
    <w:p w:rsidR="003F47A2" w:rsidRPr="003F47A2" w:rsidP="003F47A2" w14:paraId="340463BE" w14:textId="596BCEDA">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40 (Special Accounts)</w:t>
      </w:r>
      <w:r w:rsidRPr="003F47A2">
        <w:rPr>
          <w:rFonts w:ascii="Times New Roman" w:eastAsia="Times New Roman" w:hAnsi="Times New Roman" w:cs="Times New Roman"/>
          <w:iCs/>
          <w:sz w:val="24"/>
          <w:szCs w:val="20"/>
        </w:rPr>
        <w:t xml:space="preserve">: Sending a special call for Form 40 to a trader who owns, holds or controls, or has held, owned or controlled, a special account is within the Commission’s discretion.   Based on an analysis of transaction data for contracts that would fit the proposed Covered Event Contracts definition, under the existing </w:t>
      </w:r>
      <w:r w:rsidR="007901E1">
        <w:rPr>
          <w:rFonts w:ascii="Times New Roman" w:eastAsia="Times New Roman" w:hAnsi="Times New Roman" w:cs="Times New Roman"/>
          <w:iCs/>
          <w:sz w:val="24"/>
          <w:szCs w:val="20"/>
        </w:rPr>
        <w:t>25</w:t>
      </w:r>
      <w:r w:rsidRPr="003F47A2">
        <w:rPr>
          <w:rFonts w:ascii="Times New Roman" w:eastAsia="Times New Roman" w:hAnsi="Times New Roman" w:cs="Times New Roman"/>
          <w:iCs/>
          <w:sz w:val="24"/>
          <w:szCs w:val="20"/>
        </w:rPr>
        <w:t xml:space="preserve">-contract reporting level in § 15.03, the Commission estimates that </w:t>
      </w:r>
      <w:r w:rsidRPr="003F47A2">
        <w:rPr>
          <w:rFonts w:ascii="Times New Roman" w:eastAsia="Times New Roman" w:hAnsi="Times New Roman" w:cs="Times New Roman"/>
          <w:iCs/>
          <w:sz w:val="24"/>
          <w:szCs w:val="20"/>
        </w:rPr>
        <w:t>in excess of</w:t>
      </w:r>
      <w:r w:rsidRPr="003F47A2">
        <w:rPr>
          <w:rFonts w:ascii="Times New Roman" w:eastAsia="Times New Roman" w:hAnsi="Times New Roman" w:cs="Times New Roman"/>
          <w:iCs/>
          <w:sz w:val="24"/>
          <w:szCs w:val="20"/>
        </w:rPr>
        <w:t xml:space="preserve"> one million special accounts would be eligible to receive a special call in connection with positions in Covered Event Contracts.   The Commission has previously estimated that the CFTC receives approximately 3,000 Form 40 records filings per year arising from required Form 102A </w:t>
      </w:r>
      <w:r w:rsidRPr="003F47A2">
        <w:rPr>
          <w:rFonts w:ascii="Times New Roman" w:eastAsia="Times New Roman" w:hAnsi="Times New Roman" w:cs="Times New Roman"/>
          <w:iCs/>
          <w:sz w:val="24"/>
          <w:szCs w:val="20"/>
        </w:rPr>
        <w:t>filings, and</w:t>
      </w:r>
      <w:r w:rsidRPr="003F47A2">
        <w:rPr>
          <w:rFonts w:ascii="Times New Roman" w:eastAsia="Times New Roman" w:hAnsi="Times New Roman" w:cs="Times New Roman"/>
          <w:iCs/>
          <w:sz w:val="24"/>
          <w:szCs w:val="20"/>
        </w:rPr>
        <w:t xml:space="preserve"> estimated that each such filing will require five hours to complete.   Based on analysis of transaction data and the Commission’s experience with Form 40, the Commission estimates the Proposal would result in as many as 210 additional respondents submitting Form 40 for special accounts.   Accordingly, the Commission is increasing its estimate for total annual responses by 2,100 (210 additional respondents × 10 estimated reports per respondent annually).</w:t>
      </w:r>
    </w:p>
    <w:p w:rsidR="003F47A2" w:rsidRPr="003F47A2" w:rsidP="003F47A2" w14:paraId="27733542" w14:textId="55BA3E4A">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Accordingly, the Commission estimates the updated annual burden associated with the proposed regulation, if adopted, as </w:t>
      </w:r>
      <w:r w:rsidRPr="00C005D7">
        <w:rPr>
          <w:rFonts w:ascii="Times New Roman" w:eastAsia="Times New Roman" w:hAnsi="Times New Roman" w:cs="Times New Roman"/>
          <w:iCs/>
          <w:sz w:val="24"/>
          <w:szCs w:val="20"/>
        </w:rPr>
        <w:t>follows:</w:t>
      </w:r>
      <w:r>
        <w:rPr>
          <w:rFonts w:ascii="Times New Roman" w:hAnsi="Times New Roman" w:cs="Times New Roman"/>
          <w:vertAlign w:val="superscript"/>
        </w:rPr>
        <w:footnoteReference w:id="34"/>
      </w:r>
    </w:p>
    <w:p w:rsidR="003F47A2" w:rsidRPr="003F47A2" w:rsidP="003F47A2" w14:paraId="09CEF886"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510.</w:t>
      </w:r>
    </w:p>
    <w:p w:rsidR="003F47A2" w:rsidRPr="003F47A2" w:rsidP="003F47A2" w14:paraId="6420F476"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w:t>
      </w:r>
      <w:r w:rsidRPr="003F47A2">
        <w:rPr>
          <w:rFonts w:ascii="Times New Roman" w:eastAsia="Times New Roman" w:hAnsi="Times New Roman" w:cs="Times New Roman"/>
          <w:iCs/>
          <w:sz w:val="24"/>
          <w:szCs w:val="20"/>
        </w:rPr>
        <w:t>timing of</w:t>
      </w:r>
      <w:r w:rsidRPr="003F47A2">
        <w:rPr>
          <w:rFonts w:ascii="Times New Roman" w:eastAsia="Times New Roman" w:hAnsi="Times New Roman" w:cs="Times New Roman"/>
          <w:iCs/>
          <w:sz w:val="24"/>
          <w:szCs w:val="20"/>
        </w:rPr>
        <w:t xml:space="preserve"> responses: On occasion.</w:t>
      </w:r>
    </w:p>
    <w:p w:rsidR="003F47A2" w:rsidRPr="003F47A2" w:rsidP="003F47A2" w14:paraId="5F4F2D27"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10.</w:t>
      </w:r>
    </w:p>
    <w:p w:rsidR="003F47A2" w:rsidRPr="003F47A2" w:rsidP="003F47A2" w14:paraId="7B842CA5"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5,100.</w:t>
      </w:r>
    </w:p>
    <w:p w:rsidR="003F47A2" w:rsidRPr="003F47A2" w:rsidP="003F47A2" w14:paraId="18B1C355"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5.</w:t>
      </w:r>
    </w:p>
    <w:p w:rsidR="003F47A2" w:rsidRPr="003F47A2" w:rsidP="003F47A2" w14:paraId="769F646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50.</w:t>
      </w:r>
    </w:p>
    <w:p w:rsidR="003F47A2" w:rsidRPr="003F47A2" w:rsidP="003F47A2" w14:paraId="5BDC8D8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 25,500.</w:t>
      </w:r>
    </w:p>
    <w:p w:rsidR="003F47A2" w:rsidRPr="003F47A2" w:rsidP="003F47A2" w14:paraId="372F400D" w14:textId="566063B0">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Estimated total annual labor </w:t>
      </w:r>
      <w:r w:rsidRPr="0063764F">
        <w:rPr>
          <w:rFonts w:ascii="Times New Roman" w:eastAsia="Times New Roman" w:hAnsi="Times New Roman" w:cs="Times New Roman"/>
          <w:iCs/>
          <w:sz w:val="24"/>
          <w:szCs w:val="20"/>
        </w:rPr>
        <w:t>cost: $3,162,000.</w:t>
      </w:r>
      <w:r>
        <w:rPr>
          <w:rFonts w:ascii="Times New Roman" w:hAnsi="Times New Roman" w:cs="Times New Roman"/>
          <w:vertAlign w:val="superscript"/>
        </w:rPr>
        <w:footnoteReference w:id="35"/>
      </w:r>
    </w:p>
    <w:p w:rsidR="003F47A2" w:rsidRPr="003F47A2" w:rsidP="003F47A2" w14:paraId="2AB906CB" w14:textId="2C27C5F3">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40 (Reportable Volume Threshold Accounts and Reportable Sub-Accounts)</w:t>
      </w:r>
      <w:r w:rsidRPr="003F47A2">
        <w:rPr>
          <w:rFonts w:ascii="Times New Roman" w:eastAsia="Times New Roman" w:hAnsi="Times New Roman" w:cs="Times New Roman"/>
          <w:iCs/>
          <w:sz w:val="24"/>
          <w:szCs w:val="20"/>
        </w:rPr>
        <w:t xml:space="preserve">: Sending a special call for Form 40 to a trader who owns, holds or controls, or has held, owned or controlled, a volume threshold account is within the Commission’s discretion.  Based on analysis of transaction data and the Commission’s experience with Form 40, the Commission estimates the Proposal would result in as many as 100 additional respondents submitting Form 40 for reportable volume threshold accounts.  Previously, the Commission estimated it </w:t>
      </w:r>
      <w:r w:rsidRPr="003F47A2">
        <w:rPr>
          <w:rFonts w:ascii="Times New Roman" w:eastAsia="Times New Roman" w:hAnsi="Times New Roman" w:cs="Times New Roman"/>
          <w:iCs/>
          <w:sz w:val="24"/>
          <w:szCs w:val="20"/>
        </w:rPr>
        <w:t>receives</w:t>
      </w:r>
      <w:r w:rsidRPr="003F47A2">
        <w:rPr>
          <w:rFonts w:ascii="Times New Roman" w:eastAsia="Times New Roman" w:hAnsi="Times New Roman" w:cs="Times New Roman"/>
          <w:iCs/>
          <w:sz w:val="24"/>
          <w:szCs w:val="20"/>
        </w:rPr>
        <w:t xml:space="preserve"> approximately 18,920 total annual responses for reportable volume threshold accounts and reportable sub-accounts.  Based on an analysis of transaction data, the Commission anticipates the Proposal would result in clearing members submitting Form 40s for approximately 112 volume threshold accounts on an average business day.  Accordingly, the Commission is increasing its estimate of total annual responses by 2,000, resulting in a revised estimate of 20,920 responses (the previous estimate of </w:t>
      </w:r>
      <w:r w:rsidRPr="00647AFB">
        <w:rPr>
          <w:rFonts w:ascii="Times New Roman" w:eastAsia="Times New Roman" w:hAnsi="Times New Roman" w:cs="Times New Roman"/>
          <w:iCs/>
          <w:sz w:val="24"/>
          <w:szCs w:val="20"/>
        </w:rPr>
        <w:t>18,920</w:t>
      </w:r>
      <w:r>
        <w:rPr>
          <w:rFonts w:ascii="Times New Roman" w:hAnsi="Times New Roman" w:cs="Times New Roman"/>
          <w:vertAlign w:val="superscript"/>
        </w:rPr>
        <w:footnoteReference w:id="36"/>
      </w:r>
      <w:r w:rsidRPr="003F47A2">
        <w:rPr>
          <w:rFonts w:ascii="Times New Roman" w:eastAsia="Times New Roman" w:hAnsi="Times New Roman" w:cs="Times New Roman"/>
          <w:iCs/>
          <w:sz w:val="24"/>
          <w:szCs w:val="20"/>
        </w:rPr>
        <w:t xml:space="preserve">  + 2,000 estimated additional responses) total annual responses.</w:t>
      </w:r>
    </w:p>
    <w:p w:rsidR="003F47A2" w:rsidRPr="003F47A2" w:rsidP="003F47A2" w14:paraId="17466BF2" w14:textId="0D530C1D">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Accordingly, the Commission estimates the updated annual burden associated with the proposed regulation, if adopted, as </w:t>
      </w:r>
      <w:r w:rsidRPr="00A01B88">
        <w:rPr>
          <w:rFonts w:ascii="Times New Roman" w:eastAsia="Times New Roman" w:hAnsi="Times New Roman" w:cs="Times New Roman"/>
          <w:iCs/>
          <w:sz w:val="24"/>
          <w:szCs w:val="20"/>
        </w:rPr>
        <w:t>follows:</w:t>
      </w:r>
      <w:r>
        <w:rPr>
          <w:rFonts w:ascii="Times New Roman" w:hAnsi="Times New Roman" w:cs="Times New Roman"/>
          <w:vertAlign w:val="superscript"/>
        </w:rPr>
        <w:footnoteReference w:id="37"/>
      </w:r>
    </w:p>
    <w:p w:rsidR="003F47A2" w:rsidRPr="003F47A2" w:rsidP="003F47A2" w14:paraId="03A7E05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214.</w:t>
      </w:r>
    </w:p>
    <w:p w:rsidR="003F47A2" w:rsidRPr="003F47A2" w:rsidP="003F47A2" w14:paraId="5A56DAC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w:t>
      </w:r>
      <w:r w:rsidRPr="003F47A2">
        <w:rPr>
          <w:rFonts w:ascii="Times New Roman" w:eastAsia="Times New Roman" w:hAnsi="Times New Roman" w:cs="Times New Roman"/>
          <w:iCs/>
          <w:sz w:val="24"/>
          <w:szCs w:val="20"/>
        </w:rPr>
        <w:t>timing of</w:t>
      </w:r>
      <w:r w:rsidRPr="003F47A2">
        <w:rPr>
          <w:rFonts w:ascii="Times New Roman" w:eastAsia="Times New Roman" w:hAnsi="Times New Roman" w:cs="Times New Roman"/>
          <w:iCs/>
          <w:sz w:val="24"/>
          <w:szCs w:val="20"/>
        </w:rPr>
        <w:t xml:space="preserve"> responses: On occasion.</w:t>
      </w:r>
    </w:p>
    <w:p w:rsidR="003F47A2" w:rsidRPr="003F47A2" w:rsidP="003F47A2" w14:paraId="5114B8D9"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98.</w:t>
      </w:r>
    </w:p>
    <w:p w:rsidR="003F47A2" w:rsidRPr="003F47A2" w:rsidP="003F47A2" w14:paraId="23043686"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20,920.</w:t>
      </w:r>
    </w:p>
    <w:p w:rsidR="003F47A2" w:rsidRPr="003F47A2" w:rsidP="003F47A2" w14:paraId="73AC7669"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5.</w:t>
      </w:r>
    </w:p>
    <w:p w:rsidR="003F47A2" w:rsidRPr="003F47A2" w:rsidP="003F47A2" w14:paraId="3A47A224"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490.</w:t>
      </w:r>
    </w:p>
    <w:p w:rsidR="003F47A2" w:rsidRPr="003F47A2" w:rsidP="003F47A2" w14:paraId="69240CA0"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 104,860.</w:t>
      </w:r>
    </w:p>
    <w:p w:rsidR="00913A8C" w:rsidP="003F47A2" w14:paraId="2A2F8177" w14:textId="5C9CA969">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labor cost: $13,002,</w:t>
      </w:r>
      <w:r w:rsidRPr="00E13552">
        <w:rPr>
          <w:rFonts w:ascii="Times New Roman" w:eastAsia="Times New Roman" w:hAnsi="Times New Roman" w:cs="Times New Roman"/>
          <w:iCs/>
          <w:sz w:val="24"/>
          <w:szCs w:val="20"/>
        </w:rPr>
        <w:t>640.</w:t>
      </w:r>
      <w:r>
        <w:rPr>
          <w:rFonts w:ascii="Times New Roman" w:hAnsi="Times New Roman" w:cs="Times New Roman"/>
          <w:vertAlign w:val="superscript"/>
        </w:rPr>
        <w:footnoteReference w:id="38"/>
      </w:r>
    </w:p>
    <w:p w:rsidR="000710A0" w:rsidRPr="000710A0" w:rsidP="009B60A3" w14:paraId="1DD4E976" w14:textId="40A58D6E">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0710A0">
        <w:rPr>
          <w:rFonts w:ascii="Times New Roman" w:eastAsia="Times New Roman" w:hAnsi="Times New Roman" w:cs="Times New Roman"/>
          <w:iCs/>
          <w:sz w:val="24"/>
          <w:szCs w:val="20"/>
        </w:rPr>
        <w:t>The annualized costs per affected registrant and in the aggregate were determined using an average salary of $</w:t>
      </w:r>
      <w:r w:rsidR="00403C85">
        <w:rPr>
          <w:rFonts w:ascii="Times New Roman" w:eastAsia="Times New Roman" w:hAnsi="Times New Roman" w:cs="Times New Roman"/>
          <w:iCs/>
          <w:sz w:val="24"/>
          <w:szCs w:val="20"/>
        </w:rPr>
        <w:t>124</w:t>
      </w:r>
      <w:r w:rsidRPr="000710A0">
        <w:rPr>
          <w:rFonts w:ascii="Times New Roman" w:eastAsia="Times New Roman" w:hAnsi="Times New Roman" w:cs="Times New Roman"/>
          <w:iCs/>
          <w:sz w:val="24"/>
          <w:szCs w:val="20"/>
        </w:rPr>
        <w:t>.00 per hour.</w:t>
      </w:r>
      <w:r>
        <w:rPr>
          <w:rFonts w:ascii="Times New Roman" w:eastAsia="Times New Roman" w:hAnsi="Times New Roman" w:cs="Times New Roman"/>
          <w:iCs/>
          <w:sz w:val="24"/>
          <w:szCs w:val="20"/>
          <w:vertAlign w:val="superscript"/>
        </w:rPr>
        <w:footnoteReference w:id="39"/>
      </w:r>
      <w:r w:rsidRPr="000710A0">
        <w:rPr>
          <w:rFonts w:ascii="Times New Roman" w:eastAsia="Times New Roman" w:hAnsi="Times New Roman" w:cs="Times New Roman"/>
          <w:iCs/>
          <w:sz w:val="24"/>
          <w:szCs w:val="20"/>
        </w:rPr>
        <w:t xml:space="preserve">  Commission staff arrived at this hourly rate using figures from a weighted average of salaries and bonuses across different professio</w:t>
      </w:r>
      <w:r w:rsidR="00DF59F5">
        <w:rPr>
          <w:rFonts w:ascii="Times New Roman" w:eastAsia="Times New Roman" w:hAnsi="Times New Roman" w:cs="Times New Roman"/>
          <w:iCs/>
          <w:sz w:val="24"/>
          <w:szCs w:val="20"/>
        </w:rPr>
        <w:t>n</w:t>
      </w:r>
      <w:r w:rsidR="00E234EE">
        <w:rPr>
          <w:rFonts w:ascii="Times New Roman" w:eastAsia="Times New Roman" w:hAnsi="Times New Roman" w:cs="Times New Roman"/>
          <w:iCs/>
          <w:sz w:val="24"/>
          <w:szCs w:val="20"/>
        </w:rPr>
        <w:t>s</w:t>
      </w:r>
      <w:r w:rsidRPr="000710A0">
        <w:rPr>
          <w:rFonts w:ascii="Times New Roman" w:eastAsia="Times New Roman" w:hAnsi="Times New Roman" w:cs="Times New Roman"/>
          <w:iCs/>
          <w:sz w:val="24"/>
          <w:szCs w:val="20"/>
        </w:rPr>
        <w:t xml:space="preserve"> contained in the most recent BLS Occupation Employment and Wages Report (May 202</w:t>
      </w:r>
      <w:r w:rsidR="00C80A45">
        <w:rPr>
          <w:rFonts w:ascii="Times New Roman" w:eastAsia="Times New Roman" w:hAnsi="Times New Roman" w:cs="Times New Roman"/>
          <w:iCs/>
          <w:sz w:val="24"/>
          <w:szCs w:val="20"/>
        </w:rPr>
        <w:t>4</w:t>
      </w:r>
      <w:r w:rsidRPr="000710A0">
        <w:rPr>
          <w:rFonts w:ascii="Times New Roman" w:eastAsia="Times New Roman" w:hAnsi="Times New Roman" w:cs="Times New Roman"/>
          <w:iCs/>
          <w:sz w:val="24"/>
          <w:szCs w:val="20"/>
        </w:rPr>
        <w:t>) multiplied by 1.3 to account for overhead and other benefits.  The Commission believes that this is an appropriate salary estimate for purposes of this collection.  The Commission estimated wage rate is a weighted national average of mean hourly wages for the following occupations (and their relative weight): “Lawyers” in the “Securities, Commodity Contracts, and Other Financial Investments and Related Activities Industry,” which is $</w:t>
      </w:r>
      <w:r w:rsidR="001E5D2B">
        <w:rPr>
          <w:rFonts w:ascii="Times New Roman" w:eastAsia="Times New Roman" w:hAnsi="Times New Roman" w:cs="Times New Roman"/>
          <w:iCs/>
          <w:sz w:val="24"/>
          <w:szCs w:val="20"/>
        </w:rPr>
        <w:t>128.34</w:t>
      </w:r>
      <w:r w:rsidRPr="000710A0">
        <w:rPr>
          <w:rFonts w:ascii="Times New Roman" w:eastAsia="Times New Roman" w:hAnsi="Times New Roman" w:cs="Times New Roman"/>
          <w:iCs/>
          <w:sz w:val="24"/>
          <w:szCs w:val="20"/>
        </w:rPr>
        <w:t xml:space="preserve"> (25% weight); “Financial Managers” in the same industry, which is $</w:t>
      </w:r>
      <w:r w:rsidR="00322E0C">
        <w:rPr>
          <w:rFonts w:ascii="Times New Roman" w:eastAsia="Times New Roman" w:hAnsi="Times New Roman" w:cs="Times New Roman"/>
          <w:iCs/>
          <w:sz w:val="24"/>
          <w:szCs w:val="20"/>
        </w:rPr>
        <w:t>126.19</w:t>
      </w:r>
      <w:r w:rsidRPr="000710A0">
        <w:rPr>
          <w:rFonts w:ascii="Times New Roman" w:eastAsia="Times New Roman" w:hAnsi="Times New Roman" w:cs="Times New Roman"/>
          <w:iCs/>
          <w:sz w:val="24"/>
          <w:szCs w:val="20"/>
        </w:rPr>
        <w:t xml:space="preserve"> (25% weight); “Compliance Officers” in the same industry, which is $</w:t>
      </w:r>
      <w:r w:rsidR="00F815F5">
        <w:rPr>
          <w:rFonts w:ascii="Times New Roman" w:eastAsia="Times New Roman" w:hAnsi="Times New Roman" w:cs="Times New Roman"/>
          <w:iCs/>
          <w:sz w:val="24"/>
          <w:szCs w:val="20"/>
        </w:rPr>
        <w:t>49.34</w:t>
      </w:r>
      <w:r w:rsidRPr="000710A0">
        <w:rPr>
          <w:rFonts w:ascii="Times New Roman" w:eastAsia="Times New Roman" w:hAnsi="Times New Roman" w:cs="Times New Roman"/>
          <w:iCs/>
          <w:sz w:val="24"/>
          <w:szCs w:val="20"/>
        </w:rPr>
        <w:t xml:space="preserve"> (25% weight); “</w:t>
      </w:r>
      <w:r w:rsidR="001157C4">
        <w:rPr>
          <w:rFonts w:ascii="Times New Roman" w:eastAsia="Times New Roman" w:hAnsi="Times New Roman" w:cs="Times New Roman"/>
          <w:iCs/>
          <w:sz w:val="24"/>
          <w:szCs w:val="20"/>
        </w:rPr>
        <w:t>Software and Web Developers, Programmers, and Testers</w:t>
      </w:r>
      <w:r w:rsidRPr="000710A0">
        <w:rPr>
          <w:rFonts w:ascii="Times New Roman" w:eastAsia="Times New Roman" w:hAnsi="Times New Roman" w:cs="Times New Roman"/>
          <w:iCs/>
          <w:sz w:val="24"/>
          <w:szCs w:val="20"/>
        </w:rPr>
        <w:t>” in the same industry, which is $</w:t>
      </w:r>
      <w:r w:rsidR="00215C97">
        <w:rPr>
          <w:rFonts w:ascii="Times New Roman" w:eastAsia="Times New Roman" w:hAnsi="Times New Roman" w:cs="Times New Roman"/>
          <w:iCs/>
          <w:sz w:val="24"/>
          <w:szCs w:val="20"/>
        </w:rPr>
        <w:t>78.14</w:t>
      </w:r>
      <w:r w:rsidRPr="000710A0">
        <w:rPr>
          <w:rFonts w:ascii="Times New Roman" w:eastAsia="Times New Roman" w:hAnsi="Times New Roman" w:cs="Times New Roman"/>
          <w:iCs/>
          <w:sz w:val="24"/>
          <w:szCs w:val="20"/>
        </w:rPr>
        <w:t xml:space="preserve"> (25% weight).  Commission staff chose this methodology to account for the variance in skill sets that may be used to accomplish the collection of information.</w:t>
      </w:r>
    </w:p>
    <w:p w:rsidR="00D50C84" w:rsidRPr="00E21E52" w:rsidP="005F7F42" w14:paraId="25AA2669"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an estimate of the total annual cost burden to respondents or recordkeepers resulting from the collection of information.  (Do not include the cost of any hour burden shown in Items 12 and 14)</w:t>
      </w:r>
      <w:r w:rsidRPr="00E21E52">
        <w:rPr>
          <w:rFonts w:ascii="Times New Roman" w:eastAsia="Times New Roman" w:hAnsi="Times New Roman" w:cs="Times New Roman"/>
          <w:sz w:val="24"/>
          <w:szCs w:val="20"/>
        </w:rPr>
        <w:t>.</w:t>
      </w:r>
    </w:p>
    <w:p w:rsidR="00D50C84" w:rsidRPr="00E21E52" w:rsidP="00B749D0" w14:paraId="2AB37EFF" w14:textId="095457AB">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453B3">
        <w:rPr>
          <w:rFonts w:ascii="Times New Roman" w:eastAsia="Times New Roman" w:hAnsi="Times New Roman" w:cs="Times New Roman"/>
          <w:sz w:val="24"/>
          <w:szCs w:val="20"/>
          <w:u w:val="single"/>
        </w:rPr>
        <w:t>take into account</w:t>
      </w:r>
      <w:r w:rsidRPr="008453B3">
        <w:rPr>
          <w:rFonts w:ascii="Times New Roman" w:eastAsia="Times New Roman" w:hAnsi="Times New Roman" w:cs="Times New Roman"/>
          <w:sz w:val="24"/>
          <w:szCs w:val="20"/>
          <w:u w:val="single"/>
        </w:rPr>
        <w:t xml:space="preserve"> costs associated with generating, maintaining, and disclosing or providing the information.  Include descriptions of methods used to estimate major </w:t>
      </w:r>
      <w:r w:rsidRPr="008453B3">
        <w:rPr>
          <w:rFonts w:ascii="Times New Roman" w:eastAsia="Times New Roman" w:hAnsi="Times New Roman" w:cs="Times New Roman"/>
          <w:sz w:val="24"/>
          <w:szCs w:val="20"/>
          <w:u w:val="single"/>
        </w:rPr>
        <w:t>costs</w:t>
      </w:r>
      <w:r w:rsidRPr="008453B3">
        <w:rPr>
          <w:rFonts w:ascii="Times New Roman" w:eastAsia="Times New Roman" w:hAnsi="Times New Roman" w:cs="Times New Roman"/>
          <w:sz w:val="24"/>
          <w:szCs w:val="20"/>
          <w:u w:val="single"/>
        </w:rPr>
        <w:t xml:space="preserve"> factors including system and technology acquisition, expected useful life of capital equipment, the discount rate(s), and the </w:t>
      </w:r>
      <w:r w:rsidRPr="008453B3">
        <w:rPr>
          <w:rFonts w:ascii="Times New Roman" w:eastAsia="Times New Roman" w:hAnsi="Times New Roman" w:cs="Times New Roman"/>
          <w:sz w:val="24"/>
          <w:szCs w:val="20"/>
          <w:u w:val="single"/>
        </w:rPr>
        <w:t>time period</w:t>
      </w:r>
      <w:r w:rsidRPr="008453B3">
        <w:rPr>
          <w:rFonts w:ascii="Times New Roman" w:eastAsia="Times New Roman" w:hAnsi="Times New Roman" w:cs="Times New Roman"/>
          <w:sz w:val="24"/>
          <w:szCs w:val="20"/>
          <w:u w:val="single"/>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50C84" w:rsidRPr="00E21E52" w:rsidP="00B749D0" w14:paraId="1C39AC6E" w14:textId="081FB2B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w:t>
      </w:r>
      <w:r w:rsidRPr="008453B3">
        <w:rPr>
          <w:rFonts w:ascii="Times New Roman" w:eastAsia="Times New Roman" w:hAnsi="Times New Roman" w:cs="Times New Roman"/>
          <w:sz w:val="24"/>
          <w:szCs w:val="20"/>
          <w:u w:val="single"/>
        </w:rPr>
        <w:t>economic or regulatory impact analysis associated with the rulemaking containing the information collection, as appropriate.</w:t>
      </w:r>
    </w:p>
    <w:p w:rsidR="00142199" w:rsidP="00B749D0" w14:paraId="5ABC3BF2" w14:textId="7577CEBA">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7F8D" w:rsidRPr="009169F1" w:rsidP="00FD175B" w14:paraId="0B204607" w14:textId="492C8271">
      <w:pPr>
        <w:pStyle w:val="ListParagraph"/>
        <w:widowControl w:val="0"/>
        <w:numPr>
          <w:ilvl w:val="0"/>
          <w:numId w:val="8"/>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C51A45">
        <w:rPr>
          <w:rFonts w:ascii="Times New Roman" w:eastAsia="Times New Roman" w:hAnsi="Times New Roman" w:cs="Times New Roman"/>
          <w:i/>
          <w:sz w:val="24"/>
          <w:szCs w:val="20"/>
        </w:rPr>
        <w:t>OMB Control Number 3038-0009</w:t>
      </w:r>
    </w:p>
    <w:p w:rsidR="00F4150E" w:rsidP="009169F1" w14:paraId="5A7649F0" w14:textId="7F0C7DA3">
      <w:pPr>
        <w:tabs>
          <w:tab w:val="left" w:pos="-720"/>
        </w:tabs>
        <w:suppressAutoHyphen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F4150E">
        <w:rPr>
          <w:rFonts w:ascii="Times New Roman" w:eastAsia="Times New Roman" w:hAnsi="Times New Roman" w:cs="Times New Roman"/>
          <w:sz w:val="24"/>
          <w:szCs w:val="20"/>
        </w:rPr>
        <w:t xml:space="preserve">The Commission does not anticipate that the Proposal would result in additional capital costs or operating and maintenance costs associated with this collection. DCMs are independently required to maintain position information on large traders for monitoring and surveillance purposes.   Also, reporting parties of large trader position information are reporting markets or well-capitalized intermediaries, and to the extent reporting parties of large trader position information for Covered Event Contracts </w:t>
      </w:r>
      <w:r w:rsidRPr="00F4150E">
        <w:rPr>
          <w:rFonts w:ascii="Times New Roman" w:eastAsia="Times New Roman" w:hAnsi="Times New Roman" w:cs="Times New Roman"/>
          <w:sz w:val="24"/>
          <w:szCs w:val="20"/>
        </w:rPr>
        <w:t>have</w:t>
      </w:r>
      <w:r w:rsidRPr="00F4150E">
        <w:rPr>
          <w:rFonts w:ascii="Times New Roman" w:eastAsia="Times New Roman" w:hAnsi="Times New Roman" w:cs="Times New Roman"/>
          <w:sz w:val="24"/>
          <w:szCs w:val="20"/>
        </w:rPr>
        <w:t xml:space="preserve"> not previously reported such information, such firms generally already have systems in place for reporting such information for accounts trading futures.</w:t>
      </w:r>
    </w:p>
    <w:p w:rsidR="00F4150E" w:rsidRPr="009169F1" w:rsidP="009169F1" w14:paraId="4BCDE4B1" w14:textId="59AB1715">
      <w:pPr>
        <w:pStyle w:val="ListParagraph"/>
        <w:widowControl w:val="0"/>
        <w:numPr>
          <w:ilvl w:val="0"/>
          <w:numId w:val="8"/>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9169F1">
        <w:rPr>
          <w:rFonts w:ascii="Times New Roman" w:eastAsia="Times New Roman" w:hAnsi="Times New Roman" w:cs="Times New Roman"/>
          <w:i/>
          <w:sz w:val="24"/>
          <w:szCs w:val="20"/>
        </w:rPr>
        <w:t>OMB Control Number 3038-0012</w:t>
      </w:r>
    </w:p>
    <w:p w:rsidR="008F38A4" w:rsidRPr="008F38A4" w:rsidP="009169F1" w14:paraId="376D2D13" w14:textId="65E73D13">
      <w:pPr>
        <w:tabs>
          <w:tab w:val="left" w:pos="-720"/>
        </w:tabs>
        <w:suppressAutoHyphens/>
        <w:spacing w:after="240" w:line="240" w:lineRule="auto"/>
        <w:ind w:firstLine="720"/>
        <w:rPr>
          <w:rFonts w:ascii="Times New Roman" w:eastAsia="Times New Roman" w:hAnsi="Times New Roman" w:cs="Times New Roman"/>
          <w:sz w:val="24"/>
          <w:szCs w:val="20"/>
        </w:rPr>
      </w:pPr>
      <w:r w:rsidRPr="008F38A4">
        <w:rPr>
          <w:rFonts w:ascii="Times New Roman" w:eastAsia="Times New Roman" w:hAnsi="Times New Roman" w:cs="Times New Roman"/>
          <w:sz w:val="24"/>
          <w:szCs w:val="20"/>
        </w:rPr>
        <w:t xml:space="preserve">OMB Collection 3038-0012 reflects burdens resulting from § 16.01’s requirement that DCMs submit a daily market data report reflecting trading volume and open interest. Previously, the Commission estimated a total annual </w:t>
      </w:r>
      <w:r w:rsidRPr="008F38A4">
        <w:rPr>
          <w:rFonts w:ascii="Times New Roman" w:eastAsia="Times New Roman" w:hAnsi="Times New Roman" w:cs="Times New Roman"/>
          <w:sz w:val="24"/>
          <w:szCs w:val="20"/>
        </w:rPr>
        <w:t>time-burden</w:t>
      </w:r>
      <w:r w:rsidRPr="008F38A4">
        <w:rPr>
          <w:rFonts w:ascii="Times New Roman" w:eastAsia="Times New Roman" w:hAnsi="Times New Roman" w:cs="Times New Roman"/>
          <w:sz w:val="24"/>
          <w:szCs w:val="20"/>
        </w:rPr>
        <w:t xml:space="preserve"> for reporting markets of 9,500 hours for compliance with § 16.01.  The estimate was based on an estimate that 38 reporting markets would provide an average of 250 market data </w:t>
      </w:r>
      <w:r w:rsidRPr="008F38A4">
        <w:rPr>
          <w:rFonts w:ascii="Times New Roman" w:eastAsia="Times New Roman" w:hAnsi="Times New Roman" w:cs="Times New Roman"/>
          <w:sz w:val="24"/>
          <w:szCs w:val="20"/>
        </w:rPr>
        <w:t>reports to the Commission</w:t>
      </w:r>
      <w:r w:rsidRPr="008F38A4">
        <w:rPr>
          <w:rFonts w:ascii="Times New Roman" w:eastAsia="Times New Roman" w:hAnsi="Times New Roman" w:cs="Times New Roman"/>
          <w:sz w:val="24"/>
          <w:szCs w:val="20"/>
        </w:rPr>
        <w:t xml:space="preserve"> per </w:t>
      </w:r>
      <w:r w:rsidRPr="008F38A4">
        <w:rPr>
          <w:rFonts w:ascii="Times New Roman" w:eastAsia="Times New Roman" w:hAnsi="Times New Roman" w:cs="Times New Roman"/>
          <w:sz w:val="24"/>
          <w:szCs w:val="20"/>
        </w:rPr>
        <w:t>year, and</w:t>
      </w:r>
      <w:r w:rsidRPr="008F38A4">
        <w:rPr>
          <w:rFonts w:ascii="Times New Roman" w:eastAsia="Times New Roman" w:hAnsi="Times New Roman" w:cs="Times New Roman"/>
          <w:sz w:val="24"/>
          <w:szCs w:val="20"/>
        </w:rPr>
        <w:t xml:space="preserve"> would incur a burden of approximately two hours to compile and submit each report.  All DCMs are required to submit market data reports pursuant to § 16.01 and the Proposal would not require any reporting market that is not currently submitting such reports to begin doing so.  Accordingly, the Commission is retaining its existing burden estimates for OMB Collection 3038-0012. </w:t>
      </w:r>
    </w:p>
    <w:p w:rsidR="008F38A4" w:rsidRPr="008F38A4" w:rsidP="009169F1" w14:paraId="7267084B" w14:textId="77777777">
      <w:pPr>
        <w:tabs>
          <w:tab w:val="left" w:pos="-720"/>
        </w:tabs>
        <w:suppressAutoHyphens/>
        <w:spacing w:after="240" w:line="240" w:lineRule="auto"/>
        <w:ind w:firstLine="720"/>
        <w:rPr>
          <w:rFonts w:ascii="Times New Roman" w:eastAsia="Times New Roman" w:hAnsi="Times New Roman" w:cs="Times New Roman"/>
          <w:sz w:val="24"/>
          <w:szCs w:val="20"/>
        </w:rPr>
      </w:pPr>
      <w:r w:rsidRPr="008F38A4">
        <w:rPr>
          <w:rFonts w:ascii="Times New Roman" w:eastAsia="Times New Roman" w:hAnsi="Times New Roman" w:cs="Times New Roman"/>
          <w:sz w:val="24"/>
          <w:szCs w:val="20"/>
        </w:rPr>
        <w:t>The Commission anticipates, however, that the requirement in proposed § 16.03(b) that DCMs include certain settlement information in daily market data reports may require minor modifications to the systems that DCMs use to submit such reports.  The Commission estimates DCMs would incur a one-time burden of $11,750 in capital/start-up costs to update electronic systems to transmit the settlement information specified in proposed § 16.03(b).   This yields a total of $141,000 in capital start-up costs for the 12 DCMs that list event contracts to update their systems to ensure accurate reporting of certain settlement information (12 DCMs × $11,750).</w:t>
      </w:r>
    </w:p>
    <w:p w:rsidR="00F4150E" w:rsidP="00974236" w14:paraId="7B314660" w14:textId="6AC8CC96">
      <w:pPr>
        <w:tabs>
          <w:tab w:val="left" w:pos="-720"/>
        </w:tabs>
        <w:suppressAutoHyphens/>
        <w:spacing w:after="240" w:line="240" w:lineRule="auto"/>
        <w:ind w:firstLine="720"/>
        <w:rPr>
          <w:rFonts w:ascii="Times New Roman" w:eastAsia="Times New Roman" w:hAnsi="Times New Roman" w:cs="Times New Roman"/>
          <w:sz w:val="24"/>
          <w:szCs w:val="20"/>
        </w:rPr>
      </w:pPr>
      <w:r w:rsidRPr="008F38A4">
        <w:rPr>
          <w:rFonts w:ascii="Times New Roman" w:eastAsia="Times New Roman" w:hAnsi="Times New Roman" w:cs="Times New Roman"/>
          <w:sz w:val="24"/>
          <w:szCs w:val="20"/>
        </w:rPr>
        <w:t xml:space="preserve">The Commission also estimates that these DCMs will incur ongoing annual operational and maintenance costs to maintain required systems. The Commission estimates that these capital costs will total $5,640 annually for a total cost to all DCMs of $67,680 (12 DCMs × $5,640).  Together these capital costs total $208,680 in capital startup and ongoing operational and maintenance costs for 38 DCMs.   The Commission does not anticipate that the Proposal would result in other additional capital costs or operating and maintenance costs associated with </w:t>
      </w:r>
      <w:r w:rsidRPr="008F38A4">
        <w:rPr>
          <w:rFonts w:ascii="Times New Roman" w:eastAsia="Times New Roman" w:hAnsi="Times New Roman" w:cs="Times New Roman"/>
          <w:sz w:val="24"/>
          <w:szCs w:val="20"/>
        </w:rPr>
        <w:t>this collection.  DCMs are already required to submit reports required by § 16.01 and will continue to do so even absent the amendments proposed as part of the Proposal.</w:t>
      </w:r>
    </w:p>
    <w:p w:rsidR="00161BF3" w:rsidRPr="002B4A5A" w:rsidP="00FD175B" w14:paraId="58AA1AB1" w14:textId="48E4E7F2">
      <w:pPr>
        <w:pStyle w:val="ListParagraph"/>
        <w:widowControl w:val="0"/>
        <w:numPr>
          <w:ilvl w:val="0"/>
          <w:numId w:val="8"/>
        </w:numPr>
        <w:autoSpaceDE w:val="0"/>
        <w:autoSpaceDN w:val="0"/>
        <w:adjustRightInd w:val="0"/>
        <w:spacing w:after="240" w:line="240" w:lineRule="auto"/>
        <w:contextualSpacing w:val="0"/>
        <w:rPr>
          <w:rFonts w:ascii="Times New Roman" w:eastAsia="Times New Roman" w:hAnsi="Times New Roman" w:cs="Times New Roman"/>
          <w:i/>
          <w:iCs/>
          <w:sz w:val="24"/>
          <w:szCs w:val="20"/>
        </w:rPr>
      </w:pPr>
      <w:r w:rsidRPr="002B4A5A">
        <w:rPr>
          <w:rFonts w:ascii="Times New Roman" w:eastAsia="Times New Roman" w:hAnsi="Times New Roman" w:cs="Times New Roman"/>
          <w:i/>
          <w:iCs/>
          <w:sz w:val="24"/>
          <w:szCs w:val="20"/>
        </w:rPr>
        <w:t>OMB Collection 3038-0103</w:t>
      </w:r>
    </w:p>
    <w:p w:rsidR="00FD175B" w:rsidRPr="009169F1" w:rsidP="002B4A5A" w14:paraId="2D6D7B27" w14:textId="20FEC566">
      <w:pPr>
        <w:tabs>
          <w:tab w:val="left" w:pos="-720"/>
        </w:tabs>
        <w:suppressAutoHyphens/>
        <w:spacing w:after="240" w:line="240" w:lineRule="auto"/>
        <w:ind w:firstLine="720"/>
        <w:rPr>
          <w:rFonts w:ascii="Times New Roman" w:eastAsia="Times New Roman" w:hAnsi="Times New Roman" w:cs="Times New Roman"/>
          <w:sz w:val="24"/>
          <w:szCs w:val="20"/>
        </w:rPr>
      </w:pPr>
      <w:r w:rsidRPr="00F4150E">
        <w:rPr>
          <w:rFonts w:ascii="Times New Roman" w:eastAsia="Times New Roman" w:hAnsi="Times New Roman" w:cs="Times New Roman"/>
          <w:sz w:val="24"/>
          <w:szCs w:val="20"/>
        </w:rPr>
        <w:t>The Commission does not anticipate that the Proposal would result in additional capital costs or operating and maintenance costs associated with this collection.</w:t>
      </w:r>
    </w:p>
    <w:p w:rsidR="00D50C84" w:rsidRPr="00E21E52" w:rsidP="0051557B" w14:paraId="6C5468F7" w14:textId="2D35D1DF">
      <w:pPr>
        <w:tabs>
          <w:tab w:val="left" w:pos="-720"/>
        </w:tabs>
        <w:suppressAutoHyphens/>
        <w:spacing w:after="240" w:line="240" w:lineRule="auto"/>
        <w:ind w:left="720" w:hanging="720"/>
        <w:rPr>
          <w:rFonts w:ascii="Times New Roman" w:eastAsia="Times New Roman" w:hAnsi="Times New Roman" w:cs="Times New Roman"/>
          <w:sz w:val="24"/>
          <w:szCs w:val="20"/>
          <w:highlight w:val="red"/>
        </w:rPr>
      </w:pPr>
      <w:r w:rsidRPr="00E21E52">
        <w:rPr>
          <w:rFonts w:ascii="Times New Roman" w:eastAsia="Times New Roman" w:hAnsi="Times New Roman" w:cs="Times New Roman"/>
          <w:sz w:val="24"/>
          <w:szCs w:val="20"/>
        </w:rPr>
        <w:t>14.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50C84" w:rsidP="0051557B" w14:paraId="7D4BB0A8" w14:textId="3B2ABE2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The Commission does not anticipate that the proposed changes will require additional staff time or technology resources beyond what is already dedicated to th</w:t>
      </w:r>
      <w:r w:rsidR="00B11067">
        <w:rPr>
          <w:rFonts w:ascii="Times New Roman" w:eastAsia="Times New Roman" w:hAnsi="Times New Roman" w:cs="Times New Roman"/>
          <w:sz w:val="24"/>
          <w:szCs w:val="20"/>
        </w:rPr>
        <w:t>e relevant</w:t>
      </w:r>
      <w:r w:rsidRPr="00665298">
        <w:rPr>
          <w:rFonts w:ascii="Times New Roman" w:eastAsia="Times New Roman" w:hAnsi="Times New Roman" w:cs="Times New Roman"/>
          <w:sz w:val="24"/>
          <w:szCs w:val="20"/>
        </w:rPr>
        <w:t xml:space="preserve"> collection</w:t>
      </w:r>
      <w:r w:rsidR="00B11067">
        <w:rPr>
          <w:rFonts w:ascii="Times New Roman" w:eastAsia="Times New Roman" w:hAnsi="Times New Roman" w:cs="Times New Roman"/>
          <w:sz w:val="24"/>
          <w:szCs w:val="20"/>
        </w:rPr>
        <w:t>s.</w:t>
      </w:r>
    </w:p>
    <w:p w:rsidR="00495447" w:rsidP="0051557B" w14:paraId="2B92999B" w14:textId="21E1A683">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Accordingly, the Commission is retaining its </w:t>
      </w:r>
      <w:r w:rsidR="00813E99">
        <w:rPr>
          <w:rFonts w:ascii="Times New Roman" w:eastAsia="Times New Roman" w:hAnsi="Times New Roman" w:cs="Times New Roman"/>
          <w:sz w:val="24"/>
          <w:szCs w:val="20"/>
        </w:rPr>
        <w:t xml:space="preserve">existing estimates of the anticipated </w:t>
      </w:r>
      <w:r>
        <w:rPr>
          <w:rFonts w:ascii="Times New Roman" w:eastAsia="Times New Roman" w:hAnsi="Times New Roman" w:cs="Times New Roman"/>
          <w:sz w:val="24"/>
          <w:szCs w:val="20"/>
        </w:rPr>
        <w:t xml:space="preserve">cost to </w:t>
      </w:r>
      <w:r w:rsidR="00813E99">
        <w:rPr>
          <w:rFonts w:ascii="Times New Roman" w:eastAsia="Times New Roman" w:hAnsi="Times New Roman" w:cs="Times New Roman"/>
          <w:sz w:val="24"/>
          <w:szCs w:val="20"/>
        </w:rPr>
        <w:t>government as-is for each affected collection:</w:t>
      </w:r>
    </w:p>
    <w:tbl>
      <w:tblPr>
        <w:tblStyle w:val="TableGrid"/>
        <w:tblW w:w="0" w:type="auto"/>
        <w:tblLook w:val="04A0"/>
      </w:tblPr>
      <w:tblGrid>
        <w:gridCol w:w="3116"/>
        <w:gridCol w:w="3899"/>
      </w:tblGrid>
      <w:tr w14:paraId="7A1D5D90" w14:textId="77777777" w:rsidTr="00016F68">
        <w:tblPrEx>
          <w:tblW w:w="0" w:type="auto"/>
          <w:tblLook w:val="04A0"/>
        </w:tblPrEx>
        <w:tc>
          <w:tcPr>
            <w:tcW w:w="3116" w:type="dxa"/>
          </w:tcPr>
          <w:p w:rsidR="00813E99" w:rsidRPr="00813E99" w:rsidP="0051557B" w14:paraId="46EB2953" w14:textId="143B158D">
            <w:pPr>
              <w:widowControl w:val="0"/>
              <w:autoSpaceDE w:val="0"/>
              <w:autoSpaceDN w:val="0"/>
              <w:adjustRightInd w:val="0"/>
              <w:spacing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Collection</w:t>
            </w:r>
          </w:p>
        </w:tc>
        <w:tc>
          <w:tcPr>
            <w:tcW w:w="3899" w:type="dxa"/>
          </w:tcPr>
          <w:p w:rsidR="00016F68" w:rsidP="00016F68" w14:paraId="0A9423C4" w14:textId="77777777">
            <w:pPr>
              <w:widowControl w:val="0"/>
              <w:autoSpaceDE w:val="0"/>
              <w:autoSpaceDN w:val="0"/>
              <w:adjustRightInd w:val="0"/>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Estimated </w:t>
            </w:r>
            <w:r>
              <w:rPr>
                <w:rFonts w:ascii="Times New Roman" w:eastAsia="Times New Roman" w:hAnsi="Times New Roman" w:cs="Times New Roman"/>
                <w:b/>
                <w:bCs/>
                <w:sz w:val="24"/>
                <w:szCs w:val="20"/>
              </w:rPr>
              <w:t>Annual</w:t>
            </w:r>
          </w:p>
          <w:p w:rsidR="00813E99" w:rsidRPr="00813E99" w:rsidP="00016F68" w14:paraId="469D2746" w14:textId="2C350F2E">
            <w:pPr>
              <w:widowControl w:val="0"/>
              <w:autoSpaceDE w:val="0"/>
              <w:autoSpaceDN w:val="0"/>
              <w:adjustRightInd w:val="0"/>
              <w:spacing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Cost-to-Government</w:t>
            </w:r>
          </w:p>
        </w:tc>
      </w:tr>
      <w:tr w14:paraId="59EDFCDE" w14:textId="77777777" w:rsidTr="00016F68">
        <w:tblPrEx>
          <w:tblW w:w="0" w:type="auto"/>
          <w:tblLook w:val="04A0"/>
        </w:tblPrEx>
        <w:tc>
          <w:tcPr>
            <w:tcW w:w="3116" w:type="dxa"/>
          </w:tcPr>
          <w:p w:rsidR="00813E99" w:rsidP="0051557B" w14:paraId="5C52478A" w14:textId="65F6FDB2">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3038-0009</w:t>
            </w:r>
          </w:p>
        </w:tc>
        <w:tc>
          <w:tcPr>
            <w:tcW w:w="3899" w:type="dxa"/>
          </w:tcPr>
          <w:p w:rsidR="00813E99" w:rsidP="0051557B" w14:paraId="5B8F5E49" w14:textId="431CD4E3">
            <w:pPr>
              <w:widowControl w:val="0"/>
              <w:autoSpaceDE w:val="0"/>
              <w:autoSpaceDN w:val="0"/>
              <w:adjustRightInd w:val="0"/>
              <w:spacing w:after="240" w:line="240" w:lineRule="auto"/>
              <w:rPr>
                <w:rFonts w:ascii="Times New Roman" w:eastAsia="Times New Roman" w:hAnsi="Times New Roman" w:cs="Times New Roman"/>
                <w:sz w:val="24"/>
                <w:szCs w:val="20"/>
              </w:rPr>
            </w:pPr>
            <w:r w:rsidRPr="007051A9">
              <w:rPr>
                <w:rFonts w:ascii="Times New Roman" w:eastAsia="Times New Roman" w:hAnsi="Times New Roman" w:cs="Times New Roman"/>
                <w:sz w:val="24"/>
                <w:szCs w:val="20"/>
              </w:rPr>
              <w:t>$2,062,500</w:t>
            </w:r>
            <w:r>
              <w:rPr>
                <w:rStyle w:val="FootnoteReference"/>
                <w:rFonts w:ascii="Times New Roman" w:eastAsia="Times New Roman" w:hAnsi="Times New Roman" w:cs="Times New Roman"/>
                <w:sz w:val="24"/>
                <w:szCs w:val="20"/>
              </w:rPr>
              <w:footnoteReference w:id="40"/>
            </w:r>
          </w:p>
        </w:tc>
      </w:tr>
      <w:tr w14:paraId="4B9C7056" w14:textId="77777777" w:rsidTr="00016F68">
        <w:tblPrEx>
          <w:tblW w:w="0" w:type="auto"/>
          <w:tblLook w:val="04A0"/>
        </w:tblPrEx>
        <w:tc>
          <w:tcPr>
            <w:tcW w:w="3116" w:type="dxa"/>
          </w:tcPr>
          <w:p w:rsidR="00813E99" w:rsidP="0051557B" w14:paraId="2425F49D" w14:textId="387F71B1">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3038</w:t>
            </w:r>
            <w:r w:rsidR="003D20E2">
              <w:rPr>
                <w:rFonts w:ascii="Times New Roman" w:eastAsia="Times New Roman" w:hAnsi="Times New Roman" w:cs="Times New Roman"/>
                <w:sz w:val="24"/>
                <w:szCs w:val="20"/>
              </w:rPr>
              <w:t>-0012</w:t>
            </w:r>
          </w:p>
        </w:tc>
        <w:tc>
          <w:tcPr>
            <w:tcW w:w="3899" w:type="dxa"/>
          </w:tcPr>
          <w:p w:rsidR="00813E99" w:rsidP="0051557B" w14:paraId="5F25E3AE" w14:textId="72025A6C">
            <w:pPr>
              <w:widowControl w:val="0"/>
              <w:autoSpaceDE w:val="0"/>
              <w:autoSpaceDN w:val="0"/>
              <w:adjustRightInd w:val="0"/>
              <w:spacing w:after="240" w:line="240" w:lineRule="auto"/>
              <w:rPr>
                <w:rFonts w:ascii="Times New Roman" w:eastAsia="Times New Roman" w:hAnsi="Times New Roman" w:cs="Times New Roman"/>
                <w:sz w:val="24"/>
                <w:szCs w:val="20"/>
              </w:rPr>
            </w:pPr>
            <w:r w:rsidRPr="006960D9">
              <w:rPr>
                <w:rFonts w:ascii="Times New Roman" w:eastAsia="Times New Roman" w:hAnsi="Times New Roman" w:cs="Times New Roman"/>
                <w:sz w:val="24"/>
                <w:szCs w:val="20"/>
              </w:rPr>
              <w:t>$315,000</w:t>
            </w:r>
            <w:r>
              <w:rPr>
                <w:rStyle w:val="FootnoteReference"/>
                <w:rFonts w:ascii="Times New Roman" w:eastAsia="Times New Roman" w:hAnsi="Times New Roman" w:cs="Times New Roman"/>
                <w:sz w:val="24"/>
                <w:szCs w:val="20"/>
              </w:rPr>
              <w:footnoteReference w:id="41"/>
            </w:r>
          </w:p>
        </w:tc>
      </w:tr>
      <w:tr w14:paraId="47EB1CB0" w14:textId="77777777" w:rsidTr="00016F68">
        <w:tblPrEx>
          <w:tblW w:w="0" w:type="auto"/>
          <w:tblLook w:val="04A0"/>
        </w:tblPrEx>
        <w:tc>
          <w:tcPr>
            <w:tcW w:w="3116" w:type="dxa"/>
          </w:tcPr>
          <w:p w:rsidR="003D20E2" w:rsidP="0051557B" w14:paraId="3DDCBC1D" w14:textId="20E931BC">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3038-0103</w:t>
            </w:r>
          </w:p>
        </w:tc>
        <w:tc>
          <w:tcPr>
            <w:tcW w:w="3899" w:type="dxa"/>
          </w:tcPr>
          <w:p w:rsidR="003D20E2" w:rsidP="0051557B" w14:paraId="58296A98" w14:textId="66D247BA">
            <w:pPr>
              <w:widowControl w:val="0"/>
              <w:autoSpaceDE w:val="0"/>
              <w:autoSpaceDN w:val="0"/>
              <w:adjustRightInd w:val="0"/>
              <w:spacing w:after="240" w:line="240" w:lineRule="auto"/>
              <w:rPr>
                <w:rFonts w:ascii="Times New Roman" w:eastAsia="Times New Roman" w:hAnsi="Times New Roman" w:cs="Times New Roman"/>
                <w:sz w:val="24"/>
                <w:szCs w:val="20"/>
              </w:rPr>
            </w:pPr>
            <w:r w:rsidRPr="007F17DE">
              <w:rPr>
                <w:rFonts w:ascii="Times New Roman" w:eastAsia="Times New Roman" w:hAnsi="Times New Roman" w:cs="Times New Roman"/>
                <w:sz w:val="24"/>
                <w:szCs w:val="20"/>
              </w:rPr>
              <w:t>$454,955</w:t>
            </w:r>
            <w:r>
              <w:rPr>
                <w:rStyle w:val="FootnoteReference"/>
                <w:rFonts w:ascii="Times New Roman" w:eastAsia="Times New Roman" w:hAnsi="Times New Roman" w:cs="Times New Roman"/>
                <w:sz w:val="24"/>
                <w:szCs w:val="20"/>
              </w:rPr>
              <w:footnoteReference w:id="42"/>
            </w:r>
          </w:p>
        </w:tc>
      </w:tr>
    </w:tbl>
    <w:p w:rsidR="00813E99" w:rsidRPr="00E21E52" w:rsidP="0051557B" w14:paraId="5227C6AD" w14:textId="77777777">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p>
    <w:p w:rsidR="00D50C84" w:rsidP="00447692" w14:paraId="07BF2F3A" w14:textId="53D49D7A">
      <w:pPr>
        <w:keepNext/>
        <w:keepLines/>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reasons for any program changes or adjustments</w:t>
      </w:r>
      <w:r w:rsidRPr="00E21E52">
        <w:rPr>
          <w:rFonts w:ascii="Times New Roman" w:eastAsia="Times New Roman" w:hAnsi="Times New Roman" w:cs="Times New Roman"/>
          <w:sz w:val="24"/>
          <w:szCs w:val="20"/>
        </w:rPr>
        <w:t>.</w:t>
      </w:r>
    </w:p>
    <w:p w:rsidR="00FE078B" w:rsidRPr="00E21E52" w:rsidP="00447692" w14:paraId="46A0C808" w14:textId="502BDAF3">
      <w:pPr>
        <w:keepNext/>
        <w:keepLines/>
        <w:tabs>
          <w:tab w:val="left" w:pos="-720"/>
          <w:tab w:val="left" w:pos="0"/>
        </w:tabs>
        <w:suppressAutoHyphens/>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As described in its responses to Questions 1 and 12, the </w:t>
      </w:r>
      <w:r>
        <w:rPr>
          <w:rFonts w:ascii="Times New Roman" w:eastAsia="Times New Roman" w:hAnsi="Times New Roman" w:cs="Times New Roman"/>
          <w:sz w:val="24"/>
          <w:szCs w:val="20"/>
        </w:rPr>
        <w:t xml:space="preserve">Commission is proposing changes to its </w:t>
      </w:r>
      <w:r w:rsidR="00B60B30">
        <w:rPr>
          <w:rFonts w:ascii="Times New Roman" w:eastAsia="Times New Roman" w:hAnsi="Times New Roman" w:cs="Times New Roman"/>
          <w:sz w:val="24"/>
          <w:szCs w:val="20"/>
        </w:rPr>
        <w:t xml:space="preserve">rules under parts </w:t>
      </w:r>
      <w:r w:rsidR="0090182D">
        <w:rPr>
          <w:rFonts w:ascii="Times New Roman" w:eastAsia="Times New Roman" w:hAnsi="Times New Roman" w:cs="Times New Roman"/>
          <w:sz w:val="24"/>
          <w:szCs w:val="20"/>
        </w:rPr>
        <w:t>15</w:t>
      </w:r>
      <w:r w:rsidR="00B60B30">
        <w:rPr>
          <w:rFonts w:ascii="Times New Roman" w:eastAsia="Times New Roman" w:hAnsi="Times New Roman" w:cs="Times New Roman"/>
          <w:sz w:val="24"/>
          <w:szCs w:val="20"/>
        </w:rPr>
        <w:t xml:space="preserve">, </w:t>
      </w:r>
      <w:r w:rsidR="0090182D">
        <w:rPr>
          <w:rFonts w:ascii="Times New Roman" w:eastAsia="Times New Roman" w:hAnsi="Times New Roman" w:cs="Times New Roman"/>
          <w:sz w:val="24"/>
          <w:szCs w:val="20"/>
        </w:rPr>
        <w:t>16</w:t>
      </w:r>
      <w:r w:rsidR="00B60B30">
        <w:rPr>
          <w:rFonts w:ascii="Times New Roman" w:eastAsia="Times New Roman" w:hAnsi="Times New Roman" w:cs="Times New Roman"/>
          <w:sz w:val="24"/>
          <w:szCs w:val="20"/>
        </w:rPr>
        <w:t xml:space="preserve">, and </w:t>
      </w:r>
      <w:r w:rsidR="0090182D">
        <w:rPr>
          <w:rFonts w:ascii="Times New Roman" w:eastAsia="Times New Roman" w:hAnsi="Times New Roman" w:cs="Times New Roman"/>
          <w:sz w:val="24"/>
          <w:szCs w:val="20"/>
        </w:rPr>
        <w:t>17</w:t>
      </w:r>
      <w:r w:rsidR="00B60B30">
        <w:rPr>
          <w:rFonts w:ascii="Times New Roman" w:eastAsia="Times New Roman" w:hAnsi="Times New Roman" w:cs="Times New Roman"/>
          <w:sz w:val="24"/>
          <w:szCs w:val="20"/>
        </w:rPr>
        <w:t xml:space="preserve">.  These changes will result in </w:t>
      </w:r>
      <w:r>
        <w:rPr>
          <w:rFonts w:ascii="Times New Roman" w:eastAsia="Times New Roman" w:hAnsi="Times New Roman" w:cs="Times New Roman"/>
          <w:sz w:val="24"/>
          <w:szCs w:val="20"/>
        </w:rPr>
        <w:t xml:space="preserve">the following </w:t>
      </w:r>
      <w:r w:rsidR="007353F4">
        <w:rPr>
          <w:rFonts w:ascii="Times New Roman" w:eastAsia="Times New Roman" w:hAnsi="Times New Roman" w:cs="Times New Roman"/>
          <w:sz w:val="24"/>
          <w:szCs w:val="20"/>
        </w:rPr>
        <w:t xml:space="preserve">updates to </w:t>
      </w:r>
      <w:r w:rsidR="00A1232D">
        <w:rPr>
          <w:rFonts w:ascii="Times New Roman" w:eastAsia="Times New Roman" w:hAnsi="Times New Roman" w:cs="Times New Roman"/>
          <w:sz w:val="24"/>
          <w:szCs w:val="20"/>
        </w:rPr>
        <w:t>the</w:t>
      </w:r>
      <w:r w:rsidR="007353F4">
        <w:rPr>
          <w:rFonts w:ascii="Times New Roman" w:eastAsia="Times New Roman" w:hAnsi="Times New Roman" w:cs="Times New Roman"/>
          <w:sz w:val="24"/>
          <w:szCs w:val="20"/>
        </w:rPr>
        <w:t xml:space="preserve"> burden estimates</w:t>
      </w:r>
      <w:r w:rsidR="00A1232D">
        <w:rPr>
          <w:rFonts w:ascii="Times New Roman" w:eastAsia="Times New Roman" w:hAnsi="Times New Roman" w:cs="Times New Roman"/>
          <w:sz w:val="24"/>
          <w:szCs w:val="20"/>
        </w:rPr>
        <w:t xml:space="preserve"> associated with the collections described below</w:t>
      </w:r>
      <w:r w:rsidR="007353F4">
        <w:rPr>
          <w:rFonts w:ascii="Times New Roman" w:eastAsia="Times New Roman" w:hAnsi="Times New Roman" w:cs="Times New Roman"/>
          <w:sz w:val="24"/>
          <w:szCs w:val="20"/>
        </w:rPr>
        <w:t>.</w:t>
      </w:r>
    </w:p>
    <w:p w:rsidR="001C7C98" w:rsidRPr="002B4A5A" w:rsidP="00F811DC" w14:paraId="0349499C" w14:textId="30D9719F">
      <w:pPr>
        <w:pStyle w:val="ListParagraph"/>
        <w:widowControl w:val="0"/>
        <w:numPr>
          <w:ilvl w:val="0"/>
          <w:numId w:val="5"/>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2B4A5A">
        <w:rPr>
          <w:rFonts w:ascii="Times New Roman" w:eastAsia="Times New Roman" w:hAnsi="Times New Roman" w:cs="Times New Roman"/>
          <w:i/>
          <w:sz w:val="24"/>
          <w:szCs w:val="20"/>
        </w:rPr>
        <w:t>OMB Control Number 3038-0009</w:t>
      </w:r>
    </w:p>
    <w:p w:rsidR="00E83214" w:rsidRPr="009169F1" w:rsidP="009169F1" w14:paraId="58B52DBE" w14:textId="6FF6042C">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Pr>
          <w:rFonts w:ascii="Times New Roman" w:eastAsia="Times New Roman" w:hAnsi="Times New Roman" w:cs="Times New Roman"/>
          <w:iCs/>
          <w:sz w:val="24"/>
          <w:szCs w:val="20"/>
        </w:rPr>
        <w:t xml:space="preserve">As described in the Response to Question 12, the Commission is updating its burden estimates </w:t>
      </w:r>
      <w:r w:rsidR="00960139">
        <w:rPr>
          <w:rFonts w:ascii="Times New Roman" w:eastAsia="Times New Roman" w:hAnsi="Times New Roman" w:cs="Times New Roman"/>
          <w:iCs/>
          <w:sz w:val="24"/>
          <w:szCs w:val="20"/>
        </w:rPr>
        <w:t>for Collection 3038-00</w:t>
      </w:r>
      <w:r w:rsidR="0085405E">
        <w:rPr>
          <w:rFonts w:ascii="Times New Roman" w:eastAsia="Times New Roman" w:hAnsi="Times New Roman" w:cs="Times New Roman"/>
          <w:iCs/>
          <w:sz w:val="24"/>
          <w:szCs w:val="20"/>
        </w:rPr>
        <w:t>09</w:t>
      </w:r>
      <w:r w:rsidR="00FE078B">
        <w:rPr>
          <w:rFonts w:ascii="Times New Roman" w:eastAsia="Times New Roman" w:hAnsi="Times New Roman" w:cs="Times New Roman"/>
          <w:iCs/>
          <w:sz w:val="24"/>
          <w:szCs w:val="20"/>
        </w:rPr>
        <w:t xml:space="preserve"> as shown in the table below:</w:t>
      </w:r>
    </w:p>
    <w:tbl>
      <w:tblPr>
        <w:tblStyle w:val="TableGrid"/>
        <w:tblW w:w="0" w:type="auto"/>
        <w:tblInd w:w="-95" w:type="dxa"/>
        <w:tblLook w:val="04A0"/>
      </w:tblPr>
      <w:tblGrid>
        <w:gridCol w:w="1708"/>
        <w:gridCol w:w="1709"/>
        <w:gridCol w:w="1710"/>
        <w:gridCol w:w="2429"/>
        <w:gridCol w:w="1889"/>
      </w:tblGrid>
      <w:tr w14:paraId="350BCD83" w14:textId="77777777" w:rsidTr="009169F1">
        <w:tblPrEx>
          <w:tblW w:w="0" w:type="auto"/>
          <w:tblInd w:w="-95" w:type="dxa"/>
          <w:tblLook w:val="04A0"/>
        </w:tblPrEx>
        <w:tc>
          <w:tcPr>
            <w:tcW w:w="1708" w:type="dxa"/>
          </w:tcPr>
          <w:p w:rsidR="00505746" w:rsidP="00CB6D30" w14:paraId="71E6CC41" w14:textId="77777777">
            <w:pPr>
              <w:tabs>
                <w:tab w:val="left" w:pos="-720"/>
                <w:tab w:val="left" w:pos="0"/>
              </w:tabs>
              <w:suppressAutoHyphens/>
              <w:spacing w:before="240" w:after="240" w:line="240" w:lineRule="auto"/>
              <w:rPr>
                <w:rFonts w:ascii="Times New Roman" w:eastAsia="Times New Roman" w:hAnsi="Times New Roman" w:cs="Times New Roman"/>
                <w:sz w:val="24"/>
                <w:szCs w:val="20"/>
              </w:rPr>
            </w:pPr>
          </w:p>
        </w:tc>
        <w:tc>
          <w:tcPr>
            <w:tcW w:w="1709" w:type="dxa"/>
          </w:tcPr>
          <w:p w:rsidR="00505746" w:rsidRPr="009169F1" w:rsidP="00CB6D30" w14:paraId="2B60C247" w14:textId="3097861F">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Respondents</w:t>
            </w:r>
          </w:p>
        </w:tc>
        <w:tc>
          <w:tcPr>
            <w:tcW w:w="1710" w:type="dxa"/>
          </w:tcPr>
          <w:p w:rsidR="00505746" w:rsidRPr="009169F1" w:rsidP="00CB6D30" w14:paraId="3E36BF84" w14:textId="780D2566">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Responses</w:t>
            </w:r>
          </w:p>
        </w:tc>
        <w:tc>
          <w:tcPr>
            <w:tcW w:w="2429" w:type="dxa"/>
          </w:tcPr>
          <w:p w:rsidR="00505746" w:rsidRPr="009169F1" w:rsidP="00CB6D30" w14:paraId="555E05FD" w14:textId="43AB5108">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Burden Hours</w:t>
            </w:r>
          </w:p>
        </w:tc>
        <w:tc>
          <w:tcPr>
            <w:tcW w:w="1889" w:type="dxa"/>
          </w:tcPr>
          <w:p w:rsidR="00505746" w:rsidRPr="009169F1" w:rsidP="00CB6D30" w14:paraId="1318AF5A" w14:textId="4E376AB3">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Labor Costs</w:t>
            </w:r>
          </w:p>
        </w:tc>
      </w:tr>
      <w:tr w14:paraId="478D9EA0" w14:textId="77777777" w:rsidTr="009169F1">
        <w:tblPrEx>
          <w:tblW w:w="0" w:type="auto"/>
          <w:tblInd w:w="-95" w:type="dxa"/>
          <w:tblLook w:val="04A0"/>
        </w:tblPrEx>
        <w:tc>
          <w:tcPr>
            <w:tcW w:w="1708" w:type="dxa"/>
          </w:tcPr>
          <w:p w:rsidR="00505746" w:rsidRPr="009169F1" w:rsidP="00CB6D30" w14:paraId="7DFFC293" w14:textId="6C735603">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Current Totals</w:t>
            </w:r>
          </w:p>
        </w:tc>
        <w:tc>
          <w:tcPr>
            <w:tcW w:w="1709" w:type="dxa"/>
          </w:tcPr>
          <w:p w:rsidR="00505746" w:rsidP="00CB6D30" w14:paraId="5A4F9178" w14:textId="170BC4BE">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Pr>
                <w:rFonts w:ascii="Times New Roman" w:eastAsia="Times New Roman" w:hAnsi="Times New Roman" w:cs="Times New Roman"/>
                <w:sz w:val="24"/>
                <w:szCs w:val="20"/>
              </w:rPr>
              <w:t>30</w:t>
            </w:r>
          </w:p>
        </w:tc>
        <w:tc>
          <w:tcPr>
            <w:tcW w:w="1710" w:type="dxa"/>
          </w:tcPr>
          <w:p w:rsidR="00505746" w:rsidP="00CB6D30" w14:paraId="57D87F0E" w14:textId="675B0E17">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68,484</w:t>
            </w:r>
          </w:p>
        </w:tc>
        <w:tc>
          <w:tcPr>
            <w:tcW w:w="2429" w:type="dxa"/>
          </w:tcPr>
          <w:p w:rsidR="00505746" w:rsidP="00CB6D30" w14:paraId="278F2D74" w14:textId="00B62100">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17,742</w:t>
            </w:r>
          </w:p>
        </w:tc>
        <w:tc>
          <w:tcPr>
            <w:tcW w:w="1889" w:type="dxa"/>
          </w:tcPr>
          <w:p w:rsidR="00505746" w:rsidP="00CB6D30" w14:paraId="3ACF8E29" w14:textId="7C8C090B">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$1,624,896</w:t>
            </w:r>
          </w:p>
        </w:tc>
      </w:tr>
      <w:tr w14:paraId="3D2B36C7" w14:textId="77777777" w:rsidTr="009169F1">
        <w:tblPrEx>
          <w:tblW w:w="0" w:type="auto"/>
          <w:tblInd w:w="-95" w:type="dxa"/>
          <w:tblLook w:val="04A0"/>
        </w:tblPrEx>
        <w:tc>
          <w:tcPr>
            <w:tcW w:w="1708" w:type="dxa"/>
          </w:tcPr>
          <w:p w:rsidR="00505746" w:rsidRPr="009169F1" w:rsidP="00CB6D30" w14:paraId="1F0B30E6" w14:textId="27B1D320">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Incremental Change</w:t>
            </w:r>
          </w:p>
        </w:tc>
        <w:tc>
          <w:tcPr>
            <w:tcW w:w="1709" w:type="dxa"/>
          </w:tcPr>
          <w:p w:rsidR="00505746" w:rsidP="00CB6D30" w14:paraId="56ECFE25" w14:textId="5AF22C71">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710" w:type="dxa"/>
          </w:tcPr>
          <w:p w:rsidR="00505746" w:rsidP="00CB6D30" w14:paraId="0B5FBA0E" w14:textId="6AD1050F">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2,496</w:t>
            </w:r>
          </w:p>
        </w:tc>
        <w:tc>
          <w:tcPr>
            <w:tcW w:w="2429" w:type="dxa"/>
          </w:tcPr>
          <w:p w:rsidR="00505746" w:rsidP="00CB6D30" w14:paraId="72715E09" w14:textId="7A6DEF5D">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624</w:t>
            </w:r>
          </w:p>
        </w:tc>
        <w:tc>
          <w:tcPr>
            <w:tcW w:w="1889" w:type="dxa"/>
          </w:tcPr>
          <w:p w:rsidR="00505746" w:rsidP="00CB6D30" w14:paraId="02316CE5" w14:textId="26E863BC">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$141,752</w:t>
            </w:r>
          </w:p>
        </w:tc>
      </w:tr>
      <w:tr w14:paraId="40E81610" w14:textId="77777777" w:rsidTr="009169F1">
        <w:tblPrEx>
          <w:tblW w:w="0" w:type="auto"/>
          <w:tblInd w:w="-95" w:type="dxa"/>
          <w:tblLook w:val="04A0"/>
        </w:tblPrEx>
        <w:tc>
          <w:tcPr>
            <w:tcW w:w="1708" w:type="dxa"/>
          </w:tcPr>
          <w:p w:rsidR="00505746" w:rsidRPr="009169F1" w:rsidP="00CB6D30" w14:paraId="3DE142DE" w14:textId="33D98E0E">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New Total</w:t>
            </w:r>
          </w:p>
        </w:tc>
        <w:tc>
          <w:tcPr>
            <w:tcW w:w="1709" w:type="dxa"/>
          </w:tcPr>
          <w:p w:rsidR="00505746" w:rsidP="00CB6D30" w14:paraId="14B9BA21" w14:textId="3C8F0177">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342</w:t>
            </w:r>
          </w:p>
        </w:tc>
        <w:tc>
          <w:tcPr>
            <w:tcW w:w="1710" w:type="dxa"/>
          </w:tcPr>
          <w:p w:rsidR="00505746" w:rsidP="00CB6D30" w14:paraId="05CF0F93" w14:textId="6A776185">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70,980</w:t>
            </w:r>
          </w:p>
        </w:tc>
        <w:tc>
          <w:tcPr>
            <w:tcW w:w="2429" w:type="dxa"/>
          </w:tcPr>
          <w:p w:rsidR="00505746" w:rsidP="00CB6D30" w14:paraId="73953478" w14:textId="60FD69DC">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18,096</w:t>
            </w:r>
          </w:p>
        </w:tc>
        <w:tc>
          <w:tcPr>
            <w:tcW w:w="1889" w:type="dxa"/>
          </w:tcPr>
          <w:p w:rsidR="00505746" w:rsidP="00CB6D30" w14:paraId="3E0AD708" w14:textId="188473E8">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$1,766,648</w:t>
            </w:r>
          </w:p>
        </w:tc>
      </w:tr>
    </w:tbl>
    <w:p w:rsidR="00AE285E" w:rsidRPr="002B4A5A" w:rsidP="002B4A5A" w14:paraId="45F8B2B5" w14:textId="51DA9E3D">
      <w:pPr>
        <w:pStyle w:val="ListParagraph"/>
        <w:widowControl w:val="0"/>
        <w:numPr>
          <w:ilvl w:val="0"/>
          <w:numId w:val="5"/>
        </w:numPr>
        <w:autoSpaceDE w:val="0"/>
        <w:autoSpaceDN w:val="0"/>
        <w:adjustRightInd w:val="0"/>
        <w:spacing w:before="360" w:after="240" w:line="240" w:lineRule="auto"/>
        <w:contextualSpacing w:val="0"/>
        <w:rPr>
          <w:rFonts w:ascii="Times New Roman" w:eastAsia="Times New Roman" w:hAnsi="Times New Roman" w:cs="Times New Roman"/>
          <w:i/>
          <w:sz w:val="24"/>
          <w:szCs w:val="20"/>
        </w:rPr>
      </w:pPr>
      <w:r w:rsidRPr="002B4A5A">
        <w:rPr>
          <w:rFonts w:ascii="Times New Roman" w:eastAsia="Times New Roman" w:hAnsi="Times New Roman" w:cs="Times New Roman"/>
          <w:i/>
          <w:sz w:val="24"/>
          <w:szCs w:val="20"/>
        </w:rPr>
        <w:t>OMB Control Number 3038-0012</w:t>
      </w:r>
    </w:p>
    <w:p w:rsidR="00A25C45" w:rsidRPr="009169F1" w:rsidP="006962BD" w14:paraId="669951DE" w14:textId="5A773078">
      <w:pPr>
        <w:widowControl w:val="0"/>
        <w:autoSpaceDE w:val="0"/>
        <w:autoSpaceDN w:val="0"/>
        <w:adjustRightInd w:val="0"/>
        <w:spacing w:after="48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rPr>
        <w:t>As described in the Response to Question 1</w:t>
      </w:r>
      <w:r>
        <w:rPr>
          <w:rFonts w:ascii="Times New Roman" w:eastAsia="Times New Roman" w:hAnsi="Times New Roman" w:cs="Times New Roman"/>
          <w:iCs/>
          <w:sz w:val="24"/>
          <w:szCs w:val="20"/>
        </w:rPr>
        <w:t>3</w:t>
      </w:r>
      <w:r w:rsidRPr="009169F1">
        <w:rPr>
          <w:rFonts w:ascii="Times New Roman" w:eastAsia="Times New Roman" w:hAnsi="Times New Roman" w:cs="Times New Roman"/>
          <w:iCs/>
          <w:sz w:val="24"/>
          <w:szCs w:val="20"/>
        </w:rPr>
        <w:t>, the Commission is updating its burden estimates for Collection 3038-00</w:t>
      </w:r>
      <w:r>
        <w:rPr>
          <w:rFonts w:ascii="Times New Roman" w:eastAsia="Times New Roman" w:hAnsi="Times New Roman" w:cs="Times New Roman"/>
          <w:iCs/>
          <w:sz w:val="24"/>
          <w:szCs w:val="20"/>
        </w:rPr>
        <w:t>12</w:t>
      </w:r>
      <w:r w:rsidRPr="009169F1">
        <w:rPr>
          <w:rFonts w:ascii="Times New Roman" w:eastAsia="Times New Roman" w:hAnsi="Times New Roman" w:cs="Times New Roman"/>
          <w:iCs/>
          <w:sz w:val="24"/>
          <w:szCs w:val="20"/>
        </w:rPr>
        <w:t xml:space="preserve"> </w:t>
      </w:r>
      <w:r>
        <w:rPr>
          <w:rFonts w:ascii="Times New Roman" w:eastAsia="Times New Roman" w:hAnsi="Times New Roman" w:cs="Times New Roman"/>
          <w:iCs/>
          <w:sz w:val="24"/>
          <w:szCs w:val="20"/>
        </w:rPr>
        <w:t>to reflect additional capital start-up and ongoing operational and maintenance costs, as shown in the table below.</w:t>
      </w:r>
    </w:p>
    <w:tbl>
      <w:tblPr>
        <w:tblStyle w:val="TableGrid"/>
        <w:tblW w:w="0" w:type="auto"/>
        <w:tblInd w:w="-95" w:type="dxa"/>
        <w:tblLook w:val="04A0"/>
      </w:tblPr>
      <w:tblGrid>
        <w:gridCol w:w="1708"/>
        <w:gridCol w:w="2162"/>
        <w:gridCol w:w="2610"/>
        <w:gridCol w:w="2790"/>
      </w:tblGrid>
      <w:tr w14:paraId="7A8CDC2F" w14:textId="77777777" w:rsidTr="009169F1">
        <w:tblPrEx>
          <w:tblW w:w="0" w:type="auto"/>
          <w:tblInd w:w="-95" w:type="dxa"/>
          <w:tblLook w:val="04A0"/>
        </w:tblPrEx>
        <w:tc>
          <w:tcPr>
            <w:tcW w:w="1708" w:type="dxa"/>
          </w:tcPr>
          <w:p w:rsidR="00A53A38" w:rsidP="00175592" w14:paraId="77A41A3F" w14:textId="77777777">
            <w:pPr>
              <w:tabs>
                <w:tab w:val="left" w:pos="-720"/>
                <w:tab w:val="left" w:pos="0"/>
              </w:tabs>
              <w:suppressAutoHyphens/>
              <w:spacing w:before="240" w:after="240" w:line="240" w:lineRule="auto"/>
              <w:rPr>
                <w:rFonts w:ascii="Times New Roman" w:eastAsia="Times New Roman" w:hAnsi="Times New Roman" w:cs="Times New Roman"/>
                <w:sz w:val="24"/>
                <w:szCs w:val="20"/>
              </w:rPr>
            </w:pPr>
          </w:p>
        </w:tc>
        <w:tc>
          <w:tcPr>
            <w:tcW w:w="2162" w:type="dxa"/>
          </w:tcPr>
          <w:p w:rsidR="00A53A38" w:rsidRPr="00175592" w:rsidP="00175592" w14:paraId="43CE3DB0" w14:textId="3B9920C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One-Time</w:t>
            </w:r>
            <w:r>
              <w:rPr>
                <w:rFonts w:ascii="Times New Roman" w:eastAsia="Times New Roman" w:hAnsi="Times New Roman" w:cs="Times New Roman"/>
                <w:b/>
                <w:bCs/>
                <w:sz w:val="24"/>
                <w:szCs w:val="20"/>
              </w:rPr>
              <w:t xml:space="preserve"> Capital/Start-up Costs</w:t>
            </w:r>
          </w:p>
        </w:tc>
        <w:tc>
          <w:tcPr>
            <w:tcW w:w="2610" w:type="dxa"/>
          </w:tcPr>
          <w:p w:rsidR="00A53A38" w:rsidP="009169F1" w14:paraId="11F96FDE" w14:textId="77777777">
            <w:pPr>
              <w:tabs>
                <w:tab w:val="left" w:pos="-720"/>
                <w:tab w:val="left" w:pos="0"/>
              </w:tabs>
              <w:suppressAutoHyphens/>
              <w:spacing w:before="240"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Annual Operational/</w:t>
            </w:r>
          </w:p>
          <w:p w:rsidR="00A53A38" w:rsidRPr="00175592" w:rsidP="009169F1" w14:paraId="5A216F10" w14:textId="4B4ADC7C">
            <w:pPr>
              <w:tabs>
                <w:tab w:val="left" w:pos="-720"/>
                <w:tab w:val="left" w:pos="0"/>
              </w:tabs>
              <w:suppressAutoHyphens/>
              <w:spacing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Maintenance Costs</w:t>
            </w:r>
          </w:p>
        </w:tc>
        <w:tc>
          <w:tcPr>
            <w:tcW w:w="2790" w:type="dxa"/>
          </w:tcPr>
          <w:p w:rsidR="00A53A38" w:rsidRPr="00175592" w:rsidP="00175592" w14:paraId="4FAEA8C1" w14:textId="5172866A">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Total Capital Costs</w:t>
            </w:r>
          </w:p>
        </w:tc>
      </w:tr>
      <w:tr w14:paraId="5414026B" w14:textId="77777777" w:rsidTr="009169F1">
        <w:tblPrEx>
          <w:tblW w:w="0" w:type="auto"/>
          <w:tblInd w:w="-95" w:type="dxa"/>
          <w:tblLook w:val="04A0"/>
        </w:tblPrEx>
        <w:tc>
          <w:tcPr>
            <w:tcW w:w="1708" w:type="dxa"/>
          </w:tcPr>
          <w:p w:rsidR="00A53A38" w:rsidRPr="00175592" w:rsidP="00175592" w14:paraId="08E802BF"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Current Totals</w:t>
            </w:r>
          </w:p>
        </w:tc>
        <w:tc>
          <w:tcPr>
            <w:tcW w:w="2162" w:type="dxa"/>
          </w:tcPr>
          <w:p w:rsidR="00A53A38" w:rsidP="00175592" w14:paraId="5E9367E4" w14:textId="09141FE1">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610" w:type="dxa"/>
          </w:tcPr>
          <w:p w:rsidR="00A53A38" w:rsidP="00175592" w14:paraId="58057702" w14:textId="1F92DF65">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790" w:type="dxa"/>
          </w:tcPr>
          <w:p w:rsidR="00A53A38" w:rsidP="00175592" w14:paraId="64B3781E" w14:textId="192D26B2">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r>
      <w:tr w14:paraId="3AB13F28" w14:textId="77777777" w:rsidTr="009169F1">
        <w:tblPrEx>
          <w:tblW w:w="0" w:type="auto"/>
          <w:tblInd w:w="-95" w:type="dxa"/>
          <w:tblLook w:val="04A0"/>
        </w:tblPrEx>
        <w:tc>
          <w:tcPr>
            <w:tcW w:w="1708" w:type="dxa"/>
          </w:tcPr>
          <w:p w:rsidR="00A53A38" w:rsidRPr="00175592" w:rsidP="00175592" w14:paraId="1EADB5D0"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Incremental Change</w:t>
            </w:r>
          </w:p>
        </w:tc>
        <w:tc>
          <w:tcPr>
            <w:tcW w:w="2162" w:type="dxa"/>
          </w:tcPr>
          <w:p w:rsidR="00A53A38" w:rsidP="00175592" w14:paraId="60C58725" w14:textId="51147B75">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$3,303,328</w:t>
            </w:r>
          </w:p>
        </w:tc>
        <w:tc>
          <w:tcPr>
            <w:tcW w:w="2610" w:type="dxa"/>
          </w:tcPr>
          <w:p w:rsidR="00A53A38" w:rsidP="00175592" w14:paraId="14DE6F16" w14:textId="248DB397">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$2,732,544</w:t>
            </w:r>
          </w:p>
        </w:tc>
        <w:tc>
          <w:tcPr>
            <w:tcW w:w="2790" w:type="dxa"/>
          </w:tcPr>
          <w:p w:rsidR="00A53A38" w:rsidP="00175592" w14:paraId="34584DE6" w14:textId="5C9A9F9F">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$6,035,872</w:t>
            </w:r>
          </w:p>
        </w:tc>
      </w:tr>
      <w:tr w14:paraId="77E5C4F0" w14:textId="77777777" w:rsidTr="009169F1">
        <w:tblPrEx>
          <w:tblW w:w="0" w:type="auto"/>
          <w:tblInd w:w="-95" w:type="dxa"/>
          <w:tblLook w:val="04A0"/>
        </w:tblPrEx>
        <w:tc>
          <w:tcPr>
            <w:tcW w:w="1708" w:type="dxa"/>
          </w:tcPr>
          <w:p w:rsidR="00D6778A" w:rsidRPr="00175592" w:rsidP="00D6778A" w14:paraId="3CD0A9C3"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New Total</w:t>
            </w:r>
          </w:p>
        </w:tc>
        <w:tc>
          <w:tcPr>
            <w:tcW w:w="2162" w:type="dxa"/>
          </w:tcPr>
          <w:p w:rsidR="00D6778A" w:rsidP="00D6778A" w14:paraId="1C4A9929" w14:textId="023724FE">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$3,303,328</w:t>
            </w:r>
          </w:p>
        </w:tc>
        <w:tc>
          <w:tcPr>
            <w:tcW w:w="2610" w:type="dxa"/>
          </w:tcPr>
          <w:p w:rsidR="00D6778A" w:rsidP="00D6778A" w14:paraId="74E27CCD" w14:textId="1892DC2C">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$2,732,544</w:t>
            </w:r>
          </w:p>
        </w:tc>
        <w:tc>
          <w:tcPr>
            <w:tcW w:w="2790" w:type="dxa"/>
          </w:tcPr>
          <w:p w:rsidR="00D6778A" w:rsidP="00D6778A" w14:paraId="2FDACC8B" w14:textId="55154ACB">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$6,035,872</w:t>
            </w:r>
          </w:p>
        </w:tc>
      </w:tr>
    </w:tbl>
    <w:p w:rsidR="00223750" w:rsidRPr="00360111" w:rsidP="002B4A5A" w14:paraId="5C98DB3C" w14:textId="77777777">
      <w:pPr>
        <w:pStyle w:val="ListParagraph"/>
        <w:widowControl w:val="0"/>
        <w:numPr>
          <w:ilvl w:val="0"/>
          <w:numId w:val="5"/>
        </w:numPr>
        <w:autoSpaceDE w:val="0"/>
        <w:autoSpaceDN w:val="0"/>
        <w:adjustRightInd w:val="0"/>
        <w:spacing w:before="360" w:after="360" w:line="240" w:lineRule="auto"/>
        <w:contextualSpacing w:val="0"/>
        <w:rPr>
          <w:rFonts w:ascii="Times New Roman" w:eastAsia="Times New Roman" w:hAnsi="Times New Roman" w:cs="Times New Roman"/>
          <w:i/>
          <w:sz w:val="24"/>
          <w:szCs w:val="20"/>
        </w:rPr>
      </w:pPr>
      <w:r w:rsidRPr="002B4A5A">
        <w:rPr>
          <w:rFonts w:ascii="Times New Roman" w:eastAsia="Times New Roman" w:hAnsi="Times New Roman" w:cs="Times New Roman"/>
          <w:i/>
          <w:sz w:val="24"/>
          <w:szCs w:val="20"/>
        </w:rPr>
        <w:t>OMB Control Number 3038-0103</w:t>
      </w:r>
    </w:p>
    <w:p w:rsidR="00360111" w:rsidRPr="00360111" w:rsidP="00360111" w14:paraId="7BC50D07" w14:textId="72D15762">
      <w:pPr>
        <w:widowControl w:val="0"/>
        <w:autoSpaceDE w:val="0"/>
        <w:autoSpaceDN w:val="0"/>
        <w:adjustRightInd w:val="0"/>
        <w:spacing w:after="360" w:line="240" w:lineRule="auto"/>
        <w:ind w:firstLine="720"/>
        <w:rPr>
          <w:rFonts w:ascii="Times New Roman" w:eastAsia="Times New Roman" w:hAnsi="Times New Roman" w:cs="Times New Roman"/>
          <w:i/>
          <w:sz w:val="24"/>
          <w:szCs w:val="20"/>
        </w:rPr>
      </w:pPr>
      <w:r w:rsidRPr="00360111">
        <w:rPr>
          <w:rFonts w:ascii="Times New Roman" w:eastAsia="Times New Roman" w:hAnsi="Times New Roman" w:cs="Times New Roman"/>
          <w:iCs/>
          <w:sz w:val="24"/>
          <w:szCs w:val="20"/>
        </w:rPr>
        <w:t>As described in the Response to Question 12, the Commission is updating its burden estimates for Collection 3038-0</w:t>
      </w:r>
      <w:r>
        <w:rPr>
          <w:rFonts w:ascii="Times New Roman" w:eastAsia="Times New Roman" w:hAnsi="Times New Roman" w:cs="Times New Roman"/>
          <w:iCs/>
          <w:sz w:val="24"/>
          <w:szCs w:val="20"/>
        </w:rPr>
        <w:t>103</w:t>
      </w:r>
      <w:r w:rsidRPr="00360111">
        <w:rPr>
          <w:rFonts w:ascii="Times New Roman" w:eastAsia="Times New Roman" w:hAnsi="Times New Roman" w:cs="Times New Roman"/>
          <w:iCs/>
          <w:sz w:val="24"/>
          <w:szCs w:val="20"/>
        </w:rPr>
        <w:t xml:space="preserve"> as shown in the table below:</w:t>
      </w:r>
    </w:p>
    <w:tbl>
      <w:tblPr>
        <w:tblStyle w:val="TableGrid"/>
        <w:tblW w:w="0" w:type="auto"/>
        <w:tblInd w:w="-95" w:type="dxa"/>
        <w:tblLook w:val="04A0"/>
      </w:tblPr>
      <w:tblGrid>
        <w:gridCol w:w="1708"/>
        <w:gridCol w:w="1709"/>
        <w:gridCol w:w="1710"/>
        <w:gridCol w:w="2429"/>
        <w:gridCol w:w="1889"/>
      </w:tblGrid>
      <w:tr w14:paraId="664DD5FA" w14:textId="77777777" w:rsidTr="00175592">
        <w:tblPrEx>
          <w:tblW w:w="0" w:type="auto"/>
          <w:tblInd w:w="-95" w:type="dxa"/>
          <w:tblLook w:val="04A0"/>
        </w:tblPrEx>
        <w:tc>
          <w:tcPr>
            <w:tcW w:w="1708" w:type="dxa"/>
          </w:tcPr>
          <w:p w:rsidR="00D6778A" w:rsidP="00175592" w14:paraId="5916249B" w14:textId="77777777">
            <w:pPr>
              <w:tabs>
                <w:tab w:val="left" w:pos="-720"/>
                <w:tab w:val="left" w:pos="0"/>
              </w:tabs>
              <w:suppressAutoHyphens/>
              <w:spacing w:before="240" w:after="240" w:line="240" w:lineRule="auto"/>
              <w:rPr>
                <w:rFonts w:ascii="Times New Roman" w:eastAsia="Times New Roman" w:hAnsi="Times New Roman" w:cs="Times New Roman"/>
                <w:sz w:val="24"/>
                <w:szCs w:val="20"/>
              </w:rPr>
            </w:pPr>
          </w:p>
        </w:tc>
        <w:tc>
          <w:tcPr>
            <w:tcW w:w="1709" w:type="dxa"/>
          </w:tcPr>
          <w:p w:rsidR="00D6778A" w:rsidRPr="00175592" w:rsidP="00175592" w14:paraId="41872766"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Respondents</w:t>
            </w:r>
          </w:p>
        </w:tc>
        <w:tc>
          <w:tcPr>
            <w:tcW w:w="1710" w:type="dxa"/>
          </w:tcPr>
          <w:p w:rsidR="00D6778A" w:rsidRPr="00175592" w:rsidP="00175592" w14:paraId="78FF4CC4"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Responses</w:t>
            </w:r>
          </w:p>
        </w:tc>
        <w:tc>
          <w:tcPr>
            <w:tcW w:w="2429" w:type="dxa"/>
          </w:tcPr>
          <w:p w:rsidR="00D6778A" w:rsidRPr="00175592" w:rsidP="00175592" w14:paraId="7530FDCD"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Burden Hours</w:t>
            </w:r>
          </w:p>
        </w:tc>
        <w:tc>
          <w:tcPr>
            <w:tcW w:w="1889" w:type="dxa"/>
          </w:tcPr>
          <w:p w:rsidR="00D6778A" w:rsidRPr="00175592" w:rsidP="00175592" w14:paraId="73859263"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Labor Costs</w:t>
            </w:r>
          </w:p>
        </w:tc>
      </w:tr>
      <w:tr w14:paraId="0F480A59" w14:textId="77777777" w:rsidTr="00175592">
        <w:tblPrEx>
          <w:tblW w:w="0" w:type="auto"/>
          <w:tblInd w:w="-95" w:type="dxa"/>
          <w:tblLook w:val="04A0"/>
        </w:tblPrEx>
        <w:tc>
          <w:tcPr>
            <w:tcW w:w="1708" w:type="dxa"/>
          </w:tcPr>
          <w:p w:rsidR="00F351B2" w:rsidRPr="00175592" w:rsidP="00F351B2" w14:paraId="5316B4F5"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Current Totals</w:t>
            </w:r>
          </w:p>
        </w:tc>
        <w:tc>
          <w:tcPr>
            <w:tcW w:w="1709" w:type="dxa"/>
          </w:tcPr>
          <w:p w:rsidR="00F351B2" w:rsidRPr="00F351B2" w:rsidP="00F351B2" w14:paraId="2928EC61" w14:textId="34B5A095">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1,779</w:t>
            </w:r>
          </w:p>
        </w:tc>
        <w:tc>
          <w:tcPr>
            <w:tcW w:w="1710" w:type="dxa"/>
          </w:tcPr>
          <w:p w:rsidR="00F351B2" w:rsidRPr="00F351B2" w:rsidP="00F351B2" w14:paraId="220102C2" w14:textId="276569D4">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660,412</w:t>
            </w:r>
          </w:p>
        </w:tc>
        <w:tc>
          <w:tcPr>
            <w:tcW w:w="2429" w:type="dxa"/>
          </w:tcPr>
          <w:p w:rsidR="00F351B2" w:rsidRPr="00F351B2" w:rsidP="00F351B2" w14:paraId="1BD384D3" w14:textId="2F1B6D09">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188,980</w:t>
            </w:r>
          </w:p>
        </w:tc>
        <w:tc>
          <w:tcPr>
            <w:tcW w:w="1889" w:type="dxa"/>
          </w:tcPr>
          <w:p w:rsidR="00F351B2" w:rsidRPr="00F351B2" w:rsidP="00F351B2" w14:paraId="1C9B5CE9" w14:textId="42CDADAB">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$20,976,780</w:t>
            </w:r>
          </w:p>
        </w:tc>
      </w:tr>
      <w:tr w14:paraId="07B4DFA1" w14:textId="77777777" w:rsidTr="00175592">
        <w:tblPrEx>
          <w:tblW w:w="0" w:type="auto"/>
          <w:tblInd w:w="-95" w:type="dxa"/>
          <w:tblLook w:val="04A0"/>
        </w:tblPrEx>
        <w:tc>
          <w:tcPr>
            <w:tcW w:w="1708" w:type="dxa"/>
          </w:tcPr>
          <w:p w:rsidR="00F351B2" w:rsidRPr="00175592" w:rsidP="00F351B2" w14:paraId="59C1B88B"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Incremental Change</w:t>
            </w:r>
          </w:p>
        </w:tc>
        <w:tc>
          <w:tcPr>
            <w:tcW w:w="1709" w:type="dxa"/>
          </w:tcPr>
          <w:p w:rsidR="00F351B2" w:rsidRPr="00F351B2" w:rsidP="00F351B2" w14:paraId="77D19FE2" w14:textId="36DE3F6F">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399</w:t>
            </w:r>
          </w:p>
        </w:tc>
        <w:tc>
          <w:tcPr>
            <w:tcW w:w="1710" w:type="dxa"/>
          </w:tcPr>
          <w:p w:rsidR="00F351B2" w:rsidRPr="00F351B2" w:rsidP="00F351B2" w14:paraId="3FEF96D0" w14:textId="7899A342">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241,600</w:t>
            </w:r>
          </w:p>
        </w:tc>
        <w:tc>
          <w:tcPr>
            <w:tcW w:w="2429" w:type="dxa"/>
          </w:tcPr>
          <w:p w:rsidR="00F351B2" w:rsidRPr="00F351B2" w:rsidP="00F351B2" w14:paraId="65799130" w14:textId="4A32C60A">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89,024</w:t>
            </w:r>
          </w:p>
        </w:tc>
        <w:tc>
          <w:tcPr>
            <w:tcW w:w="1889" w:type="dxa"/>
          </w:tcPr>
          <w:p w:rsidR="00F351B2" w:rsidRPr="00F351B2" w:rsidP="00F351B2" w14:paraId="03C3C04C" w14:textId="678C4E50">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$11,836,162</w:t>
            </w:r>
          </w:p>
        </w:tc>
      </w:tr>
      <w:tr w14:paraId="70E97B00" w14:textId="77777777" w:rsidTr="00175592">
        <w:tblPrEx>
          <w:tblW w:w="0" w:type="auto"/>
          <w:tblInd w:w="-95" w:type="dxa"/>
          <w:tblLook w:val="04A0"/>
        </w:tblPrEx>
        <w:tc>
          <w:tcPr>
            <w:tcW w:w="1708" w:type="dxa"/>
          </w:tcPr>
          <w:p w:rsidR="00F351B2" w:rsidRPr="00175592" w:rsidP="00F351B2" w14:paraId="40F3E9EC"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New Total</w:t>
            </w:r>
          </w:p>
        </w:tc>
        <w:tc>
          <w:tcPr>
            <w:tcW w:w="1709" w:type="dxa"/>
          </w:tcPr>
          <w:p w:rsidR="00F351B2" w:rsidRPr="00F351B2" w:rsidP="00F351B2" w14:paraId="6861D2AE" w14:textId="07344DDC">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2,178</w:t>
            </w:r>
          </w:p>
        </w:tc>
        <w:tc>
          <w:tcPr>
            <w:tcW w:w="1710" w:type="dxa"/>
          </w:tcPr>
          <w:p w:rsidR="00F351B2" w:rsidRPr="00F351B2" w:rsidP="00F351B2" w14:paraId="0BDC5626" w14:textId="3919127D">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902,012</w:t>
            </w:r>
          </w:p>
        </w:tc>
        <w:tc>
          <w:tcPr>
            <w:tcW w:w="2429" w:type="dxa"/>
          </w:tcPr>
          <w:p w:rsidR="00F351B2" w:rsidRPr="00F351B2" w:rsidP="00F351B2" w14:paraId="1EE1A9BA" w14:textId="18E44A52">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278,004</w:t>
            </w:r>
          </w:p>
        </w:tc>
        <w:tc>
          <w:tcPr>
            <w:tcW w:w="1889" w:type="dxa"/>
          </w:tcPr>
          <w:p w:rsidR="00F351B2" w:rsidRPr="00F351B2" w:rsidP="00F351B2" w14:paraId="523907B5" w14:textId="0CA54110">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$32,812,942</w:t>
            </w:r>
          </w:p>
        </w:tc>
      </w:tr>
    </w:tbl>
    <w:p w:rsidR="00D50C84" w:rsidRPr="00E21E52" w:rsidP="006962BD" w14:paraId="4CC7CC10" w14:textId="0558F319">
      <w:pPr>
        <w:keepNext/>
        <w:keepLines/>
        <w:tabs>
          <w:tab w:val="left" w:pos="-720"/>
          <w:tab w:val="left" w:pos="0"/>
        </w:tabs>
        <w:suppressAutoHyphens/>
        <w:spacing w:before="360"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21E52">
        <w:rPr>
          <w:rFonts w:ascii="Times New Roman" w:eastAsia="Times New Roman" w:hAnsi="Times New Roman" w:cs="Times New Roman"/>
          <w:sz w:val="24"/>
          <w:szCs w:val="20"/>
        </w:rPr>
        <w:t>.</w:t>
      </w:r>
    </w:p>
    <w:p w:rsidR="00D50C84" w:rsidRPr="00E21E52" w:rsidP="006962BD" w14:paraId="31A1A60C" w14:textId="778F44E5">
      <w:pPr>
        <w:keepNext/>
        <w:keepLines/>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 results of this collection of information are not planned to be published for statistical use.</w:t>
      </w:r>
    </w:p>
    <w:p w:rsidR="00D50C84" w:rsidRPr="00E21E52" w:rsidP="005F7F42" w14:paraId="45059FE4" w14:textId="418233DD">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seeking approval to not display the expiration date for OMB approval of the information collection, explain the reasons that display would be inappropriate</w:t>
      </w:r>
      <w:r w:rsidRPr="00E21E52">
        <w:rPr>
          <w:rFonts w:ascii="Times New Roman" w:eastAsia="Times New Roman" w:hAnsi="Times New Roman" w:cs="Times New Roman"/>
          <w:sz w:val="24"/>
          <w:szCs w:val="20"/>
        </w:rPr>
        <w:t>.</w:t>
      </w:r>
    </w:p>
    <w:p w:rsidR="00D50C84" w:rsidRPr="00E21E52" w:rsidP="0051557B" w14:paraId="6CFC0FAC" w14:textId="64F07F9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 Commission is not seeking such approval.</w:t>
      </w:r>
    </w:p>
    <w:p w:rsidR="00D50C84" w:rsidRPr="00E21E52" w:rsidP="0051557B" w14:paraId="11B8FC6A" w14:textId="75CD6635">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each exception to the certification statement identified in Item 19, </w:t>
      </w:r>
      <w:r w:rsidR="0051557B">
        <w:rPr>
          <w:rFonts w:ascii="Times New Roman" w:eastAsia="Times New Roman" w:hAnsi="Times New Roman" w:cs="Times New Roman"/>
          <w:sz w:val="24"/>
          <w:szCs w:val="20"/>
          <w:u w:val="single"/>
        </w:rPr>
        <w:t>“</w:t>
      </w:r>
      <w:r w:rsidRPr="00E21E52">
        <w:rPr>
          <w:rFonts w:ascii="Times New Roman" w:eastAsia="Times New Roman" w:hAnsi="Times New Roman" w:cs="Times New Roman"/>
          <w:sz w:val="24"/>
          <w:szCs w:val="20"/>
          <w:u w:val="single"/>
        </w:rPr>
        <w:t>Certification for Paperwork Reduction Act Submissions</w:t>
      </w:r>
      <w:r w:rsidR="000E5AC4">
        <w:rPr>
          <w:rFonts w:ascii="Times New Roman" w:eastAsia="Times New Roman" w:hAnsi="Times New Roman" w:cs="Times New Roman"/>
          <w:sz w:val="24"/>
          <w:szCs w:val="20"/>
          <w:u w:val="single"/>
        </w:rPr>
        <w:t>.</w:t>
      </w:r>
      <w:r w:rsidR="0051557B">
        <w:rPr>
          <w:rFonts w:ascii="Times New Roman" w:eastAsia="Times New Roman" w:hAnsi="Times New Roman" w:cs="Times New Roman"/>
          <w:sz w:val="24"/>
          <w:szCs w:val="20"/>
          <w:u w:val="single"/>
        </w:rPr>
        <w:t>”</w:t>
      </w:r>
    </w:p>
    <w:p w:rsidR="00F16BF8" w:rsidP="002B4A5A" w14:paraId="1E3092CD" w14:textId="5AE81229">
      <w:pPr>
        <w:widowControl w:val="0"/>
        <w:autoSpaceDE w:val="0"/>
        <w:autoSpaceDN w:val="0"/>
        <w:adjustRightInd w:val="0"/>
        <w:spacing w:after="240" w:line="240" w:lineRule="auto"/>
        <w:ind w:firstLine="720"/>
        <w:rPr>
          <w:rFonts w:ascii="Times New Roman" w:hAnsi="Times New Roman" w:cs="Times New Roman"/>
          <w:b/>
          <w:bCs/>
          <w:sz w:val="24"/>
          <w:szCs w:val="24"/>
          <w:u w:val="single"/>
        </w:rPr>
        <w:sectPr w:rsidSect="00210C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665298">
        <w:rPr>
          <w:rFonts w:ascii="Times New Roman" w:eastAsia="Times New Roman" w:hAnsi="Times New Roman" w:cs="Times New Roman"/>
          <w:sz w:val="24"/>
          <w:szCs w:val="20"/>
        </w:rPr>
        <w:t>Not applicable, there are no exceptions.</w:t>
      </w:r>
      <w:r>
        <w:rPr>
          <w:rFonts w:ascii="Times New Roman" w:hAnsi="Times New Roman" w:cs="Times New Roman"/>
          <w:b/>
          <w:sz w:val="24"/>
          <w:szCs w:val="24"/>
          <w:u w:val="single"/>
        </w:rPr>
        <w:br w:type="page"/>
      </w:r>
    </w:p>
    <w:p w:rsidR="00E41565" w:rsidP="00F16BF8" w14:paraId="557B56A0" w14:textId="6FB39E40">
      <w:pPr>
        <w:spacing w:after="160" w:line="259" w:lineRule="auto"/>
        <w:jc w:val="center"/>
        <w:rPr>
          <w:rFonts w:ascii="Times New Roman" w:hAnsi="Times New Roman" w:cs="Times New Roman"/>
          <w:sz w:val="24"/>
          <w:szCs w:val="24"/>
        </w:rPr>
      </w:pPr>
      <w:r>
        <w:rPr>
          <w:rFonts w:ascii="Times New Roman" w:hAnsi="Times New Roman" w:cs="Times New Roman"/>
          <w:b/>
          <w:bCs/>
          <w:sz w:val="24"/>
          <w:szCs w:val="24"/>
          <w:u w:val="single"/>
        </w:rPr>
        <w:t>Attachment A</w:t>
      </w:r>
    </w:p>
    <w:p w:rsidR="00482080" w:rsidP="00DC2BC0" w14:paraId="1B917B24" w14:textId="77777777">
      <w:pPr>
        <w:spacing w:after="0" w:line="480" w:lineRule="auto"/>
        <w:rPr>
          <w:rFonts w:ascii="Times New Roman" w:hAnsi="Times New Roman" w:cs="Times New Roman"/>
          <w:b/>
          <w:sz w:val="24"/>
          <w:szCs w:val="24"/>
          <w:u w:val="single"/>
        </w:rPr>
      </w:pPr>
      <w:bookmarkStart w:id="1" w:name="_Hlk129615424"/>
      <w:r w:rsidRPr="009169F1">
        <w:rPr>
          <w:rFonts w:ascii="Times New Roman" w:hAnsi="Times New Roman" w:cs="Times New Roman"/>
          <w:b/>
          <w:sz w:val="24"/>
          <w:szCs w:val="24"/>
          <w:u w:val="single"/>
        </w:rPr>
        <w:t>OMB Control Number 3038-0009</w:t>
      </w:r>
    </w:p>
    <w:p w:rsidR="00015604" w:rsidRPr="009169F1" w:rsidP="009169F1" w14:paraId="19DA8625" w14:textId="5B767AEE">
      <w:pPr>
        <w:spacing w:after="0" w:line="480" w:lineRule="auto"/>
        <w:rPr>
          <w:rFonts w:ascii="Times New Roman" w:hAnsi="Times New Roman" w:cs="Times New Roman"/>
          <w:b/>
          <w:sz w:val="24"/>
          <w:szCs w:val="24"/>
        </w:rPr>
      </w:pPr>
      <w:r>
        <w:rPr>
          <w:rFonts w:ascii="Times New Roman" w:hAnsi="Times New Roman" w:cs="Times New Roman"/>
          <w:b/>
          <w:sz w:val="24"/>
          <w:szCs w:val="24"/>
        </w:rPr>
        <w:t>Large Trader Reports (</w:t>
      </w:r>
      <w:r w:rsidRPr="00175592">
        <w:rPr>
          <w:rFonts w:ascii="Times New Roman" w:hAnsi="Times New Roman" w:cs="Times New Roman"/>
          <w:b/>
          <w:bCs/>
          <w:sz w:val="24"/>
          <w:szCs w:val="24"/>
        </w:rPr>
        <w:t>§§</w:t>
      </w:r>
      <w:r>
        <w:rPr>
          <w:rFonts w:ascii="Times New Roman" w:hAnsi="Times New Roman" w:cs="Times New Roman"/>
          <w:b/>
          <w:bCs/>
          <w:sz w:val="24"/>
          <w:szCs w:val="24"/>
        </w:rPr>
        <w:t xml:space="preserve"> 16.00, 17.00, and 21)</w:t>
      </w:r>
    </w:p>
    <w:p w:rsidR="00482080" w:rsidRPr="009169F1" w:rsidP="009169F1" w14:paraId="72674317" w14:textId="77777777">
      <w:pPr>
        <w:spacing w:after="0" w:line="480" w:lineRule="auto"/>
        <w:rPr>
          <w:rFonts w:ascii="Times New Roman" w:hAnsi="Times New Roman" w:cs="Times New Roman"/>
          <w:sz w:val="24"/>
          <w:szCs w:val="24"/>
        </w:rPr>
      </w:pPr>
      <w:r w:rsidRPr="009169F1">
        <w:rPr>
          <w:rFonts w:ascii="Times New Roman" w:hAnsi="Times New Roman" w:cs="Times New Roman"/>
          <w:sz w:val="24"/>
          <w:szCs w:val="24"/>
        </w:rPr>
        <w:t xml:space="preserve">Reporting Burden </w:t>
      </w:r>
    </w:p>
    <w:tbl>
      <w:tblPr>
        <w:tblW w:w="5829"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7"/>
        <w:gridCol w:w="1851"/>
        <w:gridCol w:w="1528"/>
        <w:gridCol w:w="1579"/>
        <w:gridCol w:w="1579"/>
        <w:gridCol w:w="1404"/>
        <w:gridCol w:w="1510"/>
        <w:gridCol w:w="1350"/>
        <w:gridCol w:w="1310"/>
        <w:gridCol w:w="1389"/>
      </w:tblGrid>
      <w:tr w14:paraId="6DD39539" w14:textId="77777777" w:rsidTr="009169F1">
        <w:tblPrEx>
          <w:tblW w:w="5829"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27"/>
        </w:trPr>
        <w:tc>
          <w:tcPr>
            <w:tcW w:w="529" w:type="pct"/>
            <w:tcBorders>
              <w:top w:val="single" w:sz="4" w:space="0" w:color="000000"/>
              <w:left w:val="single" w:sz="4" w:space="0" w:color="000000"/>
              <w:bottom w:val="single" w:sz="4" w:space="0" w:color="000000"/>
              <w:right w:val="single" w:sz="4" w:space="0" w:color="000000"/>
            </w:tcBorders>
          </w:tcPr>
          <w:p w:rsidR="00482080" w:rsidRPr="00482080" w:rsidP="00482080" w14:paraId="6DB1E359"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1.</w:t>
            </w:r>
          </w:p>
          <w:p w:rsidR="00482080" w:rsidRPr="00482080" w:rsidP="00482080" w14:paraId="5C6BADC3"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Regulation(s)</w:t>
            </w:r>
          </w:p>
          <w:p w:rsidR="00482080" w:rsidRPr="00482080" w:rsidP="00482080" w14:paraId="29F6095A" w14:textId="77777777">
            <w:pPr>
              <w:spacing w:after="0" w:line="240" w:lineRule="auto"/>
              <w:rPr>
                <w:rFonts w:ascii="Times New Roman" w:hAnsi="Times New Roman" w:cs="Times New Roman"/>
                <w:b/>
                <w:sz w:val="20"/>
                <w:szCs w:val="20"/>
              </w:rPr>
            </w:pPr>
          </w:p>
        </w:tc>
        <w:tc>
          <w:tcPr>
            <w:tcW w:w="613" w:type="pct"/>
            <w:tcBorders>
              <w:top w:val="single" w:sz="4" w:space="0" w:color="000000"/>
              <w:left w:val="single" w:sz="4" w:space="0" w:color="000000"/>
              <w:bottom w:val="single" w:sz="4" w:space="0" w:color="000000"/>
              <w:right w:val="single" w:sz="4" w:space="0" w:color="000000"/>
            </w:tcBorders>
          </w:tcPr>
          <w:p w:rsidR="00482080" w:rsidRPr="00482080" w:rsidP="00482080" w14:paraId="5ED190A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w:t>
            </w:r>
          </w:p>
          <w:p w:rsidR="00482080" w:rsidRPr="00482080" w:rsidP="00482080" w14:paraId="28A7DB32"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 xml:space="preserve">Estimated Number of Respondents </w:t>
            </w:r>
          </w:p>
          <w:p w:rsidR="00482080" w:rsidRPr="00482080" w:rsidP="00482080" w14:paraId="4A90D64B" w14:textId="77777777">
            <w:pPr>
              <w:spacing w:after="0" w:line="240" w:lineRule="auto"/>
              <w:rPr>
                <w:rFonts w:ascii="Times New Roman" w:hAnsi="Times New Roman" w:cs="Times New Roman"/>
                <w:b/>
                <w:sz w:val="20"/>
                <w:szCs w:val="20"/>
              </w:rPr>
            </w:pPr>
          </w:p>
        </w:tc>
        <w:tc>
          <w:tcPr>
            <w:tcW w:w="506"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3179DFE0"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3.</w:t>
            </w:r>
          </w:p>
          <w:p w:rsidR="00482080" w:rsidRPr="00482080" w:rsidP="00482080" w14:paraId="2B8E6C0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Estimated Number of Reports</w:t>
            </w:r>
          </w:p>
          <w:p w:rsidR="00482080" w:rsidRPr="00482080" w:rsidP="00482080" w14:paraId="11D3A968"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by Each Respondent</w:t>
            </w:r>
          </w:p>
        </w:tc>
        <w:tc>
          <w:tcPr>
            <w:tcW w:w="523"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0016B23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4.</w:t>
            </w:r>
          </w:p>
          <w:p w:rsidR="00482080" w:rsidRPr="00482080" w:rsidP="00482080" w14:paraId="01C044CC"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 xml:space="preserve">Estimated Average </w:t>
            </w:r>
            <w:r w:rsidRPr="00482080">
              <w:rPr>
                <w:rFonts w:ascii="Times New Roman" w:hAnsi="Times New Roman" w:cs="Times New Roman"/>
                <w:b/>
                <w:sz w:val="20"/>
                <w:szCs w:val="20"/>
              </w:rPr>
              <w:t>Number</w:t>
            </w:r>
            <w:r w:rsidRPr="00482080">
              <w:rPr>
                <w:rFonts w:ascii="Times New Roman" w:hAnsi="Times New Roman" w:cs="Times New Roman"/>
                <w:b/>
                <w:sz w:val="20"/>
                <w:szCs w:val="20"/>
              </w:rPr>
              <w:t xml:space="preserve"> of Burden Hours per Response</w:t>
            </w:r>
          </w:p>
        </w:tc>
        <w:tc>
          <w:tcPr>
            <w:tcW w:w="523"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481C04E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5.</w:t>
            </w:r>
          </w:p>
          <w:p w:rsidR="00482080" w:rsidRPr="00482080" w:rsidP="00482080" w14:paraId="75F4DB4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 xml:space="preserve">Annual </w:t>
            </w:r>
            <w:r w:rsidRPr="00482080">
              <w:rPr>
                <w:rFonts w:ascii="Times New Roman" w:hAnsi="Times New Roman" w:cs="Times New Roman"/>
                <w:b/>
                <w:sz w:val="20"/>
                <w:szCs w:val="20"/>
              </w:rPr>
              <w:t>Number</w:t>
            </w:r>
            <w:r w:rsidRPr="00482080">
              <w:rPr>
                <w:rFonts w:ascii="Times New Roman" w:hAnsi="Times New Roman" w:cs="Times New Roman"/>
                <w:b/>
                <w:sz w:val="20"/>
                <w:szCs w:val="20"/>
              </w:rPr>
              <w:t xml:space="preserve"> of Burden Hours per Respondent</w:t>
            </w:r>
          </w:p>
          <w:p w:rsidR="00482080" w:rsidRPr="00482080" w:rsidP="00482080" w14:paraId="4D8D978C"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(3 × 4)</w:t>
            </w:r>
          </w:p>
        </w:tc>
        <w:tc>
          <w:tcPr>
            <w:tcW w:w="465" w:type="pct"/>
            <w:tcBorders>
              <w:top w:val="single" w:sz="4" w:space="0" w:color="000000"/>
              <w:left w:val="single" w:sz="4" w:space="0" w:color="000000"/>
              <w:bottom w:val="single" w:sz="4" w:space="0" w:color="000000"/>
              <w:right w:val="single" w:sz="4" w:space="0" w:color="000000"/>
            </w:tcBorders>
          </w:tcPr>
          <w:p w:rsidR="00482080" w:rsidRPr="00482080" w:rsidP="00482080" w14:paraId="4BFBC4D4"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 xml:space="preserve">6. </w:t>
            </w:r>
          </w:p>
          <w:p w:rsidR="00482080" w:rsidRPr="00482080" w:rsidP="00482080" w14:paraId="14BAD33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Estimated Average Burden Hour Cost</w:t>
            </w:r>
            <w:r>
              <w:rPr>
                <w:rFonts w:ascii="Times New Roman" w:hAnsi="Times New Roman" w:cs="Times New Roman"/>
                <w:sz w:val="20"/>
                <w:szCs w:val="20"/>
                <w:vertAlign w:val="superscript"/>
              </w:rPr>
              <w:footnoteReference w:id="43"/>
            </w:r>
          </w:p>
          <w:p w:rsidR="00482080" w:rsidRPr="00482080" w:rsidP="00482080" w14:paraId="5E464C95" w14:textId="77777777">
            <w:pPr>
              <w:spacing w:after="0" w:line="240" w:lineRule="auto"/>
              <w:rPr>
                <w:rFonts w:ascii="Times New Roman" w:hAnsi="Times New Roman" w:cs="Times New Roman"/>
                <w:b/>
                <w:sz w:val="20"/>
                <w:szCs w:val="20"/>
              </w:rPr>
            </w:pPr>
          </w:p>
        </w:tc>
        <w:tc>
          <w:tcPr>
            <w:tcW w:w="500"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49F4DB4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7.</w:t>
            </w:r>
          </w:p>
          <w:p w:rsidR="00482080" w:rsidRPr="00482080" w:rsidP="00482080" w14:paraId="518D02E4"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Average Hour Burden Cost Per Respondent</w:t>
            </w:r>
          </w:p>
          <w:p w:rsidR="00482080" w:rsidRPr="00482080" w:rsidP="00482080" w14:paraId="29B4C556"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(5 × 6)</w:t>
            </w:r>
          </w:p>
        </w:tc>
        <w:tc>
          <w:tcPr>
            <w:tcW w:w="447"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17034C49"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8.</w:t>
            </w:r>
          </w:p>
          <w:p w:rsidR="00482080" w:rsidRPr="00482080" w:rsidP="00482080" w14:paraId="7492506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Annual</w:t>
            </w:r>
          </w:p>
          <w:p w:rsidR="00482080" w:rsidRPr="00482080" w:rsidP="00482080" w14:paraId="2C236EFD"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Responses</w:t>
            </w:r>
          </w:p>
          <w:p w:rsidR="00482080" w:rsidRPr="00482080" w:rsidP="00482080" w14:paraId="6665A538"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 × 3)</w:t>
            </w:r>
          </w:p>
        </w:tc>
        <w:tc>
          <w:tcPr>
            <w:tcW w:w="434"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64802FD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9.</w:t>
            </w:r>
          </w:p>
          <w:p w:rsidR="00482080" w:rsidRPr="00482080" w:rsidP="00482080" w14:paraId="24B8CE96"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Annual Number of Burden Hours</w:t>
            </w:r>
          </w:p>
          <w:p w:rsidR="00482080" w:rsidRPr="00482080" w:rsidP="00482080" w14:paraId="60DA04C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 x 5)</w:t>
            </w:r>
          </w:p>
        </w:tc>
        <w:tc>
          <w:tcPr>
            <w:tcW w:w="460"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26F6B158"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10.</w:t>
            </w:r>
          </w:p>
          <w:p w:rsidR="00482080" w:rsidRPr="00482080" w:rsidP="00482080" w14:paraId="60FE4F63"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Annual Burden Hour Cost of All Responses</w:t>
            </w:r>
          </w:p>
          <w:p w:rsidR="00482080" w:rsidRPr="00482080" w:rsidP="00482080" w14:paraId="173881AD"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 × 7)</w:t>
            </w:r>
          </w:p>
        </w:tc>
      </w:tr>
      <w:tr w14:paraId="47D0C369" w14:textId="77777777" w:rsidTr="009169F1">
        <w:tblPrEx>
          <w:tblW w:w="5829" w:type="pct"/>
          <w:tblInd w:w="-972" w:type="dxa"/>
          <w:tblLook w:val="04A0"/>
        </w:tblPrEx>
        <w:trPr>
          <w:trHeight w:val="611"/>
        </w:trPr>
        <w:tc>
          <w:tcPr>
            <w:tcW w:w="529"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910A191"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 16.00</w:t>
            </w:r>
          </w:p>
          <w:p w:rsidR="00482080" w:rsidRPr="00482080" w:rsidP="00482080" w14:paraId="3E132D3D"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(Reporting Markets)</w:t>
            </w:r>
          </w:p>
        </w:tc>
        <w:tc>
          <w:tcPr>
            <w:tcW w:w="61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0BB56C7"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16</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DFCCD10"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250</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56539E34"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0.333</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0E9097E"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83.333</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71E0BC6"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$93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6B6A57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$7,749.969</w:t>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7F592DB"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4,000</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30F94E2"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1,332</w:t>
            </w:r>
          </w:p>
        </w:tc>
        <w:tc>
          <w:tcPr>
            <w:tcW w:w="46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57CF53DA" w14:textId="77777777">
            <w:pPr>
              <w:spacing w:after="0" w:line="240" w:lineRule="auto"/>
              <w:rPr>
                <w:rFonts w:ascii="Times New Roman" w:hAnsi="Times New Roman" w:cs="Times New Roman"/>
                <w:b/>
                <w:bCs/>
                <w:sz w:val="20"/>
                <w:szCs w:val="20"/>
              </w:rPr>
            </w:pPr>
            <w:r w:rsidRPr="00482080">
              <w:rPr>
                <w:rFonts w:ascii="Times New Roman" w:hAnsi="Times New Roman" w:cs="Times New Roman"/>
                <w:b/>
                <w:bCs/>
                <w:sz w:val="20"/>
                <w:szCs w:val="20"/>
              </w:rPr>
              <w:t>$123,876</w:t>
            </w:r>
          </w:p>
        </w:tc>
      </w:tr>
      <w:tr w14:paraId="66478997" w14:textId="77777777" w:rsidTr="009169F1">
        <w:tblPrEx>
          <w:tblW w:w="5829" w:type="pct"/>
          <w:tblInd w:w="-972" w:type="dxa"/>
          <w:tblLook w:val="04A0"/>
        </w:tblPrEx>
        <w:trPr>
          <w:trHeight w:val="611"/>
        </w:trPr>
        <w:tc>
          <w:tcPr>
            <w:tcW w:w="52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1F37" w:rsidP="00482080" w14:paraId="5CA7EBDF" w14:textId="2DF701B5">
            <w:pPr>
              <w:spacing w:after="0" w:line="240" w:lineRule="auto"/>
              <w:rPr>
                <w:rFonts w:ascii="Times New Roman" w:hAnsi="Times New Roman" w:cs="Times New Roman"/>
                <w:b/>
                <w:sz w:val="20"/>
                <w:szCs w:val="20"/>
              </w:rPr>
            </w:pPr>
            <w:r>
              <w:rPr>
                <w:rFonts w:ascii="Times New Roman" w:hAnsi="Times New Roman" w:cs="Times New Roman"/>
                <w:b/>
                <w:sz w:val="20"/>
                <w:szCs w:val="20"/>
              </w:rPr>
              <w:t>REVISED</w:t>
            </w:r>
          </w:p>
          <w:p w:rsidR="00482080" w:rsidRPr="00482080" w:rsidP="00482080" w14:paraId="2EE57E98" w14:textId="6A5BBE7F">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 17.00</w:t>
            </w:r>
          </w:p>
          <w:p w:rsidR="00482080" w:rsidRPr="00482080" w:rsidP="00482080" w14:paraId="353652D4"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(Reporting Firms)</w:t>
            </w:r>
          </w:p>
        </w:tc>
        <w:tc>
          <w:tcPr>
            <w:tcW w:w="613"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66D09327"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310</w:t>
            </w:r>
          </w:p>
          <w:p w:rsidR="00503AA4" w:rsidRPr="00503AA4" w:rsidP="00482080" w14:paraId="00145F0B" w14:textId="3ADF0354">
            <w:pPr>
              <w:spacing w:after="0" w:line="240" w:lineRule="auto"/>
              <w:rPr>
                <w:rFonts w:ascii="Times New Roman" w:hAnsi="Times New Roman" w:cs="Times New Roman"/>
                <w:sz w:val="20"/>
                <w:szCs w:val="20"/>
              </w:rPr>
            </w:pPr>
            <w:r>
              <w:rPr>
                <w:rFonts w:ascii="Times New Roman" w:hAnsi="Times New Roman" w:cs="Times New Roman"/>
                <w:sz w:val="20"/>
                <w:szCs w:val="20"/>
              </w:rPr>
              <w:t>322</w:t>
            </w:r>
          </w:p>
        </w:tc>
        <w:tc>
          <w:tcPr>
            <w:tcW w:w="50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00226B0A"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208</w:t>
            </w:r>
          </w:p>
          <w:p w:rsidR="00B242B7" w:rsidRPr="00B242B7" w:rsidP="00482080" w14:paraId="288EDC2D" w14:textId="1FFDF8E4">
            <w:pPr>
              <w:spacing w:after="0" w:line="240" w:lineRule="auto"/>
              <w:rPr>
                <w:rFonts w:ascii="Times New Roman" w:hAnsi="Times New Roman" w:cs="Times New Roman"/>
                <w:sz w:val="20"/>
                <w:szCs w:val="20"/>
              </w:rPr>
            </w:pPr>
            <w:r>
              <w:rPr>
                <w:rFonts w:ascii="Times New Roman" w:hAnsi="Times New Roman" w:cs="Times New Roman"/>
                <w:sz w:val="20"/>
                <w:szCs w:val="20"/>
              </w:rPr>
              <w:t>208</w:t>
            </w:r>
          </w:p>
        </w:tc>
        <w:tc>
          <w:tcPr>
            <w:tcW w:w="523"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5F9DB176"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0.25</w:t>
            </w:r>
          </w:p>
          <w:p w:rsidR="00E0686A" w:rsidRPr="00E0686A" w:rsidP="00482080" w14:paraId="0BA16027" w14:textId="7127B1BE">
            <w:pPr>
              <w:spacing w:after="0" w:line="240" w:lineRule="auto"/>
              <w:rPr>
                <w:rFonts w:ascii="Times New Roman" w:hAnsi="Times New Roman" w:cs="Times New Roman"/>
                <w:sz w:val="20"/>
                <w:szCs w:val="20"/>
              </w:rPr>
            </w:pPr>
            <w:r>
              <w:rPr>
                <w:rFonts w:ascii="Times New Roman" w:hAnsi="Times New Roman" w:cs="Times New Roman"/>
                <w:sz w:val="20"/>
                <w:szCs w:val="20"/>
              </w:rPr>
              <w:t>0.25</w:t>
            </w:r>
          </w:p>
        </w:tc>
        <w:tc>
          <w:tcPr>
            <w:tcW w:w="523"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4A32CC00"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52</w:t>
            </w:r>
          </w:p>
          <w:p w:rsidR="003B507C" w:rsidRPr="003B507C" w:rsidP="00482080" w14:paraId="48F262F4" w14:textId="481E55B0">
            <w:pPr>
              <w:spacing w:after="0" w:line="240" w:lineRule="auto"/>
              <w:rPr>
                <w:rFonts w:ascii="Times New Roman" w:hAnsi="Times New Roman" w:cs="Times New Roman"/>
                <w:sz w:val="20"/>
                <w:szCs w:val="20"/>
              </w:rPr>
            </w:pPr>
            <w:r>
              <w:rPr>
                <w:rFonts w:ascii="Times New Roman" w:hAnsi="Times New Roman" w:cs="Times New Roman"/>
                <w:sz w:val="20"/>
                <w:szCs w:val="20"/>
              </w:rPr>
              <w:t>52</w:t>
            </w:r>
          </w:p>
        </w:tc>
        <w:tc>
          <w:tcPr>
            <w:tcW w:w="465"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456B7E6F"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$93</w:t>
            </w:r>
          </w:p>
          <w:p w:rsidR="00914C82" w:rsidRPr="00914C82" w:rsidP="00482080" w14:paraId="15CAF99E" w14:textId="2E48410A">
            <w:pPr>
              <w:spacing w:after="0" w:line="240" w:lineRule="auto"/>
              <w:rPr>
                <w:rFonts w:ascii="Times New Roman" w:hAnsi="Times New Roman" w:cs="Times New Roman"/>
                <w:sz w:val="20"/>
                <w:szCs w:val="20"/>
              </w:rPr>
            </w:pPr>
            <w:r>
              <w:rPr>
                <w:rFonts w:ascii="Times New Roman" w:hAnsi="Times New Roman" w:cs="Times New Roman"/>
                <w:sz w:val="20"/>
                <w:szCs w:val="20"/>
              </w:rPr>
              <w:t>$98</w:t>
            </w:r>
          </w:p>
        </w:tc>
        <w:tc>
          <w:tcPr>
            <w:tcW w:w="50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0726B181"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$4,836.00</w:t>
            </w:r>
          </w:p>
          <w:p w:rsidR="00914C82" w:rsidRPr="004C1F37" w:rsidP="00482080" w14:paraId="26D6E71C" w14:textId="5AF7A5E2">
            <w:pPr>
              <w:spacing w:after="0" w:line="240" w:lineRule="auto"/>
              <w:rPr>
                <w:rFonts w:ascii="Times New Roman" w:hAnsi="Times New Roman" w:cs="Times New Roman"/>
                <w:sz w:val="20"/>
                <w:szCs w:val="20"/>
              </w:rPr>
            </w:pPr>
            <w:r>
              <w:rPr>
                <w:rFonts w:ascii="Times New Roman" w:hAnsi="Times New Roman" w:cs="Times New Roman"/>
                <w:sz w:val="20"/>
                <w:szCs w:val="20"/>
              </w:rPr>
              <w:t>$5,096</w:t>
            </w:r>
          </w:p>
        </w:tc>
        <w:tc>
          <w:tcPr>
            <w:tcW w:w="44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4063A7B1"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64,480</w:t>
            </w:r>
          </w:p>
          <w:p w:rsidR="00FD2E86" w:rsidRPr="00FD2E86" w:rsidP="00482080" w14:paraId="1D6CE64E" w14:textId="76387A79">
            <w:pPr>
              <w:spacing w:after="0" w:line="240" w:lineRule="auto"/>
              <w:rPr>
                <w:rFonts w:ascii="Times New Roman" w:hAnsi="Times New Roman" w:cs="Times New Roman"/>
                <w:sz w:val="20"/>
                <w:szCs w:val="20"/>
              </w:rPr>
            </w:pPr>
            <w:r>
              <w:rPr>
                <w:rFonts w:ascii="Times New Roman" w:hAnsi="Times New Roman" w:cs="Times New Roman"/>
                <w:sz w:val="20"/>
                <w:szCs w:val="20"/>
              </w:rPr>
              <w:t>66,976</w:t>
            </w:r>
          </w:p>
        </w:tc>
        <w:tc>
          <w:tcPr>
            <w:tcW w:w="434"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683BDAD3"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16,120</w:t>
            </w:r>
          </w:p>
          <w:p w:rsidR="00FD2E86" w:rsidRPr="002E4B37" w:rsidP="00482080" w14:paraId="75CBFC99" w14:textId="5F3B25C5">
            <w:pPr>
              <w:spacing w:after="0" w:line="240" w:lineRule="auto"/>
              <w:rPr>
                <w:rFonts w:ascii="Times New Roman" w:hAnsi="Times New Roman" w:cs="Times New Roman"/>
                <w:sz w:val="20"/>
                <w:szCs w:val="20"/>
              </w:rPr>
            </w:pPr>
            <w:r>
              <w:rPr>
                <w:rFonts w:ascii="Times New Roman" w:hAnsi="Times New Roman" w:cs="Times New Roman"/>
                <w:sz w:val="20"/>
                <w:szCs w:val="20"/>
              </w:rPr>
              <w:t>16,744</w:t>
            </w:r>
          </w:p>
        </w:tc>
        <w:tc>
          <w:tcPr>
            <w:tcW w:w="46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26B0FD1B" w14:textId="77777777">
            <w:pPr>
              <w:spacing w:after="0" w:line="240" w:lineRule="auto"/>
              <w:rPr>
                <w:rFonts w:ascii="Times New Roman" w:hAnsi="Times New Roman" w:cs="Times New Roman"/>
                <w:b/>
                <w:bCs/>
                <w:strike/>
                <w:sz w:val="20"/>
                <w:szCs w:val="20"/>
              </w:rPr>
            </w:pPr>
            <w:r w:rsidRPr="009169F1">
              <w:rPr>
                <w:rFonts w:ascii="Times New Roman" w:hAnsi="Times New Roman" w:cs="Times New Roman"/>
                <w:b/>
                <w:bCs/>
                <w:strike/>
                <w:sz w:val="20"/>
                <w:szCs w:val="20"/>
              </w:rPr>
              <w:t>$1,499,160</w:t>
            </w:r>
          </w:p>
          <w:p w:rsidR="002E4B37" w:rsidRPr="002E4B37" w:rsidP="00482080" w14:paraId="2DA6779D" w14:textId="2290084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$1,640</w:t>
            </w:r>
            <w:r w:rsidR="00836BCC">
              <w:rPr>
                <w:rFonts w:ascii="Times New Roman" w:hAnsi="Times New Roman" w:cs="Times New Roman"/>
                <w:b/>
                <w:bCs/>
                <w:sz w:val="20"/>
                <w:szCs w:val="20"/>
              </w:rPr>
              <w:t>,</w:t>
            </w:r>
            <w:r>
              <w:rPr>
                <w:rFonts w:ascii="Times New Roman" w:hAnsi="Times New Roman" w:cs="Times New Roman"/>
                <w:b/>
                <w:bCs/>
                <w:sz w:val="20"/>
                <w:szCs w:val="20"/>
              </w:rPr>
              <w:t>912</w:t>
            </w:r>
          </w:p>
        </w:tc>
      </w:tr>
      <w:tr w14:paraId="1DDA3A10" w14:textId="77777777" w:rsidTr="009169F1">
        <w:tblPrEx>
          <w:tblW w:w="5829" w:type="pct"/>
          <w:tblInd w:w="-972" w:type="dxa"/>
          <w:tblLook w:val="04A0"/>
        </w:tblPrEx>
        <w:trPr>
          <w:trHeight w:val="809"/>
        </w:trPr>
        <w:tc>
          <w:tcPr>
            <w:tcW w:w="529"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176519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Part 21 – Special Call</w:t>
            </w:r>
          </w:p>
          <w:p w:rsidR="00482080" w:rsidRPr="00482080" w:rsidP="00482080" w14:paraId="1325626E"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(Reporting Firms)</w:t>
            </w:r>
          </w:p>
        </w:tc>
        <w:tc>
          <w:tcPr>
            <w:tcW w:w="61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C3DD58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B346A8B"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1</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74E7FE35"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5</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3101B70"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BF9459F"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$93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44F0A58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$465.00</w:t>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5F0A0DF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FC5CCB7"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20</w:t>
            </w:r>
          </w:p>
        </w:tc>
        <w:tc>
          <w:tcPr>
            <w:tcW w:w="46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24B4D1E" w14:textId="77777777">
            <w:pPr>
              <w:spacing w:after="0" w:line="240" w:lineRule="auto"/>
              <w:rPr>
                <w:rFonts w:ascii="Times New Roman" w:hAnsi="Times New Roman" w:cs="Times New Roman"/>
                <w:b/>
                <w:bCs/>
                <w:sz w:val="20"/>
                <w:szCs w:val="20"/>
              </w:rPr>
            </w:pPr>
            <w:r w:rsidRPr="00482080">
              <w:rPr>
                <w:rFonts w:ascii="Times New Roman" w:hAnsi="Times New Roman" w:cs="Times New Roman"/>
                <w:b/>
                <w:bCs/>
                <w:sz w:val="20"/>
                <w:szCs w:val="20"/>
              </w:rPr>
              <w:t>$1,860</w:t>
            </w:r>
          </w:p>
        </w:tc>
      </w:tr>
      <w:tr w14:paraId="41ED6FEA" w14:textId="77777777" w:rsidTr="009169F1">
        <w:tblPrEx>
          <w:tblW w:w="5829" w:type="pct"/>
          <w:tblInd w:w="-972" w:type="dxa"/>
          <w:tblLook w:val="04A0"/>
        </w:tblPrEx>
        <w:trPr>
          <w:trHeight w:val="620"/>
        </w:trPr>
        <w:tc>
          <w:tcPr>
            <w:tcW w:w="529" w:type="pct"/>
            <w:tcBorders>
              <w:top w:val="single" w:sz="4" w:space="0" w:color="000000"/>
              <w:left w:val="single" w:sz="4" w:space="0" w:color="000000"/>
              <w:bottom w:val="single" w:sz="4" w:space="0" w:color="000000"/>
              <w:right w:val="single" w:sz="4" w:space="0" w:color="000000"/>
            </w:tcBorders>
            <w:vAlign w:val="center"/>
          </w:tcPr>
          <w:p w:rsidR="00482080" w:rsidRPr="00482080" w:rsidP="00482080" w14:paraId="57F23A33" w14:textId="77777777">
            <w:pPr>
              <w:spacing w:after="0" w:line="240" w:lineRule="auto"/>
              <w:rPr>
                <w:rFonts w:ascii="Times New Roman" w:hAnsi="Times New Roman" w:cs="Times New Roman"/>
                <w:sz w:val="20"/>
                <w:szCs w:val="20"/>
              </w:rPr>
            </w:pPr>
          </w:p>
          <w:p w:rsidR="00482080" w:rsidRPr="00482080" w:rsidP="00482080" w14:paraId="02AFA4D3" w14:textId="77777777">
            <w:pPr>
              <w:spacing w:after="0" w:line="240" w:lineRule="auto"/>
              <w:rPr>
                <w:rFonts w:ascii="Times New Roman" w:hAnsi="Times New Roman" w:cs="Times New Roman"/>
                <w:sz w:val="20"/>
                <w:szCs w:val="20"/>
              </w:rPr>
            </w:pPr>
          </w:p>
          <w:p w:rsidR="00482080" w:rsidRPr="00482080" w:rsidP="00482080" w14:paraId="2752F484" w14:textId="4C10A45A">
            <w:pPr>
              <w:spacing w:after="0" w:line="240" w:lineRule="auto"/>
              <w:rPr>
                <w:rFonts w:ascii="Times New Roman" w:hAnsi="Times New Roman" w:cs="Times New Roman"/>
                <w:b/>
                <w:sz w:val="20"/>
                <w:szCs w:val="20"/>
              </w:rPr>
            </w:pPr>
            <w:r>
              <w:rPr>
                <w:rFonts w:ascii="Times New Roman" w:hAnsi="Times New Roman" w:cs="Times New Roman"/>
                <w:b/>
                <w:sz w:val="20"/>
                <w:szCs w:val="20"/>
              </w:rPr>
              <w:t>Pr</w:t>
            </w:r>
            <w:r w:rsidR="00DE5F81">
              <w:rPr>
                <w:rFonts w:ascii="Times New Roman" w:hAnsi="Times New Roman" w:cs="Times New Roman"/>
                <w:b/>
                <w:sz w:val="20"/>
                <w:szCs w:val="20"/>
              </w:rPr>
              <w:t xml:space="preserve">evious </w:t>
            </w:r>
            <w:r w:rsidRPr="00482080">
              <w:rPr>
                <w:rFonts w:ascii="Times New Roman" w:hAnsi="Times New Roman" w:cs="Times New Roman"/>
                <w:b/>
                <w:sz w:val="20"/>
                <w:szCs w:val="20"/>
              </w:rPr>
              <w:t>Total</w:t>
            </w:r>
          </w:p>
        </w:tc>
        <w:tc>
          <w:tcPr>
            <w:tcW w:w="613" w:type="pct"/>
            <w:tcBorders>
              <w:top w:val="single" w:sz="4" w:space="0" w:color="000000"/>
              <w:left w:val="single" w:sz="4" w:space="0" w:color="000000"/>
              <w:bottom w:val="single" w:sz="4" w:space="0" w:color="000000"/>
              <w:right w:val="single" w:sz="4" w:space="0" w:color="000000"/>
            </w:tcBorders>
            <w:vAlign w:val="center"/>
          </w:tcPr>
          <w:p w:rsidR="00482080" w:rsidRPr="00482080" w:rsidP="00482080" w14:paraId="347B38D5" w14:textId="77777777">
            <w:pPr>
              <w:spacing w:after="0" w:line="240" w:lineRule="auto"/>
              <w:rPr>
                <w:rFonts w:ascii="Times New Roman" w:hAnsi="Times New Roman" w:cs="Times New Roman"/>
                <w:b/>
                <w:sz w:val="20"/>
                <w:szCs w:val="20"/>
              </w:rPr>
            </w:pPr>
          </w:p>
          <w:p w:rsidR="00482080" w:rsidRPr="00482080" w:rsidP="00482080" w14:paraId="76401BC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330 (distinct entities or persons)</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477217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459</w:t>
            </w:r>
            <w:r>
              <w:rPr>
                <w:rFonts w:ascii="Times New Roman" w:hAnsi="Times New Roman" w:cs="Times New Roman"/>
                <w:b/>
                <w:sz w:val="20"/>
                <w:szCs w:val="20"/>
                <w:vertAlign w:val="superscript"/>
              </w:rPr>
              <w:footnoteReference w:id="44"/>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394BF9FF"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0.25</w:t>
            </w:r>
            <w:r>
              <w:rPr>
                <w:rFonts w:ascii="Times New Roman" w:hAnsi="Times New Roman" w:cs="Times New Roman"/>
                <w:b/>
                <w:sz w:val="20"/>
                <w:szCs w:val="20"/>
                <w:vertAlign w:val="superscript"/>
              </w:rPr>
              <w:footnoteReference w:id="45"/>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32C279B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53</w:t>
            </w:r>
            <w:r>
              <w:rPr>
                <w:rFonts w:ascii="Times New Roman" w:hAnsi="Times New Roman" w:cs="Times New Roman"/>
                <w:b/>
                <w:sz w:val="20"/>
                <w:szCs w:val="20"/>
                <w:vertAlign w:val="superscript"/>
              </w:rPr>
              <w:footnoteReference w:id="46"/>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9C41F4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$93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3F17AD5"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$4,606</w:t>
            </w:r>
            <w:r>
              <w:rPr>
                <w:rFonts w:ascii="Times New Roman" w:hAnsi="Times New Roman" w:cs="Times New Roman"/>
                <w:b/>
                <w:sz w:val="20"/>
                <w:szCs w:val="20"/>
                <w:vertAlign w:val="superscript"/>
              </w:rPr>
              <w:footnoteReference w:id="47"/>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201F727" w14:textId="77777777">
            <w:pPr>
              <w:spacing w:after="0" w:line="240" w:lineRule="auto"/>
              <w:rPr>
                <w:rFonts w:ascii="Times New Roman" w:hAnsi="Times New Roman" w:cs="Times New Roman"/>
                <w:b/>
                <w:sz w:val="20"/>
                <w:szCs w:val="20"/>
              </w:rPr>
            </w:pPr>
            <w:r w:rsidRPr="00482080">
              <w:rPr>
                <w:rFonts w:ascii="Times New Roman" w:hAnsi="Times New Roman" w:cs="Times New Roman"/>
                <w:b/>
                <w:bCs/>
                <w:sz w:val="20"/>
                <w:szCs w:val="20"/>
              </w:rPr>
              <w:t>68,484</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073485F"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17,472</w:t>
            </w:r>
          </w:p>
        </w:tc>
        <w:tc>
          <w:tcPr>
            <w:tcW w:w="46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1AC16A5" w14:textId="77777777">
            <w:pPr>
              <w:spacing w:after="0" w:line="240" w:lineRule="auto"/>
              <w:rPr>
                <w:rFonts w:ascii="Times New Roman" w:hAnsi="Times New Roman" w:cs="Times New Roman"/>
                <w:b/>
                <w:bCs/>
                <w:sz w:val="20"/>
                <w:szCs w:val="20"/>
              </w:rPr>
            </w:pPr>
            <w:r w:rsidRPr="00482080">
              <w:rPr>
                <w:rFonts w:ascii="Times New Roman" w:hAnsi="Times New Roman" w:cs="Times New Roman"/>
                <w:b/>
                <w:bCs/>
                <w:sz w:val="20"/>
                <w:szCs w:val="20"/>
              </w:rPr>
              <w:t>$1,624,896</w:t>
            </w:r>
          </w:p>
        </w:tc>
        <w:bookmarkEnd w:id="1"/>
      </w:tr>
      <w:tr w14:paraId="02CADC3A" w14:textId="77777777" w:rsidTr="009169F1">
        <w:tblPrEx>
          <w:tblW w:w="5829" w:type="pct"/>
          <w:tblInd w:w="-972" w:type="dxa"/>
          <w:tblLook w:val="04A0"/>
        </w:tblPrEx>
        <w:trPr>
          <w:trHeight w:val="620"/>
        </w:trPr>
        <w:tc>
          <w:tcPr>
            <w:tcW w:w="529" w:type="pct"/>
            <w:tcBorders>
              <w:top w:val="single" w:sz="4" w:space="0" w:color="000000"/>
              <w:left w:val="single" w:sz="4" w:space="0" w:color="000000"/>
              <w:bottom w:val="single" w:sz="4" w:space="0" w:color="000000"/>
              <w:right w:val="single" w:sz="4" w:space="0" w:color="000000"/>
            </w:tcBorders>
            <w:vAlign w:val="center"/>
          </w:tcPr>
          <w:p w:rsidR="00DE5F81" w:rsidRPr="009169F1" w:rsidP="00482080" w14:paraId="6E70BF16" w14:textId="0385D0C0">
            <w:pPr>
              <w:spacing w:after="0" w:line="240" w:lineRule="auto"/>
              <w:rPr>
                <w:rFonts w:ascii="Times New Roman" w:hAnsi="Times New Roman" w:cs="Times New Roman"/>
                <w:b/>
                <w:bCs/>
                <w:sz w:val="20"/>
                <w:szCs w:val="20"/>
              </w:rPr>
            </w:pPr>
            <w:r w:rsidRPr="009169F1">
              <w:rPr>
                <w:rFonts w:ascii="Times New Roman" w:hAnsi="Times New Roman" w:cs="Times New Roman"/>
                <w:b/>
                <w:bCs/>
                <w:sz w:val="20"/>
                <w:szCs w:val="20"/>
              </w:rPr>
              <w:t>Incremental Change</w:t>
            </w:r>
          </w:p>
        </w:tc>
        <w:tc>
          <w:tcPr>
            <w:tcW w:w="613"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765FA7D9" w14:textId="29C94C87">
            <w:pPr>
              <w:spacing w:after="0" w:line="240" w:lineRule="auto"/>
              <w:rPr>
                <w:rFonts w:ascii="Times New Roman" w:hAnsi="Times New Roman" w:cs="Times New Roman"/>
                <w:b/>
                <w:sz w:val="20"/>
                <w:szCs w:val="20"/>
              </w:rPr>
            </w:pPr>
            <w:r>
              <w:rPr>
                <w:rFonts w:ascii="Times New Roman" w:hAnsi="Times New Roman" w:cs="Times New Roman"/>
                <w:b/>
                <w:sz w:val="20"/>
                <w:szCs w:val="20"/>
              </w:rPr>
              <w:t>12</w:t>
            </w:r>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4EB72F96"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64A95BCA"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50334D77" w14:textId="77777777">
            <w:pPr>
              <w:spacing w:after="0" w:line="240" w:lineRule="auto"/>
              <w:rPr>
                <w:rFonts w:ascii="Times New Roman" w:hAnsi="Times New Roman" w:cs="Times New Roman"/>
                <w:b/>
                <w:sz w:val="20"/>
                <w:szCs w:val="20"/>
              </w:rPr>
            </w:pPr>
          </w:p>
        </w:tc>
        <w:tc>
          <w:tcPr>
            <w:tcW w:w="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5B2FBC73" w14:textId="77777777">
            <w:pPr>
              <w:spacing w:after="0" w:line="240" w:lineRule="auto"/>
              <w:rPr>
                <w:rFonts w:ascii="Times New Roman" w:hAnsi="Times New Roman" w:cs="Times New Roman"/>
                <w:b/>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515D6909" w14:textId="77777777">
            <w:pPr>
              <w:spacing w:after="0" w:line="240" w:lineRule="auto"/>
              <w:rPr>
                <w:rFonts w:ascii="Times New Roman" w:hAnsi="Times New Roman" w:cs="Times New Roman"/>
                <w:b/>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7934F45" w14:textId="6C9F43E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2,496</w:t>
            </w:r>
          </w:p>
        </w:tc>
        <w:tc>
          <w:tcPr>
            <w:tcW w:w="434"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3954CB1B" w14:textId="61B644BF">
            <w:pPr>
              <w:spacing w:after="0" w:line="240" w:lineRule="auto"/>
              <w:rPr>
                <w:rFonts w:ascii="Times New Roman" w:hAnsi="Times New Roman" w:cs="Times New Roman"/>
                <w:b/>
                <w:sz w:val="20"/>
                <w:szCs w:val="20"/>
              </w:rPr>
            </w:pPr>
            <w:r>
              <w:rPr>
                <w:rFonts w:ascii="Times New Roman" w:hAnsi="Times New Roman" w:cs="Times New Roman"/>
                <w:b/>
                <w:sz w:val="20"/>
                <w:szCs w:val="20"/>
              </w:rPr>
              <w:t>624</w:t>
            </w:r>
          </w:p>
        </w:tc>
        <w:tc>
          <w:tcPr>
            <w:tcW w:w="460"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50097C4" w14:textId="5970891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$141,752</w:t>
            </w:r>
          </w:p>
        </w:tc>
      </w:tr>
      <w:tr w14:paraId="5769EF0A" w14:textId="77777777" w:rsidTr="009169F1">
        <w:tblPrEx>
          <w:tblW w:w="5829" w:type="pct"/>
          <w:tblInd w:w="-972" w:type="dxa"/>
          <w:tblLook w:val="04A0"/>
        </w:tblPrEx>
        <w:trPr>
          <w:trHeight w:val="620"/>
        </w:trPr>
        <w:tc>
          <w:tcPr>
            <w:tcW w:w="529" w:type="pct"/>
            <w:tcBorders>
              <w:top w:val="single" w:sz="4" w:space="0" w:color="000000"/>
              <w:left w:val="single" w:sz="4" w:space="0" w:color="000000"/>
              <w:bottom w:val="single" w:sz="4" w:space="0" w:color="000000"/>
              <w:right w:val="single" w:sz="4" w:space="0" w:color="000000"/>
            </w:tcBorders>
            <w:vAlign w:val="center"/>
          </w:tcPr>
          <w:p w:rsidR="00DE5F81" w:rsidRPr="009169F1" w:rsidP="00482080" w14:paraId="24FCB8D1" w14:textId="6998A51A">
            <w:pPr>
              <w:spacing w:after="0" w:line="240" w:lineRule="auto"/>
              <w:rPr>
                <w:rFonts w:ascii="Times New Roman" w:hAnsi="Times New Roman" w:cs="Times New Roman"/>
                <w:b/>
                <w:bCs/>
                <w:sz w:val="20"/>
                <w:szCs w:val="20"/>
              </w:rPr>
            </w:pPr>
            <w:r w:rsidRPr="009169F1">
              <w:rPr>
                <w:rFonts w:ascii="Times New Roman" w:hAnsi="Times New Roman" w:cs="Times New Roman"/>
                <w:b/>
                <w:bCs/>
                <w:sz w:val="20"/>
                <w:szCs w:val="20"/>
              </w:rPr>
              <w:t>New Total</w:t>
            </w:r>
          </w:p>
        </w:tc>
        <w:tc>
          <w:tcPr>
            <w:tcW w:w="613"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E4AE9D8" w14:textId="10A0FE69">
            <w:pPr>
              <w:spacing w:after="0" w:line="240" w:lineRule="auto"/>
              <w:rPr>
                <w:rFonts w:ascii="Times New Roman" w:hAnsi="Times New Roman" w:cs="Times New Roman"/>
                <w:b/>
                <w:sz w:val="20"/>
                <w:szCs w:val="20"/>
              </w:rPr>
            </w:pPr>
            <w:r>
              <w:rPr>
                <w:rFonts w:ascii="Times New Roman" w:hAnsi="Times New Roman" w:cs="Times New Roman"/>
                <w:b/>
                <w:sz w:val="20"/>
                <w:szCs w:val="20"/>
              </w:rPr>
              <w:t>342</w:t>
            </w:r>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6AF9B49F"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08931799"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0DFD0859" w14:textId="77777777">
            <w:pPr>
              <w:spacing w:after="0" w:line="240" w:lineRule="auto"/>
              <w:rPr>
                <w:rFonts w:ascii="Times New Roman" w:hAnsi="Times New Roman" w:cs="Times New Roman"/>
                <w:b/>
                <w:sz w:val="20"/>
                <w:szCs w:val="20"/>
              </w:rPr>
            </w:pPr>
          </w:p>
        </w:tc>
        <w:tc>
          <w:tcPr>
            <w:tcW w:w="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3F3607E9" w14:textId="77777777">
            <w:pPr>
              <w:spacing w:after="0" w:line="240" w:lineRule="auto"/>
              <w:rPr>
                <w:rFonts w:ascii="Times New Roman" w:hAnsi="Times New Roman" w:cs="Times New Roman"/>
                <w:b/>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16DA5DB9" w14:textId="77777777">
            <w:pPr>
              <w:spacing w:after="0" w:line="240" w:lineRule="auto"/>
              <w:rPr>
                <w:rFonts w:ascii="Times New Roman" w:hAnsi="Times New Roman" w:cs="Times New Roman"/>
                <w:b/>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524A4125" w14:textId="6395F69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70,980</w:t>
            </w:r>
          </w:p>
        </w:tc>
        <w:tc>
          <w:tcPr>
            <w:tcW w:w="434"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5B21877" w14:textId="72457A8C">
            <w:pPr>
              <w:spacing w:after="0" w:line="240" w:lineRule="auto"/>
              <w:rPr>
                <w:rFonts w:ascii="Times New Roman" w:hAnsi="Times New Roman" w:cs="Times New Roman"/>
                <w:b/>
                <w:sz w:val="20"/>
                <w:szCs w:val="20"/>
              </w:rPr>
            </w:pPr>
            <w:r>
              <w:rPr>
                <w:rFonts w:ascii="Times New Roman" w:hAnsi="Times New Roman" w:cs="Times New Roman"/>
                <w:b/>
                <w:sz w:val="20"/>
                <w:szCs w:val="20"/>
              </w:rPr>
              <w:t>18,096</w:t>
            </w:r>
          </w:p>
        </w:tc>
        <w:tc>
          <w:tcPr>
            <w:tcW w:w="460"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1C612F8D" w14:textId="77968C5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$1,766,648</w:t>
            </w:r>
          </w:p>
        </w:tc>
      </w:tr>
    </w:tbl>
    <w:p w:rsidR="00A238FB" w:rsidP="007B6D68" w14:paraId="6C8A9D6C" w14:textId="77777777">
      <w:pPr>
        <w:spacing w:after="0" w:line="240" w:lineRule="auto"/>
        <w:rPr>
          <w:rFonts w:ascii="Times New Roman" w:hAnsi="Times New Roman" w:cs="Times New Roman"/>
          <w:sz w:val="20"/>
          <w:szCs w:val="20"/>
        </w:rPr>
      </w:pPr>
    </w:p>
    <w:p w:rsidR="00F2652E" w:rsidRPr="009169F1" w:rsidP="009169F1" w14:paraId="4E7A2180" w14:textId="3CC87829">
      <w:pPr>
        <w:spacing w:before="240" w:after="240" w:line="240" w:lineRule="auto"/>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OMB Control Number 3038-0012</w:t>
      </w:r>
      <w:r w:rsidRPr="009169F1" w:rsidR="006D78D5">
        <w:rPr>
          <w:rFonts w:ascii="Times New Roman" w:hAnsi="Times New Roman" w:cs="Times New Roman"/>
          <w:b/>
          <w:bCs/>
          <w:sz w:val="24"/>
          <w:szCs w:val="24"/>
          <w:u w:val="single"/>
        </w:rPr>
        <w:t xml:space="preserve"> (RETAINED AS-IS</w:t>
      </w:r>
      <w:r w:rsidRPr="009169F1" w:rsidR="002D2F21">
        <w:rPr>
          <w:rFonts w:ascii="Times New Roman" w:hAnsi="Times New Roman" w:cs="Times New Roman"/>
          <w:b/>
          <w:bCs/>
          <w:sz w:val="24"/>
          <w:szCs w:val="24"/>
          <w:u w:val="single"/>
        </w:rPr>
        <w:t>/NO CHANGE)</w:t>
      </w:r>
    </w:p>
    <w:p w:rsidR="00F2652E" w:rsidRPr="009169F1" w:rsidP="00F732C9" w14:paraId="1E0B2DD5" w14:textId="10556FDB">
      <w:pPr>
        <w:spacing w:after="240" w:line="240" w:lineRule="auto"/>
        <w:rPr>
          <w:rFonts w:ascii="Times New Roman" w:hAnsi="Times New Roman" w:cs="Times New Roman"/>
          <w:b/>
          <w:bCs/>
          <w:sz w:val="24"/>
          <w:szCs w:val="24"/>
        </w:rPr>
      </w:pPr>
      <w:r w:rsidRPr="009169F1">
        <w:rPr>
          <w:rFonts w:ascii="Times New Roman" w:hAnsi="Times New Roman" w:cs="Times New Roman"/>
          <w:b/>
          <w:bCs/>
          <w:sz w:val="24"/>
          <w:szCs w:val="24"/>
        </w:rPr>
        <w:t>Futures Volume, Open Interest, Price, Deliveries and Purchases/Sales of Futures for Commodities or for Derivatives Positions (§ 16.01)</w:t>
      </w:r>
    </w:p>
    <w:tbl>
      <w:tblPr>
        <w:tblW w:w="15120" w:type="dxa"/>
        <w:tblInd w:w="-998" w:type="dxa"/>
        <w:shd w:val="clear" w:color="auto" w:fill="FFFFFF"/>
        <w:tblCellMar>
          <w:top w:w="70" w:type="dxa"/>
          <w:left w:w="70" w:type="dxa"/>
          <w:bottom w:w="70" w:type="dxa"/>
          <w:right w:w="70" w:type="dxa"/>
        </w:tblCellMar>
        <w:tblLook w:val="04A0"/>
      </w:tblPr>
      <w:tblGrid>
        <w:gridCol w:w="1620"/>
        <w:gridCol w:w="1530"/>
        <w:gridCol w:w="1530"/>
        <w:gridCol w:w="1530"/>
        <w:gridCol w:w="1530"/>
        <w:gridCol w:w="1350"/>
        <w:gridCol w:w="1710"/>
        <w:gridCol w:w="1620"/>
        <w:gridCol w:w="1397"/>
        <w:gridCol w:w="1303"/>
      </w:tblGrid>
      <w:tr w14:paraId="744680BD" w14:textId="77777777" w:rsidTr="009169F1">
        <w:tblPrEx>
          <w:tblW w:w="15120" w:type="dxa"/>
          <w:tblInd w:w="-998" w:type="dxa"/>
          <w:shd w:val="clear" w:color="auto" w:fill="FFFFFF"/>
          <w:tblCellMar>
            <w:top w:w="70" w:type="dxa"/>
            <w:left w:w="70" w:type="dxa"/>
            <w:bottom w:w="70" w:type="dxa"/>
            <w:right w:w="70" w:type="dxa"/>
          </w:tblCellMar>
          <w:tblLook w:val="04A0"/>
        </w:tblPrEx>
        <w:trPr>
          <w:trHeight w:val="870"/>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02715CB"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1.</w:t>
            </w:r>
          </w:p>
          <w:p w:rsidR="00D33A33" w:rsidP="009169F1" w14:paraId="7EEA5D5C" w14:textId="38B0E4A0">
            <w:pPr>
              <w:spacing w:after="240" w:line="240" w:lineRule="auto"/>
              <w:rPr>
                <w:rFonts w:ascii="Times New Roman" w:hAnsi="Times New Roman" w:cs="Times New Roman"/>
                <w:b/>
                <w:bCs/>
                <w:sz w:val="20"/>
                <w:szCs w:val="20"/>
              </w:rPr>
            </w:pPr>
            <w:r w:rsidRPr="00E21AB1">
              <w:rPr>
                <w:rFonts w:ascii="Times New Roman" w:hAnsi="Times New Roman" w:cs="Times New Roman"/>
                <w:b/>
                <w:bCs/>
                <w:sz w:val="20"/>
                <w:szCs w:val="20"/>
              </w:rPr>
              <w:t>Regulation</w:t>
            </w:r>
          </w:p>
          <w:p w:rsidR="002D36C3" w:rsidRPr="00E21AB1" w:rsidP="007B6D68" w14:paraId="767BAC83" w14:textId="3BB60EBD">
            <w:pPr>
              <w:spacing w:after="0" w:line="240" w:lineRule="auto"/>
              <w:rPr>
                <w:rFonts w:ascii="Times New Roman" w:hAnsi="Times New Roman" w:cs="Times New Roman"/>
                <w:sz w:val="20"/>
                <w:szCs w:val="20"/>
              </w:rPr>
            </w:pPr>
            <w:r w:rsidRPr="00175592">
              <w:rPr>
                <w:rFonts w:ascii="Times New Roman" w:hAnsi="Times New Roman" w:cs="Times New Roman"/>
                <w:b/>
                <w:bCs/>
                <w:sz w:val="20"/>
                <w:szCs w:val="20"/>
              </w:rPr>
              <w:t>17 CFR 16.01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1961E66"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w:t>
            </w:r>
          </w:p>
          <w:p w:rsidR="00D33A33" w:rsidRPr="00E21AB1" w:rsidP="007B6D68" w14:paraId="7718D3D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Estimated Number of Respondents</w:t>
            </w:r>
          </w:p>
          <w:p w:rsidR="00D33A33" w:rsidRPr="00E21AB1" w:rsidP="007B6D68" w14:paraId="0E83E66E" w14:textId="77777777">
            <w:pPr>
              <w:spacing w:after="0" w:line="240" w:lineRule="auto"/>
              <w:rPr>
                <w:rFonts w:ascii="Times New Roman" w:hAnsi="Times New Roman"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752BCA9F"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3.</w:t>
            </w:r>
          </w:p>
          <w:p w:rsidR="00D33A33" w:rsidRPr="00E21AB1" w:rsidP="007B6D68" w14:paraId="2C092C99"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Estimated Number of Reports</w:t>
            </w:r>
          </w:p>
          <w:p w:rsidR="00D33A33" w:rsidRPr="00E21AB1" w:rsidP="007B6D68" w14:paraId="7700C6B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by Each Respondent</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73D4523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4.</w:t>
            </w:r>
          </w:p>
          <w:p w:rsidR="00D33A33" w:rsidRPr="00E21AB1" w:rsidP="007B6D68" w14:paraId="3362EC03"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 xml:space="preserve">Estimated Average </w:t>
            </w:r>
            <w:r w:rsidRPr="00E21AB1">
              <w:rPr>
                <w:rFonts w:ascii="Times New Roman" w:hAnsi="Times New Roman" w:cs="Times New Roman"/>
                <w:b/>
                <w:bCs/>
                <w:sz w:val="20"/>
                <w:szCs w:val="20"/>
              </w:rPr>
              <w:t>Number</w:t>
            </w:r>
            <w:r w:rsidRPr="00E21AB1">
              <w:rPr>
                <w:rFonts w:ascii="Times New Roman" w:hAnsi="Times New Roman" w:cs="Times New Roman"/>
                <w:b/>
                <w:bCs/>
                <w:sz w:val="20"/>
                <w:szCs w:val="20"/>
              </w:rPr>
              <w:t xml:space="preserve"> of Burden Hours per Response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7504F57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5.</w:t>
            </w:r>
          </w:p>
          <w:p w:rsidR="00D33A33" w:rsidRPr="00E21AB1" w:rsidP="007B6D68" w14:paraId="5A4905C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 xml:space="preserve">Annual </w:t>
            </w:r>
            <w:r w:rsidRPr="00E21AB1">
              <w:rPr>
                <w:rFonts w:ascii="Times New Roman" w:hAnsi="Times New Roman" w:cs="Times New Roman"/>
                <w:b/>
                <w:bCs/>
                <w:sz w:val="20"/>
                <w:szCs w:val="20"/>
              </w:rPr>
              <w:t>Number</w:t>
            </w:r>
            <w:r w:rsidRPr="00E21AB1">
              <w:rPr>
                <w:rFonts w:ascii="Times New Roman" w:hAnsi="Times New Roman" w:cs="Times New Roman"/>
                <w:b/>
                <w:bCs/>
                <w:sz w:val="20"/>
                <w:szCs w:val="20"/>
              </w:rPr>
              <w:t xml:space="preserve"> of Burden Hours per Respondent</w:t>
            </w:r>
          </w:p>
          <w:p w:rsidR="00D33A33" w:rsidRPr="00E21AB1" w:rsidP="007B6D68" w14:paraId="3E6EBA5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(3×4)</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38EEA345"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6.</w:t>
            </w:r>
          </w:p>
          <w:p w:rsidR="00D33A33" w:rsidRPr="00E21AB1" w:rsidP="007B6D68" w14:paraId="35FA72D9"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 of Average Burden Hour Cost</w:t>
            </w:r>
          </w:p>
          <w:p w:rsidR="00D33A33" w:rsidRPr="00E21AB1" w:rsidP="007B6D68" w14:paraId="6414AE12" w14:textId="77777777">
            <w:pPr>
              <w:spacing w:after="0" w:line="240" w:lineRule="auto"/>
              <w:rPr>
                <w:rFonts w:ascii="Times New Roman" w:hAnsi="Times New Roman" w:cs="Times New Roman"/>
                <w:sz w:val="20"/>
                <w:szCs w:val="20"/>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866CE1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7.</w:t>
            </w:r>
          </w:p>
          <w:p w:rsidR="00D33A33" w:rsidRPr="00E21AB1" w:rsidP="007B6D68" w14:paraId="6AFC40BC"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Average Hour Burden Cost Per Respondent</w:t>
            </w:r>
          </w:p>
          <w:p w:rsidR="00D33A33" w:rsidRPr="00E21AB1" w:rsidP="007B6D68" w14:paraId="6A4C4EFA"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(5×6)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C7EAF34"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8.</w:t>
            </w:r>
          </w:p>
          <w:p w:rsidR="00D33A33" w:rsidRPr="00E21AB1" w:rsidP="007B6D68" w14:paraId="7314245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Annual</w:t>
            </w:r>
          </w:p>
          <w:p w:rsidR="00D33A33" w:rsidRPr="00E21AB1" w:rsidP="007B6D68" w14:paraId="66C25419"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Responses</w:t>
            </w:r>
          </w:p>
          <w:p w:rsidR="00D33A33" w:rsidRPr="00E21AB1" w:rsidP="007B6D68" w14:paraId="48213C1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(2×3)</w:t>
            </w:r>
          </w:p>
        </w:tc>
        <w:tc>
          <w:tcPr>
            <w:tcW w:w="1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3E0B259B"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9.</w:t>
            </w:r>
          </w:p>
          <w:p w:rsidR="00D33A33" w:rsidRPr="00E21AB1" w:rsidP="007B6D68" w14:paraId="4CAE90B0"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Annual Number of</w:t>
            </w:r>
          </w:p>
          <w:p w:rsidR="00D33A33" w:rsidRPr="00E21AB1" w:rsidP="007B6D68" w14:paraId="5FF1808F"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Burden Hours</w:t>
            </w:r>
          </w:p>
          <w:p w:rsidR="00D33A33" w:rsidRPr="00E21AB1" w:rsidP="007B6D68" w14:paraId="4EDDD8DF"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(2×5)</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2FD5C49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10.</w:t>
            </w:r>
          </w:p>
          <w:p w:rsidR="00D33A33" w:rsidRPr="00E21AB1" w:rsidP="007B6D68" w14:paraId="36E2DB8C"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Annual Burden Hour Cost of All Responses</w:t>
            </w:r>
          </w:p>
          <w:p w:rsidR="00D33A33" w:rsidRPr="00E21AB1" w:rsidP="007B6D68" w14:paraId="380D60C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(2×7)</w:t>
            </w:r>
          </w:p>
        </w:tc>
      </w:tr>
      <w:tr w14:paraId="5743E494" w14:textId="77777777" w:rsidTr="009169F1">
        <w:tblPrEx>
          <w:tblW w:w="15120" w:type="dxa"/>
          <w:tblInd w:w="-998" w:type="dxa"/>
          <w:shd w:val="clear" w:color="auto" w:fill="FFFFFF"/>
          <w:tblCellMar>
            <w:top w:w="70" w:type="dxa"/>
            <w:left w:w="70" w:type="dxa"/>
            <w:bottom w:w="70" w:type="dxa"/>
            <w:right w:w="70" w:type="dxa"/>
          </w:tblCellMar>
          <w:tblLook w:val="04A0"/>
        </w:tblPrEx>
        <w:trPr>
          <w:trHeight w:val="310"/>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P="00F12B57" w14:paraId="6E75149F" w14:textId="753F8D36">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Current Totals</w:t>
            </w:r>
          </w:p>
          <w:p w:rsidR="00307A31" w:rsidP="00F12B57" w14:paraId="489CA823" w14:textId="6184C88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(Retained As-Is, No Change)</w:t>
            </w:r>
          </w:p>
          <w:p w:rsidR="00C23482" w:rsidRPr="009169F1" w:rsidP="009169F1" w14:paraId="4FC5D9AE" w14:textId="6E1E231F">
            <w:pPr>
              <w:spacing w:before="120" w:after="120" w:line="240" w:lineRule="auto"/>
              <w:rPr>
                <w:rFonts w:ascii="Times New Roman" w:hAnsi="Times New Roman" w:cs="Times New Roman"/>
                <w:b/>
                <w:bCs/>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743CCE56"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38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5BC4A92F"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250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229B584D"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3C974EDA"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250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13B8C29C"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$55.18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320EA41A"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$13,795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76BA5395"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9,500</w:t>
            </w:r>
          </w:p>
        </w:tc>
        <w:tc>
          <w:tcPr>
            <w:tcW w:w="1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652568AC"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9,500</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672D7DE7"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$524,210</w:t>
            </w:r>
          </w:p>
        </w:tc>
      </w:tr>
    </w:tbl>
    <w:p w:rsidR="007A603B" w14:paraId="4674D831" w14:textId="77777777">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8B2E3F" w:rsidRPr="009169F1" w:rsidP="009169F1" w14:paraId="18C45F3A" w14:textId="15E198D1">
      <w:pPr>
        <w:spacing w:before="360" w:after="240" w:line="240" w:lineRule="auto"/>
        <w:rPr>
          <w:rFonts w:ascii="Times New Roman" w:hAnsi="Times New Roman" w:cs="Times New Roman"/>
          <w:sz w:val="24"/>
          <w:szCs w:val="24"/>
          <w:u w:val="single"/>
        </w:rPr>
      </w:pPr>
      <w:r w:rsidRPr="009169F1">
        <w:rPr>
          <w:rFonts w:ascii="Times New Roman" w:hAnsi="Times New Roman" w:cs="Times New Roman"/>
          <w:b/>
          <w:bCs/>
          <w:sz w:val="24"/>
          <w:szCs w:val="24"/>
          <w:u w:val="single"/>
        </w:rPr>
        <w:t xml:space="preserve">OMB </w:t>
      </w:r>
      <w:r w:rsidRPr="009169F1" w:rsidR="008376EB">
        <w:rPr>
          <w:rFonts w:ascii="Times New Roman" w:hAnsi="Times New Roman" w:cs="Times New Roman"/>
          <w:b/>
          <w:bCs/>
          <w:sz w:val="24"/>
          <w:szCs w:val="24"/>
          <w:u w:val="single"/>
        </w:rPr>
        <w:t>Control Number</w:t>
      </w:r>
      <w:r w:rsidRPr="009169F1">
        <w:rPr>
          <w:rFonts w:ascii="Times New Roman" w:hAnsi="Times New Roman" w:cs="Times New Roman"/>
          <w:b/>
          <w:bCs/>
          <w:sz w:val="24"/>
          <w:szCs w:val="24"/>
          <w:u w:val="single"/>
        </w:rPr>
        <w:t xml:space="preserve"> 3038-0103</w:t>
      </w:r>
    </w:p>
    <w:p w:rsidR="00893D0E" w:rsidRPr="009169F1" w:rsidP="00F732C9" w14:paraId="2AB91502" w14:textId="02944E36">
      <w:pPr>
        <w:spacing w:after="240" w:line="240" w:lineRule="auto"/>
        <w:rPr>
          <w:rFonts w:ascii="Times New Roman" w:hAnsi="Times New Roman" w:cs="Times New Roman"/>
          <w:b/>
          <w:sz w:val="24"/>
          <w:szCs w:val="24"/>
        </w:rPr>
      </w:pPr>
      <w:r w:rsidRPr="009169F1">
        <w:rPr>
          <w:rFonts w:ascii="Times New Roman" w:hAnsi="Times New Roman" w:cs="Times New Roman"/>
          <w:b/>
          <w:sz w:val="24"/>
          <w:szCs w:val="24"/>
        </w:rPr>
        <w:t>Ownership and Control Reports, Forms 102/102S, 40/40S, and 71 (Trader and Account Identification Reports) (§ 17.01, § 18.04(a), § 18.05)</w:t>
      </w:r>
    </w:p>
    <w:tbl>
      <w:tblPr>
        <w:tblW w:w="131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0" w:type="dxa"/>
          <w:left w:w="70" w:type="dxa"/>
          <w:bottom w:w="70" w:type="dxa"/>
          <w:right w:w="70" w:type="dxa"/>
        </w:tblCellMar>
        <w:tblLook w:val="04A0"/>
      </w:tblPr>
      <w:tblGrid>
        <w:gridCol w:w="1710"/>
        <w:gridCol w:w="1206"/>
        <w:gridCol w:w="2214"/>
        <w:gridCol w:w="1874"/>
        <w:gridCol w:w="1427"/>
        <w:gridCol w:w="1427"/>
        <w:gridCol w:w="1438"/>
        <w:gridCol w:w="1849"/>
      </w:tblGrid>
      <w:tr w14:paraId="594D2829" w14:textId="77777777" w:rsidTr="002B4A5A">
        <w:tblPrEx>
          <w:tblW w:w="131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0" w:type="dxa"/>
            <w:left w:w="70" w:type="dxa"/>
            <w:bottom w:w="70" w:type="dxa"/>
            <w:right w:w="70" w:type="dxa"/>
          </w:tblCellMar>
          <w:tblLook w:val="04A0"/>
        </w:tblPrEx>
        <w:trPr>
          <w:trHeight w:val="130"/>
          <w:tblHeader/>
        </w:trPr>
        <w:tc>
          <w:tcPr>
            <w:tcW w:w="1710" w:type="dxa"/>
            <w:shd w:val="clear" w:color="auto" w:fill="D9D9D9"/>
            <w:tcMar>
              <w:top w:w="0" w:type="dxa"/>
              <w:left w:w="0" w:type="dxa"/>
              <w:bottom w:w="0" w:type="dxa"/>
              <w:right w:w="0" w:type="dxa"/>
            </w:tcMar>
            <w:vAlign w:val="center"/>
            <w:hideMark/>
          </w:tcPr>
          <w:p w:rsidR="00855E04" w:rsidRPr="00E21AB1" w:rsidP="00DD131B" w14:paraId="5CFA2BED" w14:textId="77777777">
            <w:pPr>
              <w:rPr>
                <w:rFonts w:ascii="Times New Roman" w:hAnsi="Times New Roman" w:cs="Times New Roman"/>
                <w:sz w:val="20"/>
                <w:szCs w:val="20"/>
              </w:rPr>
            </w:pPr>
            <w:r w:rsidRPr="00E21AB1">
              <w:rPr>
                <w:rFonts w:ascii="Times New Roman" w:hAnsi="Times New Roman" w:cs="Times New Roman"/>
                <w:b/>
                <w:bCs/>
                <w:sz w:val="20"/>
                <w:szCs w:val="20"/>
              </w:rPr>
              <w:t>1.</w:t>
            </w:r>
          </w:p>
        </w:tc>
        <w:tc>
          <w:tcPr>
            <w:tcW w:w="1206" w:type="dxa"/>
            <w:shd w:val="clear" w:color="auto" w:fill="D9D9D9"/>
            <w:tcMar>
              <w:top w:w="0" w:type="dxa"/>
              <w:left w:w="0" w:type="dxa"/>
              <w:bottom w:w="0" w:type="dxa"/>
              <w:right w:w="0" w:type="dxa"/>
            </w:tcMar>
            <w:vAlign w:val="center"/>
            <w:hideMark/>
          </w:tcPr>
          <w:p w:rsidR="00855E04" w:rsidRPr="00E21AB1" w:rsidP="00DD131B" w14:paraId="047410B9" w14:textId="77777777">
            <w:pPr>
              <w:rPr>
                <w:rFonts w:ascii="Times New Roman" w:hAnsi="Times New Roman" w:cs="Times New Roman"/>
                <w:sz w:val="20"/>
                <w:szCs w:val="20"/>
              </w:rPr>
            </w:pPr>
            <w:r w:rsidRPr="00E21AB1">
              <w:rPr>
                <w:rFonts w:ascii="Times New Roman" w:hAnsi="Times New Roman" w:cs="Times New Roman"/>
                <w:b/>
                <w:bCs/>
                <w:sz w:val="20"/>
                <w:szCs w:val="20"/>
              </w:rPr>
              <w:t>2.</w:t>
            </w:r>
          </w:p>
        </w:tc>
        <w:tc>
          <w:tcPr>
            <w:tcW w:w="2214" w:type="dxa"/>
            <w:shd w:val="clear" w:color="auto" w:fill="D9D9D9"/>
            <w:tcMar>
              <w:top w:w="0" w:type="dxa"/>
              <w:left w:w="0" w:type="dxa"/>
              <w:bottom w:w="0" w:type="dxa"/>
              <w:right w:w="0" w:type="dxa"/>
            </w:tcMar>
            <w:vAlign w:val="center"/>
            <w:hideMark/>
          </w:tcPr>
          <w:p w:rsidR="00855E04" w:rsidRPr="00E21AB1" w:rsidP="00DD131B" w14:paraId="73B232B7" w14:textId="77777777">
            <w:pPr>
              <w:rPr>
                <w:rFonts w:ascii="Times New Roman" w:hAnsi="Times New Roman" w:cs="Times New Roman"/>
                <w:sz w:val="20"/>
                <w:szCs w:val="20"/>
              </w:rPr>
            </w:pPr>
            <w:r w:rsidRPr="00E21AB1">
              <w:rPr>
                <w:rFonts w:ascii="Times New Roman" w:hAnsi="Times New Roman" w:cs="Times New Roman"/>
                <w:b/>
                <w:bCs/>
                <w:sz w:val="20"/>
                <w:szCs w:val="20"/>
              </w:rPr>
              <w:t>3.</w:t>
            </w:r>
          </w:p>
        </w:tc>
        <w:tc>
          <w:tcPr>
            <w:tcW w:w="1874" w:type="dxa"/>
            <w:shd w:val="clear" w:color="auto" w:fill="D9D9D9"/>
            <w:tcMar>
              <w:top w:w="0" w:type="dxa"/>
              <w:left w:w="0" w:type="dxa"/>
              <w:bottom w:w="0" w:type="dxa"/>
              <w:right w:w="0" w:type="dxa"/>
            </w:tcMar>
            <w:vAlign w:val="center"/>
            <w:hideMark/>
          </w:tcPr>
          <w:p w:rsidR="00855E04" w:rsidRPr="00E21AB1" w:rsidP="00DD131B" w14:paraId="16508873" w14:textId="77777777">
            <w:pPr>
              <w:rPr>
                <w:rFonts w:ascii="Times New Roman" w:hAnsi="Times New Roman" w:cs="Times New Roman"/>
                <w:sz w:val="20"/>
                <w:szCs w:val="20"/>
              </w:rPr>
            </w:pPr>
            <w:r w:rsidRPr="00E21AB1">
              <w:rPr>
                <w:rFonts w:ascii="Times New Roman" w:hAnsi="Times New Roman" w:cs="Times New Roman"/>
                <w:b/>
                <w:bCs/>
                <w:sz w:val="20"/>
                <w:szCs w:val="20"/>
              </w:rPr>
              <w:t>4.</w:t>
            </w:r>
          </w:p>
        </w:tc>
        <w:tc>
          <w:tcPr>
            <w:tcW w:w="1427" w:type="dxa"/>
            <w:shd w:val="clear" w:color="auto" w:fill="D9D9D9"/>
            <w:tcMar>
              <w:top w:w="0" w:type="dxa"/>
              <w:left w:w="0" w:type="dxa"/>
              <w:bottom w:w="0" w:type="dxa"/>
              <w:right w:w="0" w:type="dxa"/>
            </w:tcMar>
            <w:vAlign w:val="center"/>
            <w:hideMark/>
          </w:tcPr>
          <w:p w:rsidR="00855E04" w:rsidRPr="00E21AB1" w:rsidP="00DD131B" w14:paraId="2A8F61E5" w14:textId="77777777">
            <w:pPr>
              <w:rPr>
                <w:rFonts w:ascii="Times New Roman" w:hAnsi="Times New Roman" w:cs="Times New Roman"/>
                <w:sz w:val="20"/>
                <w:szCs w:val="20"/>
              </w:rPr>
            </w:pPr>
            <w:r w:rsidRPr="00E21AB1">
              <w:rPr>
                <w:rFonts w:ascii="Times New Roman" w:hAnsi="Times New Roman" w:cs="Times New Roman"/>
                <w:b/>
                <w:bCs/>
                <w:sz w:val="20"/>
                <w:szCs w:val="20"/>
              </w:rPr>
              <w:t>6.</w:t>
            </w:r>
          </w:p>
        </w:tc>
        <w:tc>
          <w:tcPr>
            <w:tcW w:w="1427" w:type="dxa"/>
            <w:shd w:val="clear" w:color="auto" w:fill="D9D9D9"/>
            <w:tcMar>
              <w:top w:w="0" w:type="dxa"/>
              <w:left w:w="0" w:type="dxa"/>
              <w:bottom w:w="0" w:type="dxa"/>
              <w:right w:w="0" w:type="dxa"/>
            </w:tcMar>
            <w:vAlign w:val="center"/>
            <w:hideMark/>
          </w:tcPr>
          <w:p w:rsidR="00855E04" w:rsidRPr="00E21AB1" w:rsidP="00DD131B" w14:paraId="59AB57EB" w14:textId="77777777">
            <w:pPr>
              <w:rPr>
                <w:rFonts w:ascii="Times New Roman" w:hAnsi="Times New Roman" w:cs="Times New Roman"/>
                <w:sz w:val="20"/>
                <w:szCs w:val="20"/>
              </w:rPr>
            </w:pPr>
            <w:r w:rsidRPr="00E21AB1">
              <w:rPr>
                <w:rFonts w:ascii="Times New Roman" w:hAnsi="Times New Roman" w:cs="Times New Roman"/>
                <w:b/>
                <w:bCs/>
                <w:sz w:val="20"/>
                <w:szCs w:val="20"/>
              </w:rPr>
              <w:t>7.</w:t>
            </w:r>
          </w:p>
        </w:tc>
        <w:tc>
          <w:tcPr>
            <w:tcW w:w="1438" w:type="dxa"/>
            <w:shd w:val="clear" w:color="auto" w:fill="D9D9D9"/>
            <w:tcMar>
              <w:top w:w="0" w:type="dxa"/>
              <w:left w:w="0" w:type="dxa"/>
              <w:bottom w:w="0" w:type="dxa"/>
              <w:right w:w="0" w:type="dxa"/>
            </w:tcMar>
            <w:vAlign w:val="center"/>
            <w:hideMark/>
          </w:tcPr>
          <w:p w:rsidR="00855E04" w:rsidRPr="00E21AB1" w:rsidP="00DD131B" w14:paraId="1D58C863" w14:textId="77777777">
            <w:pPr>
              <w:rPr>
                <w:rFonts w:ascii="Times New Roman" w:hAnsi="Times New Roman" w:cs="Times New Roman"/>
                <w:sz w:val="20"/>
                <w:szCs w:val="20"/>
              </w:rPr>
            </w:pPr>
            <w:r w:rsidRPr="00E21AB1">
              <w:rPr>
                <w:rFonts w:ascii="Times New Roman" w:hAnsi="Times New Roman" w:cs="Times New Roman"/>
                <w:b/>
                <w:bCs/>
                <w:sz w:val="20"/>
                <w:szCs w:val="20"/>
              </w:rPr>
              <w:t>8.</w:t>
            </w:r>
          </w:p>
        </w:tc>
        <w:tc>
          <w:tcPr>
            <w:tcW w:w="1849" w:type="dxa"/>
            <w:shd w:val="clear" w:color="auto" w:fill="D9D9D9"/>
            <w:tcMar>
              <w:top w:w="0" w:type="dxa"/>
              <w:left w:w="0" w:type="dxa"/>
              <w:bottom w:w="0" w:type="dxa"/>
              <w:right w:w="0" w:type="dxa"/>
            </w:tcMar>
            <w:vAlign w:val="center"/>
            <w:hideMark/>
          </w:tcPr>
          <w:p w:rsidR="00855E04" w:rsidRPr="00E21AB1" w:rsidP="00DD131B" w14:paraId="720C34A9" w14:textId="77777777">
            <w:pPr>
              <w:rPr>
                <w:rFonts w:ascii="Times New Roman" w:hAnsi="Times New Roman" w:cs="Times New Roman"/>
                <w:sz w:val="20"/>
                <w:szCs w:val="20"/>
              </w:rPr>
            </w:pPr>
            <w:r w:rsidRPr="00E21AB1">
              <w:rPr>
                <w:rFonts w:ascii="Times New Roman" w:hAnsi="Times New Roman" w:cs="Times New Roman"/>
                <w:b/>
                <w:bCs/>
                <w:sz w:val="20"/>
                <w:szCs w:val="20"/>
              </w:rPr>
              <w:t>9.</w:t>
            </w:r>
          </w:p>
        </w:tc>
      </w:tr>
      <w:tr w14:paraId="37BA0F81"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blHeader/>
        </w:trPr>
        <w:tc>
          <w:tcPr>
            <w:tcW w:w="1710" w:type="dxa"/>
            <w:shd w:val="clear" w:color="auto" w:fill="D9D9D9"/>
            <w:tcMar>
              <w:top w:w="0" w:type="dxa"/>
              <w:left w:w="0" w:type="dxa"/>
              <w:bottom w:w="0" w:type="dxa"/>
              <w:right w:w="0" w:type="dxa"/>
            </w:tcMar>
            <w:vAlign w:val="center"/>
            <w:hideMark/>
          </w:tcPr>
          <w:p w:rsidR="00855E04" w:rsidRPr="00E21AB1" w:rsidP="00DD131B" w14:paraId="000A94F9" w14:textId="77777777">
            <w:pPr>
              <w:rPr>
                <w:rFonts w:ascii="Times New Roman" w:hAnsi="Times New Roman" w:cs="Times New Roman"/>
                <w:sz w:val="20"/>
                <w:szCs w:val="20"/>
              </w:rPr>
            </w:pPr>
            <w:r w:rsidRPr="00E21AB1">
              <w:rPr>
                <w:rFonts w:ascii="Times New Roman" w:hAnsi="Times New Roman" w:cs="Times New Roman"/>
                <w:b/>
                <w:bCs/>
                <w:sz w:val="20"/>
                <w:szCs w:val="20"/>
              </w:rPr>
              <w:t>Applicable CFTC Regulation Section (17 CFR)</w:t>
            </w:r>
          </w:p>
        </w:tc>
        <w:tc>
          <w:tcPr>
            <w:tcW w:w="1206" w:type="dxa"/>
            <w:shd w:val="clear" w:color="auto" w:fill="D9D9D9"/>
            <w:tcMar>
              <w:top w:w="0" w:type="dxa"/>
              <w:left w:w="0" w:type="dxa"/>
              <w:bottom w:w="0" w:type="dxa"/>
              <w:right w:w="0" w:type="dxa"/>
            </w:tcMar>
            <w:vAlign w:val="center"/>
            <w:hideMark/>
          </w:tcPr>
          <w:p w:rsidR="00855E04" w:rsidRPr="00E21AB1" w:rsidP="00DD131B" w14:paraId="3101D366" w14:textId="77777777">
            <w:pPr>
              <w:rPr>
                <w:rFonts w:ascii="Times New Roman" w:hAnsi="Times New Roman" w:cs="Times New Roman"/>
                <w:sz w:val="20"/>
                <w:szCs w:val="20"/>
              </w:rPr>
            </w:pPr>
            <w:r w:rsidRPr="00E21AB1">
              <w:rPr>
                <w:rFonts w:ascii="Times New Roman" w:hAnsi="Times New Roman" w:cs="Times New Roman"/>
                <w:b/>
                <w:bCs/>
                <w:sz w:val="20"/>
                <w:szCs w:val="20"/>
              </w:rPr>
              <w:t>Associated Form</w:t>
            </w:r>
          </w:p>
        </w:tc>
        <w:tc>
          <w:tcPr>
            <w:tcW w:w="2214" w:type="dxa"/>
            <w:shd w:val="clear" w:color="auto" w:fill="D9D9D9"/>
            <w:tcMar>
              <w:top w:w="0" w:type="dxa"/>
              <w:left w:w="0" w:type="dxa"/>
              <w:bottom w:w="0" w:type="dxa"/>
              <w:right w:w="0" w:type="dxa"/>
            </w:tcMar>
            <w:vAlign w:val="center"/>
            <w:hideMark/>
          </w:tcPr>
          <w:p w:rsidR="00855E04" w:rsidRPr="00E21AB1" w:rsidP="00DD131B" w14:paraId="2E17B9B6" w14:textId="77777777">
            <w:pPr>
              <w:rPr>
                <w:rFonts w:ascii="Times New Roman" w:hAnsi="Times New Roman" w:cs="Times New Roman"/>
                <w:sz w:val="20"/>
                <w:szCs w:val="20"/>
              </w:rPr>
            </w:pPr>
            <w:r w:rsidRPr="00E21AB1">
              <w:rPr>
                <w:rFonts w:ascii="Times New Roman" w:hAnsi="Times New Roman" w:cs="Times New Roman"/>
                <w:b/>
                <w:bCs/>
                <w:sz w:val="20"/>
                <w:szCs w:val="20"/>
              </w:rPr>
              <w:t>Type of Respondent</w:t>
            </w:r>
          </w:p>
        </w:tc>
        <w:tc>
          <w:tcPr>
            <w:tcW w:w="1874" w:type="dxa"/>
            <w:shd w:val="clear" w:color="auto" w:fill="D9D9D9"/>
            <w:tcMar>
              <w:top w:w="0" w:type="dxa"/>
              <w:left w:w="0" w:type="dxa"/>
              <w:bottom w:w="0" w:type="dxa"/>
              <w:right w:w="0" w:type="dxa"/>
            </w:tcMar>
            <w:vAlign w:val="center"/>
            <w:hideMark/>
          </w:tcPr>
          <w:p w:rsidR="00855E04" w:rsidRPr="00E21AB1" w:rsidP="00DD131B" w14:paraId="5F3C516F" w14:textId="77777777">
            <w:pPr>
              <w:rPr>
                <w:rFonts w:ascii="Times New Roman" w:hAnsi="Times New Roman" w:cs="Times New Roman"/>
                <w:sz w:val="20"/>
                <w:szCs w:val="20"/>
              </w:rPr>
            </w:pPr>
            <w:r w:rsidRPr="00E21AB1">
              <w:rPr>
                <w:rFonts w:ascii="Times New Roman" w:hAnsi="Times New Roman" w:cs="Times New Roman"/>
                <w:b/>
                <w:bCs/>
                <w:sz w:val="20"/>
                <w:szCs w:val="20"/>
              </w:rPr>
              <w:t>Total Number of Respondents (13(a))</w:t>
            </w:r>
          </w:p>
        </w:tc>
        <w:tc>
          <w:tcPr>
            <w:tcW w:w="1427" w:type="dxa"/>
            <w:shd w:val="clear" w:color="auto" w:fill="D9D9D9"/>
            <w:tcMar>
              <w:top w:w="0" w:type="dxa"/>
              <w:left w:w="0" w:type="dxa"/>
              <w:bottom w:w="0" w:type="dxa"/>
              <w:right w:w="0" w:type="dxa"/>
            </w:tcMar>
            <w:hideMark/>
          </w:tcPr>
          <w:p w:rsidR="00855E04" w:rsidRPr="00E21AB1" w:rsidP="00DD131B" w14:paraId="280CF2C1" w14:textId="77777777">
            <w:pPr>
              <w:rPr>
                <w:rFonts w:ascii="Times New Roman" w:hAnsi="Times New Roman" w:cs="Times New Roman"/>
                <w:sz w:val="20"/>
                <w:szCs w:val="20"/>
              </w:rPr>
            </w:pPr>
            <w:r w:rsidRPr="00E21AB1">
              <w:rPr>
                <w:rFonts w:ascii="Times New Roman" w:hAnsi="Times New Roman" w:cs="Times New Roman"/>
                <w:b/>
                <w:bCs/>
                <w:sz w:val="20"/>
                <w:szCs w:val="20"/>
              </w:rPr>
              <w:t>Estimated Average Burden Hour Cost</w:t>
            </w:r>
          </w:p>
        </w:tc>
        <w:tc>
          <w:tcPr>
            <w:tcW w:w="1427" w:type="dxa"/>
            <w:shd w:val="clear" w:color="auto" w:fill="D9D9D9"/>
            <w:tcMar>
              <w:top w:w="0" w:type="dxa"/>
              <w:left w:w="0" w:type="dxa"/>
              <w:bottom w:w="0" w:type="dxa"/>
              <w:right w:w="0" w:type="dxa"/>
            </w:tcMar>
            <w:vAlign w:val="center"/>
            <w:hideMark/>
          </w:tcPr>
          <w:p w:rsidR="00855E04" w:rsidRPr="00E21AB1" w:rsidP="00DD131B" w14:paraId="13C9B161" w14:textId="77777777">
            <w:pPr>
              <w:rPr>
                <w:rFonts w:ascii="Times New Roman" w:hAnsi="Times New Roman" w:cs="Times New Roman"/>
                <w:sz w:val="20"/>
                <w:szCs w:val="20"/>
              </w:rPr>
            </w:pPr>
            <w:r w:rsidRPr="00E21AB1">
              <w:rPr>
                <w:rFonts w:ascii="Times New Roman" w:hAnsi="Times New Roman" w:cs="Times New Roman"/>
                <w:b/>
                <w:bCs/>
                <w:sz w:val="20"/>
                <w:szCs w:val="20"/>
              </w:rPr>
              <w:t>Total Annual Responses (13(b))</w:t>
            </w:r>
          </w:p>
        </w:tc>
        <w:tc>
          <w:tcPr>
            <w:tcW w:w="1438" w:type="dxa"/>
            <w:shd w:val="clear" w:color="auto" w:fill="D9D9D9"/>
            <w:tcMar>
              <w:top w:w="0" w:type="dxa"/>
              <w:left w:w="0" w:type="dxa"/>
              <w:bottom w:w="0" w:type="dxa"/>
              <w:right w:w="0" w:type="dxa"/>
            </w:tcMar>
            <w:vAlign w:val="center"/>
            <w:hideMark/>
          </w:tcPr>
          <w:p w:rsidR="00855E04" w:rsidRPr="00E21AB1" w:rsidP="00DD131B" w14:paraId="3BA692DB" w14:textId="754D163E">
            <w:pPr>
              <w:rPr>
                <w:rFonts w:ascii="Times New Roman" w:hAnsi="Times New Roman" w:cs="Times New Roman"/>
                <w:sz w:val="20"/>
                <w:szCs w:val="20"/>
              </w:rPr>
            </w:pPr>
            <w:r w:rsidRPr="00E21AB1">
              <w:rPr>
                <w:rFonts w:ascii="Times New Roman" w:hAnsi="Times New Roman" w:cs="Times New Roman"/>
                <w:b/>
                <w:bCs/>
                <w:sz w:val="20"/>
                <w:szCs w:val="20"/>
              </w:rPr>
              <w:t>Total Annual Hours Requested (13(c))</w:t>
            </w:r>
          </w:p>
        </w:tc>
        <w:tc>
          <w:tcPr>
            <w:tcW w:w="1849" w:type="dxa"/>
            <w:shd w:val="clear" w:color="auto" w:fill="D9D9D9"/>
            <w:tcMar>
              <w:top w:w="0" w:type="dxa"/>
              <w:left w:w="0" w:type="dxa"/>
              <w:bottom w:w="0" w:type="dxa"/>
              <w:right w:w="0" w:type="dxa"/>
            </w:tcMar>
            <w:vAlign w:val="center"/>
            <w:hideMark/>
          </w:tcPr>
          <w:p w:rsidR="00855E04" w:rsidRPr="00E21AB1" w:rsidP="00DD131B" w14:paraId="005CB361" w14:textId="77777777">
            <w:pPr>
              <w:rPr>
                <w:rFonts w:ascii="Times New Roman" w:hAnsi="Times New Roman" w:cs="Times New Roman"/>
                <w:sz w:val="20"/>
                <w:szCs w:val="20"/>
              </w:rPr>
            </w:pPr>
            <w:r w:rsidRPr="00E21AB1">
              <w:rPr>
                <w:rFonts w:ascii="Times New Roman" w:hAnsi="Times New Roman" w:cs="Times New Roman"/>
                <w:b/>
                <w:bCs/>
                <w:sz w:val="20"/>
                <w:szCs w:val="20"/>
              </w:rPr>
              <w:t>Total Annual Burden Costs</w:t>
            </w:r>
          </w:p>
          <w:p w:rsidR="00855E04" w:rsidRPr="00E21AB1" w:rsidP="00DD131B" w14:paraId="7F5A3F37" w14:textId="77777777">
            <w:pPr>
              <w:rPr>
                <w:rFonts w:ascii="Times New Roman" w:hAnsi="Times New Roman" w:cs="Times New Roman"/>
                <w:sz w:val="20"/>
                <w:szCs w:val="20"/>
              </w:rPr>
            </w:pPr>
            <w:r w:rsidRPr="00E21AB1">
              <w:rPr>
                <w:rFonts w:ascii="Times New Roman" w:hAnsi="Times New Roman" w:cs="Times New Roman"/>
                <w:b/>
                <w:bCs/>
                <w:sz w:val="20"/>
                <w:szCs w:val="20"/>
              </w:rPr>
              <w:t>(6×8)</w:t>
            </w:r>
          </w:p>
          <w:p w:rsidR="00855E04" w:rsidRPr="00E21AB1" w:rsidP="00DD131B" w14:paraId="44381CEA" w14:textId="77777777">
            <w:pPr>
              <w:rPr>
                <w:rFonts w:ascii="Times New Roman" w:hAnsi="Times New Roman" w:cs="Times New Roman"/>
                <w:sz w:val="20"/>
                <w:szCs w:val="20"/>
              </w:rPr>
            </w:pPr>
          </w:p>
        </w:tc>
      </w:tr>
      <w:tr w14:paraId="1192AE12"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7F1A12D" w14:textId="77777777">
            <w:pPr>
              <w:rPr>
                <w:rFonts w:ascii="Times New Roman" w:hAnsi="Times New Roman" w:cs="Times New Roman"/>
                <w:sz w:val="20"/>
                <w:szCs w:val="20"/>
              </w:rPr>
            </w:pPr>
            <w:r w:rsidRPr="00E21AB1">
              <w:rPr>
                <w:rFonts w:ascii="Times New Roman" w:hAnsi="Times New Roman" w:cs="Times New Roman"/>
                <w:b/>
                <w:bCs/>
                <w:sz w:val="20"/>
                <w:szCs w:val="20"/>
              </w:rPr>
              <w:t>Reporting</w:t>
            </w:r>
          </w:p>
        </w:tc>
        <w:tc>
          <w:tcPr>
            <w:tcW w:w="1206"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0BC128F9" w14:textId="77777777">
            <w:pPr>
              <w:rPr>
                <w:rFonts w:ascii="Times New Roman" w:hAnsi="Times New Roman" w:cs="Times New Roman"/>
                <w:sz w:val="20"/>
                <w:szCs w:val="20"/>
              </w:rPr>
            </w:pPr>
          </w:p>
        </w:tc>
        <w:tc>
          <w:tcPr>
            <w:tcW w:w="221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0C4D820C" w14:textId="77777777">
            <w:pPr>
              <w:rPr>
                <w:rFonts w:ascii="Times New Roman" w:hAnsi="Times New Roman" w:cs="Times New Roman"/>
                <w:sz w:val="20"/>
                <w:szCs w:val="20"/>
              </w:rPr>
            </w:pPr>
          </w:p>
        </w:tc>
        <w:tc>
          <w:tcPr>
            <w:tcW w:w="187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1482B292" w14:textId="77777777">
            <w:pPr>
              <w:rPr>
                <w:rFonts w:ascii="Times New Roman" w:hAnsi="Times New Roman" w:cs="Times New Roman"/>
                <w:sz w:val="20"/>
                <w:szCs w:val="20"/>
              </w:rPr>
            </w:pP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50944F5" w14:textId="77777777">
            <w:pPr>
              <w:rPr>
                <w:rFonts w:ascii="Times New Roman" w:hAnsi="Times New Roman" w:cs="Times New Roman"/>
                <w:sz w:val="20"/>
                <w:szCs w:val="20"/>
              </w:rPr>
            </w:pP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FA75480" w14:textId="77777777">
            <w:pPr>
              <w:rPr>
                <w:rFonts w:ascii="Times New Roman" w:hAnsi="Times New Roman" w:cs="Times New Roman"/>
                <w:sz w:val="20"/>
                <w:szCs w:val="20"/>
              </w:rPr>
            </w:pPr>
          </w:p>
        </w:tc>
        <w:tc>
          <w:tcPr>
            <w:tcW w:w="1438"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161A91C" w14:textId="77777777">
            <w:pPr>
              <w:rPr>
                <w:rFonts w:ascii="Times New Roman" w:hAnsi="Times New Roman" w:cs="Times New Roman"/>
                <w:sz w:val="20"/>
                <w:szCs w:val="20"/>
              </w:rPr>
            </w:pPr>
          </w:p>
        </w:tc>
        <w:tc>
          <w:tcPr>
            <w:tcW w:w="1849" w:type="dxa"/>
            <w:tcBorders>
              <w:bottom w:val="single" w:sz="4" w:space="0" w:color="auto"/>
            </w:tcBorders>
            <w:tcMar>
              <w:top w:w="0" w:type="dxa"/>
              <w:left w:w="0" w:type="dxa"/>
              <w:bottom w:w="0" w:type="dxa"/>
              <w:right w:w="0" w:type="dxa"/>
            </w:tcMar>
            <w:hideMark/>
          </w:tcPr>
          <w:p w:rsidR="00855E04" w:rsidRPr="00E21AB1" w:rsidP="00DD131B" w14:paraId="2AA185B1" w14:textId="77777777">
            <w:pPr>
              <w:rPr>
                <w:rFonts w:ascii="Times New Roman" w:hAnsi="Times New Roman" w:cs="Times New Roman"/>
                <w:sz w:val="20"/>
                <w:szCs w:val="20"/>
              </w:rPr>
            </w:pPr>
          </w:p>
        </w:tc>
      </w:tr>
      <w:tr w14:paraId="5B6FF2D5"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78"/>
        </w:trPr>
        <w:tc>
          <w:tcPr>
            <w:tcW w:w="1710" w:type="dxa"/>
            <w:tcBorders>
              <w:bottom w:val="nil"/>
            </w:tcBorders>
            <w:shd w:val="clear" w:color="auto" w:fill="FFFF00"/>
            <w:tcMar>
              <w:top w:w="0" w:type="dxa"/>
              <w:left w:w="115" w:type="dxa"/>
              <w:bottom w:w="0" w:type="dxa"/>
              <w:right w:w="115" w:type="dxa"/>
            </w:tcMar>
          </w:tcPr>
          <w:p w:rsidR="00153CCA" w:rsidRPr="009169F1" w:rsidP="009169F1" w14:paraId="5CC062E1" w14:textId="4D7699A6">
            <w:pPr>
              <w:spacing w:after="0" w:line="240" w:lineRule="auto"/>
              <w:rPr>
                <w:rFonts w:ascii="Times New Roman" w:hAnsi="Times New Roman" w:cs="Times New Roman"/>
                <w:b/>
                <w:bCs/>
                <w:sz w:val="20"/>
                <w:szCs w:val="20"/>
              </w:rPr>
            </w:pPr>
            <w:r w:rsidRPr="009169F1">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153CCA" w:rsidRPr="00E21AB1" w:rsidP="009169F1" w14:paraId="5B9E4128" w14:textId="77777777">
            <w:pPr>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153CCA" w:rsidRPr="00E21AB1" w:rsidP="009169F1" w14:paraId="61367931" w14:textId="77777777">
            <w:pPr>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153CCA" w:rsidRPr="00E21AB1" w:rsidP="009169F1" w14:paraId="01D42898"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153CCA" w:rsidRPr="00E21AB1" w:rsidP="009169F1" w14:paraId="4325EFE3"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153CCA" w:rsidRPr="00E21AB1" w:rsidP="009169F1" w14:paraId="2170B8CD" w14:textId="77777777">
            <w:pPr>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153CCA" w:rsidRPr="00E21AB1" w:rsidP="009169F1" w14:paraId="7C6E5913" w14:textId="77777777">
            <w:pPr>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153CCA" w:rsidRPr="00E21AB1" w:rsidP="009169F1" w14:paraId="305C2E7B" w14:textId="77777777">
            <w:pPr>
              <w:spacing w:after="0" w:line="240" w:lineRule="auto"/>
              <w:rPr>
                <w:rFonts w:ascii="Times New Roman" w:hAnsi="Times New Roman" w:cs="Times New Roman"/>
                <w:sz w:val="20"/>
                <w:szCs w:val="20"/>
              </w:rPr>
            </w:pPr>
          </w:p>
        </w:tc>
      </w:tr>
      <w:tr w14:paraId="26862281"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460"/>
        </w:trPr>
        <w:tc>
          <w:tcPr>
            <w:tcW w:w="1710"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432CA90D"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17.01(a)</w:t>
            </w:r>
          </w:p>
        </w:tc>
        <w:tc>
          <w:tcPr>
            <w:tcW w:w="1206"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235E40A0"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w:t>
            </w:r>
            <w:r w:rsidRPr="00E21AB1">
              <w:rPr>
                <w:rFonts w:ascii="Times New Roman" w:hAnsi="Times New Roman" w:cs="Times New Roman"/>
                <w:sz w:val="20"/>
                <w:szCs w:val="20"/>
              </w:rPr>
              <w:t xml:space="preserve"> 102A</w:t>
            </w:r>
          </w:p>
        </w:tc>
        <w:tc>
          <w:tcPr>
            <w:tcW w:w="2214"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71E1F8FD"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FCMs, clearing members, and foreign brokers</w:t>
            </w:r>
          </w:p>
        </w:tc>
        <w:tc>
          <w:tcPr>
            <w:tcW w:w="1874" w:type="dxa"/>
            <w:tcBorders>
              <w:top w:val="nil"/>
              <w:bottom w:val="single" w:sz="4" w:space="0" w:color="auto"/>
            </w:tcBorders>
            <w:shd w:val="clear" w:color="auto" w:fill="FFFF00"/>
            <w:tcMar>
              <w:top w:w="0" w:type="dxa"/>
              <w:left w:w="115" w:type="dxa"/>
              <w:bottom w:w="0" w:type="dxa"/>
              <w:right w:w="115" w:type="dxa"/>
            </w:tcMar>
            <w:hideMark/>
          </w:tcPr>
          <w:p w:rsidR="00652E1D" w:rsidP="003273D2" w14:paraId="5FD4BFCA"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312</w:t>
            </w:r>
          </w:p>
          <w:p w:rsidR="00153CCA" w:rsidRPr="00153CCA" w:rsidP="009169F1" w14:paraId="0519EAF7" w14:textId="5878CB12">
            <w:pPr>
              <w:spacing w:after="0" w:line="240" w:lineRule="auto"/>
              <w:rPr>
                <w:rFonts w:ascii="Times New Roman" w:hAnsi="Times New Roman" w:cs="Times New Roman"/>
                <w:sz w:val="20"/>
                <w:szCs w:val="20"/>
              </w:rPr>
            </w:pPr>
            <w:r>
              <w:rPr>
                <w:rFonts w:ascii="Times New Roman" w:hAnsi="Times New Roman" w:cs="Times New Roman"/>
                <w:sz w:val="20"/>
                <w:szCs w:val="20"/>
              </w:rPr>
              <w:t>324</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3273D2" w14:paraId="363B012B"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153CCA" w:rsidRPr="0051316B" w:rsidP="009169F1" w14:paraId="4E57AC51" w14:textId="3C221985">
            <w:pPr>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3273D2" w14:paraId="1496DDA0"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103,430</w:t>
            </w:r>
          </w:p>
          <w:p w:rsidR="00B60B2E" w:rsidRPr="00B60B2E" w:rsidP="009169F1" w14:paraId="147A8E2C" w14:textId="106123AF">
            <w:pPr>
              <w:spacing w:after="0" w:line="240" w:lineRule="auto"/>
              <w:rPr>
                <w:rFonts w:ascii="Times New Roman" w:hAnsi="Times New Roman" w:cs="Times New Roman"/>
                <w:sz w:val="20"/>
                <w:szCs w:val="20"/>
              </w:rPr>
            </w:pPr>
            <w:r>
              <w:rPr>
                <w:rFonts w:ascii="Times New Roman" w:hAnsi="Times New Roman" w:cs="Times New Roman"/>
                <w:sz w:val="20"/>
                <w:szCs w:val="20"/>
              </w:rPr>
              <w:t>303,430</w:t>
            </w:r>
          </w:p>
        </w:tc>
        <w:tc>
          <w:tcPr>
            <w:tcW w:w="1438" w:type="dxa"/>
            <w:tcBorders>
              <w:top w:val="nil"/>
              <w:bottom w:val="single" w:sz="4" w:space="0" w:color="auto"/>
            </w:tcBorders>
            <w:shd w:val="clear" w:color="auto" w:fill="FFFF00"/>
            <w:tcMar>
              <w:top w:w="0" w:type="dxa"/>
              <w:left w:w="115" w:type="dxa"/>
              <w:bottom w:w="0" w:type="dxa"/>
              <w:right w:w="115" w:type="dxa"/>
            </w:tcMar>
            <w:hideMark/>
          </w:tcPr>
          <w:p w:rsidR="00855E04" w:rsidP="003273D2" w14:paraId="48F97413"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33,072</w:t>
            </w:r>
          </w:p>
          <w:p w:rsidR="00B60B2E" w:rsidRPr="00B60B2E" w:rsidP="009169F1" w14:paraId="3CACF34B" w14:textId="2468387A">
            <w:pPr>
              <w:spacing w:after="0" w:line="240" w:lineRule="auto"/>
              <w:rPr>
                <w:rFonts w:ascii="Times New Roman" w:hAnsi="Times New Roman" w:cs="Times New Roman"/>
                <w:sz w:val="20"/>
                <w:szCs w:val="20"/>
              </w:rPr>
            </w:pPr>
            <w:r>
              <w:rPr>
                <w:rFonts w:ascii="Times New Roman" w:hAnsi="Times New Roman" w:cs="Times New Roman"/>
                <w:sz w:val="20"/>
                <w:szCs w:val="20"/>
              </w:rPr>
              <w:t>97,200</w:t>
            </w:r>
          </w:p>
        </w:tc>
        <w:tc>
          <w:tcPr>
            <w:tcW w:w="1849" w:type="dxa"/>
            <w:tcBorders>
              <w:top w:val="nil"/>
              <w:bottom w:val="single" w:sz="4" w:space="0" w:color="auto"/>
            </w:tcBorders>
            <w:shd w:val="clear" w:color="auto" w:fill="FFFF00"/>
            <w:tcMar>
              <w:top w:w="0" w:type="dxa"/>
              <w:left w:w="0" w:type="dxa"/>
              <w:bottom w:w="0" w:type="dxa"/>
              <w:right w:w="0" w:type="dxa"/>
            </w:tcMar>
            <w:hideMark/>
          </w:tcPr>
          <w:p w:rsidR="00855E04" w:rsidP="003273D2" w14:paraId="753A6921"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$3,670,992</w:t>
            </w:r>
          </w:p>
          <w:p w:rsidR="009250C5" w:rsidRPr="009250C5" w:rsidP="009169F1" w14:paraId="51FE5EC2" w14:textId="55331D3F">
            <w:pPr>
              <w:spacing w:after="0" w:line="240" w:lineRule="auto"/>
              <w:rPr>
                <w:rFonts w:ascii="Times New Roman" w:hAnsi="Times New Roman" w:cs="Times New Roman"/>
                <w:sz w:val="20"/>
                <w:szCs w:val="20"/>
              </w:rPr>
            </w:pPr>
            <w:r>
              <w:rPr>
                <w:rFonts w:ascii="Times New Roman" w:hAnsi="Times New Roman" w:cs="Times New Roman"/>
                <w:sz w:val="20"/>
                <w:szCs w:val="20"/>
              </w:rPr>
              <w:t>$12,052,</w:t>
            </w:r>
            <w:r w:rsidR="00075A76">
              <w:rPr>
                <w:rFonts w:ascii="Times New Roman" w:hAnsi="Times New Roman" w:cs="Times New Roman"/>
                <w:sz w:val="20"/>
                <w:szCs w:val="20"/>
              </w:rPr>
              <w:t>800</w:t>
            </w:r>
          </w:p>
        </w:tc>
      </w:tr>
      <w:tr w14:paraId="59C54F1D"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50"/>
        </w:trPr>
        <w:tc>
          <w:tcPr>
            <w:tcW w:w="1710" w:type="dxa"/>
            <w:tcBorders>
              <w:bottom w:val="nil"/>
            </w:tcBorders>
            <w:shd w:val="clear" w:color="auto" w:fill="FFFF00"/>
            <w:tcMar>
              <w:top w:w="0" w:type="dxa"/>
              <w:left w:w="115" w:type="dxa"/>
              <w:bottom w:w="0" w:type="dxa"/>
              <w:right w:w="115" w:type="dxa"/>
            </w:tcMar>
          </w:tcPr>
          <w:p w:rsidR="00E1691F" w:rsidRPr="009169F1" w:rsidP="009169F1" w14:paraId="5507D593" w14:textId="67846A1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E1691F" w:rsidRPr="00E21AB1" w:rsidP="009169F1" w14:paraId="2899580C" w14:textId="77777777">
            <w:pPr>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E1691F" w:rsidRPr="00E21AB1" w:rsidP="009169F1" w14:paraId="1DD39090" w14:textId="77777777">
            <w:pPr>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E1691F" w:rsidRPr="00E21AB1" w:rsidP="009169F1" w14:paraId="585DB3BC"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E1691F" w:rsidRPr="00E21AB1" w:rsidP="009169F1" w14:paraId="1DC521D2"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E1691F" w:rsidRPr="00E21AB1" w:rsidP="009169F1" w14:paraId="2EAF25B2" w14:textId="77777777">
            <w:pPr>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E1691F" w:rsidRPr="00E21AB1" w:rsidP="009169F1" w14:paraId="1045DE2E" w14:textId="77777777">
            <w:pPr>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E1691F" w:rsidRPr="00E21AB1" w:rsidP="009169F1" w14:paraId="63694D3F" w14:textId="77777777">
            <w:pPr>
              <w:spacing w:after="0" w:line="240" w:lineRule="auto"/>
              <w:rPr>
                <w:rFonts w:ascii="Times New Roman" w:hAnsi="Times New Roman" w:cs="Times New Roman"/>
                <w:sz w:val="20"/>
                <w:szCs w:val="20"/>
              </w:rPr>
            </w:pPr>
          </w:p>
        </w:tc>
      </w:tr>
      <w:tr w14:paraId="304B4F71"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50"/>
        </w:trPr>
        <w:tc>
          <w:tcPr>
            <w:tcW w:w="1710" w:type="dxa"/>
            <w:tcBorders>
              <w:top w:val="nil"/>
            </w:tcBorders>
            <w:shd w:val="clear" w:color="auto" w:fill="FFFF00"/>
            <w:tcMar>
              <w:top w:w="0" w:type="dxa"/>
              <w:left w:w="115" w:type="dxa"/>
              <w:bottom w:w="0" w:type="dxa"/>
              <w:right w:w="115" w:type="dxa"/>
            </w:tcMar>
            <w:hideMark/>
          </w:tcPr>
          <w:p w:rsidR="00855E04" w:rsidRPr="00E21AB1" w:rsidP="009169F1" w14:paraId="02E6632B"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17.01(b)</w:t>
            </w:r>
          </w:p>
        </w:tc>
        <w:tc>
          <w:tcPr>
            <w:tcW w:w="1206" w:type="dxa"/>
            <w:tcBorders>
              <w:top w:val="nil"/>
            </w:tcBorders>
            <w:shd w:val="clear" w:color="auto" w:fill="FFFF00"/>
            <w:tcMar>
              <w:top w:w="0" w:type="dxa"/>
              <w:left w:w="115" w:type="dxa"/>
              <w:bottom w:w="0" w:type="dxa"/>
              <w:right w:w="115" w:type="dxa"/>
            </w:tcMar>
            <w:hideMark/>
          </w:tcPr>
          <w:p w:rsidR="00855E04" w:rsidRPr="00E21AB1" w:rsidP="009169F1" w14:paraId="5B7713DA"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102B</w:t>
            </w:r>
          </w:p>
        </w:tc>
        <w:tc>
          <w:tcPr>
            <w:tcW w:w="2214" w:type="dxa"/>
            <w:tcBorders>
              <w:top w:val="nil"/>
            </w:tcBorders>
            <w:shd w:val="clear" w:color="auto" w:fill="FFFF00"/>
            <w:tcMar>
              <w:top w:w="0" w:type="dxa"/>
              <w:left w:w="115" w:type="dxa"/>
              <w:bottom w:w="0" w:type="dxa"/>
              <w:right w:w="115" w:type="dxa"/>
            </w:tcMar>
            <w:hideMark/>
          </w:tcPr>
          <w:p w:rsidR="00855E04" w:rsidRPr="00E21AB1" w:rsidP="009169F1" w14:paraId="02418AFC"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Clearing members</w:t>
            </w:r>
          </w:p>
        </w:tc>
        <w:tc>
          <w:tcPr>
            <w:tcW w:w="1874" w:type="dxa"/>
            <w:tcBorders>
              <w:top w:val="nil"/>
            </w:tcBorders>
            <w:shd w:val="clear" w:color="auto" w:fill="FFFF00"/>
            <w:tcMar>
              <w:top w:w="0" w:type="dxa"/>
              <w:left w:w="115" w:type="dxa"/>
              <w:bottom w:w="0" w:type="dxa"/>
              <w:right w:w="115" w:type="dxa"/>
            </w:tcMar>
            <w:hideMark/>
          </w:tcPr>
          <w:p w:rsidR="00855E04" w:rsidP="003273D2" w14:paraId="1F81A207"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114</w:t>
            </w:r>
          </w:p>
          <w:p w:rsidR="003273D2" w:rsidRPr="003273D2" w:rsidP="009169F1" w14:paraId="277DA889" w14:textId="7E306901">
            <w:pPr>
              <w:spacing w:after="0" w:line="240" w:lineRule="auto"/>
              <w:rPr>
                <w:rFonts w:ascii="Times New Roman" w:hAnsi="Times New Roman" w:cs="Times New Roman"/>
                <w:sz w:val="20"/>
                <w:szCs w:val="20"/>
              </w:rPr>
            </w:pPr>
            <w:r>
              <w:rPr>
                <w:rFonts w:ascii="Times New Roman" w:hAnsi="Times New Roman" w:cs="Times New Roman"/>
                <w:sz w:val="20"/>
                <w:szCs w:val="20"/>
              </w:rPr>
              <w:t>114</w:t>
            </w:r>
          </w:p>
        </w:tc>
        <w:tc>
          <w:tcPr>
            <w:tcW w:w="1427" w:type="dxa"/>
            <w:tcBorders>
              <w:top w:val="nil"/>
            </w:tcBorders>
            <w:shd w:val="clear" w:color="auto" w:fill="FFFF00"/>
            <w:tcMar>
              <w:top w:w="0" w:type="dxa"/>
              <w:left w:w="115" w:type="dxa"/>
              <w:bottom w:w="0" w:type="dxa"/>
              <w:right w:w="115" w:type="dxa"/>
            </w:tcMar>
            <w:hideMark/>
          </w:tcPr>
          <w:p w:rsidR="00855E04" w:rsidP="003273D2" w14:paraId="1E017195"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EC5C37" w:rsidRPr="00EC5C37" w:rsidP="009169F1" w14:paraId="1AB75216" w14:textId="35D11E6D">
            <w:pPr>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tcBorders>
            <w:shd w:val="clear" w:color="auto" w:fill="FFFF00"/>
            <w:tcMar>
              <w:top w:w="0" w:type="dxa"/>
              <w:left w:w="115" w:type="dxa"/>
              <w:bottom w:w="0" w:type="dxa"/>
              <w:right w:w="115" w:type="dxa"/>
            </w:tcMar>
            <w:hideMark/>
          </w:tcPr>
          <w:p w:rsidR="00855E04" w:rsidP="003273D2" w14:paraId="58D2C0E2"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529,000</w:t>
            </w:r>
          </w:p>
          <w:p w:rsidR="00EC5C37" w:rsidRPr="00EC5C37" w:rsidP="009169F1" w14:paraId="05D4D6F5" w14:textId="1B4B85D9">
            <w:pPr>
              <w:spacing w:after="0" w:line="240" w:lineRule="auto"/>
              <w:rPr>
                <w:rFonts w:ascii="Times New Roman" w:hAnsi="Times New Roman" w:cs="Times New Roman"/>
                <w:sz w:val="20"/>
                <w:szCs w:val="20"/>
              </w:rPr>
            </w:pPr>
            <w:r>
              <w:rPr>
                <w:rFonts w:ascii="Times New Roman" w:hAnsi="Times New Roman" w:cs="Times New Roman"/>
                <w:sz w:val="20"/>
                <w:szCs w:val="20"/>
              </w:rPr>
              <w:t>566,500</w:t>
            </w:r>
          </w:p>
        </w:tc>
        <w:tc>
          <w:tcPr>
            <w:tcW w:w="1438" w:type="dxa"/>
            <w:tcBorders>
              <w:top w:val="nil"/>
            </w:tcBorders>
            <w:shd w:val="clear" w:color="auto" w:fill="FFFF00"/>
            <w:tcMar>
              <w:top w:w="0" w:type="dxa"/>
              <w:left w:w="115" w:type="dxa"/>
              <w:bottom w:w="0" w:type="dxa"/>
              <w:right w:w="115" w:type="dxa"/>
            </w:tcMar>
            <w:hideMark/>
          </w:tcPr>
          <w:p w:rsidR="00855E04" w:rsidP="003273D2" w14:paraId="6EA991EC"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18,550</w:t>
            </w:r>
          </w:p>
          <w:p w:rsidR="00812FFB" w:rsidRPr="00812FFB" w:rsidP="009169F1" w14:paraId="51473AFC" w14:textId="46902F7F">
            <w:pPr>
              <w:spacing w:after="0" w:line="240" w:lineRule="auto"/>
              <w:rPr>
                <w:rFonts w:ascii="Times New Roman" w:hAnsi="Times New Roman" w:cs="Times New Roman"/>
                <w:sz w:val="20"/>
                <w:szCs w:val="20"/>
              </w:rPr>
            </w:pPr>
            <w:r>
              <w:rPr>
                <w:rFonts w:ascii="Times New Roman" w:hAnsi="Times New Roman" w:cs="Times New Roman"/>
                <w:sz w:val="20"/>
                <w:szCs w:val="20"/>
              </w:rPr>
              <w:t>22,686</w:t>
            </w:r>
          </w:p>
        </w:tc>
        <w:tc>
          <w:tcPr>
            <w:tcW w:w="1849" w:type="dxa"/>
            <w:tcBorders>
              <w:top w:val="nil"/>
            </w:tcBorders>
            <w:shd w:val="clear" w:color="auto" w:fill="FFFF00"/>
            <w:tcMar>
              <w:top w:w="0" w:type="dxa"/>
              <w:left w:w="0" w:type="dxa"/>
              <w:bottom w:w="0" w:type="dxa"/>
              <w:right w:w="0" w:type="dxa"/>
            </w:tcMar>
            <w:hideMark/>
          </w:tcPr>
          <w:p w:rsidR="00855E04" w:rsidP="003273D2" w14:paraId="79A80F2B"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$2,059,050</w:t>
            </w:r>
          </w:p>
          <w:p w:rsidR="007461D0" w:rsidRPr="007461D0" w:rsidP="009169F1" w14:paraId="34AEC86A" w14:textId="1EEC62BB">
            <w:pPr>
              <w:spacing w:after="0" w:line="240" w:lineRule="auto"/>
              <w:rPr>
                <w:rFonts w:ascii="Times New Roman" w:hAnsi="Times New Roman" w:cs="Times New Roman"/>
                <w:sz w:val="20"/>
                <w:szCs w:val="20"/>
              </w:rPr>
            </w:pPr>
            <w:r>
              <w:rPr>
                <w:rFonts w:ascii="Times New Roman" w:hAnsi="Times New Roman" w:cs="Times New Roman"/>
                <w:sz w:val="20"/>
                <w:szCs w:val="20"/>
              </w:rPr>
              <w:t>$2,813,</w:t>
            </w:r>
            <w:r w:rsidR="00F64207">
              <w:rPr>
                <w:rFonts w:ascii="Times New Roman" w:hAnsi="Times New Roman" w:cs="Times New Roman"/>
                <w:sz w:val="20"/>
                <w:szCs w:val="20"/>
              </w:rPr>
              <w:t>064</w:t>
            </w:r>
          </w:p>
        </w:tc>
      </w:tr>
      <w:tr w14:paraId="558A537E" w14:textId="77777777" w:rsidTr="002B4A5A">
        <w:tblPrEx>
          <w:tblW w:w="13145" w:type="dxa"/>
          <w:tblInd w:w="-275" w:type="dxa"/>
          <w:shd w:val="clear" w:color="auto" w:fill="FFFFFF"/>
          <w:tblCellMar>
            <w:top w:w="70" w:type="dxa"/>
            <w:left w:w="70" w:type="dxa"/>
            <w:bottom w:w="70" w:type="dxa"/>
            <w:right w:w="70" w:type="dxa"/>
          </w:tblCellMar>
          <w:tblLook w:val="04A0"/>
        </w:tblPrEx>
        <w:tc>
          <w:tcPr>
            <w:tcW w:w="1710"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4338016" w14:textId="77777777">
            <w:pPr>
              <w:rPr>
                <w:rFonts w:ascii="Times New Roman" w:hAnsi="Times New Roman" w:cs="Times New Roman"/>
                <w:sz w:val="20"/>
                <w:szCs w:val="20"/>
              </w:rPr>
            </w:pPr>
            <w:r w:rsidRPr="00E21AB1">
              <w:rPr>
                <w:rFonts w:ascii="Times New Roman" w:hAnsi="Times New Roman" w:cs="Times New Roman"/>
                <w:sz w:val="20"/>
                <w:szCs w:val="20"/>
              </w:rPr>
              <w:t>17.01(c)</w:t>
            </w:r>
          </w:p>
        </w:tc>
        <w:tc>
          <w:tcPr>
            <w:tcW w:w="1206"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6C5A442" w14:textId="77777777">
            <w:pPr>
              <w:rPr>
                <w:rFonts w:ascii="Times New Roman" w:hAnsi="Times New Roman" w:cs="Times New Roman"/>
                <w:sz w:val="20"/>
                <w:szCs w:val="20"/>
              </w:rPr>
            </w:pPr>
            <w:r w:rsidRPr="00E21AB1">
              <w:rPr>
                <w:rFonts w:ascii="Times New Roman" w:hAnsi="Times New Roman" w:cs="Times New Roman"/>
                <w:sz w:val="20"/>
                <w:szCs w:val="20"/>
              </w:rPr>
              <w:t>Form 71</w:t>
            </w:r>
          </w:p>
        </w:tc>
        <w:tc>
          <w:tcPr>
            <w:tcW w:w="221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73B50C3" w14:textId="77777777">
            <w:pPr>
              <w:rPr>
                <w:rFonts w:ascii="Times New Roman" w:hAnsi="Times New Roman" w:cs="Times New Roman"/>
                <w:sz w:val="20"/>
                <w:szCs w:val="20"/>
              </w:rPr>
            </w:pPr>
            <w:r w:rsidRPr="00E21AB1">
              <w:rPr>
                <w:rFonts w:ascii="Times New Roman" w:hAnsi="Times New Roman" w:cs="Times New Roman"/>
                <w:sz w:val="20"/>
                <w:szCs w:val="20"/>
              </w:rPr>
              <w:t>Originators of omnibus volume threshold accounts or omnibus reportable sub-accounts</w:t>
            </w:r>
          </w:p>
        </w:tc>
        <w:tc>
          <w:tcPr>
            <w:tcW w:w="187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39965269" w14:textId="0E891F13">
            <w:pPr>
              <w:rPr>
                <w:rFonts w:ascii="Times New Roman" w:hAnsi="Times New Roman" w:cs="Times New Roman"/>
                <w:sz w:val="20"/>
                <w:szCs w:val="20"/>
              </w:rPr>
            </w:pPr>
            <w:r w:rsidRPr="00E21AB1">
              <w:rPr>
                <w:rFonts w:ascii="Times New Roman" w:hAnsi="Times New Roman" w:cs="Times New Roman"/>
                <w:sz w:val="20"/>
                <w:szCs w:val="20"/>
              </w:rPr>
              <w:t>762</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6E44C80"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0F57B9D9" w14:textId="3D79CAE3">
            <w:pPr>
              <w:rPr>
                <w:rFonts w:ascii="Times New Roman" w:hAnsi="Times New Roman" w:cs="Times New Roman"/>
                <w:sz w:val="20"/>
                <w:szCs w:val="20"/>
              </w:rPr>
            </w:pPr>
            <w:r w:rsidRPr="00E21AB1">
              <w:rPr>
                <w:rFonts w:ascii="Times New Roman" w:hAnsi="Times New Roman" w:cs="Times New Roman"/>
                <w:sz w:val="20"/>
                <w:szCs w:val="20"/>
              </w:rPr>
              <w:t>762</w:t>
            </w:r>
          </w:p>
        </w:tc>
        <w:tc>
          <w:tcPr>
            <w:tcW w:w="1438"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33816A29" w14:textId="77777777">
            <w:pPr>
              <w:rPr>
                <w:rFonts w:ascii="Times New Roman" w:hAnsi="Times New Roman" w:cs="Times New Roman"/>
                <w:sz w:val="20"/>
                <w:szCs w:val="20"/>
              </w:rPr>
            </w:pPr>
            <w:r w:rsidRPr="00E21AB1">
              <w:rPr>
                <w:rFonts w:ascii="Times New Roman" w:hAnsi="Times New Roman" w:cs="Times New Roman"/>
                <w:sz w:val="20"/>
                <w:szCs w:val="20"/>
              </w:rPr>
              <w:t>6,096</w:t>
            </w:r>
          </w:p>
        </w:tc>
        <w:tc>
          <w:tcPr>
            <w:tcW w:w="1849" w:type="dxa"/>
            <w:tcBorders>
              <w:bottom w:val="single" w:sz="4" w:space="0" w:color="auto"/>
            </w:tcBorders>
            <w:tcMar>
              <w:top w:w="0" w:type="dxa"/>
              <w:left w:w="0" w:type="dxa"/>
              <w:bottom w:w="0" w:type="dxa"/>
              <w:right w:w="0" w:type="dxa"/>
            </w:tcMar>
            <w:hideMark/>
          </w:tcPr>
          <w:p w:rsidR="00855E04" w:rsidRPr="00E21AB1" w:rsidP="00DD131B" w14:paraId="06D286CE" w14:textId="77777777">
            <w:pPr>
              <w:rPr>
                <w:rFonts w:ascii="Times New Roman" w:hAnsi="Times New Roman" w:cs="Times New Roman"/>
                <w:sz w:val="20"/>
                <w:szCs w:val="20"/>
              </w:rPr>
            </w:pPr>
            <w:r w:rsidRPr="00E21AB1">
              <w:rPr>
                <w:rFonts w:ascii="Times New Roman" w:hAnsi="Times New Roman" w:cs="Times New Roman"/>
                <w:sz w:val="20"/>
                <w:szCs w:val="20"/>
              </w:rPr>
              <w:t>$676,656</w:t>
            </w:r>
          </w:p>
        </w:tc>
      </w:tr>
      <w:tr w14:paraId="5620964C"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bottom w:val="nil"/>
            </w:tcBorders>
            <w:shd w:val="clear" w:color="auto" w:fill="FFFF00"/>
            <w:tcMar>
              <w:top w:w="0" w:type="dxa"/>
              <w:left w:w="115" w:type="dxa"/>
              <w:bottom w:w="0" w:type="dxa"/>
              <w:right w:w="115" w:type="dxa"/>
            </w:tcMar>
          </w:tcPr>
          <w:p w:rsidR="00825C56" w:rsidRPr="009169F1" w:rsidP="009169F1" w14:paraId="7CBF2064" w14:textId="31514FA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825C56" w:rsidRPr="00E21AB1" w:rsidP="009169F1" w14:paraId="4B4A86E0" w14:textId="77777777">
            <w:pPr>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825C56" w:rsidRPr="00E21AB1" w:rsidP="009169F1" w14:paraId="0525249B" w14:textId="77777777">
            <w:pPr>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825C56" w:rsidRPr="00E21AB1" w:rsidP="009169F1" w14:paraId="7CFA10FE"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825C56" w:rsidRPr="00E21AB1" w:rsidP="009169F1" w14:paraId="206AD371"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825C56" w:rsidRPr="00E21AB1" w:rsidP="009169F1" w14:paraId="3D3E5092" w14:textId="77777777">
            <w:pPr>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825C56" w:rsidRPr="00E21AB1" w:rsidP="009169F1" w14:paraId="1AA5C590" w14:textId="77777777">
            <w:pPr>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825C56" w:rsidRPr="00E21AB1" w:rsidP="009169F1" w14:paraId="6498D497" w14:textId="77777777">
            <w:pPr>
              <w:spacing w:after="0" w:line="240" w:lineRule="auto"/>
              <w:rPr>
                <w:rFonts w:ascii="Times New Roman" w:hAnsi="Times New Roman" w:cs="Times New Roman"/>
                <w:sz w:val="20"/>
                <w:szCs w:val="20"/>
              </w:rPr>
            </w:pPr>
          </w:p>
        </w:tc>
      </w:tr>
      <w:tr w14:paraId="377E2DBE"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36B1EDA1"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18.04(a)</w:t>
            </w:r>
          </w:p>
        </w:tc>
        <w:tc>
          <w:tcPr>
            <w:tcW w:w="1206"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62F5FFB2"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40</w:t>
            </w:r>
          </w:p>
        </w:tc>
        <w:tc>
          <w:tcPr>
            <w:tcW w:w="2214"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125F3113"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Special account owners and controllers</w:t>
            </w:r>
          </w:p>
        </w:tc>
        <w:tc>
          <w:tcPr>
            <w:tcW w:w="1874"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0BF3BD22"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300</w:t>
            </w:r>
          </w:p>
          <w:p w:rsidR="00825C56" w:rsidRPr="00A605F6" w:rsidP="009169F1" w14:paraId="68EA5E79" w14:textId="143F27FB">
            <w:pPr>
              <w:spacing w:after="0" w:line="240" w:lineRule="auto"/>
              <w:rPr>
                <w:rFonts w:ascii="Times New Roman" w:hAnsi="Times New Roman" w:cs="Times New Roman"/>
                <w:sz w:val="20"/>
                <w:szCs w:val="20"/>
              </w:rPr>
            </w:pPr>
            <w:r w:rsidRPr="009169F1">
              <w:rPr>
                <w:rFonts w:ascii="Times New Roman" w:hAnsi="Times New Roman" w:cs="Times New Roman"/>
                <w:sz w:val="20"/>
                <w:szCs w:val="20"/>
              </w:rPr>
              <w:t>510</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6D14A598"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C9645A" w:rsidRPr="00C9645A" w:rsidP="00C9645A" w14:paraId="0237271F" w14:textId="0B2B455F">
            <w:pPr>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67CA176F"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3,000</w:t>
            </w:r>
          </w:p>
          <w:p w:rsidR="00D27252" w:rsidRPr="00D27252" w:rsidP="009169F1" w14:paraId="18E4779A" w14:textId="0361ADBC">
            <w:pPr>
              <w:spacing w:after="0" w:line="240" w:lineRule="auto"/>
              <w:rPr>
                <w:rFonts w:ascii="Times New Roman" w:hAnsi="Times New Roman" w:cs="Times New Roman"/>
                <w:sz w:val="20"/>
                <w:szCs w:val="20"/>
              </w:rPr>
            </w:pPr>
            <w:r>
              <w:rPr>
                <w:rFonts w:ascii="Times New Roman" w:hAnsi="Times New Roman" w:cs="Times New Roman"/>
                <w:sz w:val="20"/>
                <w:szCs w:val="20"/>
              </w:rPr>
              <w:t>5,100</w:t>
            </w:r>
          </w:p>
        </w:tc>
        <w:tc>
          <w:tcPr>
            <w:tcW w:w="1438"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72B15B40"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15,000</w:t>
            </w:r>
          </w:p>
          <w:p w:rsidR="00EA08D8" w:rsidRPr="00EA08D8" w:rsidP="009169F1" w14:paraId="0FCD104A" w14:textId="42731E41">
            <w:pPr>
              <w:spacing w:after="0" w:line="240" w:lineRule="auto"/>
              <w:rPr>
                <w:rFonts w:ascii="Times New Roman" w:hAnsi="Times New Roman" w:cs="Times New Roman"/>
                <w:sz w:val="20"/>
                <w:szCs w:val="20"/>
              </w:rPr>
            </w:pPr>
            <w:r>
              <w:rPr>
                <w:rFonts w:ascii="Times New Roman" w:hAnsi="Times New Roman" w:cs="Times New Roman"/>
                <w:sz w:val="20"/>
                <w:szCs w:val="20"/>
              </w:rPr>
              <w:t>25,500</w:t>
            </w:r>
          </w:p>
        </w:tc>
        <w:tc>
          <w:tcPr>
            <w:tcW w:w="1849" w:type="dxa"/>
            <w:tcBorders>
              <w:top w:val="nil"/>
              <w:bottom w:val="single" w:sz="4" w:space="0" w:color="auto"/>
            </w:tcBorders>
            <w:shd w:val="clear" w:color="auto" w:fill="FFFF00"/>
            <w:tcMar>
              <w:top w:w="0" w:type="dxa"/>
              <w:left w:w="0" w:type="dxa"/>
              <w:bottom w:w="0" w:type="dxa"/>
              <w:right w:w="0" w:type="dxa"/>
            </w:tcMar>
            <w:hideMark/>
          </w:tcPr>
          <w:p w:rsidR="00855E04" w:rsidP="00825C56" w14:paraId="570B697F"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$1,665,000</w:t>
            </w:r>
          </w:p>
          <w:p w:rsidR="0037792C" w:rsidRPr="00330490" w:rsidP="009169F1" w14:paraId="48F699FC" w14:textId="3BFA0348">
            <w:pPr>
              <w:spacing w:after="0" w:line="240" w:lineRule="auto"/>
              <w:rPr>
                <w:rFonts w:ascii="Times New Roman" w:hAnsi="Times New Roman" w:cs="Times New Roman"/>
                <w:sz w:val="20"/>
                <w:szCs w:val="20"/>
              </w:rPr>
            </w:pPr>
            <w:r w:rsidRPr="009169F1">
              <w:rPr>
                <w:rFonts w:ascii="Times New Roman" w:hAnsi="Times New Roman" w:cs="Times New Roman"/>
                <w:sz w:val="20"/>
                <w:szCs w:val="20"/>
              </w:rPr>
              <w:t>$3,162,000</w:t>
            </w:r>
          </w:p>
        </w:tc>
      </w:tr>
      <w:tr w14:paraId="226041F6"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bottom w:val="nil"/>
            </w:tcBorders>
            <w:shd w:val="clear" w:color="auto" w:fill="FFFF00"/>
            <w:tcMar>
              <w:top w:w="0" w:type="dxa"/>
              <w:left w:w="115" w:type="dxa"/>
              <w:bottom w:w="0" w:type="dxa"/>
              <w:right w:w="115" w:type="dxa"/>
            </w:tcMar>
          </w:tcPr>
          <w:p w:rsidR="009B7012" w:rsidRPr="009169F1" w:rsidP="009169F1" w14:paraId="5124EC45" w14:textId="0402037B">
            <w:pPr>
              <w:keepNext/>
              <w:keepLines/>
              <w:spacing w:after="0" w:line="240" w:lineRule="auto"/>
              <w:rPr>
                <w:rFonts w:ascii="Times New Roman" w:hAnsi="Times New Roman" w:cs="Times New Roman"/>
                <w:b/>
                <w:bCs/>
                <w:sz w:val="20"/>
                <w:szCs w:val="20"/>
              </w:rPr>
            </w:pPr>
            <w:r>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9B7012" w:rsidRPr="00E21AB1" w:rsidP="009169F1" w14:paraId="1088EEB5" w14:textId="77777777">
            <w:pPr>
              <w:keepNext/>
              <w:keepLines/>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9B7012" w:rsidRPr="00E21AB1" w:rsidP="009169F1" w14:paraId="703A4ED9" w14:textId="77777777">
            <w:pPr>
              <w:keepNext/>
              <w:keepLines/>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9B7012" w:rsidRPr="00E21AB1" w:rsidP="009169F1" w14:paraId="07EFC469" w14:textId="77777777">
            <w:pPr>
              <w:keepNext/>
              <w:keepLines/>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9B7012" w:rsidRPr="00E21AB1" w:rsidP="009169F1" w14:paraId="144EA113" w14:textId="77777777">
            <w:pPr>
              <w:keepNext/>
              <w:keepLines/>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9B7012" w:rsidRPr="00E21AB1" w:rsidP="009169F1" w14:paraId="278620D5" w14:textId="77777777">
            <w:pPr>
              <w:keepNext/>
              <w:keepLines/>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9B7012" w:rsidRPr="00E21AB1" w:rsidP="009169F1" w14:paraId="5FA6576E" w14:textId="77777777">
            <w:pPr>
              <w:keepNext/>
              <w:keepLines/>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9B7012" w:rsidRPr="00E21AB1" w:rsidP="009169F1" w14:paraId="0B74FED1" w14:textId="77777777">
            <w:pPr>
              <w:keepNext/>
              <w:keepLines/>
              <w:spacing w:after="0" w:line="240" w:lineRule="auto"/>
              <w:rPr>
                <w:rFonts w:ascii="Times New Roman" w:hAnsi="Times New Roman" w:cs="Times New Roman"/>
                <w:sz w:val="20"/>
                <w:szCs w:val="20"/>
              </w:rPr>
            </w:pPr>
          </w:p>
        </w:tc>
      </w:tr>
      <w:tr w14:paraId="0001F1B3"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top w:val="nil"/>
            </w:tcBorders>
            <w:shd w:val="clear" w:color="auto" w:fill="FFFF00"/>
            <w:tcMar>
              <w:top w:w="0" w:type="dxa"/>
              <w:left w:w="115" w:type="dxa"/>
              <w:bottom w:w="0" w:type="dxa"/>
              <w:right w:w="115" w:type="dxa"/>
            </w:tcMar>
            <w:hideMark/>
          </w:tcPr>
          <w:p w:rsidR="00855E04" w:rsidRPr="00E21AB1" w:rsidP="009169F1" w14:paraId="7EAD99A7" w14:textId="77777777">
            <w:pPr>
              <w:keepNext/>
              <w:keepLines/>
              <w:spacing w:after="0" w:line="240" w:lineRule="auto"/>
              <w:rPr>
                <w:rFonts w:ascii="Times New Roman" w:hAnsi="Times New Roman" w:cs="Times New Roman"/>
                <w:sz w:val="20"/>
                <w:szCs w:val="20"/>
              </w:rPr>
            </w:pPr>
            <w:r w:rsidRPr="00E21AB1">
              <w:rPr>
                <w:rFonts w:ascii="Times New Roman" w:hAnsi="Times New Roman" w:cs="Times New Roman"/>
                <w:sz w:val="20"/>
                <w:szCs w:val="20"/>
              </w:rPr>
              <w:t>18.04(b)</w:t>
            </w:r>
          </w:p>
        </w:tc>
        <w:tc>
          <w:tcPr>
            <w:tcW w:w="1206" w:type="dxa"/>
            <w:tcBorders>
              <w:top w:val="nil"/>
            </w:tcBorders>
            <w:shd w:val="clear" w:color="auto" w:fill="FFFF00"/>
            <w:tcMar>
              <w:top w:w="0" w:type="dxa"/>
              <w:left w:w="115" w:type="dxa"/>
              <w:bottom w:w="0" w:type="dxa"/>
              <w:right w:w="115" w:type="dxa"/>
            </w:tcMar>
            <w:hideMark/>
          </w:tcPr>
          <w:p w:rsidR="00855E04" w:rsidRPr="00E21AB1" w:rsidP="009169F1" w14:paraId="64EC8E62" w14:textId="77777777">
            <w:pPr>
              <w:keepNext/>
              <w:keepLines/>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40</w:t>
            </w:r>
          </w:p>
        </w:tc>
        <w:tc>
          <w:tcPr>
            <w:tcW w:w="2214" w:type="dxa"/>
            <w:tcBorders>
              <w:top w:val="nil"/>
            </w:tcBorders>
            <w:shd w:val="clear" w:color="auto" w:fill="FFFF00"/>
            <w:tcMar>
              <w:top w:w="0" w:type="dxa"/>
              <w:left w:w="115" w:type="dxa"/>
              <w:bottom w:w="0" w:type="dxa"/>
              <w:right w:w="115" w:type="dxa"/>
            </w:tcMar>
            <w:hideMark/>
          </w:tcPr>
          <w:p w:rsidR="00855E04" w:rsidRPr="00E21AB1" w:rsidP="009169F1" w14:paraId="621F2309" w14:textId="77777777">
            <w:pPr>
              <w:keepNext/>
              <w:keepLines/>
              <w:spacing w:after="0" w:line="240" w:lineRule="auto"/>
              <w:rPr>
                <w:rFonts w:ascii="Times New Roman" w:hAnsi="Times New Roman" w:cs="Times New Roman"/>
                <w:sz w:val="20"/>
                <w:szCs w:val="20"/>
              </w:rPr>
            </w:pPr>
            <w:r w:rsidRPr="00E21AB1">
              <w:rPr>
                <w:rFonts w:ascii="Times New Roman" w:hAnsi="Times New Roman" w:cs="Times New Roman"/>
                <w:sz w:val="20"/>
                <w:szCs w:val="20"/>
              </w:rPr>
              <w:t>Volume threshold account controllers, persons who own volume threshold accounts, reportable sub-account controllers, and persons who own reportable sub-accounts.</w:t>
            </w:r>
          </w:p>
        </w:tc>
        <w:tc>
          <w:tcPr>
            <w:tcW w:w="1874" w:type="dxa"/>
            <w:tcBorders>
              <w:top w:val="nil"/>
            </w:tcBorders>
            <w:shd w:val="clear" w:color="auto" w:fill="FFFF00"/>
            <w:tcMar>
              <w:top w:w="0" w:type="dxa"/>
              <w:left w:w="115" w:type="dxa"/>
              <w:bottom w:w="0" w:type="dxa"/>
              <w:right w:w="115" w:type="dxa"/>
            </w:tcMar>
            <w:hideMark/>
          </w:tcPr>
          <w:p w:rsidR="00855E04" w:rsidP="008619ED" w14:paraId="64BA0B9D"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114</w:t>
            </w:r>
          </w:p>
          <w:p w:rsidR="008619ED" w:rsidRPr="00927507" w:rsidP="009169F1" w14:paraId="5F8FFD83" w14:textId="63CA98E7">
            <w:pPr>
              <w:keepNext/>
              <w:keepLines/>
              <w:spacing w:after="0" w:line="240" w:lineRule="auto"/>
              <w:rPr>
                <w:rFonts w:ascii="Times New Roman" w:hAnsi="Times New Roman" w:cs="Times New Roman"/>
                <w:sz w:val="20"/>
                <w:szCs w:val="20"/>
              </w:rPr>
            </w:pPr>
            <w:r w:rsidRPr="009169F1">
              <w:rPr>
                <w:rFonts w:ascii="Times New Roman" w:hAnsi="Times New Roman" w:cs="Times New Roman"/>
                <w:sz w:val="20"/>
                <w:szCs w:val="20"/>
              </w:rPr>
              <w:t>214</w:t>
            </w:r>
          </w:p>
        </w:tc>
        <w:tc>
          <w:tcPr>
            <w:tcW w:w="1427" w:type="dxa"/>
            <w:tcBorders>
              <w:top w:val="nil"/>
            </w:tcBorders>
            <w:shd w:val="clear" w:color="auto" w:fill="FFFF00"/>
            <w:tcMar>
              <w:top w:w="0" w:type="dxa"/>
              <w:left w:w="115" w:type="dxa"/>
              <w:bottom w:w="0" w:type="dxa"/>
              <w:right w:w="115" w:type="dxa"/>
            </w:tcMar>
            <w:hideMark/>
          </w:tcPr>
          <w:p w:rsidR="00855E04" w:rsidP="008619ED" w14:paraId="0A5D8778"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927507" w:rsidRPr="00927507" w:rsidP="009169F1" w14:paraId="31FD8459" w14:textId="56E78E25">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tcBorders>
            <w:shd w:val="clear" w:color="auto" w:fill="FFFF00"/>
            <w:tcMar>
              <w:top w:w="0" w:type="dxa"/>
              <w:left w:w="115" w:type="dxa"/>
              <w:bottom w:w="0" w:type="dxa"/>
              <w:right w:w="115" w:type="dxa"/>
            </w:tcMar>
            <w:hideMark/>
          </w:tcPr>
          <w:p w:rsidR="00855E04" w:rsidP="008619ED" w14:paraId="4AB569E8" w14:textId="04692CAD">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18,920</w:t>
            </w:r>
          </w:p>
          <w:p w:rsidR="00927507" w:rsidRPr="00927507" w:rsidP="009169F1" w14:paraId="65CB2A8A" w14:textId="5418D7A6">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20,920</w:t>
            </w:r>
          </w:p>
        </w:tc>
        <w:tc>
          <w:tcPr>
            <w:tcW w:w="1438" w:type="dxa"/>
            <w:tcBorders>
              <w:top w:val="nil"/>
            </w:tcBorders>
            <w:shd w:val="clear" w:color="auto" w:fill="FFFF00"/>
            <w:tcMar>
              <w:top w:w="0" w:type="dxa"/>
              <w:left w:w="115" w:type="dxa"/>
              <w:bottom w:w="0" w:type="dxa"/>
              <w:right w:w="115" w:type="dxa"/>
            </w:tcMar>
            <w:hideMark/>
          </w:tcPr>
          <w:p w:rsidR="00855E04" w:rsidP="008619ED" w14:paraId="5785B24D"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94,600</w:t>
            </w:r>
          </w:p>
          <w:p w:rsidR="00944529" w:rsidRPr="00944529" w:rsidP="009169F1" w14:paraId="3E2BD2AA" w14:textId="6AE78DF5">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104,860</w:t>
            </w:r>
          </w:p>
        </w:tc>
        <w:tc>
          <w:tcPr>
            <w:tcW w:w="1849" w:type="dxa"/>
            <w:tcBorders>
              <w:top w:val="nil"/>
            </w:tcBorders>
            <w:shd w:val="clear" w:color="auto" w:fill="FFFF00"/>
            <w:tcMar>
              <w:top w:w="0" w:type="dxa"/>
              <w:left w:w="0" w:type="dxa"/>
              <w:bottom w:w="0" w:type="dxa"/>
              <w:right w:w="0" w:type="dxa"/>
            </w:tcMar>
            <w:hideMark/>
          </w:tcPr>
          <w:p w:rsidR="00855E04" w:rsidP="008619ED" w14:paraId="175919DE"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$10,500,600</w:t>
            </w:r>
          </w:p>
          <w:p w:rsidR="00B05358" w:rsidRPr="00B05358" w:rsidP="009169F1" w14:paraId="323D9821" w14:textId="2B29D22F">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$13,</w:t>
            </w:r>
            <w:r w:rsidR="00C76ED9">
              <w:rPr>
                <w:rFonts w:ascii="Times New Roman" w:hAnsi="Times New Roman" w:cs="Times New Roman"/>
                <w:sz w:val="20"/>
                <w:szCs w:val="20"/>
              </w:rPr>
              <w:t>002,640</w:t>
            </w:r>
          </w:p>
        </w:tc>
      </w:tr>
      <w:tr w14:paraId="2DFFF4EC"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shd w:val="clear" w:color="auto" w:fill="FFFFFF"/>
            <w:tcMar>
              <w:top w:w="0" w:type="dxa"/>
              <w:left w:w="115" w:type="dxa"/>
              <w:bottom w:w="0" w:type="dxa"/>
              <w:right w:w="115" w:type="dxa"/>
            </w:tcMar>
            <w:hideMark/>
          </w:tcPr>
          <w:p w:rsidR="00855E04" w:rsidRPr="00E21AB1" w:rsidP="00DD131B" w14:paraId="65A20CFB" w14:textId="77777777">
            <w:pPr>
              <w:rPr>
                <w:rFonts w:ascii="Times New Roman" w:hAnsi="Times New Roman" w:cs="Times New Roman"/>
                <w:sz w:val="20"/>
                <w:szCs w:val="20"/>
              </w:rPr>
            </w:pPr>
            <w:r w:rsidRPr="00E21AB1">
              <w:rPr>
                <w:rFonts w:ascii="Times New Roman" w:hAnsi="Times New Roman" w:cs="Times New Roman"/>
                <w:sz w:val="20"/>
                <w:szCs w:val="20"/>
              </w:rPr>
              <w:t>20.5(a)</w:t>
            </w:r>
          </w:p>
        </w:tc>
        <w:tc>
          <w:tcPr>
            <w:tcW w:w="1206" w:type="dxa"/>
            <w:shd w:val="clear" w:color="auto" w:fill="FFFFFF"/>
            <w:tcMar>
              <w:top w:w="0" w:type="dxa"/>
              <w:left w:w="115" w:type="dxa"/>
              <w:bottom w:w="0" w:type="dxa"/>
              <w:right w:w="115" w:type="dxa"/>
            </w:tcMar>
            <w:hideMark/>
          </w:tcPr>
          <w:p w:rsidR="00855E04" w:rsidRPr="00E21AB1" w:rsidP="00DD131B" w14:paraId="14D8F8CA" w14:textId="77777777">
            <w:pPr>
              <w:rPr>
                <w:rFonts w:ascii="Times New Roman" w:hAnsi="Times New Roman" w:cs="Times New Roman"/>
                <w:sz w:val="20"/>
                <w:szCs w:val="20"/>
              </w:rPr>
            </w:pPr>
            <w:r w:rsidRPr="00E21AB1">
              <w:rPr>
                <w:rFonts w:ascii="Times New Roman" w:hAnsi="Times New Roman" w:cs="Times New Roman"/>
                <w:sz w:val="20"/>
                <w:szCs w:val="20"/>
              </w:rPr>
              <w:t>102S Filing</w:t>
            </w:r>
          </w:p>
        </w:tc>
        <w:tc>
          <w:tcPr>
            <w:tcW w:w="2214" w:type="dxa"/>
            <w:shd w:val="clear" w:color="auto" w:fill="FFFFFF"/>
            <w:tcMar>
              <w:top w:w="0" w:type="dxa"/>
              <w:left w:w="115" w:type="dxa"/>
              <w:bottom w:w="0" w:type="dxa"/>
              <w:right w:w="115" w:type="dxa"/>
            </w:tcMar>
            <w:hideMark/>
          </w:tcPr>
          <w:p w:rsidR="00855E04" w:rsidRPr="00E21AB1" w:rsidP="00DD131B" w14:paraId="62CD2B88" w14:textId="77777777">
            <w:pPr>
              <w:rPr>
                <w:rFonts w:ascii="Times New Roman" w:hAnsi="Times New Roman" w:cs="Times New Roman"/>
                <w:sz w:val="20"/>
                <w:szCs w:val="20"/>
              </w:rPr>
            </w:pPr>
            <w:r w:rsidRPr="00E21AB1">
              <w:rPr>
                <w:rFonts w:ascii="Times New Roman" w:hAnsi="Times New Roman" w:cs="Times New Roman"/>
                <w:sz w:val="20"/>
                <w:szCs w:val="20"/>
              </w:rPr>
              <w:t>Clearing members and swap dealers</w:t>
            </w:r>
          </w:p>
        </w:tc>
        <w:tc>
          <w:tcPr>
            <w:tcW w:w="1874" w:type="dxa"/>
            <w:shd w:val="clear" w:color="auto" w:fill="FFFFFF"/>
            <w:tcMar>
              <w:top w:w="0" w:type="dxa"/>
              <w:left w:w="115" w:type="dxa"/>
              <w:bottom w:w="0" w:type="dxa"/>
              <w:right w:w="115" w:type="dxa"/>
            </w:tcMar>
            <w:hideMark/>
          </w:tcPr>
          <w:p w:rsidR="00855E04" w:rsidRPr="00E21AB1" w:rsidP="00DD131B" w14:paraId="740BEB8D" w14:textId="77777777">
            <w:pPr>
              <w:rPr>
                <w:rFonts w:ascii="Times New Roman" w:hAnsi="Times New Roman" w:cs="Times New Roman"/>
                <w:sz w:val="20"/>
                <w:szCs w:val="20"/>
              </w:rPr>
            </w:pPr>
            <w:r w:rsidRPr="00E21AB1">
              <w:rPr>
                <w:rFonts w:ascii="Times New Roman" w:hAnsi="Times New Roman" w:cs="Times New Roman"/>
                <w:sz w:val="20"/>
                <w:szCs w:val="20"/>
              </w:rPr>
              <w:t>77</w:t>
            </w:r>
          </w:p>
        </w:tc>
        <w:tc>
          <w:tcPr>
            <w:tcW w:w="1427" w:type="dxa"/>
            <w:shd w:val="clear" w:color="auto" w:fill="FFFFFF"/>
            <w:tcMar>
              <w:top w:w="0" w:type="dxa"/>
              <w:left w:w="115" w:type="dxa"/>
              <w:bottom w:w="0" w:type="dxa"/>
              <w:right w:w="115" w:type="dxa"/>
            </w:tcMar>
            <w:hideMark/>
          </w:tcPr>
          <w:p w:rsidR="00855E04" w:rsidRPr="00E21AB1" w:rsidP="00DD131B" w14:paraId="085876B0"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shd w:val="clear" w:color="auto" w:fill="FFFFFF"/>
            <w:tcMar>
              <w:top w:w="0" w:type="dxa"/>
              <w:left w:w="115" w:type="dxa"/>
              <w:bottom w:w="0" w:type="dxa"/>
              <w:right w:w="115" w:type="dxa"/>
            </w:tcMar>
            <w:hideMark/>
          </w:tcPr>
          <w:p w:rsidR="00855E04" w:rsidRPr="00E21AB1" w:rsidP="00DD131B" w14:paraId="44CDF828" w14:textId="77777777">
            <w:pPr>
              <w:rPr>
                <w:rFonts w:ascii="Times New Roman" w:hAnsi="Times New Roman" w:cs="Times New Roman"/>
                <w:sz w:val="20"/>
                <w:szCs w:val="20"/>
              </w:rPr>
            </w:pPr>
            <w:r w:rsidRPr="00E21AB1">
              <w:rPr>
                <w:rFonts w:ascii="Times New Roman" w:hAnsi="Times New Roman" w:cs="Times New Roman"/>
                <w:sz w:val="20"/>
                <w:szCs w:val="20"/>
              </w:rPr>
              <w:t>2,600</w:t>
            </w:r>
          </w:p>
        </w:tc>
        <w:tc>
          <w:tcPr>
            <w:tcW w:w="1438" w:type="dxa"/>
            <w:shd w:val="clear" w:color="auto" w:fill="FFFFFF"/>
            <w:tcMar>
              <w:top w:w="0" w:type="dxa"/>
              <w:left w:w="115" w:type="dxa"/>
              <w:bottom w:w="0" w:type="dxa"/>
              <w:right w:w="115" w:type="dxa"/>
            </w:tcMar>
            <w:hideMark/>
          </w:tcPr>
          <w:p w:rsidR="00855E04" w:rsidRPr="00E21AB1" w:rsidP="00DD131B" w14:paraId="2CB5F58B" w14:textId="51E3A3E4">
            <w:pPr>
              <w:rPr>
                <w:rFonts w:ascii="Times New Roman" w:hAnsi="Times New Roman" w:cs="Times New Roman"/>
                <w:sz w:val="20"/>
                <w:szCs w:val="20"/>
              </w:rPr>
            </w:pPr>
            <w:r w:rsidRPr="00E21AB1">
              <w:rPr>
                <w:rFonts w:ascii="Times New Roman" w:hAnsi="Times New Roman" w:cs="Times New Roman"/>
                <w:sz w:val="20"/>
                <w:szCs w:val="20"/>
              </w:rPr>
              <w:t>8,162</w:t>
            </w:r>
          </w:p>
        </w:tc>
        <w:tc>
          <w:tcPr>
            <w:tcW w:w="1849" w:type="dxa"/>
            <w:tcMar>
              <w:top w:w="0" w:type="dxa"/>
              <w:left w:w="0" w:type="dxa"/>
              <w:bottom w:w="0" w:type="dxa"/>
              <w:right w:w="0" w:type="dxa"/>
            </w:tcMar>
            <w:hideMark/>
          </w:tcPr>
          <w:p w:rsidR="00855E04" w:rsidRPr="00E21AB1" w:rsidP="00DD131B" w14:paraId="5B999542" w14:textId="77777777">
            <w:pPr>
              <w:rPr>
                <w:rFonts w:ascii="Times New Roman" w:hAnsi="Times New Roman" w:cs="Times New Roman"/>
                <w:sz w:val="20"/>
                <w:szCs w:val="20"/>
              </w:rPr>
            </w:pPr>
            <w:r w:rsidRPr="00E21AB1">
              <w:rPr>
                <w:rFonts w:ascii="Times New Roman" w:hAnsi="Times New Roman" w:cs="Times New Roman"/>
                <w:sz w:val="20"/>
                <w:szCs w:val="20"/>
              </w:rPr>
              <w:t>$905,982</w:t>
            </w:r>
          </w:p>
        </w:tc>
      </w:tr>
      <w:tr w14:paraId="1B5DD920"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shd w:val="clear" w:color="auto" w:fill="FFFFFF"/>
            <w:tcMar>
              <w:top w:w="0" w:type="dxa"/>
              <w:left w:w="115" w:type="dxa"/>
              <w:bottom w:w="0" w:type="dxa"/>
              <w:right w:w="115" w:type="dxa"/>
            </w:tcMar>
            <w:hideMark/>
          </w:tcPr>
          <w:p w:rsidR="00855E04" w:rsidRPr="00E21AB1" w:rsidP="00DD131B" w14:paraId="4F63C372" w14:textId="77777777">
            <w:pPr>
              <w:rPr>
                <w:rFonts w:ascii="Times New Roman" w:hAnsi="Times New Roman" w:cs="Times New Roman"/>
                <w:sz w:val="20"/>
                <w:szCs w:val="20"/>
              </w:rPr>
            </w:pPr>
            <w:r w:rsidRPr="00E21AB1">
              <w:rPr>
                <w:rFonts w:ascii="Times New Roman" w:hAnsi="Times New Roman" w:cs="Times New Roman"/>
                <w:sz w:val="20"/>
                <w:szCs w:val="20"/>
              </w:rPr>
              <w:t>20.5(b)</w:t>
            </w:r>
          </w:p>
        </w:tc>
        <w:tc>
          <w:tcPr>
            <w:tcW w:w="1206" w:type="dxa"/>
            <w:shd w:val="clear" w:color="auto" w:fill="FFFFFF"/>
            <w:tcMar>
              <w:top w:w="0" w:type="dxa"/>
              <w:left w:w="115" w:type="dxa"/>
              <w:bottom w:w="0" w:type="dxa"/>
              <w:right w:w="115" w:type="dxa"/>
            </w:tcMar>
            <w:hideMark/>
          </w:tcPr>
          <w:p w:rsidR="00855E04" w:rsidRPr="00E21AB1" w:rsidP="00DD131B" w14:paraId="414DD1B8" w14:textId="77777777">
            <w:pPr>
              <w:rPr>
                <w:rFonts w:ascii="Times New Roman" w:hAnsi="Times New Roman" w:cs="Times New Roman"/>
                <w:sz w:val="20"/>
                <w:szCs w:val="20"/>
              </w:rPr>
            </w:pPr>
            <w:r w:rsidRPr="00E21AB1">
              <w:rPr>
                <w:rFonts w:ascii="Times New Roman" w:hAnsi="Times New Roman" w:cs="Times New Roman"/>
                <w:sz w:val="20"/>
                <w:szCs w:val="20"/>
              </w:rPr>
              <w:t>40S Filing</w:t>
            </w:r>
          </w:p>
        </w:tc>
        <w:tc>
          <w:tcPr>
            <w:tcW w:w="2214" w:type="dxa"/>
            <w:shd w:val="clear" w:color="auto" w:fill="FFFFFF"/>
            <w:tcMar>
              <w:top w:w="0" w:type="dxa"/>
              <w:left w:w="115" w:type="dxa"/>
              <w:bottom w:w="0" w:type="dxa"/>
              <w:right w:w="115" w:type="dxa"/>
            </w:tcMar>
            <w:hideMark/>
          </w:tcPr>
          <w:p w:rsidR="00855E04" w:rsidRPr="00E21AB1" w:rsidP="00DD131B" w14:paraId="6173497F" w14:textId="77777777">
            <w:pPr>
              <w:rPr>
                <w:rFonts w:ascii="Times New Roman" w:hAnsi="Times New Roman" w:cs="Times New Roman"/>
                <w:sz w:val="20"/>
                <w:szCs w:val="20"/>
              </w:rPr>
            </w:pPr>
            <w:r w:rsidRPr="00E21AB1">
              <w:rPr>
                <w:rFonts w:ascii="Times New Roman" w:hAnsi="Times New Roman" w:cs="Times New Roman"/>
                <w:sz w:val="20"/>
                <w:szCs w:val="20"/>
              </w:rPr>
              <w:t>Clearing members and swap dealers</w:t>
            </w:r>
          </w:p>
        </w:tc>
        <w:tc>
          <w:tcPr>
            <w:tcW w:w="1874" w:type="dxa"/>
            <w:shd w:val="clear" w:color="auto" w:fill="FFFFFF"/>
            <w:tcMar>
              <w:top w:w="0" w:type="dxa"/>
              <w:left w:w="115" w:type="dxa"/>
              <w:bottom w:w="0" w:type="dxa"/>
              <w:right w:w="115" w:type="dxa"/>
            </w:tcMar>
            <w:hideMark/>
          </w:tcPr>
          <w:p w:rsidR="00855E04" w:rsidRPr="00E21AB1" w:rsidP="00DD131B" w14:paraId="1ED77C2F" w14:textId="77777777">
            <w:pPr>
              <w:rPr>
                <w:rFonts w:ascii="Times New Roman" w:hAnsi="Times New Roman" w:cs="Times New Roman"/>
                <w:sz w:val="20"/>
                <w:szCs w:val="20"/>
              </w:rPr>
            </w:pPr>
            <w:r w:rsidRPr="00E21AB1">
              <w:rPr>
                <w:rFonts w:ascii="Times New Roman" w:hAnsi="Times New Roman" w:cs="Times New Roman"/>
                <w:sz w:val="20"/>
                <w:szCs w:val="20"/>
              </w:rPr>
              <w:t>77</w:t>
            </w:r>
          </w:p>
        </w:tc>
        <w:tc>
          <w:tcPr>
            <w:tcW w:w="1427" w:type="dxa"/>
            <w:shd w:val="clear" w:color="auto" w:fill="FFFFFF"/>
            <w:tcMar>
              <w:top w:w="0" w:type="dxa"/>
              <w:left w:w="115" w:type="dxa"/>
              <w:bottom w:w="0" w:type="dxa"/>
              <w:right w:w="115" w:type="dxa"/>
            </w:tcMar>
            <w:hideMark/>
          </w:tcPr>
          <w:p w:rsidR="00855E04" w:rsidRPr="00E21AB1" w:rsidP="00DD131B" w14:paraId="4BC3D1E4"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shd w:val="clear" w:color="auto" w:fill="FFFFFF"/>
            <w:tcMar>
              <w:top w:w="0" w:type="dxa"/>
              <w:left w:w="115" w:type="dxa"/>
              <w:bottom w:w="0" w:type="dxa"/>
              <w:right w:w="115" w:type="dxa"/>
            </w:tcMar>
            <w:hideMark/>
          </w:tcPr>
          <w:p w:rsidR="00855E04" w:rsidRPr="00E21AB1" w:rsidP="00DD131B" w14:paraId="32580839" w14:textId="77777777">
            <w:pPr>
              <w:rPr>
                <w:rFonts w:ascii="Times New Roman" w:hAnsi="Times New Roman" w:cs="Times New Roman"/>
                <w:sz w:val="20"/>
                <w:szCs w:val="20"/>
              </w:rPr>
            </w:pPr>
            <w:r w:rsidRPr="00E21AB1">
              <w:rPr>
                <w:rFonts w:ascii="Times New Roman" w:hAnsi="Times New Roman" w:cs="Times New Roman"/>
                <w:sz w:val="20"/>
                <w:szCs w:val="20"/>
              </w:rPr>
              <w:t>2,600</w:t>
            </w:r>
          </w:p>
        </w:tc>
        <w:tc>
          <w:tcPr>
            <w:tcW w:w="1438" w:type="dxa"/>
            <w:shd w:val="clear" w:color="auto" w:fill="FFFFFF"/>
            <w:tcMar>
              <w:top w:w="0" w:type="dxa"/>
              <w:left w:w="115" w:type="dxa"/>
              <w:bottom w:w="0" w:type="dxa"/>
              <w:right w:w="115" w:type="dxa"/>
            </w:tcMar>
            <w:hideMark/>
          </w:tcPr>
          <w:p w:rsidR="00855E04" w:rsidRPr="00E21AB1" w:rsidP="00DD131B" w14:paraId="764037DD" w14:textId="251340C4">
            <w:pPr>
              <w:rPr>
                <w:rFonts w:ascii="Times New Roman" w:hAnsi="Times New Roman" w:cs="Times New Roman"/>
                <w:sz w:val="20"/>
                <w:szCs w:val="20"/>
              </w:rPr>
            </w:pPr>
            <w:r w:rsidRPr="00E21AB1">
              <w:rPr>
                <w:rFonts w:ascii="Times New Roman" w:hAnsi="Times New Roman" w:cs="Times New Roman"/>
                <w:sz w:val="20"/>
                <w:szCs w:val="20"/>
              </w:rPr>
              <w:t>13,000</w:t>
            </w:r>
          </w:p>
        </w:tc>
        <w:tc>
          <w:tcPr>
            <w:tcW w:w="1849" w:type="dxa"/>
            <w:tcMar>
              <w:top w:w="0" w:type="dxa"/>
              <w:left w:w="0" w:type="dxa"/>
              <w:bottom w:w="0" w:type="dxa"/>
              <w:right w:w="0" w:type="dxa"/>
            </w:tcMar>
            <w:hideMark/>
          </w:tcPr>
          <w:p w:rsidR="00855E04" w:rsidRPr="00E21AB1" w:rsidP="00DD131B" w14:paraId="18AC0C3A" w14:textId="77777777">
            <w:pPr>
              <w:rPr>
                <w:rFonts w:ascii="Times New Roman" w:hAnsi="Times New Roman" w:cs="Times New Roman"/>
                <w:sz w:val="20"/>
                <w:szCs w:val="20"/>
              </w:rPr>
            </w:pPr>
            <w:r w:rsidRPr="00E21AB1">
              <w:rPr>
                <w:rFonts w:ascii="Times New Roman" w:hAnsi="Times New Roman" w:cs="Times New Roman"/>
                <w:sz w:val="20"/>
                <w:szCs w:val="20"/>
              </w:rPr>
              <w:t>$1,443,000</w:t>
            </w:r>
          </w:p>
        </w:tc>
      </w:tr>
      <w:tr w14:paraId="7CEF351F"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shd w:val="clear" w:color="auto" w:fill="D9D9D9"/>
            <w:tcMar>
              <w:top w:w="0" w:type="dxa"/>
              <w:left w:w="0" w:type="dxa"/>
              <w:bottom w:w="0" w:type="dxa"/>
              <w:right w:w="0" w:type="dxa"/>
            </w:tcMar>
            <w:hideMark/>
          </w:tcPr>
          <w:p w:rsidR="00AC0500" w:rsidP="00AC0500" w14:paraId="1DF7ADCD" w14:textId="7777777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Current</w:t>
            </w:r>
          </w:p>
          <w:p w:rsidR="00855E04" w:rsidRPr="00E21AB1" w:rsidP="00DD131B" w14:paraId="7A5F621C" w14:textId="41D34A1E">
            <w:pPr>
              <w:rPr>
                <w:rFonts w:ascii="Times New Roman" w:hAnsi="Times New Roman" w:cs="Times New Roman"/>
                <w:sz w:val="20"/>
                <w:szCs w:val="20"/>
              </w:rPr>
            </w:pPr>
            <w:r w:rsidRPr="00E21AB1">
              <w:rPr>
                <w:rFonts w:ascii="Times New Roman" w:hAnsi="Times New Roman" w:cs="Times New Roman"/>
                <w:b/>
                <w:bCs/>
                <w:sz w:val="20"/>
                <w:szCs w:val="20"/>
              </w:rPr>
              <w:t>Reporting Subtotal</w:t>
            </w:r>
          </w:p>
        </w:tc>
        <w:tc>
          <w:tcPr>
            <w:tcW w:w="1206" w:type="dxa"/>
            <w:shd w:val="clear" w:color="auto" w:fill="D9D9D9"/>
            <w:tcMar>
              <w:top w:w="0" w:type="dxa"/>
              <w:left w:w="0" w:type="dxa"/>
              <w:bottom w:w="0" w:type="dxa"/>
              <w:right w:w="0" w:type="dxa"/>
            </w:tcMar>
            <w:hideMark/>
          </w:tcPr>
          <w:p w:rsidR="00855E04" w:rsidRPr="00E21AB1" w:rsidP="00DD131B" w14:paraId="3843C2EF" w14:textId="77777777">
            <w:pPr>
              <w:rPr>
                <w:rFonts w:ascii="Times New Roman" w:hAnsi="Times New Roman" w:cs="Times New Roman"/>
                <w:sz w:val="20"/>
                <w:szCs w:val="20"/>
              </w:rPr>
            </w:pPr>
          </w:p>
        </w:tc>
        <w:tc>
          <w:tcPr>
            <w:tcW w:w="2214" w:type="dxa"/>
            <w:shd w:val="clear" w:color="auto" w:fill="D9D9D9"/>
            <w:tcMar>
              <w:top w:w="0" w:type="dxa"/>
              <w:left w:w="0" w:type="dxa"/>
              <w:bottom w:w="0" w:type="dxa"/>
              <w:right w:w="0" w:type="dxa"/>
            </w:tcMar>
            <w:hideMark/>
          </w:tcPr>
          <w:p w:rsidR="00855E04" w:rsidRPr="00E21AB1" w:rsidP="00DD131B" w14:paraId="1A9A20EB" w14:textId="77777777">
            <w:pPr>
              <w:rPr>
                <w:rFonts w:ascii="Times New Roman" w:hAnsi="Times New Roman" w:cs="Times New Roman"/>
                <w:sz w:val="20"/>
                <w:szCs w:val="20"/>
              </w:rPr>
            </w:pPr>
          </w:p>
        </w:tc>
        <w:tc>
          <w:tcPr>
            <w:tcW w:w="1874" w:type="dxa"/>
            <w:shd w:val="clear" w:color="auto" w:fill="D9D9D9"/>
            <w:tcMar>
              <w:top w:w="0" w:type="dxa"/>
              <w:left w:w="0" w:type="dxa"/>
              <w:bottom w:w="0" w:type="dxa"/>
              <w:right w:w="0" w:type="dxa"/>
            </w:tcMar>
            <w:hideMark/>
          </w:tcPr>
          <w:p w:rsidR="00855E04" w:rsidRPr="00E21AB1" w:rsidP="00DD131B" w14:paraId="25EDA5E6" w14:textId="77777777">
            <w:pPr>
              <w:rPr>
                <w:rFonts w:ascii="Times New Roman" w:hAnsi="Times New Roman" w:cs="Times New Roman"/>
                <w:sz w:val="20"/>
                <w:szCs w:val="20"/>
              </w:rPr>
            </w:pPr>
          </w:p>
        </w:tc>
        <w:tc>
          <w:tcPr>
            <w:tcW w:w="1427" w:type="dxa"/>
            <w:shd w:val="clear" w:color="auto" w:fill="D9D9D9"/>
            <w:tcMar>
              <w:top w:w="0" w:type="dxa"/>
              <w:left w:w="0" w:type="dxa"/>
              <w:bottom w:w="0" w:type="dxa"/>
              <w:right w:w="0" w:type="dxa"/>
            </w:tcMar>
            <w:hideMark/>
          </w:tcPr>
          <w:p w:rsidR="00855E04" w:rsidRPr="00E21AB1" w:rsidP="00DD131B" w14:paraId="290229D2" w14:textId="77777777">
            <w:pPr>
              <w:rPr>
                <w:rFonts w:ascii="Times New Roman" w:hAnsi="Times New Roman" w:cs="Times New Roman"/>
                <w:sz w:val="20"/>
                <w:szCs w:val="20"/>
              </w:rPr>
            </w:pPr>
          </w:p>
        </w:tc>
        <w:tc>
          <w:tcPr>
            <w:tcW w:w="1427" w:type="dxa"/>
            <w:shd w:val="clear" w:color="auto" w:fill="D9D9D9"/>
            <w:tcMar>
              <w:top w:w="0" w:type="dxa"/>
              <w:left w:w="0" w:type="dxa"/>
              <w:bottom w:w="0" w:type="dxa"/>
              <w:right w:w="0" w:type="dxa"/>
            </w:tcMar>
            <w:hideMark/>
          </w:tcPr>
          <w:p w:rsidR="00855E04" w:rsidRPr="00E21AB1" w:rsidP="00DD131B" w14:paraId="530B18C8" w14:textId="77777777">
            <w:pPr>
              <w:rPr>
                <w:rFonts w:ascii="Times New Roman" w:hAnsi="Times New Roman" w:cs="Times New Roman"/>
                <w:sz w:val="20"/>
                <w:szCs w:val="20"/>
              </w:rPr>
            </w:pPr>
          </w:p>
        </w:tc>
        <w:tc>
          <w:tcPr>
            <w:tcW w:w="1438" w:type="dxa"/>
            <w:shd w:val="clear" w:color="auto" w:fill="FFFFFF"/>
            <w:tcMar>
              <w:top w:w="0" w:type="dxa"/>
              <w:left w:w="115" w:type="dxa"/>
              <w:bottom w:w="0" w:type="dxa"/>
              <w:right w:w="115" w:type="dxa"/>
            </w:tcMar>
            <w:hideMark/>
          </w:tcPr>
          <w:p w:rsidR="00855E04" w:rsidRPr="00E21AB1" w:rsidP="00DD131B" w14:paraId="6BC29309" w14:textId="77777777">
            <w:pPr>
              <w:rPr>
                <w:rFonts w:ascii="Times New Roman" w:hAnsi="Times New Roman" w:cs="Times New Roman"/>
                <w:sz w:val="20"/>
                <w:szCs w:val="20"/>
              </w:rPr>
            </w:pPr>
            <w:r w:rsidRPr="00E21AB1">
              <w:rPr>
                <w:rFonts w:ascii="Times New Roman" w:hAnsi="Times New Roman" w:cs="Times New Roman"/>
                <w:b/>
                <w:bCs/>
                <w:sz w:val="20"/>
                <w:szCs w:val="20"/>
              </w:rPr>
              <w:t>188,480</w:t>
            </w:r>
          </w:p>
        </w:tc>
        <w:tc>
          <w:tcPr>
            <w:tcW w:w="1849" w:type="dxa"/>
            <w:tcMar>
              <w:top w:w="0" w:type="dxa"/>
              <w:left w:w="0" w:type="dxa"/>
              <w:bottom w:w="0" w:type="dxa"/>
              <w:right w:w="0" w:type="dxa"/>
            </w:tcMar>
            <w:hideMark/>
          </w:tcPr>
          <w:p w:rsidR="00855E04" w:rsidRPr="00E21AB1" w:rsidP="00DD131B" w14:paraId="228FAD11" w14:textId="77777777">
            <w:pPr>
              <w:rPr>
                <w:rFonts w:ascii="Times New Roman" w:hAnsi="Times New Roman" w:cs="Times New Roman"/>
                <w:sz w:val="20"/>
                <w:szCs w:val="20"/>
              </w:rPr>
            </w:pPr>
            <w:r w:rsidRPr="00E21AB1">
              <w:rPr>
                <w:rFonts w:ascii="Times New Roman" w:hAnsi="Times New Roman" w:cs="Times New Roman"/>
                <w:b/>
                <w:bCs/>
                <w:sz w:val="20"/>
                <w:szCs w:val="20"/>
              </w:rPr>
              <w:t>$20,921,280</w:t>
            </w:r>
          </w:p>
        </w:tc>
      </w:tr>
      <w:tr w14:paraId="78E0F7EF"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bottom w:val="single" w:sz="4" w:space="0" w:color="auto"/>
            </w:tcBorders>
            <w:shd w:val="clear" w:color="auto" w:fill="D9D9D9"/>
            <w:tcMar>
              <w:top w:w="0" w:type="dxa"/>
              <w:left w:w="0" w:type="dxa"/>
              <w:bottom w:w="0" w:type="dxa"/>
              <w:right w:w="0" w:type="dxa"/>
            </w:tcMar>
          </w:tcPr>
          <w:p w:rsidR="00AC0500" w:rsidRPr="00E21AB1" w:rsidP="00DD131B" w14:paraId="778C3C08" w14:textId="1CB4D826">
            <w:pPr>
              <w:rPr>
                <w:rFonts w:ascii="Times New Roman" w:hAnsi="Times New Roman" w:cs="Times New Roman"/>
                <w:b/>
                <w:bCs/>
                <w:sz w:val="20"/>
                <w:szCs w:val="20"/>
              </w:rPr>
            </w:pPr>
            <w:r>
              <w:rPr>
                <w:rFonts w:ascii="Times New Roman" w:hAnsi="Times New Roman" w:cs="Times New Roman"/>
                <w:b/>
                <w:bCs/>
                <w:sz w:val="20"/>
                <w:szCs w:val="20"/>
              </w:rPr>
              <w:t>Incremental Change</w:t>
            </w:r>
          </w:p>
        </w:tc>
        <w:tc>
          <w:tcPr>
            <w:tcW w:w="1206" w:type="dxa"/>
            <w:tcBorders>
              <w:bottom w:val="single" w:sz="4" w:space="0" w:color="auto"/>
            </w:tcBorders>
            <w:shd w:val="clear" w:color="auto" w:fill="D9D9D9"/>
            <w:tcMar>
              <w:top w:w="0" w:type="dxa"/>
              <w:left w:w="0" w:type="dxa"/>
              <w:bottom w:w="0" w:type="dxa"/>
              <w:right w:w="0" w:type="dxa"/>
            </w:tcMar>
          </w:tcPr>
          <w:p w:rsidR="00AC0500" w:rsidRPr="00E21AB1" w:rsidP="00DD131B" w14:paraId="59E806AD" w14:textId="77777777">
            <w:pPr>
              <w:rPr>
                <w:rFonts w:ascii="Times New Roman" w:hAnsi="Times New Roman" w:cs="Times New Roman"/>
                <w:sz w:val="20"/>
                <w:szCs w:val="20"/>
              </w:rPr>
            </w:pPr>
          </w:p>
        </w:tc>
        <w:tc>
          <w:tcPr>
            <w:tcW w:w="2214" w:type="dxa"/>
            <w:tcBorders>
              <w:bottom w:val="single" w:sz="4" w:space="0" w:color="auto"/>
            </w:tcBorders>
            <w:shd w:val="clear" w:color="auto" w:fill="D9D9D9"/>
            <w:tcMar>
              <w:top w:w="0" w:type="dxa"/>
              <w:left w:w="0" w:type="dxa"/>
              <w:bottom w:w="0" w:type="dxa"/>
              <w:right w:w="0" w:type="dxa"/>
            </w:tcMar>
          </w:tcPr>
          <w:p w:rsidR="00AC0500" w:rsidRPr="00E21AB1" w:rsidP="00DD131B" w14:paraId="3554F9C8" w14:textId="77777777">
            <w:pPr>
              <w:rPr>
                <w:rFonts w:ascii="Times New Roman" w:hAnsi="Times New Roman" w:cs="Times New Roman"/>
                <w:sz w:val="20"/>
                <w:szCs w:val="20"/>
              </w:rPr>
            </w:pPr>
          </w:p>
        </w:tc>
        <w:tc>
          <w:tcPr>
            <w:tcW w:w="1874" w:type="dxa"/>
            <w:tcBorders>
              <w:bottom w:val="single" w:sz="4" w:space="0" w:color="auto"/>
            </w:tcBorders>
            <w:shd w:val="clear" w:color="auto" w:fill="D9D9D9"/>
            <w:tcMar>
              <w:top w:w="0" w:type="dxa"/>
              <w:left w:w="0" w:type="dxa"/>
              <w:bottom w:w="0" w:type="dxa"/>
              <w:right w:w="0" w:type="dxa"/>
            </w:tcMar>
          </w:tcPr>
          <w:p w:rsidR="00AC0500" w:rsidRPr="00E21AB1" w:rsidP="00DD131B" w14:paraId="17FF4CD1"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3832BBA1"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0D54D0D4" w14:textId="77777777">
            <w:pPr>
              <w:rPr>
                <w:rFonts w:ascii="Times New Roman" w:hAnsi="Times New Roman" w:cs="Times New Roman"/>
                <w:sz w:val="20"/>
                <w:szCs w:val="20"/>
              </w:rPr>
            </w:pPr>
          </w:p>
        </w:tc>
        <w:tc>
          <w:tcPr>
            <w:tcW w:w="1438" w:type="dxa"/>
            <w:tcBorders>
              <w:bottom w:val="single" w:sz="4" w:space="0" w:color="auto"/>
            </w:tcBorders>
            <w:shd w:val="clear" w:color="auto" w:fill="FFFFFF"/>
            <w:tcMar>
              <w:top w:w="0" w:type="dxa"/>
              <w:left w:w="115" w:type="dxa"/>
              <w:bottom w:w="0" w:type="dxa"/>
              <w:right w:w="115" w:type="dxa"/>
            </w:tcMar>
          </w:tcPr>
          <w:p w:rsidR="00AC0500" w:rsidRPr="00E21AB1" w:rsidP="00DD131B" w14:paraId="09DC177B" w14:textId="148C6947">
            <w:pPr>
              <w:rPr>
                <w:rFonts w:ascii="Times New Roman" w:hAnsi="Times New Roman" w:cs="Times New Roman"/>
                <w:b/>
                <w:bCs/>
                <w:sz w:val="20"/>
                <w:szCs w:val="20"/>
              </w:rPr>
            </w:pPr>
            <w:r>
              <w:rPr>
                <w:rFonts w:ascii="Times New Roman" w:hAnsi="Times New Roman" w:cs="Times New Roman"/>
                <w:b/>
                <w:bCs/>
                <w:sz w:val="20"/>
                <w:szCs w:val="20"/>
              </w:rPr>
              <w:t>89,024</w:t>
            </w:r>
          </w:p>
        </w:tc>
        <w:tc>
          <w:tcPr>
            <w:tcW w:w="1849" w:type="dxa"/>
            <w:tcBorders>
              <w:bottom w:val="single" w:sz="4" w:space="0" w:color="auto"/>
            </w:tcBorders>
            <w:tcMar>
              <w:top w:w="0" w:type="dxa"/>
              <w:left w:w="0" w:type="dxa"/>
              <w:bottom w:w="0" w:type="dxa"/>
              <w:right w:w="0" w:type="dxa"/>
            </w:tcMar>
          </w:tcPr>
          <w:p w:rsidR="00AC0500" w:rsidRPr="00E21AB1" w:rsidP="00DD131B" w14:paraId="5B7D8194" w14:textId="284280B0">
            <w:pPr>
              <w:rPr>
                <w:rFonts w:ascii="Times New Roman" w:hAnsi="Times New Roman" w:cs="Times New Roman"/>
                <w:b/>
                <w:bCs/>
                <w:sz w:val="20"/>
                <w:szCs w:val="20"/>
              </w:rPr>
            </w:pPr>
            <w:r>
              <w:rPr>
                <w:rFonts w:ascii="Times New Roman" w:hAnsi="Times New Roman" w:cs="Times New Roman"/>
                <w:b/>
                <w:bCs/>
                <w:sz w:val="20"/>
                <w:szCs w:val="20"/>
              </w:rPr>
              <w:t>$11,836,162</w:t>
            </w:r>
          </w:p>
        </w:tc>
      </w:tr>
      <w:tr w14:paraId="372F9F53"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bottom w:val="single" w:sz="4" w:space="0" w:color="auto"/>
            </w:tcBorders>
            <w:shd w:val="clear" w:color="auto" w:fill="D9D9D9"/>
            <w:tcMar>
              <w:top w:w="0" w:type="dxa"/>
              <w:left w:w="0" w:type="dxa"/>
              <w:bottom w:w="0" w:type="dxa"/>
              <w:right w:w="0" w:type="dxa"/>
            </w:tcMar>
          </w:tcPr>
          <w:p w:rsidR="00AC0500" w:rsidRPr="00E21AB1" w:rsidP="00DD131B" w14:paraId="1F37C679" w14:textId="330D111B">
            <w:pPr>
              <w:rPr>
                <w:rFonts w:ascii="Times New Roman" w:hAnsi="Times New Roman" w:cs="Times New Roman"/>
                <w:b/>
                <w:bCs/>
                <w:sz w:val="20"/>
                <w:szCs w:val="20"/>
              </w:rPr>
            </w:pPr>
            <w:r>
              <w:rPr>
                <w:rFonts w:ascii="Times New Roman" w:hAnsi="Times New Roman" w:cs="Times New Roman"/>
                <w:b/>
                <w:bCs/>
                <w:sz w:val="20"/>
                <w:szCs w:val="20"/>
              </w:rPr>
              <w:t>Revised Reporting Total</w:t>
            </w:r>
          </w:p>
        </w:tc>
        <w:tc>
          <w:tcPr>
            <w:tcW w:w="1206" w:type="dxa"/>
            <w:tcBorders>
              <w:bottom w:val="single" w:sz="4" w:space="0" w:color="auto"/>
            </w:tcBorders>
            <w:shd w:val="clear" w:color="auto" w:fill="D9D9D9"/>
            <w:tcMar>
              <w:top w:w="0" w:type="dxa"/>
              <w:left w:w="0" w:type="dxa"/>
              <w:bottom w:w="0" w:type="dxa"/>
              <w:right w:w="0" w:type="dxa"/>
            </w:tcMar>
          </w:tcPr>
          <w:p w:rsidR="00AC0500" w:rsidRPr="00E21AB1" w:rsidP="00DD131B" w14:paraId="39C5DFC2" w14:textId="77777777">
            <w:pPr>
              <w:rPr>
                <w:rFonts w:ascii="Times New Roman" w:hAnsi="Times New Roman" w:cs="Times New Roman"/>
                <w:sz w:val="20"/>
                <w:szCs w:val="20"/>
              </w:rPr>
            </w:pPr>
          </w:p>
        </w:tc>
        <w:tc>
          <w:tcPr>
            <w:tcW w:w="2214" w:type="dxa"/>
            <w:tcBorders>
              <w:bottom w:val="single" w:sz="4" w:space="0" w:color="auto"/>
            </w:tcBorders>
            <w:shd w:val="clear" w:color="auto" w:fill="D9D9D9"/>
            <w:tcMar>
              <w:top w:w="0" w:type="dxa"/>
              <w:left w:w="0" w:type="dxa"/>
              <w:bottom w:w="0" w:type="dxa"/>
              <w:right w:w="0" w:type="dxa"/>
            </w:tcMar>
          </w:tcPr>
          <w:p w:rsidR="00AC0500" w:rsidRPr="00E21AB1" w:rsidP="00DD131B" w14:paraId="7725DA1C" w14:textId="77777777">
            <w:pPr>
              <w:rPr>
                <w:rFonts w:ascii="Times New Roman" w:hAnsi="Times New Roman" w:cs="Times New Roman"/>
                <w:sz w:val="20"/>
                <w:szCs w:val="20"/>
              </w:rPr>
            </w:pPr>
          </w:p>
        </w:tc>
        <w:tc>
          <w:tcPr>
            <w:tcW w:w="1874" w:type="dxa"/>
            <w:tcBorders>
              <w:bottom w:val="single" w:sz="4" w:space="0" w:color="auto"/>
            </w:tcBorders>
            <w:shd w:val="clear" w:color="auto" w:fill="D9D9D9"/>
            <w:tcMar>
              <w:top w:w="0" w:type="dxa"/>
              <w:left w:w="0" w:type="dxa"/>
              <w:bottom w:w="0" w:type="dxa"/>
              <w:right w:w="0" w:type="dxa"/>
            </w:tcMar>
          </w:tcPr>
          <w:p w:rsidR="00AC0500" w:rsidRPr="00E21AB1" w:rsidP="00DD131B" w14:paraId="022D4CB3"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1EE4317E"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334B66AC" w14:textId="77777777">
            <w:pPr>
              <w:rPr>
                <w:rFonts w:ascii="Times New Roman" w:hAnsi="Times New Roman" w:cs="Times New Roman"/>
                <w:sz w:val="20"/>
                <w:szCs w:val="20"/>
              </w:rPr>
            </w:pPr>
          </w:p>
        </w:tc>
        <w:tc>
          <w:tcPr>
            <w:tcW w:w="1438" w:type="dxa"/>
            <w:tcBorders>
              <w:bottom w:val="single" w:sz="4" w:space="0" w:color="auto"/>
            </w:tcBorders>
            <w:shd w:val="clear" w:color="auto" w:fill="FFFFFF"/>
            <w:tcMar>
              <w:top w:w="0" w:type="dxa"/>
              <w:left w:w="115" w:type="dxa"/>
              <w:bottom w:w="0" w:type="dxa"/>
              <w:right w:w="115" w:type="dxa"/>
            </w:tcMar>
          </w:tcPr>
          <w:p w:rsidR="00AC0500" w:rsidRPr="00E21AB1" w:rsidP="00DD131B" w14:paraId="6EAEB24B" w14:textId="409684DB">
            <w:pPr>
              <w:rPr>
                <w:rFonts w:ascii="Times New Roman" w:hAnsi="Times New Roman" w:cs="Times New Roman"/>
                <w:b/>
                <w:bCs/>
                <w:sz w:val="20"/>
                <w:szCs w:val="20"/>
              </w:rPr>
            </w:pPr>
            <w:r>
              <w:rPr>
                <w:rFonts w:ascii="Times New Roman" w:hAnsi="Times New Roman" w:cs="Times New Roman"/>
                <w:b/>
                <w:bCs/>
                <w:sz w:val="20"/>
                <w:szCs w:val="20"/>
              </w:rPr>
              <w:t>277,504</w:t>
            </w:r>
          </w:p>
        </w:tc>
        <w:tc>
          <w:tcPr>
            <w:tcW w:w="1849" w:type="dxa"/>
            <w:tcBorders>
              <w:bottom w:val="single" w:sz="4" w:space="0" w:color="auto"/>
            </w:tcBorders>
            <w:tcMar>
              <w:top w:w="0" w:type="dxa"/>
              <w:left w:w="0" w:type="dxa"/>
              <w:bottom w:w="0" w:type="dxa"/>
              <w:right w:w="0" w:type="dxa"/>
            </w:tcMar>
          </w:tcPr>
          <w:p w:rsidR="00AC0500" w:rsidRPr="00E21AB1" w:rsidP="00DD131B" w14:paraId="3EFAD0F8" w14:textId="28BDE20C">
            <w:pPr>
              <w:rPr>
                <w:rFonts w:ascii="Times New Roman" w:hAnsi="Times New Roman" w:cs="Times New Roman"/>
                <w:b/>
                <w:bCs/>
                <w:sz w:val="20"/>
                <w:szCs w:val="20"/>
              </w:rPr>
            </w:pPr>
            <w:r>
              <w:rPr>
                <w:rFonts w:ascii="Times New Roman" w:hAnsi="Times New Roman" w:cs="Times New Roman"/>
                <w:b/>
                <w:bCs/>
                <w:sz w:val="20"/>
                <w:szCs w:val="20"/>
              </w:rPr>
              <w:t>$</w:t>
            </w:r>
            <w:r w:rsidR="0042196B">
              <w:rPr>
                <w:rFonts w:ascii="Times New Roman" w:hAnsi="Times New Roman" w:cs="Times New Roman"/>
                <w:b/>
                <w:bCs/>
                <w:sz w:val="20"/>
                <w:szCs w:val="20"/>
              </w:rPr>
              <w:t>32,757,442</w:t>
            </w:r>
          </w:p>
        </w:tc>
      </w:tr>
      <w:tr w14:paraId="79626182"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3145" w:type="dxa"/>
            <w:gridSpan w:val="8"/>
            <w:tcBorders>
              <w:top w:val="single" w:sz="4" w:space="0" w:color="auto"/>
              <w:left w:val="nil"/>
              <w:bottom w:val="nil"/>
              <w:right w:val="nil"/>
            </w:tcBorders>
            <w:shd w:val="clear" w:color="auto" w:fill="FFFFFF"/>
            <w:tcMar>
              <w:top w:w="0" w:type="dxa"/>
              <w:left w:w="115" w:type="dxa"/>
              <w:bottom w:w="0" w:type="dxa"/>
              <w:right w:w="115" w:type="dxa"/>
            </w:tcMar>
          </w:tcPr>
          <w:p w:rsidR="002E76D8" w:rsidRPr="00E21AB1" w:rsidP="00DD131B" w14:paraId="7FE117FE" w14:textId="77777777">
            <w:pPr>
              <w:rPr>
                <w:rFonts w:ascii="Times New Roman" w:hAnsi="Times New Roman" w:cs="Times New Roman"/>
                <w:sz w:val="20"/>
                <w:szCs w:val="20"/>
              </w:rPr>
            </w:pPr>
          </w:p>
        </w:tc>
      </w:tr>
      <w:tr w14:paraId="2C652507"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2E76D8" w14:paraId="7FD5DF31" w14:textId="77777777">
            <w:pPr>
              <w:keepNext/>
              <w:keepLines/>
              <w:rPr>
                <w:rFonts w:ascii="Times New Roman" w:hAnsi="Times New Roman" w:cs="Times New Roman"/>
                <w:sz w:val="20"/>
                <w:szCs w:val="20"/>
              </w:rPr>
            </w:pPr>
            <w:r w:rsidRPr="00E21AB1">
              <w:rPr>
                <w:rFonts w:ascii="Times New Roman" w:hAnsi="Times New Roman" w:cs="Times New Roman"/>
                <w:b/>
                <w:bCs/>
                <w:sz w:val="20"/>
                <w:szCs w:val="20"/>
              </w:rPr>
              <w:t>Recordkeeping</w:t>
            </w:r>
          </w:p>
        </w:tc>
        <w:tc>
          <w:tcPr>
            <w:tcW w:w="1206"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4AE06199" w14:textId="77777777">
            <w:pPr>
              <w:rPr>
                <w:rFonts w:ascii="Times New Roman" w:hAnsi="Times New Roman" w:cs="Times New Roman"/>
                <w:sz w:val="20"/>
                <w:szCs w:val="20"/>
              </w:rPr>
            </w:pPr>
          </w:p>
        </w:tc>
        <w:tc>
          <w:tcPr>
            <w:tcW w:w="2214"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1D0CFBBB" w14:textId="77777777">
            <w:pPr>
              <w:rPr>
                <w:rFonts w:ascii="Times New Roman" w:hAnsi="Times New Roman" w:cs="Times New Roman"/>
                <w:sz w:val="20"/>
                <w:szCs w:val="20"/>
              </w:rPr>
            </w:pPr>
          </w:p>
        </w:tc>
        <w:tc>
          <w:tcPr>
            <w:tcW w:w="1874"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162203E9" w14:textId="77777777">
            <w:pPr>
              <w:rPr>
                <w:rFonts w:ascii="Times New Roman" w:hAnsi="Times New Roman" w:cs="Times New Roman"/>
                <w:sz w:val="20"/>
                <w:szCs w:val="20"/>
              </w:rPr>
            </w:pPr>
          </w:p>
        </w:tc>
        <w:tc>
          <w:tcPr>
            <w:tcW w:w="1427"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31FCC65B" w14:textId="77777777">
            <w:pPr>
              <w:rPr>
                <w:rFonts w:ascii="Times New Roman" w:hAnsi="Times New Roman" w:cs="Times New Roman"/>
                <w:sz w:val="20"/>
                <w:szCs w:val="20"/>
              </w:rPr>
            </w:pPr>
          </w:p>
        </w:tc>
        <w:tc>
          <w:tcPr>
            <w:tcW w:w="1427"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49525A30" w14:textId="77777777">
            <w:pPr>
              <w:rPr>
                <w:rFonts w:ascii="Times New Roman" w:hAnsi="Times New Roman" w:cs="Times New Roman"/>
                <w:sz w:val="20"/>
                <w:szCs w:val="20"/>
              </w:rPr>
            </w:pPr>
          </w:p>
        </w:tc>
        <w:tc>
          <w:tcPr>
            <w:tcW w:w="1438"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775AC810" w14:textId="77777777">
            <w:pPr>
              <w:rPr>
                <w:rFonts w:ascii="Times New Roman" w:hAnsi="Times New Roman" w:cs="Times New Roman"/>
                <w:sz w:val="20"/>
                <w:szCs w:val="20"/>
              </w:rPr>
            </w:pPr>
          </w:p>
        </w:tc>
        <w:tc>
          <w:tcPr>
            <w:tcW w:w="1849" w:type="dxa"/>
            <w:tcBorders>
              <w:top w:val="nil"/>
              <w:bottom w:val="single" w:sz="4" w:space="0" w:color="auto"/>
            </w:tcBorders>
            <w:tcMar>
              <w:top w:w="0" w:type="dxa"/>
              <w:left w:w="0" w:type="dxa"/>
              <w:bottom w:w="0" w:type="dxa"/>
              <w:right w:w="0" w:type="dxa"/>
            </w:tcMar>
            <w:hideMark/>
          </w:tcPr>
          <w:p w:rsidR="00855E04" w:rsidRPr="00E21AB1" w:rsidP="00DD131B" w14:paraId="70BA0BD7" w14:textId="77777777">
            <w:pPr>
              <w:rPr>
                <w:rFonts w:ascii="Times New Roman" w:hAnsi="Times New Roman" w:cs="Times New Roman"/>
                <w:sz w:val="20"/>
                <w:szCs w:val="20"/>
              </w:rPr>
            </w:pPr>
          </w:p>
        </w:tc>
      </w:tr>
      <w:tr w14:paraId="2E7113FB"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3F4A4300" w14:textId="77777777">
            <w:pPr>
              <w:rPr>
                <w:rFonts w:ascii="Times New Roman" w:hAnsi="Times New Roman" w:cs="Times New Roman"/>
                <w:sz w:val="20"/>
                <w:szCs w:val="20"/>
              </w:rPr>
            </w:pPr>
            <w:r w:rsidRPr="00E21AB1">
              <w:rPr>
                <w:rFonts w:ascii="Times New Roman" w:hAnsi="Times New Roman" w:cs="Times New Roman"/>
                <w:sz w:val="20"/>
                <w:szCs w:val="20"/>
              </w:rPr>
              <w:t>18.05</w:t>
            </w:r>
          </w:p>
        </w:tc>
        <w:tc>
          <w:tcPr>
            <w:tcW w:w="1206"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1EF93F74" w14:textId="77777777">
            <w:pPr>
              <w:rPr>
                <w:rFonts w:ascii="Times New Roman" w:hAnsi="Times New Roman" w:cs="Times New Roman"/>
                <w:sz w:val="20"/>
                <w:szCs w:val="20"/>
              </w:rPr>
            </w:pPr>
            <w:r w:rsidRPr="00E21AB1">
              <w:rPr>
                <w:rFonts w:ascii="Times New Roman" w:hAnsi="Times New Roman" w:cs="Times New Roman"/>
                <w:sz w:val="20"/>
                <w:szCs w:val="20"/>
              </w:rPr>
              <w:t>Books and Records</w:t>
            </w:r>
          </w:p>
        </w:tc>
        <w:tc>
          <w:tcPr>
            <w:tcW w:w="221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B04008F" w14:textId="77777777">
            <w:pPr>
              <w:rPr>
                <w:rFonts w:ascii="Times New Roman" w:hAnsi="Times New Roman" w:cs="Times New Roman"/>
                <w:sz w:val="20"/>
                <w:szCs w:val="20"/>
              </w:rPr>
            </w:pPr>
            <w:r w:rsidRPr="00E21AB1">
              <w:rPr>
                <w:rFonts w:ascii="Times New Roman" w:hAnsi="Times New Roman" w:cs="Times New Roman"/>
                <w:sz w:val="20"/>
                <w:szCs w:val="20"/>
              </w:rPr>
              <w:t>Volume threshold account controllers, persons who own volume threshold accounts, reportable sub-account controllers, persons who own reportable sub-accounts, and traders who own, hold, or control reportable futures or option positions</w:t>
            </w:r>
          </w:p>
        </w:tc>
        <w:tc>
          <w:tcPr>
            <w:tcW w:w="187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4396495D" w14:textId="77777777">
            <w:pPr>
              <w:rPr>
                <w:rFonts w:ascii="Times New Roman" w:hAnsi="Times New Roman" w:cs="Times New Roman"/>
                <w:sz w:val="20"/>
                <w:szCs w:val="20"/>
              </w:rPr>
            </w:pPr>
            <w:r w:rsidRPr="00E21AB1">
              <w:rPr>
                <w:rFonts w:ascii="Times New Roman" w:hAnsi="Times New Roman" w:cs="Times New Roman"/>
                <w:sz w:val="20"/>
                <w:szCs w:val="20"/>
              </w:rPr>
              <w:t>100</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7893F56"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674FBC2D" w14:textId="77777777">
            <w:pPr>
              <w:rPr>
                <w:rFonts w:ascii="Times New Roman" w:hAnsi="Times New Roman" w:cs="Times New Roman"/>
                <w:sz w:val="20"/>
                <w:szCs w:val="20"/>
              </w:rPr>
            </w:pPr>
            <w:r w:rsidRPr="00E21AB1">
              <w:rPr>
                <w:rFonts w:ascii="Times New Roman" w:hAnsi="Times New Roman" w:cs="Times New Roman"/>
                <w:sz w:val="20"/>
                <w:szCs w:val="20"/>
              </w:rPr>
              <w:t>100</w:t>
            </w:r>
          </w:p>
        </w:tc>
        <w:tc>
          <w:tcPr>
            <w:tcW w:w="1438"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8F306F3" w14:textId="77777777">
            <w:pPr>
              <w:rPr>
                <w:rFonts w:ascii="Times New Roman" w:hAnsi="Times New Roman" w:cs="Times New Roman"/>
                <w:sz w:val="20"/>
                <w:szCs w:val="20"/>
              </w:rPr>
            </w:pPr>
            <w:r w:rsidRPr="00E21AB1">
              <w:rPr>
                <w:rFonts w:ascii="Times New Roman" w:hAnsi="Times New Roman" w:cs="Times New Roman"/>
                <w:sz w:val="20"/>
                <w:szCs w:val="20"/>
              </w:rPr>
              <w:t>500</w:t>
            </w:r>
          </w:p>
        </w:tc>
        <w:tc>
          <w:tcPr>
            <w:tcW w:w="1849" w:type="dxa"/>
            <w:tcBorders>
              <w:bottom w:val="single" w:sz="4" w:space="0" w:color="auto"/>
            </w:tcBorders>
            <w:tcMar>
              <w:top w:w="0" w:type="dxa"/>
              <w:left w:w="0" w:type="dxa"/>
              <w:bottom w:w="0" w:type="dxa"/>
              <w:right w:w="0" w:type="dxa"/>
            </w:tcMar>
            <w:hideMark/>
          </w:tcPr>
          <w:p w:rsidR="00855E04" w:rsidRPr="00E21AB1" w:rsidP="00DD131B" w14:paraId="1E5E9B1B" w14:textId="77777777">
            <w:pPr>
              <w:rPr>
                <w:rFonts w:ascii="Times New Roman" w:hAnsi="Times New Roman" w:cs="Times New Roman"/>
                <w:sz w:val="20"/>
                <w:szCs w:val="20"/>
              </w:rPr>
            </w:pPr>
            <w:r w:rsidRPr="00E21AB1">
              <w:rPr>
                <w:rFonts w:ascii="Times New Roman" w:hAnsi="Times New Roman" w:cs="Times New Roman"/>
                <w:sz w:val="20"/>
                <w:szCs w:val="20"/>
              </w:rPr>
              <w:t>$55,500</w:t>
            </w:r>
          </w:p>
        </w:tc>
      </w:tr>
      <w:tr w14:paraId="1EAA661D"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20"/>
        </w:trPr>
        <w:tc>
          <w:tcPr>
            <w:tcW w:w="13145" w:type="dxa"/>
            <w:gridSpan w:val="8"/>
            <w:tcBorders>
              <w:top w:val="single" w:sz="4" w:space="0" w:color="auto"/>
              <w:left w:val="nil"/>
              <w:bottom w:val="single" w:sz="4" w:space="0" w:color="auto"/>
              <w:right w:val="nil"/>
            </w:tcBorders>
            <w:tcMar>
              <w:top w:w="0" w:type="dxa"/>
              <w:left w:w="0" w:type="dxa"/>
              <w:bottom w:w="0" w:type="dxa"/>
              <w:right w:w="0" w:type="dxa"/>
            </w:tcMar>
          </w:tcPr>
          <w:p w:rsidR="00B54E84" w:rsidRPr="00E21AB1" w:rsidP="00DD131B" w14:paraId="7C13CCF2" w14:textId="77777777">
            <w:pPr>
              <w:rPr>
                <w:rFonts w:ascii="Times New Roman" w:hAnsi="Times New Roman" w:cs="Times New Roman"/>
                <w:b/>
                <w:bCs/>
                <w:sz w:val="20"/>
                <w:szCs w:val="20"/>
              </w:rPr>
            </w:pPr>
          </w:p>
        </w:tc>
      </w:tr>
      <w:tr w14:paraId="2AC6368D"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20"/>
        </w:trPr>
        <w:tc>
          <w:tcPr>
            <w:tcW w:w="5130" w:type="dxa"/>
            <w:gridSpan w:val="3"/>
            <w:tcBorders>
              <w:top w:val="single" w:sz="4" w:space="0" w:color="auto"/>
            </w:tcBorders>
            <w:shd w:val="clear" w:color="auto" w:fill="D9D9D9"/>
            <w:tcMar>
              <w:top w:w="0" w:type="dxa"/>
              <w:left w:w="0" w:type="dxa"/>
              <w:bottom w:w="0" w:type="dxa"/>
              <w:right w:w="0" w:type="dxa"/>
            </w:tcMar>
            <w:hideMark/>
          </w:tcPr>
          <w:p w:rsidR="00855E04" w:rsidRPr="00E21AB1" w:rsidP="00DD131B" w14:paraId="43184E5D" w14:textId="6BBA6BC4">
            <w:pPr>
              <w:rPr>
                <w:rFonts w:ascii="Times New Roman" w:hAnsi="Times New Roman" w:cs="Times New Roman"/>
                <w:sz w:val="20"/>
                <w:szCs w:val="20"/>
              </w:rPr>
            </w:pPr>
            <w:r>
              <w:rPr>
                <w:rFonts w:ascii="Times New Roman" w:hAnsi="Times New Roman" w:cs="Times New Roman"/>
                <w:b/>
                <w:bCs/>
                <w:sz w:val="20"/>
                <w:szCs w:val="20"/>
              </w:rPr>
              <w:t xml:space="preserve">Current </w:t>
            </w:r>
            <w:r w:rsidRPr="00E21AB1">
              <w:rPr>
                <w:rFonts w:ascii="Times New Roman" w:hAnsi="Times New Roman" w:cs="Times New Roman"/>
                <w:b/>
                <w:bCs/>
                <w:sz w:val="20"/>
                <w:szCs w:val="20"/>
              </w:rPr>
              <w:t>Total</w:t>
            </w:r>
            <w:r>
              <w:rPr>
                <w:rFonts w:ascii="Times New Roman" w:hAnsi="Times New Roman" w:cs="Times New Roman"/>
                <w:b/>
                <w:bCs/>
                <w:sz w:val="20"/>
                <w:szCs w:val="20"/>
              </w:rPr>
              <w:t>s</w:t>
            </w:r>
            <w:r w:rsidR="00B54E84">
              <w:rPr>
                <w:rFonts w:ascii="Times New Roman" w:hAnsi="Times New Roman" w:cs="Times New Roman"/>
                <w:b/>
                <w:bCs/>
                <w:sz w:val="20"/>
                <w:szCs w:val="20"/>
              </w:rPr>
              <w:t xml:space="preserve"> (Reporting and Recordkeeping)</w:t>
            </w:r>
          </w:p>
        </w:tc>
        <w:tc>
          <w:tcPr>
            <w:tcW w:w="1874" w:type="dxa"/>
            <w:tcBorders>
              <w:top w:val="single" w:sz="4" w:space="0" w:color="auto"/>
            </w:tcBorders>
            <w:shd w:val="clear" w:color="auto" w:fill="FFFFFF"/>
            <w:tcMar>
              <w:top w:w="0" w:type="dxa"/>
              <w:left w:w="115" w:type="dxa"/>
              <w:bottom w:w="0" w:type="dxa"/>
              <w:right w:w="115" w:type="dxa"/>
            </w:tcMar>
            <w:hideMark/>
          </w:tcPr>
          <w:p w:rsidR="00855E04" w:rsidRPr="00E21AB1" w:rsidP="00DD131B" w14:paraId="168318E2" w14:textId="6EA857FF">
            <w:pPr>
              <w:rPr>
                <w:rFonts w:ascii="Times New Roman" w:hAnsi="Times New Roman" w:cs="Times New Roman"/>
                <w:sz w:val="20"/>
                <w:szCs w:val="20"/>
              </w:rPr>
            </w:pPr>
            <w:r w:rsidRPr="00E21AB1">
              <w:rPr>
                <w:rFonts w:ascii="Times New Roman" w:hAnsi="Times New Roman" w:cs="Times New Roman"/>
                <w:b/>
                <w:bCs/>
                <w:sz w:val="20"/>
                <w:szCs w:val="20"/>
              </w:rPr>
              <w:t>1,779</w:t>
            </w:r>
          </w:p>
        </w:tc>
        <w:tc>
          <w:tcPr>
            <w:tcW w:w="1427" w:type="dxa"/>
            <w:tcBorders>
              <w:top w:val="single" w:sz="4" w:space="0" w:color="auto"/>
            </w:tcBorders>
            <w:shd w:val="clear" w:color="auto" w:fill="D9D9D9"/>
            <w:tcMar>
              <w:top w:w="0" w:type="dxa"/>
              <w:left w:w="0" w:type="dxa"/>
              <w:bottom w:w="0" w:type="dxa"/>
              <w:right w:w="0" w:type="dxa"/>
            </w:tcMar>
            <w:hideMark/>
          </w:tcPr>
          <w:p w:rsidR="00855E04" w:rsidRPr="00E21AB1" w:rsidP="00DD131B" w14:paraId="3E5E5A70" w14:textId="77777777">
            <w:pPr>
              <w:rPr>
                <w:rFonts w:ascii="Times New Roman" w:hAnsi="Times New Roman" w:cs="Times New Roman"/>
                <w:sz w:val="20"/>
                <w:szCs w:val="20"/>
              </w:rPr>
            </w:pPr>
          </w:p>
        </w:tc>
        <w:tc>
          <w:tcPr>
            <w:tcW w:w="1427" w:type="dxa"/>
            <w:tcBorders>
              <w:top w:val="single" w:sz="4" w:space="0" w:color="auto"/>
            </w:tcBorders>
            <w:shd w:val="clear" w:color="auto" w:fill="FFFFFF"/>
            <w:tcMar>
              <w:top w:w="0" w:type="dxa"/>
              <w:left w:w="115" w:type="dxa"/>
              <w:bottom w:w="0" w:type="dxa"/>
              <w:right w:w="115" w:type="dxa"/>
            </w:tcMar>
            <w:hideMark/>
          </w:tcPr>
          <w:p w:rsidR="00855E04" w:rsidRPr="00E21AB1" w:rsidP="00DD131B" w14:paraId="44C04757" w14:textId="77777777">
            <w:pPr>
              <w:rPr>
                <w:rFonts w:ascii="Times New Roman" w:hAnsi="Times New Roman" w:cs="Times New Roman"/>
                <w:sz w:val="20"/>
                <w:szCs w:val="20"/>
              </w:rPr>
            </w:pPr>
            <w:r w:rsidRPr="00E21AB1">
              <w:rPr>
                <w:rFonts w:ascii="Times New Roman" w:hAnsi="Times New Roman" w:cs="Times New Roman"/>
                <w:b/>
                <w:bCs/>
                <w:sz w:val="20"/>
                <w:szCs w:val="20"/>
              </w:rPr>
              <w:t>660,412</w:t>
            </w:r>
          </w:p>
        </w:tc>
        <w:tc>
          <w:tcPr>
            <w:tcW w:w="1438" w:type="dxa"/>
            <w:tcBorders>
              <w:top w:val="single" w:sz="4" w:space="0" w:color="auto"/>
            </w:tcBorders>
            <w:shd w:val="clear" w:color="auto" w:fill="FFFFFF"/>
            <w:tcMar>
              <w:top w:w="0" w:type="dxa"/>
              <w:left w:w="115" w:type="dxa"/>
              <w:bottom w:w="0" w:type="dxa"/>
              <w:right w:w="115" w:type="dxa"/>
            </w:tcMar>
            <w:hideMark/>
          </w:tcPr>
          <w:p w:rsidR="00855E04" w:rsidRPr="00E21AB1" w:rsidP="00DD131B" w14:paraId="1F7DA77A" w14:textId="77777777">
            <w:pPr>
              <w:rPr>
                <w:rFonts w:ascii="Times New Roman" w:hAnsi="Times New Roman" w:cs="Times New Roman"/>
                <w:sz w:val="20"/>
                <w:szCs w:val="20"/>
              </w:rPr>
            </w:pPr>
            <w:r w:rsidRPr="00E21AB1">
              <w:rPr>
                <w:rFonts w:ascii="Times New Roman" w:hAnsi="Times New Roman" w:cs="Times New Roman"/>
                <w:b/>
                <w:bCs/>
                <w:sz w:val="20"/>
                <w:szCs w:val="20"/>
              </w:rPr>
              <w:t>188,980</w:t>
            </w:r>
          </w:p>
        </w:tc>
        <w:tc>
          <w:tcPr>
            <w:tcW w:w="1849" w:type="dxa"/>
            <w:tcBorders>
              <w:top w:val="single" w:sz="4" w:space="0" w:color="auto"/>
            </w:tcBorders>
            <w:tcMar>
              <w:top w:w="0" w:type="dxa"/>
              <w:left w:w="0" w:type="dxa"/>
              <w:bottom w:w="0" w:type="dxa"/>
              <w:right w:w="0" w:type="dxa"/>
            </w:tcMar>
            <w:hideMark/>
          </w:tcPr>
          <w:p w:rsidR="00855E04" w:rsidRPr="00E21AB1" w:rsidP="00DD131B" w14:paraId="328EC91D" w14:textId="77777777">
            <w:pPr>
              <w:rPr>
                <w:rFonts w:ascii="Times New Roman" w:hAnsi="Times New Roman" w:cs="Times New Roman"/>
                <w:sz w:val="20"/>
                <w:szCs w:val="20"/>
              </w:rPr>
            </w:pPr>
            <w:bookmarkStart w:id="2" w:name="_Hlk143613402"/>
            <w:bookmarkStart w:id="3" w:name="_Hlk143078623"/>
            <w:bookmarkEnd w:id="2"/>
            <w:bookmarkEnd w:id="3"/>
            <w:r w:rsidRPr="00E21AB1">
              <w:rPr>
                <w:rFonts w:ascii="Times New Roman" w:hAnsi="Times New Roman" w:cs="Times New Roman"/>
                <w:b/>
                <w:bCs/>
                <w:sz w:val="20"/>
                <w:szCs w:val="20"/>
              </w:rPr>
              <w:t>$20,976,780</w:t>
            </w:r>
          </w:p>
        </w:tc>
      </w:tr>
      <w:tr w14:paraId="5BC25ADC"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0"/>
        </w:trPr>
        <w:tc>
          <w:tcPr>
            <w:tcW w:w="5130" w:type="dxa"/>
            <w:gridSpan w:val="3"/>
            <w:shd w:val="clear" w:color="auto" w:fill="D9D9D9"/>
            <w:tcMar>
              <w:top w:w="0" w:type="dxa"/>
              <w:left w:w="0" w:type="dxa"/>
              <w:bottom w:w="0" w:type="dxa"/>
              <w:right w:w="0" w:type="dxa"/>
            </w:tcMar>
          </w:tcPr>
          <w:p w:rsidR="00CC43D0" w:rsidP="00DD131B" w14:paraId="0C3DC410" w14:textId="6E9771A0">
            <w:pPr>
              <w:rPr>
                <w:rFonts w:ascii="Times New Roman" w:hAnsi="Times New Roman" w:cs="Times New Roman"/>
                <w:b/>
                <w:bCs/>
                <w:sz w:val="20"/>
                <w:szCs w:val="20"/>
              </w:rPr>
            </w:pPr>
            <w:r>
              <w:rPr>
                <w:rFonts w:ascii="Times New Roman" w:hAnsi="Times New Roman" w:cs="Times New Roman"/>
                <w:b/>
                <w:bCs/>
                <w:sz w:val="20"/>
                <w:szCs w:val="20"/>
              </w:rPr>
              <w:t>Incremental Change</w:t>
            </w:r>
            <w:r w:rsidR="00B54E84">
              <w:rPr>
                <w:rFonts w:ascii="Times New Roman" w:hAnsi="Times New Roman" w:cs="Times New Roman"/>
                <w:b/>
                <w:bCs/>
                <w:sz w:val="20"/>
                <w:szCs w:val="20"/>
              </w:rPr>
              <w:t xml:space="preserve"> (Reporting and Recordkeeping)</w:t>
            </w:r>
          </w:p>
        </w:tc>
        <w:tc>
          <w:tcPr>
            <w:tcW w:w="1874" w:type="dxa"/>
            <w:shd w:val="clear" w:color="auto" w:fill="FFFFFF"/>
            <w:tcMar>
              <w:top w:w="0" w:type="dxa"/>
              <w:left w:w="115" w:type="dxa"/>
              <w:bottom w:w="0" w:type="dxa"/>
              <w:right w:w="115" w:type="dxa"/>
            </w:tcMar>
          </w:tcPr>
          <w:p w:rsidR="00CC43D0" w:rsidRPr="00E21AB1" w:rsidP="00DD131B" w14:paraId="38974366" w14:textId="2740FE13">
            <w:pPr>
              <w:rPr>
                <w:rFonts w:ascii="Times New Roman" w:hAnsi="Times New Roman" w:cs="Times New Roman"/>
                <w:b/>
                <w:bCs/>
                <w:sz w:val="20"/>
                <w:szCs w:val="20"/>
              </w:rPr>
            </w:pPr>
            <w:r>
              <w:rPr>
                <w:rFonts w:ascii="Times New Roman" w:hAnsi="Times New Roman" w:cs="Times New Roman"/>
                <w:b/>
                <w:bCs/>
                <w:sz w:val="20"/>
                <w:szCs w:val="20"/>
              </w:rPr>
              <w:t>399</w:t>
            </w:r>
          </w:p>
        </w:tc>
        <w:tc>
          <w:tcPr>
            <w:tcW w:w="1427" w:type="dxa"/>
            <w:shd w:val="clear" w:color="auto" w:fill="D9D9D9"/>
            <w:tcMar>
              <w:top w:w="0" w:type="dxa"/>
              <w:left w:w="0" w:type="dxa"/>
              <w:bottom w:w="0" w:type="dxa"/>
              <w:right w:w="0" w:type="dxa"/>
            </w:tcMar>
          </w:tcPr>
          <w:p w:rsidR="00CC43D0" w:rsidRPr="00E21AB1" w:rsidP="00DD131B" w14:paraId="1E0172A1" w14:textId="77777777">
            <w:pPr>
              <w:rPr>
                <w:rFonts w:ascii="Times New Roman" w:hAnsi="Times New Roman" w:cs="Times New Roman"/>
                <w:sz w:val="20"/>
                <w:szCs w:val="20"/>
              </w:rPr>
            </w:pPr>
          </w:p>
        </w:tc>
        <w:tc>
          <w:tcPr>
            <w:tcW w:w="1427" w:type="dxa"/>
            <w:shd w:val="clear" w:color="auto" w:fill="FFFFFF"/>
            <w:tcMar>
              <w:top w:w="0" w:type="dxa"/>
              <w:left w:w="115" w:type="dxa"/>
              <w:bottom w:w="0" w:type="dxa"/>
              <w:right w:w="115" w:type="dxa"/>
            </w:tcMar>
          </w:tcPr>
          <w:p w:rsidR="00CC43D0" w:rsidRPr="00E21AB1" w:rsidP="00DD131B" w14:paraId="38974469" w14:textId="58F42334">
            <w:pPr>
              <w:rPr>
                <w:rFonts w:ascii="Times New Roman" w:hAnsi="Times New Roman" w:cs="Times New Roman"/>
                <w:b/>
                <w:bCs/>
                <w:sz w:val="20"/>
                <w:szCs w:val="20"/>
              </w:rPr>
            </w:pPr>
            <w:r>
              <w:rPr>
                <w:rFonts w:ascii="Times New Roman" w:hAnsi="Times New Roman" w:cs="Times New Roman"/>
                <w:b/>
                <w:bCs/>
                <w:sz w:val="20"/>
                <w:szCs w:val="20"/>
              </w:rPr>
              <w:t>241,600</w:t>
            </w:r>
          </w:p>
        </w:tc>
        <w:tc>
          <w:tcPr>
            <w:tcW w:w="1438" w:type="dxa"/>
            <w:shd w:val="clear" w:color="auto" w:fill="FFFFFF"/>
            <w:tcMar>
              <w:top w:w="0" w:type="dxa"/>
              <w:left w:w="115" w:type="dxa"/>
              <w:bottom w:w="0" w:type="dxa"/>
              <w:right w:w="115" w:type="dxa"/>
            </w:tcMar>
          </w:tcPr>
          <w:p w:rsidR="00CC43D0" w:rsidRPr="00E21AB1" w:rsidP="00DD131B" w14:paraId="1E283348" w14:textId="5B0687C4">
            <w:pPr>
              <w:rPr>
                <w:rFonts w:ascii="Times New Roman" w:hAnsi="Times New Roman" w:cs="Times New Roman"/>
                <w:b/>
                <w:bCs/>
                <w:sz w:val="20"/>
                <w:szCs w:val="20"/>
              </w:rPr>
            </w:pPr>
            <w:r>
              <w:rPr>
                <w:rFonts w:ascii="Times New Roman" w:hAnsi="Times New Roman" w:cs="Times New Roman"/>
                <w:b/>
                <w:bCs/>
                <w:sz w:val="20"/>
                <w:szCs w:val="20"/>
              </w:rPr>
              <w:t>89,024</w:t>
            </w:r>
          </w:p>
        </w:tc>
        <w:tc>
          <w:tcPr>
            <w:tcW w:w="1849" w:type="dxa"/>
            <w:tcMar>
              <w:top w:w="0" w:type="dxa"/>
              <w:left w:w="0" w:type="dxa"/>
              <w:bottom w:w="0" w:type="dxa"/>
              <w:right w:w="0" w:type="dxa"/>
            </w:tcMar>
          </w:tcPr>
          <w:p w:rsidR="00CC43D0" w:rsidRPr="00E21AB1" w:rsidP="00DD131B" w14:paraId="07442169" w14:textId="56FB24FC">
            <w:pPr>
              <w:rPr>
                <w:rFonts w:ascii="Times New Roman" w:hAnsi="Times New Roman" w:cs="Times New Roman"/>
                <w:b/>
                <w:bCs/>
                <w:sz w:val="20"/>
                <w:szCs w:val="20"/>
              </w:rPr>
            </w:pPr>
            <w:r>
              <w:rPr>
                <w:rFonts w:ascii="Times New Roman" w:hAnsi="Times New Roman" w:cs="Times New Roman"/>
                <w:b/>
                <w:bCs/>
                <w:sz w:val="20"/>
                <w:szCs w:val="20"/>
              </w:rPr>
              <w:t>$11,836,162</w:t>
            </w:r>
          </w:p>
        </w:tc>
      </w:tr>
      <w:tr w14:paraId="189B88E6"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0"/>
        </w:trPr>
        <w:tc>
          <w:tcPr>
            <w:tcW w:w="5130" w:type="dxa"/>
            <w:gridSpan w:val="3"/>
            <w:shd w:val="clear" w:color="auto" w:fill="D9D9D9"/>
            <w:tcMar>
              <w:top w:w="0" w:type="dxa"/>
              <w:left w:w="0" w:type="dxa"/>
              <w:bottom w:w="0" w:type="dxa"/>
              <w:right w:w="0" w:type="dxa"/>
            </w:tcMar>
          </w:tcPr>
          <w:p w:rsidR="00CC43D0" w:rsidP="00DD131B" w14:paraId="6EBAF3C5" w14:textId="39F1EBD9">
            <w:pPr>
              <w:rPr>
                <w:rFonts w:ascii="Times New Roman" w:hAnsi="Times New Roman" w:cs="Times New Roman"/>
                <w:b/>
                <w:bCs/>
                <w:sz w:val="20"/>
                <w:szCs w:val="20"/>
              </w:rPr>
            </w:pPr>
            <w:r>
              <w:rPr>
                <w:rFonts w:ascii="Times New Roman" w:hAnsi="Times New Roman" w:cs="Times New Roman"/>
                <w:b/>
                <w:bCs/>
                <w:sz w:val="20"/>
                <w:szCs w:val="20"/>
              </w:rPr>
              <w:t>Revised Totals</w:t>
            </w:r>
            <w:r w:rsidR="00B54E84">
              <w:rPr>
                <w:rFonts w:ascii="Times New Roman" w:hAnsi="Times New Roman" w:cs="Times New Roman"/>
                <w:b/>
                <w:bCs/>
                <w:sz w:val="20"/>
                <w:szCs w:val="20"/>
              </w:rPr>
              <w:t xml:space="preserve"> (Reporting and Recordkeeping)</w:t>
            </w:r>
          </w:p>
        </w:tc>
        <w:tc>
          <w:tcPr>
            <w:tcW w:w="1874" w:type="dxa"/>
            <w:shd w:val="clear" w:color="auto" w:fill="FFFFFF"/>
            <w:tcMar>
              <w:top w:w="0" w:type="dxa"/>
              <w:left w:w="115" w:type="dxa"/>
              <w:bottom w:w="0" w:type="dxa"/>
              <w:right w:w="115" w:type="dxa"/>
            </w:tcMar>
          </w:tcPr>
          <w:p w:rsidR="00CC43D0" w:rsidRPr="00E21AB1" w:rsidP="00DD131B" w14:paraId="1526B1B9" w14:textId="50D03CE3">
            <w:pPr>
              <w:rPr>
                <w:rFonts w:ascii="Times New Roman" w:hAnsi="Times New Roman" w:cs="Times New Roman"/>
                <w:b/>
                <w:bCs/>
                <w:sz w:val="20"/>
                <w:szCs w:val="20"/>
              </w:rPr>
            </w:pPr>
            <w:r>
              <w:rPr>
                <w:rFonts w:ascii="Times New Roman" w:hAnsi="Times New Roman" w:cs="Times New Roman"/>
                <w:b/>
                <w:bCs/>
                <w:sz w:val="20"/>
                <w:szCs w:val="20"/>
              </w:rPr>
              <w:t>2,178</w:t>
            </w:r>
          </w:p>
        </w:tc>
        <w:tc>
          <w:tcPr>
            <w:tcW w:w="1427" w:type="dxa"/>
            <w:shd w:val="clear" w:color="auto" w:fill="D9D9D9"/>
            <w:tcMar>
              <w:top w:w="0" w:type="dxa"/>
              <w:left w:w="0" w:type="dxa"/>
              <w:bottom w:w="0" w:type="dxa"/>
              <w:right w:w="0" w:type="dxa"/>
            </w:tcMar>
          </w:tcPr>
          <w:p w:rsidR="00CC43D0" w:rsidRPr="00E21AB1" w:rsidP="00DD131B" w14:paraId="087CC214" w14:textId="77777777">
            <w:pPr>
              <w:rPr>
                <w:rFonts w:ascii="Times New Roman" w:hAnsi="Times New Roman" w:cs="Times New Roman"/>
                <w:sz w:val="20"/>
                <w:szCs w:val="20"/>
              </w:rPr>
            </w:pPr>
          </w:p>
        </w:tc>
        <w:tc>
          <w:tcPr>
            <w:tcW w:w="1427" w:type="dxa"/>
            <w:shd w:val="clear" w:color="auto" w:fill="FFFFFF"/>
            <w:tcMar>
              <w:top w:w="0" w:type="dxa"/>
              <w:left w:w="115" w:type="dxa"/>
              <w:bottom w:w="0" w:type="dxa"/>
              <w:right w:w="115" w:type="dxa"/>
            </w:tcMar>
          </w:tcPr>
          <w:p w:rsidR="00CC43D0" w:rsidRPr="00E21AB1" w:rsidP="00DD131B" w14:paraId="352E31C3" w14:textId="25DA05CD">
            <w:pPr>
              <w:rPr>
                <w:rFonts w:ascii="Times New Roman" w:hAnsi="Times New Roman" w:cs="Times New Roman"/>
                <w:b/>
                <w:bCs/>
                <w:sz w:val="20"/>
                <w:szCs w:val="20"/>
              </w:rPr>
            </w:pPr>
            <w:r>
              <w:rPr>
                <w:rFonts w:ascii="Times New Roman" w:hAnsi="Times New Roman" w:cs="Times New Roman"/>
                <w:b/>
                <w:bCs/>
                <w:sz w:val="20"/>
                <w:szCs w:val="20"/>
              </w:rPr>
              <w:t>902,012</w:t>
            </w:r>
          </w:p>
        </w:tc>
        <w:tc>
          <w:tcPr>
            <w:tcW w:w="1438" w:type="dxa"/>
            <w:shd w:val="clear" w:color="auto" w:fill="FFFFFF"/>
            <w:tcMar>
              <w:top w:w="0" w:type="dxa"/>
              <w:left w:w="115" w:type="dxa"/>
              <w:bottom w:w="0" w:type="dxa"/>
              <w:right w:w="115" w:type="dxa"/>
            </w:tcMar>
          </w:tcPr>
          <w:p w:rsidR="00CC43D0" w:rsidRPr="00E21AB1" w:rsidP="00DD131B" w14:paraId="4837DE08" w14:textId="489E7776">
            <w:pPr>
              <w:rPr>
                <w:rFonts w:ascii="Times New Roman" w:hAnsi="Times New Roman" w:cs="Times New Roman"/>
                <w:b/>
                <w:bCs/>
                <w:sz w:val="20"/>
                <w:szCs w:val="20"/>
              </w:rPr>
            </w:pPr>
            <w:r>
              <w:rPr>
                <w:rFonts w:ascii="Times New Roman" w:hAnsi="Times New Roman" w:cs="Times New Roman"/>
                <w:b/>
                <w:bCs/>
                <w:sz w:val="20"/>
                <w:szCs w:val="20"/>
              </w:rPr>
              <w:t>278,004</w:t>
            </w:r>
          </w:p>
        </w:tc>
        <w:tc>
          <w:tcPr>
            <w:tcW w:w="1849" w:type="dxa"/>
            <w:tcMar>
              <w:top w:w="0" w:type="dxa"/>
              <w:left w:w="0" w:type="dxa"/>
              <w:bottom w:w="0" w:type="dxa"/>
              <w:right w:w="0" w:type="dxa"/>
            </w:tcMar>
          </w:tcPr>
          <w:p w:rsidR="00CC43D0" w:rsidRPr="00E21AB1" w:rsidP="00DD131B" w14:paraId="224DAABB" w14:textId="166682F3">
            <w:pPr>
              <w:rPr>
                <w:rFonts w:ascii="Times New Roman" w:hAnsi="Times New Roman" w:cs="Times New Roman"/>
                <w:b/>
                <w:bCs/>
                <w:sz w:val="20"/>
                <w:szCs w:val="20"/>
              </w:rPr>
            </w:pPr>
            <w:r>
              <w:rPr>
                <w:rFonts w:ascii="Times New Roman" w:hAnsi="Times New Roman" w:cs="Times New Roman"/>
                <w:b/>
                <w:bCs/>
                <w:sz w:val="20"/>
                <w:szCs w:val="20"/>
              </w:rPr>
              <w:t>$3</w:t>
            </w:r>
            <w:r w:rsidR="00E41166">
              <w:rPr>
                <w:rFonts w:ascii="Times New Roman" w:hAnsi="Times New Roman" w:cs="Times New Roman"/>
                <w:b/>
                <w:bCs/>
                <w:sz w:val="20"/>
                <w:szCs w:val="20"/>
              </w:rPr>
              <w:t>2</w:t>
            </w:r>
            <w:r>
              <w:rPr>
                <w:rFonts w:ascii="Times New Roman" w:hAnsi="Times New Roman" w:cs="Times New Roman"/>
                <w:b/>
                <w:bCs/>
                <w:sz w:val="20"/>
                <w:szCs w:val="20"/>
              </w:rPr>
              <w:t>,812,942</w:t>
            </w:r>
          </w:p>
        </w:tc>
      </w:tr>
    </w:tbl>
    <w:p w:rsidR="00186DCC" w14:paraId="30C87636" w14:textId="77777777">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FB4794" w:rsidP="00186DCC" w14:paraId="534B10F9" w14:textId="67669BFC">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Attachment B</w:t>
      </w:r>
    </w:p>
    <w:p w:rsidR="00186DCC" w:rsidRPr="009169F1" w:rsidP="00186DCC" w14:paraId="0C220B7A" w14:textId="472D451C">
      <w:pPr>
        <w:spacing w:before="240" w:after="240" w:line="240" w:lineRule="auto"/>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3038-0009</w:t>
      </w:r>
    </w:p>
    <w:p w:rsidR="00F71BCE" w:rsidRPr="009169F1" w:rsidP="00F71BCE" w14:paraId="1CB4CB6C" w14:textId="1DB4AD1F">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For Collection 3038-00</w:t>
      </w:r>
      <w:r w:rsidR="00396898">
        <w:rPr>
          <w:rFonts w:ascii="Times New Roman" w:hAnsi="Times New Roman" w:cs="Times New Roman"/>
          <w:b/>
          <w:bCs/>
          <w:sz w:val="24"/>
          <w:szCs w:val="24"/>
        </w:rPr>
        <w:t>0</w:t>
      </w:r>
      <w:r>
        <w:rPr>
          <w:rFonts w:ascii="Times New Roman" w:hAnsi="Times New Roman" w:cs="Times New Roman"/>
          <w:b/>
          <w:bCs/>
          <w:sz w:val="24"/>
          <w:szCs w:val="24"/>
        </w:rPr>
        <w:t xml:space="preserve">9, the </w:t>
      </w:r>
      <w:r w:rsidR="00396898">
        <w:rPr>
          <w:rFonts w:ascii="Times New Roman" w:hAnsi="Times New Roman" w:cs="Times New Roman"/>
          <w:b/>
          <w:bCs/>
          <w:sz w:val="24"/>
          <w:szCs w:val="24"/>
        </w:rPr>
        <w:t xml:space="preserve">Commission does not anticipate that any additional </w:t>
      </w:r>
      <w:r>
        <w:rPr>
          <w:rFonts w:ascii="Times New Roman" w:hAnsi="Times New Roman" w:cs="Times New Roman"/>
          <w:b/>
          <w:bCs/>
          <w:sz w:val="24"/>
          <w:szCs w:val="24"/>
        </w:rPr>
        <w:t>C</w:t>
      </w:r>
      <w:r w:rsidRPr="009169F1">
        <w:rPr>
          <w:rFonts w:ascii="Times New Roman" w:hAnsi="Times New Roman" w:cs="Times New Roman"/>
          <w:b/>
          <w:bCs/>
          <w:sz w:val="24"/>
          <w:szCs w:val="24"/>
        </w:rPr>
        <w:t>apital/Start-Up and Operation/Maintenance Costs</w:t>
      </w:r>
      <w:r w:rsidRPr="009169F1" w:rsidR="003424AB">
        <w:rPr>
          <w:rFonts w:ascii="Times New Roman" w:hAnsi="Times New Roman" w:cs="Times New Roman"/>
          <w:b/>
          <w:bCs/>
          <w:sz w:val="24"/>
          <w:szCs w:val="24"/>
        </w:rPr>
        <w:t xml:space="preserve"> </w:t>
      </w:r>
      <w:r w:rsidR="00396898">
        <w:rPr>
          <w:rFonts w:ascii="Times New Roman" w:hAnsi="Times New Roman" w:cs="Times New Roman"/>
          <w:b/>
          <w:bCs/>
          <w:sz w:val="24"/>
          <w:szCs w:val="24"/>
        </w:rPr>
        <w:t xml:space="preserve">will </w:t>
      </w:r>
      <w:r w:rsidR="004B6BCD">
        <w:rPr>
          <w:rFonts w:ascii="Times New Roman" w:hAnsi="Times New Roman" w:cs="Times New Roman"/>
          <w:b/>
          <w:bCs/>
          <w:sz w:val="24"/>
          <w:szCs w:val="24"/>
        </w:rPr>
        <w:t xml:space="preserve">result from the proposed rules.  Accordingly, the Commission is </w:t>
      </w:r>
      <w:r w:rsidR="004B6BCD">
        <w:rPr>
          <w:rFonts w:ascii="Times New Roman" w:hAnsi="Times New Roman" w:cs="Times New Roman"/>
          <w:b/>
          <w:bCs/>
          <w:sz w:val="24"/>
          <w:szCs w:val="24"/>
          <w:u w:val="single"/>
        </w:rPr>
        <w:t>retaining</w:t>
      </w:r>
      <w:r w:rsidR="004B6BCD">
        <w:rPr>
          <w:rFonts w:ascii="Times New Roman" w:hAnsi="Times New Roman" w:cs="Times New Roman"/>
          <w:b/>
          <w:bCs/>
          <w:sz w:val="24"/>
          <w:szCs w:val="24"/>
        </w:rPr>
        <w:t xml:space="preserve"> its existing capital cost estimates as shown below:</w:t>
      </w:r>
    </w:p>
    <w:tbl>
      <w:tblPr>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78"/>
        <w:gridCol w:w="2930"/>
        <w:gridCol w:w="2556"/>
        <w:gridCol w:w="1521"/>
      </w:tblGrid>
      <w:tr w14:paraId="4A6EFF33" w14:textId="77777777" w:rsidTr="009169F1">
        <w:tblPrEx>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898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66EE0" w:rsidRPr="00566EE0" w:rsidP="00CF160F" w14:paraId="5078EED3" w14:textId="16CDFBBC">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Existing Capital </w:t>
            </w:r>
            <w:r>
              <w:rPr>
                <w:rFonts w:ascii="Times New Roman" w:hAnsi="Times New Roman" w:cs="Times New Roman"/>
                <w:b/>
                <w:bCs/>
                <w:sz w:val="24"/>
                <w:szCs w:val="24"/>
              </w:rPr>
              <w:t>Costs</w:t>
            </w:r>
            <w:r w:rsidR="007C6DE6">
              <w:rPr>
                <w:rFonts w:ascii="Times New Roman" w:hAnsi="Times New Roman" w:cs="Times New Roman"/>
                <w:b/>
                <w:bCs/>
                <w:sz w:val="24"/>
                <w:szCs w:val="24"/>
              </w:rPr>
              <w:t>-Being</w:t>
            </w:r>
            <w:r w:rsidR="007C6DE6">
              <w:rPr>
                <w:rFonts w:ascii="Times New Roman" w:hAnsi="Times New Roman" w:cs="Times New Roman"/>
                <w:b/>
                <w:bCs/>
                <w:sz w:val="24"/>
                <w:szCs w:val="24"/>
              </w:rPr>
              <w:t xml:space="preserve"> Retained As-Is</w:t>
            </w:r>
          </w:p>
        </w:tc>
      </w:tr>
      <w:tr w14:paraId="06ADF17B" w14:textId="77777777" w:rsidTr="009169F1">
        <w:tblPrEx>
          <w:tblW w:w="8985" w:type="dxa"/>
          <w:tblInd w:w="352" w:type="dxa"/>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F71BCE" w:rsidRPr="00F71BCE" w:rsidP="00CF160F" w14:paraId="3B574300"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Regulation</w:t>
            </w:r>
            <w:r w:rsidRPr="00F71BCE">
              <w:rPr>
                <w:rFonts w:ascii="Times New Roman" w:hAnsi="Times New Roman" w:cs="Times New Roman"/>
                <w:sz w:val="24"/>
                <w:szCs w:val="24"/>
              </w:rPr>
              <w:t> </w:t>
            </w:r>
          </w:p>
        </w:tc>
        <w:tc>
          <w:tcPr>
            <w:tcW w:w="2930" w:type="dxa"/>
            <w:tcBorders>
              <w:top w:val="single" w:sz="6" w:space="0" w:color="auto"/>
              <w:left w:val="single" w:sz="6" w:space="0" w:color="auto"/>
              <w:bottom w:val="single" w:sz="6" w:space="0" w:color="auto"/>
              <w:right w:val="single" w:sz="6" w:space="0" w:color="auto"/>
            </w:tcBorders>
            <w:hideMark/>
          </w:tcPr>
          <w:p w:rsidR="00F71BCE" w:rsidRPr="00F71BCE" w:rsidP="00CF160F" w14:paraId="1DB222AE"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Annual Capital/Start-Up Costs</w:t>
            </w:r>
            <w:r w:rsidRPr="00F71BCE">
              <w:rPr>
                <w:rFonts w:ascii="Times New Roman" w:hAnsi="Times New Roman" w:cs="Times New Roman"/>
                <w:sz w:val="24"/>
                <w:szCs w:val="24"/>
              </w:rPr>
              <w:t> </w:t>
            </w:r>
          </w:p>
        </w:tc>
        <w:tc>
          <w:tcPr>
            <w:tcW w:w="2556" w:type="dxa"/>
            <w:tcBorders>
              <w:top w:val="single" w:sz="6" w:space="0" w:color="auto"/>
              <w:left w:val="single" w:sz="6" w:space="0" w:color="auto"/>
              <w:bottom w:val="single" w:sz="6" w:space="0" w:color="auto"/>
              <w:right w:val="single" w:sz="6" w:space="0" w:color="auto"/>
            </w:tcBorders>
            <w:hideMark/>
          </w:tcPr>
          <w:p w:rsidR="00F71BCE" w:rsidRPr="00F71BCE" w:rsidP="00CF160F" w14:paraId="55E93238"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Annual Operating/Maintenance Costs</w:t>
            </w:r>
          </w:p>
        </w:tc>
        <w:tc>
          <w:tcPr>
            <w:tcW w:w="1521" w:type="dxa"/>
            <w:tcBorders>
              <w:top w:val="single" w:sz="6" w:space="0" w:color="auto"/>
              <w:left w:val="single" w:sz="6" w:space="0" w:color="auto"/>
              <w:bottom w:val="single" w:sz="6" w:space="0" w:color="auto"/>
              <w:right w:val="single" w:sz="6" w:space="0" w:color="auto"/>
            </w:tcBorders>
            <w:hideMark/>
          </w:tcPr>
          <w:p w:rsidR="00F71BCE" w:rsidRPr="00F71BCE" w:rsidP="00CF160F" w14:paraId="6E387358"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Total</w:t>
            </w:r>
          </w:p>
        </w:tc>
      </w:tr>
      <w:tr w14:paraId="021B1339" w14:textId="77777777" w:rsidTr="009169F1">
        <w:tblPrEx>
          <w:tblW w:w="8985" w:type="dxa"/>
          <w:tblInd w:w="352" w:type="dxa"/>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F71BCE" w:rsidRPr="00F71BCE" w:rsidP="00CF160F" w14:paraId="5A15AE8F"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17.00 </w:t>
            </w:r>
          </w:p>
        </w:tc>
        <w:tc>
          <w:tcPr>
            <w:tcW w:w="2930" w:type="dxa"/>
            <w:tcBorders>
              <w:top w:val="single" w:sz="6" w:space="0" w:color="auto"/>
              <w:left w:val="single" w:sz="6" w:space="0" w:color="auto"/>
              <w:bottom w:val="single" w:sz="6" w:space="0" w:color="auto"/>
              <w:right w:val="single" w:sz="6" w:space="0" w:color="auto"/>
            </w:tcBorders>
            <w:hideMark/>
          </w:tcPr>
          <w:p w:rsidR="00F71BCE" w:rsidRPr="00F71BCE" w:rsidP="00CF160F" w14:paraId="0CD68A9B"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$3,303,328</w:t>
            </w:r>
          </w:p>
        </w:tc>
        <w:tc>
          <w:tcPr>
            <w:tcW w:w="2556" w:type="dxa"/>
            <w:tcBorders>
              <w:top w:val="single" w:sz="6" w:space="0" w:color="auto"/>
              <w:left w:val="single" w:sz="6" w:space="0" w:color="auto"/>
              <w:bottom w:val="single" w:sz="6" w:space="0" w:color="auto"/>
              <w:right w:val="single" w:sz="6" w:space="0" w:color="auto"/>
            </w:tcBorders>
            <w:hideMark/>
          </w:tcPr>
          <w:p w:rsidR="00F71BCE" w:rsidRPr="00F71BCE" w:rsidP="00CF160F" w14:paraId="1D9009F1"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$2,732,544</w:t>
            </w:r>
          </w:p>
        </w:tc>
        <w:tc>
          <w:tcPr>
            <w:tcW w:w="1521" w:type="dxa"/>
            <w:tcBorders>
              <w:top w:val="single" w:sz="6" w:space="0" w:color="auto"/>
              <w:left w:val="single" w:sz="6" w:space="0" w:color="auto"/>
              <w:bottom w:val="single" w:sz="6" w:space="0" w:color="auto"/>
              <w:right w:val="single" w:sz="6" w:space="0" w:color="auto"/>
            </w:tcBorders>
            <w:hideMark/>
          </w:tcPr>
          <w:p w:rsidR="00F71BCE" w:rsidRPr="00F71BCE" w:rsidP="00CF160F" w14:paraId="39DA2DC8"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$6,035,872</w:t>
            </w:r>
          </w:p>
        </w:tc>
      </w:tr>
    </w:tbl>
    <w:p w:rsidR="00DC7C1E" w:rsidRPr="009169F1" w:rsidP="00186DCC" w14:paraId="4260C2A5" w14:textId="3B8A7B77">
      <w:pPr>
        <w:spacing w:before="240" w:after="240" w:line="240" w:lineRule="auto"/>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3038-0012</w:t>
      </w:r>
    </w:p>
    <w:p w:rsidR="003F45E8" w:rsidRPr="009169F1" w:rsidP="009169F1" w14:paraId="0D1747B3" w14:textId="1A9D39D7">
      <w:pPr>
        <w:spacing w:before="240" w:after="360" w:line="240" w:lineRule="auto"/>
        <w:rPr>
          <w:rFonts w:ascii="Times New Roman" w:hAnsi="Times New Roman" w:cs="Times New Roman"/>
          <w:b/>
          <w:bCs/>
          <w:sz w:val="24"/>
          <w:szCs w:val="24"/>
        </w:rPr>
      </w:pPr>
      <w:r>
        <w:rPr>
          <w:rFonts w:ascii="Times New Roman" w:hAnsi="Times New Roman" w:cs="Times New Roman"/>
          <w:b/>
          <w:bCs/>
          <w:sz w:val="24"/>
          <w:szCs w:val="24"/>
        </w:rPr>
        <w:t>For Collection 3038-0012, there are no currently estimated C</w:t>
      </w:r>
      <w:r w:rsidRPr="00175592">
        <w:rPr>
          <w:rFonts w:ascii="Times New Roman" w:hAnsi="Times New Roman" w:cs="Times New Roman"/>
          <w:b/>
          <w:bCs/>
          <w:sz w:val="24"/>
          <w:szCs w:val="24"/>
        </w:rPr>
        <w:t>apital/Start-Up and Operation/Maintenance Costs</w:t>
      </w:r>
      <w:r>
        <w:rPr>
          <w:rFonts w:ascii="Times New Roman" w:hAnsi="Times New Roman" w:cs="Times New Roman"/>
          <w:b/>
          <w:bCs/>
          <w:sz w:val="24"/>
          <w:szCs w:val="24"/>
        </w:rPr>
        <w:t xml:space="preserve">.  As a result of this rulemaking, the Commission estimates that the following </w:t>
      </w:r>
      <w:r w:rsidR="00F351B2">
        <w:rPr>
          <w:rFonts w:ascii="Times New Roman" w:hAnsi="Times New Roman" w:cs="Times New Roman"/>
          <w:b/>
          <w:bCs/>
          <w:sz w:val="24"/>
          <w:szCs w:val="24"/>
        </w:rPr>
        <w:t>capital costs would be added:</w:t>
      </w:r>
    </w:p>
    <w:tbl>
      <w:tblPr>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78"/>
        <w:gridCol w:w="2930"/>
        <w:gridCol w:w="2556"/>
        <w:gridCol w:w="1521"/>
      </w:tblGrid>
      <w:tr w14:paraId="203A1A82" w14:textId="77777777" w:rsidTr="00CF1FEB">
        <w:tblPrEx>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565556" w:rsidRPr="00F71BCE" w:rsidP="00CF160F" w14:paraId="3B3E48F0"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Regulation</w:t>
            </w:r>
            <w:r w:rsidRPr="00F71BCE">
              <w:rPr>
                <w:rFonts w:ascii="Times New Roman" w:hAnsi="Times New Roman" w:cs="Times New Roman"/>
                <w:sz w:val="24"/>
                <w:szCs w:val="24"/>
              </w:rPr>
              <w:t> </w:t>
            </w:r>
          </w:p>
        </w:tc>
        <w:tc>
          <w:tcPr>
            <w:tcW w:w="2930" w:type="dxa"/>
            <w:tcBorders>
              <w:top w:val="single" w:sz="6" w:space="0" w:color="auto"/>
              <w:left w:val="single" w:sz="6" w:space="0" w:color="auto"/>
              <w:bottom w:val="single" w:sz="6" w:space="0" w:color="auto"/>
              <w:right w:val="single" w:sz="6" w:space="0" w:color="auto"/>
            </w:tcBorders>
            <w:hideMark/>
          </w:tcPr>
          <w:p w:rsidR="00565556" w:rsidRPr="00F71BCE" w:rsidP="00CF160F" w14:paraId="5F80F0C8"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Annual Capital/Start-Up Costs</w:t>
            </w:r>
            <w:r w:rsidRPr="00F71BCE">
              <w:rPr>
                <w:rFonts w:ascii="Times New Roman" w:hAnsi="Times New Roman" w:cs="Times New Roman"/>
                <w:sz w:val="24"/>
                <w:szCs w:val="24"/>
              </w:rPr>
              <w:t> </w:t>
            </w:r>
          </w:p>
        </w:tc>
        <w:tc>
          <w:tcPr>
            <w:tcW w:w="2556" w:type="dxa"/>
            <w:tcBorders>
              <w:top w:val="single" w:sz="6" w:space="0" w:color="auto"/>
              <w:left w:val="single" w:sz="6" w:space="0" w:color="auto"/>
              <w:bottom w:val="single" w:sz="6" w:space="0" w:color="auto"/>
              <w:right w:val="single" w:sz="6" w:space="0" w:color="auto"/>
            </w:tcBorders>
            <w:hideMark/>
          </w:tcPr>
          <w:p w:rsidR="00565556" w:rsidRPr="00F71BCE" w:rsidP="00CF160F" w14:paraId="70A22170"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Annual Operating/Maintenance Costs</w:t>
            </w:r>
          </w:p>
        </w:tc>
        <w:tc>
          <w:tcPr>
            <w:tcW w:w="1521" w:type="dxa"/>
            <w:tcBorders>
              <w:top w:val="single" w:sz="6" w:space="0" w:color="auto"/>
              <w:left w:val="single" w:sz="6" w:space="0" w:color="auto"/>
              <w:bottom w:val="single" w:sz="6" w:space="0" w:color="auto"/>
              <w:right w:val="single" w:sz="6" w:space="0" w:color="auto"/>
            </w:tcBorders>
            <w:hideMark/>
          </w:tcPr>
          <w:p w:rsidR="00565556" w:rsidRPr="00F71BCE" w:rsidP="00CF160F" w14:paraId="16E9BE66"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Total</w:t>
            </w:r>
          </w:p>
        </w:tc>
      </w:tr>
      <w:tr w14:paraId="7B7638DC" w14:textId="77777777" w:rsidTr="00CF1FEB">
        <w:tblPrEx>
          <w:tblW w:w="8985" w:type="dxa"/>
          <w:tblInd w:w="352" w:type="dxa"/>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CF1FEB" w:rsidRPr="00F71BCE" w:rsidP="00CF160F" w14:paraId="7017C3B1" w14:textId="7B04734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16.03(b)</w:t>
            </w:r>
            <w:r w:rsidRPr="00F71BCE">
              <w:rPr>
                <w:rFonts w:ascii="Times New Roman" w:hAnsi="Times New Roman" w:cs="Times New Roman"/>
                <w:sz w:val="24"/>
                <w:szCs w:val="24"/>
              </w:rPr>
              <w:t> </w:t>
            </w:r>
          </w:p>
        </w:tc>
        <w:tc>
          <w:tcPr>
            <w:tcW w:w="2930" w:type="dxa"/>
            <w:tcBorders>
              <w:top w:val="single" w:sz="6" w:space="0" w:color="auto"/>
              <w:left w:val="single" w:sz="6" w:space="0" w:color="auto"/>
              <w:bottom w:val="single" w:sz="6" w:space="0" w:color="auto"/>
              <w:right w:val="single" w:sz="6" w:space="0" w:color="auto"/>
            </w:tcBorders>
            <w:hideMark/>
          </w:tcPr>
          <w:p w:rsidR="00CF1FEB" w:rsidRPr="00F71BCE" w:rsidP="00CF160F" w14:paraId="5ABB4EAA" w14:textId="531092B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$141,000</w:t>
            </w:r>
          </w:p>
        </w:tc>
        <w:tc>
          <w:tcPr>
            <w:tcW w:w="2556" w:type="dxa"/>
            <w:tcBorders>
              <w:top w:val="single" w:sz="6" w:space="0" w:color="auto"/>
              <w:left w:val="single" w:sz="6" w:space="0" w:color="auto"/>
              <w:bottom w:val="single" w:sz="6" w:space="0" w:color="auto"/>
              <w:right w:val="single" w:sz="6" w:space="0" w:color="auto"/>
            </w:tcBorders>
            <w:hideMark/>
          </w:tcPr>
          <w:p w:rsidR="00CF1FEB" w:rsidRPr="00F71BCE" w:rsidP="00CF160F" w14:paraId="5EC5C937" w14:textId="7CD8C0A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w:t>
            </w:r>
            <w:r w:rsidR="00A6131B">
              <w:rPr>
                <w:rFonts w:ascii="Times New Roman" w:hAnsi="Times New Roman" w:cs="Times New Roman"/>
                <w:sz w:val="24"/>
                <w:szCs w:val="24"/>
              </w:rPr>
              <w:t>67</w:t>
            </w:r>
            <w:r>
              <w:rPr>
                <w:rFonts w:ascii="Times New Roman" w:hAnsi="Times New Roman" w:cs="Times New Roman"/>
                <w:sz w:val="24"/>
                <w:szCs w:val="24"/>
              </w:rPr>
              <w:t>,680</w:t>
            </w:r>
          </w:p>
        </w:tc>
        <w:tc>
          <w:tcPr>
            <w:tcW w:w="1521" w:type="dxa"/>
            <w:tcBorders>
              <w:top w:val="single" w:sz="6" w:space="0" w:color="auto"/>
              <w:left w:val="single" w:sz="6" w:space="0" w:color="auto"/>
              <w:bottom w:val="single" w:sz="6" w:space="0" w:color="auto"/>
              <w:right w:val="single" w:sz="6" w:space="0" w:color="auto"/>
            </w:tcBorders>
            <w:hideMark/>
          </w:tcPr>
          <w:p w:rsidR="00CF1FEB" w:rsidRPr="00F71BCE" w:rsidP="00CF160F" w14:paraId="64C52DAD" w14:textId="593B08B5">
            <w:pPr>
              <w:spacing w:before="120" w:after="120" w:line="240" w:lineRule="auto"/>
              <w:rPr>
                <w:rFonts w:ascii="Times New Roman" w:hAnsi="Times New Roman" w:cs="Times New Roman"/>
                <w:sz w:val="24"/>
                <w:szCs w:val="24"/>
              </w:rPr>
            </w:pPr>
            <w:r>
              <w:rPr>
                <w:rFonts w:ascii="Times New Roman" w:hAnsi="Times New Roman" w:cs="Times New Roman"/>
                <w:sz w:val="24"/>
                <w:szCs w:val="24"/>
              </w:rPr>
              <w:t>$208,680</w:t>
            </w:r>
          </w:p>
        </w:tc>
      </w:tr>
    </w:tbl>
    <w:p w:rsidR="004D686F" w:rsidP="009A6B8E" w14:paraId="64E6C768" w14:textId="4CFE9D29">
      <w:pPr>
        <w:keepNext/>
        <w:keepLines/>
        <w:spacing w:before="240" w:after="240" w:line="240" w:lineRule="auto"/>
        <w:rPr>
          <w:rFonts w:ascii="Times New Roman" w:hAnsi="Times New Roman" w:cs="Times New Roman"/>
          <w:sz w:val="24"/>
          <w:szCs w:val="24"/>
        </w:rPr>
      </w:pPr>
      <w:r>
        <w:rPr>
          <w:rFonts w:ascii="Times New Roman" w:hAnsi="Times New Roman" w:cs="Times New Roman"/>
          <w:b/>
          <w:bCs/>
          <w:sz w:val="24"/>
          <w:szCs w:val="24"/>
          <w:u w:val="single"/>
        </w:rPr>
        <w:t>3038-0103</w:t>
      </w:r>
    </w:p>
    <w:p w:rsidR="004D686F" w:rsidRPr="001F3D1F" w:rsidP="009A6B8E" w14:paraId="4F686E31" w14:textId="793B748F">
      <w:pPr>
        <w:keepNext/>
        <w:keepLines/>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For Collection 3038-0012, there are no anticipated C</w:t>
      </w:r>
      <w:r w:rsidRPr="001F3D1F" w:rsidR="00EC41D7">
        <w:rPr>
          <w:rFonts w:ascii="Times New Roman" w:hAnsi="Times New Roman" w:cs="Times New Roman"/>
          <w:b/>
          <w:bCs/>
          <w:sz w:val="24"/>
          <w:szCs w:val="24"/>
        </w:rPr>
        <w:t>apital/Start-Up and Operation/Maintenance Costs</w:t>
      </w:r>
      <w:r>
        <w:rPr>
          <w:rFonts w:ascii="Times New Roman" w:hAnsi="Times New Roman" w:cs="Times New Roman"/>
          <w:b/>
          <w:bCs/>
          <w:sz w:val="24"/>
          <w:szCs w:val="24"/>
        </w:rPr>
        <w:t>.</w:t>
      </w:r>
    </w:p>
    <w:sectPr w:rsidSect="00F16BF8">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317B0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594226085"/>
      <w:docPartObj>
        <w:docPartGallery w:val="Page Numbers (Bottom of Page)"/>
        <w:docPartUnique/>
      </w:docPartObj>
    </w:sdtPr>
    <w:sdtEndPr>
      <w:rPr>
        <w:noProof/>
      </w:rPr>
    </w:sdtEndPr>
    <w:sdtContent>
      <w:p w:rsidR="006D513F" w:rsidRPr="00210C72" w14:paraId="780E850C" w14:textId="77777777">
        <w:pPr>
          <w:pStyle w:val="Footer"/>
          <w:jc w:val="center"/>
          <w:rPr>
            <w:rFonts w:ascii="Times New Roman" w:hAnsi="Times New Roman" w:cs="Times New Roman"/>
            <w:sz w:val="24"/>
            <w:szCs w:val="24"/>
          </w:rPr>
        </w:pPr>
        <w:r w:rsidRPr="00210C72">
          <w:rPr>
            <w:rFonts w:ascii="Times New Roman" w:hAnsi="Times New Roman" w:cs="Times New Roman"/>
            <w:sz w:val="24"/>
            <w:szCs w:val="24"/>
          </w:rPr>
          <w:fldChar w:fldCharType="begin"/>
        </w:r>
        <w:r w:rsidRPr="00210C72">
          <w:rPr>
            <w:rFonts w:ascii="Times New Roman" w:hAnsi="Times New Roman" w:cs="Times New Roman"/>
            <w:sz w:val="24"/>
            <w:szCs w:val="24"/>
          </w:rPr>
          <w:instrText xml:space="preserve"> PAGE   \* MERGEFORMAT </w:instrText>
        </w:r>
        <w:r w:rsidRPr="00210C72">
          <w:rPr>
            <w:rFonts w:ascii="Times New Roman" w:hAnsi="Times New Roman" w:cs="Times New Roman"/>
            <w:sz w:val="24"/>
            <w:szCs w:val="24"/>
          </w:rPr>
          <w:fldChar w:fldCharType="separate"/>
        </w:r>
        <w:r w:rsidRPr="00210C72">
          <w:rPr>
            <w:rFonts w:ascii="Times New Roman" w:hAnsi="Times New Roman" w:cs="Times New Roman"/>
            <w:noProof/>
            <w:sz w:val="24"/>
            <w:szCs w:val="24"/>
          </w:rPr>
          <w:t>2</w:t>
        </w:r>
        <w:r w:rsidRPr="00210C72">
          <w:rPr>
            <w:rFonts w:ascii="Times New Roman" w:hAnsi="Times New Roman" w:cs="Times New Roman"/>
            <w:noProof/>
            <w:sz w:val="24"/>
            <w:szCs w:val="24"/>
          </w:rPr>
          <w:fldChar w:fldCharType="end"/>
        </w:r>
      </w:p>
    </w:sdtContent>
  </w:sdt>
  <w:p w:rsidR="006D513F" w14:paraId="60131A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34FF0A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4586" w:rsidP="00D50C84" w14:paraId="65C25139" w14:textId="77777777">
      <w:pPr>
        <w:spacing w:after="0" w:line="240" w:lineRule="auto"/>
      </w:pPr>
      <w:r>
        <w:separator/>
      </w:r>
    </w:p>
  </w:footnote>
  <w:footnote w:type="continuationSeparator" w:id="1">
    <w:p w:rsidR="00C24586" w:rsidP="00D50C84" w14:paraId="6A8AC91B" w14:textId="77777777">
      <w:pPr>
        <w:spacing w:after="0" w:line="240" w:lineRule="auto"/>
      </w:pPr>
      <w:r>
        <w:continuationSeparator/>
      </w:r>
    </w:p>
  </w:footnote>
  <w:footnote w:type="continuationNotice" w:id="2">
    <w:p w:rsidR="00C24586" w14:paraId="08A07D17" w14:textId="77777777">
      <w:pPr>
        <w:spacing w:after="0" w:line="240" w:lineRule="auto"/>
      </w:pPr>
    </w:p>
  </w:footnote>
  <w:footnote w:id="3">
    <w:p w:rsidR="00B401C3" w:rsidRPr="00A72CBC" w:rsidP="00B401C3" w14:paraId="0003D04C"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1 </w:t>
      </w:r>
      <w:r w:rsidRPr="00A72CBC">
        <w:rPr>
          <w:rFonts w:ascii="Times New Roman" w:hAnsi="Times New Roman" w:cs="Times New Roman"/>
          <w:i/>
        </w:rPr>
        <w:t>et seq</w:t>
      </w:r>
      <w:r w:rsidRPr="00A72CBC">
        <w:rPr>
          <w:rFonts w:ascii="Times New Roman" w:hAnsi="Times New Roman" w:cs="Times New Roman"/>
        </w:rPr>
        <w:t>.  In addition, CEA § 8a(5) authorizes the Commission to promulgate such regulations as, in its judgment, are reasonably necessary to effectuate any provision of the CEA or to accomplish any of the purposes of the CEA.  7 U.S.C. 12a(5).  The OCR rules are also consistent with the purposes enumerated in CEA § 3(b), which states that the CEA seeks to ensure the financial integrity of regulated transactions and to prevent price manipulation and other disruptions to market integrity.  7 U.S.C. 5(b).</w:t>
      </w:r>
    </w:p>
  </w:footnote>
  <w:footnote w:id="4">
    <w:p w:rsidR="00B401C3" w:rsidRPr="00A72CBC" w:rsidP="00B401C3" w14:paraId="2D5AB300" w14:textId="77777777">
      <w:pPr>
        <w:pStyle w:val="PlainText"/>
        <w:rPr>
          <w:rFonts w:ascii="Times New Roman" w:hAnsi="Times New Roman"/>
          <w:sz w:val="20"/>
          <w:szCs w:val="20"/>
        </w:rPr>
      </w:pPr>
      <w:r w:rsidRPr="00A72CBC">
        <w:rPr>
          <w:rStyle w:val="FootnoteReference"/>
          <w:rFonts w:ascii="Times New Roman" w:hAnsi="Times New Roman"/>
          <w:sz w:val="20"/>
          <w:szCs w:val="20"/>
        </w:rPr>
        <w:footnoteRef/>
      </w:r>
      <w:r w:rsidRPr="00A72CBC">
        <w:rPr>
          <w:rFonts w:ascii="Times New Roman" w:hAnsi="Times New Roman"/>
          <w:sz w:val="20"/>
          <w:szCs w:val="20"/>
        </w:rPr>
        <w:t xml:space="preserve"> </w:t>
      </w:r>
      <w:r w:rsidRPr="00A72CBC">
        <w:rPr>
          <w:rFonts w:ascii="Times New Roman" w:hAnsi="Times New Roman"/>
          <w:i/>
          <w:sz w:val="20"/>
          <w:szCs w:val="20"/>
        </w:rPr>
        <w:t>See</w:t>
      </w:r>
      <w:r w:rsidRPr="00A72CBC">
        <w:rPr>
          <w:rFonts w:ascii="Times New Roman" w:hAnsi="Times New Roman"/>
          <w:sz w:val="20"/>
          <w:szCs w:val="20"/>
        </w:rPr>
        <w:t xml:space="preserve"> Dodd-Frank Wall Street Reform and Consumer Protection Act, Pub. L. 111-203, 124 Stat. 1376 (2010).  The text of the Dodd-Frank Act may be accessed at https://www.cftc.gov./LawRegulation/OTCDERIVATIVES/index.htm.</w:t>
      </w:r>
    </w:p>
  </w:footnote>
  <w:footnote w:id="5">
    <w:p w:rsidR="00B401C3" w:rsidRPr="00A72CBC" w:rsidP="00B401C3" w14:paraId="0B91D41B"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6a. </w:t>
      </w:r>
    </w:p>
  </w:footnote>
  <w:footnote w:id="6">
    <w:p w:rsidR="00B401C3" w:rsidRPr="00A72CBC" w:rsidP="00B401C3" w14:paraId="7482CD96"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6c(b).</w:t>
      </w:r>
    </w:p>
  </w:footnote>
  <w:footnote w:id="7">
    <w:p w:rsidR="00B401C3" w:rsidRPr="00A72CBC" w:rsidP="00B401C3" w14:paraId="5915D768"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6g(a)-(d).</w:t>
      </w:r>
    </w:p>
  </w:footnote>
  <w:footnote w:id="8">
    <w:p w:rsidR="00B401C3" w:rsidRPr="00A72CBC" w:rsidP="00B401C3" w14:paraId="35F5A632"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6i.</w:t>
      </w:r>
    </w:p>
  </w:footnote>
  <w:footnote w:id="9">
    <w:p w:rsidR="00D96E55" w:rsidRPr="00A72CBC" w:rsidP="00D96E55" w14:paraId="480C1A17"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A72CBC">
        <w:rPr>
          <w:rFonts w:ascii="Times New Roman" w:hAnsi="Times New Roman" w:cs="Times New Roman"/>
          <w:i/>
        </w:rPr>
        <w:t>See</w:t>
      </w:r>
      <w:r w:rsidRPr="00A72CBC">
        <w:rPr>
          <w:rFonts w:ascii="Times New Roman" w:hAnsi="Times New Roman" w:cs="Times New Roman"/>
        </w:rPr>
        <w:t xml:space="preserve"> 69 FR 76392 (December 21, 2004).  </w:t>
      </w:r>
    </w:p>
  </w:footnote>
  <w:footnote w:id="10">
    <w:p w:rsidR="00D96E55" w:rsidRPr="00A72CBC" w:rsidP="00D96E55" w14:paraId="1351B5CE"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1 </w:t>
      </w:r>
      <w:r w:rsidRPr="00A72CBC">
        <w:rPr>
          <w:rFonts w:ascii="Times New Roman" w:hAnsi="Times New Roman" w:cs="Times New Roman"/>
          <w:i/>
        </w:rPr>
        <w:t>et seq</w:t>
      </w:r>
      <w:r w:rsidRPr="00A72CBC">
        <w:rPr>
          <w:rFonts w:ascii="Times New Roman" w:hAnsi="Times New Roman" w:cs="Times New Roman"/>
        </w:rPr>
        <w:t>.</w:t>
      </w:r>
    </w:p>
  </w:footnote>
  <w:footnote w:id="11">
    <w:p w:rsidR="00D96E55" w:rsidRPr="00A72CBC" w:rsidP="00D96E55" w14:paraId="40B86452"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6a.</w:t>
      </w:r>
    </w:p>
  </w:footnote>
  <w:footnote w:id="12">
    <w:p w:rsidR="00D96E55" w:rsidRPr="00A72CBC" w:rsidP="00D96E55" w14:paraId="7CED7860"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6c(b).</w:t>
      </w:r>
    </w:p>
  </w:footnote>
  <w:footnote w:id="13">
    <w:p w:rsidR="00D96E55" w:rsidRPr="00A72CBC" w:rsidP="00D96E55" w14:paraId="3D2FEBDE"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w:t>
      </w:r>
    </w:p>
  </w:footnote>
  <w:footnote w:id="14">
    <w:p w:rsidR="00D96E55" w:rsidRPr="00A72CBC" w:rsidP="00D96E55" w14:paraId="72787A30"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6i.  In addition, CEA section 8a(5) is an enabling provision that grants to the Commission the authority to adopt regulations that in its judgment are reasonably necessary to accomplish any of the purposes of the Act.  7 U.S.C. 12a(5).  Pursuant to CEA section 3(b), the Act seeks to ensure the financial integrity of regulated transactions and to prevent price manipulation and other disruptions to market integrity.  7 U.S.C. 5(b).  Collectively, these purposes warrant the maintenance of an effective and vigorous system of market and financial surveillance.  </w:t>
      </w:r>
    </w:p>
  </w:footnote>
  <w:footnote w:id="15">
    <w:p w:rsidR="000C4F3B" w:rsidRPr="00A72CBC" w14:paraId="5AEF5D9B" w14:textId="1C2B1CBB">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 6g(5).  </w:t>
      </w:r>
    </w:p>
  </w:footnote>
  <w:footnote w:id="16">
    <w:p w:rsidR="00215688" w:rsidRPr="00A72CBC" w14:paraId="3A1811B2" w14:textId="350D490E">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6g(b).  </w:t>
      </w:r>
    </w:p>
  </w:footnote>
  <w:footnote w:id="17">
    <w:p w:rsidR="00215688" w:rsidRPr="00A72CBC" w14:paraId="32EC6FBA" w14:textId="0F16EF46">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6g(d).  </w:t>
      </w:r>
    </w:p>
  </w:footnote>
  <w:footnote w:id="18">
    <w:p w:rsidR="00215688" w:rsidRPr="00A72CBC" w14:paraId="07AA4F16" w14:textId="5904D272">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6g(e).  </w:t>
      </w:r>
    </w:p>
  </w:footnote>
  <w:footnote w:id="19">
    <w:p w:rsidR="004D2E24" w:rsidRPr="00A72CBC" w14:paraId="4412FBEE" w14:textId="0B43B23F">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17 CFR </w:t>
      </w:r>
      <w:r w:rsidRPr="00A72CBC" w:rsidR="0002516F">
        <w:rPr>
          <w:rFonts w:ascii="Times New Roman" w:hAnsi="Times New Roman" w:cs="Times New Roman"/>
        </w:rPr>
        <w:t>18.04.</w:t>
      </w:r>
    </w:p>
  </w:footnote>
  <w:footnote w:id="20">
    <w:p w:rsidR="0002516F" w:rsidRPr="00A72CBC" w14:paraId="47E8499A" w14:textId="32C99AC4">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17 CFR 17.01</w:t>
      </w:r>
      <w:r w:rsidRPr="00A72CBC" w:rsidR="008344E9">
        <w:rPr>
          <w:rFonts w:ascii="Times New Roman" w:hAnsi="Times New Roman" w:cs="Times New Roman"/>
        </w:rPr>
        <w:t>(a).</w:t>
      </w:r>
    </w:p>
  </w:footnote>
  <w:footnote w:id="21">
    <w:p w:rsidR="0002516F" w:rsidRPr="00A72CBC" w14:paraId="691165C6" w14:textId="3E0BAA64">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17 CFR 17.0</w:t>
      </w:r>
      <w:r w:rsidRPr="00A72CBC" w:rsidR="008344E9">
        <w:rPr>
          <w:rFonts w:ascii="Times New Roman" w:hAnsi="Times New Roman" w:cs="Times New Roman"/>
        </w:rPr>
        <w:t>1(b).</w:t>
      </w:r>
    </w:p>
  </w:footnote>
  <w:footnote w:id="22">
    <w:p w:rsidR="008E1363" w:rsidRPr="00A72CBC" w14:paraId="3E7F9842" w14:textId="4F317C52">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w:t>
      </w:r>
      <w:r w:rsidRPr="00A72CBC" w:rsidR="008344E9">
        <w:rPr>
          <w:rFonts w:ascii="Times New Roman" w:hAnsi="Times New Roman" w:cs="Times New Roman"/>
        </w:rPr>
        <w:t>17 CFR 17.01(c)</w:t>
      </w:r>
    </w:p>
  </w:footnote>
  <w:footnote w:id="23">
    <w:p w:rsidR="004F172A" w:rsidRPr="00D13B90" w:rsidP="004F172A" w14:paraId="145CC323" w14:textId="3DEFDE19">
      <w:pPr>
        <w:pStyle w:val="FootnoteText"/>
        <w:jc w:val="both"/>
        <w:rPr>
          <w:rFonts w:ascii="Times New Roman" w:hAnsi="Times New Roman" w:eastAsiaTheme="minorEastAsia" w:cs="Times New Roman"/>
          <w:iCs/>
        </w:rPr>
      </w:pPr>
      <w:r w:rsidRPr="00A72CBC">
        <w:rPr>
          <w:rStyle w:val="FootnoteReference"/>
          <w:rFonts w:ascii="Times New Roman" w:hAnsi="Times New Roman" w:cs="Times New Roman"/>
        </w:rPr>
        <w:footnoteRef/>
      </w:r>
      <w:r w:rsidRPr="00A72CBC">
        <w:rPr>
          <w:rFonts w:ascii="Times New Roman" w:hAnsi="Times New Roman" w:cs="Times New Roman"/>
        </w:rPr>
        <w:t xml:space="preserve"> </w:t>
      </w:r>
      <w:r w:rsidR="00974236">
        <w:rPr>
          <w:rFonts w:ascii="Times New Roman" w:hAnsi="Times New Roman" w:cs="Times New Roman"/>
          <w:i/>
          <w:iCs/>
        </w:rPr>
        <w:t>See,</w:t>
      </w:r>
      <w:r w:rsidR="00D13B90">
        <w:rPr>
          <w:rFonts w:ascii="Times New Roman" w:hAnsi="Times New Roman" w:cs="Times New Roman"/>
          <w:i/>
        </w:rPr>
        <w:t xml:space="preserve"> e.g.</w:t>
      </w:r>
      <w:r w:rsidR="00D13B90">
        <w:rPr>
          <w:rFonts w:ascii="Times New Roman" w:hAnsi="Times New Roman" w:cs="Times New Roman"/>
          <w:iCs/>
        </w:rPr>
        <w:t xml:space="preserve">, CFTC Letter No. 26-14 (May 12, 2026), </w:t>
      </w:r>
      <w:r w:rsidR="00D13B90">
        <w:rPr>
          <w:rFonts w:ascii="Times New Roman" w:hAnsi="Times New Roman" w:cs="Times New Roman"/>
          <w:i/>
        </w:rPr>
        <w:t>available at</w:t>
      </w:r>
      <w:r w:rsidR="00D13B90">
        <w:rPr>
          <w:rFonts w:ascii="Times New Roman" w:hAnsi="Times New Roman" w:cs="Times New Roman"/>
          <w:iCs/>
        </w:rPr>
        <w:t xml:space="preserve"> </w:t>
      </w:r>
      <w:hyperlink r:id="rId1" w:history="1">
        <w:r w:rsidRPr="009641E9" w:rsidR="00D13B90">
          <w:rPr>
            <w:rStyle w:val="Hyperlink"/>
            <w:rFonts w:ascii="Times New Roman" w:hAnsi="Times New Roman" w:cs="Times New Roman"/>
            <w:iCs/>
          </w:rPr>
          <w:t>https://www.cftc.gov/csl/26-14/download</w:t>
        </w:r>
      </w:hyperlink>
      <w:r w:rsidR="00D13B90">
        <w:rPr>
          <w:rFonts w:ascii="Times New Roman" w:hAnsi="Times New Roman" w:cs="Times New Roman"/>
          <w:iCs/>
        </w:rPr>
        <w:t xml:space="preserve"> (discussing history of no-action requests relating to swap reporting for event contracts).</w:t>
      </w:r>
    </w:p>
  </w:footnote>
  <w:footnote w:id="24">
    <w:p w:rsidR="006D513F" w:rsidRPr="00A72CBC" w:rsidP="00FF7177" w14:paraId="0F8F1814" w14:textId="77777777">
      <w:pPr>
        <w:autoSpaceDE w:val="0"/>
        <w:autoSpaceDN w:val="0"/>
        <w:adjustRightInd w:val="0"/>
        <w:spacing w:after="120"/>
        <w:rPr>
          <w:rFonts w:ascii="Times New Roman" w:hAnsi="Times New Roman" w:cs="Times New Roman"/>
          <w:sz w:val="20"/>
          <w:szCs w:val="20"/>
        </w:rPr>
      </w:pPr>
      <w:r w:rsidRPr="00A72CBC">
        <w:rPr>
          <w:rStyle w:val="FootnoteReference"/>
          <w:rFonts w:ascii="Times New Roman" w:hAnsi="Times New Roman" w:cs="Times New Roman"/>
          <w:sz w:val="20"/>
          <w:szCs w:val="20"/>
        </w:rPr>
        <w:footnoteRef/>
      </w:r>
      <w:r w:rsidRPr="00A72CBC">
        <w:rPr>
          <w:rFonts w:ascii="Times New Roman" w:hAnsi="Times New Roman" w:cs="Times New Roman"/>
          <w:sz w:val="20"/>
          <w:szCs w:val="20"/>
        </w:rPr>
        <w:t xml:space="preserve"> </w:t>
      </w:r>
      <w:r w:rsidRPr="00A72CBC">
        <w:rPr>
          <w:rFonts w:ascii="Times New Roman" w:eastAsia="Calibri" w:hAnsi="Times New Roman" w:cs="Times New Roman"/>
          <w:i/>
          <w:sz w:val="20"/>
          <w:szCs w:val="20"/>
        </w:rPr>
        <w:t>Policy Statement and Establishment of “Small Entities” for purposes of the Regulatory Flexibility Act</w:t>
      </w:r>
      <w:r w:rsidRPr="00A72CBC">
        <w:rPr>
          <w:rFonts w:ascii="Times New Roman" w:eastAsia="Calibri" w:hAnsi="Times New Roman" w:cs="Times New Roman"/>
          <w:sz w:val="20"/>
          <w:szCs w:val="20"/>
        </w:rPr>
        <w:t>, 47 FR 18618 (Apr. 30, 1982).</w:t>
      </w:r>
    </w:p>
  </w:footnote>
  <w:footnote w:id="25">
    <w:p w:rsidR="00853679" w:rsidRPr="00A72CBC" w14:paraId="085F845E" w14:textId="215C661F">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w:t>
      </w:r>
      <w:r w:rsidRPr="00A72CBC">
        <w:rPr>
          <w:rFonts w:ascii="Times New Roman" w:hAnsi="Times New Roman" w:cs="Times New Roman"/>
          <w:i/>
          <w:iCs/>
        </w:rPr>
        <w:t>Available at</w:t>
      </w:r>
      <w:r w:rsidRPr="00A72CBC">
        <w:rPr>
          <w:rFonts w:ascii="Times New Roman" w:hAnsi="Times New Roman" w:cs="Times New Roman"/>
        </w:rPr>
        <w:t xml:space="preserve"> https://www.bls.gov/oes/tables.htm.</w:t>
      </w:r>
    </w:p>
  </w:footnote>
  <w:footnote w:id="26">
    <w:p w:rsidR="00A779BC" w:rsidRPr="00A779BC" w:rsidP="00A779BC" w14:paraId="5072F806" w14:textId="472D9886">
      <w:pPr>
        <w:pStyle w:val="FootnoteText"/>
        <w:rPr>
          <w:rFonts w:ascii="Times New Roman" w:hAnsi="Times New Roman" w:cs="Times New Roman"/>
        </w:rPr>
      </w:pPr>
      <w:r w:rsidRPr="00A779BC">
        <w:rPr>
          <w:rStyle w:val="FootnoteReference"/>
          <w:rFonts w:ascii="Times New Roman" w:hAnsi="Times New Roman" w:cs="Times New Roman"/>
        </w:rPr>
        <w:footnoteRef/>
      </w:r>
      <w:r w:rsidRPr="00A779BC">
        <w:rPr>
          <w:rFonts w:ascii="Times New Roman" w:hAnsi="Times New Roman" w:cs="Times New Roman"/>
        </w:rPr>
        <w:t xml:space="preserve"> Previously, the Commission estimated that the burden associated with reporting under this section totaled 16,120 burden hours and $1,499,160 in associated labor costs.  </w:t>
      </w:r>
      <w:r w:rsidRPr="00A779BC">
        <w:rPr>
          <w:rFonts w:ascii="Times New Roman" w:hAnsi="Times New Roman" w:cs="Times New Roman"/>
          <w:i/>
          <w:iCs/>
        </w:rPr>
        <w:t xml:space="preserve">See </w:t>
      </w:r>
      <w:r w:rsidRPr="00A779BC">
        <w:rPr>
          <w:rFonts w:ascii="Times New Roman" w:hAnsi="Times New Roman" w:cs="Times New Roman"/>
        </w:rPr>
        <w:t>ICR Ref. No. 202402-3038-002 (concluded July 24, 2024).  Accordingly, the revised estimates reflect an estimated increase in burden of 624 burden hours and $141,752 in associated labor costs.</w:t>
      </w:r>
    </w:p>
  </w:footnote>
  <w:footnote w:id="27">
    <w:p w:rsidR="00074962" w:rsidRPr="00A72CBC" w14:paraId="3BFC840C" w14:textId="09E3C5AA">
      <w:pPr>
        <w:pStyle w:val="FootnoteText"/>
        <w:rPr>
          <w:rFonts w:ascii="Times New Roman" w:hAnsi="Times New Roman" w:cs="Times New Roman"/>
        </w:rPr>
      </w:pPr>
      <w:r w:rsidRPr="00A779BC">
        <w:rPr>
          <w:rStyle w:val="FootnoteReference"/>
          <w:rFonts w:ascii="Times New Roman" w:hAnsi="Times New Roman" w:cs="Times New Roman"/>
        </w:rPr>
        <w:footnoteRef/>
      </w:r>
      <w:r w:rsidRPr="00A779BC">
        <w:rPr>
          <w:rFonts w:ascii="Times New Roman" w:hAnsi="Times New Roman" w:cs="Times New Roman"/>
        </w:rPr>
        <w:t xml:space="preserve"> Rounded to the nearest dollar.</w:t>
      </w:r>
    </w:p>
  </w:footnote>
  <w:footnote w:id="28">
    <w:p w:rsidR="009B08A9" w:rsidRPr="005F4A9A" w:rsidP="009B08A9" w14:paraId="7173D7DE" w14:textId="77777777">
      <w:pPr>
        <w:pStyle w:val="FootnoteText"/>
        <w:rPr>
          <w:rFonts w:ascii="Times New Roman" w:hAnsi="Times New Roman" w:cs="Times New Roman"/>
        </w:rPr>
      </w:pPr>
      <w:r w:rsidRPr="009B08A9">
        <w:rPr>
          <w:rStyle w:val="FootnoteReference"/>
          <w:rFonts w:ascii="Times New Roman" w:hAnsi="Times New Roman" w:cs="Times New Roman"/>
        </w:rPr>
        <w:footnoteRef/>
      </w:r>
      <w:r w:rsidRPr="009B08A9">
        <w:rPr>
          <w:rFonts w:ascii="Times New Roman" w:hAnsi="Times New Roman" w:cs="Times New Roman"/>
        </w:rPr>
        <w:t xml:space="preserve"> The Commission has estimated that the burden associated with reporting under this section totaled 9,500 burden </w:t>
      </w:r>
      <w:r w:rsidRPr="005F4A9A">
        <w:rPr>
          <w:rFonts w:ascii="Times New Roman" w:hAnsi="Times New Roman" w:cs="Times New Roman"/>
        </w:rPr>
        <w:t xml:space="preserve">hours and $524,210 in associated labor costs.  </w:t>
      </w:r>
      <w:r w:rsidRPr="005F4A9A">
        <w:rPr>
          <w:rFonts w:ascii="Times New Roman" w:hAnsi="Times New Roman" w:cs="Times New Roman"/>
          <w:i/>
          <w:iCs/>
        </w:rPr>
        <w:t xml:space="preserve">See </w:t>
      </w:r>
      <w:r w:rsidRPr="005F4A9A">
        <w:rPr>
          <w:rFonts w:ascii="Times New Roman" w:hAnsi="Times New Roman" w:cs="Times New Roman"/>
        </w:rPr>
        <w:t>ICR Ref. No. 202506-3038-001 (concluded Sept. 25, 2025).</w:t>
      </w:r>
    </w:p>
  </w:footnote>
  <w:footnote w:id="29">
    <w:p w:rsidR="00B27488" w:rsidRPr="005F4A9A" w:rsidP="00B27488" w14:paraId="7B4508E4" w14:textId="77777777">
      <w:pPr>
        <w:pStyle w:val="FootnoteText"/>
        <w:rPr>
          <w:rFonts w:ascii="Times New Roman" w:hAnsi="Times New Roman" w:cs="Times New Roman"/>
        </w:rPr>
      </w:pPr>
      <w:r w:rsidRPr="005F4A9A">
        <w:rPr>
          <w:rStyle w:val="FootnoteReference"/>
          <w:rFonts w:ascii="Times New Roman" w:hAnsi="Times New Roman" w:cs="Times New Roman"/>
        </w:rPr>
        <w:footnoteRef/>
      </w:r>
      <w:r w:rsidRPr="005F4A9A">
        <w:rPr>
          <w:rFonts w:ascii="Times New Roman" w:hAnsi="Times New Roman" w:cs="Times New Roman"/>
        </w:rPr>
        <w:t xml:space="preserve"> </w:t>
      </w:r>
      <w:r w:rsidRPr="005F4A9A">
        <w:rPr>
          <w:rFonts w:ascii="Times New Roman" w:hAnsi="Times New Roman" w:cs="Times New Roman"/>
          <w:i/>
          <w:iCs/>
        </w:rPr>
        <w:t xml:space="preserve">See </w:t>
      </w:r>
      <w:r w:rsidRPr="005F4A9A">
        <w:rPr>
          <w:rFonts w:ascii="Times New Roman" w:hAnsi="Times New Roman" w:cs="Times New Roman"/>
        </w:rPr>
        <w:t xml:space="preserve">2023 Supporting Statement 3038-0103, </w:t>
      </w:r>
      <w:r w:rsidRPr="005F4A9A">
        <w:rPr>
          <w:rFonts w:ascii="Times New Roman" w:hAnsi="Times New Roman" w:cs="Times New Roman"/>
          <w:i/>
          <w:iCs/>
        </w:rPr>
        <w:t xml:space="preserve">available at </w:t>
      </w:r>
      <w:r w:rsidRPr="005F4A9A">
        <w:rPr>
          <w:rFonts w:ascii="Times New Roman" w:hAnsi="Times New Roman" w:cs="Times New Roman"/>
        </w:rPr>
        <w:t>https://omb.report/icr/202308-3038-002/doc/136920900.</w:t>
      </w:r>
    </w:p>
  </w:footnote>
  <w:footnote w:id="30">
    <w:p w:rsidR="005F4A9A" w:rsidP="005F4A9A" w14:paraId="75D489D1" w14:textId="633BC2BE">
      <w:pPr>
        <w:pStyle w:val="FootnoteText"/>
      </w:pPr>
      <w:r w:rsidRPr="005F4A9A">
        <w:rPr>
          <w:rStyle w:val="FootnoteReference"/>
          <w:rFonts w:ascii="Times New Roman" w:hAnsi="Times New Roman" w:cs="Times New Roman"/>
        </w:rPr>
        <w:footnoteRef/>
      </w:r>
      <w:r w:rsidRPr="005F4A9A">
        <w:rPr>
          <w:rFonts w:ascii="Times New Roman" w:hAnsi="Times New Roman" w:cs="Times New Roman"/>
        </w:rPr>
        <w:t xml:space="preserve"> Previously, the Commission estimated that the burden associated with reporting under this section totaled 33,072 burden hours and $3,670,992 in associated labor costs.  See ICR Ref. No. 202308-3038-002 (concluded October 11, 2023).  Accordingly, the revised estimates reflect an estimated increase in burden of 64,026 burden hours and $8,381,808 in associated labor costs.</w:t>
      </w:r>
    </w:p>
  </w:footnote>
  <w:footnote w:id="31">
    <w:p w:rsidR="0023769F" w:rsidRPr="0023769F" w:rsidP="0023769F" w14:paraId="39057246" w14:textId="77777777">
      <w:pPr>
        <w:pStyle w:val="FootnoteText"/>
        <w:rPr>
          <w:rFonts w:ascii="Times New Roman" w:hAnsi="Times New Roman" w:cs="Times New Roman"/>
        </w:rPr>
      </w:pPr>
      <w:r w:rsidRPr="0023769F">
        <w:rPr>
          <w:rStyle w:val="FootnoteReference"/>
          <w:rFonts w:ascii="Times New Roman" w:hAnsi="Times New Roman" w:cs="Times New Roman"/>
        </w:rPr>
        <w:footnoteRef/>
      </w:r>
      <w:r w:rsidRPr="0023769F">
        <w:rPr>
          <w:rFonts w:ascii="Times New Roman" w:hAnsi="Times New Roman" w:cs="Times New Roman"/>
        </w:rPr>
        <w:t xml:space="preserve"> The annualized costs per affected registrant and in the aggregate were determined using an average salary of $124 per hour.  </w:t>
      </w:r>
      <w:r w:rsidRPr="0023769F">
        <w:rPr>
          <w:rFonts w:ascii="Times New Roman" w:eastAsia="Times New Roman" w:hAnsi="Times New Roman" w:cs="Times New Roman"/>
          <w:iCs/>
        </w:rPr>
        <w:t xml:space="preserve">Commission staff arrived at this hourly rate using figures from a weighted average of salaries and bonuses across different professions contained in the most recent BLS Occupation Employment and Wages Report (May 2024) multiplied by 1,3 to account for overhead and other benefits.  </w:t>
      </w:r>
      <w:r w:rsidRPr="0023769F">
        <w:rPr>
          <w:rFonts w:ascii="Times New Roman" w:hAnsi="Times New Roman" w:cs="Times New Roman"/>
          <w:i/>
          <w:iCs/>
        </w:rPr>
        <w:t>See</w:t>
      </w:r>
      <w:r w:rsidRPr="0023769F">
        <w:rPr>
          <w:rFonts w:ascii="Times New Roman" w:hAnsi="Times New Roman" w:cs="Times New Roman"/>
        </w:rPr>
        <w:t xml:space="preserve"> U.S. Bureau of Labor Statistics, Occupational Employment and Wage Statistics (May 2024), https://www.bls.gov/oes/tables.htm.  </w:t>
      </w:r>
      <w:r w:rsidRPr="0023769F">
        <w:rPr>
          <w:rFonts w:ascii="Times New Roman" w:eastAsia="Times New Roman" w:hAnsi="Times New Roman" w:cs="Times New Roman"/>
          <w:iCs/>
        </w:rPr>
        <w:t xml:space="preserve"> The Commission estimated wage rate is a weighted national average of mean hourly wages for the following occupations (and their relative weight): “Lawyers” in the “Securities, Commodity Contracts, and Other Financial Investments and Related Activities Industry,” which is $128.34 (25% weight); “Financial Managers” in the same industry, which is $126.19 (25% weight); “Compliance Officers” in the same industry, which is $49.34 (25% weight); “Software and Web Developers, Programmers, and Testers” in the same industry, which is $78.14 (25% weight).  Commission staff chose this methodology to account for the variance in skill sets that may be used to accomplish the collection of information.  The estimated total annual labor cost of $12,052,800 is calculated as 97,200 total annual burden hours × estimated average burden hour cost of $124.</w:t>
      </w:r>
    </w:p>
  </w:footnote>
  <w:footnote w:id="32">
    <w:p w:rsidR="00690D5A" w:rsidP="00690D5A" w14:paraId="54BA7DF7" w14:textId="174C3F46">
      <w:pPr>
        <w:pStyle w:val="FootnoteText"/>
      </w:pPr>
      <w:r w:rsidRPr="00690D5A">
        <w:rPr>
          <w:rStyle w:val="FootnoteReference"/>
          <w:rFonts w:ascii="Times New Roman" w:hAnsi="Times New Roman" w:cs="Times New Roman"/>
        </w:rPr>
        <w:footnoteRef/>
      </w:r>
      <w:r w:rsidRPr="00690D5A">
        <w:rPr>
          <w:rFonts w:ascii="Times New Roman" w:hAnsi="Times New Roman" w:cs="Times New Roman"/>
        </w:rPr>
        <w:t xml:space="preserve"> Previously, the Commission estimated that the burden associated with reporting under this section totaled 18,550 burden hours and $2,059,050 in associated labor costs.  See ICR Ref. No. 202308-3038-002 (concluded October 11, 2023).  Accordingly, the revised estimates reflect an estimated increase in burden of 4,136 burden hours and $754,014 in associated labor costs.</w:t>
      </w:r>
    </w:p>
  </w:footnote>
  <w:footnote w:id="33">
    <w:p w:rsidR="0065612A" w:rsidRPr="004C6FE8" w14:paraId="79F6D6CA" w14:textId="30C61468">
      <w:pPr>
        <w:pStyle w:val="FootnoteText"/>
        <w:rPr>
          <w:rFonts w:ascii="Times New Roman" w:hAnsi="Times New Roman" w:cs="Times New Roman"/>
        </w:rPr>
      </w:pPr>
      <w:r w:rsidRPr="004C6FE8">
        <w:rPr>
          <w:rStyle w:val="FootnoteReference"/>
          <w:rFonts w:ascii="Times New Roman" w:hAnsi="Times New Roman" w:cs="Times New Roman"/>
        </w:rPr>
        <w:footnoteRef/>
      </w:r>
      <w:r w:rsidRPr="004C6FE8">
        <w:rPr>
          <w:rFonts w:ascii="Times New Roman" w:hAnsi="Times New Roman" w:cs="Times New Roman"/>
        </w:rPr>
        <w:t xml:space="preserve"> </w:t>
      </w:r>
      <w:r w:rsidRPr="004C6FE8" w:rsidR="004C6FE8">
        <w:rPr>
          <w:rFonts w:ascii="Times New Roman" w:hAnsi="Times New Roman" w:cs="Times New Roman"/>
        </w:rPr>
        <w:t>Previously, the Commission estimated that the burden associated with reporting under this section totaled 18,550 burden hours and $2,059,050 in associated labor costs.  See ICR Ref. No. 202308-3038-002 (concluded October 11, 2023).  Accordingly, the revised estimates reflect an estimated increase in burden of 4,136 burden hours and $754,014 in associated labor costs.</w:t>
      </w:r>
    </w:p>
  </w:footnote>
  <w:footnote w:id="34">
    <w:p w:rsidR="00C005D7" w:rsidRPr="00C005D7" w:rsidP="00C005D7" w14:paraId="34389187" w14:textId="36569A0C">
      <w:pPr>
        <w:pStyle w:val="FootnoteText"/>
        <w:rPr>
          <w:rFonts w:ascii="Times New Roman" w:hAnsi="Times New Roman" w:cs="Times New Roman"/>
        </w:rPr>
      </w:pPr>
      <w:r w:rsidRPr="00C005D7">
        <w:rPr>
          <w:rStyle w:val="FootnoteReference"/>
          <w:rFonts w:ascii="Times New Roman" w:hAnsi="Times New Roman" w:cs="Times New Roman"/>
        </w:rPr>
        <w:footnoteRef/>
      </w:r>
      <w:r w:rsidRPr="00C005D7">
        <w:rPr>
          <w:rFonts w:ascii="Times New Roman" w:hAnsi="Times New Roman" w:cs="Times New Roman"/>
        </w:rPr>
        <w:t xml:space="preserve"> Previously, the Commission estimated that the burden associated with reporting under this section totaled 15,000 burden hours and $1,665,000 in associated labor costs.  See ICR Ref. No. 202308-3038-002 (concluded October 11, 2023).  Accordingly, the revised estimates reflect an estimated increase in burden of 10,500burden hours and $1,487,000 in associated labor costs.</w:t>
      </w:r>
    </w:p>
  </w:footnote>
  <w:footnote w:id="35">
    <w:p w:rsidR="0063764F" w:rsidRPr="00647AFB" w:rsidP="0063764F" w14:paraId="35AA94E8" w14:textId="77777777">
      <w:pPr>
        <w:pStyle w:val="FootnoteText"/>
        <w:rPr>
          <w:rFonts w:ascii="Times New Roman" w:hAnsi="Times New Roman" w:cs="Times New Roman"/>
        </w:rPr>
      </w:pPr>
      <w:r w:rsidRPr="0063764F">
        <w:rPr>
          <w:rStyle w:val="FootnoteReference"/>
          <w:rFonts w:ascii="Times New Roman" w:hAnsi="Times New Roman" w:cs="Times New Roman"/>
        </w:rPr>
        <w:footnoteRef/>
      </w:r>
      <w:r w:rsidRPr="0063764F">
        <w:rPr>
          <w:rFonts w:ascii="Times New Roman" w:hAnsi="Times New Roman" w:cs="Times New Roman"/>
        </w:rPr>
        <w:t xml:space="preserve"> </w:t>
      </w:r>
      <w:r w:rsidRPr="0063764F">
        <w:rPr>
          <w:rFonts w:ascii="Times New Roman" w:eastAsia="Times New Roman" w:hAnsi="Times New Roman" w:cs="Times New Roman"/>
          <w:iCs/>
        </w:rPr>
        <w:t xml:space="preserve">The estimated total annual labor cost of $3,162,000 is calculated as 25,500 total annual burden hours × estimated </w:t>
      </w:r>
      <w:r w:rsidRPr="00647AFB">
        <w:rPr>
          <w:rFonts w:ascii="Times New Roman" w:eastAsia="Times New Roman" w:hAnsi="Times New Roman" w:cs="Times New Roman"/>
          <w:iCs/>
        </w:rPr>
        <w:t>average burden hour cost of $124.</w:t>
      </w:r>
    </w:p>
  </w:footnote>
  <w:footnote w:id="36">
    <w:p w:rsidR="00647AFB" w:rsidRPr="00A01B88" w:rsidP="00647AFB" w14:paraId="0CE1B80C" w14:textId="77777777">
      <w:pPr>
        <w:pStyle w:val="FootnoteText"/>
        <w:rPr>
          <w:rFonts w:ascii="Times New Roman" w:hAnsi="Times New Roman" w:cs="Times New Roman"/>
          <w:i/>
          <w:iCs/>
        </w:rPr>
      </w:pPr>
      <w:r w:rsidRPr="00647AFB">
        <w:rPr>
          <w:rStyle w:val="FootnoteReference"/>
          <w:rFonts w:ascii="Times New Roman" w:hAnsi="Times New Roman" w:cs="Times New Roman"/>
        </w:rPr>
        <w:footnoteRef/>
      </w:r>
      <w:r w:rsidRPr="00647AFB">
        <w:rPr>
          <w:rFonts w:ascii="Times New Roman" w:hAnsi="Times New Roman" w:cs="Times New Roman"/>
        </w:rPr>
        <w:t xml:space="preserve"> This estimate is based on an estimated average of 166 annual reports per respondent.  Based on analysis of transaction data for event contracts that would be considered a Covered Event Contract under proposed § 16.03(a), the Commission estimates that the Proposal, if adopted, would result in an average of 112 annual reports per respondent.  Form 40s are submitted in response to special calls, which are made at the discretion of the Commission or Commission staff.  Because a substantial portion of trading volume for Covered Event Contracts is non-intermediated, the Commission expects to obtain sufficient ownership and control information from DCMs in many instances.  </w:t>
      </w:r>
      <w:r w:rsidRPr="00647AFB">
        <w:rPr>
          <w:rFonts w:ascii="Times New Roman" w:hAnsi="Times New Roman" w:cs="Times New Roman"/>
          <w:i/>
          <w:iCs/>
        </w:rPr>
        <w:t>See, e.g.</w:t>
      </w:r>
      <w:r w:rsidRPr="00647AFB">
        <w:rPr>
          <w:rFonts w:ascii="Times New Roman" w:hAnsi="Times New Roman" w:cs="Times New Roman"/>
        </w:rPr>
        <w:t xml:space="preserve">, Final Rule, Market and Large Trader Reporting, 71 FR 37809, 37813 (July 3, 2006) </w:t>
      </w:r>
      <w:r w:rsidRPr="00A01B88">
        <w:rPr>
          <w:rFonts w:ascii="Times New Roman" w:hAnsi="Times New Roman" w:cs="Times New Roman"/>
        </w:rPr>
        <w:t xml:space="preserve">(discussing the ability of reporting markets to provide “identifying data” for traders in markets where retail traders are direct clearing members).  Accordingly, the addition of these new respondents may reduce the overall average number of special calls per respondent.  </w:t>
      </w:r>
    </w:p>
  </w:footnote>
  <w:footnote w:id="37">
    <w:p w:rsidR="00A01B88" w:rsidP="00A01B88" w14:paraId="77028C48" w14:textId="2A9E9E3B">
      <w:pPr>
        <w:pStyle w:val="FootnoteText"/>
      </w:pPr>
      <w:r w:rsidRPr="00A01B88">
        <w:rPr>
          <w:rStyle w:val="FootnoteReference"/>
          <w:rFonts w:ascii="Times New Roman" w:hAnsi="Times New Roman" w:cs="Times New Roman"/>
        </w:rPr>
        <w:footnoteRef/>
      </w:r>
      <w:r w:rsidRPr="00A01B88">
        <w:rPr>
          <w:rFonts w:ascii="Times New Roman" w:hAnsi="Times New Roman" w:cs="Times New Roman"/>
        </w:rPr>
        <w:t xml:space="preserve"> Previously, the Commission estimated that the burden associated with reporting under this section totaled 94,600 burden hours and $10,500,600 in associated labor costs.  See ICR Ref. No. 202308-3038-002 (concluded October 11, 2023).  Accordingly, the revised estimates reflect an estimated increase in burden of 10,260 burden hours and $2,502,040 in associated labor costs.</w:t>
      </w:r>
    </w:p>
  </w:footnote>
  <w:footnote w:id="38">
    <w:p w:rsidR="00E13552" w:rsidRPr="00E13552" w:rsidP="00E13552" w14:paraId="786C819A" w14:textId="77777777">
      <w:pPr>
        <w:pStyle w:val="FootnoteText"/>
        <w:rPr>
          <w:rFonts w:ascii="Times New Roman" w:hAnsi="Times New Roman" w:cs="Times New Roman"/>
        </w:rPr>
      </w:pPr>
      <w:r w:rsidRPr="00E13552">
        <w:rPr>
          <w:rStyle w:val="FootnoteReference"/>
          <w:rFonts w:ascii="Times New Roman" w:hAnsi="Times New Roman" w:cs="Times New Roman"/>
        </w:rPr>
        <w:footnoteRef/>
      </w:r>
      <w:r w:rsidRPr="00E13552">
        <w:rPr>
          <w:rFonts w:ascii="Times New Roman" w:hAnsi="Times New Roman" w:cs="Times New Roman"/>
        </w:rPr>
        <w:t xml:space="preserve"> </w:t>
      </w:r>
      <w:r w:rsidRPr="00E13552">
        <w:rPr>
          <w:rFonts w:ascii="Times New Roman" w:eastAsia="Times New Roman" w:hAnsi="Times New Roman" w:cs="Times New Roman"/>
          <w:iCs/>
        </w:rPr>
        <w:t>The estimated total annual labor cost of $13,002,640 is calculated as 104,860 total annual burden hours × estimated average burden hour cost of $124.</w:t>
      </w:r>
    </w:p>
  </w:footnote>
  <w:footnote w:id="39">
    <w:p w:rsidR="000710A0" w:rsidRPr="00A72CBC" w:rsidP="000710A0" w14:paraId="6F65F885"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Rounded to the nearest dollar.</w:t>
      </w:r>
    </w:p>
  </w:footnote>
  <w:footnote w:id="40">
    <w:p w:rsidR="00804541" w:rsidRPr="00EE51EB" w14:paraId="441FEBD2" w14:textId="3BC6F986">
      <w:pPr>
        <w:pStyle w:val="FootnoteText"/>
        <w:rPr>
          <w:rFonts w:ascii="Times New Roman" w:hAnsi="Times New Roman" w:cs="Times New Roman"/>
        </w:rPr>
      </w:pPr>
      <w:r w:rsidRPr="00EE51EB">
        <w:rPr>
          <w:rStyle w:val="FootnoteReference"/>
          <w:rFonts w:ascii="Times New Roman" w:hAnsi="Times New Roman" w:cs="Times New Roman"/>
        </w:rPr>
        <w:footnoteRef/>
      </w:r>
      <w:r w:rsidRPr="00EE51EB">
        <w:rPr>
          <w:rFonts w:ascii="Times New Roman" w:hAnsi="Times New Roman" w:cs="Times New Roman"/>
        </w:rPr>
        <w:t xml:space="preserve"> </w:t>
      </w:r>
      <w:r w:rsidR="00EE51EB">
        <w:rPr>
          <w:rFonts w:ascii="Times New Roman" w:hAnsi="Times New Roman" w:cs="Times New Roman"/>
        </w:rPr>
        <w:t xml:space="preserve">This figure </w:t>
      </w:r>
      <w:r w:rsidR="00EE51EB">
        <w:rPr>
          <w:rFonts w:ascii="Times New Roman" w:hAnsi="Times New Roman" w:cs="Times New Roman"/>
        </w:rPr>
        <w:t>is arrived</w:t>
      </w:r>
      <w:r w:rsidR="00EE51EB">
        <w:rPr>
          <w:rFonts w:ascii="Times New Roman" w:hAnsi="Times New Roman" w:cs="Times New Roman"/>
        </w:rPr>
        <w:t xml:space="preserve"> by calculating that </w:t>
      </w:r>
      <w:r w:rsidRPr="00EE51EB" w:rsidR="00EE51EB">
        <w:rPr>
          <w:rFonts w:ascii="Times New Roman" w:hAnsi="Times New Roman" w:cs="Times New Roman"/>
        </w:rPr>
        <w:t>approximately 30 Market and Surveillance Analysts along with technical support staff will expend approximately 5 hours per day over 250 trading days to collect and analyze the information submitted under the market and large trader reporting rules within the Collection.  At an average salary rate of $55 per hour for a full-time employee, the Commission estimates that the cost to the government will be $2,062,500 annually.</w:t>
      </w:r>
    </w:p>
  </w:footnote>
  <w:footnote w:id="41">
    <w:p w:rsidR="00160031" w:rsidRPr="00804541" w14:paraId="5F53D0F3" w14:textId="753015E6">
      <w:pPr>
        <w:pStyle w:val="FootnoteText"/>
        <w:rPr>
          <w:rFonts w:ascii="Times New Roman" w:hAnsi="Times New Roman" w:cs="Times New Roman"/>
        </w:rPr>
      </w:pPr>
      <w:r w:rsidRPr="00804541">
        <w:rPr>
          <w:rStyle w:val="FootnoteReference"/>
          <w:rFonts w:ascii="Times New Roman" w:hAnsi="Times New Roman" w:cs="Times New Roman"/>
        </w:rPr>
        <w:footnoteRef/>
      </w:r>
      <w:r w:rsidRPr="00804541">
        <w:rPr>
          <w:rFonts w:ascii="Times New Roman" w:hAnsi="Times New Roman" w:cs="Times New Roman"/>
        </w:rPr>
        <w:t xml:space="preserve"> </w:t>
      </w:r>
      <w:r w:rsidRPr="00804541" w:rsidR="00E95026">
        <w:rPr>
          <w:rFonts w:ascii="Times New Roman" w:hAnsi="Times New Roman" w:cs="Times New Roman"/>
        </w:rPr>
        <w:t xml:space="preserve">This figure is arrived at by </w:t>
      </w:r>
      <w:r w:rsidRPr="00804541" w:rsidR="00804541">
        <w:rPr>
          <w:rFonts w:ascii="Times New Roman" w:hAnsi="Times New Roman" w:cs="Times New Roman"/>
        </w:rPr>
        <w:t xml:space="preserve">calculating </w:t>
      </w:r>
      <w:r w:rsidR="00EE51EB">
        <w:rPr>
          <w:rFonts w:ascii="Times New Roman" w:hAnsi="Times New Roman" w:cs="Times New Roman"/>
        </w:rPr>
        <w:t>that a</w:t>
      </w:r>
      <w:r w:rsidRPr="00804541">
        <w:rPr>
          <w:rFonts w:ascii="Times New Roman" w:hAnsi="Times New Roman" w:cs="Times New Roman"/>
        </w:rPr>
        <w:t>pproximately 15 Data, Market and Surveillance Staff will expend approximately 1 hour per day over 250 trading days to collect and analyze the information submitted.  At an average salary rate of $84 per hour for a full-time employee, the Commission estimates that the cost to the government will be $315,000 annually.</w:t>
      </w:r>
      <w:r w:rsidRPr="00804541" w:rsidR="00E95026">
        <w:rPr>
          <w:rFonts w:ascii="Times New Roman" w:hAnsi="Times New Roman" w:cs="Times New Roman"/>
        </w:rPr>
        <w:t xml:space="preserve"> The hourly wage rate of $84 is calculated based on the estimated hourly wage rate for a CT-13 employee based on CFTC 2025 salary bands.</w:t>
      </w:r>
    </w:p>
  </w:footnote>
  <w:footnote w:id="42">
    <w:p w:rsidR="007F17DE" w:rsidRPr="001278B6" w14:paraId="2C16854F" w14:textId="630CF8B7">
      <w:pPr>
        <w:pStyle w:val="FootnoteText"/>
        <w:rPr>
          <w:rFonts w:ascii="Times New Roman" w:hAnsi="Times New Roman" w:cs="Times New Roman"/>
        </w:rPr>
      </w:pPr>
      <w:r w:rsidRPr="001278B6">
        <w:rPr>
          <w:rStyle w:val="FootnoteReference"/>
          <w:rFonts w:ascii="Times New Roman" w:hAnsi="Times New Roman" w:cs="Times New Roman"/>
        </w:rPr>
        <w:footnoteRef/>
      </w:r>
      <w:r w:rsidRPr="001278B6">
        <w:rPr>
          <w:rFonts w:ascii="Times New Roman" w:hAnsi="Times New Roman" w:cs="Times New Roman"/>
        </w:rPr>
        <w:t xml:space="preserve"> </w:t>
      </w:r>
      <w:r w:rsidRPr="001278B6" w:rsidR="001278B6">
        <w:rPr>
          <w:rFonts w:ascii="Times New Roman" w:hAnsi="Times New Roman" w:cs="Times New Roman"/>
        </w:rPr>
        <w:t>Th</w:t>
      </w:r>
      <w:r w:rsidR="00E95026">
        <w:rPr>
          <w:rFonts w:ascii="Times New Roman" w:hAnsi="Times New Roman" w:cs="Times New Roman"/>
        </w:rPr>
        <w:t>is figure</w:t>
      </w:r>
      <w:r w:rsidRPr="001278B6" w:rsidR="001278B6">
        <w:rPr>
          <w:rFonts w:ascii="Times New Roman" w:hAnsi="Times New Roman" w:cs="Times New Roman"/>
        </w:rPr>
        <w:t xml:space="preserve"> is arrived at by adding $449,955 (software development contractors) and $5,000 (maintenance of servers and data storage equipment).</w:t>
      </w:r>
    </w:p>
  </w:footnote>
  <w:footnote w:id="43">
    <w:p w:rsidR="00482080" w:rsidP="00482080" w14:paraId="4CEB31C9" w14:textId="77777777">
      <w:pPr>
        <w:pStyle w:val="FootnoteText"/>
        <w:rPr>
          <w:rFonts w:ascii="Times New Roman" w:hAnsi="Times New Roman" w:cs="Times New Roman"/>
          <w:sz w:val="16"/>
          <w:szCs w:val="16"/>
        </w:rPr>
      </w:pPr>
      <w:r>
        <w:rPr>
          <w:rStyle w:val="FootnoteReference"/>
          <w:sz w:val="16"/>
          <w:szCs w:val="16"/>
        </w:rPr>
        <w:footnoteRef/>
      </w:r>
      <w:r>
        <w:rPr>
          <w:sz w:val="16"/>
          <w:szCs w:val="16"/>
        </w:rPr>
        <w:t xml:space="preserve"> 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$100, lawyer is $120, and compliance officer is $44.  The average of those wages is $88. The Commission adjusted the May 2022 data to $93 to keep real wages constant.  </w:t>
      </w:r>
    </w:p>
  </w:footnote>
  <w:footnote w:id="44">
    <w:p w:rsidR="00482080" w:rsidP="00482080" w14:paraId="75E1CB53" w14:textId="77777777">
      <w:pPr>
        <w:pStyle w:val="FootnoteText"/>
        <w:rPr>
          <w:sz w:val="16"/>
          <w:szCs w:val="16"/>
        </w:rPr>
      </w:pPr>
      <w:r>
        <w:rPr>
          <w:rStyle w:val="FootnoteReference"/>
          <w:sz w:val="16"/>
          <w:szCs w:val="16"/>
        </w:rPr>
        <w:footnoteRef/>
      </w:r>
      <w:r>
        <w:rPr>
          <w:sz w:val="16"/>
          <w:szCs w:val="16"/>
        </w:rPr>
        <w:t xml:space="preserve"> 68,484 total annual responses (column 8) / 330 distinct entities or persons (column 2) = 207.5 (rounded to 208) average responses per respondent.</w:t>
      </w:r>
    </w:p>
  </w:footnote>
  <w:footnote w:id="45">
    <w:p w:rsidR="00482080" w:rsidP="00482080" w14:paraId="72423126" w14:textId="77777777">
      <w:pPr>
        <w:pStyle w:val="FootnoteText"/>
        <w:rPr>
          <w:sz w:val="16"/>
          <w:szCs w:val="16"/>
        </w:rPr>
      </w:pPr>
      <w:r>
        <w:rPr>
          <w:rStyle w:val="FootnoteReference"/>
          <w:sz w:val="16"/>
          <w:szCs w:val="16"/>
        </w:rPr>
        <w:footnoteRef/>
      </w:r>
      <w:r>
        <w:rPr>
          <w:sz w:val="16"/>
          <w:szCs w:val="16"/>
        </w:rPr>
        <w:t xml:space="preserve"> 17,472 total annual number of burden hours (column 9) / 68,484 total annual responses (column 8) = 0.25.</w:t>
      </w:r>
    </w:p>
  </w:footnote>
  <w:footnote w:id="46">
    <w:p w:rsidR="00482080" w:rsidP="00482080" w14:paraId="706484B3" w14:textId="77777777">
      <w:pPr>
        <w:pStyle w:val="FootnoteText"/>
        <w:rPr>
          <w:sz w:val="16"/>
          <w:szCs w:val="16"/>
        </w:rPr>
      </w:pPr>
      <w:r>
        <w:rPr>
          <w:rStyle w:val="FootnoteReference"/>
          <w:sz w:val="16"/>
          <w:szCs w:val="16"/>
        </w:rPr>
        <w:footnoteRef/>
      </w:r>
      <w:r>
        <w:rPr>
          <w:sz w:val="16"/>
          <w:szCs w:val="16"/>
        </w:rPr>
        <w:t xml:space="preserve"> 17,472 total annual burden hours (column 9) / 330 total respondents (column 2) = 52.9 (rounded up to 53).</w:t>
      </w:r>
    </w:p>
  </w:footnote>
  <w:footnote w:id="47">
    <w:p w:rsidR="00482080" w:rsidP="00482080" w14:paraId="5B43B7A5" w14:textId="77777777">
      <w:pPr>
        <w:pStyle w:val="FootnoteText"/>
        <w:rPr>
          <w:sz w:val="16"/>
          <w:szCs w:val="16"/>
        </w:rPr>
      </w:pPr>
      <w:r>
        <w:rPr>
          <w:rStyle w:val="FootnoteReference"/>
          <w:sz w:val="16"/>
          <w:szCs w:val="16"/>
        </w:rPr>
        <w:footnoteRef/>
      </w:r>
      <w:r>
        <w:rPr>
          <w:sz w:val="16"/>
          <w:szCs w:val="16"/>
        </w:rPr>
        <w:t xml:space="preserve"> $</w:t>
      </w:r>
      <w:r>
        <w:rPr>
          <w:bCs/>
          <w:color w:val="000000"/>
          <w:sz w:val="16"/>
          <w:szCs w:val="16"/>
        </w:rPr>
        <w:t>1,520,064</w:t>
      </w:r>
      <w:r>
        <w:rPr>
          <w:sz w:val="16"/>
          <w:szCs w:val="16"/>
        </w:rPr>
        <w:t xml:space="preserve"> (total annual burden hours cost in column 10) / 330 (total estimated respondents in column 2) = $4,606.25 (rounded down to $4,606) average burden hours cost per respondent.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76A98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992D4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51C67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2BEB"/>
    <w:multiLevelType w:val="hybridMultilevel"/>
    <w:tmpl w:val="95C088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944AE"/>
    <w:multiLevelType w:val="hybridMultilevel"/>
    <w:tmpl w:val="B3347A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5B3D46"/>
    <w:multiLevelType w:val="hybridMultilevel"/>
    <w:tmpl w:val="B3347A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6970D1"/>
    <w:multiLevelType w:val="hybridMultilevel"/>
    <w:tmpl w:val="C2EEC8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8B391C"/>
    <w:multiLevelType w:val="hybridMultilevel"/>
    <w:tmpl w:val="0DB415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9774E3"/>
    <w:multiLevelType w:val="hybridMultilevel"/>
    <w:tmpl w:val="050CF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2B3326"/>
    <w:multiLevelType w:val="hybridMultilevel"/>
    <w:tmpl w:val="D44850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400B9D"/>
    <w:multiLevelType w:val="hybridMultilevel"/>
    <w:tmpl w:val="95C088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3144212">
    <w:abstractNumId w:val="5"/>
  </w:num>
  <w:num w:numId="2" w16cid:durableId="148640642">
    <w:abstractNumId w:val="4"/>
  </w:num>
  <w:num w:numId="3" w16cid:durableId="1606694303">
    <w:abstractNumId w:val="0"/>
  </w:num>
  <w:num w:numId="4" w16cid:durableId="974524726">
    <w:abstractNumId w:val="1"/>
  </w:num>
  <w:num w:numId="5" w16cid:durableId="1997760489">
    <w:abstractNumId w:val="2"/>
  </w:num>
  <w:num w:numId="6" w16cid:durableId="771972483">
    <w:abstractNumId w:val="3"/>
  </w:num>
  <w:num w:numId="7" w16cid:durableId="890726219">
    <w:abstractNumId w:val="6"/>
  </w:num>
  <w:num w:numId="8" w16cid:durableId="890532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84"/>
    <w:rsid w:val="0000040A"/>
    <w:rsid w:val="0000664E"/>
    <w:rsid w:val="00014657"/>
    <w:rsid w:val="00015604"/>
    <w:rsid w:val="00016F68"/>
    <w:rsid w:val="000221E5"/>
    <w:rsid w:val="00022C19"/>
    <w:rsid w:val="0002516F"/>
    <w:rsid w:val="00027073"/>
    <w:rsid w:val="00031BD9"/>
    <w:rsid w:val="000368F3"/>
    <w:rsid w:val="000402DC"/>
    <w:rsid w:val="00043CAD"/>
    <w:rsid w:val="000569C5"/>
    <w:rsid w:val="00064CE2"/>
    <w:rsid w:val="000705E1"/>
    <w:rsid w:val="000710A0"/>
    <w:rsid w:val="00074962"/>
    <w:rsid w:val="00075A76"/>
    <w:rsid w:val="000843EF"/>
    <w:rsid w:val="000866C7"/>
    <w:rsid w:val="0009422E"/>
    <w:rsid w:val="000960DC"/>
    <w:rsid w:val="00096EEF"/>
    <w:rsid w:val="000B2A4C"/>
    <w:rsid w:val="000C2E69"/>
    <w:rsid w:val="000C4F3B"/>
    <w:rsid w:val="000C6256"/>
    <w:rsid w:val="000E5AC4"/>
    <w:rsid w:val="000E60F5"/>
    <w:rsid w:val="000E71D5"/>
    <w:rsid w:val="000F0D16"/>
    <w:rsid w:val="000F3563"/>
    <w:rsid w:val="00103250"/>
    <w:rsid w:val="00103818"/>
    <w:rsid w:val="00104536"/>
    <w:rsid w:val="00107AD7"/>
    <w:rsid w:val="001129B7"/>
    <w:rsid w:val="00114020"/>
    <w:rsid w:val="001157C4"/>
    <w:rsid w:val="00115C53"/>
    <w:rsid w:val="00120D32"/>
    <w:rsid w:val="00121635"/>
    <w:rsid w:val="001278B6"/>
    <w:rsid w:val="00136150"/>
    <w:rsid w:val="00142199"/>
    <w:rsid w:val="001428CE"/>
    <w:rsid w:val="00144F27"/>
    <w:rsid w:val="00153CCA"/>
    <w:rsid w:val="00160031"/>
    <w:rsid w:val="001603A5"/>
    <w:rsid w:val="00161BF3"/>
    <w:rsid w:val="001621C4"/>
    <w:rsid w:val="0017057D"/>
    <w:rsid w:val="00172A1F"/>
    <w:rsid w:val="00175592"/>
    <w:rsid w:val="001760B1"/>
    <w:rsid w:val="00185817"/>
    <w:rsid w:val="00186DCC"/>
    <w:rsid w:val="00187E84"/>
    <w:rsid w:val="00190933"/>
    <w:rsid w:val="001A4B32"/>
    <w:rsid w:val="001B1CEE"/>
    <w:rsid w:val="001B69C4"/>
    <w:rsid w:val="001C5F2D"/>
    <w:rsid w:val="001C7C98"/>
    <w:rsid w:val="001D005D"/>
    <w:rsid w:val="001E5D2B"/>
    <w:rsid w:val="001F08DE"/>
    <w:rsid w:val="001F3D1F"/>
    <w:rsid w:val="001F4044"/>
    <w:rsid w:val="001F6A4C"/>
    <w:rsid w:val="001F6D0E"/>
    <w:rsid w:val="00200434"/>
    <w:rsid w:val="002028A7"/>
    <w:rsid w:val="00206CAF"/>
    <w:rsid w:val="00210C72"/>
    <w:rsid w:val="00215688"/>
    <w:rsid w:val="00215C97"/>
    <w:rsid w:val="00216109"/>
    <w:rsid w:val="00217F08"/>
    <w:rsid w:val="00221600"/>
    <w:rsid w:val="00223750"/>
    <w:rsid w:val="00224C2D"/>
    <w:rsid w:val="002325C0"/>
    <w:rsid w:val="002342E9"/>
    <w:rsid w:val="0023769F"/>
    <w:rsid w:val="00245C6C"/>
    <w:rsid w:val="0024697B"/>
    <w:rsid w:val="00247FE3"/>
    <w:rsid w:val="00251864"/>
    <w:rsid w:val="002542B0"/>
    <w:rsid w:val="002632D6"/>
    <w:rsid w:val="00265027"/>
    <w:rsid w:val="00272CA9"/>
    <w:rsid w:val="002740D4"/>
    <w:rsid w:val="0027799F"/>
    <w:rsid w:val="00287B6B"/>
    <w:rsid w:val="002926DE"/>
    <w:rsid w:val="002938C4"/>
    <w:rsid w:val="00294014"/>
    <w:rsid w:val="002A4268"/>
    <w:rsid w:val="002A51E0"/>
    <w:rsid w:val="002B0DBD"/>
    <w:rsid w:val="002B193A"/>
    <w:rsid w:val="002B4A5A"/>
    <w:rsid w:val="002C114E"/>
    <w:rsid w:val="002C1A33"/>
    <w:rsid w:val="002C5B13"/>
    <w:rsid w:val="002D2F21"/>
    <w:rsid w:val="002D36C3"/>
    <w:rsid w:val="002D599F"/>
    <w:rsid w:val="002D772E"/>
    <w:rsid w:val="002E3442"/>
    <w:rsid w:val="002E4B37"/>
    <w:rsid w:val="002E76D8"/>
    <w:rsid w:val="002F086A"/>
    <w:rsid w:val="002F5CC6"/>
    <w:rsid w:val="003022B1"/>
    <w:rsid w:val="003033A0"/>
    <w:rsid w:val="00307A31"/>
    <w:rsid w:val="00320269"/>
    <w:rsid w:val="00322E0C"/>
    <w:rsid w:val="003273D2"/>
    <w:rsid w:val="0033029E"/>
    <w:rsid w:val="00330490"/>
    <w:rsid w:val="00331F51"/>
    <w:rsid w:val="0034191A"/>
    <w:rsid w:val="003424AB"/>
    <w:rsid w:val="00345DD0"/>
    <w:rsid w:val="0035434C"/>
    <w:rsid w:val="00354F74"/>
    <w:rsid w:val="003573A7"/>
    <w:rsid w:val="00360111"/>
    <w:rsid w:val="00363111"/>
    <w:rsid w:val="003642DD"/>
    <w:rsid w:val="00364625"/>
    <w:rsid w:val="003657A1"/>
    <w:rsid w:val="0036779A"/>
    <w:rsid w:val="0037792C"/>
    <w:rsid w:val="00396898"/>
    <w:rsid w:val="003A09D8"/>
    <w:rsid w:val="003B3F99"/>
    <w:rsid w:val="003B507C"/>
    <w:rsid w:val="003C0E1E"/>
    <w:rsid w:val="003D20E2"/>
    <w:rsid w:val="003D2C0B"/>
    <w:rsid w:val="003D7EB0"/>
    <w:rsid w:val="003E72E6"/>
    <w:rsid w:val="003F45E8"/>
    <w:rsid w:val="003F47A2"/>
    <w:rsid w:val="003F5393"/>
    <w:rsid w:val="003F7F8D"/>
    <w:rsid w:val="004033C5"/>
    <w:rsid w:val="00403C85"/>
    <w:rsid w:val="00406298"/>
    <w:rsid w:val="00411550"/>
    <w:rsid w:val="004120FD"/>
    <w:rsid w:val="00413C40"/>
    <w:rsid w:val="00414E45"/>
    <w:rsid w:val="0042196B"/>
    <w:rsid w:val="00422484"/>
    <w:rsid w:val="00426B28"/>
    <w:rsid w:val="004307CA"/>
    <w:rsid w:val="00434DC9"/>
    <w:rsid w:val="0044320D"/>
    <w:rsid w:val="00447692"/>
    <w:rsid w:val="0046500B"/>
    <w:rsid w:val="00471465"/>
    <w:rsid w:val="00471988"/>
    <w:rsid w:val="0047550E"/>
    <w:rsid w:val="00477500"/>
    <w:rsid w:val="00477F1E"/>
    <w:rsid w:val="00481AE0"/>
    <w:rsid w:val="00482080"/>
    <w:rsid w:val="00484132"/>
    <w:rsid w:val="004863FF"/>
    <w:rsid w:val="004904C7"/>
    <w:rsid w:val="00495447"/>
    <w:rsid w:val="00495FAF"/>
    <w:rsid w:val="00496A3D"/>
    <w:rsid w:val="004A5A33"/>
    <w:rsid w:val="004B0FDB"/>
    <w:rsid w:val="004B1C61"/>
    <w:rsid w:val="004B2E0E"/>
    <w:rsid w:val="004B448F"/>
    <w:rsid w:val="004B6BCD"/>
    <w:rsid w:val="004C1F37"/>
    <w:rsid w:val="004C20BB"/>
    <w:rsid w:val="004C6FE8"/>
    <w:rsid w:val="004D2E24"/>
    <w:rsid w:val="004D5BB3"/>
    <w:rsid w:val="004D5F1F"/>
    <w:rsid w:val="004D686F"/>
    <w:rsid w:val="004E271B"/>
    <w:rsid w:val="004E387F"/>
    <w:rsid w:val="004E7C97"/>
    <w:rsid w:val="004F172A"/>
    <w:rsid w:val="004F2508"/>
    <w:rsid w:val="005036C3"/>
    <w:rsid w:val="00503AA4"/>
    <w:rsid w:val="00505746"/>
    <w:rsid w:val="005060C1"/>
    <w:rsid w:val="00511A3E"/>
    <w:rsid w:val="00512BBE"/>
    <w:rsid w:val="0051316B"/>
    <w:rsid w:val="0051478E"/>
    <w:rsid w:val="0051501B"/>
    <w:rsid w:val="0051557B"/>
    <w:rsid w:val="00521536"/>
    <w:rsid w:val="00524B96"/>
    <w:rsid w:val="00525D05"/>
    <w:rsid w:val="00527A65"/>
    <w:rsid w:val="005316E6"/>
    <w:rsid w:val="00544C96"/>
    <w:rsid w:val="00554D3A"/>
    <w:rsid w:val="005569D7"/>
    <w:rsid w:val="005576F6"/>
    <w:rsid w:val="00565556"/>
    <w:rsid w:val="00566EE0"/>
    <w:rsid w:val="00573396"/>
    <w:rsid w:val="005738F7"/>
    <w:rsid w:val="00575EB1"/>
    <w:rsid w:val="00583A32"/>
    <w:rsid w:val="00592649"/>
    <w:rsid w:val="0059775B"/>
    <w:rsid w:val="005A461B"/>
    <w:rsid w:val="005A6810"/>
    <w:rsid w:val="005B070B"/>
    <w:rsid w:val="005C42A6"/>
    <w:rsid w:val="005C7A1E"/>
    <w:rsid w:val="005D0DD2"/>
    <w:rsid w:val="005D2DDF"/>
    <w:rsid w:val="005E0E39"/>
    <w:rsid w:val="005E4CC2"/>
    <w:rsid w:val="005E6847"/>
    <w:rsid w:val="005F1691"/>
    <w:rsid w:val="005F2C00"/>
    <w:rsid w:val="005F3A25"/>
    <w:rsid w:val="005F3BD2"/>
    <w:rsid w:val="005F4A9A"/>
    <w:rsid w:val="005F7F42"/>
    <w:rsid w:val="006009B3"/>
    <w:rsid w:val="00605DFF"/>
    <w:rsid w:val="00611D58"/>
    <w:rsid w:val="006243F4"/>
    <w:rsid w:val="00632CCC"/>
    <w:rsid w:val="00634649"/>
    <w:rsid w:val="006357D6"/>
    <w:rsid w:val="00636DB9"/>
    <w:rsid w:val="0063764F"/>
    <w:rsid w:val="006410BB"/>
    <w:rsid w:val="006427D3"/>
    <w:rsid w:val="006464D4"/>
    <w:rsid w:val="00646F2A"/>
    <w:rsid w:val="00647AFB"/>
    <w:rsid w:val="00652E1D"/>
    <w:rsid w:val="006543A9"/>
    <w:rsid w:val="006551E8"/>
    <w:rsid w:val="00655366"/>
    <w:rsid w:val="0065612A"/>
    <w:rsid w:val="00657E2D"/>
    <w:rsid w:val="00660836"/>
    <w:rsid w:val="00660B3A"/>
    <w:rsid w:val="00661B7C"/>
    <w:rsid w:val="00665298"/>
    <w:rsid w:val="006768FE"/>
    <w:rsid w:val="00677907"/>
    <w:rsid w:val="00681632"/>
    <w:rsid w:val="00690A2A"/>
    <w:rsid w:val="00690D5A"/>
    <w:rsid w:val="00691A03"/>
    <w:rsid w:val="0069303B"/>
    <w:rsid w:val="006960D9"/>
    <w:rsid w:val="006962BD"/>
    <w:rsid w:val="006A0848"/>
    <w:rsid w:val="006A55EB"/>
    <w:rsid w:val="006A757A"/>
    <w:rsid w:val="006B097F"/>
    <w:rsid w:val="006B1862"/>
    <w:rsid w:val="006B66E9"/>
    <w:rsid w:val="006C2CC2"/>
    <w:rsid w:val="006C3E4C"/>
    <w:rsid w:val="006C5CB3"/>
    <w:rsid w:val="006D513F"/>
    <w:rsid w:val="006D77A9"/>
    <w:rsid w:val="006D78D5"/>
    <w:rsid w:val="006E0705"/>
    <w:rsid w:val="006E2C37"/>
    <w:rsid w:val="006F1DFE"/>
    <w:rsid w:val="006F36C7"/>
    <w:rsid w:val="007051A9"/>
    <w:rsid w:val="00707505"/>
    <w:rsid w:val="007134A5"/>
    <w:rsid w:val="00713B63"/>
    <w:rsid w:val="00717CC5"/>
    <w:rsid w:val="00720EA3"/>
    <w:rsid w:val="0072388C"/>
    <w:rsid w:val="007323EE"/>
    <w:rsid w:val="00732516"/>
    <w:rsid w:val="007353F4"/>
    <w:rsid w:val="00735DF1"/>
    <w:rsid w:val="0074306F"/>
    <w:rsid w:val="00745F78"/>
    <w:rsid w:val="007461D0"/>
    <w:rsid w:val="00747CD7"/>
    <w:rsid w:val="0075229C"/>
    <w:rsid w:val="00753902"/>
    <w:rsid w:val="007548B6"/>
    <w:rsid w:val="0076115C"/>
    <w:rsid w:val="007615AA"/>
    <w:rsid w:val="007645A7"/>
    <w:rsid w:val="00765C87"/>
    <w:rsid w:val="00772DEF"/>
    <w:rsid w:val="00773F7A"/>
    <w:rsid w:val="00774B29"/>
    <w:rsid w:val="00782F4F"/>
    <w:rsid w:val="00784634"/>
    <w:rsid w:val="0078539B"/>
    <w:rsid w:val="0078565C"/>
    <w:rsid w:val="007901E1"/>
    <w:rsid w:val="007910A1"/>
    <w:rsid w:val="00793FF3"/>
    <w:rsid w:val="00795702"/>
    <w:rsid w:val="007A1979"/>
    <w:rsid w:val="007A603B"/>
    <w:rsid w:val="007B33BC"/>
    <w:rsid w:val="007B47EB"/>
    <w:rsid w:val="007B6D68"/>
    <w:rsid w:val="007C2D28"/>
    <w:rsid w:val="007C6DE6"/>
    <w:rsid w:val="007C7241"/>
    <w:rsid w:val="007C791F"/>
    <w:rsid w:val="007D3099"/>
    <w:rsid w:val="007D6E44"/>
    <w:rsid w:val="007E4714"/>
    <w:rsid w:val="007F0789"/>
    <w:rsid w:val="007F17DE"/>
    <w:rsid w:val="007F2569"/>
    <w:rsid w:val="007F3192"/>
    <w:rsid w:val="007F432C"/>
    <w:rsid w:val="007F46C2"/>
    <w:rsid w:val="007F4EAB"/>
    <w:rsid w:val="0080211E"/>
    <w:rsid w:val="00802627"/>
    <w:rsid w:val="00804541"/>
    <w:rsid w:val="00812FFB"/>
    <w:rsid w:val="00813E99"/>
    <w:rsid w:val="00825C56"/>
    <w:rsid w:val="008344E9"/>
    <w:rsid w:val="00836BCC"/>
    <w:rsid w:val="008376EB"/>
    <w:rsid w:val="00837FF1"/>
    <w:rsid w:val="008453B3"/>
    <w:rsid w:val="0084591A"/>
    <w:rsid w:val="00846C2B"/>
    <w:rsid w:val="0084715D"/>
    <w:rsid w:val="00851D19"/>
    <w:rsid w:val="00853679"/>
    <w:rsid w:val="0085405E"/>
    <w:rsid w:val="00855E04"/>
    <w:rsid w:val="00857BC9"/>
    <w:rsid w:val="00860193"/>
    <w:rsid w:val="0086136A"/>
    <w:rsid w:val="008619ED"/>
    <w:rsid w:val="00872578"/>
    <w:rsid w:val="008740B7"/>
    <w:rsid w:val="00874E57"/>
    <w:rsid w:val="008926FB"/>
    <w:rsid w:val="00892DAA"/>
    <w:rsid w:val="00893D0E"/>
    <w:rsid w:val="00895B6F"/>
    <w:rsid w:val="008A6F00"/>
    <w:rsid w:val="008B0784"/>
    <w:rsid w:val="008B2E3F"/>
    <w:rsid w:val="008B3CBA"/>
    <w:rsid w:val="008B5B14"/>
    <w:rsid w:val="008C4756"/>
    <w:rsid w:val="008D1D68"/>
    <w:rsid w:val="008D3AC1"/>
    <w:rsid w:val="008E1363"/>
    <w:rsid w:val="008E22B2"/>
    <w:rsid w:val="008E4EEE"/>
    <w:rsid w:val="008F2C6E"/>
    <w:rsid w:val="008F38A4"/>
    <w:rsid w:val="008F5FBD"/>
    <w:rsid w:val="008F6D4A"/>
    <w:rsid w:val="008F76BC"/>
    <w:rsid w:val="00901242"/>
    <w:rsid w:val="0090182D"/>
    <w:rsid w:val="00906281"/>
    <w:rsid w:val="00913A8C"/>
    <w:rsid w:val="00914C82"/>
    <w:rsid w:val="009169F1"/>
    <w:rsid w:val="00916A63"/>
    <w:rsid w:val="009220CA"/>
    <w:rsid w:val="00923B93"/>
    <w:rsid w:val="009250C5"/>
    <w:rsid w:val="00926593"/>
    <w:rsid w:val="00927507"/>
    <w:rsid w:val="00930DB5"/>
    <w:rsid w:val="009336D4"/>
    <w:rsid w:val="0093649B"/>
    <w:rsid w:val="00937ECB"/>
    <w:rsid w:val="009415F1"/>
    <w:rsid w:val="009432ED"/>
    <w:rsid w:val="00944529"/>
    <w:rsid w:val="00955E73"/>
    <w:rsid w:val="00960043"/>
    <w:rsid w:val="00960139"/>
    <w:rsid w:val="00962800"/>
    <w:rsid w:val="00963F31"/>
    <w:rsid w:val="009641E9"/>
    <w:rsid w:val="0096451E"/>
    <w:rsid w:val="009678AB"/>
    <w:rsid w:val="009711A4"/>
    <w:rsid w:val="00974236"/>
    <w:rsid w:val="0097684F"/>
    <w:rsid w:val="009842D6"/>
    <w:rsid w:val="00984C9F"/>
    <w:rsid w:val="00997458"/>
    <w:rsid w:val="009A1602"/>
    <w:rsid w:val="009A3389"/>
    <w:rsid w:val="009A6B8E"/>
    <w:rsid w:val="009B08A9"/>
    <w:rsid w:val="009B0FB3"/>
    <w:rsid w:val="009B32D2"/>
    <w:rsid w:val="009B60A3"/>
    <w:rsid w:val="009B7012"/>
    <w:rsid w:val="009D0620"/>
    <w:rsid w:val="009D09F0"/>
    <w:rsid w:val="009E1FA5"/>
    <w:rsid w:val="009E4976"/>
    <w:rsid w:val="009E4FC0"/>
    <w:rsid w:val="009E582B"/>
    <w:rsid w:val="009E6F10"/>
    <w:rsid w:val="009F0CA4"/>
    <w:rsid w:val="009F6186"/>
    <w:rsid w:val="00A01284"/>
    <w:rsid w:val="00A01B88"/>
    <w:rsid w:val="00A05FCA"/>
    <w:rsid w:val="00A119D7"/>
    <w:rsid w:val="00A1232D"/>
    <w:rsid w:val="00A177F8"/>
    <w:rsid w:val="00A2170D"/>
    <w:rsid w:val="00A22026"/>
    <w:rsid w:val="00A2325B"/>
    <w:rsid w:val="00A238FB"/>
    <w:rsid w:val="00A25C45"/>
    <w:rsid w:val="00A278ED"/>
    <w:rsid w:val="00A300B2"/>
    <w:rsid w:val="00A3739F"/>
    <w:rsid w:val="00A403A8"/>
    <w:rsid w:val="00A40FA2"/>
    <w:rsid w:val="00A43317"/>
    <w:rsid w:val="00A4420F"/>
    <w:rsid w:val="00A46C2D"/>
    <w:rsid w:val="00A53A38"/>
    <w:rsid w:val="00A5674F"/>
    <w:rsid w:val="00A602E3"/>
    <w:rsid w:val="00A605F6"/>
    <w:rsid w:val="00A6131B"/>
    <w:rsid w:val="00A67EE0"/>
    <w:rsid w:val="00A72CBC"/>
    <w:rsid w:val="00A779BC"/>
    <w:rsid w:val="00A80DB3"/>
    <w:rsid w:val="00A86816"/>
    <w:rsid w:val="00A944A0"/>
    <w:rsid w:val="00A958B1"/>
    <w:rsid w:val="00A96301"/>
    <w:rsid w:val="00AA0AD0"/>
    <w:rsid w:val="00AA1286"/>
    <w:rsid w:val="00AB1E19"/>
    <w:rsid w:val="00AB6A2F"/>
    <w:rsid w:val="00AC0500"/>
    <w:rsid w:val="00AC2FDF"/>
    <w:rsid w:val="00AC310C"/>
    <w:rsid w:val="00AC4C2E"/>
    <w:rsid w:val="00AC4D55"/>
    <w:rsid w:val="00AC5C9A"/>
    <w:rsid w:val="00AD4FB7"/>
    <w:rsid w:val="00AD7058"/>
    <w:rsid w:val="00AD74C0"/>
    <w:rsid w:val="00AD7804"/>
    <w:rsid w:val="00AE0858"/>
    <w:rsid w:val="00AE285E"/>
    <w:rsid w:val="00AE4D13"/>
    <w:rsid w:val="00AF567D"/>
    <w:rsid w:val="00AF5DBA"/>
    <w:rsid w:val="00AF6F04"/>
    <w:rsid w:val="00B01173"/>
    <w:rsid w:val="00B02D8A"/>
    <w:rsid w:val="00B05358"/>
    <w:rsid w:val="00B05DA0"/>
    <w:rsid w:val="00B079DF"/>
    <w:rsid w:val="00B11067"/>
    <w:rsid w:val="00B1159E"/>
    <w:rsid w:val="00B158B3"/>
    <w:rsid w:val="00B176C4"/>
    <w:rsid w:val="00B242B7"/>
    <w:rsid w:val="00B27488"/>
    <w:rsid w:val="00B3077A"/>
    <w:rsid w:val="00B3462A"/>
    <w:rsid w:val="00B401C3"/>
    <w:rsid w:val="00B4433B"/>
    <w:rsid w:val="00B445FD"/>
    <w:rsid w:val="00B45DCC"/>
    <w:rsid w:val="00B54E84"/>
    <w:rsid w:val="00B564DE"/>
    <w:rsid w:val="00B5726E"/>
    <w:rsid w:val="00B60507"/>
    <w:rsid w:val="00B60B2E"/>
    <w:rsid w:val="00B60B30"/>
    <w:rsid w:val="00B62AE5"/>
    <w:rsid w:val="00B64E38"/>
    <w:rsid w:val="00B72BB7"/>
    <w:rsid w:val="00B72E39"/>
    <w:rsid w:val="00B749D0"/>
    <w:rsid w:val="00B82B29"/>
    <w:rsid w:val="00B86B53"/>
    <w:rsid w:val="00B928F0"/>
    <w:rsid w:val="00B97300"/>
    <w:rsid w:val="00B97606"/>
    <w:rsid w:val="00BA3302"/>
    <w:rsid w:val="00BA3954"/>
    <w:rsid w:val="00BA5C56"/>
    <w:rsid w:val="00BA75F4"/>
    <w:rsid w:val="00BB3508"/>
    <w:rsid w:val="00BC0366"/>
    <w:rsid w:val="00BD38B4"/>
    <w:rsid w:val="00BE547D"/>
    <w:rsid w:val="00BE56F2"/>
    <w:rsid w:val="00BF1578"/>
    <w:rsid w:val="00C005D7"/>
    <w:rsid w:val="00C10104"/>
    <w:rsid w:val="00C11843"/>
    <w:rsid w:val="00C12B51"/>
    <w:rsid w:val="00C23482"/>
    <w:rsid w:val="00C24586"/>
    <w:rsid w:val="00C24828"/>
    <w:rsid w:val="00C33FE8"/>
    <w:rsid w:val="00C44571"/>
    <w:rsid w:val="00C45B2A"/>
    <w:rsid w:val="00C51A45"/>
    <w:rsid w:val="00C5285B"/>
    <w:rsid w:val="00C61075"/>
    <w:rsid w:val="00C61230"/>
    <w:rsid w:val="00C62FD8"/>
    <w:rsid w:val="00C74B37"/>
    <w:rsid w:val="00C76ED9"/>
    <w:rsid w:val="00C8001A"/>
    <w:rsid w:val="00C80A45"/>
    <w:rsid w:val="00C80B85"/>
    <w:rsid w:val="00C8385E"/>
    <w:rsid w:val="00C93687"/>
    <w:rsid w:val="00C93AC7"/>
    <w:rsid w:val="00C9645A"/>
    <w:rsid w:val="00CA0263"/>
    <w:rsid w:val="00CA454D"/>
    <w:rsid w:val="00CA67D9"/>
    <w:rsid w:val="00CA6C8C"/>
    <w:rsid w:val="00CB57F0"/>
    <w:rsid w:val="00CB6D30"/>
    <w:rsid w:val="00CC117E"/>
    <w:rsid w:val="00CC3A5A"/>
    <w:rsid w:val="00CC43D0"/>
    <w:rsid w:val="00CD26A8"/>
    <w:rsid w:val="00CE2F60"/>
    <w:rsid w:val="00CE3860"/>
    <w:rsid w:val="00CE7540"/>
    <w:rsid w:val="00CE7E9C"/>
    <w:rsid w:val="00CF160F"/>
    <w:rsid w:val="00CF1942"/>
    <w:rsid w:val="00CF1FEB"/>
    <w:rsid w:val="00D02789"/>
    <w:rsid w:val="00D04348"/>
    <w:rsid w:val="00D0712B"/>
    <w:rsid w:val="00D0797F"/>
    <w:rsid w:val="00D07ED5"/>
    <w:rsid w:val="00D10616"/>
    <w:rsid w:val="00D13B90"/>
    <w:rsid w:val="00D21B03"/>
    <w:rsid w:val="00D25761"/>
    <w:rsid w:val="00D27252"/>
    <w:rsid w:val="00D33A33"/>
    <w:rsid w:val="00D446C9"/>
    <w:rsid w:val="00D466E1"/>
    <w:rsid w:val="00D50C84"/>
    <w:rsid w:val="00D6108B"/>
    <w:rsid w:val="00D66A5B"/>
    <w:rsid w:val="00D66ABE"/>
    <w:rsid w:val="00D6778A"/>
    <w:rsid w:val="00D7577B"/>
    <w:rsid w:val="00D81FD3"/>
    <w:rsid w:val="00D857B2"/>
    <w:rsid w:val="00D90B9B"/>
    <w:rsid w:val="00D9162B"/>
    <w:rsid w:val="00D92BE2"/>
    <w:rsid w:val="00D96ACC"/>
    <w:rsid w:val="00D96E55"/>
    <w:rsid w:val="00DA0388"/>
    <w:rsid w:val="00DA3ECB"/>
    <w:rsid w:val="00DA64FA"/>
    <w:rsid w:val="00DC2BC0"/>
    <w:rsid w:val="00DC73A9"/>
    <w:rsid w:val="00DC7C1E"/>
    <w:rsid w:val="00DD131B"/>
    <w:rsid w:val="00DD3458"/>
    <w:rsid w:val="00DD70FB"/>
    <w:rsid w:val="00DE0DA7"/>
    <w:rsid w:val="00DE1D26"/>
    <w:rsid w:val="00DE3B93"/>
    <w:rsid w:val="00DE5F81"/>
    <w:rsid w:val="00DE6C50"/>
    <w:rsid w:val="00DE736F"/>
    <w:rsid w:val="00DE79CC"/>
    <w:rsid w:val="00DF0610"/>
    <w:rsid w:val="00DF118E"/>
    <w:rsid w:val="00DF28F8"/>
    <w:rsid w:val="00DF30A7"/>
    <w:rsid w:val="00DF59F5"/>
    <w:rsid w:val="00DF789D"/>
    <w:rsid w:val="00DF7CBD"/>
    <w:rsid w:val="00DF7E26"/>
    <w:rsid w:val="00DF7EBB"/>
    <w:rsid w:val="00E0304B"/>
    <w:rsid w:val="00E03975"/>
    <w:rsid w:val="00E0686A"/>
    <w:rsid w:val="00E079FE"/>
    <w:rsid w:val="00E07AEB"/>
    <w:rsid w:val="00E10784"/>
    <w:rsid w:val="00E12E35"/>
    <w:rsid w:val="00E12EEA"/>
    <w:rsid w:val="00E13552"/>
    <w:rsid w:val="00E1691F"/>
    <w:rsid w:val="00E16A9C"/>
    <w:rsid w:val="00E21AB1"/>
    <w:rsid w:val="00E21D3F"/>
    <w:rsid w:val="00E21E52"/>
    <w:rsid w:val="00E234EE"/>
    <w:rsid w:val="00E3431C"/>
    <w:rsid w:val="00E37320"/>
    <w:rsid w:val="00E41166"/>
    <w:rsid w:val="00E41565"/>
    <w:rsid w:val="00E44993"/>
    <w:rsid w:val="00E476CB"/>
    <w:rsid w:val="00E51F59"/>
    <w:rsid w:val="00E5234A"/>
    <w:rsid w:val="00E615A7"/>
    <w:rsid w:val="00E6296E"/>
    <w:rsid w:val="00E636BA"/>
    <w:rsid w:val="00E67325"/>
    <w:rsid w:val="00E816F4"/>
    <w:rsid w:val="00E83214"/>
    <w:rsid w:val="00E94D12"/>
    <w:rsid w:val="00E95026"/>
    <w:rsid w:val="00EA08D8"/>
    <w:rsid w:val="00EC41D7"/>
    <w:rsid w:val="00EC5C37"/>
    <w:rsid w:val="00EC7709"/>
    <w:rsid w:val="00ED1796"/>
    <w:rsid w:val="00ED3473"/>
    <w:rsid w:val="00ED4F08"/>
    <w:rsid w:val="00EE51EB"/>
    <w:rsid w:val="00EE7D06"/>
    <w:rsid w:val="00EF1247"/>
    <w:rsid w:val="00EF5859"/>
    <w:rsid w:val="00EF6EDE"/>
    <w:rsid w:val="00EF75E1"/>
    <w:rsid w:val="00F01283"/>
    <w:rsid w:val="00F028AC"/>
    <w:rsid w:val="00F05E18"/>
    <w:rsid w:val="00F0643C"/>
    <w:rsid w:val="00F12B57"/>
    <w:rsid w:val="00F13323"/>
    <w:rsid w:val="00F16BF8"/>
    <w:rsid w:val="00F23B82"/>
    <w:rsid w:val="00F24838"/>
    <w:rsid w:val="00F2652E"/>
    <w:rsid w:val="00F351B2"/>
    <w:rsid w:val="00F4150E"/>
    <w:rsid w:val="00F466D8"/>
    <w:rsid w:val="00F50328"/>
    <w:rsid w:val="00F50448"/>
    <w:rsid w:val="00F57192"/>
    <w:rsid w:val="00F638C4"/>
    <w:rsid w:val="00F64207"/>
    <w:rsid w:val="00F66186"/>
    <w:rsid w:val="00F70D37"/>
    <w:rsid w:val="00F71BCE"/>
    <w:rsid w:val="00F732C9"/>
    <w:rsid w:val="00F811DC"/>
    <w:rsid w:val="00F815F5"/>
    <w:rsid w:val="00F86BEA"/>
    <w:rsid w:val="00F92696"/>
    <w:rsid w:val="00F94425"/>
    <w:rsid w:val="00FA0330"/>
    <w:rsid w:val="00FB14F8"/>
    <w:rsid w:val="00FB1FC2"/>
    <w:rsid w:val="00FB2B2D"/>
    <w:rsid w:val="00FB3867"/>
    <w:rsid w:val="00FB4794"/>
    <w:rsid w:val="00FC5662"/>
    <w:rsid w:val="00FC737C"/>
    <w:rsid w:val="00FC758B"/>
    <w:rsid w:val="00FD016B"/>
    <w:rsid w:val="00FD12B7"/>
    <w:rsid w:val="00FD175B"/>
    <w:rsid w:val="00FD2E7D"/>
    <w:rsid w:val="00FD2E86"/>
    <w:rsid w:val="00FD6D6F"/>
    <w:rsid w:val="00FD7CCE"/>
    <w:rsid w:val="00FE078B"/>
    <w:rsid w:val="00FE4A1E"/>
    <w:rsid w:val="00FE503D"/>
    <w:rsid w:val="00FE708B"/>
    <w:rsid w:val="00FE7729"/>
    <w:rsid w:val="00FE7765"/>
    <w:rsid w:val="00FF260C"/>
    <w:rsid w:val="00FF6EC0"/>
    <w:rsid w:val="00FF7177"/>
    <w:rsid w:val="00FF7B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EFEDF7"/>
  <w15:chartTrackingRefBased/>
  <w15:docId w15:val="{67C354E7-64ED-43E5-BBAD-AEB2E67B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C84"/>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D50C84"/>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D50C84"/>
    <w:rPr>
      <w:rFonts w:asciiTheme="minorHAnsi" w:hAnsiTheme="minorHAnsi" w:cstheme="minorBidi"/>
      <w:sz w:val="20"/>
      <w:szCs w:val="20"/>
    </w:rPr>
  </w:style>
  <w:style w:type="character" w:styleId="FootnoteReference">
    <w:name w:val="footnote reference"/>
    <w:aliases w:val="12,16 Point,Footnote Reference Number,Footnote Reference_LVL6,Footnote Reference_LVL61,Footnote Reference_LVL62,Footnote Reference_LVL63,Footnote Reference_LVL64,SUPE,Style 14,Style 16,Style 19,Style 35,Style 39,Superscript 6 Point,fr"/>
    <w:uiPriority w:val="99"/>
    <w:qFormat/>
    <w:rsid w:val="00D50C84"/>
    <w:rPr>
      <w:vertAlign w:val="superscript"/>
    </w:rPr>
  </w:style>
  <w:style w:type="table" w:styleId="TableGrid">
    <w:name w:val="Table Grid"/>
    <w:basedOn w:val="TableNormal"/>
    <w:uiPriority w:val="59"/>
    <w:rsid w:val="00D50C8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858"/>
    <w:rPr>
      <w:color w:val="0563C1" w:themeColor="hyperlink"/>
      <w:u w:val="single"/>
    </w:rPr>
  </w:style>
  <w:style w:type="character" w:styleId="UnresolvedMention">
    <w:name w:val="Unresolved Mention"/>
    <w:basedOn w:val="DefaultParagraphFont"/>
    <w:uiPriority w:val="99"/>
    <w:semiHidden/>
    <w:unhideWhenUsed/>
    <w:rsid w:val="00AE0858"/>
    <w:rPr>
      <w:color w:val="605E5C"/>
      <w:shd w:val="clear" w:color="auto" w:fill="E1DFDD"/>
    </w:rPr>
  </w:style>
  <w:style w:type="paragraph" w:styleId="BalloonText">
    <w:name w:val="Balloon Text"/>
    <w:basedOn w:val="Normal"/>
    <w:link w:val="BalloonTextChar"/>
    <w:uiPriority w:val="99"/>
    <w:semiHidden/>
    <w:unhideWhenUsed/>
    <w:rsid w:val="00AE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58"/>
    <w:rPr>
      <w:rFonts w:ascii="Segoe UI" w:hAnsi="Segoe UI" w:cs="Segoe UI"/>
      <w:sz w:val="18"/>
      <w:szCs w:val="18"/>
    </w:rPr>
  </w:style>
  <w:style w:type="character" w:styleId="FollowedHyperlink">
    <w:name w:val="FollowedHyperlink"/>
    <w:basedOn w:val="DefaultParagraphFont"/>
    <w:uiPriority w:val="99"/>
    <w:semiHidden/>
    <w:unhideWhenUsed/>
    <w:rsid w:val="00AE0858"/>
    <w:rPr>
      <w:color w:val="954F72" w:themeColor="followedHyperlink"/>
      <w:u w:val="single"/>
    </w:rPr>
  </w:style>
  <w:style w:type="paragraph" w:styleId="Header">
    <w:name w:val="header"/>
    <w:basedOn w:val="Normal"/>
    <w:link w:val="HeaderChar"/>
    <w:uiPriority w:val="99"/>
    <w:unhideWhenUsed/>
    <w:rsid w:val="00210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72"/>
    <w:rPr>
      <w:rFonts w:asciiTheme="minorHAnsi" w:hAnsiTheme="minorHAnsi" w:cstheme="minorBidi"/>
      <w:sz w:val="22"/>
      <w:szCs w:val="22"/>
    </w:rPr>
  </w:style>
  <w:style w:type="paragraph" w:styleId="Footer">
    <w:name w:val="footer"/>
    <w:basedOn w:val="Normal"/>
    <w:link w:val="FooterChar"/>
    <w:uiPriority w:val="99"/>
    <w:unhideWhenUsed/>
    <w:rsid w:val="00210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72"/>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C0E1E"/>
    <w:rPr>
      <w:sz w:val="16"/>
      <w:szCs w:val="16"/>
    </w:rPr>
  </w:style>
  <w:style w:type="paragraph" w:styleId="CommentText">
    <w:name w:val="annotation text"/>
    <w:basedOn w:val="Normal"/>
    <w:link w:val="CommentTextChar"/>
    <w:uiPriority w:val="99"/>
    <w:unhideWhenUsed/>
    <w:rsid w:val="003C0E1E"/>
    <w:pPr>
      <w:spacing w:line="240" w:lineRule="auto"/>
    </w:pPr>
    <w:rPr>
      <w:sz w:val="20"/>
      <w:szCs w:val="20"/>
    </w:rPr>
  </w:style>
  <w:style w:type="character" w:customStyle="1" w:styleId="CommentTextChar">
    <w:name w:val="Comment Text Char"/>
    <w:basedOn w:val="DefaultParagraphFont"/>
    <w:link w:val="CommentText"/>
    <w:uiPriority w:val="99"/>
    <w:rsid w:val="003C0E1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C0E1E"/>
    <w:rPr>
      <w:b/>
      <w:bCs/>
    </w:rPr>
  </w:style>
  <w:style w:type="character" w:customStyle="1" w:styleId="CommentSubjectChar">
    <w:name w:val="Comment Subject Char"/>
    <w:basedOn w:val="CommentTextChar"/>
    <w:link w:val="CommentSubject"/>
    <w:uiPriority w:val="99"/>
    <w:semiHidden/>
    <w:rsid w:val="003C0E1E"/>
    <w:rPr>
      <w:rFonts w:asciiTheme="minorHAnsi" w:hAnsiTheme="minorHAnsi" w:cstheme="minorBidi"/>
      <w:b/>
      <w:bCs/>
      <w:sz w:val="20"/>
      <w:szCs w:val="20"/>
    </w:rPr>
  </w:style>
  <w:style w:type="paragraph" w:styleId="EndnoteText">
    <w:name w:val="endnote text"/>
    <w:basedOn w:val="Normal"/>
    <w:link w:val="EndnoteTextChar"/>
    <w:uiPriority w:val="99"/>
    <w:semiHidden/>
    <w:unhideWhenUsed/>
    <w:rsid w:val="0084591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84591A"/>
    <w:rPr>
      <w:rFonts w:cstheme="minorBidi"/>
      <w:sz w:val="20"/>
      <w:szCs w:val="20"/>
    </w:rPr>
  </w:style>
  <w:style w:type="character" w:styleId="EndnoteReference">
    <w:name w:val="endnote reference"/>
    <w:basedOn w:val="DefaultParagraphFont"/>
    <w:uiPriority w:val="99"/>
    <w:semiHidden/>
    <w:unhideWhenUsed/>
    <w:rsid w:val="0084591A"/>
    <w:rPr>
      <w:vertAlign w:val="superscript"/>
    </w:rPr>
  </w:style>
  <w:style w:type="paragraph" w:customStyle="1" w:styleId="paragraph">
    <w:name w:val="paragraph"/>
    <w:basedOn w:val="Normal"/>
    <w:rsid w:val="000C2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2E69"/>
  </w:style>
  <w:style w:type="character" w:customStyle="1" w:styleId="eop">
    <w:name w:val="eop"/>
    <w:basedOn w:val="DefaultParagraphFont"/>
    <w:rsid w:val="000C2E69"/>
  </w:style>
  <w:style w:type="paragraph" w:styleId="Revision">
    <w:name w:val="Revision"/>
    <w:hidden/>
    <w:uiPriority w:val="99"/>
    <w:semiHidden/>
    <w:rsid w:val="00EF75E1"/>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D96E55"/>
    <w:pPr>
      <w:ind w:left="720"/>
      <w:contextualSpacing/>
    </w:pPr>
  </w:style>
  <w:style w:type="paragraph" w:styleId="PlainText">
    <w:name w:val="Plain Text"/>
    <w:basedOn w:val="Normal"/>
    <w:link w:val="PlainTextChar"/>
    <w:uiPriority w:val="99"/>
    <w:semiHidden/>
    <w:unhideWhenUsed/>
    <w:rsid w:val="00A46C2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A46C2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ftc.gov/csl/26-14/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9F6A3F80C824894850DCD9885153C" ma:contentTypeVersion="7" ma:contentTypeDescription="Create a new document." ma:contentTypeScope="" ma:versionID="963b17e1de7fa37fa7ae7d581e72c4d5">
  <xsd:schema xmlns:xsd="http://www.w3.org/2001/XMLSchema" xmlns:xs="http://www.w3.org/2001/XMLSchema" xmlns:p="http://schemas.microsoft.com/office/2006/metadata/properties" xmlns:ns2="3ad20d41-d1c7-42ba-b8c6-a7c99ff9fab9" xmlns:ns3="f69f131e-8388-4be0-b0e1-0f68e2058127" targetNamespace="http://schemas.microsoft.com/office/2006/metadata/properties" ma:root="true" ma:fieldsID="7922ec5594fb59615e4d946e2af2d724" ns2:_="" ns3:_="">
    <xsd:import namespace="3ad20d41-d1c7-42ba-b8c6-a7c99ff9fab9"/>
    <xsd:import namespace="f69f131e-8388-4be0-b0e1-0f68e20581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0d41-d1c7-42ba-b8c6-a7c99ff9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f131e-8388-4be0-b0e1-0f68e20581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7540B-58D2-451D-91BA-CAECA3CEE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0d41-d1c7-42ba-b8c6-a7c99ff9fab9"/>
    <ds:schemaRef ds:uri="f69f131e-8388-4be0-b0e1-0f68e205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5C3EF-E4B3-4F55-B8E3-D506DED095F4}">
  <ds:schemaRefs>
    <ds:schemaRef ds:uri="http://schemas.microsoft.com/sharepoint/v3/contenttype/forms"/>
  </ds:schemaRefs>
</ds:datastoreItem>
</file>

<file path=customXml/itemProps3.xml><?xml version="1.0" encoding="utf-8"?>
<ds:datastoreItem xmlns:ds="http://schemas.openxmlformats.org/officeDocument/2006/customXml" ds:itemID="{5C4F8FAE-78C7-476A-A9E6-94DE6AC3A96A}">
  <ds:schemaRefs>
    <ds:schemaRef ds:uri="http://schemas.openxmlformats.org/officeDocument/2006/bibliography"/>
  </ds:schemaRefs>
</ds:datastoreItem>
</file>

<file path=customXml/itemProps4.xml><?xml version="1.0" encoding="utf-8"?>
<ds:datastoreItem xmlns:ds="http://schemas.openxmlformats.org/officeDocument/2006/customXml" ds:itemID="{ED8D520D-2AF1-4043-BC8D-07DCFF40C0A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222</TotalTime>
  <Pages>25</Pages>
  <Words>7315</Words>
  <Characters>42282</Characters>
  <Application>Microsoft Office Word</Application>
  <DocSecurity>0</DocSecurity>
  <Lines>1174</Lines>
  <Paragraphs>604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Kenny Wright</cp:lastModifiedBy>
  <cp:revision>47</cp:revision>
  <cp:lastPrinted>2026-07-01T12:50:00Z</cp:lastPrinted>
  <dcterms:created xsi:type="dcterms:W3CDTF">2026-06-16T19:58:00Z</dcterms:created>
  <dcterms:modified xsi:type="dcterms:W3CDTF">2026-07-01T12:58:00Z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0x010100A329F6A3F80C824894850DCD9885153C</vt:lpwstr>
  </property>
</Properties>
</file>