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1D2" w:rsidRPr="00D35C22" w:rsidP="007921D2" w14:paraId="1117605E" w14:textId="77777777">
      <w:pPr>
        <w:tabs>
          <w:tab w:val="center" w:pos="4680"/>
        </w:tabs>
        <w:jc w:val="center"/>
        <w:rPr>
          <w:rFonts w:ascii="Times New Roman" w:hAnsi="Times New Roman"/>
          <w:szCs w:val="24"/>
        </w:rPr>
      </w:pPr>
      <w:r w:rsidRPr="00D35C22">
        <w:rPr>
          <w:rFonts w:ascii="Times New Roman" w:hAnsi="Times New Roman"/>
          <w:szCs w:val="24"/>
        </w:rPr>
        <w:t>SUPPORTING STATEMENT</w:t>
      </w:r>
    </w:p>
    <w:p w:rsidR="00386121" w:rsidRPr="00D35C22" w:rsidP="00D35C22" w14:paraId="5D3F49E9" w14:textId="34D3E534">
      <w:pPr>
        <w:pStyle w:val="NoSpacing"/>
        <w:jc w:val="center"/>
        <w:rPr>
          <w:rFonts w:ascii="Times New Roman" w:hAnsi="Times New Roman"/>
        </w:rPr>
      </w:pPr>
      <w:r w:rsidRPr="00D35C22">
        <w:rPr>
          <w:rFonts w:ascii="Times New Roman" w:hAnsi="Times New Roman"/>
        </w:rPr>
        <w:t>AML/CFT and Sanctions Requirements for FDIC-Supervised Permitted Payment Stablecoin Issuers</w:t>
      </w:r>
    </w:p>
    <w:p w:rsidR="007921D2" w:rsidRPr="00D35C22" w:rsidP="007921D2" w14:paraId="3C37E20E" w14:textId="77777777">
      <w:pPr>
        <w:tabs>
          <w:tab w:val="center" w:pos="4680"/>
        </w:tabs>
        <w:jc w:val="center"/>
        <w:rPr>
          <w:rFonts w:ascii="Times New Roman" w:hAnsi="Times New Roman"/>
          <w:szCs w:val="24"/>
        </w:rPr>
      </w:pPr>
      <w:r w:rsidRPr="00D35C22">
        <w:rPr>
          <w:rFonts w:ascii="Times New Roman" w:hAnsi="Times New Roman"/>
          <w:szCs w:val="24"/>
        </w:rPr>
        <w:t>(OMB Control No. 3064-NEW)</w:t>
      </w:r>
    </w:p>
    <w:p w:rsidR="007921D2" w:rsidRPr="00D35C22" w:rsidP="007921D2" w14:paraId="46E80309" w14:textId="77777777">
      <w:pPr>
        <w:tabs>
          <w:tab w:val="left" w:pos="240"/>
          <w:tab w:val="left" w:pos="840"/>
          <w:tab w:val="left" w:pos="1440"/>
          <w:tab w:val="left" w:pos="2040"/>
          <w:tab w:val="left" w:pos="2640"/>
          <w:tab w:val="left" w:pos="3240"/>
          <w:tab w:val="left" w:pos="3840"/>
          <w:tab w:val="left" w:pos="4440"/>
        </w:tabs>
        <w:rPr>
          <w:rFonts w:ascii="Times New Roman" w:hAnsi="Times New Roman"/>
          <w:color w:val="FF0000"/>
          <w:szCs w:val="24"/>
        </w:rPr>
      </w:pPr>
    </w:p>
    <w:p w:rsidR="007921D2" w:rsidRPr="00AD775B" w:rsidP="007921D2" w14:paraId="4DC942D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u w:val="single"/>
        </w:rPr>
      </w:pPr>
      <w:r w:rsidRPr="00AD775B">
        <w:rPr>
          <w:rFonts w:ascii="Times New Roman" w:hAnsi="Times New Roman"/>
          <w:szCs w:val="24"/>
          <w:u w:val="single"/>
        </w:rPr>
        <w:t>INTRODUCTION</w:t>
      </w:r>
    </w:p>
    <w:p w:rsidR="001362D5" w:rsidRPr="00AD775B" w:rsidP="007921D2" w14:paraId="1A5AE7D6"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B7104C" w:rsidP="00D80E81" w14:paraId="12CC4978" w14:textId="15C95CD4">
      <w:pPr>
        <w:rPr>
          <w:rFonts w:ascii="Times New Roman" w:eastAsia="Aptos" w:hAnsi="Times New Roman"/>
          <w:b/>
          <w:bCs/>
          <w:snapToGrid/>
          <w:szCs w:val="24"/>
        </w:rPr>
      </w:pPr>
      <w:r w:rsidRPr="00AD775B">
        <w:rPr>
          <w:rFonts w:ascii="Times New Roman" w:hAnsi="Times New Roman"/>
          <w:szCs w:val="24"/>
        </w:rPr>
        <w:t xml:space="preserve">The Federal Deposit Insurance Corporation (FDIC) is requesting approval from the Office of Management and Budget (OMB) to establish a new information collection contained in a notice of proposed rulemaking on </w:t>
      </w:r>
      <w:r w:rsidRPr="00353DEE">
        <w:rPr>
          <w:rFonts w:ascii="Times New Roman" w:hAnsi="Times New Roman"/>
          <w:szCs w:val="24"/>
        </w:rPr>
        <w:t>“</w:t>
      </w:r>
      <w:r w:rsidRPr="00353DEE" w:rsidR="00353DEE">
        <w:rPr>
          <w:rFonts w:ascii="Times New Roman" w:eastAsia="Aptos" w:hAnsi="Times New Roman"/>
          <w:snapToGrid/>
          <w:szCs w:val="24"/>
        </w:rPr>
        <w:t xml:space="preserve">Bank Secrecy Act and Sanctions Compliance Standards for FDIC-Supervised Permitted Payment Stablecoin </w:t>
      </w:r>
      <w:r w:rsidRPr="00B7104C" w:rsidR="00353DEE">
        <w:rPr>
          <w:rFonts w:ascii="Times New Roman" w:eastAsia="Aptos" w:hAnsi="Times New Roman"/>
          <w:snapToGrid/>
          <w:szCs w:val="24"/>
        </w:rPr>
        <w:t>Issuers</w:t>
      </w:r>
      <w:r w:rsidRPr="00B7104C">
        <w:rPr>
          <w:rFonts w:ascii="Times New Roman" w:hAnsi="Times New Roman"/>
          <w:szCs w:val="24"/>
        </w:rPr>
        <w:t>.” The pro</w:t>
      </w:r>
      <w:r w:rsidR="00A83503">
        <w:rPr>
          <w:rFonts w:ascii="Times New Roman" w:hAnsi="Times New Roman"/>
          <w:szCs w:val="24"/>
        </w:rPr>
        <w:t>posed rule</w:t>
      </w:r>
      <w:r w:rsidRPr="00B7104C">
        <w:rPr>
          <w:rFonts w:ascii="Times New Roman" w:hAnsi="Times New Roman"/>
          <w:szCs w:val="24"/>
        </w:rPr>
        <w:t xml:space="preserve"> seeks to impose</w:t>
      </w:r>
      <w:r w:rsidRPr="00B7104C" w:rsidR="00F15AB4">
        <w:rPr>
          <w:rFonts w:ascii="Times New Roman" w:hAnsi="Times New Roman"/>
          <w:szCs w:val="24"/>
        </w:rPr>
        <w:t xml:space="preserve"> </w:t>
      </w:r>
      <w:r w:rsidR="0063790C">
        <w:rPr>
          <w:rFonts w:ascii="Times New Roman" w:hAnsi="Times New Roman"/>
          <w:szCs w:val="24"/>
        </w:rPr>
        <w:t xml:space="preserve">new </w:t>
      </w:r>
      <w:r w:rsidRPr="00B7104C" w:rsidR="00FD4BDF">
        <w:rPr>
          <w:rFonts w:ascii="Times New Roman" w:hAnsi="Times New Roman"/>
          <w:szCs w:val="24"/>
        </w:rPr>
        <w:t xml:space="preserve">recordkeeping </w:t>
      </w:r>
      <w:r w:rsidRPr="00B7104C">
        <w:rPr>
          <w:rFonts w:ascii="Times New Roman" w:hAnsi="Times New Roman"/>
          <w:szCs w:val="24"/>
        </w:rPr>
        <w:t>requirements under the Paperwork Reduction Act (PRA)</w:t>
      </w:r>
      <w:r>
        <w:rPr>
          <w:rFonts w:ascii="Times New Roman" w:hAnsi="Times New Roman"/>
          <w:szCs w:val="24"/>
          <w:vertAlign w:val="superscript"/>
        </w:rPr>
        <w:footnoteReference w:id="2"/>
      </w:r>
      <w:r w:rsidRPr="00B7104C">
        <w:rPr>
          <w:rFonts w:ascii="Times New Roman" w:hAnsi="Times New Roman"/>
          <w:szCs w:val="24"/>
        </w:rPr>
        <w:t xml:space="preserve"> for </w:t>
      </w:r>
      <w:r w:rsidRPr="00B7104C" w:rsidR="00631A2F">
        <w:rPr>
          <w:rFonts w:ascii="Times New Roman" w:hAnsi="Times New Roman"/>
          <w:szCs w:val="24"/>
        </w:rPr>
        <w:t>FDIC-supervised permitted payment stablecoin issuer</w:t>
      </w:r>
      <w:r w:rsidRPr="00B7104C" w:rsidR="00B7104C">
        <w:rPr>
          <w:rFonts w:ascii="Times New Roman" w:hAnsi="Times New Roman"/>
          <w:szCs w:val="24"/>
        </w:rPr>
        <w:t>s</w:t>
      </w:r>
      <w:r w:rsidR="00FC30BE">
        <w:rPr>
          <w:rFonts w:ascii="Times New Roman" w:hAnsi="Times New Roman"/>
          <w:szCs w:val="24"/>
        </w:rPr>
        <w:t xml:space="preserve"> (PPSIs)</w:t>
      </w:r>
      <w:r w:rsidRPr="00B7104C">
        <w:rPr>
          <w:rFonts w:ascii="Times New Roman" w:hAnsi="Times New Roman"/>
          <w:szCs w:val="24"/>
        </w:rPr>
        <w:t>. As a result, the FDIC is requesting approval from the OMB and asks that the OMB assign an OMB control number.</w:t>
      </w:r>
    </w:p>
    <w:p w:rsidR="007921D2" w:rsidRPr="00B7104C" w:rsidP="007921D2" w14:paraId="422B2A7B"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B7104C" w:rsidP="007921D2" w14:paraId="0D0978C5" w14:textId="77777777">
      <w:pPr>
        <w:pStyle w:val="ListParagraph"/>
        <w:numPr>
          <w:ilvl w:val="0"/>
          <w:numId w:val="1"/>
        </w:numPr>
        <w:rPr>
          <w:rFonts w:ascii="Times New Roman" w:hAnsi="Times New Roman"/>
          <w:szCs w:val="24"/>
        </w:rPr>
      </w:pPr>
      <w:r w:rsidRPr="00B7104C">
        <w:rPr>
          <w:rFonts w:ascii="Times New Roman" w:hAnsi="Times New Roman"/>
          <w:szCs w:val="24"/>
          <w:u w:val="single"/>
        </w:rPr>
        <w:t>JUSTIFICATION</w:t>
      </w:r>
    </w:p>
    <w:p w:rsidR="007921D2" w:rsidRPr="00B7104C" w:rsidP="007921D2" w14:paraId="3F6AC701" w14:textId="77777777">
      <w:pPr>
        <w:rPr>
          <w:rFonts w:ascii="Times New Roman" w:hAnsi="Times New Roman"/>
          <w:i/>
          <w:szCs w:val="24"/>
        </w:rPr>
      </w:pPr>
    </w:p>
    <w:p w:rsidR="007921D2" w:rsidRPr="00B7104C" w:rsidP="007921D2" w14:paraId="7E6135FE"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7104C">
        <w:rPr>
          <w:rFonts w:ascii="Times New Roman" w:hAnsi="Times New Roman"/>
          <w:szCs w:val="24"/>
          <w:u w:val="single"/>
        </w:rPr>
        <w:t>Circumstances that make the collection necessary:</w:t>
      </w:r>
    </w:p>
    <w:p w:rsidR="007921D2" w:rsidRPr="00D35C22" w:rsidP="007921D2" w14:paraId="72616029" w14:textId="77777777">
      <w:pPr>
        <w:rPr>
          <w:rFonts w:ascii="Times New Roman" w:hAnsi="Times New Roman"/>
          <w:i/>
          <w:color w:val="FF0000"/>
          <w:szCs w:val="24"/>
        </w:rPr>
      </w:pPr>
    </w:p>
    <w:p w:rsidR="00940599" w:rsidRPr="00940599" w:rsidP="00590A2D" w14:paraId="0E95F071" w14:textId="4856B020">
      <w:pPr>
        <w:widowControl/>
        <w:ind w:left="1080"/>
        <w:rPr>
          <w:rFonts w:ascii="Times New Roman" w:eastAsia="Aptos" w:hAnsi="Times New Roman"/>
          <w:snapToGrid/>
          <w:szCs w:val="24"/>
        </w:rPr>
      </w:pPr>
      <w:r w:rsidRPr="00940599">
        <w:rPr>
          <w:rFonts w:ascii="Times New Roman" w:eastAsia="Aptos" w:hAnsi="Times New Roman"/>
          <w:snapToGrid/>
          <w:szCs w:val="24"/>
        </w:rPr>
        <w:t xml:space="preserve">The FDIC is issuing this notice of proposed rulemaking (proposed rule) to implement </w:t>
      </w:r>
      <w:r w:rsidRPr="00940599">
        <w:rPr>
          <w:rFonts w:ascii="Times New Roman" w:eastAsia="MS Mincho" w:hAnsi="Times New Roman"/>
          <w:snapToGrid/>
          <w:szCs w:val="24"/>
        </w:rPr>
        <w:t>appropriate BSA and sanctions compliance standards</w:t>
      </w:r>
      <w:r w:rsidRPr="00940599">
        <w:rPr>
          <w:rFonts w:ascii="Times New Roman" w:eastAsia="Aptos" w:hAnsi="Times New Roman"/>
          <w:snapToGrid/>
          <w:szCs w:val="24"/>
        </w:rPr>
        <w:t xml:space="preserve"> applicable to FDIC-supervised</w:t>
      </w:r>
      <w:r w:rsidR="00FC30BE">
        <w:rPr>
          <w:rFonts w:ascii="Times New Roman" w:eastAsia="Aptos" w:hAnsi="Times New Roman"/>
          <w:snapToGrid/>
          <w:szCs w:val="24"/>
        </w:rPr>
        <w:t xml:space="preserve"> </w:t>
      </w:r>
      <w:r w:rsidRPr="00940599">
        <w:rPr>
          <w:rFonts w:ascii="Times New Roman" w:eastAsia="Aptos" w:hAnsi="Times New Roman"/>
          <w:snapToGrid/>
          <w:szCs w:val="24"/>
        </w:rPr>
        <w:t>PPSIs pursuant to the</w:t>
      </w:r>
      <w:r w:rsidRPr="009D4E48" w:rsidR="00565804">
        <w:rPr>
          <w:rFonts w:ascii="Times New Roman" w:eastAsia="Aptos" w:hAnsi="Times New Roman"/>
          <w:snapToGrid/>
          <w:szCs w:val="24"/>
        </w:rPr>
        <w:t xml:space="preserve"> Guiding and Establishing National Innovation for U.S. Stablecoins Act (GENIUS Act</w:t>
      </w:r>
      <w:r w:rsidR="00565804">
        <w:rPr>
          <w:rFonts w:ascii="Times New Roman" w:eastAsia="Aptos" w:hAnsi="Times New Roman"/>
          <w:snapToGrid/>
          <w:szCs w:val="24"/>
        </w:rPr>
        <w:t xml:space="preserve"> </w:t>
      </w:r>
      <w:r w:rsidRPr="00940599">
        <w:rPr>
          <w:rFonts w:ascii="Times New Roman" w:eastAsia="Aptos" w:hAnsi="Times New Roman"/>
          <w:snapToGrid/>
          <w:szCs w:val="24"/>
        </w:rPr>
        <w:t>or the Act).</w:t>
      </w:r>
      <w:r>
        <w:rPr>
          <w:rFonts w:ascii="Times New Roman" w:hAnsi="Times New Roman"/>
          <w:snapToGrid/>
          <w:szCs w:val="24"/>
          <w:vertAlign w:val="superscript"/>
        </w:rPr>
        <w:footnoteReference w:id="3"/>
      </w:r>
      <w:r w:rsidRPr="00940599">
        <w:rPr>
          <w:rFonts w:ascii="Times New Roman" w:eastAsia="Aptos" w:hAnsi="Times New Roman"/>
          <w:snapToGrid/>
          <w:szCs w:val="24"/>
        </w:rPr>
        <w:t xml:space="preserve"> The proposed rule aims to establish appropriate principles-based </w:t>
      </w:r>
      <w:r w:rsidRPr="00940599">
        <w:rPr>
          <w:rFonts w:ascii="Times New Roman" w:eastAsia="MS Mincho" w:hAnsi="Times New Roman"/>
          <w:snapToGrid/>
          <w:szCs w:val="24"/>
        </w:rPr>
        <w:t>BSA and sanctions compliance requirements and standards</w:t>
      </w:r>
      <w:r w:rsidRPr="00940599">
        <w:rPr>
          <w:rFonts w:ascii="Times New Roman" w:eastAsia="Aptos" w:hAnsi="Times New Roman"/>
          <w:snapToGrid/>
          <w:szCs w:val="24"/>
        </w:rPr>
        <w:t xml:space="preserve"> that are tailored to the business model and risk profile of PPSIs and consistent with applicable law, which includes requirements promulgated by the United States </w:t>
      </w:r>
      <w:r w:rsidRPr="00940599">
        <w:rPr>
          <w:rFonts w:ascii="Times New Roman" w:eastAsia="Aptos" w:hAnsi="Times New Roman" w:cs="Arial"/>
          <w:snapToGrid/>
          <w:kern w:val="2"/>
          <w:szCs w:val="24"/>
          <w14:ligatures w14:val="standardContextual"/>
        </w:rPr>
        <w:t>Department of Treasury’s Financial Crimes Enforcement Network and the Office of Foreign Assets Control. The proposed rule would</w:t>
      </w:r>
      <w:r w:rsidRPr="00940599">
        <w:rPr>
          <w:rFonts w:ascii="Times New Roman" w:eastAsia="Aptos" w:hAnsi="Times New Roman" w:cs="Arial"/>
          <w:snapToGrid/>
          <w:szCs w:val="24"/>
        </w:rPr>
        <w:t xml:space="preserve"> establish supervisory expectations for PPSIs,</w:t>
      </w:r>
      <w:r w:rsidRPr="00940599">
        <w:rPr>
          <w:rFonts w:ascii="Times New Roman" w:eastAsia="Aptos" w:hAnsi="Times New Roman"/>
          <w:snapToGrid/>
          <w:szCs w:val="24"/>
        </w:rPr>
        <w:t xml:space="preserve"> help combat illicit finance risk, and continue to support the responsible growth and use of digital assets and related technologies in the banking sector.</w:t>
      </w:r>
      <w:r>
        <w:rPr>
          <w:rFonts w:ascii="Times New Roman" w:eastAsia="Aptos" w:hAnsi="Times New Roman"/>
          <w:snapToGrid/>
          <w:szCs w:val="24"/>
          <w:vertAlign w:val="superscript"/>
        </w:rPr>
        <w:footnoteReference w:id="4"/>
      </w:r>
      <w:r w:rsidRPr="00940599">
        <w:rPr>
          <w:rFonts w:ascii="Times New Roman" w:eastAsia="Aptos" w:hAnsi="Times New Roman"/>
          <w:snapToGrid/>
          <w:szCs w:val="24"/>
        </w:rPr>
        <w:t xml:space="preserve"> </w:t>
      </w:r>
    </w:p>
    <w:p w:rsidR="007921D2" w:rsidRPr="00A32D8E" w:rsidP="00ED6864" w14:paraId="17568A2E" w14:textId="77777777">
      <w:pPr>
        <w:pStyle w:val="BodyText"/>
        <w:spacing w:after="0"/>
        <w:rPr>
          <w:rFonts w:ascii="Times New Roman" w:hAnsi="Times New Roman"/>
          <w:szCs w:val="24"/>
        </w:rPr>
      </w:pPr>
    </w:p>
    <w:p w:rsidR="007921D2" w:rsidRPr="00A32D8E" w:rsidP="007921D2" w14:paraId="6DFFD47C"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32D8E">
        <w:rPr>
          <w:rFonts w:ascii="Times New Roman" w:hAnsi="Times New Roman"/>
          <w:szCs w:val="24"/>
          <w:u w:val="single"/>
        </w:rPr>
        <w:t xml:space="preserve">Use of the information: </w:t>
      </w:r>
    </w:p>
    <w:p w:rsidR="007921D2" w:rsidRPr="00A32D8E" w:rsidP="007921D2" w14:paraId="0A8787B8" w14:textId="77777777">
      <w:pPr>
        <w:rPr>
          <w:rFonts w:ascii="Times New Roman" w:hAnsi="Times New Roman"/>
          <w:szCs w:val="24"/>
        </w:rPr>
      </w:pPr>
    </w:p>
    <w:p w:rsidR="00EB4A38" w:rsidRPr="00EB4A38" w:rsidP="00EB4A38" w14:paraId="50C4F96B" w14:textId="4FE2C1D3">
      <w:pPr>
        <w:ind w:left="1080"/>
        <w:rPr>
          <w:rFonts w:ascii="Times New Roman" w:eastAsia="Aptos" w:hAnsi="Times New Roman"/>
          <w:snapToGrid/>
          <w:szCs w:val="24"/>
        </w:rPr>
      </w:pPr>
      <w:r w:rsidRPr="00EB4A38">
        <w:rPr>
          <w:rFonts w:ascii="Times New Roman" w:eastAsia="Aptos" w:hAnsi="Times New Roman"/>
          <w:snapToGrid/>
          <w:szCs w:val="24"/>
        </w:rPr>
        <w:t>This proposed rule would implement additional GENIUS Act requirements for PPSIs, specifically BSA and sanctions compliance standards, as well as supervision and enforcement provisions for PPSI anti-money laundering/countering the financing of terrorism (AML/CFT) programs.</w:t>
      </w:r>
    </w:p>
    <w:p w:rsidR="006C4A95" w:rsidP="006C4A95" w14:paraId="0A52B211" w14:textId="77777777">
      <w:pPr>
        <w:pStyle w:val="BodyText"/>
        <w:ind w:right="374"/>
        <w:rPr>
          <w:rFonts w:ascii="Times New Roman" w:hAnsi="Times New Roman"/>
          <w:color w:val="FF0000"/>
          <w:szCs w:val="24"/>
        </w:rPr>
      </w:pPr>
    </w:p>
    <w:p w:rsidR="00780C4B" w:rsidRPr="009E44ED" w:rsidP="006C4A95" w14:paraId="5C5A213A" w14:textId="244BC85F">
      <w:pPr>
        <w:pStyle w:val="BodyText"/>
        <w:ind w:left="1080" w:right="374"/>
        <w:rPr>
          <w:rFonts w:ascii="Times New Roman" w:hAnsi="Times New Roman"/>
          <w:szCs w:val="24"/>
        </w:rPr>
      </w:pPr>
      <w:r w:rsidRPr="009E44ED">
        <w:rPr>
          <w:rFonts w:ascii="Times New Roman" w:hAnsi="Times New Roman"/>
          <w:szCs w:val="24"/>
        </w:rPr>
        <w:t xml:space="preserve">The FDIC is requesting approval to collect information </w:t>
      </w:r>
      <w:r w:rsidRPr="009E44ED" w:rsidR="0028660A">
        <w:rPr>
          <w:rFonts w:ascii="Times New Roman" w:hAnsi="Times New Roman"/>
          <w:szCs w:val="24"/>
        </w:rPr>
        <w:t xml:space="preserve">from </w:t>
      </w:r>
      <w:r w:rsidRPr="009E44ED" w:rsidR="0028660A">
        <w:rPr>
          <w:rFonts w:ascii="Times New Roman" w:eastAsia="Aptos" w:hAnsi="Times New Roman"/>
          <w:snapToGrid/>
          <w:szCs w:val="24"/>
        </w:rPr>
        <w:t xml:space="preserve">entities </w:t>
      </w:r>
      <w:r w:rsidRPr="009D4E48" w:rsidR="009D4E48">
        <w:rPr>
          <w:rFonts w:ascii="Times New Roman" w:eastAsia="Aptos" w:hAnsi="Times New Roman"/>
          <w:snapToGrid/>
          <w:szCs w:val="24"/>
        </w:rPr>
        <w:t xml:space="preserve">pursuant to the GENIUS Act that would implement </w:t>
      </w:r>
      <w:r w:rsidRPr="009D4E48" w:rsidR="009D4E48">
        <w:rPr>
          <w:rFonts w:ascii="Times New Roman" w:eastAsia="MS Mincho" w:hAnsi="Times New Roman"/>
          <w:snapToGrid/>
          <w:szCs w:val="24"/>
        </w:rPr>
        <w:t xml:space="preserve">appropriate Bank Secrecy Act (BSA) and </w:t>
      </w:r>
      <w:r w:rsidRPr="009D4E48" w:rsidR="009D4E48">
        <w:rPr>
          <w:rFonts w:ascii="Times New Roman" w:eastAsia="MS Mincho" w:hAnsi="Times New Roman"/>
          <w:snapToGrid/>
          <w:szCs w:val="24"/>
        </w:rPr>
        <w:t>sanctions compliance standards</w:t>
      </w:r>
      <w:r w:rsidRPr="009D4E48" w:rsidR="009D4E48">
        <w:rPr>
          <w:rFonts w:ascii="Times New Roman" w:eastAsia="Aptos" w:hAnsi="Times New Roman"/>
          <w:snapToGrid/>
          <w:szCs w:val="24"/>
        </w:rPr>
        <w:t xml:space="preserve"> applicable to FDIC-supervised </w:t>
      </w:r>
      <w:r w:rsidR="00755209">
        <w:rPr>
          <w:rFonts w:ascii="Times New Roman" w:eastAsia="Aptos" w:hAnsi="Times New Roman"/>
          <w:snapToGrid/>
          <w:szCs w:val="24"/>
        </w:rPr>
        <w:t xml:space="preserve">PPSIs. </w:t>
      </w:r>
    </w:p>
    <w:p w:rsidR="007921D2" w:rsidRPr="00E77330" w:rsidP="007921D2" w14:paraId="00D63595"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E77330">
        <w:rPr>
          <w:rFonts w:ascii="Times New Roman" w:hAnsi="Times New Roman"/>
          <w:szCs w:val="24"/>
          <w:u w:val="single"/>
        </w:rPr>
        <w:t>Consideration of the use of improved information technology:</w:t>
      </w:r>
    </w:p>
    <w:p w:rsidR="007921D2" w:rsidRPr="00E77330" w:rsidP="007921D2" w14:paraId="34D2544B" w14:textId="77777777">
      <w:pPr>
        <w:rPr>
          <w:rFonts w:ascii="Times New Roman" w:hAnsi="Times New Roman"/>
          <w:szCs w:val="24"/>
        </w:rPr>
      </w:pPr>
    </w:p>
    <w:p w:rsidR="007921D2" w:rsidRPr="00E77330" w:rsidP="00D80E81" w14:paraId="03F89FD0" w14:textId="2811ED13">
      <w:pPr>
        <w:ind w:left="1080"/>
        <w:rPr>
          <w:rFonts w:ascii="Times New Roman" w:hAnsi="Times New Roman"/>
          <w:szCs w:val="24"/>
        </w:rPr>
      </w:pPr>
      <w:r w:rsidRPr="00E77330">
        <w:rPr>
          <w:rFonts w:ascii="Times New Roman" w:hAnsi="Times New Roman"/>
          <w:szCs w:val="24"/>
        </w:rPr>
        <w:t xml:space="preserve">FDIC-supervised </w:t>
      </w:r>
      <w:r w:rsidR="00755209">
        <w:rPr>
          <w:rFonts w:ascii="Times New Roman" w:hAnsi="Times New Roman"/>
          <w:szCs w:val="24"/>
        </w:rPr>
        <w:t>PPSIs</w:t>
      </w:r>
      <w:r w:rsidRPr="00E77330" w:rsidR="00630F11">
        <w:rPr>
          <w:rFonts w:ascii="Times New Roman" w:hAnsi="Times New Roman"/>
          <w:szCs w:val="24"/>
        </w:rPr>
        <w:t xml:space="preserve"> </w:t>
      </w:r>
      <w:r w:rsidRPr="00E77330">
        <w:rPr>
          <w:rFonts w:ascii="Times New Roman" w:hAnsi="Times New Roman"/>
          <w:szCs w:val="24"/>
        </w:rPr>
        <w:t>may use technology to the extent feasible and/or desirable or appropriate</w:t>
      </w:r>
      <w:r w:rsidRPr="00E77330" w:rsidR="007A0684">
        <w:rPr>
          <w:rFonts w:ascii="Times New Roman" w:hAnsi="Times New Roman"/>
          <w:szCs w:val="24"/>
        </w:rPr>
        <w:t>.</w:t>
      </w:r>
    </w:p>
    <w:p w:rsidR="007921D2" w:rsidRPr="00D35C22" w:rsidP="007921D2" w14:paraId="74179004" w14:textId="77777777">
      <w:pPr>
        <w:ind w:firstLine="720"/>
        <w:rPr>
          <w:rFonts w:ascii="Times New Roman" w:hAnsi="Times New Roman"/>
          <w:color w:val="FF0000"/>
          <w:szCs w:val="24"/>
        </w:rPr>
      </w:pPr>
    </w:p>
    <w:p w:rsidR="007921D2" w:rsidRPr="003C1FB8" w:rsidP="007921D2" w14:paraId="46FCDA68" w14:textId="77777777">
      <w:pPr>
        <w:pStyle w:val="BodyTextIndent"/>
        <w:numPr>
          <w:ilvl w:val="1"/>
          <w:numId w:val="2"/>
        </w:numPr>
        <w:rPr>
          <w:szCs w:val="24"/>
        </w:rPr>
      </w:pPr>
      <w:r w:rsidRPr="003C1FB8">
        <w:rPr>
          <w:szCs w:val="24"/>
          <w:u w:val="single"/>
        </w:rPr>
        <w:t>Effort to identify duplication:</w:t>
      </w:r>
    </w:p>
    <w:p w:rsidR="007921D2" w:rsidRPr="003C1FB8" w:rsidP="007921D2" w14:paraId="6D53AE0E" w14:textId="77777777">
      <w:pPr>
        <w:pStyle w:val="BodyTextIndent"/>
        <w:rPr>
          <w:szCs w:val="24"/>
        </w:rPr>
      </w:pPr>
    </w:p>
    <w:p w:rsidR="007921D2" w:rsidRPr="003C1FB8" w:rsidP="00D80E81" w14:paraId="3E494CF7" w14:textId="392C1E17">
      <w:pPr>
        <w:pStyle w:val="BodyTextIndent"/>
        <w:ind w:left="1080"/>
        <w:rPr>
          <w:szCs w:val="24"/>
        </w:rPr>
      </w:pPr>
      <w:r w:rsidRPr="003C1FB8">
        <w:rPr>
          <w:szCs w:val="24"/>
        </w:rPr>
        <w:t>No other federal law mandates these requirements and therefore the reporting requirements are not otherwise duplicated.</w:t>
      </w:r>
    </w:p>
    <w:p w:rsidR="007921D2" w:rsidRPr="00D35C22" w:rsidP="007921D2" w14:paraId="1D1A7F91" w14:textId="77777777">
      <w:pPr>
        <w:widowControl/>
        <w:ind w:firstLine="720"/>
        <w:rPr>
          <w:rFonts w:ascii="Times New Roman" w:hAnsi="Times New Roman"/>
          <w:color w:val="FF0000"/>
          <w:szCs w:val="24"/>
        </w:rPr>
      </w:pPr>
    </w:p>
    <w:p w:rsidR="007921D2" w:rsidRPr="00E77330" w:rsidP="007921D2" w14:paraId="1C9C9D5E" w14:textId="77777777">
      <w:pPr>
        <w:pStyle w:val="BodyTextIndent"/>
        <w:numPr>
          <w:ilvl w:val="1"/>
          <w:numId w:val="2"/>
        </w:numPr>
        <w:rPr>
          <w:szCs w:val="24"/>
        </w:rPr>
      </w:pPr>
      <w:r w:rsidRPr="00E77330">
        <w:rPr>
          <w:szCs w:val="24"/>
          <w:u w:val="single"/>
        </w:rPr>
        <w:t>Methods used to minimize burden if the collection has a significant impact on a substantial number of small entities:</w:t>
      </w:r>
    </w:p>
    <w:p w:rsidR="00F94FA6" w:rsidRPr="00E77330" w:rsidP="00F94FA6" w14:paraId="430EAC21" w14:textId="77777777">
      <w:pPr>
        <w:pStyle w:val="BodyTextIndent"/>
        <w:rPr>
          <w:szCs w:val="24"/>
          <w:u w:val="single"/>
        </w:rPr>
      </w:pPr>
    </w:p>
    <w:p w:rsidR="00F94FA6" w:rsidRPr="00E77330" w:rsidP="00D80E81" w14:paraId="668827B1" w14:textId="0DA7BE69">
      <w:pPr>
        <w:pStyle w:val="BodyTextIndent"/>
        <w:ind w:left="1080"/>
      </w:pPr>
      <w:r w:rsidRPr="00E77330">
        <w:t>The FDIC believes the proposed rule is unlikely to have a significant economic impact on a substantial number of small entities.</w:t>
      </w:r>
    </w:p>
    <w:p w:rsidR="004566B8" w:rsidRPr="00D35C22" w:rsidP="00F94FA6" w14:paraId="361147C6" w14:textId="77777777">
      <w:pPr>
        <w:pStyle w:val="BodyTextIndent"/>
        <w:ind w:left="1080"/>
        <w:rPr>
          <w:color w:val="FF0000"/>
        </w:rPr>
      </w:pPr>
    </w:p>
    <w:p w:rsidR="00CC455E" w:rsidRPr="00CC455E" w:rsidP="00CC455E" w14:paraId="30542DE0" w14:textId="3A6EB097">
      <w:pPr>
        <w:widowControl/>
        <w:ind w:left="1080"/>
        <w:rPr>
          <w:rFonts w:ascii="Times New Roman" w:eastAsia="Aptos" w:hAnsi="Times New Roman"/>
          <w:snapToGrid/>
          <w:szCs w:val="24"/>
        </w:rPr>
      </w:pPr>
      <w:r w:rsidRPr="00CC455E">
        <w:rPr>
          <w:rFonts w:ascii="Times New Roman" w:eastAsia="Aptos" w:hAnsi="Times New Roman"/>
          <w:snapToGrid/>
          <w:szCs w:val="24"/>
        </w:rPr>
        <w:t xml:space="preserve">Generally, the FDIC considers a significant economic impact to be a quantified effect </w:t>
      </w:r>
      <w:r w:rsidRPr="00CC455E">
        <w:rPr>
          <w:rFonts w:ascii="Times New Roman" w:eastAsia="Aptos" w:hAnsi="Times New Roman"/>
          <w:snapToGrid/>
          <w:szCs w:val="24"/>
        </w:rPr>
        <w:t>in excess of</w:t>
      </w:r>
      <w:r w:rsidRPr="00CC455E">
        <w:rPr>
          <w:rFonts w:ascii="Times New Roman" w:eastAsia="Aptos" w:hAnsi="Times New Roman"/>
          <w:snapToGrid/>
          <w:szCs w:val="24"/>
        </w:rPr>
        <w:t xml:space="preserve"> 5 percent of total annual salaries and benefits or 2.5 percent of total noninterest expenses. To estimate the economic impact of the proposed rule on each small entity, the FDIC compares expected outcomes under the proposed rule to expected outcomes under a baseline absent the proposed rule. </w:t>
      </w:r>
      <w:r w:rsidR="00842A9E">
        <w:rPr>
          <w:rFonts w:ascii="Times New Roman" w:eastAsia="Aptos" w:hAnsi="Times New Roman"/>
          <w:snapToGrid/>
          <w:szCs w:val="24"/>
        </w:rPr>
        <w:t>T</w:t>
      </w:r>
      <w:r w:rsidRPr="00CC455E">
        <w:rPr>
          <w:rFonts w:ascii="Times New Roman" w:eastAsia="Aptos" w:hAnsi="Times New Roman"/>
          <w:snapToGrid/>
          <w:szCs w:val="24"/>
        </w:rPr>
        <w:t xml:space="preserve">he FDIC assumes, under the baseline, that all other rulemakings implementing the GENIUS Act with respect to FDIC-supervised PPSIs are enacted. This assumption allows the analysis to focus on the effects specific to the proposed rule. </w:t>
      </w:r>
    </w:p>
    <w:p w:rsidR="00CC455E" w:rsidP="00CC455E" w14:paraId="70F1CCEF" w14:textId="77777777">
      <w:pPr>
        <w:widowControl/>
        <w:ind w:firstLine="720"/>
        <w:rPr>
          <w:rFonts w:ascii="Times New Roman" w:eastAsia="Aptos" w:hAnsi="Times New Roman"/>
          <w:snapToGrid/>
          <w:szCs w:val="24"/>
        </w:rPr>
      </w:pPr>
    </w:p>
    <w:p w:rsidR="00CC455E" w:rsidRPr="00CC455E" w:rsidP="00527FE0" w14:paraId="2870B1EF" w14:textId="5B096B92">
      <w:pPr>
        <w:widowControl/>
        <w:ind w:left="1080"/>
        <w:rPr>
          <w:rFonts w:ascii="Times New Roman" w:eastAsia="Aptos" w:hAnsi="Times New Roman"/>
          <w:snapToGrid/>
          <w:szCs w:val="24"/>
        </w:rPr>
      </w:pPr>
      <w:r>
        <w:rPr>
          <w:rFonts w:ascii="Times New Roman" w:eastAsia="Aptos" w:hAnsi="Times New Roman"/>
          <w:snapToGrid/>
          <w:szCs w:val="24"/>
        </w:rPr>
        <w:t>T</w:t>
      </w:r>
      <w:r w:rsidRPr="00CC455E">
        <w:rPr>
          <w:rFonts w:ascii="Times New Roman" w:eastAsia="Aptos" w:hAnsi="Times New Roman"/>
          <w:snapToGrid/>
          <w:szCs w:val="24"/>
        </w:rPr>
        <w:t xml:space="preserve">he proposed rule would apply to all FDIC-supervised PPSIs. As of the quarter ending September 30, 2025, the FDIC insures 4,388 depository institutions, of which 3,062 are small, and supervises 2,778 IDIs, of which 2,064 are considered small for the purposes of </w:t>
      </w:r>
      <w:r w:rsidR="00735943">
        <w:rPr>
          <w:rFonts w:ascii="Times New Roman" w:eastAsia="Aptos" w:hAnsi="Times New Roman"/>
          <w:snapToGrid/>
          <w:szCs w:val="24"/>
        </w:rPr>
        <w:t xml:space="preserve">the </w:t>
      </w:r>
      <w:r w:rsidRPr="00735943" w:rsidR="00735943">
        <w:rPr>
          <w:rFonts w:ascii="Times New Roman" w:hAnsi="Times New Roman"/>
        </w:rPr>
        <w:t>Regulatory Flexibility Act</w:t>
      </w:r>
      <w:r w:rsidRPr="00735943">
        <w:rPr>
          <w:rFonts w:ascii="Times New Roman" w:eastAsia="Aptos" w:hAnsi="Times New Roman"/>
          <w:snapToGrid/>
          <w:szCs w:val="24"/>
        </w:rPr>
        <w:t>.</w:t>
      </w:r>
      <w:r>
        <w:rPr>
          <w:rFonts w:ascii="Times New Roman" w:eastAsia="Aptos" w:hAnsi="Times New Roman"/>
          <w:snapToGrid/>
          <w:szCs w:val="24"/>
          <w:vertAlign w:val="superscript"/>
        </w:rPr>
        <w:footnoteReference w:id="5"/>
      </w:r>
      <w:r w:rsidRPr="00CC455E">
        <w:rPr>
          <w:rFonts w:ascii="Times New Roman" w:eastAsia="Aptos" w:hAnsi="Times New Roman"/>
          <w:snapToGrid/>
          <w:szCs w:val="24"/>
        </w:rPr>
        <w:t xml:space="preserve"> </w:t>
      </w:r>
    </w:p>
    <w:p w:rsidR="00CC455E" w:rsidP="00527FE0" w14:paraId="71FEE57B" w14:textId="77777777">
      <w:pPr>
        <w:widowControl/>
        <w:ind w:left="360" w:firstLine="720"/>
        <w:rPr>
          <w:rFonts w:ascii="Times New Roman" w:eastAsia="Aptos" w:hAnsi="Times New Roman"/>
          <w:snapToGrid/>
          <w:szCs w:val="24"/>
        </w:rPr>
      </w:pPr>
    </w:p>
    <w:p w:rsidR="00CC455E" w:rsidRPr="00CC455E" w:rsidP="00527FE0" w14:paraId="0666E336" w14:textId="026EC642">
      <w:pPr>
        <w:widowControl/>
        <w:ind w:left="1080"/>
        <w:rPr>
          <w:rFonts w:ascii="Times New Roman" w:eastAsia="Aptos" w:hAnsi="Times New Roman"/>
          <w:snapToGrid/>
          <w:szCs w:val="24"/>
        </w:rPr>
      </w:pPr>
      <w:r>
        <w:rPr>
          <w:rFonts w:ascii="Times New Roman" w:eastAsia="Aptos" w:hAnsi="Times New Roman"/>
          <w:snapToGrid/>
          <w:szCs w:val="24"/>
        </w:rPr>
        <w:t>T</w:t>
      </w:r>
      <w:r w:rsidRPr="00CC455E">
        <w:rPr>
          <w:rFonts w:ascii="Times New Roman" w:eastAsia="Aptos" w:hAnsi="Times New Roman"/>
          <w:snapToGrid/>
          <w:szCs w:val="24"/>
        </w:rPr>
        <w:t>he FDIC estimates that the number of FDIC-supervised</w:t>
      </w:r>
      <w:r>
        <w:rPr>
          <w:rFonts w:ascii="Times New Roman" w:eastAsia="Aptos" w:hAnsi="Times New Roman"/>
          <w:snapToGrid/>
          <w:szCs w:val="24"/>
        </w:rPr>
        <w:t xml:space="preserve"> </w:t>
      </w:r>
      <w:r w:rsidRPr="00CC455E">
        <w:rPr>
          <w:rFonts w:ascii="Times New Roman" w:eastAsia="Aptos" w:hAnsi="Times New Roman"/>
          <w:snapToGrid/>
          <w:szCs w:val="24"/>
        </w:rPr>
        <w:t>PPSIs would likely range between 5 and 30 in the first few years after the enactment of the proposed rule. Because an FDIC-supervised PPSI must be a subsidiary of an IDI, the FDIC expects that the initial adopters of this technology will likely be larger institutions with the compliance infrastructure and capital necessary to support payment stablecoin issuance. As such, the FDIC anticipates that most, if not all, FDIC-supervised PPSIs would not be small entities as defined by the</w:t>
      </w:r>
      <w:r w:rsidR="00452172">
        <w:rPr>
          <w:rFonts w:ascii="Times New Roman" w:eastAsia="Aptos" w:hAnsi="Times New Roman"/>
          <w:snapToGrid/>
          <w:szCs w:val="24"/>
        </w:rPr>
        <w:t xml:space="preserve"> Small Business Administration</w:t>
      </w:r>
      <w:r w:rsidRPr="00CC455E">
        <w:rPr>
          <w:rFonts w:ascii="Times New Roman" w:eastAsia="Aptos" w:hAnsi="Times New Roman"/>
          <w:snapToGrid/>
          <w:szCs w:val="24"/>
        </w:rPr>
        <w:t xml:space="preserve">. </w:t>
      </w:r>
    </w:p>
    <w:p w:rsidR="00CC455E" w:rsidP="00527FE0" w14:paraId="2B45F775" w14:textId="77777777">
      <w:pPr>
        <w:widowControl/>
        <w:ind w:left="360" w:firstLine="720"/>
        <w:rPr>
          <w:rFonts w:ascii="Times New Roman" w:eastAsia="Aptos" w:hAnsi="Times New Roman"/>
          <w:snapToGrid/>
          <w:szCs w:val="24"/>
        </w:rPr>
      </w:pPr>
    </w:p>
    <w:p w:rsidR="00CC455E" w:rsidRPr="00CC455E" w:rsidP="00527FE0" w14:paraId="342749BD" w14:textId="139E482C">
      <w:pPr>
        <w:widowControl/>
        <w:ind w:left="1080"/>
        <w:rPr>
          <w:rFonts w:ascii="Times New Roman" w:eastAsia="Aptos" w:hAnsi="Times New Roman"/>
          <w:snapToGrid/>
          <w:szCs w:val="24"/>
        </w:rPr>
      </w:pPr>
      <w:r>
        <w:rPr>
          <w:rFonts w:ascii="Times New Roman" w:eastAsia="Aptos" w:hAnsi="Times New Roman"/>
          <w:snapToGrid/>
          <w:szCs w:val="24"/>
        </w:rPr>
        <w:t>T</w:t>
      </w:r>
      <w:r w:rsidRPr="00CC455E">
        <w:rPr>
          <w:rFonts w:ascii="Times New Roman" w:eastAsia="Aptos" w:hAnsi="Times New Roman"/>
          <w:snapToGrid/>
          <w:szCs w:val="24"/>
        </w:rPr>
        <w:t xml:space="preserve">he FDIC expects most, if not all, FDIC-supervised PPSIs would leverage their parent institutions’ AML/CFT and sanctions compliance programs. As such, if there were a small FDIC-supervised PPSI, the direct impact of the proposed rule on this PPSI would unlikely be significant. </w:t>
      </w:r>
    </w:p>
    <w:p w:rsidR="00CC455E" w:rsidP="00527FE0" w14:paraId="5FA0C5AB" w14:textId="77777777">
      <w:pPr>
        <w:widowControl/>
        <w:ind w:left="360" w:firstLine="720"/>
        <w:rPr>
          <w:rFonts w:ascii="Times New Roman" w:eastAsia="Aptos" w:hAnsi="Times New Roman"/>
          <w:snapToGrid/>
          <w:szCs w:val="24"/>
        </w:rPr>
      </w:pPr>
    </w:p>
    <w:p w:rsidR="00CC455E" w:rsidRPr="00CC455E" w:rsidP="00527FE0" w14:paraId="62449733" w14:textId="4D1E652D">
      <w:pPr>
        <w:widowControl/>
        <w:ind w:left="1080"/>
        <w:rPr>
          <w:rFonts w:ascii="Times New Roman" w:eastAsia="Aptos" w:hAnsi="Times New Roman"/>
          <w:snapToGrid/>
          <w:szCs w:val="24"/>
        </w:rPr>
      </w:pPr>
      <w:r w:rsidRPr="00CC455E">
        <w:rPr>
          <w:rFonts w:ascii="Times New Roman" w:eastAsia="Aptos" w:hAnsi="Times New Roman"/>
          <w:snapToGrid/>
          <w:szCs w:val="24"/>
        </w:rPr>
        <w:t xml:space="preserve">Based on the preceding statement of factual basis, the FDIC certifies that the proposed rule will not, if promulgated, have a significant economic impact on a substantial number of small entities. </w:t>
      </w:r>
    </w:p>
    <w:p w:rsidR="007921D2" w:rsidRPr="00D35C22" w:rsidP="007921D2" w14:paraId="3F4DE1C3" w14:textId="77777777">
      <w:pPr>
        <w:pStyle w:val="BodyTextIndent"/>
        <w:ind w:left="1080"/>
        <w:rPr>
          <w:color w:val="FF0000"/>
          <w:szCs w:val="24"/>
        </w:rPr>
      </w:pPr>
    </w:p>
    <w:p w:rsidR="007921D2" w:rsidRPr="00B13573" w:rsidP="007921D2" w14:paraId="1356A1B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13573">
        <w:rPr>
          <w:rFonts w:ascii="Times New Roman" w:hAnsi="Times New Roman"/>
          <w:szCs w:val="24"/>
          <w:u w:val="single"/>
        </w:rPr>
        <w:t>Consequences to the Federal program if the collection were conducted less frequently:</w:t>
      </w:r>
    </w:p>
    <w:p w:rsidR="007921D2" w:rsidRPr="00D35C22" w:rsidP="007D0E77" w14:paraId="7D8593DB" w14:textId="77777777">
      <w:pPr>
        <w:ind w:left="720"/>
        <w:rPr>
          <w:rFonts w:ascii="Times New Roman" w:hAnsi="Times New Roman"/>
          <w:color w:val="FF0000"/>
          <w:szCs w:val="24"/>
        </w:rPr>
      </w:pPr>
    </w:p>
    <w:p w:rsidR="00A056C3" w:rsidRPr="00D35C22" w:rsidP="00D80E81" w14:paraId="7DDAE75D" w14:textId="498A3024">
      <w:pPr>
        <w:pStyle w:val="NoSpacing"/>
        <w:ind w:left="1080"/>
        <w:rPr>
          <w:rFonts w:ascii="Times New Roman" w:eastAsia="Aptos" w:hAnsi="Times New Roman"/>
          <w:snapToGrid/>
          <w:color w:val="FF0000"/>
        </w:rPr>
      </w:pPr>
      <w:r w:rsidRPr="00B13573">
        <w:rPr>
          <w:rFonts w:ascii="Times New Roman" w:eastAsia="Aptos" w:hAnsi="Times New Roman"/>
          <w:snapToGrid/>
        </w:rPr>
        <w:t>The GENIUS Act requires the FDIC, along with the other primary Federal payment stablecoin regulators</w:t>
      </w:r>
      <w:r>
        <w:rPr>
          <w:rFonts w:ascii="Times New Roman" w:eastAsia="Aptos" w:hAnsi="Times New Roman"/>
          <w:snapToGrid/>
          <w:vertAlign w:val="superscript"/>
        </w:rPr>
        <w:footnoteReference w:id="6"/>
      </w:r>
      <w:r w:rsidRPr="00B13573">
        <w:rPr>
          <w:rFonts w:ascii="Times New Roman" w:eastAsia="Aptos" w:hAnsi="Times New Roman"/>
          <w:snapToGrid/>
        </w:rPr>
        <w:t xml:space="preserve"> as well as the Department of Treasury, to implement regulations to carry out the Act’s requirements in establishing a </w:t>
      </w:r>
      <w:r w:rsidRPr="00B13573">
        <w:rPr>
          <w:rFonts w:ascii="Times New Roman" w:eastAsia="Aptos" w:hAnsi="Times New Roman"/>
          <w:snapToGrid/>
        </w:rPr>
        <w:t>Federal</w:t>
      </w:r>
      <w:r w:rsidRPr="00B13573">
        <w:rPr>
          <w:rFonts w:ascii="Times New Roman" w:eastAsia="Aptos" w:hAnsi="Times New Roman"/>
          <w:snapToGrid/>
        </w:rPr>
        <w:t xml:space="preserve"> payment stablecoin regulatory framework for supervised entities. The FDIC is the primary Federal payment stablecoin regulator of FDIC-supervised IDIs approved to issue payment stablecoins. </w:t>
      </w:r>
      <w:r w:rsidRPr="005118E4">
        <w:rPr>
          <w:rFonts w:ascii="Times New Roman" w:eastAsia="Aptos" w:hAnsi="Times New Roman"/>
          <w:snapToGrid/>
        </w:rPr>
        <w:t>In December 2025, the FDIC issued a notice of proposed rulemaking under section 5 of the GENIUS Act that would establish application procedures for FDIC-supervised IDIs to request approval to issue payment stablecoins through a subsidiary.</w:t>
      </w:r>
      <w:r>
        <w:rPr>
          <w:rFonts w:ascii="Times New Roman" w:eastAsia="Aptos" w:hAnsi="Times New Roman"/>
          <w:snapToGrid/>
          <w:vertAlign w:val="superscript"/>
        </w:rPr>
        <w:footnoteReference w:id="7"/>
      </w:r>
      <w:r w:rsidRPr="005118E4" w:rsidR="00701C82">
        <w:rPr>
          <w:rFonts w:ascii="Times New Roman" w:eastAsia="Aptos" w:hAnsi="Times New Roman"/>
          <w:snapToGrid/>
        </w:rPr>
        <w:t xml:space="preserve"> </w:t>
      </w:r>
      <w:r w:rsidRPr="005118E4" w:rsidR="0053447E">
        <w:rPr>
          <w:rFonts w:ascii="Times New Roman" w:eastAsia="Aptos" w:hAnsi="Times New Roman"/>
          <w:snapToGrid/>
        </w:rPr>
        <w:t xml:space="preserve">In April 2026, the FDIC issued a </w:t>
      </w:r>
      <w:r w:rsidRPr="005118E4" w:rsidR="00DF7762">
        <w:rPr>
          <w:rFonts w:ascii="Times New Roman" w:eastAsia="Aptos" w:hAnsi="Times New Roman"/>
          <w:snapToGrid/>
        </w:rPr>
        <w:t xml:space="preserve">notice of proposed rulemaking </w:t>
      </w:r>
      <w:r w:rsidRPr="005118E4" w:rsidR="00353117">
        <w:rPr>
          <w:rFonts w:ascii="Times New Roman" w:eastAsia="Aptos" w:hAnsi="Times New Roman"/>
          <w:snapToGrid/>
        </w:rPr>
        <w:t xml:space="preserve">that would </w:t>
      </w:r>
      <w:r w:rsidRPr="005118E4" w:rsidR="005118E4">
        <w:rPr>
          <w:rFonts w:ascii="Times New Roman" w:eastAsia="Aptos" w:hAnsi="Times New Roman"/>
          <w:snapToGrid/>
        </w:rPr>
        <w:t>establish requirement and standards for FDIC-supervised PPSIs and insured depository institutions.</w:t>
      </w:r>
      <w:r>
        <w:rPr>
          <w:rStyle w:val="FootnoteReference"/>
          <w:rFonts w:eastAsia="Aptos"/>
          <w:snapToGrid/>
          <w:vertAlign w:val="superscript"/>
        </w:rPr>
        <w:footnoteReference w:id="8"/>
      </w:r>
      <w:r w:rsidRPr="005118E4" w:rsidR="005118E4">
        <w:rPr>
          <w:rFonts w:ascii="Times New Roman" w:eastAsia="Aptos" w:hAnsi="Times New Roman"/>
          <w:snapToGrid/>
        </w:rPr>
        <w:t xml:space="preserve"> </w:t>
      </w:r>
      <w:r w:rsidR="00195966">
        <w:rPr>
          <w:rFonts w:ascii="Times New Roman" w:eastAsia="Aptos" w:hAnsi="Times New Roman"/>
          <w:snapToGrid/>
        </w:rPr>
        <w:t xml:space="preserve">This proposed rule would implement appropriate BSA and sanctions </w:t>
      </w:r>
      <w:r w:rsidR="00BA378E">
        <w:rPr>
          <w:rFonts w:ascii="Times New Roman" w:eastAsia="Aptos" w:hAnsi="Times New Roman"/>
          <w:snapToGrid/>
        </w:rPr>
        <w:t xml:space="preserve">compliance standards applicable to FDIC-supervised PPSIs. </w:t>
      </w:r>
    </w:p>
    <w:p w:rsidR="007921D2" w:rsidRPr="00D35C22" w:rsidP="00950ECD" w14:paraId="210E3913" w14:textId="77777777">
      <w:pPr>
        <w:pStyle w:val="BodyTextIndent"/>
        <w:ind w:left="0"/>
        <w:rPr>
          <w:color w:val="FF0000"/>
          <w:szCs w:val="24"/>
        </w:rPr>
      </w:pPr>
    </w:p>
    <w:p w:rsidR="007921D2" w:rsidRPr="00D35C22" w:rsidP="007921D2" w14:paraId="39B0470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Special circumstances necessitating collection inconsistent with 5 CFR 1320.5(d)(2):</w:t>
      </w:r>
    </w:p>
    <w:p w:rsidR="007921D2" w:rsidRPr="00D35C22" w:rsidP="007921D2" w14:paraId="3AA08E36" w14:textId="77777777">
      <w:pPr>
        <w:rPr>
          <w:rFonts w:ascii="Times New Roman" w:hAnsi="Times New Roman"/>
          <w:szCs w:val="24"/>
        </w:rPr>
      </w:pPr>
    </w:p>
    <w:p w:rsidR="007921D2" w:rsidRPr="00D35C22" w:rsidP="007921D2" w14:paraId="3C7C84D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D35C22">
        <w:rPr>
          <w:rFonts w:ascii="Times New Roman" w:hAnsi="Times New Roman"/>
          <w:szCs w:val="24"/>
        </w:rPr>
        <w:t>None. This information collection is conducted in accordance with the guidelines in 5 CFR 1320.5(d)(2).</w:t>
      </w:r>
    </w:p>
    <w:p w:rsidR="007921D2" w:rsidRPr="00D35C22" w:rsidP="007921D2" w14:paraId="1000C9B5" w14:textId="77777777">
      <w:pPr>
        <w:rPr>
          <w:rFonts w:ascii="Times New Roman" w:hAnsi="Times New Roman"/>
          <w:color w:val="FF0000"/>
          <w:szCs w:val="24"/>
        </w:rPr>
      </w:pPr>
    </w:p>
    <w:p w:rsidR="007921D2" w:rsidRPr="00D35C22" w:rsidP="007921D2" w14:paraId="0946CE91"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 xml:space="preserve">Efforts to consult with </w:t>
      </w:r>
      <w:r w:rsidRPr="00D35C22">
        <w:rPr>
          <w:rFonts w:ascii="Times New Roman" w:hAnsi="Times New Roman"/>
          <w:szCs w:val="24"/>
          <w:u w:val="single"/>
        </w:rPr>
        <w:t>persons</w:t>
      </w:r>
      <w:r w:rsidRPr="00D35C22">
        <w:rPr>
          <w:rFonts w:ascii="Times New Roman" w:hAnsi="Times New Roman"/>
          <w:szCs w:val="24"/>
          <w:u w:val="single"/>
        </w:rPr>
        <w:t xml:space="preserve"> outside the agency:</w:t>
      </w:r>
    </w:p>
    <w:p w:rsidR="007921D2" w:rsidRPr="00D35C22" w:rsidP="007921D2" w14:paraId="7C6F51C9" w14:textId="77777777">
      <w:pPr>
        <w:rPr>
          <w:rFonts w:ascii="Times New Roman" w:hAnsi="Times New Roman"/>
          <w:szCs w:val="24"/>
        </w:rPr>
      </w:pPr>
    </w:p>
    <w:p w:rsidR="007921D2" w:rsidRPr="00D35C22" w:rsidP="007921D2" w14:paraId="55A1864D" w14:textId="6D662309">
      <w:pPr>
        <w:pStyle w:val="BodyTextIndent"/>
        <w:ind w:left="1080"/>
        <w:rPr>
          <w:szCs w:val="24"/>
        </w:rPr>
      </w:pPr>
      <w:r w:rsidRPr="00D35C22">
        <w:rPr>
          <w:szCs w:val="24"/>
        </w:rPr>
        <w:t xml:space="preserve">On </w:t>
      </w:r>
      <w:r w:rsidRPr="009254FC" w:rsidR="00D35C22">
        <w:rPr>
          <w:szCs w:val="24"/>
        </w:rPr>
        <w:t>June</w:t>
      </w:r>
      <w:r w:rsidRPr="009254FC" w:rsidR="00700D14">
        <w:rPr>
          <w:szCs w:val="24"/>
        </w:rPr>
        <w:t xml:space="preserve"> </w:t>
      </w:r>
      <w:r w:rsidRPr="009254FC" w:rsidR="00702266">
        <w:rPr>
          <w:szCs w:val="24"/>
        </w:rPr>
        <w:t>5</w:t>
      </w:r>
      <w:r w:rsidRPr="009254FC" w:rsidR="00291B68">
        <w:rPr>
          <w:szCs w:val="24"/>
        </w:rPr>
        <w:t>,</w:t>
      </w:r>
      <w:r w:rsidRPr="009254FC">
        <w:rPr>
          <w:szCs w:val="24"/>
        </w:rPr>
        <w:t xml:space="preserve"> 202</w:t>
      </w:r>
      <w:r w:rsidRPr="009254FC" w:rsidR="00EB1F46">
        <w:rPr>
          <w:szCs w:val="24"/>
        </w:rPr>
        <w:t>6</w:t>
      </w:r>
      <w:r w:rsidRPr="009254FC">
        <w:rPr>
          <w:szCs w:val="24"/>
        </w:rPr>
        <w:t>, the FDIC issued a Notice of Proposed Rulemaking in the Federal Register (</w:t>
      </w:r>
      <w:r w:rsidRPr="009254FC" w:rsidR="00753228">
        <w:rPr>
          <w:szCs w:val="24"/>
        </w:rPr>
        <w:t>91</w:t>
      </w:r>
      <w:r w:rsidRPr="009254FC">
        <w:rPr>
          <w:szCs w:val="24"/>
        </w:rPr>
        <w:t xml:space="preserve"> FR </w:t>
      </w:r>
      <w:r w:rsidRPr="009254FC" w:rsidR="009254FC">
        <w:rPr>
          <w:szCs w:val="24"/>
        </w:rPr>
        <w:t>34171</w:t>
      </w:r>
      <w:r w:rsidRPr="009254FC">
        <w:rPr>
          <w:szCs w:val="24"/>
        </w:rPr>
        <w:t>)</w:t>
      </w:r>
      <w:r w:rsidRPr="00D35C22">
        <w:rPr>
          <w:szCs w:val="24"/>
        </w:rPr>
        <w:t xml:space="preserve"> seeking comment on the requirements under the PRA. The FDIC will consider any received during the comment when finalizing the Rule.</w:t>
      </w:r>
    </w:p>
    <w:p w:rsidR="007921D2" w:rsidRPr="00D35C22" w:rsidP="007921D2" w14:paraId="30AA2299" w14:textId="77777777">
      <w:pPr>
        <w:ind w:left="1440"/>
        <w:rPr>
          <w:rFonts w:ascii="Times New Roman" w:hAnsi="Times New Roman"/>
          <w:color w:val="FF0000"/>
          <w:szCs w:val="24"/>
        </w:rPr>
      </w:pPr>
    </w:p>
    <w:p w:rsidR="007921D2" w:rsidRPr="00D35C22" w:rsidP="007921D2" w14:paraId="09FE0D45"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Payment or gift to respondents:</w:t>
      </w:r>
    </w:p>
    <w:p w:rsidR="007921D2" w:rsidRPr="00D35C22" w:rsidP="007921D2" w14:paraId="724FC0B1" w14:textId="77777777">
      <w:pPr>
        <w:rPr>
          <w:rFonts w:ascii="Times New Roman" w:hAnsi="Times New Roman"/>
          <w:szCs w:val="24"/>
        </w:rPr>
      </w:pPr>
    </w:p>
    <w:p w:rsidR="007921D2" w:rsidRPr="00D35C22" w:rsidP="007921D2" w14:paraId="78A04214" w14:textId="77777777">
      <w:pPr>
        <w:ind w:left="360" w:firstLine="720"/>
        <w:rPr>
          <w:rFonts w:ascii="Times New Roman" w:hAnsi="Times New Roman"/>
          <w:szCs w:val="24"/>
        </w:rPr>
      </w:pPr>
      <w:r w:rsidRPr="00D35C22">
        <w:rPr>
          <w:rFonts w:ascii="Times New Roman" w:hAnsi="Times New Roman"/>
          <w:szCs w:val="24"/>
        </w:rPr>
        <w:t>None.</w:t>
      </w:r>
    </w:p>
    <w:p w:rsidR="007921D2" w:rsidRPr="00D35C22" w:rsidP="007921D2" w14:paraId="3713FC2B" w14:textId="77777777">
      <w:pPr>
        <w:rPr>
          <w:rFonts w:ascii="Times New Roman" w:hAnsi="Times New Roman"/>
          <w:szCs w:val="24"/>
        </w:rPr>
      </w:pPr>
    </w:p>
    <w:p w:rsidR="007921D2" w:rsidRPr="00D35C22" w:rsidP="007921D2" w14:paraId="14BDBDB0" w14:textId="77777777">
      <w:pPr>
        <w:pStyle w:val="ListParagraph"/>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Any assurance of confidentiality:</w:t>
      </w:r>
      <w:r w:rsidRPr="00D35C22">
        <w:rPr>
          <w:rFonts w:ascii="Times New Roman" w:hAnsi="Times New Roman"/>
          <w:szCs w:val="24"/>
        </w:rPr>
        <w:tab/>
      </w:r>
    </w:p>
    <w:p w:rsidR="007921D2" w:rsidRPr="00D35C22" w:rsidP="007921D2" w14:paraId="4E22C80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27608C23" w14:textId="1BFF134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D35C22">
        <w:rPr>
          <w:rFonts w:ascii="Times New Roman" w:hAnsi="Times New Roman"/>
          <w:szCs w:val="24"/>
        </w:rPr>
        <w:t>Information collected is kept private to the extent allowed by law. All required records are subject to the confidentiality requirements of the Privacy Act.</w:t>
      </w:r>
      <w:r w:rsidRPr="00D35C22" w:rsidR="00606FCF">
        <w:rPr>
          <w:rFonts w:ascii="Times New Roman" w:hAnsi="Times New Roman"/>
          <w:szCs w:val="24"/>
        </w:rPr>
        <w:t xml:space="preserve"> </w:t>
      </w:r>
      <w:r w:rsidRPr="00D35C22">
        <w:rPr>
          <w:rFonts w:ascii="Times New Roman" w:hAnsi="Times New Roman"/>
          <w:szCs w:val="24"/>
        </w:rPr>
        <w:t>In addition, any information deemed to be of a confidential nature is exempt from public disclosure in accordance with the provisions of the Freedom of Information Act (5 U.S.C. 552).</w:t>
      </w:r>
    </w:p>
    <w:p w:rsidR="007921D2" w:rsidRPr="00D35C22" w:rsidP="007921D2" w14:paraId="3DECDB27" w14:textId="77777777">
      <w:pPr>
        <w:ind w:left="840" w:hanging="120"/>
        <w:rPr>
          <w:rFonts w:ascii="Times New Roman" w:hAnsi="Times New Roman"/>
          <w:szCs w:val="24"/>
        </w:rPr>
      </w:pPr>
    </w:p>
    <w:p w:rsidR="007921D2" w:rsidRPr="00D35C22" w:rsidP="007921D2" w14:paraId="42A04919"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Justification for questions of a sensitive nature:</w:t>
      </w:r>
    </w:p>
    <w:p w:rsidR="007921D2" w:rsidRPr="00D35C22" w:rsidP="007921D2" w14:paraId="1A212D6F" w14:textId="77777777">
      <w:pPr>
        <w:rPr>
          <w:rFonts w:ascii="Times New Roman" w:hAnsi="Times New Roman"/>
          <w:szCs w:val="24"/>
        </w:rPr>
      </w:pPr>
    </w:p>
    <w:p w:rsidR="007921D2" w:rsidRPr="00D35C22" w:rsidP="007921D2" w14:paraId="05D8BDA4" w14:textId="2AE9006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D35C22">
        <w:rPr>
          <w:rFonts w:ascii="Times New Roman" w:hAnsi="Times New Roman"/>
          <w:szCs w:val="24"/>
        </w:rPr>
        <w:t>No questions of a sensitive nature are included in the collection.</w:t>
      </w:r>
    </w:p>
    <w:p w:rsidR="009D4FC2" w:rsidRPr="00D35C22" w:rsidP="007921D2" w14:paraId="6B9147FA"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color w:val="FF0000"/>
          <w:szCs w:val="24"/>
        </w:rPr>
      </w:pPr>
    </w:p>
    <w:p w:rsidR="007921D2" w:rsidRPr="00D35C22" w:rsidP="009D4FC2" w14:paraId="66EFE689" w14:textId="281DB38B">
      <w:pPr>
        <w:pStyle w:val="ListParagraph"/>
        <w:widowControl/>
        <w:numPr>
          <w:ilvl w:val="1"/>
          <w:numId w:val="2"/>
        </w:numPr>
        <w:rPr>
          <w:rFonts w:ascii="Times New Roman" w:hAnsi="Times New Roman"/>
          <w:szCs w:val="24"/>
        </w:rPr>
      </w:pPr>
      <w:r w:rsidRPr="00D35C22">
        <w:rPr>
          <w:rFonts w:ascii="Times New Roman" w:hAnsi="Times New Roman"/>
          <w:szCs w:val="24"/>
          <w:u w:val="single"/>
        </w:rPr>
        <w:t>Estimate of Hour Burden:</w:t>
      </w:r>
      <w:r w:rsidRPr="00D35C22">
        <w:rPr>
          <w:rFonts w:ascii="Times New Roman" w:hAnsi="Times New Roman"/>
          <w:szCs w:val="24"/>
        </w:rPr>
        <w:tab/>
      </w:r>
    </w:p>
    <w:p w:rsidR="007921D2" w:rsidRPr="00D35C22" w:rsidP="007921D2" w14:paraId="1C6C0B2F" w14:textId="77777777">
      <w:pPr>
        <w:rPr>
          <w:rFonts w:ascii="Times New Roman" w:hAnsi="Times New Roman"/>
          <w:szCs w:val="24"/>
        </w:rPr>
      </w:pPr>
      <w:r w:rsidRPr="00D35C22">
        <w:rPr>
          <w:rFonts w:ascii="Times New Roman" w:hAnsi="Times New Roman"/>
          <w:szCs w:val="24"/>
        </w:rPr>
        <w:tab/>
      </w:r>
    </w:p>
    <w:p w:rsidR="00D064AD" w:rsidRPr="00D35C22" w:rsidP="00D35C22" w14:paraId="093067BA" w14:textId="4E627F88">
      <w:pPr>
        <w:ind w:left="1080"/>
        <w:rPr>
          <w:rFonts w:ascii="Times New Roman" w:eastAsia="Aptos" w:hAnsi="Times New Roman"/>
          <w:snapToGrid/>
          <w:szCs w:val="24"/>
        </w:rPr>
      </w:pPr>
      <w:r w:rsidRPr="00D35C22">
        <w:rPr>
          <w:rFonts w:ascii="Times New Roman" w:hAnsi="Times New Roman"/>
          <w:szCs w:val="24"/>
        </w:rPr>
        <w:t xml:space="preserve">The proposed rule would </w:t>
      </w:r>
      <w:r w:rsidRPr="00D35C22" w:rsidR="00D35C22">
        <w:rPr>
          <w:rFonts w:ascii="Times New Roman" w:eastAsia="Aptos" w:hAnsi="Times New Roman"/>
          <w:snapToGrid/>
          <w:szCs w:val="24"/>
        </w:rPr>
        <w:t xml:space="preserve">implement </w:t>
      </w:r>
      <w:r w:rsidRPr="00D35C22" w:rsidR="00D35C22">
        <w:rPr>
          <w:rFonts w:ascii="Times New Roman" w:eastAsia="MS Mincho" w:hAnsi="Times New Roman"/>
          <w:snapToGrid/>
          <w:szCs w:val="24"/>
        </w:rPr>
        <w:t>appropriate BSA and sanctions compliance standards</w:t>
      </w:r>
      <w:r w:rsidRPr="00D35C22" w:rsidR="00D35C22">
        <w:rPr>
          <w:rFonts w:ascii="Times New Roman" w:eastAsia="Aptos" w:hAnsi="Times New Roman"/>
          <w:snapToGrid/>
          <w:szCs w:val="24"/>
        </w:rPr>
        <w:t xml:space="preserve"> applicable to FDIC-supervised </w:t>
      </w:r>
      <w:r w:rsidR="00EC5778">
        <w:rPr>
          <w:rFonts w:ascii="Times New Roman" w:eastAsia="Aptos" w:hAnsi="Times New Roman"/>
          <w:snapToGrid/>
          <w:szCs w:val="24"/>
        </w:rPr>
        <w:t>PPSIs</w:t>
      </w:r>
      <w:r w:rsidRPr="00D35C22" w:rsidR="00D35C22">
        <w:rPr>
          <w:rFonts w:ascii="Times New Roman" w:eastAsia="Aptos" w:hAnsi="Times New Roman"/>
          <w:snapToGrid/>
          <w:szCs w:val="24"/>
        </w:rPr>
        <w:t xml:space="preserve">. </w:t>
      </w:r>
      <w:r w:rsidRPr="00D35C22" w:rsidR="00D35C22">
        <w:rPr>
          <w:rFonts w:ascii="Times New Roman" w:hAnsi="Times New Roman"/>
        </w:rPr>
        <w:t xml:space="preserve">Section 350.6(d) would require PPSIs to establish and maintain AML/CFT and sanctions programs. </w:t>
      </w:r>
      <w:r w:rsidRPr="00D35C22" w:rsidR="008177EC">
        <w:rPr>
          <w:rFonts w:ascii="Times New Roman" w:hAnsi="Times New Roman"/>
          <w:szCs w:val="24"/>
        </w:rPr>
        <w:t>FDIC’s</w:t>
      </w:r>
      <w:r w:rsidRPr="00D35C22" w:rsidR="00365D18">
        <w:rPr>
          <w:rFonts w:ascii="Times New Roman" w:hAnsi="Times New Roman"/>
          <w:szCs w:val="24"/>
        </w:rPr>
        <w:t xml:space="preserve"> estimated burden for the respondents for complying with the collection of information is </w:t>
      </w:r>
      <w:r w:rsidRPr="00D35C22" w:rsidR="00D35C22">
        <w:rPr>
          <w:rFonts w:ascii="Times New Roman" w:hAnsi="Times New Roman"/>
          <w:szCs w:val="24"/>
        </w:rPr>
        <w:t>600</w:t>
      </w:r>
      <w:r w:rsidRPr="00D35C22" w:rsidR="00365D18">
        <w:rPr>
          <w:rFonts w:ascii="Times New Roman" w:hAnsi="Times New Roman"/>
          <w:szCs w:val="24"/>
        </w:rPr>
        <w:t xml:space="preserve"> hours.</w:t>
      </w:r>
    </w:p>
    <w:p w:rsidR="00151E67" w:rsidRPr="00D35C22" w:rsidP="00C2346E" w14:paraId="4420BF8F" w14:textId="77777777">
      <w:pPr>
        <w:ind w:left="360" w:firstLine="720"/>
        <w:rPr>
          <w:rFonts w:ascii="Times New Roman" w:hAnsi="Times New Roman"/>
          <w:i/>
          <w:iCs/>
          <w:color w:val="FF0000"/>
        </w:rPr>
      </w:pPr>
    </w:p>
    <w:p w:rsidR="00151E67" w:rsidRPr="00D35C22" w:rsidP="00151E67" w14:paraId="33C5E890" w14:textId="77777777">
      <w:pPr>
        <w:ind w:firstLine="720"/>
        <w:rPr>
          <w:rFonts w:ascii="Times New Roman" w:hAnsi="Times New Roman"/>
          <w:color w:val="FF0000"/>
          <w:szCs w:val="24"/>
        </w:rPr>
      </w:pPr>
    </w:p>
    <w:tbl>
      <w:tblPr>
        <w:tblW w:w="10980" w:type="dxa"/>
        <w:tblInd w:w="-820" w:type="dxa"/>
        <w:tblLook w:val="04A0"/>
      </w:tblPr>
      <w:tblGrid>
        <w:gridCol w:w="2654"/>
        <w:gridCol w:w="1611"/>
        <w:gridCol w:w="1256"/>
        <w:gridCol w:w="1362"/>
        <w:gridCol w:w="1140"/>
        <w:gridCol w:w="2957"/>
      </w:tblGrid>
      <w:tr w14:paraId="7212E1BB" w14:textId="77777777" w:rsidTr="00C95C1A">
        <w:tblPrEx>
          <w:tblW w:w="10980" w:type="dxa"/>
          <w:tblInd w:w="-820" w:type="dxa"/>
          <w:tblLook w:val="04A0"/>
        </w:tblPrEx>
        <w:trPr>
          <w:trHeight w:val="360"/>
        </w:trPr>
        <w:tc>
          <w:tcPr>
            <w:tcW w:w="10980" w:type="dxa"/>
            <w:gridSpan w:val="6"/>
            <w:tcBorders>
              <w:top w:val="single" w:sz="8" w:space="0" w:color="auto"/>
              <w:left w:val="single" w:sz="8" w:space="0" w:color="auto"/>
              <w:bottom w:val="single" w:sz="8" w:space="0" w:color="auto"/>
              <w:right w:val="single" w:sz="8" w:space="0" w:color="000000"/>
            </w:tcBorders>
            <w:tcMar>
              <w:top w:w="15" w:type="dxa"/>
              <w:left w:w="108" w:type="dxa"/>
              <w:right w:w="108" w:type="dxa"/>
            </w:tcMar>
            <w:vAlign w:val="center"/>
          </w:tcPr>
          <w:p w:rsidR="00D35C22" w:rsidRPr="00D35C22" w:rsidP="00D35C22" w14:paraId="3B2413A8" w14:textId="77777777">
            <w:pPr>
              <w:widowControl/>
              <w:spacing w:line="480" w:lineRule="auto"/>
              <w:jc w:val="center"/>
              <w:rPr>
                <w:rFonts w:ascii="Times New Roman" w:hAnsi="Times New Roman"/>
                <w:snapToGrid/>
                <w:color w:val="000000"/>
                <w:sz w:val="20"/>
              </w:rPr>
            </w:pPr>
            <w:r w:rsidRPr="00D35C22">
              <w:rPr>
                <w:rFonts w:ascii="Times New Roman" w:hAnsi="Times New Roman"/>
                <w:snapToGrid/>
                <w:color w:val="000000"/>
                <w:sz w:val="20"/>
              </w:rPr>
              <w:t>Table 1. Summary of Estimated Annual Burden (OMB No. 3064-NEW)</w:t>
            </w:r>
          </w:p>
        </w:tc>
      </w:tr>
      <w:tr w14:paraId="3A12B490" w14:textId="77777777" w:rsidTr="00C95C1A">
        <w:tblPrEx>
          <w:tblW w:w="10980" w:type="dxa"/>
          <w:tblInd w:w="-820" w:type="dxa"/>
          <w:tblLook w:val="04A0"/>
        </w:tblPrEx>
        <w:trPr>
          <w:trHeight w:val="1140"/>
        </w:trPr>
        <w:tc>
          <w:tcPr>
            <w:tcW w:w="2654" w:type="dxa"/>
            <w:tcBorders>
              <w:top w:val="single" w:sz="8" w:space="0" w:color="auto"/>
              <w:left w:val="single" w:sz="8" w:space="0" w:color="auto"/>
              <w:bottom w:val="single" w:sz="8" w:space="0" w:color="auto"/>
              <w:right w:val="single" w:sz="8" w:space="0" w:color="000000"/>
            </w:tcBorders>
            <w:tcMar>
              <w:top w:w="15" w:type="dxa"/>
              <w:left w:w="108" w:type="dxa"/>
              <w:right w:w="108" w:type="dxa"/>
            </w:tcMar>
            <w:vAlign w:val="center"/>
          </w:tcPr>
          <w:p w:rsidR="00D35C22" w:rsidRPr="00D35C22" w:rsidP="00D35C22" w14:paraId="596AAAA2"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Information Collection (IC) (Obligation to Respond)</w:t>
            </w:r>
          </w:p>
        </w:tc>
        <w:tc>
          <w:tcPr>
            <w:tcW w:w="1611" w:type="dxa"/>
            <w:tcBorders>
              <w:top w:val="nil"/>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6C20F1AD"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Type of Burden</w:t>
            </w:r>
            <w:r w:rsidRPr="00D35C22">
              <w:rPr>
                <w:rFonts w:ascii="Times New Roman" w:eastAsia="Aptos" w:hAnsi="Times New Roman" w:cs="Arial"/>
                <w:snapToGrid/>
                <w:kern w:val="2"/>
                <w:szCs w:val="24"/>
                <w14:ligatures w14:val="standardContextual"/>
              </w:rPr>
              <w:br/>
            </w:r>
            <w:r w:rsidRPr="00D35C22">
              <w:rPr>
                <w:rFonts w:ascii="Times New Roman" w:eastAsia="Aptos" w:hAnsi="Times New Roman" w:cs="Arial"/>
                <w:snapToGrid/>
                <w:kern w:val="2"/>
                <w:sz w:val="20"/>
                <w14:ligatures w14:val="standardContextual"/>
              </w:rPr>
              <w:t xml:space="preserve"> (Frequency of Response)</w:t>
            </w:r>
          </w:p>
        </w:tc>
        <w:tc>
          <w:tcPr>
            <w:tcW w:w="1256" w:type="dxa"/>
            <w:tcBorders>
              <w:top w:val="nil"/>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46E4581B"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 xml:space="preserve"> Number of Respondents</w:t>
            </w:r>
          </w:p>
        </w:tc>
        <w:tc>
          <w:tcPr>
            <w:tcW w:w="1362" w:type="dxa"/>
            <w:tcBorders>
              <w:top w:val="nil"/>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4114F121"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 xml:space="preserve"> Number of Responses per Respondent</w:t>
            </w:r>
          </w:p>
        </w:tc>
        <w:tc>
          <w:tcPr>
            <w:tcW w:w="1140" w:type="dxa"/>
            <w:tcBorders>
              <w:top w:val="nil"/>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5B73595A"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Average Time per Response (HH:MM)</w:t>
            </w:r>
          </w:p>
        </w:tc>
        <w:tc>
          <w:tcPr>
            <w:tcW w:w="2957" w:type="dxa"/>
            <w:tcBorders>
              <w:top w:val="nil"/>
              <w:left w:val="single" w:sz="8" w:space="0" w:color="auto"/>
              <w:bottom w:val="single" w:sz="8" w:space="0" w:color="auto"/>
              <w:right w:val="single" w:sz="8" w:space="0" w:color="000000"/>
            </w:tcBorders>
            <w:tcMar>
              <w:top w:w="15" w:type="dxa"/>
              <w:left w:w="108" w:type="dxa"/>
              <w:right w:w="108" w:type="dxa"/>
            </w:tcMar>
            <w:vAlign w:val="center"/>
          </w:tcPr>
          <w:p w:rsidR="00D35C22" w:rsidRPr="00D35C22" w:rsidP="00D35C22" w14:paraId="7337ADC8" w14:textId="77777777">
            <w:pPr>
              <w:widowControl/>
              <w:spacing w:line="480" w:lineRule="auto"/>
              <w:jc w:val="center"/>
              <w:rPr>
                <w:rFonts w:ascii="Times New Roman" w:hAnsi="Times New Roman"/>
                <w:snapToGrid/>
                <w:color w:val="000000"/>
                <w:sz w:val="20"/>
              </w:rPr>
            </w:pPr>
            <w:r w:rsidRPr="00D35C22">
              <w:rPr>
                <w:rFonts w:ascii="Times New Roman" w:hAnsi="Times New Roman"/>
                <w:snapToGrid/>
                <w:color w:val="000000"/>
                <w:sz w:val="20"/>
              </w:rPr>
              <w:t>Annual Burden (Hours)</w:t>
            </w:r>
          </w:p>
        </w:tc>
      </w:tr>
      <w:tr w14:paraId="5B1BAE0A" w14:textId="77777777" w:rsidTr="00C95C1A">
        <w:tblPrEx>
          <w:tblW w:w="10980" w:type="dxa"/>
          <w:tblInd w:w="-820" w:type="dxa"/>
          <w:tblLook w:val="04A0"/>
        </w:tblPrEx>
        <w:trPr>
          <w:trHeight w:val="1140"/>
        </w:trPr>
        <w:tc>
          <w:tcPr>
            <w:tcW w:w="2654"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7AA5C928"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1. AML/CFT and Sanctions Requirements for permitted payment stablecoin issuers – Implementation, Section 350.6(d) (Mandatory)</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4523035C"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Recordkeeping</w:t>
            </w:r>
          </w:p>
        </w:tc>
        <w:tc>
          <w:tcPr>
            <w:tcW w:w="1256"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6B44B5C3"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10</w:t>
            </w:r>
          </w:p>
        </w:tc>
        <w:tc>
          <w:tcPr>
            <w:tcW w:w="1362"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45FDF5C5"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1</w:t>
            </w:r>
          </w:p>
        </w:tc>
        <w:tc>
          <w:tcPr>
            <w:tcW w:w="1140"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3ACA7131"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40:00</w:t>
            </w:r>
          </w:p>
        </w:tc>
        <w:tc>
          <w:tcPr>
            <w:tcW w:w="2957"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03652A7D" w14:textId="77777777">
            <w:pPr>
              <w:widowControl/>
              <w:spacing w:line="480" w:lineRule="auto"/>
              <w:jc w:val="center"/>
              <w:rPr>
                <w:rFonts w:ascii="Times New Roman" w:hAnsi="Times New Roman"/>
                <w:snapToGrid/>
                <w:color w:val="000000"/>
                <w:sz w:val="20"/>
              </w:rPr>
            </w:pPr>
            <w:r w:rsidRPr="00D35C22">
              <w:rPr>
                <w:rFonts w:ascii="Times New Roman" w:hAnsi="Times New Roman"/>
                <w:snapToGrid/>
                <w:color w:val="000000"/>
                <w:sz w:val="20"/>
              </w:rPr>
              <w:t>400</w:t>
            </w:r>
          </w:p>
        </w:tc>
      </w:tr>
      <w:tr w14:paraId="06F82057" w14:textId="77777777" w:rsidTr="00C95C1A">
        <w:tblPrEx>
          <w:tblW w:w="10980" w:type="dxa"/>
          <w:tblInd w:w="-820" w:type="dxa"/>
          <w:tblLook w:val="04A0"/>
        </w:tblPrEx>
        <w:trPr>
          <w:trHeight w:val="1140"/>
        </w:trPr>
        <w:tc>
          <w:tcPr>
            <w:tcW w:w="2654"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4FF08B0D"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2. AML/CFT and Sanctions Requirements for permitted payment stablecoin issuers – Ongoing, Section 350.6(d) (Mandatory)</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5A134E42" w14:textId="77777777">
            <w:pPr>
              <w:widowControl/>
              <w:spacing w:line="278" w:lineRule="auto"/>
              <w:jc w:val="center"/>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Recordkeeping (Annual)</w:t>
            </w:r>
          </w:p>
        </w:tc>
        <w:tc>
          <w:tcPr>
            <w:tcW w:w="1256"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31AE2054"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20</w:t>
            </w:r>
          </w:p>
        </w:tc>
        <w:tc>
          <w:tcPr>
            <w:tcW w:w="1362"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001B1501"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10</w:t>
            </w:r>
          </w:p>
        </w:tc>
        <w:tc>
          <w:tcPr>
            <w:tcW w:w="1140"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2A017CB7"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1:00</w:t>
            </w:r>
          </w:p>
        </w:tc>
        <w:tc>
          <w:tcPr>
            <w:tcW w:w="2957" w:type="dxa"/>
            <w:tcBorders>
              <w:top w:val="single" w:sz="8" w:space="0" w:color="auto"/>
              <w:left w:val="single" w:sz="8" w:space="0" w:color="auto"/>
              <w:bottom w:val="single" w:sz="8" w:space="0" w:color="auto"/>
              <w:right w:val="single" w:sz="8" w:space="0" w:color="auto"/>
            </w:tcBorders>
            <w:tcMar>
              <w:top w:w="15" w:type="dxa"/>
              <w:left w:w="108" w:type="dxa"/>
              <w:right w:w="108" w:type="dxa"/>
            </w:tcMar>
            <w:vAlign w:val="center"/>
          </w:tcPr>
          <w:p w:rsidR="00D35C22" w:rsidRPr="00D35C22" w:rsidP="00D35C22" w14:paraId="161A388C" w14:textId="77777777">
            <w:pPr>
              <w:widowControl/>
              <w:spacing w:line="480" w:lineRule="auto"/>
              <w:jc w:val="center"/>
              <w:rPr>
                <w:rFonts w:ascii="Times New Roman" w:hAnsi="Times New Roman"/>
                <w:snapToGrid/>
                <w:color w:val="000000"/>
                <w:sz w:val="20"/>
              </w:rPr>
            </w:pPr>
            <w:r w:rsidRPr="00D35C22">
              <w:rPr>
                <w:rFonts w:ascii="Times New Roman" w:hAnsi="Times New Roman"/>
                <w:snapToGrid/>
                <w:color w:val="000000"/>
                <w:sz w:val="20"/>
              </w:rPr>
              <w:t>200</w:t>
            </w:r>
          </w:p>
        </w:tc>
      </w:tr>
      <w:tr w14:paraId="774B41A3" w14:textId="77777777" w:rsidTr="00C95C1A">
        <w:tblPrEx>
          <w:tblW w:w="10980" w:type="dxa"/>
          <w:tblInd w:w="-820" w:type="dxa"/>
          <w:tblLook w:val="04A0"/>
        </w:tblPrEx>
        <w:trPr>
          <w:trHeight w:val="300"/>
        </w:trPr>
        <w:tc>
          <w:tcPr>
            <w:tcW w:w="8023" w:type="dxa"/>
            <w:gridSpan w:val="5"/>
            <w:tcBorders>
              <w:top w:val="single" w:sz="8" w:space="0" w:color="auto"/>
              <w:left w:val="single" w:sz="8" w:space="0" w:color="auto"/>
              <w:bottom w:val="single" w:sz="8" w:space="0" w:color="auto"/>
              <w:right w:val="nil"/>
            </w:tcBorders>
            <w:shd w:val="clear" w:color="auto" w:fill="FFFFFF"/>
            <w:tcMar>
              <w:top w:w="15" w:type="dxa"/>
              <w:left w:w="108" w:type="dxa"/>
              <w:right w:w="108" w:type="dxa"/>
            </w:tcMar>
            <w:vAlign w:val="center"/>
          </w:tcPr>
          <w:p w:rsidR="00D35C22" w:rsidRPr="00D35C22" w:rsidP="00D35C22" w14:paraId="77FD5609" w14:textId="77777777">
            <w:pPr>
              <w:widowControl/>
              <w:spacing w:line="278" w:lineRule="auto"/>
              <w:rPr>
                <w:rFonts w:ascii="Times New Roman" w:hAnsi="Times New Roman" w:cs="Arial"/>
                <w:b/>
                <w:bCs/>
                <w:i/>
                <w:iCs/>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Total Annual Burden (Hours):</w:t>
            </w:r>
          </w:p>
        </w:tc>
        <w:tc>
          <w:tcPr>
            <w:tcW w:w="2957" w:type="dxa"/>
            <w:tcBorders>
              <w:top w:val="single" w:sz="8" w:space="0" w:color="auto"/>
              <w:left w:val="nil"/>
              <w:bottom w:val="single" w:sz="8" w:space="0" w:color="auto"/>
              <w:right w:val="single" w:sz="8" w:space="0" w:color="auto"/>
            </w:tcBorders>
            <w:tcMar>
              <w:top w:w="15" w:type="dxa"/>
              <w:left w:w="108" w:type="dxa"/>
              <w:right w:w="108" w:type="dxa"/>
            </w:tcMar>
            <w:vAlign w:val="bottom"/>
          </w:tcPr>
          <w:p w:rsidR="00D35C22" w:rsidRPr="00D35C22" w:rsidP="00D35C22" w14:paraId="4CDA8C75" w14:textId="77777777">
            <w:pPr>
              <w:widowControl/>
              <w:spacing w:line="480" w:lineRule="auto"/>
              <w:jc w:val="right"/>
              <w:rPr>
                <w:rFonts w:ascii="Times New Roman" w:hAnsi="Times New Roman"/>
                <w:b/>
                <w:bCs/>
                <w:i/>
                <w:iCs/>
                <w:snapToGrid/>
                <w:color w:val="000000"/>
                <w:sz w:val="20"/>
              </w:rPr>
            </w:pPr>
            <w:r w:rsidRPr="00D35C22">
              <w:rPr>
                <w:rFonts w:ascii="Times New Roman" w:hAnsi="Times New Roman"/>
                <w:b/>
                <w:bCs/>
                <w:i/>
                <w:iCs/>
                <w:snapToGrid/>
                <w:color w:val="000000"/>
                <w:sz w:val="20"/>
              </w:rPr>
              <w:t>600</w:t>
            </w:r>
          </w:p>
        </w:tc>
      </w:tr>
      <w:tr w14:paraId="0705BBFC" w14:textId="77777777" w:rsidTr="00C95C1A">
        <w:tblPrEx>
          <w:tblW w:w="10980" w:type="dxa"/>
          <w:tblInd w:w="-820" w:type="dxa"/>
          <w:tblLook w:val="04A0"/>
        </w:tblPrEx>
        <w:trPr>
          <w:trHeight w:val="525"/>
        </w:trPr>
        <w:tc>
          <w:tcPr>
            <w:tcW w:w="8023" w:type="dxa"/>
            <w:gridSpan w:val="5"/>
            <w:tcBorders>
              <w:top w:val="single" w:sz="8" w:space="0" w:color="auto"/>
              <w:left w:val="single" w:sz="8" w:space="0" w:color="auto"/>
              <w:bottom w:val="single" w:sz="8" w:space="0" w:color="auto"/>
              <w:right w:val="nil"/>
            </w:tcBorders>
            <w:shd w:val="clear" w:color="auto" w:fill="FFFFFF"/>
            <w:tcMar>
              <w:top w:w="15" w:type="dxa"/>
              <w:left w:w="108" w:type="dxa"/>
              <w:right w:w="108" w:type="dxa"/>
            </w:tcMar>
            <w:vAlign w:val="center"/>
          </w:tcPr>
          <w:p w:rsidR="00D35C22" w:rsidRPr="00D35C22" w:rsidP="00D35C22" w14:paraId="1D2201F4" w14:textId="77777777">
            <w:pPr>
              <w:widowControl/>
              <w:spacing w:line="278" w:lineRule="auto"/>
              <w:rPr>
                <w:rFonts w:ascii="Times New Roman" w:hAnsi="Times New Roman" w:cs="Arial"/>
                <w:snapToGrid/>
                <w:color w:val="000000"/>
                <w:kern w:val="2"/>
                <w:sz w:val="20"/>
                <w14:ligatures w14:val="standardContextual"/>
              </w:rPr>
            </w:pPr>
            <w:r w:rsidRPr="00D35C22">
              <w:rPr>
                <w:rFonts w:ascii="Times New Roman" w:eastAsia="Aptos" w:hAnsi="Times New Roman" w:cs="Arial"/>
                <w:snapToGrid/>
                <w:kern w:val="2"/>
                <w:sz w:val="20"/>
                <w14:ligatures w14:val="standardContextual"/>
              </w:rPr>
              <w:t>Source: FDIC.</w:t>
            </w:r>
          </w:p>
        </w:tc>
        <w:tc>
          <w:tcPr>
            <w:tcW w:w="2957" w:type="dxa"/>
            <w:tcBorders>
              <w:top w:val="single" w:sz="8" w:space="0" w:color="auto"/>
              <w:left w:val="nil"/>
              <w:bottom w:val="single" w:sz="8" w:space="0" w:color="auto"/>
              <w:right w:val="single" w:sz="8" w:space="0" w:color="auto"/>
            </w:tcBorders>
            <w:tcMar>
              <w:top w:w="15" w:type="dxa"/>
              <w:left w:w="108" w:type="dxa"/>
              <w:right w:w="108" w:type="dxa"/>
            </w:tcMar>
            <w:vAlign w:val="bottom"/>
          </w:tcPr>
          <w:p w:rsidR="00D35C22" w:rsidRPr="00D35C22" w:rsidP="00D35C22" w14:paraId="3CB1AB4F" w14:textId="77777777">
            <w:pPr>
              <w:widowControl/>
              <w:spacing w:line="480" w:lineRule="auto"/>
              <w:jc w:val="right"/>
              <w:rPr>
                <w:rFonts w:ascii="Times New Roman" w:hAnsi="Times New Roman"/>
                <w:b/>
                <w:bCs/>
                <w:i/>
                <w:iCs/>
                <w:snapToGrid/>
                <w:color w:val="000000"/>
                <w:sz w:val="20"/>
              </w:rPr>
            </w:pPr>
          </w:p>
        </w:tc>
      </w:tr>
    </w:tbl>
    <w:p w:rsidR="00760010" w:rsidP="00AA7BE8" w14:paraId="2FE8E34D" w14:textId="77777777">
      <w:pPr>
        <w:rPr>
          <w:color w:val="FF0000"/>
        </w:rPr>
      </w:pPr>
    </w:p>
    <w:p w:rsidR="00C95C1A" w:rsidP="00AA7BE8" w14:paraId="5EF53075" w14:textId="77777777">
      <w:pPr>
        <w:rPr>
          <w:color w:val="FF0000"/>
        </w:rPr>
      </w:pPr>
    </w:p>
    <w:p w:rsidR="00C95C1A" w:rsidP="00AA7BE8" w14:paraId="5DC7276E" w14:textId="77777777">
      <w:pPr>
        <w:rPr>
          <w:color w:val="FF0000"/>
        </w:rPr>
      </w:pPr>
    </w:p>
    <w:p w:rsidR="00C95C1A" w:rsidP="00AA7BE8" w14:paraId="111B8FD7" w14:textId="77777777">
      <w:pPr>
        <w:rPr>
          <w:color w:val="FF0000"/>
        </w:rPr>
      </w:pPr>
    </w:p>
    <w:p w:rsidR="00C95C1A" w:rsidP="00AA7BE8" w14:paraId="1BE91EAF" w14:textId="77777777">
      <w:pPr>
        <w:rPr>
          <w:color w:val="FF0000"/>
        </w:rPr>
      </w:pPr>
    </w:p>
    <w:p w:rsidR="00C95C1A" w:rsidP="00AA7BE8" w14:paraId="2A6C3EE8" w14:textId="77777777">
      <w:pPr>
        <w:rPr>
          <w:color w:val="FF0000"/>
        </w:rPr>
      </w:pPr>
    </w:p>
    <w:p w:rsidR="00C95C1A" w:rsidP="00AA7BE8" w14:paraId="07C8489C" w14:textId="77777777">
      <w:pPr>
        <w:rPr>
          <w:color w:val="FF0000"/>
        </w:rPr>
      </w:pPr>
    </w:p>
    <w:p w:rsidR="00C95C1A" w:rsidP="00AA7BE8" w14:paraId="03DECBDC" w14:textId="77777777">
      <w:pPr>
        <w:rPr>
          <w:color w:val="FF0000"/>
        </w:rPr>
      </w:pPr>
    </w:p>
    <w:p w:rsidR="00C95C1A" w:rsidP="00AA7BE8" w14:paraId="3CC4DE05" w14:textId="77777777">
      <w:pPr>
        <w:rPr>
          <w:color w:val="FF0000"/>
        </w:rPr>
      </w:pPr>
    </w:p>
    <w:p w:rsidR="00C95C1A" w:rsidP="00AA7BE8" w14:paraId="24A0DD91" w14:textId="77777777">
      <w:pPr>
        <w:rPr>
          <w:color w:val="FF0000"/>
        </w:rPr>
      </w:pPr>
    </w:p>
    <w:p w:rsidR="00C95C1A" w:rsidP="00AA7BE8" w14:paraId="7E89C05E" w14:textId="77777777">
      <w:pPr>
        <w:rPr>
          <w:color w:val="FF0000"/>
        </w:rPr>
      </w:pPr>
    </w:p>
    <w:p w:rsidR="00760010" w:rsidRPr="00D35C22" w:rsidP="00AA7BE8" w14:paraId="7CFFE5A9" w14:textId="77777777">
      <w:pPr>
        <w:rPr>
          <w:color w:val="FF0000"/>
        </w:rPr>
      </w:pPr>
    </w:p>
    <w:tbl>
      <w:tblPr>
        <w:tblW w:w="11243" w:type="dxa"/>
        <w:tblInd w:w="-820" w:type="dxa"/>
        <w:tblCellMar>
          <w:top w:w="15" w:type="dxa"/>
        </w:tblCellMar>
        <w:tblLook w:val="04A0"/>
      </w:tblPr>
      <w:tblGrid>
        <w:gridCol w:w="2985"/>
        <w:gridCol w:w="836"/>
        <w:gridCol w:w="1000"/>
        <w:gridCol w:w="1000"/>
        <w:gridCol w:w="900"/>
        <w:gridCol w:w="1000"/>
        <w:gridCol w:w="1000"/>
        <w:gridCol w:w="900"/>
        <w:gridCol w:w="1400"/>
        <w:gridCol w:w="222"/>
      </w:tblGrid>
      <w:tr w14:paraId="1996588F" w14:textId="77777777" w:rsidTr="00C95C1A">
        <w:tblPrEx>
          <w:tblW w:w="11243" w:type="dxa"/>
          <w:tblInd w:w="-820" w:type="dxa"/>
          <w:tblCellMar>
            <w:top w:w="15" w:type="dxa"/>
          </w:tblCellMar>
          <w:tblLook w:val="04A0"/>
        </w:tblPrEx>
        <w:trPr>
          <w:gridAfter w:val="1"/>
          <w:wAfter w:w="222" w:type="dxa"/>
          <w:trHeight w:val="360"/>
        </w:trPr>
        <w:tc>
          <w:tcPr>
            <w:tcW w:w="11021" w:type="dxa"/>
            <w:gridSpan w:val="9"/>
            <w:tcBorders>
              <w:top w:val="single" w:sz="8" w:space="0" w:color="auto"/>
              <w:left w:val="single" w:sz="8" w:space="0" w:color="auto"/>
              <w:bottom w:val="single" w:sz="8" w:space="0" w:color="auto"/>
              <w:right w:val="single" w:sz="8" w:space="0" w:color="auto"/>
            </w:tcBorders>
            <w:noWrap/>
            <w:vAlign w:val="bottom"/>
            <w:hideMark/>
          </w:tcPr>
          <w:p w:rsidR="00760010" w:rsidRPr="00760010" w:rsidP="004F13EE" w14:paraId="20167BC1" w14:textId="77777777">
            <w:pPr>
              <w:jc w:val="center"/>
              <w:rPr>
                <w:rFonts w:ascii="Times New Roman" w:hAnsi="Times New Roman"/>
                <w:color w:val="000000"/>
                <w:sz w:val="20"/>
              </w:rPr>
            </w:pPr>
            <w:r w:rsidRPr="00760010">
              <w:rPr>
                <w:rFonts w:ascii="Times New Roman" w:hAnsi="Times New Roman"/>
                <w:color w:val="000000"/>
                <w:sz w:val="20"/>
              </w:rPr>
              <w:t>Table 2. Summary of Hourly Burden Cost Estimate (OMB No. 3064-NEW)</w:t>
            </w:r>
          </w:p>
        </w:tc>
      </w:tr>
      <w:tr w14:paraId="4DFC5D5B" w14:textId="77777777" w:rsidTr="00C95C1A">
        <w:tblPrEx>
          <w:tblW w:w="11243" w:type="dxa"/>
          <w:tblInd w:w="-820" w:type="dxa"/>
          <w:tblCellMar>
            <w:top w:w="15" w:type="dxa"/>
          </w:tblCellMar>
          <w:tblLook w:val="04A0"/>
        </w:tblPrEx>
        <w:trPr>
          <w:gridAfter w:val="1"/>
          <w:wAfter w:w="222" w:type="dxa"/>
          <w:trHeight w:val="600"/>
        </w:trPr>
        <w:tc>
          <w:tcPr>
            <w:tcW w:w="2985"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37D01754" w14:textId="77777777">
            <w:pPr>
              <w:rPr>
                <w:rFonts w:ascii="Times New Roman" w:hAnsi="Times New Roman"/>
                <w:color w:val="000000"/>
                <w:sz w:val="20"/>
              </w:rPr>
            </w:pPr>
            <w:r w:rsidRPr="00760010">
              <w:rPr>
                <w:rFonts w:ascii="Times New Roman" w:hAnsi="Times New Roman"/>
                <w:color w:val="000000"/>
                <w:sz w:val="20"/>
              </w:rPr>
              <w:t xml:space="preserve">Information Collection (IC) (Obligation to Respond) </w:t>
            </w:r>
          </w:p>
        </w:tc>
        <w:tc>
          <w:tcPr>
            <w:tcW w:w="836"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451BBFE4" w14:textId="77777777">
            <w:pPr>
              <w:jc w:val="center"/>
              <w:rPr>
                <w:rFonts w:ascii="Times New Roman" w:hAnsi="Times New Roman"/>
                <w:color w:val="000000"/>
                <w:sz w:val="20"/>
              </w:rPr>
            </w:pPr>
            <w:r w:rsidRPr="00760010">
              <w:rPr>
                <w:rFonts w:ascii="Times New Roman" w:hAnsi="Times New Roman"/>
                <w:color w:val="000000"/>
                <w:sz w:val="20"/>
              </w:rPr>
              <w:t xml:space="preserve">Hourly Weight </w:t>
            </w:r>
            <w:r w:rsidRPr="00760010">
              <w:rPr>
                <w:rFonts w:ascii="Times New Roman" w:hAnsi="Times New Roman"/>
                <w:color w:val="000000"/>
                <w:sz w:val="20"/>
              </w:rPr>
              <w:br/>
              <w:t>(%)</w:t>
            </w:r>
          </w:p>
        </w:tc>
        <w:tc>
          <w:tcPr>
            <w:tcW w:w="580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760010" w:rsidRPr="00760010" w:rsidP="004F13EE" w14:paraId="549D6784" w14:textId="77777777">
            <w:pPr>
              <w:jc w:val="center"/>
              <w:rPr>
                <w:rFonts w:ascii="Times New Roman" w:hAnsi="Times New Roman"/>
                <w:color w:val="000000"/>
                <w:sz w:val="20"/>
              </w:rPr>
            </w:pPr>
            <w:r w:rsidRPr="00760010">
              <w:rPr>
                <w:rFonts w:ascii="Times New Roman" w:hAnsi="Times New Roman"/>
                <w:color w:val="000000"/>
                <w:sz w:val="20"/>
              </w:rPr>
              <w:t xml:space="preserve">Percentage Shares of Hours Spent by and </w:t>
            </w:r>
            <w:r w:rsidRPr="00760010">
              <w:rPr>
                <w:rFonts w:ascii="Times New Roman" w:hAnsi="Times New Roman"/>
                <w:color w:val="000000"/>
                <w:sz w:val="20"/>
              </w:rPr>
              <w:br/>
              <w:t xml:space="preserve">Hourly Compensation Rates for each Occupation Group </w:t>
            </w:r>
            <w:r w:rsidRPr="00760010">
              <w:rPr>
                <w:rFonts w:ascii="Times New Roman" w:hAnsi="Times New Roman"/>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35991D0D" w14:textId="77777777">
            <w:pPr>
              <w:jc w:val="center"/>
              <w:rPr>
                <w:rFonts w:ascii="Times New Roman" w:hAnsi="Times New Roman"/>
                <w:color w:val="000000"/>
                <w:sz w:val="20"/>
              </w:rPr>
            </w:pPr>
            <w:r w:rsidRPr="00760010">
              <w:rPr>
                <w:rFonts w:ascii="Times New Roman" w:hAnsi="Times New Roman"/>
                <w:color w:val="000000"/>
                <w:sz w:val="20"/>
              </w:rPr>
              <w:t>Estimated Hourly Compensation Rate</w:t>
            </w:r>
          </w:p>
        </w:tc>
      </w:tr>
      <w:tr w14:paraId="033A7387" w14:textId="77777777" w:rsidTr="00C95C1A">
        <w:tblPrEx>
          <w:tblW w:w="11243" w:type="dxa"/>
          <w:tblInd w:w="-820" w:type="dxa"/>
          <w:tblCellMar>
            <w:top w:w="15" w:type="dxa"/>
          </w:tblCellMar>
          <w:tblLook w:val="04A0"/>
        </w:tblPrEx>
        <w:trPr>
          <w:trHeight w:val="1392"/>
        </w:trPr>
        <w:tc>
          <w:tcPr>
            <w:tcW w:w="2985" w:type="dxa"/>
            <w:vMerge/>
            <w:tcBorders>
              <w:top w:val="nil"/>
              <w:left w:val="single" w:sz="8" w:space="0" w:color="auto"/>
              <w:bottom w:val="single" w:sz="8" w:space="0" w:color="auto"/>
              <w:right w:val="single" w:sz="8" w:space="0" w:color="auto"/>
            </w:tcBorders>
            <w:vAlign w:val="center"/>
            <w:hideMark/>
          </w:tcPr>
          <w:p w:rsidR="00760010" w:rsidRPr="00760010" w:rsidP="004F13EE" w14:paraId="65963988" w14:textId="77777777">
            <w:pPr>
              <w:rPr>
                <w:rFonts w:ascii="Times New Roman" w:hAnsi="Times New Roman"/>
                <w:color w:val="000000"/>
                <w:sz w:val="20"/>
              </w:rPr>
            </w:pPr>
          </w:p>
        </w:tc>
        <w:tc>
          <w:tcPr>
            <w:tcW w:w="836" w:type="dxa"/>
            <w:vMerge/>
            <w:tcBorders>
              <w:top w:val="nil"/>
              <w:left w:val="single" w:sz="8" w:space="0" w:color="auto"/>
              <w:bottom w:val="single" w:sz="8" w:space="0" w:color="auto"/>
              <w:right w:val="single" w:sz="8" w:space="0" w:color="auto"/>
            </w:tcBorders>
            <w:vAlign w:val="center"/>
            <w:hideMark/>
          </w:tcPr>
          <w:p w:rsidR="00760010" w:rsidRPr="00760010" w:rsidP="004F13EE" w14:paraId="4F2A0F91" w14:textId="77777777">
            <w:pPr>
              <w:rPr>
                <w:rFonts w:ascii="Times New Roman" w:hAnsi="Times New Roman"/>
                <w:color w:val="000000"/>
                <w:sz w:val="20"/>
              </w:rPr>
            </w:pPr>
          </w:p>
        </w:tc>
        <w:tc>
          <w:tcPr>
            <w:tcW w:w="5800" w:type="dxa"/>
            <w:gridSpan w:val="6"/>
            <w:vMerge/>
            <w:tcBorders>
              <w:top w:val="single" w:sz="8" w:space="0" w:color="auto"/>
              <w:left w:val="single" w:sz="8" w:space="0" w:color="auto"/>
              <w:bottom w:val="single" w:sz="8" w:space="0" w:color="auto"/>
              <w:right w:val="single" w:sz="8" w:space="0" w:color="auto"/>
            </w:tcBorders>
            <w:vAlign w:val="center"/>
            <w:hideMark/>
          </w:tcPr>
          <w:p w:rsidR="00760010" w:rsidRPr="00760010" w:rsidP="004F13EE" w14:paraId="1BA3FC81"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760010" w:rsidRPr="00760010" w:rsidP="004F13EE" w14:paraId="7D1A97A2" w14:textId="77777777">
            <w:pPr>
              <w:rPr>
                <w:rFonts w:ascii="Times New Roman" w:hAnsi="Times New Roman"/>
                <w:color w:val="000000"/>
                <w:sz w:val="20"/>
              </w:rPr>
            </w:pPr>
          </w:p>
        </w:tc>
        <w:tc>
          <w:tcPr>
            <w:tcW w:w="222" w:type="dxa"/>
            <w:tcBorders>
              <w:top w:val="nil"/>
              <w:left w:val="nil"/>
              <w:bottom w:val="nil"/>
              <w:right w:val="nil"/>
            </w:tcBorders>
            <w:noWrap/>
            <w:vAlign w:val="bottom"/>
            <w:hideMark/>
          </w:tcPr>
          <w:p w:rsidR="00760010" w:rsidRPr="000A4D8B" w:rsidP="004F13EE" w14:paraId="00381997" w14:textId="77777777">
            <w:pPr>
              <w:jc w:val="center"/>
              <w:rPr>
                <w:rFonts w:ascii="Source Sans Pro" w:hAnsi="Source Sans Pro" w:cs="Calibri"/>
                <w:color w:val="000000"/>
                <w:sz w:val="20"/>
              </w:rPr>
            </w:pPr>
          </w:p>
        </w:tc>
      </w:tr>
      <w:tr w14:paraId="4A78D1A1" w14:textId="77777777" w:rsidTr="00C95C1A">
        <w:tblPrEx>
          <w:tblW w:w="11243" w:type="dxa"/>
          <w:tblInd w:w="-820" w:type="dxa"/>
          <w:tblCellMar>
            <w:top w:w="15" w:type="dxa"/>
          </w:tblCellMar>
          <w:tblLook w:val="04A0"/>
        </w:tblPrEx>
        <w:trPr>
          <w:trHeight w:val="360"/>
        </w:trPr>
        <w:tc>
          <w:tcPr>
            <w:tcW w:w="2985" w:type="dxa"/>
            <w:vMerge/>
            <w:tcBorders>
              <w:top w:val="nil"/>
              <w:left w:val="single" w:sz="8" w:space="0" w:color="auto"/>
              <w:bottom w:val="single" w:sz="8" w:space="0" w:color="auto"/>
              <w:right w:val="single" w:sz="8" w:space="0" w:color="auto"/>
            </w:tcBorders>
            <w:vAlign w:val="center"/>
            <w:hideMark/>
          </w:tcPr>
          <w:p w:rsidR="00760010" w:rsidRPr="00760010" w:rsidP="004F13EE" w14:paraId="746EA1F6" w14:textId="77777777">
            <w:pPr>
              <w:rPr>
                <w:rFonts w:ascii="Times New Roman" w:hAnsi="Times New Roman"/>
                <w:color w:val="000000"/>
                <w:sz w:val="20"/>
              </w:rPr>
            </w:pPr>
          </w:p>
        </w:tc>
        <w:tc>
          <w:tcPr>
            <w:tcW w:w="836" w:type="dxa"/>
            <w:vMerge/>
            <w:tcBorders>
              <w:top w:val="nil"/>
              <w:left w:val="single" w:sz="8" w:space="0" w:color="auto"/>
              <w:bottom w:val="single" w:sz="8" w:space="0" w:color="auto"/>
              <w:right w:val="single" w:sz="8" w:space="0" w:color="auto"/>
            </w:tcBorders>
            <w:vAlign w:val="center"/>
            <w:hideMark/>
          </w:tcPr>
          <w:p w:rsidR="00760010" w:rsidRPr="00760010" w:rsidP="004F13EE" w14:paraId="5348511E" w14:textId="77777777">
            <w:pPr>
              <w:rPr>
                <w:rFonts w:ascii="Times New Roman" w:hAnsi="Times New Roman"/>
                <w:color w:val="000000"/>
                <w:sz w:val="20"/>
              </w:rPr>
            </w:pPr>
          </w:p>
        </w:tc>
        <w:tc>
          <w:tcPr>
            <w:tcW w:w="10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185CC225" w14:textId="77777777">
            <w:pPr>
              <w:jc w:val="center"/>
              <w:rPr>
                <w:rFonts w:ascii="Times New Roman" w:hAnsi="Times New Roman"/>
                <w:color w:val="000000"/>
                <w:sz w:val="20"/>
              </w:rPr>
            </w:pPr>
            <w:r w:rsidRPr="00760010">
              <w:rPr>
                <w:rFonts w:ascii="Times New Roman" w:hAnsi="Times New Roman"/>
                <w:color w:val="000000"/>
                <w:sz w:val="20"/>
              </w:rPr>
              <w:t>Exec. &amp; Mgr.      ($158.33)</w:t>
            </w:r>
          </w:p>
        </w:tc>
        <w:tc>
          <w:tcPr>
            <w:tcW w:w="10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3990BB8A" w14:textId="77777777">
            <w:pPr>
              <w:jc w:val="center"/>
              <w:rPr>
                <w:rFonts w:ascii="Times New Roman" w:hAnsi="Times New Roman"/>
                <w:color w:val="000000"/>
                <w:sz w:val="20"/>
              </w:rPr>
            </w:pPr>
            <w:r w:rsidRPr="00760010">
              <w:rPr>
                <w:rFonts w:ascii="Times New Roman" w:hAnsi="Times New Roman"/>
                <w:color w:val="000000"/>
                <w:sz w:val="20"/>
              </w:rPr>
              <w:t>Lawyer</w:t>
            </w:r>
            <w:r w:rsidRPr="00760010">
              <w:rPr>
                <w:rFonts w:ascii="Times New Roman" w:hAnsi="Times New Roman"/>
                <w:color w:val="000000"/>
                <w:sz w:val="20"/>
              </w:rPr>
              <w:t xml:space="preserve">   (</w:t>
            </w:r>
            <w:r w:rsidRPr="00760010">
              <w:rPr>
                <w:rFonts w:ascii="Times New Roman" w:hAnsi="Times New Roman"/>
                <w:color w:val="000000"/>
                <w:sz w:val="20"/>
              </w:rPr>
              <w:t>$178.57)</w:t>
            </w:r>
          </w:p>
        </w:tc>
        <w:tc>
          <w:tcPr>
            <w:tcW w:w="9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00777C85" w14:textId="77777777">
            <w:pPr>
              <w:jc w:val="center"/>
              <w:rPr>
                <w:rFonts w:ascii="Times New Roman" w:hAnsi="Times New Roman"/>
                <w:color w:val="000000"/>
                <w:sz w:val="20"/>
              </w:rPr>
            </w:pPr>
            <w:r w:rsidRPr="00760010">
              <w:rPr>
                <w:rFonts w:ascii="Times New Roman" w:hAnsi="Times New Roman"/>
                <w:color w:val="000000"/>
                <w:sz w:val="20"/>
              </w:rPr>
              <w:t>Compl</w:t>
            </w:r>
            <w:r w:rsidRPr="00760010">
              <w:rPr>
                <w:rFonts w:ascii="Times New Roman" w:hAnsi="Times New Roman"/>
                <w:color w:val="000000"/>
                <w:sz w:val="20"/>
              </w:rPr>
              <w:t>. Ofc.   ($80.32)</w:t>
            </w:r>
          </w:p>
        </w:tc>
        <w:tc>
          <w:tcPr>
            <w:tcW w:w="10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02F0B690" w14:textId="77777777">
            <w:pPr>
              <w:jc w:val="center"/>
              <w:rPr>
                <w:rFonts w:ascii="Times New Roman" w:hAnsi="Times New Roman"/>
                <w:color w:val="000000"/>
                <w:sz w:val="20"/>
              </w:rPr>
            </w:pPr>
            <w:r w:rsidRPr="00760010">
              <w:rPr>
                <w:rFonts w:ascii="Times New Roman" w:hAnsi="Times New Roman"/>
                <w:color w:val="000000"/>
                <w:sz w:val="20"/>
              </w:rPr>
              <w:t xml:space="preserve">IT </w:t>
            </w:r>
            <w:r w:rsidRPr="00760010">
              <w:rPr>
                <w:rFonts w:ascii="Times New Roman" w:hAnsi="Times New Roman"/>
                <w:color w:val="000000"/>
                <w:sz w:val="20"/>
              </w:rPr>
              <w:t xml:space="preserve">   (</w:t>
            </w:r>
            <w:r w:rsidRPr="00760010">
              <w:rPr>
                <w:rFonts w:ascii="Times New Roman" w:hAnsi="Times New Roman"/>
                <w:color w:val="000000"/>
                <w:sz w:val="20"/>
              </w:rPr>
              <w:t>$115.86)</w:t>
            </w:r>
          </w:p>
        </w:tc>
        <w:tc>
          <w:tcPr>
            <w:tcW w:w="10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67986749" w14:textId="77777777">
            <w:pPr>
              <w:jc w:val="center"/>
              <w:rPr>
                <w:rFonts w:ascii="Times New Roman" w:hAnsi="Times New Roman"/>
                <w:color w:val="000000"/>
                <w:sz w:val="20"/>
              </w:rPr>
            </w:pPr>
            <w:r w:rsidRPr="00760010">
              <w:rPr>
                <w:rFonts w:ascii="Times New Roman" w:hAnsi="Times New Roman"/>
                <w:color w:val="000000"/>
                <w:sz w:val="20"/>
              </w:rPr>
              <w:t xml:space="preserve">Fin. </w:t>
            </w:r>
            <w:r w:rsidRPr="00760010">
              <w:rPr>
                <w:rFonts w:ascii="Times New Roman" w:hAnsi="Times New Roman"/>
                <w:color w:val="000000"/>
                <w:sz w:val="20"/>
              </w:rPr>
              <w:t>Anlst</w:t>
            </w:r>
            <w:r w:rsidRPr="00760010">
              <w:rPr>
                <w:rFonts w:ascii="Times New Roman" w:hAnsi="Times New Roman"/>
                <w:color w:val="000000"/>
                <w:sz w:val="20"/>
              </w:rPr>
              <w:t>.    ($100.73)</w:t>
            </w:r>
          </w:p>
        </w:tc>
        <w:tc>
          <w:tcPr>
            <w:tcW w:w="900" w:type="dxa"/>
            <w:vMerge w:val="restart"/>
            <w:tcBorders>
              <w:top w:val="nil"/>
              <w:left w:val="single" w:sz="8" w:space="0" w:color="auto"/>
              <w:bottom w:val="single" w:sz="8" w:space="0" w:color="auto"/>
              <w:right w:val="single" w:sz="8" w:space="0" w:color="auto"/>
            </w:tcBorders>
            <w:vAlign w:val="center"/>
            <w:hideMark/>
          </w:tcPr>
          <w:p w:rsidR="00760010" w:rsidRPr="00760010" w:rsidP="004F13EE" w14:paraId="5CBF50F7" w14:textId="77777777">
            <w:pPr>
              <w:jc w:val="center"/>
              <w:rPr>
                <w:rFonts w:ascii="Times New Roman" w:hAnsi="Times New Roman"/>
                <w:color w:val="000000"/>
                <w:sz w:val="20"/>
              </w:rPr>
            </w:pPr>
            <w:r w:rsidRPr="00760010">
              <w:rPr>
                <w:rFonts w:ascii="Times New Roman" w:hAnsi="Times New Roman"/>
                <w:color w:val="000000"/>
                <w:sz w:val="20"/>
              </w:rPr>
              <w:t xml:space="preserve">Clerical </w:t>
            </w:r>
            <w:r w:rsidRPr="00760010">
              <w:rPr>
                <w:rFonts w:ascii="Times New Roman" w:hAnsi="Times New Roman"/>
                <w:color w:val="000000"/>
                <w:sz w:val="20"/>
              </w:rPr>
              <w:t xml:space="preserve">   (</w:t>
            </w:r>
            <w:r w:rsidRPr="00760010">
              <w:rPr>
                <w:rFonts w:ascii="Times New Roman" w:hAnsi="Times New Roman"/>
                <w:color w:val="000000"/>
                <w:sz w:val="20"/>
              </w:rPr>
              <w:t>$42.33)</w:t>
            </w:r>
          </w:p>
        </w:tc>
        <w:tc>
          <w:tcPr>
            <w:tcW w:w="1400" w:type="dxa"/>
            <w:vMerge/>
            <w:tcBorders>
              <w:top w:val="nil"/>
              <w:left w:val="single" w:sz="8" w:space="0" w:color="auto"/>
              <w:bottom w:val="single" w:sz="8" w:space="0" w:color="auto"/>
              <w:right w:val="single" w:sz="8" w:space="0" w:color="auto"/>
            </w:tcBorders>
            <w:vAlign w:val="center"/>
            <w:hideMark/>
          </w:tcPr>
          <w:p w:rsidR="00760010" w:rsidRPr="00760010" w:rsidP="004F13EE" w14:paraId="32920579" w14:textId="77777777">
            <w:pPr>
              <w:rPr>
                <w:rFonts w:ascii="Times New Roman" w:hAnsi="Times New Roman"/>
                <w:color w:val="000000"/>
                <w:sz w:val="20"/>
              </w:rPr>
            </w:pPr>
          </w:p>
        </w:tc>
        <w:tc>
          <w:tcPr>
            <w:tcW w:w="222" w:type="dxa"/>
            <w:vAlign w:val="center"/>
            <w:hideMark/>
          </w:tcPr>
          <w:p w:rsidR="00760010" w:rsidRPr="000A4D8B" w:rsidP="004F13EE" w14:paraId="26E8C275" w14:textId="77777777">
            <w:pPr>
              <w:rPr>
                <w:rFonts w:ascii="Times New Roman" w:hAnsi="Times New Roman"/>
                <w:sz w:val="20"/>
              </w:rPr>
            </w:pPr>
          </w:p>
        </w:tc>
      </w:tr>
      <w:tr w14:paraId="163FD7E8" w14:textId="77777777" w:rsidTr="00C95C1A">
        <w:tblPrEx>
          <w:tblW w:w="11243" w:type="dxa"/>
          <w:tblInd w:w="-820" w:type="dxa"/>
          <w:tblCellMar>
            <w:top w:w="15" w:type="dxa"/>
          </w:tblCellMar>
          <w:tblLook w:val="04A0"/>
        </w:tblPrEx>
        <w:trPr>
          <w:trHeight w:val="1140"/>
        </w:trPr>
        <w:tc>
          <w:tcPr>
            <w:tcW w:w="2985" w:type="dxa"/>
            <w:vMerge/>
            <w:tcBorders>
              <w:top w:val="nil"/>
              <w:left w:val="single" w:sz="8" w:space="0" w:color="auto"/>
              <w:bottom w:val="single" w:sz="8" w:space="0" w:color="auto"/>
              <w:right w:val="single" w:sz="8" w:space="0" w:color="auto"/>
            </w:tcBorders>
            <w:vAlign w:val="center"/>
            <w:hideMark/>
          </w:tcPr>
          <w:p w:rsidR="00760010" w:rsidRPr="00760010" w:rsidP="004F13EE" w14:paraId="180EE023" w14:textId="77777777">
            <w:pPr>
              <w:rPr>
                <w:rFonts w:ascii="Times New Roman" w:hAnsi="Times New Roman"/>
                <w:color w:val="000000"/>
                <w:sz w:val="20"/>
              </w:rPr>
            </w:pPr>
          </w:p>
        </w:tc>
        <w:tc>
          <w:tcPr>
            <w:tcW w:w="836" w:type="dxa"/>
            <w:vMerge/>
            <w:tcBorders>
              <w:top w:val="nil"/>
              <w:left w:val="single" w:sz="8" w:space="0" w:color="auto"/>
              <w:bottom w:val="single" w:sz="8" w:space="0" w:color="auto"/>
              <w:right w:val="single" w:sz="8" w:space="0" w:color="auto"/>
            </w:tcBorders>
            <w:vAlign w:val="center"/>
            <w:hideMark/>
          </w:tcPr>
          <w:p w:rsidR="00760010" w:rsidRPr="00760010" w:rsidP="004F13EE" w14:paraId="0DB95F9B"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760010" w:rsidRPr="00760010" w:rsidP="004F13EE" w14:paraId="1B957C53"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760010" w:rsidRPr="00760010" w:rsidP="004F13EE" w14:paraId="50CF4CC6"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760010" w:rsidRPr="00760010" w:rsidP="004F13EE" w14:paraId="3BC132DA"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760010" w:rsidRPr="00760010" w:rsidP="004F13EE" w14:paraId="7DC8B6C0"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760010" w:rsidRPr="00760010" w:rsidP="004F13EE" w14:paraId="1817D0A0"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760010" w:rsidRPr="00760010" w:rsidP="004F13EE" w14:paraId="64AB3AC0"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760010" w:rsidRPr="00760010" w:rsidP="004F13EE" w14:paraId="17F9D389" w14:textId="77777777">
            <w:pPr>
              <w:rPr>
                <w:rFonts w:ascii="Times New Roman" w:hAnsi="Times New Roman"/>
                <w:color w:val="000000"/>
                <w:sz w:val="20"/>
              </w:rPr>
            </w:pPr>
          </w:p>
        </w:tc>
        <w:tc>
          <w:tcPr>
            <w:tcW w:w="222" w:type="dxa"/>
            <w:tcBorders>
              <w:top w:val="nil"/>
              <w:left w:val="nil"/>
              <w:bottom w:val="nil"/>
              <w:right w:val="nil"/>
            </w:tcBorders>
            <w:noWrap/>
            <w:vAlign w:val="bottom"/>
            <w:hideMark/>
          </w:tcPr>
          <w:p w:rsidR="00760010" w:rsidRPr="000A4D8B" w:rsidP="004F13EE" w14:paraId="6634E4F1" w14:textId="77777777">
            <w:pPr>
              <w:jc w:val="center"/>
              <w:rPr>
                <w:rFonts w:ascii="Source Sans Pro" w:hAnsi="Source Sans Pro" w:cs="Calibri"/>
                <w:color w:val="000000"/>
                <w:sz w:val="20"/>
              </w:rPr>
            </w:pPr>
          </w:p>
        </w:tc>
      </w:tr>
      <w:tr w14:paraId="4E2A10A8" w14:textId="77777777" w:rsidTr="00C95C1A">
        <w:tblPrEx>
          <w:tblW w:w="11243" w:type="dxa"/>
          <w:tblInd w:w="-820" w:type="dxa"/>
          <w:tblCellMar>
            <w:top w:w="15" w:type="dxa"/>
          </w:tblCellMar>
          <w:tblLook w:val="04A0"/>
        </w:tblPrEx>
        <w:trPr>
          <w:trHeight w:val="1392"/>
        </w:trPr>
        <w:tc>
          <w:tcPr>
            <w:tcW w:w="2985" w:type="dxa"/>
            <w:tcBorders>
              <w:top w:val="nil"/>
              <w:left w:val="single" w:sz="8" w:space="0" w:color="auto"/>
              <w:bottom w:val="single" w:sz="8" w:space="0" w:color="auto"/>
              <w:right w:val="single" w:sz="8" w:space="0" w:color="auto"/>
            </w:tcBorders>
            <w:vAlign w:val="center"/>
            <w:hideMark/>
          </w:tcPr>
          <w:p w:rsidR="00760010" w:rsidRPr="00760010" w:rsidP="004F13EE" w14:paraId="2A4A9767" w14:textId="77777777">
            <w:pPr>
              <w:rPr>
                <w:rFonts w:ascii="Times New Roman" w:hAnsi="Times New Roman"/>
                <w:color w:val="000000"/>
                <w:sz w:val="20"/>
              </w:rPr>
            </w:pPr>
            <w:r w:rsidRPr="00760010">
              <w:rPr>
                <w:rFonts w:ascii="Times New Roman" w:hAnsi="Times New Roman"/>
                <w:color w:val="000000"/>
                <w:sz w:val="20"/>
              </w:rPr>
              <w:t>1. AML/CFT and Sanctions Requirements for permitted payment stablecoin issuers – Implementation, Section 350.6(d) (Mandatory)</w:t>
            </w:r>
          </w:p>
        </w:tc>
        <w:tc>
          <w:tcPr>
            <w:tcW w:w="836" w:type="dxa"/>
            <w:tcBorders>
              <w:top w:val="nil"/>
              <w:left w:val="nil"/>
              <w:bottom w:val="single" w:sz="8" w:space="0" w:color="auto"/>
              <w:right w:val="single" w:sz="8" w:space="0" w:color="auto"/>
            </w:tcBorders>
            <w:vAlign w:val="center"/>
            <w:hideMark/>
          </w:tcPr>
          <w:p w:rsidR="00760010" w:rsidRPr="00760010" w:rsidP="004F13EE" w14:paraId="0A9F2622" w14:textId="77777777">
            <w:pPr>
              <w:jc w:val="center"/>
              <w:rPr>
                <w:rFonts w:ascii="Times New Roman" w:hAnsi="Times New Roman"/>
                <w:color w:val="000000"/>
                <w:sz w:val="20"/>
              </w:rPr>
            </w:pPr>
            <w:r w:rsidRPr="00760010">
              <w:rPr>
                <w:rFonts w:ascii="Times New Roman" w:hAnsi="Times New Roman"/>
                <w:color w:val="000000"/>
                <w:sz w:val="20"/>
              </w:rPr>
              <w:t>66.67</w:t>
            </w:r>
          </w:p>
        </w:tc>
        <w:tc>
          <w:tcPr>
            <w:tcW w:w="1000" w:type="dxa"/>
            <w:tcBorders>
              <w:top w:val="nil"/>
              <w:left w:val="nil"/>
              <w:bottom w:val="single" w:sz="8" w:space="0" w:color="auto"/>
              <w:right w:val="single" w:sz="8" w:space="0" w:color="auto"/>
            </w:tcBorders>
            <w:vAlign w:val="center"/>
            <w:hideMark/>
          </w:tcPr>
          <w:p w:rsidR="00760010" w:rsidRPr="00760010" w:rsidP="004F13EE" w14:paraId="1686A66B" w14:textId="77777777">
            <w:pPr>
              <w:jc w:val="center"/>
              <w:rPr>
                <w:rFonts w:ascii="Times New Roman" w:hAnsi="Times New Roman"/>
                <w:color w:val="000000"/>
                <w:sz w:val="20"/>
              </w:rPr>
            </w:pPr>
            <w:r w:rsidRPr="00760010">
              <w:rPr>
                <w:rFonts w:ascii="Times New Roman" w:hAnsi="Times New Roman"/>
                <w:color w:val="000000"/>
                <w:sz w:val="20"/>
              </w:rPr>
              <w:t>20</w:t>
            </w:r>
          </w:p>
        </w:tc>
        <w:tc>
          <w:tcPr>
            <w:tcW w:w="1000" w:type="dxa"/>
            <w:tcBorders>
              <w:top w:val="nil"/>
              <w:left w:val="nil"/>
              <w:bottom w:val="single" w:sz="8" w:space="0" w:color="auto"/>
              <w:right w:val="single" w:sz="8" w:space="0" w:color="auto"/>
            </w:tcBorders>
            <w:vAlign w:val="center"/>
            <w:hideMark/>
          </w:tcPr>
          <w:p w:rsidR="00760010" w:rsidRPr="00760010" w:rsidP="004F13EE" w14:paraId="46AB15F6" w14:textId="77777777">
            <w:pPr>
              <w:jc w:val="center"/>
              <w:rPr>
                <w:rFonts w:ascii="Times New Roman" w:hAnsi="Times New Roman"/>
                <w:color w:val="000000"/>
                <w:sz w:val="20"/>
              </w:rPr>
            </w:pPr>
            <w:r w:rsidRPr="00760010">
              <w:rPr>
                <w:rFonts w:ascii="Times New Roman" w:hAnsi="Times New Roman"/>
                <w:color w:val="000000"/>
                <w:sz w:val="20"/>
              </w:rPr>
              <w:t>45</w:t>
            </w:r>
          </w:p>
        </w:tc>
        <w:tc>
          <w:tcPr>
            <w:tcW w:w="900" w:type="dxa"/>
            <w:tcBorders>
              <w:top w:val="nil"/>
              <w:left w:val="nil"/>
              <w:bottom w:val="single" w:sz="8" w:space="0" w:color="auto"/>
              <w:right w:val="single" w:sz="8" w:space="0" w:color="auto"/>
            </w:tcBorders>
            <w:vAlign w:val="center"/>
            <w:hideMark/>
          </w:tcPr>
          <w:p w:rsidR="00760010" w:rsidRPr="00760010" w:rsidP="004F13EE" w14:paraId="2C7655F6" w14:textId="77777777">
            <w:pPr>
              <w:jc w:val="center"/>
              <w:rPr>
                <w:rFonts w:ascii="Times New Roman" w:hAnsi="Times New Roman"/>
                <w:color w:val="000000"/>
                <w:sz w:val="20"/>
              </w:rPr>
            </w:pPr>
            <w:r w:rsidRPr="00760010">
              <w:rPr>
                <w:rFonts w:ascii="Times New Roman" w:hAnsi="Times New Roman"/>
                <w:color w:val="000000"/>
                <w:sz w:val="20"/>
              </w:rPr>
              <w:t>25</w:t>
            </w:r>
          </w:p>
        </w:tc>
        <w:tc>
          <w:tcPr>
            <w:tcW w:w="1000" w:type="dxa"/>
            <w:tcBorders>
              <w:top w:val="nil"/>
              <w:left w:val="nil"/>
              <w:bottom w:val="single" w:sz="8" w:space="0" w:color="auto"/>
              <w:right w:val="single" w:sz="8" w:space="0" w:color="auto"/>
            </w:tcBorders>
            <w:vAlign w:val="center"/>
            <w:hideMark/>
          </w:tcPr>
          <w:p w:rsidR="00760010" w:rsidRPr="00760010" w:rsidP="004F13EE" w14:paraId="52CC7ECE" w14:textId="77777777">
            <w:pPr>
              <w:jc w:val="center"/>
              <w:rPr>
                <w:rFonts w:ascii="Times New Roman" w:hAnsi="Times New Roman"/>
                <w:color w:val="000000"/>
                <w:sz w:val="20"/>
              </w:rPr>
            </w:pPr>
            <w:r w:rsidRPr="00760010">
              <w:rPr>
                <w:rFonts w:ascii="Times New Roman" w:hAnsi="Times New Roman"/>
                <w:color w:val="000000"/>
                <w:sz w:val="20"/>
              </w:rPr>
              <w:t>10</w:t>
            </w:r>
          </w:p>
        </w:tc>
        <w:tc>
          <w:tcPr>
            <w:tcW w:w="1000" w:type="dxa"/>
            <w:tcBorders>
              <w:top w:val="nil"/>
              <w:left w:val="nil"/>
              <w:bottom w:val="single" w:sz="8" w:space="0" w:color="auto"/>
              <w:right w:val="single" w:sz="8" w:space="0" w:color="auto"/>
            </w:tcBorders>
            <w:vAlign w:val="center"/>
            <w:hideMark/>
          </w:tcPr>
          <w:p w:rsidR="00760010" w:rsidRPr="00760010" w:rsidP="004F13EE" w14:paraId="0A2986C5" w14:textId="77777777">
            <w:pPr>
              <w:jc w:val="center"/>
              <w:rPr>
                <w:rFonts w:ascii="Times New Roman" w:hAnsi="Times New Roman"/>
                <w:color w:val="000000"/>
                <w:sz w:val="20"/>
              </w:rPr>
            </w:pPr>
            <w:r w:rsidRPr="00760010">
              <w:rPr>
                <w:rFonts w:ascii="Times New Roman" w:hAnsi="Times New Roman"/>
                <w:color w:val="000000"/>
                <w:sz w:val="20"/>
              </w:rPr>
              <w:t>0</w:t>
            </w:r>
          </w:p>
        </w:tc>
        <w:tc>
          <w:tcPr>
            <w:tcW w:w="900" w:type="dxa"/>
            <w:tcBorders>
              <w:top w:val="nil"/>
              <w:left w:val="nil"/>
              <w:bottom w:val="single" w:sz="8" w:space="0" w:color="auto"/>
              <w:right w:val="single" w:sz="8" w:space="0" w:color="auto"/>
            </w:tcBorders>
            <w:vAlign w:val="center"/>
            <w:hideMark/>
          </w:tcPr>
          <w:p w:rsidR="00760010" w:rsidRPr="00760010" w:rsidP="004F13EE" w14:paraId="7623F68D" w14:textId="77777777">
            <w:pPr>
              <w:jc w:val="center"/>
              <w:rPr>
                <w:rFonts w:ascii="Times New Roman" w:hAnsi="Times New Roman"/>
                <w:color w:val="000000"/>
                <w:sz w:val="20"/>
              </w:rPr>
            </w:pPr>
            <w:r w:rsidRPr="00760010">
              <w:rPr>
                <w:rFonts w:ascii="Times New Roman" w:hAnsi="Times New Roman"/>
                <w:color w:val="000000"/>
                <w:sz w:val="20"/>
              </w:rPr>
              <w:t>0</w:t>
            </w:r>
          </w:p>
        </w:tc>
        <w:tc>
          <w:tcPr>
            <w:tcW w:w="1400" w:type="dxa"/>
            <w:tcBorders>
              <w:top w:val="nil"/>
              <w:left w:val="nil"/>
              <w:bottom w:val="single" w:sz="8" w:space="0" w:color="auto"/>
              <w:right w:val="single" w:sz="8" w:space="0" w:color="auto"/>
            </w:tcBorders>
            <w:vAlign w:val="center"/>
            <w:hideMark/>
          </w:tcPr>
          <w:p w:rsidR="00760010" w:rsidRPr="00760010" w:rsidP="004F13EE" w14:paraId="5CB667E5" w14:textId="77777777">
            <w:pPr>
              <w:ind w:firstLine="200" w:firstLineChars="100"/>
              <w:jc w:val="right"/>
              <w:rPr>
                <w:rFonts w:ascii="Times New Roman" w:hAnsi="Times New Roman"/>
                <w:color w:val="000000"/>
                <w:sz w:val="20"/>
              </w:rPr>
            </w:pPr>
            <w:r w:rsidRPr="00760010">
              <w:rPr>
                <w:rFonts w:ascii="Times New Roman" w:hAnsi="Times New Roman"/>
                <w:color w:val="000000"/>
                <w:sz w:val="20"/>
              </w:rPr>
              <w:t xml:space="preserve">$143.69 </w:t>
            </w:r>
          </w:p>
        </w:tc>
        <w:tc>
          <w:tcPr>
            <w:tcW w:w="222" w:type="dxa"/>
            <w:vAlign w:val="center"/>
            <w:hideMark/>
          </w:tcPr>
          <w:p w:rsidR="00760010" w:rsidRPr="000A4D8B" w:rsidP="004F13EE" w14:paraId="5CBCB2F4" w14:textId="77777777">
            <w:pPr>
              <w:rPr>
                <w:rFonts w:ascii="Times New Roman" w:hAnsi="Times New Roman"/>
                <w:sz w:val="20"/>
              </w:rPr>
            </w:pPr>
          </w:p>
        </w:tc>
      </w:tr>
      <w:tr w14:paraId="543EF3DF" w14:textId="77777777" w:rsidTr="00C95C1A">
        <w:tblPrEx>
          <w:tblW w:w="11243" w:type="dxa"/>
          <w:tblInd w:w="-820" w:type="dxa"/>
          <w:tblCellMar>
            <w:top w:w="15" w:type="dxa"/>
          </w:tblCellMar>
          <w:tblLook w:val="04A0"/>
        </w:tblPrEx>
        <w:trPr>
          <w:trHeight w:val="1392"/>
        </w:trPr>
        <w:tc>
          <w:tcPr>
            <w:tcW w:w="2985" w:type="dxa"/>
            <w:tcBorders>
              <w:top w:val="nil"/>
              <w:left w:val="single" w:sz="8" w:space="0" w:color="auto"/>
              <w:bottom w:val="single" w:sz="8" w:space="0" w:color="auto"/>
              <w:right w:val="single" w:sz="8" w:space="0" w:color="auto"/>
            </w:tcBorders>
            <w:vAlign w:val="center"/>
            <w:hideMark/>
          </w:tcPr>
          <w:p w:rsidR="00760010" w:rsidRPr="00760010" w:rsidP="004F13EE" w14:paraId="3ECDEAF4" w14:textId="77777777">
            <w:pPr>
              <w:rPr>
                <w:rFonts w:ascii="Times New Roman" w:hAnsi="Times New Roman"/>
                <w:color w:val="000000"/>
                <w:sz w:val="20"/>
              </w:rPr>
            </w:pPr>
            <w:r w:rsidRPr="00760010">
              <w:rPr>
                <w:rFonts w:ascii="Times New Roman" w:hAnsi="Times New Roman"/>
                <w:color w:val="000000"/>
                <w:sz w:val="20"/>
              </w:rPr>
              <w:t>2.AML/CFT and Sanctions Requirements for permitted payment stablecoin issuers – Ongoing, Section 350.6(d) (Mandatory)</w:t>
            </w:r>
          </w:p>
        </w:tc>
        <w:tc>
          <w:tcPr>
            <w:tcW w:w="836" w:type="dxa"/>
            <w:tcBorders>
              <w:top w:val="nil"/>
              <w:left w:val="nil"/>
              <w:bottom w:val="single" w:sz="8" w:space="0" w:color="auto"/>
              <w:right w:val="single" w:sz="8" w:space="0" w:color="auto"/>
            </w:tcBorders>
            <w:vAlign w:val="center"/>
            <w:hideMark/>
          </w:tcPr>
          <w:p w:rsidR="00760010" w:rsidRPr="00760010" w:rsidP="004F13EE" w14:paraId="7CBB5805" w14:textId="77777777">
            <w:pPr>
              <w:jc w:val="center"/>
              <w:rPr>
                <w:rFonts w:ascii="Times New Roman" w:hAnsi="Times New Roman"/>
                <w:color w:val="000000"/>
                <w:sz w:val="20"/>
              </w:rPr>
            </w:pPr>
            <w:r w:rsidRPr="00760010">
              <w:rPr>
                <w:rFonts w:ascii="Times New Roman" w:hAnsi="Times New Roman"/>
                <w:color w:val="000000"/>
                <w:sz w:val="20"/>
              </w:rPr>
              <w:t>33.33</w:t>
            </w:r>
          </w:p>
        </w:tc>
        <w:tc>
          <w:tcPr>
            <w:tcW w:w="1000" w:type="dxa"/>
            <w:tcBorders>
              <w:top w:val="nil"/>
              <w:left w:val="nil"/>
              <w:bottom w:val="single" w:sz="8" w:space="0" w:color="auto"/>
              <w:right w:val="single" w:sz="8" w:space="0" w:color="auto"/>
            </w:tcBorders>
            <w:vAlign w:val="center"/>
            <w:hideMark/>
          </w:tcPr>
          <w:p w:rsidR="00760010" w:rsidRPr="00760010" w:rsidP="004F13EE" w14:paraId="3A2CBFA9" w14:textId="77777777">
            <w:pPr>
              <w:jc w:val="center"/>
              <w:rPr>
                <w:rFonts w:ascii="Times New Roman" w:hAnsi="Times New Roman"/>
                <w:color w:val="000000"/>
                <w:sz w:val="20"/>
              </w:rPr>
            </w:pPr>
            <w:r w:rsidRPr="00760010">
              <w:rPr>
                <w:rFonts w:ascii="Times New Roman" w:hAnsi="Times New Roman"/>
                <w:color w:val="000000"/>
                <w:sz w:val="20"/>
              </w:rPr>
              <w:t>15</w:t>
            </w:r>
          </w:p>
        </w:tc>
        <w:tc>
          <w:tcPr>
            <w:tcW w:w="1000" w:type="dxa"/>
            <w:tcBorders>
              <w:top w:val="nil"/>
              <w:left w:val="nil"/>
              <w:bottom w:val="single" w:sz="8" w:space="0" w:color="auto"/>
              <w:right w:val="single" w:sz="8" w:space="0" w:color="auto"/>
            </w:tcBorders>
            <w:vAlign w:val="center"/>
            <w:hideMark/>
          </w:tcPr>
          <w:p w:rsidR="00760010" w:rsidRPr="00760010" w:rsidP="004F13EE" w14:paraId="61C19C5F" w14:textId="77777777">
            <w:pPr>
              <w:jc w:val="center"/>
              <w:rPr>
                <w:rFonts w:ascii="Times New Roman" w:hAnsi="Times New Roman"/>
                <w:color w:val="000000"/>
                <w:sz w:val="20"/>
              </w:rPr>
            </w:pPr>
            <w:r w:rsidRPr="00760010">
              <w:rPr>
                <w:rFonts w:ascii="Times New Roman" w:hAnsi="Times New Roman"/>
                <w:color w:val="000000"/>
                <w:sz w:val="20"/>
              </w:rPr>
              <w:t>5</w:t>
            </w:r>
          </w:p>
        </w:tc>
        <w:tc>
          <w:tcPr>
            <w:tcW w:w="900" w:type="dxa"/>
            <w:tcBorders>
              <w:top w:val="nil"/>
              <w:left w:val="nil"/>
              <w:bottom w:val="single" w:sz="8" w:space="0" w:color="auto"/>
              <w:right w:val="single" w:sz="8" w:space="0" w:color="auto"/>
            </w:tcBorders>
            <w:vAlign w:val="center"/>
            <w:hideMark/>
          </w:tcPr>
          <w:p w:rsidR="00760010" w:rsidRPr="00760010" w:rsidP="004F13EE" w14:paraId="5B98CA84" w14:textId="77777777">
            <w:pPr>
              <w:jc w:val="center"/>
              <w:rPr>
                <w:rFonts w:ascii="Times New Roman" w:hAnsi="Times New Roman"/>
                <w:color w:val="000000"/>
                <w:sz w:val="20"/>
              </w:rPr>
            </w:pPr>
            <w:r w:rsidRPr="00760010">
              <w:rPr>
                <w:rFonts w:ascii="Times New Roman" w:hAnsi="Times New Roman"/>
                <w:color w:val="000000"/>
                <w:sz w:val="20"/>
              </w:rPr>
              <w:t>50</w:t>
            </w:r>
          </w:p>
        </w:tc>
        <w:tc>
          <w:tcPr>
            <w:tcW w:w="1000" w:type="dxa"/>
            <w:tcBorders>
              <w:top w:val="nil"/>
              <w:left w:val="nil"/>
              <w:bottom w:val="single" w:sz="8" w:space="0" w:color="auto"/>
              <w:right w:val="single" w:sz="8" w:space="0" w:color="auto"/>
            </w:tcBorders>
            <w:vAlign w:val="center"/>
            <w:hideMark/>
          </w:tcPr>
          <w:p w:rsidR="00760010" w:rsidRPr="00760010" w:rsidP="004F13EE" w14:paraId="0F9E1A46" w14:textId="77777777">
            <w:pPr>
              <w:jc w:val="center"/>
              <w:rPr>
                <w:rFonts w:ascii="Times New Roman" w:hAnsi="Times New Roman"/>
                <w:color w:val="000000"/>
                <w:sz w:val="20"/>
              </w:rPr>
            </w:pPr>
            <w:r w:rsidRPr="00760010">
              <w:rPr>
                <w:rFonts w:ascii="Times New Roman" w:hAnsi="Times New Roman"/>
                <w:color w:val="000000"/>
                <w:sz w:val="20"/>
              </w:rPr>
              <w:t>10</w:t>
            </w:r>
          </w:p>
        </w:tc>
        <w:tc>
          <w:tcPr>
            <w:tcW w:w="1000" w:type="dxa"/>
            <w:tcBorders>
              <w:top w:val="nil"/>
              <w:left w:val="nil"/>
              <w:bottom w:val="single" w:sz="8" w:space="0" w:color="auto"/>
              <w:right w:val="single" w:sz="8" w:space="0" w:color="auto"/>
            </w:tcBorders>
            <w:vAlign w:val="center"/>
            <w:hideMark/>
          </w:tcPr>
          <w:p w:rsidR="00760010" w:rsidRPr="00760010" w:rsidP="004F13EE" w14:paraId="3F62AD9F" w14:textId="77777777">
            <w:pPr>
              <w:jc w:val="center"/>
              <w:rPr>
                <w:rFonts w:ascii="Times New Roman" w:hAnsi="Times New Roman"/>
                <w:color w:val="000000"/>
                <w:sz w:val="20"/>
              </w:rPr>
            </w:pPr>
            <w:r w:rsidRPr="00760010">
              <w:rPr>
                <w:rFonts w:ascii="Times New Roman" w:hAnsi="Times New Roman"/>
                <w:color w:val="000000"/>
                <w:sz w:val="20"/>
              </w:rPr>
              <w:t>15</w:t>
            </w:r>
          </w:p>
        </w:tc>
        <w:tc>
          <w:tcPr>
            <w:tcW w:w="900" w:type="dxa"/>
            <w:tcBorders>
              <w:top w:val="nil"/>
              <w:left w:val="nil"/>
              <w:bottom w:val="single" w:sz="8" w:space="0" w:color="auto"/>
              <w:right w:val="single" w:sz="8" w:space="0" w:color="auto"/>
            </w:tcBorders>
            <w:vAlign w:val="center"/>
            <w:hideMark/>
          </w:tcPr>
          <w:p w:rsidR="00760010" w:rsidRPr="00760010" w:rsidP="004F13EE" w14:paraId="47AB7D76" w14:textId="77777777">
            <w:pPr>
              <w:jc w:val="center"/>
              <w:rPr>
                <w:rFonts w:ascii="Times New Roman" w:hAnsi="Times New Roman"/>
                <w:color w:val="000000"/>
                <w:sz w:val="20"/>
              </w:rPr>
            </w:pPr>
            <w:r w:rsidRPr="00760010">
              <w:rPr>
                <w:rFonts w:ascii="Times New Roman" w:hAnsi="Times New Roman"/>
                <w:color w:val="000000"/>
                <w:sz w:val="20"/>
              </w:rPr>
              <w:t>5</w:t>
            </w:r>
          </w:p>
        </w:tc>
        <w:tc>
          <w:tcPr>
            <w:tcW w:w="1400" w:type="dxa"/>
            <w:tcBorders>
              <w:top w:val="nil"/>
              <w:left w:val="nil"/>
              <w:bottom w:val="single" w:sz="8" w:space="0" w:color="auto"/>
              <w:right w:val="single" w:sz="8" w:space="0" w:color="auto"/>
            </w:tcBorders>
            <w:vAlign w:val="center"/>
            <w:hideMark/>
          </w:tcPr>
          <w:p w:rsidR="00760010" w:rsidRPr="00760010" w:rsidP="004F13EE" w14:paraId="18F8E366" w14:textId="77777777">
            <w:pPr>
              <w:ind w:firstLine="200" w:firstLineChars="100"/>
              <w:jc w:val="right"/>
              <w:rPr>
                <w:rFonts w:ascii="Times New Roman" w:hAnsi="Times New Roman"/>
                <w:color w:val="000000"/>
                <w:sz w:val="20"/>
              </w:rPr>
            </w:pPr>
            <w:r w:rsidRPr="00760010">
              <w:rPr>
                <w:rFonts w:ascii="Times New Roman" w:hAnsi="Times New Roman"/>
                <w:color w:val="000000"/>
                <w:sz w:val="20"/>
              </w:rPr>
              <w:t xml:space="preserve">$101.65 </w:t>
            </w:r>
          </w:p>
        </w:tc>
        <w:tc>
          <w:tcPr>
            <w:tcW w:w="222" w:type="dxa"/>
            <w:vAlign w:val="center"/>
            <w:hideMark/>
          </w:tcPr>
          <w:p w:rsidR="00760010" w:rsidRPr="000A4D8B" w:rsidP="004F13EE" w14:paraId="1F387721" w14:textId="77777777">
            <w:pPr>
              <w:rPr>
                <w:rFonts w:ascii="Times New Roman" w:hAnsi="Times New Roman"/>
                <w:sz w:val="20"/>
              </w:rPr>
            </w:pPr>
          </w:p>
        </w:tc>
      </w:tr>
      <w:tr w14:paraId="5B13556B" w14:textId="77777777" w:rsidTr="00C95C1A">
        <w:tblPrEx>
          <w:tblW w:w="11243" w:type="dxa"/>
          <w:tblInd w:w="-820" w:type="dxa"/>
          <w:tblCellMar>
            <w:top w:w="15" w:type="dxa"/>
          </w:tblCellMar>
          <w:tblLook w:val="04A0"/>
        </w:tblPrEx>
        <w:trPr>
          <w:trHeight w:val="300"/>
        </w:trPr>
        <w:tc>
          <w:tcPr>
            <w:tcW w:w="9621" w:type="dxa"/>
            <w:gridSpan w:val="8"/>
            <w:tcBorders>
              <w:top w:val="single" w:sz="8" w:space="0" w:color="auto"/>
              <w:left w:val="single" w:sz="8" w:space="0" w:color="auto"/>
              <w:bottom w:val="nil"/>
              <w:right w:val="single" w:sz="8" w:space="0" w:color="auto"/>
            </w:tcBorders>
            <w:vAlign w:val="center"/>
            <w:hideMark/>
          </w:tcPr>
          <w:p w:rsidR="00760010" w:rsidRPr="00760010" w:rsidP="004F13EE" w14:paraId="0E1E8569" w14:textId="77777777">
            <w:pPr>
              <w:jc w:val="right"/>
              <w:rPr>
                <w:rFonts w:ascii="Times New Roman" w:hAnsi="Times New Roman"/>
                <w:b/>
                <w:bCs/>
                <w:i/>
                <w:iCs/>
                <w:color w:val="000000"/>
                <w:sz w:val="20"/>
              </w:rPr>
            </w:pPr>
            <w:r w:rsidRPr="00760010">
              <w:rPr>
                <w:rFonts w:ascii="Times New Roman" w:hAnsi="Times New Roman"/>
                <w:b/>
                <w:bCs/>
                <w:i/>
                <w:iCs/>
                <w:color w:val="000000"/>
                <w:sz w:val="20"/>
              </w:rPr>
              <w:t>Weighted Average Hourly Compensation Rate:</w:t>
            </w:r>
          </w:p>
        </w:tc>
        <w:tc>
          <w:tcPr>
            <w:tcW w:w="1400" w:type="dxa"/>
            <w:tcBorders>
              <w:top w:val="nil"/>
              <w:left w:val="nil"/>
              <w:bottom w:val="nil"/>
              <w:right w:val="single" w:sz="8" w:space="0" w:color="auto"/>
            </w:tcBorders>
            <w:vAlign w:val="center"/>
            <w:hideMark/>
          </w:tcPr>
          <w:p w:rsidR="00760010" w:rsidRPr="00760010" w:rsidP="004F13EE" w14:paraId="43F0C6FD" w14:textId="77777777">
            <w:pPr>
              <w:ind w:firstLine="200" w:firstLineChars="100"/>
              <w:jc w:val="right"/>
              <w:rPr>
                <w:rFonts w:ascii="Times New Roman" w:hAnsi="Times New Roman"/>
                <w:b/>
                <w:bCs/>
                <w:i/>
                <w:iCs/>
                <w:color w:val="000000"/>
                <w:sz w:val="20"/>
              </w:rPr>
            </w:pPr>
            <w:r w:rsidRPr="00760010">
              <w:rPr>
                <w:rFonts w:ascii="Times New Roman" w:hAnsi="Times New Roman"/>
                <w:b/>
                <w:bCs/>
                <w:i/>
                <w:iCs/>
                <w:color w:val="000000"/>
                <w:sz w:val="20"/>
              </w:rPr>
              <w:t xml:space="preserve">$129.68 </w:t>
            </w:r>
          </w:p>
        </w:tc>
        <w:tc>
          <w:tcPr>
            <w:tcW w:w="222" w:type="dxa"/>
            <w:vAlign w:val="center"/>
            <w:hideMark/>
          </w:tcPr>
          <w:p w:rsidR="00760010" w:rsidRPr="000A4D8B" w:rsidP="004F13EE" w14:paraId="070EBA72" w14:textId="77777777">
            <w:pPr>
              <w:rPr>
                <w:rFonts w:ascii="Times New Roman" w:hAnsi="Times New Roman"/>
                <w:sz w:val="20"/>
              </w:rPr>
            </w:pPr>
          </w:p>
        </w:tc>
      </w:tr>
      <w:tr w14:paraId="65B94340" w14:textId="77777777" w:rsidTr="00C95C1A">
        <w:tblPrEx>
          <w:tblW w:w="11243" w:type="dxa"/>
          <w:tblInd w:w="-820" w:type="dxa"/>
          <w:tblCellMar>
            <w:top w:w="15" w:type="dxa"/>
          </w:tblCellMar>
          <w:tblLook w:val="04A0"/>
        </w:tblPrEx>
        <w:trPr>
          <w:trHeight w:val="252"/>
        </w:trPr>
        <w:tc>
          <w:tcPr>
            <w:tcW w:w="11021" w:type="dxa"/>
            <w:gridSpan w:val="9"/>
            <w:vMerge w:val="restart"/>
            <w:tcBorders>
              <w:top w:val="single" w:sz="8" w:space="0" w:color="auto"/>
              <w:left w:val="single" w:sz="8" w:space="0" w:color="auto"/>
              <w:bottom w:val="nil"/>
              <w:right w:val="single" w:sz="8" w:space="0" w:color="000000"/>
            </w:tcBorders>
            <w:vAlign w:val="center"/>
            <w:hideMark/>
          </w:tcPr>
          <w:p w:rsidR="00760010" w:rsidRPr="00760010" w:rsidP="004F13EE" w14:paraId="0FC0D7F2" w14:textId="77777777">
            <w:pPr>
              <w:rPr>
                <w:rFonts w:ascii="Times New Roman" w:hAnsi="Times New Roman"/>
                <w:color w:val="000000"/>
                <w:sz w:val="20"/>
              </w:rPr>
            </w:pPr>
            <w:r w:rsidRPr="00760010">
              <w:rPr>
                <w:rFonts w:ascii="Times New Roman" w:hAnsi="Times New Roman"/>
                <w:color w:val="000000"/>
                <w:sz w:val="20"/>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September 2025). Standard Occupational Classification (SOC) Codes: Exec. And </w:t>
            </w:r>
            <w:r w:rsidRPr="00760010">
              <w:rPr>
                <w:rFonts w:ascii="Times New Roman" w:hAnsi="Times New Roman"/>
                <w:color w:val="000000"/>
                <w:sz w:val="20"/>
              </w:rPr>
              <w:t>Mgr</w:t>
            </w:r>
            <w:r w:rsidRPr="00760010">
              <w:rPr>
                <w:rFonts w:ascii="Times New Roman" w:hAnsi="Times New Roman"/>
                <w:color w:val="000000"/>
                <w:sz w:val="20"/>
              </w:rPr>
              <w:t xml:space="preserve"> = 11-0000 Management Occupations; Lawyer = 23-0000 Legal Occupations; </w:t>
            </w:r>
            <w:r w:rsidRPr="00760010">
              <w:rPr>
                <w:rFonts w:ascii="Times New Roman" w:hAnsi="Times New Roman"/>
                <w:color w:val="000000"/>
                <w:sz w:val="20"/>
              </w:rPr>
              <w:t>Compl</w:t>
            </w:r>
            <w:r w:rsidRPr="00760010">
              <w:rPr>
                <w:rFonts w:ascii="Times New Roman" w:hAnsi="Times New Roman"/>
                <w:color w:val="000000"/>
                <w:sz w:val="20"/>
              </w:rPr>
              <w:t xml:space="preserve">. Ofc. = 13-1040 Compliance Officers; IT = 15-0000 Computer and Mathematical Occupations; Fin. </w:t>
            </w:r>
            <w:r w:rsidRPr="00760010">
              <w:rPr>
                <w:rFonts w:ascii="Times New Roman" w:hAnsi="Times New Roman"/>
                <w:color w:val="000000"/>
                <w:sz w:val="20"/>
              </w:rPr>
              <w:t>Anlst</w:t>
            </w:r>
            <w:r w:rsidRPr="00760010">
              <w:rPr>
                <w:rFonts w:ascii="Times New Roman" w:hAnsi="Times New Roman"/>
                <w:color w:val="000000"/>
                <w:sz w:val="20"/>
              </w:rPr>
              <w:t xml:space="preserve">. = 13-2051 Financial and Investment Analysts; Clerical = 43-0000 Office and Administrative Support Occupations. </w:t>
            </w:r>
          </w:p>
        </w:tc>
        <w:tc>
          <w:tcPr>
            <w:tcW w:w="222" w:type="dxa"/>
            <w:vAlign w:val="center"/>
            <w:hideMark/>
          </w:tcPr>
          <w:p w:rsidR="00760010" w:rsidRPr="000A4D8B" w:rsidP="004F13EE" w14:paraId="74290BDE" w14:textId="77777777">
            <w:pPr>
              <w:rPr>
                <w:rFonts w:ascii="Times New Roman" w:hAnsi="Times New Roman"/>
                <w:sz w:val="20"/>
              </w:rPr>
            </w:pPr>
          </w:p>
        </w:tc>
      </w:tr>
      <w:tr w14:paraId="085FC721" w14:textId="77777777" w:rsidTr="00C95C1A">
        <w:tblPrEx>
          <w:tblW w:w="11243" w:type="dxa"/>
          <w:tblInd w:w="-820" w:type="dxa"/>
          <w:tblCellMar>
            <w:top w:w="15" w:type="dxa"/>
          </w:tblCellMar>
          <w:tblLook w:val="04A0"/>
        </w:tblPrEx>
        <w:trPr>
          <w:trHeight w:val="288"/>
        </w:trPr>
        <w:tc>
          <w:tcPr>
            <w:tcW w:w="11021" w:type="dxa"/>
            <w:gridSpan w:val="9"/>
            <w:vMerge/>
            <w:tcBorders>
              <w:top w:val="single" w:sz="8" w:space="0" w:color="auto"/>
              <w:left w:val="single" w:sz="8" w:space="0" w:color="auto"/>
              <w:bottom w:val="nil"/>
              <w:right w:val="single" w:sz="8" w:space="0" w:color="000000"/>
            </w:tcBorders>
            <w:vAlign w:val="center"/>
            <w:hideMark/>
          </w:tcPr>
          <w:p w:rsidR="00760010" w:rsidRPr="00760010" w:rsidP="004F13EE" w14:paraId="0F55D4FB" w14:textId="77777777">
            <w:pPr>
              <w:rPr>
                <w:rFonts w:ascii="Times New Roman" w:hAnsi="Times New Roman"/>
                <w:color w:val="000000"/>
                <w:sz w:val="20"/>
              </w:rPr>
            </w:pPr>
          </w:p>
        </w:tc>
        <w:tc>
          <w:tcPr>
            <w:tcW w:w="222" w:type="dxa"/>
            <w:tcBorders>
              <w:top w:val="nil"/>
              <w:left w:val="nil"/>
              <w:bottom w:val="nil"/>
              <w:right w:val="nil"/>
            </w:tcBorders>
            <w:noWrap/>
            <w:vAlign w:val="bottom"/>
            <w:hideMark/>
          </w:tcPr>
          <w:p w:rsidR="00760010" w:rsidRPr="000A4D8B" w:rsidP="004F13EE" w14:paraId="6AD855C8" w14:textId="77777777">
            <w:pPr>
              <w:rPr>
                <w:rFonts w:ascii="Source Sans Pro" w:hAnsi="Source Sans Pro" w:cs="Calibri"/>
                <w:color w:val="000000"/>
                <w:sz w:val="18"/>
                <w:szCs w:val="18"/>
              </w:rPr>
            </w:pPr>
          </w:p>
        </w:tc>
      </w:tr>
      <w:tr w14:paraId="78547418" w14:textId="77777777" w:rsidTr="00C95C1A">
        <w:tblPrEx>
          <w:tblW w:w="11243" w:type="dxa"/>
          <w:tblInd w:w="-820" w:type="dxa"/>
          <w:tblCellMar>
            <w:top w:w="15" w:type="dxa"/>
          </w:tblCellMar>
          <w:tblLook w:val="04A0"/>
        </w:tblPrEx>
        <w:trPr>
          <w:trHeight w:val="288"/>
        </w:trPr>
        <w:tc>
          <w:tcPr>
            <w:tcW w:w="11021" w:type="dxa"/>
            <w:gridSpan w:val="9"/>
            <w:vMerge/>
            <w:tcBorders>
              <w:top w:val="single" w:sz="8" w:space="0" w:color="auto"/>
              <w:left w:val="single" w:sz="8" w:space="0" w:color="auto"/>
              <w:bottom w:val="nil"/>
              <w:right w:val="single" w:sz="8" w:space="0" w:color="000000"/>
            </w:tcBorders>
            <w:vAlign w:val="center"/>
            <w:hideMark/>
          </w:tcPr>
          <w:p w:rsidR="00760010" w:rsidRPr="00760010" w:rsidP="004F13EE" w14:paraId="5D66FF00" w14:textId="77777777">
            <w:pPr>
              <w:rPr>
                <w:rFonts w:ascii="Times New Roman" w:hAnsi="Times New Roman"/>
                <w:color w:val="000000"/>
                <w:sz w:val="20"/>
              </w:rPr>
            </w:pPr>
          </w:p>
        </w:tc>
        <w:tc>
          <w:tcPr>
            <w:tcW w:w="222" w:type="dxa"/>
            <w:tcBorders>
              <w:top w:val="nil"/>
              <w:left w:val="nil"/>
              <w:bottom w:val="nil"/>
              <w:right w:val="nil"/>
            </w:tcBorders>
            <w:noWrap/>
            <w:vAlign w:val="bottom"/>
            <w:hideMark/>
          </w:tcPr>
          <w:p w:rsidR="00760010" w:rsidRPr="000A4D8B" w:rsidP="004F13EE" w14:paraId="53517DD0" w14:textId="77777777">
            <w:pPr>
              <w:rPr>
                <w:rFonts w:ascii="Times New Roman" w:hAnsi="Times New Roman"/>
                <w:sz w:val="20"/>
              </w:rPr>
            </w:pPr>
          </w:p>
        </w:tc>
      </w:tr>
      <w:tr w14:paraId="73A66AC3" w14:textId="77777777" w:rsidTr="00C95C1A">
        <w:tblPrEx>
          <w:tblW w:w="11243" w:type="dxa"/>
          <w:tblInd w:w="-820" w:type="dxa"/>
          <w:tblCellMar>
            <w:top w:w="15" w:type="dxa"/>
          </w:tblCellMar>
          <w:tblLook w:val="04A0"/>
        </w:tblPrEx>
        <w:trPr>
          <w:trHeight w:val="312"/>
        </w:trPr>
        <w:tc>
          <w:tcPr>
            <w:tcW w:w="11021" w:type="dxa"/>
            <w:gridSpan w:val="9"/>
            <w:vMerge/>
            <w:tcBorders>
              <w:top w:val="single" w:sz="8" w:space="0" w:color="auto"/>
              <w:left w:val="single" w:sz="8" w:space="0" w:color="auto"/>
              <w:bottom w:val="nil"/>
              <w:right w:val="single" w:sz="8" w:space="0" w:color="000000"/>
            </w:tcBorders>
            <w:vAlign w:val="center"/>
            <w:hideMark/>
          </w:tcPr>
          <w:p w:rsidR="00760010" w:rsidRPr="00760010" w:rsidP="004F13EE" w14:paraId="5AF6AD42" w14:textId="77777777">
            <w:pPr>
              <w:rPr>
                <w:rFonts w:ascii="Times New Roman" w:hAnsi="Times New Roman"/>
                <w:color w:val="000000"/>
                <w:sz w:val="20"/>
              </w:rPr>
            </w:pPr>
          </w:p>
        </w:tc>
        <w:tc>
          <w:tcPr>
            <w:tcW w:w="222" w:type="dxa"/>
            <w:tcBorders>
              <w:top w:val="nil"/>
              <w:left w:val="nil"/>
              <w:bottom w:val="nil"/>
              <w:right w:val="nil"/>
            </w:tcBorders>
            <w:noWrap/>
            <w:vAlign w:val="bottom"/>
            <w:hideMark/>
          </w:tcPr>
          <w:p w:rsidR="00760010" w:rsidRPr="000A4D8B" w:rsidP="004F13EE" w14:paraId="4461B696" w14:textId="77777777">
            <w:pPr>
              <w:rPr>
                <w:rFonts w:ascii="Times New Roman" w:hAnsi="Times New Roman"/>
                <w:sz w:val="20"/>
              </w:rPr>
            </w:pPr>
          </w:p>
        </w:tc>
      </w:tr>
      <w:tr w14:paraId="0CB61AA8" w14:textId="77777777" w:rsidTr="00C95C1A">
        <w:tblPrEx>
          <w:tblW w:w="11243" w:type="dxa"/>
          <w:tblInd w:w="-820" w:type="dxa"/>
          <w:tblCellMar>
            <w:top w:w="15" w:type="dxa"/>
          </w:tblCellMar>
          <w:tblLook w:val="04A0"/>
        </w:tblPrEx>
        <w:trPr>
          <w:trHeight w:val="408"/>
        </w:trPr>
        <w:tc>
          <w:tcPr>
            <w:tcW w:w="11021" w:type="dxa"/>
            <w:gridSpan w:val="9"/>
            <w:vMerge w:val="restart"/>
            <w:tcBorders>
              <w:top w:val="nil"/>
              <w:left w:val="single" w:sz="8" w:space="0" w:color="auto"/>
              <w:bottom w:val="single" w:sz="8" w:space="0" w:color="auto"/>
              <w:right w:val="single" w:sz="8" w:space="0" w:color="auto"/>
            </w:tcBorders>
            <w:vAlign w:val="center"/>
            <w:hideMark/>
          </w:tcPr>
          <w:p w:rsidR="00760010" w:rsidRPr="00760010" w:rsidP="004F13EE" w14:paraId="525AA59D" w14:textId="77777777">
            <w:pPr>
              <w:rPr>
                <w:rFonts w:ascii="Times New Roman" w:hAnsi="Times New Roman"/>
                <w:color w:val="000000"/>
                <w:sz w:val="20"/>
              </w:rPr>
            </w:pPr>
            <w:r w:rsidRPr="00760010">
              <w:rPr>
                <w:rFonts w:ascii="Times New Roman" w:hAnsi="Times New Roman"/>
                <w:color w:val="000000"/>
                <w:sz w:val="20"/>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22" w:type="dxa"/>
            <w:vAlign w:val="center"/>
            <w:hideMark/>
          </w:tcPr>
          <w:p w:rsidR="00760010" w:rsidRPr="000A4D8B" w:rsidP="004F13EE" w14:paraId="7A904BBA" w14:textId="77777777">
            <w:pPr>
              <w:rPr>
                <w:rFonts w:ascii="Times New Roman" w:hAnsi="Times New Roman"/>
                <w:sz w:val="20"/>
              </w:rPr>
            </w:pPr>
          </w:p>
        </w:tc>
      </w:tr>
      <w:tr w14:paraId="4D934A51" w14:textId="77777777" w:rsidTr="00C95C1A">
        <w:tblPrEx>
          <w:tblW w:w="11243" w:type="dxa"/>
          <w:tblInd w:w="-820" w:type="dxa"/>
          <w:tblCellMar>
            <w:top w:w="15" w:type="dxa"/>
          </w:tblCellMar>
          <w:tblLook w:val="04A0"/>
        </w:tblPrEx>
        <w:trPr>
          <w:trHeight w:val="288"/>
        </w:trPr>
        <w:tc>
          <w:tcPr>
            <w:tcW w:w="11021" w:type="dxa"/>
            <w:gridSpan w:val="9"/>
            <w:vMerge/>
            <w:tcBorders>
              <w:top w:val="nil"/>
              <w:left w:val="single" w:sz="8" w:space="0" w:color="auto"/>
              <w:bottom w:val="single" w:sz="8" w:space="0" w:color="auto"/>
              <w:right w:val="single" w:sz="8" w:space="0" w:color="auto"/>
            </w:tcBorders>
            <w:vAlign w:val="center"/>
            <w:hideMark/>
          </w:tcPr>
          <w:p w:rsidR="00760010" w:rsidRPr="000A4D8B" w:rsidP="004F13EE" w14:paraId="41294AB7"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760010" w:rsidRPr="000A4D8B" w:rsidP="004F13EE" w14:paraId="68242459" w14:textId="77777777">
            <w:pPr>
              <w:rPr>
                <w:rFonts w:ascii="Source Sans Pro" w:hAnsi="Source Sans Pro" w:cs="Calibri"/>
                <w:color w:val="000000"/>
                <w:sz w:val="18"/>
                <w:szCs w:val="18"/>
              </w:rPr>
            </w:pPr>
          </w:p>
        </w:tc>
      </w:tr>
      <w:tr w14:paraId="3605A116" w14:textId="77777777" w:rsidTr="00C95C1A">
        <w:tblPrEx>
          <w:tblW w:w="11243" w:type="dxa"/>
          <w:tblInd w:w="-820" w:type="dxa"/>
          <w:tblCellMar>
            <w:top w:w="15" w:type="dxa"/>
          </w:tblCellMar>
          <w:tblLook w:val="04A0"/>
        </w:tblPrEx>
        <w:trPr>
          <w:trHeight w:val="288"/>
        </w:trPr>
        <w:tc>
          <w:tcPr>
            <w:tcW w:w="11021" w:type="dxa"/>
            <w:gridSpan w:val="9"/>
            <w:vMerge/>
            <w:tcBorders>
              <w:top w:val="nil"/>
              <w:left w:val="single" w:sz="8" w:space="0" w:color="auto"/>
              <w:bottom w:val="single" w:sz="8" w:space="0" w:color="auto"/>
              <w:right w:val="single" w:sz="8" w:space="0" w:color="auto"/>
            </w:tcBorders>
            <w:vAlign w:val="center"/>
            <w:hideMark/>
          </w:tcPr>
          <w:p w:rsidR="00760010" w:rsidRPr="000A4D8B" w:rsidP="004F13EE" w14:paraId="2696D30E"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760010" w:rsidRPr="000A4D8B" w:rsidP="004F13EE" w14:paraId="032B7A76" w14:textId="77777777">
            <w:pPr>
              <w:rPr>
                <w:rFonts w:ascii="Times New Roman" w:hAnsi="Times New Roman"/>
                <w:sz w:val="20"/>
              </w:rPr>
            </w:pPr>
          </w:p>
        </w:tc>
      </w:tr>
      <w:tr w14:paraId="518C7581" w14:textId="77777777" w:rsidTr="00C95C1A">
        <w:tblPrEx>
          <w:tblW w:w="11243" w:type="dxa"/>
          <w:tblInd w:w="-820" w:type="dxa"/>
          <w:tblCellMar>
            <w:top w:w="15" w:type="dxa"/>
          </w:tblCellMar>
          <w:tblLook w:val="04A0"/>
        </w:tblPrEx>
        <w:trPr>
          <w:trHeight w:val="300"/>
        </w:trPr>
        <w:tc>
          <w:tcPr>
            <w:tcW w:w="11021" w:type="dxa"/>
            <w:gridSpan w:val="9"/>
            <w:vMerge/>
            <w:tcBorders>
              <w:top w:val="nil"/>
              <w:left w:val="single" w:sz="8" w:space="0" w:color="auto"/>
              <w:bottom w:val="single" w:sz="8" w:space="0" w:color="auto"/>
              <w:right w:val="single" w:sz="8" w:space="0" w:color="auto"/>
            </w:tcBorders>
            <w:vAlign w:val="center"/>
            <w:hideMark/>
          </w:tcPr>
          <w:p w:rsidR="00760010" w:rsidRPr="000A4D8B" w:rsidP="004F13EE" w14:paraId="1101A6E2"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760010" w:rsidRPr="000A4D8B" w:rsidP="004F13EE" w14:paraId="076BE713" w14:textId="77777777">
            <w:pPr>
              <w:rPr>
                <w:rFonts w:ascii="Times New Roman" w:hAnsi="Times New Roman"/>
                <w:sz w:val="20"/>
              </w:rPr>
            </w:pPr>
          </w:p>
        </w:tc>
      </w:tr>
    </w:tbl>
    <w:p w:rsidR="00760010" w:rsidP="00C62693" w14:paraId="396CDAE6" w14:textId="77777777">
      <w:pPr>
        <w:jc w:val="center"/>
        <w:rPr>
          <w:rFonts w:ascii="Times New Roman" w:hAnsi="Times New Roman"/>
          <w:color w:val="FF0000"/>
          <w:szCs w:val="24"/>
        </w:rPr>
      </w:pPr>
    </w:p>
    <w:p w:rsidR="00C95C1A" w:rsidP="00C62693" w14:paraId="445CA09E" w14:textId="77777777">
      <w:pPr>
        <w:jc w:val="center"/>
        <w:rPr>
          <w:rFonts w:ascii="Times New Roman" w:hAnsi="Times New Roman"/>
          <w:color w:val="FF0000"/>
          <w:szCs w:val="24"/>
        </w:rPr>
      </w:pPr>
    </w:p>
    <w:p w:rsidR="00C95C1A" w:rsidP="00C62693" w14:paraId="51D4459E" w14:textId="77777777">
      <w:pPr>
        <w:jc w:val="center"/>
        <w:rPr>
          <w:rFonts w:ascii="Times New Roman" w:hAnsi="Times New Roman"/>
          <w:color w:val="FF0000"/>
          <w:szCs w:val="24"/>
        </w:rPr>
      </w:pPr>
    </w:p>
    <w:p w:rsidR="00C95C1A" w:rsidP="00C62693" w14:paraId="54C9904A" w14:textId="77777777">
      <w:pPr>
        <w:jc w:val="center"/>
        <w:rPr>
          <w:rFonts w:ascii="Times New Roman" w:hAnsi="Times New Roman"/>
          <w:color w:val="FF0000"/>
          <w:szCs w:val="24"/>
        </w:rPr>
      </w:pPr>
    </w:p>
    <w:p w:rsidR="00C95C1A" w:rsidP="00C62693" w14:paraId="5237E8F0" w14:textId="77777777">
      <w:pPr>
        <w:jc w:val="center"/>
        <w:rPr>
          <w:rFonts w:ascii="Times New Roman" w:hAnsi="Times New Roman"/>
          <w:color w:val="FF0000"/>
          <w:szCs w:val="24"/>
        </w:rPr>
      </w:pPr>
    </w:p>
    <w:p w:rsidR="00C95C1A" w:rsidP="00C62693" w14:paraId="2927BA42" w14:textId="77777777">
      <w:pPr>
        <w:jc w:val="center"/>
        <w:rPr>
          <w:rFonts w:ascii="Times New Roman" w:hAnsi="Times New Roman"/>
          <w:color w:val="FF0000"/>
          <w:szCs w:val="24"/>
        </w:rPr>
      </w:pPr>
    </w:p>
    <w:p w:rsidR="00C95C1A" w:rsidP="00C62693" w14:paraId="38B8A7DF" w14:textId="77777777">
      <w:pPr>
        <w:jc w:val="center"/>
        <w:rPr>
          <w:rFonts w:ascii="Times New Roman" w:hAnsi="Times New Roman"/>
          <w:color w:val="FF0000"/>
          <w:szCs w:val="24"/>
        </w:rPr>
      </w:pPr>
    </w:p>
    <w:p w:rsidR="00C95C1A" w:rsidP="00C62693" w14:paraId="4DE1954C" w14:textId="77777777">
      <w:pPr>
        <w:jc w:val="center"/>
        <w:rPr>
          <w:rFonts w:ascii="Times New Roman" w:hAnsi="Times New Roman"/>
          <w:color w:val="FF0000"/>
          <w:szCs w:val="24"/>
        </w:rPr>
      </w:pPr>
    </w:p>
    <w:p w:rsidR="00C95C1A" w:rsidP="00C62693" w14:paraId="6AF91257" w14:textId="77777777">
      <w:pPr>
        <w:jc w:val="center"/>
        <w:rPr>
          <w:rFonts w:ascii="Times New Roman" w:hAnsi="Times New Roman"/>
          <w:color w:val="FF0000"/>
          <w:szCs w:val="24"/>
        </w:rPr>
      </w:pPr>
    </w:p>
    <w:tbl>
      <w:tblPr>
        <w:tblpPr w:leftFromText="180" w:rightFromText="180" w:vertAnchor="text" w:horzAnchor="margin" w:tblpXSpec="center" w:tblpY="193"/>
        <w:tblW w:w="9792" w:type="dxa"/>
        <w:tblLook w:val="04A0"/>
      </w:tblPr>
      <w:tblGrid>
        <w:gridCol w:w="1393"/>
        <w:gridCol w:w="4807"/>
        <w:gridCol w:w="2160"/>
        <w:gridCol w:w="2700"/>
      </w:tblGrid>
      <w:tr w14:paraId="476FCBA2" w14:textId="77777777" w:rsidTr="00C95C1A">
        <w:tblPrEx>
          <w:tblW w:w="9792" w:type="dxa"/>
          <w:tblLook w:val="04A0"/>
        </w:tblPrEx>
        <w:trPr>
          <w:trHeight w:val="360"/>
        </w:trPr>
        <w:tc>
          <w:tcPr>
            <w:tcW w:w="11060" w:type="dxa"/>
            <w:gridSpan w:val="4"/>
            <w:tcBorders>
              <w:top w:val="single" w:sz="8" w:space="0" w:color="auto"/>
              <w:left w:val="single" w:sz="8" w:space="0" w:color="auto"/>
              <w:bottom w:val="single" w:sz="8" w:space="0" w:color="auto"/>
              <w:right w:val="single" w:sz="8" w:space="0" w:color="000000"/>
            </w:tcBorders>
            <w:noWrap/>
            <w:vAlign w:val="center"/>
            <w:hideMark/>
          </w:tcPr>
          <w:p w:rsidR="00544F43" w:rsidRPr="00C95C1A" w:rsidP="004F13EE" w14:paraId="233F1E08" w14:textId="77777777">
            <w:pPr>
              <w:jc w:val="center"/>
              <w:rPr>
                <w:rFonts w:ascii="Times New Roman" w:hAnsi="Times New Roman"/>
                <w:color w:val="000000"/>
                <w:sz w:val="20"/>
              </w:rPr>
            </w:pPr>
            <w:r w:rsidRPr="00C95C1A">
              <w:rPr>
                <w:rFonts w:ascii="Times New Roman" w:hAnsi="Times New Roman"/>
                <w:color w:val="000000"/>
                <w:sz w:val="20"/>
              </w:rPr>
              <w:t>Table 3. Total Estimated Cost Burden (OMB No. 3064-NEW)</w:t>
            </w:r>
          </w:p>
        </w:tc>
      </w:tr>
      <w:tr w14:paraId="129186BF" w14:textId="77777777" w:rsidTr="00C95C1A">
        <w:tblPrEx>
          <w:tblW w:w="9792" w:type="dxa"/>
          <w:tblLook w:val="04A0"/>
        </w:tblPrEx>
        <w:trPr>
          <w:trHeight w:val="600"/>
        </w:trPr>
        <w:tc>
          <w:tcPr>
            <w:tcW w:w="1393" w:type="dxa"/>
            <w:tcBorders>
              <w:top w:val="nil"/>
              <w:left w:val="single" w:sz="8" w:space="0" w:color="auto"/>
              <w:bottom w:val="single" w:sz="8" w:space="0" w:color="auto"/>
              <w:right w:val="single" w:sz="8" w:space="0" w:color="auto"/>
            </w:tcBorders>
            <w:vAlign w:val="center"/>
            <w:hideMark/>
          </w:tcPr>
          <w:p w:rsidR="00544F43" w:rsidRPr="00307921" w:rsidP="004F13EE" w14:paraId="26E3DE92" w14:textId="77777777">
            <w:pPr>
              <w:rPr>
                <w:rFonts w:ascii="Source Sans Pro" w:hAnsi="Source Sans Pro" w:cs="Calibri"/>
                <w:color w:val="000000"/>
                <w:sz w:val="20"/>
              </w:rPr>
            </w:pPr>
            <w:r w:rsidRPr="00307921">
              <w:rPr>
                <w:rFonts w:ascii="Source Sans Pro" w:hAnsi="Source Sans Pro" w:cs="Calibri"/>
                <w:color w:val="000000"/>
                <w:sz w:val="20"/>
              </w:rPr>
              <w:t>Information Collection Request</w:t>
            </w:r>
          </w:p>
        </w:tc>
        <w:tc>
          <w:tcPr>
            <w:tcW w:w="4807" w:type="dxa"/>
            <w:tcBorders>
              <w:top w:val="nil"/>
              <w:left w:val="nil"/>
              <w:bottom w:val="single" w:sz="8" w:space="0" w:color="auto"/>
              <w:right w:val="single" w:sz="8" w:space="0" w:color="auto"/>
            </w:tcBorders>
            <w:vAlign w:val="center"/>
            <w:hideMark/>
          </w:tcPr>
          <w:p w:rsidR="00544F43" w:rsidRPr="00C95C1A" w:rsidP="004F13EE" w14:paraId="0EDE3CEA" w14:textId="77777777">
            <w:pPr>
              <w:jc w:val="center"/>
              <w:rPr>
                <w:rFonts w:ascii="Times New Roman" w:hAnsi="Times New Roman"/>
                <w:color w:val="000000"/>
                <w:sz w:val="20"/>
              </w:rPr>
            </w:pPr>
            <w:r w:rsidRPr="00C95C1A">
              <w:rPr>
                <w:rFonts w:ascii="Times New Roman" w:hAnsi="Times New Roman"/>
                <w:color w:val="000000"/>
                <w:sz w:val="20"/>
              </w:rPr>
              <w:t>Annual Burden (Hours)</w:t>
            </w:r>
          </w:p>
        </w:tc>
        <w:tc>
          <w:tcPr>
            <w:tcW w:w="2160" w:type="dxa"/>
            <w:tcBorders>
              <w:top w:val="nil"/>
              <w:left w:val="nil"/>
              <w:bottom w:val="single" w:sz="8" w:space="0" w:color="auto"/>
              <w:right w:val="single" w:sz="8" w:space="0" w:color="auto"/>
            </w:tcBorders>
            <w:vAlign w:val="center"/>
            <w:hideMark/>
          </w:tcPr>
          <w:p w:rsidR="00544F43" w:rsidRPr="00C95C1A" w:rsidP="004F13EE" w14:paraId="7ED3A77C" w14:textId="77777777">
            <w:pPr>
              <w:jc w:val="center"/>
              <w:rPr>
                <w:rFonts w:ascii="Times New Roman" w:hAnsi="Times New Roman"/>
                <w:color w:val="000000"/>
                <w:sz w:val="20"/>
              </w:rPr>
            </w:pPr>
            <w:r w:rsidRPr="00C95C1A">
              <w:rPr>
                <w:rFonts w:ascii="Times New Roman" w:hAnsi="Times New Roman"/>
                <w:color w:val="000000"/>
                <w:sz w:val="20"/>
              </w:rPr>
              <w:t>Weighted Average Hourly Compensation Rate</w:t>
            </w:r>
          </w:p>
        </w:tc>
        <w:tc>
          <w:tcPr>
            <w:tcW w:w="2700" w:type="dxa"/>
            <w:tcBorders>
              <w:top w:val="nil"/>
              <w:left w:val="nil"/>
              <w:bottom w:val="single" w:sz="8" w:space="0" w:color="auto"/>
              <w:right w:val="single" w:sz="8" w:space="0" w:color="auto"/>
            </w:tcBorders>
            <w:vAlign w:val="center"/>
            <w:hideMark/>
          </w:tcPr>
          <w:p w:rsidR="00544F43" w:rsidRPr="00C95C1A" w:rsidP="004F13EE" w14:paraId="18CD2F05" w14:textId="77777777">
            <w:pPr>
              <w:jc w:val="center"/>
              <w:rPr>
                <w:rFonts w:ascii="Times New Roman" w:hAnsi="Times New Roman"/>
                <w:color w:val="000000"/>
                <w:sz w:val="20"/>
              </w:rPr>
            </w:pPr>
            <w:r w:rsidRPr="00C95C1A">
              <w:rPr>
                <w:rFonts w:ascii="Times New Roman" w:hAnsi="Times New Roman"/>
                <w:color w:val="000000"/>
                <w:sz w:val="20"/>
              </w:rPr>
              <w:t>Annual Respondent Cost</w:t>
            </w:r>
          </w:p>
        </w:tc>
      </w:tr>
      <w:tr w14:paraId="5F5A57C4" w14:textId="77777777" w:rsidTr="00C95C1A">
        <w:tblPrEx>
          <w:tblW w:w="9792" w:type="dxa"/>
          <w:tblLook w:val="04A0"/>
        </w:tblPrEx>
        <w:trPr>
          <w:trHeight w:val="1392"/>
        </w:trPr>
        <w:tc>
          <w:tcPr>
            <w:tcW w:w="1393" w:type="dxa"/>
            <w:tcBorders>
              <w:top w:val="nil"/>
              <w:left w:val="single" w:sz="8" w:space="0" w:color="auto"/>
              <w:bottom w:val="single" w:sz="8" w:space="0" w:color="auto"/>
              <w:right w:val="single" w:sz="8" w:space="0" w:color="auto"/>
            </w:tcBorders>
            <w:vAlign w:val="center"/>
            <w:hideMark/>
          </w:tcPr>
          <w:p w:rsidR="00544F43" w:rsidRPr="00307921" w:rsidP="004F13EE" w14:paraId="73EAFC24" w14:textId="77777777">
            <w:pPr>
              <w:rPr>
                <w:rFonts w:ascii="Source Sans Pro" w:hAnsi="Source Sans Pro" w:cs="Calibri"/>
                <w:color w:val="000000"/>
                <w:sz w:val="20"/>
              </w:rPr>
            </w:pPr>
            <w:r w:rsidRPr="00307921">
              <w:rPr>
                <w:rFonts w:ascii="Source Sans Pro" w:hAnsi="Source Sans Pro" w:cs="Calibri"/>
                <w:color w:val="000000"/>
                <w:sz w:val="20"/>
              </w:rPr>
              <w:t>AML/CFT and Sanctions Requirements for FDIC-Supervised Permitted Payment Stablecoin Issuers</w:t>
            </w:r>
          </w:p>
        </w:tc>
        <w:tc>
          <w:tcPr>
            <w:tcW w:w="4807" w:type="dxa"/>
            <w:tcBorders>
              <w:top w:val="nil"/>
              <w:left w:val="nil"/>
              <w:bottom w:val="single" w:sz="8" w:space="0" w:color="auto"/>
              <w:right w:val="single" w:sz="8" w:space="0" w:color="auto"/>
            </w:tcBorders>
            <w:noWrap/>
            <w:vAlign w:val="center"/>
            <w:hideMark/>
          </w:tcPr>
          <w:p w:rsidR="00544F43" w:rsidRPr="00C95C1A" w:rsidP="004F13EE" w14:paraId="18D7D81B" w14:textId="77777777">
            <w:pPr>
              <w:ind w:firstLine="400" w:firstLineChars="200"/>
              <w:jc w:val="right"/>
              <w:rPr>
                <w:rFonts w:ascii="Times New Roman" w:hAnsi="Times New Roman"/>
                <w:color w:val="000000"/>
                <w:sz w:val="20"/>
              </w:rPr>
            </w:pPr>
            <w:r w:rsidRPr="00C95C1A">
              <w:rPr>
                <w:rFonts w:ascii="Times New Roman" w:hAnsi="Times New Roman"/>
                <w:color w:val="000000"/>
                <w:sz w:val="20"/>
              </w:rPr>
              <w:t xml:space="preserve">                                                  600 </w:t>
            </w:r>
          </w:p>
        </w:tc>
        <w:tc>
          <w:tcPr>
            <w:tcW w:w="2160" w:type="dxa"/>
            <w:tcBorders>
              <w:top w:val="nil"/>
              <w:left w:val="nil"/>
              <w:bottom w:val="single" w:sz="8" w:space="0" w:color="auto"/>
              <w:right w:val="single" w:sz="8" w:space="0" w:color="auto"/>
            </w:tcBorders>
            <w:noWrap/>
            <w:vAlign w:val="center"/>
            <w:hideMark/>
          </w:tcPr>
          <w:p w:rsidR="00544F43" w:rsidRPr="00C95C1A" w:rsidP="004F13EE" w14:paraId="2B8A545C" w14:textId="77777777">
            <w:pPr>
              <w:ind w:firstLine="200" w:firstLineChars="100"/>
              <w:jc w:val="right"/>
              <w:rPr>
                <w:rFonts w:ascii="Times New Roman" w:hAnsi="Times New Roman"/>
                <w:color w:val="000000"/>
                <w:sz w:val="20"/>
              </w:rPr>
            </w:pPr>
            <w:r w:rsidRPr="00C95C1A">
              <w:rPr>
                <w:rFonts w:ascii="Times New Roman" w:hAnsi="Times New Roman"/>
                <w:color w:val="000000"/>
                <w:sz w:val="20"/>
              </w:rPr>
              <w:t>$129.68</w:t>
            </w:r>
          </w:p>
        </w:tc>
        <w:tc>
          <w:tcPr>
            <w:tcW w:w="2700" w:type="dxa"/>
            <w:tcBorders>
              <w:top w:val="nil"/>
              <w:left w:val="nil"/>
              <w:bottom w:val="single" w:sz="8" w:space="0" w:color="auto"/>
              <w:right w:val="single" w:sz="8" w:space="0" w:color="auto"/>
            </w:tcBorders>
            <w:noWrap/>
            <w:vAlign w:val="center"/>
            <w:hideMark/>
          </w:tcPr>
          <w:p w:rsidR="00544F43" w:rsidRPr="00C95C1A" w:rsidP="004F13EE" w14:paraId="74D30B03" w14:textId="77777777">
            <w:pPr>
              <w:ind w:firstLine="200" w:firstLineChars="100"/>
              <w:jc w:val="right"/>
              <w:rPr>
                <w:rFonts w:ascii="Times New Roman" w:hAnsi="Times New Roman"/>
                <w:color w:val="000000"/>
                <w:sz w:val="20"/>
              </w:rPr>
            </w:pPr>
            <w:r w:rsidRPr="00C95C1A">
              <w:rPr>
                <w:rFonts w:ascii="Times New Roman" w:hAnsi="Times New Roman"/>
                <w:color w:val="000000"/>
                <w:sz w:val="20"/>
              </w:rPr>
              <w:t>$77,808</w:t>
            </w:r>
          </w:p>
        </w:tc>
      </w:tr>
      <w:tr w14:paraId="72CC912C" w14:textId="77777777" w:rsidTr="00C95C1A">
        <w:tblPrEx>
          <w:tblW w:w="9792" w:type="dxa"/>
          <w:tblLook w:val="04A0"/>
        </w:tblPrEx>
        <w:trPr>
          <w:trHeight w:val="360"/>
        </w:trPr>
        <w:tc>
          <w:tcPr>
            <w:tcW w:w="836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544F43" w:rsidRPr="00C95C1A" w:rsidP="004F13EE" w14:paraId="27E5E6C7" w14:textId="77777777">
            <w:pPr>
              <w:jc w:val="right"/>
              <w:rPr>
                <w:rFonts w:ascii="Times New Roman" w:hAnsi="Times New Roman"/>
                <w:b/>
                <w:bCs/>
                <w:i/>
                <w:iCs/>
                <w:color w:val="000000"/>
                <w:sz w:val="20"/>
              </w:rPr>
            </w:pPr>
            <w:r w:rsidRPr="00C95C1A">
              <w:rPr>
                <w:rFonts w:ascii="Times New Roman" w:hAnsi="Times New Roman"/>
                <w:b/>
                <w:bCs/>
                <w:i/>
                <w:iCs/>
                <w:color w:val="000000"/>
                <w:sz w:val="20"/>
              </w:rPr>
              <w:t>Total Annual Respondent Cost:</w:t>
            </w:r>
          </w:p>
        </w:tc>
        <w:tc>
          <w:tcPr>
            <w:tcW w:w="2700" w:type="dxa"/>
            <w:tcBorders>
              <w:top w:val="nil"/>
              <w:left w:val="nil"/>
              <w:bottom w:val="single" w:sz="8" w:space="0" w:color="auto"/>
              <w:right w:val="single" w:sz="8" w:space="0" w:color="auto"/>
            </w:tcBorders>
            <w:shd w:val="clear" w:color="000000" w:fill="FFFFFF"/>
            <w:vAlign w:val="center"/>
            <w:hideMark/>
          </w:tcPr>
          <w:p w:rsidR="00544F43" w:rsidRPr="00C95C1A" w:rsidP="004F13EE" w14:paraId="39D31B56" w14:textId="77777777">
            <w:pPr>
              <w:ind w:firstLine="200" w:firstLineChars="100"/>
              <w:jc w:val="right"/>
              <w:rPr>
                <w:rFonts w:ascii="Times New Roman" w:hAnsi="Times New Roman"/>
                <w:b/>
                <w:bCs/>
                <w:i/>
                <w:iCs/>
                <w:color w:val="000000"/>
                <w:sz w:val="20"/>
              </w:rPr>
            </w:pPr>
            <w:r w:rsidRPr="00C95C1A">
              <w:rPr>
                <w:rFonts w:ascii="Times New Roman" w:hAnsi="Times New Roman"/>
                <w:b/>
                <w:bCs/>
                <w:i/>
                <w:iCs/>
                <w:color w:val="000000"/>
                <w:sz w:val="20"/>
              </w:rPr>
              <w:t xml:space="preserve">$77,808 </w:t>
            </w:r>
          </w:p>
        </w:tc>
      </w:tr>
      <w:tr w14:paraId="33392B14" w14:textId="77777777" w:rsidTr="00C95C1A">
        <w:tblPrEx>
          <w:tblW w:w="9792" w:type="dxa"/>
          <w:tblLook w:val="04A0"/>
        </w:tblPrEx>
        <w:trPr>
          <w:trHeight w:val="1140"/>
        </w:trPr>
        <w:tc>
          <w:tcPr>
            <w:tcW w:w="11060" w:type="dxa"/>
            <w:gridSpan w:val="4"/>
            <w:tcBorders>
              <w:top w:val="single" w:sz="8" w:space="0" w:color="auto"/>
              <w:left w:val="single" w:sz="8" w:space="0" w:color="auto"/>
              <w:bottom w:val="single" w:sz="8" w:space="0" w:color="auto"/>
              <w:right w:val="single" w:sz="8" w:space="0" w:color="000000"/>
            </w:tcBorders>
            <w:noWrap/>
            <w:hideMark/>
          </w:tcPr>
          <w:p w:rsidR="00544F43" w:rsidRPr="00C95C1A" w:rsidP="004F13EE" w14:paraId="2CEA4A82" w14:textId="77777777">
            <w:pPr>
              <w:rPr>
                <w:rFonts w:ascii="Times New Roman" w:hAnsi="Times New Roman"/>
                <w:color w:val="000000"/>
                <w:sz w:val="20"/>
              </w:rPr>
            </w:pPr>
            <w:r w:rsidRPr="00C95C1A">
              <w:rPr>
                <w:rFonts w:ascii="Times New Roman" w:hAnsi="Times New Roman"/>
                <w:color w:val="000000"/>
                <w:sz w:val="20"/>
              </w:rPr>
              <w:t>Source: FDIC.</w:t>
            </w:r>
          </w:p>
        </w:tc>
      </w:tr>
    </w:tbl>
    <w:p w:rsidR="007921D2" w:rsidRPr="00BA378E" w:rsidP="007921D2" w14:paraId="55ED6218" w14:textId="77777777">
      <w:pPr>
        <w:rPr>
          <w:rFonts w:ascii="Times New Roman" w:hAnsi="Times New Roman"/>
          <w:szCs w:val="24"/>
        </w:rPr>
      </w:pPr>
    </w:p>
    <w:p w:rsidR="007921D2" w:rsidRPr="00BA378E" w:rsidP="007921D2" w14:paraId="0ED919C0" w14:textId="77777777">
      <w:pPr>
        <w:numPr>
          <w:ilvl w:val="1"/>
          <w:numId w:val="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A378E">
        <w:rPr>
          <w:rFonts w:ascii="Times New Roman" w:hAnsi="Times New Roman"/>
          <w:szCs w:val="24"/>
          <w:u w:val="single"/>
        </w:rPr>
        <w:t>Estimate of Start-up Costs to Respondents:</w:t>
      </w:r>
    </w:p>
    <w:p w:rsidR="007921D2" w:rsidRPr="00BA378E" w:rsidP="007921D2" w14:paraId="39BD8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BA378E" w:rsidP="007921D2" w14:paraId="369EC8E9" w14:textId="573A80E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BA378E">
        <w:rPr>
          <w:rFonts w:ascii="Times New Roman" w:hAnsi="Times New Roman"/>
          <w:szCs w:val="24"/>
        </w:rPr>
        <w:t xml:space="preserve">See the analysis in </w:t>
      </w:r>
      <w:r w:rsidRPr="00BA378E" w:rsidR="007110B8">
        <w:rPr>
          <w:rFonts w:ascii="Times New Roman" w:hAnsi="Times New Roman"/>
          <w:szCs w:val="24"/>
        </w:rPr>
        <w:t>section 12 above</w:t>
      </w:r>
      <w:r w:rsidRPr="00BA378E">
        <w:rPr>
          <w:rFonts w:ascii="Times New Roman" w:hAnsi="Times New Roman"/>
          <w:szCs w:val="24"/>
        </w:rPr>
        <w:t>.</w:t>
      </w:r>
    </w:p>
    <w:p w:rsidR="007921D2" w:rsidRPr="00D35C22" w:rsidP="007921D2" w14:paraId="048E5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Cs w:val="24"/>
        </w:rPr>
      </w:pPr>
    </w:p>
    <w:p w:rsidR="007921D2" w:rsidRPr="00D35C22" w:rsidP="007921D2" w14:paraId="63892963" w14:textId="77777777">
      <w:pPr>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napToGrid/>
          <w:szCs w:val="24"/>
          <w:u w:val="single"/>
        </w:rPr>
        <w:t>Estimate of annualized costs to the government:</w:t>
      </w:r>
    </w:p>
    <w:p w:rsidR="007921D2" w:rsidRPr="00D35C22" w:rsidP="007921D2" w14:paraId="200598E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7921D2" w:rsidRPr="00D35C22" w:rsidP="007921D2" w14:paraId="11C88D6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D35C22">
        <w:rPr>
          <w:rFonts w:ascii="Times New Roman" w:hAnsi="Times New Roman"/>
          <w:szCs w:val="24"/>
        </w:rPr>
        <w:t>None.</w:t>
      </w:r>
    </w:p>
    <w:p w:rsidR="007921D2" w:rsidRPr="00D35C22" w:rsidP="007921D2" w14:paraId="55E5389A" w14:textId="77777777">
      <w:pPr>
        <w:outlineLvl w:val="0"/>
        <w:rPr>
          <w:rFonts w:ascii="Times New Roman" w:hAnsi="Times New Roman"/>
          <w:color w:val="FF0000"/>
          <w:szCs w:val="24"/>
        </w:rPr>
      </w:pPr>
      <w:r w:rsidRPr="00D35C22">
        <w:rPr>
          <w:rFonts w:ascii="Times New Roman" w:hAnsi="Times New Roman"/>
          <w:color w:val="FF0000"/>
          <w:szCs w:val="24"/>
        </w:rPr>
        <w:tab/>
      </w:r>
    </w:p>
    <w:p w:rsidR="007921D2" w:rsidRPr="00D35C22" w:rsidP="007921D2" w14:paraId="55B94EC6"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napToGrid/>
          <w:szCs w:val="24"/>
          <w:u w:val="single"/>
        </w:rPr>
        <w:t>Analysis of change in burden:</w:t>
      </w:r>
      <w:r w:rsidRPr="00D35C22">
        <w:rPr>
          <w:rFonts w:ascii="Times New Roman" w:hAnsi="Times New Roman"/>
          <w:szCs w:val="24"/>
        </w:rPr>
        <w:tab/>
      </w:r>
    </w:p>
    <w:p w:rsidR="007921D2" w:rsidRPr="00D35C22" w:rsidP="007921D2" w14:paraId="410FF22C" w14:textId="77777777">
      <w:pPr>
        <w:ind w:left="360" w:firstLine="720"/>
        <w:rPr>
          <w:rFonts w:ascii="Times New Roman" w:hAnsi="Times New Roman"/>
          <w:szCs w:val="24"/>
        </w:rPr>
      </w:pPr>
    </w:p>
    <w:p w:rsidR="007921D2" w:rsidRPr="00D35C22" w:rsidP="007921D2" w14:paraId="1BCA5F93" w14:textId="74546512">
      <w:pPr>
        <w:ind w:left="1080"/>
        <w:rPr>
          <w:rFonts w:ascii="Times New Roman" w:hAnsi="Times New Roman"/>
          <w:szCs w:val="24"/>
        </w:rPr>
      </w:pPr>
      <w:r w:rsidRPr="00D35C22">
        <w:rPr>
          <w:rFonts w:ascii="Times New Roman" w:hAnsi="Times New Roman"/>
          <w:szCs w:val="24"/>
        </w:rPr>
        <w:t xml:space="preserve">Since this is the first time the FDIC will be submitting an information collection in connection with the proposed rule, there is no change in burden. However, the burden associated with this new information collection is </w:t>
      </w:r>
      <w:r w:rsidRPr="00D35C22" w:rsidR="00D35C22">
        <w:rPr>
          <w:rFonts w:ascii="Times New Roman" w:hAnsi="Times New Roman"/>
          <w:szCs w:val="24"/>
        </w:rPr>
        <w:t>600</w:t>
      </w:r>
      <w:r w:rsidRPr="00D35C22">
        <w:rPr>
          <w:rFonts w:ascii="Times New Roman" w:hAnsi="Times New Roman"/>
          <w:szCs w:val="24"/>
        </w:rPr>
        <w:t xml:space="preserve"> hours.</w:t>
      </w:r>
    </w:p>
    <w:p w:rsidR="007921D2" w:rsidRPr="00D35C22" w:rsidP="007921D2" w14:paraId="3DC138DC" w14:textId="77777777">
      <w:pPr>
        <w:ind w:left="1440"/>
        <w:rPr>
          <w:rFonts w:ascii="Times New Roman" w:hAnsi="Times New Roman"/>
          <w:szCs w:val="24"/>
        </w:rPr>
      </w:pPr>
    </w:p>
    <w:p w:rsidR="007921D2" w:rsidRPr="00D35C22" w:rsidP="007921D2" w14:paraId="38AF1B13" w14:textId="77777777">
      <w:pPr>
        <w:numPr>
          <w:ilvl w:val="1"/>
          <w:numId w:val="2"/>
        </w:numPr>
        <w:tabs>
          <w:tab w:val="left" w:pos="1170"/>
        </w:tabs>
        <w:autoSpaceDE w:val="0"/>
        <w:autoSpaceDN w:val="0"/>
        <w:adjustRightInd w:val="0"/>
        <w:rPr>
          <w:rFonts w:ascii="Times New Roman" w:hAnsi="Times New Roman"/>
          <w:snapToGrid/>
          <w:szCs w:val="24"/>
        </w:rPr>
      </w:pPr>
      <w:r w:rsidRPr="00D35C22">
        <w:rPr>
          <w:rFonts w:ascii="Times New Roman" w:hAnsi="Times New Roman"/>
          <w:szCs w:val="24"/>
          <w:u w:val="single"/>
        </w:rPr>
        <w:t>Information regarding collections whose results are planned to be published for statistical use:</w:t>
      </w:r>
    </w:p>
    <w:p w:rsidR="007921D2" w:rsidRPr="00D35C22" w:rsidP="007921D2" w14:paraId="30AE88D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32C53B6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D35C22">
        <w:rPr>
          <w:rFonts w:ascii="Times New Roman" w:hAnsi="Times New Roman"/>
          <w:szCs w:val="24"/>
        </w:rPr>
        <w:t>The results of this collection will not be published for statistical use.</w:t>
      </w:r>
    </w:p>
    <w:p w:rsidR="007921D2" w:rsidRPr="00D35C22" w:rsidP="007921D2" w14:paraId="5384FCA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2FDDF793"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Display of Expiration Date</w:t>
      </w:r>
    </w:p>
    <w:p w:rsidR="007921D2" w:rsidRPr="00D35C22" w:rsidP="007921D2" w14:paraId="716F98D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61486E03"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D35C22">
        <w:rPr>
          <w:rFonts w:ascii="Times New Roman" w:hAnsi="Times New Roman"/>
          <w:szCs w:val="24"/>
        </w:rPr>
        <w:t>This information collection is contained in a regulation.</w:t>
      </w:r>
    </w:p>
    <w:p w:rsidR="007921D2" w:rsidRPr="00D35C22" w:rsidP="007921D2" w14:paraId="32B162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5A1E7F8E"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Exceptions to Certification Statement</w:t>
      </w:r>
    </w:p>
    <w:p w:rsidR="007921D2" w:rsidRPr="00D35C22" w:rsidP="007921D2" w14:paraId="5F105D9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11E3AFD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D35C22">
        <w:rPr>
          <w:rFonts w:ascii="Times New Roman" w:hAnsi="Times New Roman"/>
          <w:szCs w:val="24"/>
        </w:rPr>
        <w:t>None.</w:t>
      </w:r>
    </w:p>
    <w:p w:rsidR="007921D2" w:rsidRPr="00D35C22" w:rsidP="007921D2" w14:paraId="66DCBAB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D35C22" w:rsidP="007921D2" w14:paraId="3CF3FDDC" w14:textId="7777777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D35C22">
        <w:rPr>
          <w:rFonts w:ascii="Times New Roman" w:hAnsi="Times New Roman"/>
          <w:szCs w:val="24"/>
          <w:u w:val="single"/>
        </w:rPr>
        <w:t>STATISTICAL METHODS</w:t>
      </w:r>
    </w:p>
    <w:p w:rsidR="007921D2" w:rsidRPr="00D35C22" w:rsidP="007921D2" w14:paraId="775EB2AA"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7921D2" w:rsidRPr="00D35C22" w:rsidP="007921D2" w14:paraId="06F92A7C"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D35C22">
        <w:rPr>
          <w:rFonts w:ascii="Times New Roman" w:hAnsi="Times New Roman"/>
          <w:szCs w:val="24"/>
        </w:rPr>
        <w:t>Statistical methods are not employed in these collections.</w:t>
      </w:r>
    </w:p>
    <w:p w:rsidR="007921D2" w:rsidRPr="00D35C22" w:rsidP="007921D2" w14:paraId="1FDF7AF1" w14:textId="77777777">
      <w:pPr>
        <w:rPr>
          <w:rFonts w:ascii="Times New Roman" w:hAnsi="Times New Roman"/>
          <w:color w:val="FF0000"/>
          <w:szCs w:val="24"/>
        </w:rPr>
      </w:pPr>
    </w:p>
    <w:p w:rsidR="004008FE" w:rsidRPr="00D35C22" w14:paraId="2E0B142B" w14:textId="77777777">
      <w:pPr>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65FF" w:rsidP="007921D2" w14:paraId="357910AF" w14:textId="77777777">
      <w:r>
        <w:separator/>
      </w:r>
    </w:p>
  </w:footnote>
  <w:footnote w:type="continuationSeparator" w:id="1">
    <w:p w:rsidR="002165FF" w:rsidP="007921D2" w14:paraId="0E9CF21C" w14:textId="77777777">
      <w:r>
        <w:continuationSeparator/>
      </w:r>
    </w:p>
  </w:footnote>
  <w:footnote w:id="2">
    <w:p w:rsidR="007921D2" w:rsidRPr="00590A2D" w:rsidP="007921D2" w14:paraId="5B7C2340" w14:textId="77777777">
      <w:pPr>
        <w:pStyle w:val="FootnoteText"/>
        <w:tabs>
          <w:tab w:val="left" w:pos="8640"/>
        </w:tabs>
        <w:rPr>
          <w:rFonts w:ascii="Times New Roman" w:hAnsi="Times New Roman"/>
        </w:rPr>
      </w:pPr>
      <w:r w:rsidRPr="00590A2D">
        <w:rPr>
          <w:rStyle w:val="FootnoteReference"/>
          <w:vertAlign w:val="superscript"/>
        </w:rPr>
        <w:footnoteRef/>
      </w:r>
      <w:r w:rsidRPr="00590A2D">
        <w:rPr>
          <w:rFonts w:ascii="Times New Roman" w:hAnsi="Times New Roman"/>
        </w:rPr>
        <w:t xml:space="preserve"> 44 U.S.C. 3501 </w:t>
      </w:r>
      <w:r w:rsidRPr="00590A2D">
        <w:rPr>
          <w:rFonts w:ascii="Times New Roman" w:hAnsi="Times New Roman"/>
          <w:i/>
        </w:rPr>
        <w:t>et seq.</w:t>
      </w:r>
    </w:p>
  </w:footnote>
  <w:footnote w:id="3">
    <w:p w:rsidR="00940599" w:rsidRPr="00590A2D" w:rsidP="00940599" w14:paraId="2935E170" w14:textId="77777777">
      <w:pPr>
        <w:pStyle w:val="FootnoteText"/>
        <w:rPr>
          <w:rFonts w:ascii="Times New Roman" w:hAnsi="Times New Roman"/>
        </w:rPr>
      </w:pPr>
      <w:r w:rsidRPr="00590A2D">
        <w:rPr>
          <w:rStyle w:val="FootnoteReference"/>
        </w:rPr>
        <w:footnoteRef/>
      </w:r>
      <w:r w:rsidRPr="00590A2D">
        <w:rPr>
          <w:rFonts w:ascii="Times New Roman" w:hAnsi="Times New Roman"/>
        </w:rPr>
        <w:t xml:space="preserve"> Pub. L. 119-27, 139 Stat. 419 (codified at 12 U.S.C. 5901-5916). </w:t>
      </w:r>
    </w:p>
  </w:footnote>
  <w:footnote w:id="4">
    <w:p w:rsidR="00940599" w:rsidRPr="00453A6A" w:rsidP="00940599" w14:paraId="13165CFB" w14:textId="77777777">
      <w:pPr>
        <w:pStyle w:val="FootnoteText"/>
      </w:pPr>
      <w:r w:rsidRPr="00590A2D">
        <w:rPr>
          <w:rStyle w:val="FootnoteReference"/>
        </w:rPr>
        <w:footnoteRef/>
      </w:r>
      <w:r w:rsidRPr="00590A2D">
        <w:rPr>
          <w:rFonts w:ascii="Times New Roman" w:hAnsi="Times New Roman"/>
        </w:rPr>
        <w:t xml:space="preserve"> </w:t>
      </w:r>
      <w:r w:rsidRPr="00590A2D">
        <w:rPr>
          <w:rFonts w:ascii="Times New Roman" w:hAnsi="Times New Roman"/>
          <w:i/>
          <w:iCs/>
        </w:rPr>
        <w:t>See</w:t>
      </w:r>
      <w:r w:rsidRPr="00590A2D">
        <w:rPr>
          <w:rFonts w:ascii="Times New Roman" w:hAnsi="Times New Roman"/>
        </w:rPr>
        <w:t xml:space="preserve"> Executive Order 14178, Strengthening American Leadership in Digital Financial Technology, 90 FR 8647 (Jan. 31, 2025).</w:t>
      </w:r>
    </w:p>
  </w:footnote>
  <w:footnote w:id="5">
    <w:p w:rsidR="00CC455E" w:rsidRPr="006E0653" w:rsidP="00CC455E" w14:paraId="70C43AC0" w14:textId="77777777">
      <w:pPr>
        <w:pStyle w:val="FootnoteText"/>
        <w:rPr>
          <w:rFonts w:ascii="Times New Roman" w:hAnsi="Times New Roman"/>
        </w:rPr>
      </w:pPr>
      <w:r w:rsidRPr="006E0653">
        <w:rPr>
          <w:rStyle w:val="FootnoteReference"/>
          <w:vertAlign w:val="superscript"/>
        </w:rPr>
        <w:footnoteRef/>
      </w:r>
      <w:r w:rsidRPr="006E0653">
        <w:rPr>
          <w:rFonts w:ascii="Times New Roman" w:hAnsi="Times New Roman"/>
        </w:rPr>
        <w:t xml:space="preserve"> Call Reports, September 30, 2025.</w:t>
      </w:r>
    </w:p>
  </w:footnote>
  <w:footnote w:id="6">
    <w:p w:rsidR="00A056C3" w:rsidRPr="006E0653" w:rsidP="00A056C3" w14:paraId="51EAE926" w14:textId="77777777">
      <w:pPr>
        <w:pStyle w:val="FootnoteText"/>
        <w:rPr>
          <w:rFonts w:ascii="Times New Roman" w:hAnsi="Times New Roman"/>
        </w:rPr>
      </w:pPr>
      <w:r w:rsidRPr="006E0653">
        <w:rPr>
          <w:rStyle w:val="FootnoteReference"/>
          <w:vertAlign w:val="superscript"/>
        </w:rPr>
        <w:footnoteRef/>
      </w:r>
      <w:r w:rsidRPr="006E0653">
        <w:rPr>
          <w:rFonts w:ascii="Times New Roman" w:hAnsi="Times New Roman"/>
        </w:rPr>
        <w:t xml:space="preserve"> The primary Federal payment stablecoin regulators are the FDIC, the Office of the Comptroller of the Currency (OCC), the Board of Governors of the Federal Reserve System (FRB), and the National Credit Union Administration (NCUA). </w:t>
      </w:r>
      <w:r w:rsidRPr="006E0653">
        <w:rPr>
          <w:rFonts w:ascii="Times New Roman" w:hAnsi="Times New Roman"/>
          <w:i/>
          <w:iCs/>
        </w:rPr>
        <w:t>See</w:t>
      </w:r>
      <w:r w:rsidRPr="006E0653">
        <w:rPr>
          <w:rFonts w:ascii="Times New Roman" w:hAnsi="Times New Roman"/>
        </w:rPr>
        <w:t xml:space="preserve"> 12 U.S.C. 5901(25). </w:t>
      </w:r>
    </w:p>
  </w:footnote>
  <w:footnote w:id="7">
    <w:p w:rsidR="00A056C3" w:rsidRPr="006E0653" w:rsidP="00A056C3" w14:paraId="48A673DA" w14:textId="77777777">
      <w:pPr>
        <w:pStyle w:val="FootnoteText"/>
        <w:rPr>
          <w:rFonts w:ascii="Times New Roman" w:hAnsi="Times New Roman"/>
        </w:rPr>
      </w:pPr>
      <w:r w:rsidRPr="006E0653">
        <w:rPr>
          <w:rStyle w:val="FootnoteReference"/>
          <w:vertAlign w:val="superscript"/>
        </w:rPr>
        <w:footnoteRef/>
      </w:r>
      <w:r w:rsidRPr="006E0653">
        <w:rPr>
          <w:rFonts w:ascii="Times New Roman" w:hAnsi="Times New Roman"/>
        </w:rPr>
        <w:t xml:space="preserve"> 90 FR 59409 (Dec. 19, 2025).</w:t>
      </w:r>
    </w:p>
  </w:footnote>
  <w:footnote w:id="8">
    <w:p w:rsidR="000C77E3" w:rsidRPr="00F97674" w14:paraId="38C85AD3" w14:textId="4529B4E5">
      <w:pPr>
        <w:pStyle w:val="FootnoteText"/>
        <w:rPr>
          <w:rFonts w:ascii="Times New Roman" w:hAnsi="Times New Roman"/>
        </w:rPr>
      </w:pPr>
      <w:r w:rsidRPr="006E0653">
        <w:rPr>
          <w:rStyle w:val="FootnoteReference"/>
          <w:vertAlign w:val="superscript"/>
        </w:rPr>
        <w:footnoteRef/>
      </w:r>
      <w:r w:rsidRPr="006E0653">
        <w:rPr>
          <w:rFonts w:ascii="Times New Roman" w:hAnsi="Times New Roman"/>
        </w:rPr>
        <w:t xml:space="preserve"> </w:t>
      </w:r>
      <w:r w:rsidRPr="006E0653" w:rsidR="00F97674">
        <w:rPr>
          <w:rFonts w:ascii="Times New Roman" w:hAnsi="Times New Roman"/>
        </w:rPr>
        <w:t>91 FR 18534 (Apr. 10, 2026).</w:t>
      </w:r>
      <w:r w:rsidRPr="00F97674" w:rsidR="00F97674">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6936611"/>
    <w:multiLevelType w:val="hybridMultilevel"/>
    <w:tmpl w:val="90CE913C"/>
    <w:lvl w:ilvl="0">
      <w:start w:val="1"/>
      <w:numFmt w:val="upperLetter"/>
      <w:lvlText w:val="%1."/>
      <w:lvlJc w:val="left"/>
      <w:pPr>
        <w:ind w:left="720" w:hanging="720"/>
      </w:pPr>
      <w:rPr>
        <w:rFonts w:hint="default"/>
      </w:rPr>
    </w:lvl>
    <w:lvl w:ilvl="1">
      <w:start w:val="1"/>
      <w:numFmt w:val="decimal"/>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781029">
    <w:abstractNumId w:val="0"/>
  </w:num>
  <w:num w:numId="2" w16cid:durableId="139770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D2"/>
    <w:rsid w:val="000043EA"/>
    <w:rsid w:val="00042364"/>
    <w:rsid w:val="00053517"/>
    <w:rsid w:val="0005612F"/>
    <w:rsid w:val="00060824"/>
    <w:rsid w:val="00071ABE"/>
    <w:rsid w:val="000724DD"/>
    <w:rsid w:val="00096418"/>
    <w:rsid w:val="000A4D8B"/>
    <w:rsid w:val="000C278B"/>
    <w:rsid w:val="000C77E3"/>
    <w:rsid w:val="000D1A4D"/>
    <w:rsid w:val="000D2161"/>
    <w:rsid w:val="000D7CD4"/>
    <w:rsid w:val="000E0A6D"/>
    <w:rsid w:val="000E2BC4"/>
    <w:rsid w:val="000F5FDC"/>
    <w:rsid w:val="00102D7D"/>
    <w:rsid w:val="001039AB"/>
    <w:rsid w:val="001125F5"/>
    <w:rsid w:val="001126B4"/>
    <w:rsid w:val="0011526A"/>
    <w:rsid w:val="001362D5"/>
    <w:rsid w:val="001410A1"/>
    <w:rsid w:val="00151E67"/>
    <w:rsid w:val="00156642"/>
    <w:rsid w:val="00157E2B"/>
    <w:rsid w:val="0017356E"/>
    <w:rsid w:val="0017494E"/>
    <w:rsid w:val="0019364E"/>
    <w:rsid w:val="00195966"/>
    <w:rsid w:val="001C6926"/>
    <w:rsid w:val="001C7A96"/>
    <w:rsid w:val="001E7190"/>
    <w:rsid w:val="0020444B"/>
    <w:rsid w:val="00215465"/>
    <w:rsid w:val="002165FF"/>
    <w:rsid w:val="00233F7B"/>
    <w:rsid w:val="00247885"/>
    <w:rsid w:val="00257106"/>
    <w:rsid w:val="0026081D"/>
    <w:rsid w:val="00267E4F"/>
    <w:rsid w:val="00276111"/>
    <w:rsid w:val="0028660A"/>
    <w:rsid w:val="00291B68"/>
    <w:rsid w:val="002A1B1C"/>
    <w:rsid w:val="002B0BE9"/>
    <w:rsid w:val="002B7315"/>
    <w:rsid w:val="002C7490"/>
    <w:rsid w:val="002D3482"/>
    <w:rsid w:val="002E35BD"/>
    <w:rsid w:val="002E7DB1"/>
    <w:rsid w:val="002F63D4"/>
    <w:rsid w:val="00307921"/>
    <w:rsid w:val="00317689"/>
    <w:rsid w:val="003217E4"/>
    <w:rsid w:val="00353117"/>
    <w:rsid w:val="00353DEE"/>
    <w:rsid w:val="00356F52"/>
    <w:rsid w:val="00365D18"/>
    <w:rsid w:val="00377DE2"/>
    <w:rsid w:val="0038051F"/>
    <w:rsid w:val="00386121"/>
    <w:rsid w:val="00390C82"/>
    <w:rsid w:val="0039344B"/>
    <w:rsid w:val="00395E37"/>
    <w:rsid w:val="003C1FB8"/>
    <w:rsid w:val="003C6341"/>
    <w:rsid w:val="003D55B5"/>
    <w:rsid w:val="003F34E5"/>
    <w:rsid w:val="004008FE"/>
    <w:rsid w:val="00403578"/>
    <w:rsid w:val="0042650E"/>
    <w:rsid w:val="004272D4"/>
    <w:rsid w:val="00440336"/>
    <w:rsid w:val="00443C81"/>
    <w:rsid w:val="00451948"/>
    <w:rsid w:val="00452172"/>
    <w:rsid w:val="00453A6A"/>
    <w:rsid w:val="004566B8"/>
    <w:rsid w:val="00466278"/>
    <w:rsid w:val="004779DF"/>
    <w:rsid w:val="004857A3"/>
    <w:rsid w:val="00495A4B"/>
    <w:rsid w:val="004A1237"/>
    <w:rsid w:val="004C1CBA"/>
    <w:rsid w:val="004D7448"/>
    <w:rsid w:val="004E7F53"/>
    <w:rsid w:val="004F13EE"/>
    <w:rsid w:val="004F34E9"/>
    <w:rsid w:val="004F6390"/>
    <w:rsid w:val="00502855"/>
    <w:rsid w:val="005118E4"/>
    <w:rsid w:val="00523E44"/>
    <w:rsid w:val="00527BBD"/>
    <w:rsid w:val="00527FE0"/>
    <w:rsid w:val="0053447E"/>
    <w:rsid w:val="00544F43"/>
    <w:rsid w:val="00565804"/>
    <w:rsid w:val="00590A2D"/>
    <w:rsid w:val="005A4F04"/>
    <w:rsid w:val="005E388B"/>
    <w:rsid w:val="00606FCF"/>
    <w:rsid w:val="00607414"/>
    <w:rsid w:val="00630F11"/>
    <w:rsid w:val="006310C2"/>
    <w:rsid w:val="00631A2F"/>
    <w:rsid w:val="006356D2"/>
    <w:rsid w:val="0063790C"/>
    <w:rsid w:val="0064007D"/>
    <w:rsid w:val="006447EC"/>
    <w:rsid w:val="006526DB"/>
    <w:rsid w:val="0067465D"/>
    <w:rsid w:val="006750FD"/>
    <w:rsid w:val="00676F6B"/>
    <w:rsid w:val="00683157"/>
    <w:rsid w:val="006A30A0"/>
    <w:rsid w:val="006B7F36"/>
    <w:rsid w:val="006C08DA"/>
    <w:rsid w:val="006C4A95"/>
    <w:rsid w:val="006D04F6"/>
    <w:rsid w:val="006D0D8D"/>
    <w:rsid w:val="006E0653"/>
    <w:rsid w:val="006F1A88"/>
    <w:rsid w:val="006F2B5D"/>
    <w:rsid w:val="00700D14"/>
    <w:rsid w:val="00701C82"/>
    <w:rsid w:val="00702266"/>
    <w:rsid w:val="007110B8"/>
    <w:rsid w:val="00715072"/>
    <w:rsid w:val="00730E2E"/>
    <w:rsid w:val="00735943"/>
    <w:rsid w:val="00753228"/>
    <w:rsid w:val="00755209"/>
    <w:rsid w:val="00760010"/>
    <w:rsid w:val="00766E88"/>
    <w:rsid w:val="00780C4B"/>
    <w:rsid w:val="007862B8"/>
    <w:rsid w:val="007921D2"/>
    <w:rsid w:val="00794B17"/>
    <w:rsid w:val="007A0684"/>
    <w:rsid w:val="007A5082"/>
    <w:rsid w:val="007B2781"/>
    <w:rsid w:val="007D0E77"/>
    <w:rsid w:val="007D3AE3"/>
    <w:rsid w:val="007D5D65"/>
    <w:rsid w:val="007D7539"/>
    <w:rsid w:val="00801911"/>
    <w:rsid w:val="00802256"/>
    <w:rsid w:val="0080351A"/>
    <w:rsid w:val="00803FF0"/>
    <w:rsid w:val="008130DE"/>
    <w:rsid w:val="008177EC"/>
    <w:rsid w:val="00820329"/>
    <w:rsid w:val="008410D4"/>
    <w:rsid w:val="00842A9E"/>
    <w:rsid w:val="0088305A"/>
    <w:rsid w:val="008852C1"/>
    <w:rsid w:val="00897132"/>
    <w:rsid w:val="008A21F8"/>
    <w:rsid w:val="008C2CA6"/>
    <w:rsid w:val="008D014E"/>
    <w:rsid w:val="008D24F3"/>
    <w:rsid w:val="008F3A63"/>
    <w:rsid w:val="009254FC"/>
    <w:rsid w:val="00940599"/>
    <w:rsid w:val="00941EE6"/>
    <w:rsid w:val="00941FBA"/>
    <w:rsid w:val="00950ECD"/>
    <w:rsid w:val="009530BB"/>
    <w:rsid w:val="009539EB"/>
    <w:rsid w:val="00960863"/>
    <w:rsid w:val="009753DE"/>
    <w:rsid w:val="00977BA8"/>
    <w:rsid w:val="00985FEB"/>
    <w:rsid w:val="009967C2"/>
    <w:rsid w:val="00996940"/>
    <w:rsid w:val="009B39ED"/>
    <w:rsid w:val="009D016E"/>
    <w:rsid w:val="009D4E48"/>
    <w:rsid w:val="009D4FC2"/>
    <w:rsid w:val="009E44ED"/>
    <w:rsid w:val="009F5D71"/>
    <w:rsid w:val="00A04F12"/>
    <w:rsid w:val="00A056C3"/>
    <w:rsid w:val="00A17E64"/>
    <w:rsid w:val="00A32D8E"/>
    <w:rsid w:val="00A35659"/>
    <w:rsid w:val="00A41D32"/>
    <w:rsid w:val="00A5491A"/>
    <w:rsid w:val="00A646E6"/>
    <w:rsid w:val="00A67117"/>
    <w:rsid w:val="00A73E68"/>
    <w:rsid w:val="00A83503"/>
    <w:rsid w:val="00A96D68"/>
    <w:rsid w:val="00A96E30"/>
    <w:rsid w:val="00A97BC2"/>
    <w:rsid w:val="00AA7BE8"/>
    <w:rsid w:val="00AB2AB8"/>
    <w:rsid w:val="00AB2F03"/>
    <w:rsid w:val="00AC2AB8"/>
    <w:rsid w:val="00AD775B"/>
    <w:rsid w:val="00AE065C"/>
    <w:rsid w:val="00AE4778"/>
    <w:rsid w:val="00B02F43"/>
    <w:rsid w:val="00B13573"/>
    <w:rsid w:val="00B56572"/>
    <w:rsid w:val="00B66F79"/>
    <w:rsid w:val="00B7104C"/>
    <w:rsid w:val="00B82D25"/>
    <w:rsid w:val="00B8480D"/>
    <w:rsid w:val="00B84FF9"/>
    <w:rsid w:val="00B87777"/>
    <w:rsid w:val="00BA378E"/>
    <w:rsid w:val="00BA4401"/>
    <w:rsid w:val="00BC26C8"/>
    <w:rsid w:val="00BD759B"/>
    <w:rsid w:val="00BD7659"/>
    <w:rsid w:val="00BE25D4"/>
    <w:rsid w:val="00BF3671"/>
    <w:rsid w:val="00BF41E4"/>
    <w:rsid w:val="00C05101"/>
    <w:rsid w:val="00C2346E"/>
    <w:rsid w:val="00C62693"/>
    <w:rsid w:val="00C6518A"/>
    <w:rsid w:val="00C94EFA"/>
    <w:rsid w:val="00C95C1A"/>
    <w:rsid w:val="00CA6647"/>
    <w:rsid w:val="00CB1BFE"/>
    <w:rsid w:val="00CC014E"/>
    <w:rsid w:val="00CC455E"/>
    <w:rsid w:val="00CC627B"/>
    <w:rsid w:val="00CD38CC"/>
    <w:rsid w:val="00CD5E80"/>
    <w:rsid w:val="00CD70B4"/>
    <w:rsid w:val="00CE5414"/>
    <w:rsid w:val="00CF4330"/>
    <w:rsid w:val="00CF4FDE"/>
    <w:rsid w:val="00D01C4D"/>
    <w:rsid w:val="00D064AD"/>
    <w:rsid w:val="00D13EB0"/>
    <w:rsid w:val="00D149B8"/>
    <w:rsid w:val="00D22E15"/>
    <w:rsid w:val="00D24943"/>
    <w:rsid w:val="00D35C22"/>
    <w:rsid w:val="00D60C58"/>
    <w:rsid w:val="00D62D09"/>
    <w:rsid w:val="00D8046D"/>
    <w:rsid w:val="00D80E81"/>
    <w:rsid w:val="00DA1A39"/>
    <w:rsid w:val="00DA3CEB"/>
    <w:rsid w:val="00DB22D7"/>
    <w:rsid w:val="00DC5A84"/>
    <w:rsid w:val="00DD0181"/>
    <w:rsid w:val="00DE166E"/>
    <w:rsid w:val="00DE63E7"/>
    <w:rsid w:val="00DE6F69"/>
    <w:rsid w:val="00DF7762"/>
    <w:rsid w:val="00E05D7E"/>
    <w:rsid w:val="00E14716"/>
    <w:rsid w:val="00E24521"/>
    <w:rsid w:val="00E3112B"/>
    <w:rsid w:val="00E464AD"/>
    <w:rsid w:val="00E570F6"/>
    <w:rsid w:val="00E65628"/>
    <w:rsid w:val="00E77330"/>
    <w:rsid w:val="00E84673"/>
    <w:rsid w:val="00EA1710"/>
    <w:rsid w:val="00EB1F46"/>
    <w:rsid w:val="00EB4A38"/>
    <w:rsid w:val="00EC5778"/>
    <w:rsid w:val="00EC79F5"/>
    <w:rsid w:val="00ED2068"/>
    <w:rsid w:val="00ED6864"/>
    <w:rsid w:val="00EF31B2"/>
    <w:rsid w:val="00F15AB4"/>
    <w:rsid w:val="00F2302F"/>
    <w:rsid w:val="00F4356E"/>
    <w:rsid w:val="00F54F3A"/>
    <w:rsid w:val="00F702D2"/>
    <w:rsid w:val="00F94FA6"/>
    <w:rsid w:val="00F97674"/>
    <w:rsid w:val="00FC30BE"/>
    <w:rsid w:val="00FC4D41"/>
    <w:rsid w:val="00FC7169"/>
    <w:rsid w:val="00FD4B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125EA"/>
  <w15:chartTrackingRefBased/>
  <w15:docId w15:val="{6E272448-2213-4A33-9D57-23FFDE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D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79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D2"/>
    <w:rPr>
      <w:rFonts w:eastAsiaTheme="majorEastAsia" w:cstheme="majorBidi"/>
      <w:color w:val="272727" w:themeColor="text1" w:themeTint="D8"/>
    </w:rPr>
  </w:style>
  <w:style w:type="paragraph" w:styleId="Title">
    <w:name w:val="Title"/>
    <w:basedOn w:val="Normal"/>
    <w:next w:val="Normal"/>
    <w:link w:val="TitleChar"/>
    <w:uiPriority w:val="10"/>
    <w:qFormat/>
    <w:rsid w:val="00792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1D2"/>
    <w:rPr>
      <w:i/>
      <w:iCs/>
      <w:color w:val="404040" w:themeColor="text1" w:themeTint="BF"/>
    </w:rPr>
  </w:style>
  <w:style w:type="paragraph" w:styleId="ListParagraph">
    <w:name w:val="List Paragraph"/>
    <w:basedOn w:val="Normal"/>
    <w:uiPriority w:val="34"/>
    <w:qFormat/>
    <w:rsid w:val="007921D2"/>
    <w:pPr>
      <w:ind w:left="720"/>
      <w:contextualSpacing/>
    </w:pPr>
  </w:style>
  <w:style w:type="character" w:styleId="IntenseEmphasis">
    <w:name w:val="Intense Emphasis"/>
    <w:basedOn w:val="DefaultParagraphFont"/>
    <w:uiPriority w:val="21"/>
    <w:qFormat/>
    <w:rsid w:val="007921D2"/>
    <w:rPr>
      <w:i/>
      <w:iCs/>
      <w:color w:val="0F4761" w:themeColor="accent1" w:themeShade="BF"/>
    </w:rPr>
  </w:style>
  <w:style w:type="paragraph" w:styleId="IntenseQuote">
    <w:name w:val="Intense Quote"/>
    <w:basedOn w:val="Normal"/>
    <w:next w:val="Normal"/>
    <w:link w:val="IntenseQuoteChar"/>
    <w:uiPriority w:val="30"/>
    <w:qFormat/>
    <w:rsid w:val="0079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D2"/>
    <w:rPr>
      <w:i/>
      <w:iCs/>
      <w:color w:val="0F4761" w:themeColor="accent1" w:themeShade="BF"/>
    </w:rPr>
  </w:style>
  <w:style w:type="character" w:styleId="IntenseReference">
    <w:name w:val="Intense Reference"/>
    <w:basedOn w:val="DefaultParagraphFont"/>
    <w:uiPriority w:val="32"/>
    <w:qFormat/>
    <w:rsid w:val="007921D2"/>
    <w:rPr>
      <w:b/>
      <w:bCs/>
      <w:smallCaps/>
      <w:color w:val="0F4761" w:themeColor="accent1" w:themeShade="BF"/>
      <w:spacing w:val="5"/>
    </w:rPr>
  </w:style>
  <w:style w:type="paragraph" w:styleId="BodyTextIndent">
    <w:name w:val="Body Text Indent"/>
    <w:basedOn w:val="Normal"/>
    <w:link w:val="BodyTextIndentChar"/>
    <w:rsid w:val="007921D2"/>
    <w:pPr>
      <w:ind w:left="720"/>
    </w:pPr>
    <w:rPr>
      <w:rFonts w:ascii="Times New Roman" w:hAnsi="Times New Roman"/>
    </w:rPr>
  </w:style>
  <w:style w:type="character" w:customStyle="1" w:styleId="BodyTextIndentChar">
    <w:name w:val="Body Text Indent Char"/>
    <w:basedOn w:val="DefaultParagraphFont"/>
    <w:link w:val="BodyTextIndent"/>
    <w:rsid w:val="007921D2"/>
    <w:rPr>
      <w:rFonts w:ascii="Times New Roman" w:eastAsia="Times New Roman" w:hAnsi="Times New Roman" w:cs="Times New Roman"/>
      <w:snapToGrid w:val="0"/>
      <w:kern w:val="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7921D2"/>
    <w:rPr>
      <w:rFonts w:ascii="Times New Roman" w:hAnsi="Times New Roman"/>
    </w:rPr>
  </w:style>
  <w:style w:type="paragraph" w:styleId="FootnoteText">
    <w:name w:val="footnote text"/>
    <w:aliases w:val=" Char,ALTS FOOTNOTE,Car,Ch,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7921D2"/>
    <w:rPr>
      <w:sz w:val="20"/>
    </w:rPr>
  </w:style>
  <w:style w:type="character" w:customStyle="1" w:styleId="FootnoteTextChar">
    <w:name w:val="Footnote Text Char"/>
    <w:aliases w:val=" Char Char,ALTS FOOTNOTE Char,Car Char,Ch Char,Char Char,Footnote Text Char Char Char Char,Footnote Text Char Char Char1,Fußnote Char,Style 15 Char,Style 40 Char Char Char,Style 40 Char Char1,fn Char,ft Char"/>
    <w:basedOn w:val="DefaultParagraphFont"/>
    <w:link w:val="FootnoteText"/>
    <w:uiPriority w:val="99"/>
    <w:rsid w:val="007921D2"/>
    <w:rPr>
      <w:rFonts w:ascii="Courier" w:eastAsia="Times New Roman" w:hAnsi="Courier" w:cs="Times New Roman"/>
      <w:snapToGrid w:val="0"/>
      <w:kern w:val="0"/>
      <w:sz w:val="20"/>
      <w:szCs w:val="20"/>
      <w14:ligatures w14:val="none"/>
    </w:rPr>
  </w:style>
  <w:style w:type="paragraph" w:styleId="BodyText">
    <w:name w:val="Body Text"/>
    <w:basedOn w:val="Normal"/>
    <w:link w:val="BodyTextChar"/>
    <w:uiPriority w:val="99"/>
    <w:unhideWhenUsed/>
    <w:rsid w:val="007921D2"/>
    <w:pPr>
      <w:spacing w:after="120"/>
    </w:pPr>
  </w:style>
  <w:style w:type="character" w:customStyle="1" w:styleId="BodyTextChar">
    <w:name w:val="Body Text Char"/>
    <w:basedOn w:val="DefaultParagraphFont"/>
    <w:link w:val="BodyText"/>
    <w:uiPriority w:val="99"/>
    <w:rsid w:val="007921D2"/>
    <w:rPr>
      <w:rFonts w:ascii="Courier" w:eastAsia="Times New Roman" w:hAnsi="Courier" w:cs="Times New Roman"/>
      <w:snapToGrid w:val="0"/>
      <w:kern w:val="0"/>
      <w:szCs w:val="20"/>
      <w14:ligatures w14:val="none"/>
    </w:rPr>
  </w:style>
  <w:style w:type="paragraph" w:styleId="NoSpacing">
    <w:name w:val="No Spacing"/>
    <w:uiPriority w:val="1"/>
    <w:qFormat/>
    <w:rsid w:val="00941FBA"/>
    <w:pPr>
      <w:widowControl w:val="0"/>
      <w:spacing w:after="0" w:line="240" w:lineRule="auto"/>
    </w:pPr>
    <w:rPr>
      <w:rFonts w:ascii="Courier" w:eastAsia="Times New Roman" w:hAnsi="Courier" w:cs="Times New Roman"/>
      <w:snapToGrid w:val="0"/>
      <w:kern w:val="0"/>
      <w:szCs w:val="20"/>
      <w14:ligatures w14:val="none"/>
    </w:rPr>
  </w:style>
  <w:style w:type="character" w:styleId="CommentReference">
    <w:name w:val="annotation reference"/>
    <w:basedOn w:val="DefaultParagraphFont"/>
    <w:uiPriority w:val="99"/>
    <w:unhideWhenUsed/>
    <w:rsid w:val="00D064AD"/>
    <w:rPr>
      <w:sz w:val="16"/>
      <w:szCs w:val="16"/>
    </w:rPr>
  </w:style>
  <w:style w:type="paragraph" w:styleId="CommentText">
    <w:name w:val="annotation text"/>
    <w:basedOn w:val="Normal"/>
    <w:link w:val="CommentTextChar"/>
    <w:uiPriority w:val="99"/>
    <w:unhideWhenUsed/>
    <w:rsid w:val="00D064AD"/>
    <w:pPr>
      <w:widowControl/>
      <w:spacing w:after="160"/>
    </w:pPr>
    <w:rPr>
      <w:rFonts w:ascii="Times New Roman" w:eastAsia="Aptos" w:hAnsi="Times New Roman"/>
      <w:snapToGrid/>
      <w:sz w:val="20"/>
    </w:rPr>
  </w:style>
  <w:style w:type="character" w:customStyle="1" w:styleId="CommentTextChar">
    <w:name w:val="Comment Text Char"/>
    <w:basedOn w:val="DefaultParagraphFont"/>
    <w:link w:val="CommentText"/>
    <w:uiPriority w:val="99"/>
    <w:rsid w:val="00D064AD"/>
    <w:rPr>
      <w:rFonts w:ascii="Times New Roman" w:eastAsia="Aptos" w:hAnsi="Times New Roman" w:cs="Times New Roman"/>
      <w:kern w:val="0"/>
      <w:sz w:val="20"/>
      <w:szCs w:val="20"/>
      <w14:ligatures w14:val="none"/>
    </w:rPr>
  </w:style>
  <w:style w:type="paragraph" w:styleId="Header">
    <w:name w:val="header"/>
    <w:basedOn w:val="Normal"/>
    <w:link w:val="HeaderChar"/>
    <w:uiPriority w:val="99"/>
    <w:unhideWhenUsed/>
    <w:rsid w:val="004566B8"/>
    <w:pPr>
      <w:widowControl/>
      <w:tabs>
        <w:tab w:val="center" w:pos="4680"/>
        <w:tab w:val="right" w:pos="9360"/>
      </w:tabs>
    </w:pPr>
    <w:rPr>
      <w:rFonts w:ascii="Times New Roman" w:eastAsia="Aptos" w:hAnsi="Times New Roman"/>
      <w:snapToGrid/>
      <w:szCs w:val="24"/>
    </w:rPr>
  </w:style>
  <w:style w:type="character" w:customStyle="1" w:styleId="HeaderChar">
    <w:name w:val="Header Char"/>
    <w:basedOn w:val="DefaultParagraphFont"/>
    <w:link w:val="Header"/>
    <w:uiPriority w:val="99"/>
    <w:rsid w:val="004566B8"/>
    <w:rPr>
      <w:rFonts w:ascii="Times New Roman" w:eastAsia="Aptos"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E4F"/>
    <w:pPr>
      <w:widowControl w:val="0"/>
      <w:spacing w:after="0"/>
    </w:pPr>
    <w:rPr>
      <w:rFonts w:ascii="Courier" w:eastAsia="Times New Roman" w:hAnsi="Courier"/>
      <w:b/>
      <w:bCs/>
      <w:snapToGrid w:val="0"/>
    </w:rPr>
  </w:style>
  <w:style w:type="character" w:customStyle="1" w:styleId="CommentSubjectChar">
    <w:name w:val="Comment Subject Char"/>
    <w:basedOn w:val="CommentTextChar"/>
    <w:link w:val="CommentSubject"/>
    <w:uiPriority w:val="99"/>
    <w:semiHidden/>
    <w:rsid w:val="00267E4F"/>
    <w:rPr>
      <w:rFonts w:ascii="Courier" w:eastAsia="Times New Roman" w:hAnsi="Courier"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D20F-E8CE-4822-8E1B-A6258BB30B0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351</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 Michelle</dc:creator>
  <cp:lastModifiedBy>Mire, Michelle</cp:lastModifiedBy>
  <cp:revision>73</cp:revision>
  <dcterms:created xsi:type="dcterms:W3CDTF">2026-06-02T15:28:00Z</dcterms:created>
  <dcterms:modified xsi:type="dcterms:W3CDTF">2026-06-05T18:09:00Z</dcterms:modified>
</cp:coreProperties>
</file>