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3E52" w:rsidRPr="00A658D8" w:rsidP="004E3E52" w14:paraId="5471CD78" w14:textId="77777777">
      <w:pPr>
        <w:pStyle w:val="Header"/>
        <w:widowControl/>
        <w:tabs>
          <w:tab w:val="clear" w:pos="4320"/>
          <w:tab w:val="center" w:pos="4680"/>
          <w:tab w:val="left" w:pos="5040"/>
          <w:tab w:val="left" w:pos="5400"/>
          <w:tab w:val="left" w:pos="5760"/>
          <w:tab w:val="left" w:pos="6120"/>
          <w:tab w:val="left" w:pos="6480"/>
          <w:tab w:val="left" w:pos="6840"/>
          <w:tab w:val="left" w:pos="7200"/>
          <w:tab w:val="left" w:pos="7560"/>
          <w:tab w:val="clear" w:pos="8640"/>
        </w:tabs>
        <w:jc w:val="center"/>
        <w:rPr>
          <w:rFonts w:ascii="Times New Roman" w:hAnsi="Times New Roman"/>
          <w:szCs w:val="24"/>
        </w:rPr>
      </w:pPr>
      <w:r w:rsidRPr="00A658D8">
        <w:rPr>
          <w:rFonts w:ascii="Times New Roman" w:hAnsi="Times New Roman"/>
          <w:szCs w:val="24"/>
        </w:rPr>
        <w:t>SUPPORTING STATEMENT</w:t>
      </w:r>
    </w:p>
    <w:p w:rsidR="00AE59A1" w:rsidRPr="00AE59A1" w:rsidP="00AE59A1" w14:paraId="53298208" w14:textId="77777777">
      <w:pPr>
        <w:widowControl/>
        <w:tabs>
          <w:tab w:val="center" w:pos="4680"/>
        </w:tabs>
        <w:ind w:left="540" w:right="840" w:hanging="540"/>
        <w:jc w:val="center"/>
        <w:rPr>
          <w:rFonts w:ascii="Times New Roman" w:hAnsi="Times New Roman"/>
          <w:snapToGrid w:val="0"/>
          <w:szCs w:val="24"/>
        </w:rPr>
      </w:pPr>
      <w:r w:rsidRPr="00AE59A1">
        <w:rPr>
          <w:rFonts w:ascii="Times New Roman" w:hAnsi="Times New Roman"/>
          <w:snapToGrid w:val="0"/>
          <w:szCs w:val="24"/>
        </w:rPr>
        <w:t>ACQUISITION SERVICES INFORMATION REQUIREMENTS</w:t>
      </w:r>
    </w:p>
    <w:p w:rsidR="00AE59A1" w:rsidRPr="00AE59A1" w:rsidP="00AE59A1" w14:paraId="7A6E5E32" w14:textId="77777777">
      <w:pPr>
        <w:widowControl/>
        <w:tabs>
          <w:tab w:val="center" w:pos="4680"/>
        </w:tabs>
        <w:ind w:left="540" w:right="840" w:hanging="540"/>
        <w:jc w:val="center"/>
        <w:rPr>
          <w:rFonts w:ascii="Times New Roman" w:hAnsi="Times New Roman"/>
          <w:snapToGrid w:val="0"/>
          <w:szCs w:val="24"/>
        </w:rPr>
      </w:pPr>
      <w:r w:rsidRPr="00AE59A1">
        <w:rPr>
          <w:rFonts w:ascii="Times New Roman" w:hAnsi="Times New Roman"/>
          <w:snapToGrid w:val="0"/>
          <w:szCs w:val="24"/>
        </w:rPr>
        <w:t>(OMB Control No. 3064</w:t>
      </w:r>
      <w:r w:rsidRPr="00AE59A1">
        <w:rPr>
          <w:rFonts w:ascii="Times New Roman" w:hAnsi="Times New Roman"/>
          <w:snapToGrid w:val="0"/>
          <w:szCs w:val="24"/>
        </w:rPr>
        <w:noBreakHyphen/>
        <w:t>0072)</w:t>
      </w:r>
    </w:p>
    <w:p w:rsidR="004E3E52" w:rsidRPr="00A658D8" w:rsidP="004513D4" w14:paraId="0C55BD6A" w14:textId="77777777">
      <w:pPr>
        <w:jc w:val="center"/>
        <w:rPr>
          <w:rFonts w:ascii="Times New Roman" w:hAnsi="Times New Roman"/>
          <w:b/>
          <w:bCs/>
          <w:szCs w:val="24"/>
        </w:rPr>
      </w:pPr>
    </w:p>
    <w:p w:rsidR="008D5DF3" w:rsidRPr="00A658D8" w:rsidP="00850D6B" w14:paraId="5050316C" w14:textId="77777777">
      <w:pPr>
        <w:jc w:val="center"/>
        <w:outlineLvl w:val="0"/>
        <w:rPr>
          <w:rFonts w:ascii="Times New Roman" w:hAnsi="Times New Roman"/>
          <w:b/>
          <w:bCs/>
          <w:szCs w:val="24"/>
        </w:rPr>
      </w:pPr>
    </w:p>
    <w:p w:rsidR="004E3E52" w:rsidRPr="00A658D8" w:rsidP="004E3E52" w14:paraId="2F84D2A1"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A658D8">
        <w:rPr>
          <w:rFonts w:ascii="Times New Roman" w:hAnsi="Times New Roman"/>
          <w:szCs w:val="24"/>
          <w:u w:val="single"/>
        </w:rPr>
        <w:t>INTRODUCTION</w:t>
      </w:r>
    </w:p>
    <w:p w:rsidR="004E3E52" w:rsidRPr="00A658D8" w:rsidP="004E3E52" w14:paraId="15912E87"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914465" w:rsidRPr="00914465" w:rsidP="00914465" w14:paraId="716B8D16" w14:textId="523D317E">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914465">
        <w:rPr>
          <w:rFonts w:ascii="Times New Roman" w:hAnsi="Times New Roman"/>
          <w:szCs w:val="24"/>
        </w:rPr>
        <w:t xml:space="preserve">The Federal Deposit Insurance Corporation (FDIC) is requesting a </w:t>
      </w:r>
      <w:r w:rsidR="005A4FAF">
        <w:rPr>
          <w:rFonts w:ascii="Times New Roman" w:hAnsi="Times New Roman"/>
          <w:szCs w:val="24"/>
        </w:rPr>
        <w:t>revision</w:t>
      </w:r>
      <w:r w:rsidR="007D0309">
        <w:rPr>
          <w:rFonts w:ascii="Times New Roman" w:hAnsi="Times New Roman"/>
          <w:szCs w:val="24"/>
        </w:rPr>
        <w:t xml:space="preserve"> </w:t>
      </w:r>
      <w:r w:rsidRPr="00914465">
        <w:rPr>
          <w:rFonts w:ascii="Times New Roman" w:hAnsi="Times New Roman"/>
          <w:szCs w:val="24"/>
        </w:rPr>
        <w:t>of the information collection associated with Acquisition Services Information Requirements</w:t>
      </w:r>
      <w:r>
        <w:rPr>
          <w:rFonts w:ascii="Times New Roman" w:hAnsi="Times New Roman"/>
          <w:szCs w:val="24"/>
        </w:rPr>
        <w:t xml:space="preserve"> </w:t>
      </w:r>
      <w:r w:rsidRPr="00914465">
        <w:rPr>
          <w:rFonts w:ascii="Times New Roman" w:hAnsi="Times New Roman"/>
          <w:szCs w:val="24"/>
        </w:rPr>
        <w:t>(</w:t>
      </w:r>
      <w:r>
        <w:rPr>
          <w:rFonts w:ascii="Times New Roman" w:hAnsi="Times New Roman"/>
          <w:szCs w:val="24"/>
        </w:rPr>
        <w:t xml:space="preserve">OMB Control No. </w:t>
      </w:r>
      <w:r w:rsidRPr="00914465">
        <w:rPr>
          <w:rFonts w:ascii="Times New Roman" w:hAnsi="Times New Roman"/>
          <w:szCs w:val="24"/>
        </w:rPr>
        <w:t>3064-0072).  The collection of information involves</w:t>
      </w:r>
      <w:r w:rsidR="00995218">
        <w:rPr>
          <w:rFonts w:ascii="Times New Roman" w:hAnsi="Times New Roman"/>
          <w:szCs w:val="24"/>
        </w:rPr>
        <w:t xml:space="preserve"> the submission of various documents</w:t>
      </w:r>
      <w:r w:rsidRPr="00914465">
        <w:rPr>
          <w:rFonts w:ascii="Times New Roman" w:hAnsi="Times New Roman"/>
          <w:szCs w:val="24"/>
        </w:rPr>
        <w:t xml:space="preserve"> by contractors who wish to do business with the FDIC or are currently under contract with the FDIC, and by government agencies or commercial businesses that provide FDIC with past performance information.  The current clearance for the collection </w:t>
      </w:r>
      <w:r w:rsidR="007D0309">
        <w:rPr>
          <w:rFonts w:ascii="Times New Roman" w:hAnsi="Times New Roman"/>
          <w:szCs w:val="24"/>
        </w:rPr>
        <w:t xml:space="preserve">of information </w:t>
      </w:r>
      <w:r w:rsidRPr="00914465">
        <w:rPr>
          <w:rFonts w:ascii="Times New Roman" w:hAnsi="Times New Roman"/>
          <w:szCs w:val="24"/>
        </w:rPr>
        <w:t xml:space="preserve">expires on </w:t>
      </w:r>
      <w:r w:rsidR="005A4FAF">
        <w:rPr>
          <w:rFonts w:ascii="Times New Roman" w:hAnsi="Times New Roman"/>
          <w:szCs w:val="24"/>
        </w:rPr>
        <w:t>June</w:t>
      </w:r>
      <w:r w:rsidR="007D0309">
        <w:rPr>
          <w:rFonts w:ascii="Times New Roman" w:hAnsi="Times New Roman"/>
          <w:szCs w:val="24"/>
        </w:rPr>
        <w:t xml:space="preserve"> 3</w:t>
      </w:r>
      <w:r w:rsidR="005A4FAF">
        <w:rPr>
          <w:rFonts w:ascii="Times New Roman" w:hAnsi="Times New Roman"/>
          <w:szCs w:val="24"/>
        </w:rPr>
        <w:t>0</w:t>
      </w:r>
      <w:r w:rsidR="007D0309">
        <w:rPr>
          <w:rFonts w:ascii="Times New Roman" w:hAnsi="Times New Roman"/>
          <w:szCs w:val="24"/>
        </w:rPr>
        <w:t>, 202</w:t>
      </w:r>
      <w:r w:rsidR="005A4FAF">
        <w:rPr>
          <w:rFonts w:ascii="Times New Roman" w:hAnsi="Times New Roman"/>
          <w:szCs w:val="24"/>
        </w:rPr>
        <w:t>8</w:t>
      </w:r>
      <w:r w:rsidRPr="00914465">
        <w:rPr>
          <w:rFonts w:ascii="Times New Roman" w:hAnsi="Times New Roman"/>
          <w:szCs w:val="24"/>
        </w:rPr>
        <w:t xml:space="preserve">. </w:t>
      </w:r>
      <w:r w:rsidRPr="005F55B3" w:rsidR="005F55B3">
        <w:rPr>
          <w:rFonts w:ascii="Times New Roman" w:hAnsi="Times New Roman"/>
          <w:szCs w:val="24"/>
        </w:rPr>
        <w:t>The FDIC is revising Form 7400/04A</w:t>
      </w:r>
      <w:r w:rsidR="005F55B3">
        <w:rPr>
          <w:rFonts w:ascii="Times New Roman" w:hAnsi="Times New Roman"/>
          <w:szCs w:val="24"/>
        </w:rPr>
        <w:t xml:space="preserve"> of this information collection</w:t>
      </w:r>
      <w:r w:rsidRPr="005F55B3" w:rsidR="005F55B3">
        <w:rPr>
          <w:rFonts w:ascii="Times New Roman" w:hAnsi="Times New Roman"/>
          <w:szCs w:val="24"/>
        </w:rPr>
        <w:t xml:space="preserve"> by removing certain language and questions in the form to comply with Executive Order 14151. The decreased burden is due to the removal of Questions 3, 4, and 7.</w:t>
      </w:r>
    </w:p>
    <w:p w:rsidR="004E3E52" w:rsidRPr="00A658D8" w:rsidP="004E3E52" w14:paraId="48F6D8A5" w14:textId="77777777">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E3E52" w:rsidRPr="00A658D8" w:rsidP="004E3E52" w14:paraId="40E20663" w14:textId="77777777">
      <w:pPr>
        <w:widowControl/>
        <w:numPr>
          <w:ilvl w:val="0"/>
          <w:numId w:val="18"/>
        </w:numPr>
        <w:rPr>
          <w:rFonts w:ascii="Times New Roman" w:hAnsi="Times New Roman"/>
          <w:szCs w:val="24"/>
        </w:rPr>
      </w:pPr>
      <w:r w:rsidRPr="00A658D8">
        <w:rPr>
          <w:rFonts w:ascii="Times New Roman" w:hAnsi="Times New Roman"/>
          <w:szCs w:val="24"/>
          <w:u w:val="single"/>
        </w:rPr>
        <w:t>JUSTIFICATION</w:t>
      </w:r>
    </w:p>
    <w:p w:rsidR="008D5DF3" w:rsidRPr="00A658D8" w:rsidP="00850D6B" w14:paraId="3A1BD2A4" w14:textId="77777777">
      <w:pPr>
        <w:rPr>
          <w:rFonts w:ascii="Times New Roman" w:hAnsi="Times New Roman"/>
          <w:szCs w:val="24"/>
        </w:rPr>
      </w:pPr>
    </w:p>
    <w:p w:rsidR="004E3E52" w:rsidRPr="007D0309" w:rsidP="00EC340C" w14:paraId="5C2D27E8" w14:textId="15CF1EE1">
      <w:pPr>
        <w:widowControl/>
        <w:numPr>
          <w:ilvl w:val="1"/>
          <w:numId w:val="18"/>
        </w:numPr>
        <w:ind w:left="630"/>
        <w:rPr>
          <w:rFonts w:ascii="Times New Roman" w:hAnsi="Times New Roman"/>
          <w:szCs w:val="24"/>
        </w:rPr>
      </w:pPr>
      <w:r w:rsidRPr="007D0309">
        <w:rPr>
          <w:rFonts w:ascii="Times New Roman" w:hAnsi="Times New Roman"/>
          <w:szCs w:val="24"/>
          <w:u w:val="single"/>
        </w:rPr>
        <w:t>Circumstances that make the collection necessary:</w:t>
      </w:r>
    </w:p>
    <w:p w:rsidR="007D0309" w:rsidRPr="007D0309" w:rsidP="007D0309" w14:paraId="4B02AC5B" w14:textId="16E6433A">
      <w:pPr>
        <w:widowControl/>
        <w:ind w:left="630"/>
        <w:rPr>
          <w:rFonts w:ascii="Times New Roman" w:hAnsi="Times New Roman"/>
          <w:szCs w:val="24"/>
        </w:rPr>
      </w:pPr>
    </w:p>
    <w:p w:rsidR="00914465" w:rsidRPr="00914465" w:rsidP="00995218" w14:paraId="3D139E67" w14:textId="77777777">
      <w:pPr>
        <w:ind w:left="630"/>
        <w:rPr>
          <w:rFonts w:ascii="Times New Roman" w:hAnsi="Times New Roman"/>
          <w:szCs w:val="24"/>
        </w:rPr>
      </w:pPr>
      <w:r w:rsidRPr="00914465">
        <w:rPr>
          <w:rFonts w:ascii="Times New Roman" w:hAnsi="Times New Roman"/>
          <w:szCs w:val="24"/>
        </w:rPr>
        <w:t xml:space="preserve">The Federal Deposit Insurance Act (12 U.S.C. Section 1819) empowers the FDIC to </w:t>
      </w:r>
      <w:r w:rsidRPr="00914465">
        <w:rPr>
          <w:rFonts w:ascii="Times New Roman" w:hAnsi="Times New Roman"/>
          <w:szCs w:val="24"/>
        </w:rPr>
        <w:t>enter into</w:t>
      </w:r>
      <w:r w:rsidRPr="00914465">
        <w:rPr>
          <w:rFonts w:ascii="Times New Roman" w:hAnsi="Times New Roman"/>
          <w:szCs w:val="24"/>
        </w:rPr>
        <w:t xml:space="preserve"> contracts using private sector contractors to provide goods or services.  This Act also provides that FDIC may promulgate policies and procedures to administer the powers granted to it, including the power to </w:t>
      </w:r>
      <w:r w:rsidRPr="00914465">
        <w:rPr>
          <w:rFonts w:ascii="Times New Roman" w:hAnsi="Times New Roman"/>
          <w:szCs w:val="24"/>
        </w:rPr>
        <w:t>enter into</w:t>
      </w:r>
      <w:r w:rsidRPr="00914465">
        <w:rPr>
          <w:rFonts w:ascii="Times New Roman" w:hAnsi="Times New Roman"/>
          <w:szCs w:val="24"/>
        </w:rPr>
        <w:t xml:space="preserve"> contracts.  The authority to establish policies and procedures and generate the contracting program has been delegated by the Board of Directors to the Director, Division of Administration.  Therefore, pursuant to such policies, the Acquisition and Corporate Services Branch, Division of Administration, FDIC Headquarters in Washington D.C., has developed forms and clauses to facilitate the procurement of goods and services from private sector contractors.</w:t>
      </w:r>
    </w:p>
    <w:p w:rsidR="00914465" w:rsidRPr="00914465" w:rsidP="00914465" w14:paraId="34B0AECF" w14:textId="77777777">
      <w:pPr>
        <w:widowControl/>
        <w:rPr>
          <w:rFonts w:ascii="Times New Roman" w:hAnsi="Times New Roman"/>
          <w:szCs w:val="24"/>
        </w:rPr>
      </w:pPr>
    </w:p>
    <w:p w:rsidR="00914465" w:rsidRPr="00914465" w:rsidP="00995218" w14:paraId="792F14E3" w14:textId="77777777">
      <w:pPr>
        <w:ind w:left="630"/>
        <w:rPr>
          <w:rFonts w:ascii="Times New Roman" w:hAnsi="Times New Roman"/>
          <w:szCs w:val="24"/>
        </w:rPr>
      </w:pPr>
      <w:r w:rsidRPr="00914465">
        <w:rPr>
          <w:rFonts w:ascii="Times New Roman" w:hAnsi="Times New Roman"/>
          <w:szCs w:val="24"/>
        </w:rPr>
        <w:t>In order to</w:t>
      </w:r>
      <w:r w:rsidRPr="00914465">
        <w:rPr>
          <w:rFonts w:ascii="Times New Roman" w:hAnsi="Times New Roman"/>
          <w:szCs w:val="24"/>
        </w:rPr>
        <w:t xml:space="preserve"> obtain competitive proposals and contracts from vendors interested in providing goods or services to the FDIC, the FDIC uses the Solicitation/Award request (Form 3700/55). This form is completed by the FDIC and is used in connection with a request for </w:t>
      </w:r>
      <w:r w:rsidRPr="00914465">
        <w:rPr>
          <w:rFonts w:ascii="Times New Roman" w:hAnsi="Times New Roman"/>
          <w:szCs w:val="24"/>
        </w:rPr>
        <w:t>proposal</w:t>
      </w:r>
      <w:r w:rsidRPr="00914465">
        <w:rPr>
          <w:rFonts w:ascii="Times New Roman" w:hAnsi="Times New Roman"/>
          <w:szCs w:val="24"/>
        </w:rPr>
        <w:t xml:space="preserve"> and a request for price quotations.  </w:t>
      </w:r>
    </w:p>
    <w:p w:rsidR="00914465" w:rsidRPr="00914465" w:rsidP="00914465" w14:paraId="1E413291" w14:textId="77777777">
      <w:pPr>
        <w:widowControl/>
        <w:rPr>
          <w:rFonts w:ascii="Times New Roman" w:hAnsi="Times New Roman"/>
          <w:szCs w:val="24"/>
        </w:rPr>
      </w:pPr>
    </w:p>
    <w:p w:rsidR="00914465" w:rsidRPr="00914465" w:rsidP="00995218" w14:paraId="463D9FF2" w14:textId="77777777">
      <w:pPr>
        <w:ind w:left="630"/>
        <w:rPr>
          <w:rFonts w:ascii="Times New Roman" w:hAnsi="Times New Roman"/>
          <w:szCs w:val="24"/>
        </w:rPr>
      </w:pPr>
      <w:r w:rsidRPr="00914465">
        <w:rPr>
          <w:rFonts w:ascii="Times New Roman" w:hAnsi="Times New Roman"/>
          <w:szCs w:val="24"/>
        </w:rPr>
        <w:t xml:space="preserve">In anticipation of a particular contract solicitation, the FDIC may first conduct market research to narrow down the list of potential contractors. This is done through an RFI. Following the RFI process, potential firms may be notified if they are to be included in the next phase of the acquisition process.  </w:t>
      </w:r>
    </w:p>
    <w:p w:rsidR="00914465" w:rsidRPr="00914465" w:rsidP="00914465" w14:paraId="452DD464" w14:textId="77777777">
      <w:pPr>
        <w:widowControl/>
        <w:rPr>
          <w:rFonts w:ascii="Times New Roman" w:hAnsi="Times New Roman"/>
          <w:szCs w:val="24"/>
        </w:rPr>
      </w:pPr>
    </w:p>
    <w:p w:rsidR="00914465" w:rsidRPr="001D7038" w:rsidP="00995218" w14:paraId="6E75B704" w14:textId="77777777">
      <w:pPr>
        <w:ind w:left="630"/>
        <w:rPr>
          <w:rFonts w:ascii="Times New Roman" w:hAnsi="Times New Roman"/>
          <w:szCs w:val="24"/>
        </w:rPr>
      </w:pPr>
      <w:r w:rsidRPr="00914465">
        <w:rPr>
          <w:rFonts w:ascii="Times New Roman" w:hAnsi="Times New Roman"/>
          <w:szCs w:val="24"/>
        </w:rPr>
        <w:t xml:space="preserve">The FDIC Background Investigation Questionnaire for Contractor Personnel and Subcontractors (Form 1600/04), Background Investigation Questionnaire for Contractors (Form1600/07), Integrity and Fitness Representations and Certifications (Form 3700/12), </w:t>
      </w:r>
      <w:r w:rsidRPr="001D7038">
        <w:rPr>
          <w:rFonts w:ascii="Times New Roman" w:hAnsi="Times New Roman"/>
          <w:szCs w:val="24"/>
        </w:rPr>
        <w:t xml:space="preserve">and Leasing Representations and Certifications (Form 3700/44) are a result of the implementation of 12 CFR Part 366.  The FDIC adopted 12 CFR Part 366 </w:t>
      </w:r>
      <w:r>
        <w:rPr>
          <w:rFonts w:ascii="Times New Roman" w:hAnsi="Times New Roman"/>
          <w:szCs w:val="24"/>
        </w:rPr>
        <w:t xml:space="preserve">(Part 366) </w:t>
      </w:r>
      <w:r w:rsidRPr="001D7038">
        <w:rPr>
          <w:rFonts w:ascii="Times New Roman" w:hAnsi="Times New Roman"/>
          <w:szCs w:val="24"/>
        </w:rPr>
        <w:t xml:space="preserve">pursuant to Section 12(f)(3) and (4) of the Federal Deposit Insurance Act, 12 U.S.C. 1822(f)(3) and (4), and the rulemaking authority of the FDIC found at 12 U.S.C. 1819. Pursuant to those sections and consistent with the goals and purposes of titles 18 and 41 of the U.S. Code, </w:t>
      </w:r>
      <w:r>
        <w:rPr>
          <w:rFonts w:ascii="Times New Roman" w:hAnsi="Times New Roman"/>
          <w:szCs w:val="24"/>
        </w:rPr>
        <w:t>Part 366</w:t>
      </w:r>
      <w:r w:rsidRPr="001D7038">
        <w:rPr>
          <w:rFonts w:ascii="Times New Roman" w:hAnsi="Times New Roman"/>
          <w:szCs w:val="24"/>
        </w:rPr>
        <w:t xml:space="preserve"> establishes the minimum standards of integrity and fitness that contractors, subcontractors, and employees of contractors and subcontractors must meet if they perform any service or function on behalf of the FDIC. </w:t>
      </w:r>
      <w:r>
        <w:rPr>
          <w:rFonts w:ascii="Times New Roman" w:hAnsi="Times New Roman"/>
          <w:szCs w:val="24"/>
        </w:rPr>
        <w:t>Part 366</w:t>
      </w:r>
      <w:r w:rsidRPr="001D7038">
        <w:rPr>
          <w:rFonts w:ascii="Times New Roman" w:hAnsi="Times New Roman"/>
          <w:szCs w:val="24"/>
        </w:rPr>
        <w:t xml:space="preserve"> includes regulations governing conflicts of interest, ethical responsibility, and use of confidential information in accordance with 1822(f)(3); and the prohibitions and the submission of information in accordance with 1822(f)(4). </w:t>
      </w:r>
      <w:r>
        <w:rPr>
          <w:rFonts w:ascii="Times New Roman" w:hAnsi="Times New Roman"/>
          <w:szCs w:val="24"/>
        </w:rPr>
        <w:t xml:space="preserve"> Part 366</w:t>
      </w:r>
      <w:r w:rsidRPr="001D7038">
        <w:rPr>
          <w:rFonts w:ascii="Times New Roman" w:hAnsi="Times New Roman"/>
          <w:szCs w:val="24"/>
        </w:rPr>
        <w:t xml:space="preserve"> applies to a person who submits an offer to perform or </w:t>
      </w:r>
      <w:r w:rsidRPr="001D7038">
        <w:rPr>
          <w:rFonts w:ascii="Times New Roman" w:hAnsi="Times New Roman"/>
          <w:szCs w:val="24"/>
        </w:rPr>
        <w:t>performs</w:t>
      </w:r>
      <w:r w:rsidRPr="001D7038">
        <w:rPr>
          <w:rFonts w:ascii="Times New Roman" w:hAnsi="Times New Roman"/>
          <w:szCs w:val="24"/>
        </w:rPr>
        <w:t xml:space="preserve">, directly or indirectly, a contractual service or function on behalf of the FDIC.  </w:t>
      </w:r>
    </w:p>
    <w:p w:rsidR="00914465" w:rsidRPr="001D7038" w:rsidP="00914465" w14:paraId="34FAFA35" w14:textId="77777777">
      <w:pPr>
        <w:ind w:left="540" w:right="840" w:hanging="540"/>
        <w:rPr>
          <w:rFonts w:ascii="Times New Roman" w:hAnsi="Times New Roman"/>
          <w:szCs w:val="24"/>
        </w:rPr>
      </w:pPr>
    </w:p>
    <w:p w:rsidR="00914465" w:rsidRPr="001D7038" w:rsidP="00995218" w14:paraId="1B5D9082" w14:textId="77777777">
      <w:pPr>
        <w:ind w:left="630"/>
        <w:rPr>
          <w:rFonts w:ascii="Times New Roman" w:hAnsi="Times New Roman"/>
          <w:szCs w:val="24"/>
        </w:rPr>
      </w:pPr>
      <w:r w:rsidRPr="001D7038">
        <w:rPr>
          <w:rFonts w:ascii="Times New Roman" w:hAnsi="Times New Roman"/>
          <w:szCs w:val="24"/>
        </w:rPr>
        <w:t>In addition, the evaluation of an offeror’s past performance under formal contracting procedures is a mandatory technical evaluation criterion in the FDIC’s standard solicitation document. In support of the evaluation of the past performance criterion, the FDIC Past Performance Questionnaire (Form 3700/57) was developed to be submitted by other government agencies or commercial businesses who are doing business, or have done business, with the contractor that the FDIC is evaluating.</w:t>
      </w:r>
    </w:p>
    <w:p w:rsidR="00914465" w:rsidRPr="001D7038" w:rsidP="00914465" w14:paraId="6F7D891D" w14:textId="77777777">
      <w:pPr>
        <w:autoSpaceDE w:val="0"/>
        <w:autoSpaceDN w:val="0"/>
        <w:ind w:left="720"/>
        <w:rPr>
          <w:rFonts w:ascii="Times New Roman" w:hAnsi="Times New Roman"/>
          <w:szCs w:val="24"/>
        </w:rPr>
      </w:pPr>
    </w:p>
    <w:p w:rsidR="00914465" w:rsidRPr="001D7038" w:rsidP="00995218" w14:paraId="3E021F16" w14:textId="77777777">
      <w:pPr>
        <w:ind w:left="630"/>
        <w:rPr>
          <w:rFonts w:ascii="Times New Roman" w:hAnsi="Times New Roman"/>
          <w:szCs w:val="24"/>
        </w:rPr>
      </w:pPr>
      <w:r w:rsidRPr="001D7038">
        <w:rPr>
          <w:rFonts w:ascii="Times New Roman" w:hAnsi="Times New Roman"/>
          <w:szCs w:val="24"/>
        </w:rPr>
        <w:t>The FDIC Contractor Representations and Certifications form (Form 3700/</w:t>
      </w:r>
      <w:r>
        <w:rPr>
          <w:rFonts w:ascii="Times New Roman" w:hAnsi="Times New Roman"/>
          <w:szCs w:val="24"/>
        </w:rPr>
        <w:t>0</w:t>
      </w:r>
      <w:r w:rsidRPr="001D7038">
        <w:rPr>
          <w:rFonts w:ascii="Times New Roman" w:hAnsi="Times New Roman"/>
          <w:szCs w:val="24"/>
        </w:rPr>
        <w:t xml:space="preserve">4A) must be completed by any offeror that responds to a solicitation for an </w:t>
      </w:r>
      <w:r w:rsidRPr="001D7038">
        <w:rPr>
          <w:rFonts w:ascii="Times New Roman" w:hAnsi="Times New Roman"/>
          <w:szCs w:val="24"/>
        </w:rPr>
        <w:t>award</w:t>
      </w:r>
      <w:r w:rsidRPr="001D7038">
        <w:rPr>
          <w:rFonts w:ascii="Times New Roman" w:hAnsi="Times New Roman"/>
          <w:szCs w:val="24"/>
        </w:rPr>
        <w:t xml:space="preserve"> over $100,000. </w:t>
      </w:r>
    </w:p>
    <w:p w:rsidR="00914465" w:rsidRPr="001D7038" w:rsidP="00914465" w14:paraId="726F6B14" w14:textId="77777777">
      <w:pPr>
        <w:autoSpaceDE w:val="0"/>
        <w:autoSpaceDN w:val="0"/>
        <w:adjustRightInd w:val="0"/>
        <w:ind w:left="720"/>
        <w:rPr>
          <w:rFonts w:ascii="Times New Roman" w:hAnsi="Times New Roman"/>
          <w:szCs w:val="24"/>
        </w:rPr>
      </w:pPr>
    </w:p>
    <w:p w:rsidR="00032A27" w:rsidRPr="007D651E" w:rsidP="007D651E" w14:paraId="6CB0FB38" w14:textId="35C9FB67">
      <w:pPr>
        <w:ind w:left="630"/>
        <w:rPr>
          <w:rFonts w:ascii="Times New Roman" w:hAnsi="Times New Roman"/>
          <w:szCs w:val="24"/>
        </w:rPr>
      </w:pPr>
      <w:r w:rsidRPr="001D7038">
        <w:rPr>
          <w:rFonts w:ascii="Times New Roman" w:hAnsi="Times New Roman"/>
          <w:szCs w:val="24"/>
        </w:rPr>
        <w:t>Finally, in connection with a contract proposal, the FDIC seeks a commitment from an FDIC contractor to ensure, to the maximum extent possible consistent with applicable law, the fair inclusion of minorities and women in its workforce and the workforces of its applicable subcontractors. The commitment is asserted by the FDIC Fair Inclusion of Minorities and Women, which is a contract clause implementing Section 342(c)(2) of the Dodd-Frank Wall Street Reform and Consumer Protection Act (12 U.S.C. 5452). The clause asserts the FDIC’s right to request documentation from the contractor that demonstrates the contractor’s good faith effort to include minorities and women in its workforce and subcontractors’ workforces.</w:t>
      </w:r>
    </w:p>
    <w:p w:rsidR="00032A27" w:rsidRPr="00A658D8" w:rsidP="00914465" w14:paraId="51CD5E83" w14:textId="77777777">
      <w:pPr>
        <w:widowControl/>
        <w:rPr>
          <w:rFonts w:ascii="Times New Roman" w:eastAsia="Arial Unicode MS" w:hAnsi="Times New Roman"/>
          <w:szCs w:val="24"/>
        </w:rPr>
      </w:pPr>
    </w:p>
    <w:p w:rsidR="008D5DF3" w:rsidRPr="00A658D8" w:rsidP="007E06F6" w14:paraId="6C8C4BC2" w14:textId="6E9D9100">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Use of </w:t>
      </w:r>
      <w:r w:rsidR="007D0309">
        <w:rPr>
          <w:rFonts w:ascii="Times New Roman" w:hAnsi="Times New Roman"/>
          <w:szCs w:val="24"/>
          <w:u w:val="single"/>
        </w:rPr>
        <w:t xml:space="preserve">the </w:t>
      </w:r>
      <w:r w:rsidRPr="00A658D8">
        <w:rPr>
          <w:rFonts w:ascii="Times New Roman" w:hAnsi="Times New Roman"/>
          <w:szCs w:val="24"/>
          <w:u w:val="single"/>
        </w:rPr>
        <w:t>Information</w:t>
      </w:r>
      <w:r w:rsidRPr="00A658D8">
        <w:rPr>
          <w:rFonts w:ascii="Times New Roman" w:hAnsi="Times New Roman"/>
          <w:szCs w:val="24"/>
        </w:rPr>
        <w:tab/>
      </w:r>
    </w:p>
    <w:p w:rsidR="007D651E" w:rsidP="00995218" w14:paraId="2E7D3FC8" w14:textId="77777777">
      <w:pPr>
        <w:ind w:left="630"/>
        <w:rPr>
          <w:rFonts w:ascii="Times New Roman" w:hAnsi="Times New Roman"/>
          <w:szCs w:val="24"/>
        </w:rPr>
      </w:pPr>
    </w:p>
    <w:p w:rsidR="00741B4D" w:rsidP="00995218" w14:paraId="46B8F223" w14:textId="69321A7B">
      <w:pPr>
        <w:ind w:left="630"/>
        <w:rPr>
          <w:rFonts w:ascii="Times New Roman" w:hAnsi="Times New Roman"/>
          <w:szCs w:val="24"/>
        </w:rPr>
      </w:pPr>
      <w:r w:rsidRPr="00E36994">
        <w:rPr>
          <w:rFonts w:ascii="Times New Roman" w:hAnsi="Times New Roman"/>
          <w:szCs w:val="24"/>
        </w:rPr>
        <w:t xml:space="preserve">The information requested is used to determine the qualifications, fitness and integrity of contractors wishing to </w:t>
      </w:r>
      <w:r w:rsidRPr="00E36994">
        <w:rPr>
          <w:rFonts w:ascii="Times New Roman" w:hAnsi="Times New Roman"/>
          <w:szCs w:val="24"/>
        </w:rPr>
        <w:t>enter into</w:t>
      </w:r>
      <w:r w:rsidRPr="00E36994">
        <w:rPr>
          <w:rFonts w:ascii="Times New Roman" w:hAnsi="Times New Roman"/>
          <w:szCs w:val="24"/>
        </w:rPr>
        <w:t xml:space="preserve"> contracts or leases with the FDIC and to obtain past performance information pertaining to specific contractors.  The forms have legal significance since their submission represents formal offers and/or averments, which, if fraudulent, are punishable under provisions of both civil and criminal law.  The past performance information collected is used to compare and evaluate technical capabilities of multiple offerors.  Such evaluations may take place on items ranging in complexity from routine office equipment to highly specialized services.  </w:t>
      </w:r>
    </w:p>
    <w:p w:rsidR="008D5DF3" w:rsidRPr="00A658D8" w:rsidP="00232C01" w14:paraId="7B413C9B" w14:textId="77777777">
      <w:pPr>
        <w:ind w:left="720"/>
        <w:rPr>
          <w:rFonts w:ascii="Times New Roman" w:hAnsi="Times New Roman"/>
          <w:szCs w:val="24"/>
        </w:rPr>
      </w:pPr>
    </w:p>
    <w:p w:rsidR="007D0309" w:rsidRPr="007D0309" w:rsidP="007D0309" w14:paraId="2498C910" w14:textId="086BC81C">
      <w:pPr>
        <w:widowControl/>
        <w:numPr>
          <w:ilvl w:val="1"/>
          <w:numId w:val="18"/>
        </w:numPr>
        <w:ind w:left="630"/>
        <w:rPr>
          <w:rFonts w:ascii="Times New Roman" w:hAnsi="Times New Roman"/>
          <w:szCs w:val="24"/>
          <w:u w:val="single"/>
        </w:rPr>
      </w:pPr>
      <w:r w:rsidRPr="007D0309">
        <w:rPr>
          <w:rFonts w:ascii="Times New Roman" w:hAnsi="Times New Roman"/>
          <w:szCs w:val="24"/>
          <w:u w:val="single"/>
        </w:rPr>
        <w:t>Consideration of the use of improved information technology</w:t>
      </w:r>
      <w:r>
        <w:rPr>
          <w:rFonts w:ascii="Times New Roman" w:hAnsi="Times New Roman"/>
          <w:szCs w:val="24"/>
          <w:u w:val="single"/>
        </w:rPr>
        <w:t>:</w:t>
      </w:r>
    </w:p>
    <w:p w:rsidR="007D651E" w:rsidP="00995218" w14:paraId="1C73C96A" w14:textId="77777777">
      <w:pPr>
        <w:ind w:left="630"/>
        <w:rPr>
          <w:rFonts w:ascii="Times New Roman" w:hAnsi="Times New Roman"/>
          <w:szCs w:val="24"/>
        </w:rPr>
      </w:pPr>
    </w:p>
    <w:p w:rsidR="00032A27" w:rsidRPr="001D7038" w:rsidP="00995218" w14:paraId="556CF720" w14:textId="6EF32C80">
      <w:pPr>
        <w:ind w:left="630"/>
        <w:rPr>
          <w:rFonts w:ascii="Times New Roman" w:hAnsi="Times New Roman"/>
          <w:szCs w:val="24"/>
        </w:rPr>
      </w:pPr>
      <w:r w:rsidRPr="00032A27">
        <w:rPr>
          <w:rFonts w:ascii="Times New Roman" w:hAnsi="Times New Roman"/>
          <w:szCs w:val="24"/>
        </w:rPr>
        <w:t xml:space="preserve">Respondents may use any information technology that </w:t>
      </w:r>
      <w:r w:rsidRPr="00032A27">
        <w:rPr>
          <w:rFonts w:ascii="Times New Roman" w:hAnsi="Times New Roman"/>
          <w:iCs/>
          <w:szCs w:val="24"/>
        </w:rPr>
        <w:t>permits review by FDIC</w:t>
      </w:r>
      <w:r w:rsidRPr="00032A27">
        <w:rPr>
          <w:rFonts w:ascii="Times New Roman" w:hAnsi="Times New Roman"/>
          <w:szCs w:val="24"/>
        </w:rPr>
        <w:t>.</w:t>
      </w:r>
      <w:r w:rsidR="007D651E">
        <w:rPr>
          <w:i/>
          <w:iCs/>
          <w:szCs w:val="24"/>
        </w:rPr>
        <w:t xml:space="preserve"> </w:t>
      </w:r>
      <w:r w:rsidRPr="001D7038">
        <w:rPr>
          <w:rFonts w:ascii="Times New Roman" w:hAnsi="Times New Roman"/>
          <w:szCs w:val="24"/>
        </w:rPr>
        <w:t xml:space="preserve">Electronic copies of </w:t>
      </w:r>
      <w:r w:rsidRPr="001D7038">
        <w:rPr>
          <w:rFonts w:ascii="Times New Roman" w:hAnsi="Times New Roman"/>
          <w:szCs w:val="24"/>
        </w:rPr>
        <w:t xml:space="preserve">the </w:t>
      </w:r>
      <w:r w:rsidR="007D651E">
        <w:rPr>
          <w:rFonts w:ascii="Times New Roman" w:hAnsi="Times New Roman"/>
          <w:szCs w:val="24"/>
        </w:rPr>
        <w:t>certain</w:t>
      </w:r>
      <w:r w:rsidRPr="001D7038">
        <w:rPr>
          <w:rFonts w:ascii="Times New Roman" w:hAnsi="Times New Roman"/>
          <w:szCs w:val="24"/>
        </w:rPr>
        <w:t xml:space="preserve"> forms are available on FDIC</w:t>
      </w:r>
      <w:r>
        <w:rPr>
          <w:rFonts w:ascii="Times New Roman" w:hAnsi="Times New Roman"/>
          <w:szCs w:val="24"/>
        </w:rPr>
        <w:t>’</w:t>
      </w:r>
      <w:r w:rsidRPr="001D7038">
        <w:rPr>
          <w:rFonts w:ascii="Times New Roman" w:hAnsi="Times New Roman"/>
          <w:szCs w:val="24"/>
        </w:rPr>
        <w:t>s ext</w:t>
      </w:r>
      <w:r w:rsidR="007D651E">
        <w:rPr>
          <w:rFonts w:ascii="Times New Roman" w:hAnsi="Times New Roman"/>
          <w:szCs w:val="24"/>
        </w:rPr>
        <w:t>ernal website.  These forms can</w:t>
      </w:r>
      <w:r w:rsidRPr="001D7038">
        <w:rPr>
          <w:rFonts w:ascii="Times New Roman" w:hAnsi="Times New Roman"/>
          <w:szCs w:val="24"/>
        </w:rPr>
        <w:t xml:space="preserve"> be used by contractors that </w:t>
      </w:r>
      <w:r w:rsidRPr="001D7038">
        <w:rPr>
          <w:rFonts w:ascii="Times New Roman" w:hAnsi="Times New Roman"/>
          <w:szCs w:val="24"/>
        </w:rPr>
        <w:t>propose on</w:t>
      </w:r>
      <w:r w:rsidRPr="001D7038">
        <w:rPr>
          <w:rFonts w:ascii="Times New Roman" w:hAnsi="Times New Roman"/>
          <w:szCs w:val="24"/>
        </w:rPr>
        <w:t xml:space="preserve"> FDIC contracts, contractors doing business with FDIC, and government agencies or commercial businesses that provide past performance informat</w:t>
      </w:r>
      <w:r w:rsidR="007D651E">
        <w:rPr>
          <w:rFonts w:ascii="Times New Roman" w:hAnsi="Times New Roman"/>
          <w:szCs w:val="24"/>
        </w:rPr>
        <w:t>ion to FDIC.</w:t>
      </w:r>
      <w:r w:rsidRPr="001D7038">
        <w:rPr>
          <w:rFonts w:ascii="Times New Roman" w:hAnsi="Times New Roman"/>
          <w:szCs w:val="24"/>
        </w:rPr>
        <w:t xml:space="preserve"> </w:t>
      </w:r>
    </w:p>
    <w:p w:rsidR="008D5DF3" w:rsidRPr="00A658D8" w:rsidP="00850D6B" w14:paraId="116698C9" w14:textId="77777777">
      <w:pPr>
        <w:tabs>
          <w:tab w:val="left" w:pos="-1440"/>
        </w:tabs>
        <w:ind w:left="720" w:hanging="720"/>
        <w:rPr>
          <w:rFonts w:ascii="Times New Roman" w:hAnsi="Times New Roman"/>
          <w:szCs w:val="24"/>
        </w:rPr>
      </w:pPr>
    </w:p>
    <w:p w:rsidR="006D1B84" w:rsidRPr="00A658D8" w:rsidP="007E06F6" w14:paraId="27FFFECF"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Efforts to Identify Duplication</w:t>
      </w:r>
    </w:p>
    <w:p w:rsidR="00476833" w:rsidP="00995218" w14:paraId="5FB54DE7" w14:textId="77777777">
      <w:pPr>
        <w:ind w:left="630"/>
        <w:rPr>
          <w:rFonts w:ascii="Times New Roman" w:hAnsi="Times New Roman"/>
          <w:szCs w:val="24"/>
        </w:rPr>
      </w:pPr>
    </w:p>
    <w:p w:rsidR="008D5DF3" w:rsidRPr="00A658D8" w:rsidP="00995218" w14:paraId="22DF0FFC" w14:textId="5E7F9649">
      <w:pPr>
        <w:ind w:left="630"/>
        <w:rPr>
          <w:rFonts w:ascii="Times New Roman" w:hAnsi="Times New Roman"/>
          <w:szCs w:val="24"/>
        </w:rPr>
      </w:pPr>
      <w:r w:rsidRPr="00032A27">
        <w:rPr>
          <w:rFonts w:ascii="Times New Roman" w:hAnsi="Times New Roman"/>
          <w:szCs w:val="24"/>
        </w:rPr>
        <w:t>The information collected does not duplicate information existing elsewhere. In addition, the FDIC uses option provisions in contracts when an increase in the same or similar products and services can be reasonably anticipated.  This approach eliminates excessive solicitation of the same or similar items when competition was used initially and a determination that the price obtained through the option is reasonable.</w:t>
      </w:r>
    </w:p>
    <w:p w:rsidR="00CF5845" w:rsidRPr="00A658D8" w:rsidP="00CF5845" w14:paraId="627506A5" w14:textId="77777777">
      <w:pPr>
        <w:widowControl/>
        <w:rPr>
          <w:rFonts w:ascii="Times New Roman" w:hAnsi="Times New Roman"/>
          <w:szCs w:val="24"/>
        </w:rPr>
      </w:pPr>
    </w:p>
    <w:p w:rsidR="00CF5845" w:rsidRPr="00A658D8" w:rsidP="007E06F6" w14:paraId="3E8CC873" w14:textId="462B600A">
      <w:pPr>
        <w:widowControl/>
        <w:numPr>
          <w:ilvl w:val="1"/>
          <w:numId w:val="18"/>
        </w:numPr>
        <w:ind w:left="630"/>
        <w:rPr>
          <w:rFonts w:ascii="Times New Roman" w:hAnsi="Times New Roman"/>
          <w:szCs w:val="24"/>
          <w:u w:val="single"/>
        </w:rPr>
      </w:pPr>
      <w:r w:rsidRPr="007D0309">
        <w:rPr>
          <w:rFonts w:ascii="Times New Roman" w:hAnsi="Times New Roman"/>
          <w:snapToGrid w:val="0"/>
          <w:u w:val="single"/>
        </w:rPr>
        <w:t>Methods used to minimize burden if the collection has a significant impact on a substantial number of small entities:</w:t>
      </w:r>
    </w:p>
    <w:p w:rsidR="00476833" w:rsidP="00995218" w14:paraId="5CEBAA48" w14:textId="77777777">
      <w:pPr>
        <w:ind w:left="630"/>
        <w:rPr>
          <w:rFonts w:ascii="Times New Roman" w:hAnsi="Times New Roman"/>
          <w:szCs w:val="24"/>
        </w:rPr>
      </w:pPr>
    </w:p>
    <w:p w:rsidR="008D5DF3" w:rsidRPr="00A658D8" w:rsidP="00995218" w14:paraId="39F2BBD2" w14:textId="483CBB56">
      <w:pPr>
        <w:ind w:left="630"/>
        <w:rPr>
          <w:rFonts w:ascii="Times New Roman" w:hAnsi="Times New Roman"/>
          <w:szCs w:val="24"/>
        </w:rPr>
      </w:pPr>
      <w:r w:rsidRPr="000440A4">
        <w:rPr>
          <w:rFonts w:ascii="Times New Roman" w:hAnsi="Times New Roman"/>
          <w:szCs w:val="24"/>
        </w:rPr>
        <w:t>The amount of information collected varies with the competitiveness and complexity of the procurement.  The number of entities considered small, according to the Small Business Administration, is difficult to estimate given that acquisition services vary greatly.  However, in general, procurement requirements are less complex for small firms.  Therefore, the amount of information collected from a small firm is generally less burdensome than for a major solicitation</w:t>
      </w:r>
      <w:r>
        <w:rPr>
          <w:rFonts w:ascii="Times New Roman" w:hAnsi="Times New Roman"/>
          <w:szCs w:val="24"/>
        </w:rPr>
        <w:t xml:space="preserve"> responded to by a large firm.</w:t>
      </w:r>
      <w:r w:rsidRPr="00A658D8">
        <w:rPr>
          <w:rFonts w:ascii="Times New Roman" w:hAnsi="Times New Roman"/>
          <w:szCs w:val="24"/>
        </w:rPr>
        <w:t xml:space="preserve"> </w:t>
      </w:r>
    </w:p>
    <w:p w:rsidR="008D5DF3" w:rsidRPr="00A658D8" w:rsidP="00850D6B" w14:paraId="301C2B2D" w14:textId="77777777">
      <w:pPr>
        <w:tabs>
          <w:tab w:val="left" w:pos="-1440"/>
        </w:tabs>
        <w:ind w:left="720" w:hanging="720"/>
        <w:outlineLvl w:val="0"/>
        <w:rPr>
          <w:rFonts w:ascii="Times New Roman" w:hAnsi="Times New Roman"/>
          <w:szCs w:val="24"/>
        </w:rPr>
      </w:pPr>
    </w:p>
    <w:p w:rsidR="008D5DF3" w:rsidRPr="00A658D8" w:rsidP="007E06F6" w14:paraId="43B1268D"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Consequences to </w:t>
      </w:r>
      <w:r w:rsidRPr="00A658D8" w:rsidR="00CF5845">
        <w:rPr>
          <w:rFonts w:ascii="Times New Roman" w:hAnsi="Times New Roman"/>
          <w:szCs w:val="24"/>
          <w:u w:val="single"/>
        </w:rPr>
        <w:t>Less Frequent Collections</w:t>
      </w:r>
    </w:p>
    <w:p w:rsidR="000440A4" w:rsidRPr="000440A4" w:rsidP="000440A4" w14:paraId="7B2F1169" w14:textId="77777777">
      <w:pPr>
        <w:tabs>
          <w:tab w:val="left" w:pos="-1440"/>
        </w:tabs>
        <w:outlineLvl w:val="0"/>
        <w:rPr>
          <w:rFonts w:ascii="Times New Roman" w:hAnsi="Times New Roman"/>
          <w:szCs w:val="24"/>
        </w:rPr>
      </w:pPr>
    </w:p>
    <w:p w:rsidR="00226BAF" w:rsidP="00995218" w14:paraId="7C234298" w14:textId="06D36392">
      <w:pPr>
        <w:ind w:left="630"/>
        <w:rPr>
          <w:rFonts w:ascii="Times New Roman" w:hAnsi="Times New Roman"/>
          <w:szCs w:val="24"/>
        </w:rPr>
      </w:pPr>
      <w:r w:rsidRPr="000440A4">
        <w:rPr>
          <w:rFonts w:ascii="Times New Roman" w:hAnsi="Times New Roman"/>
          <w:szCs w:val="24"/>
        </w:rPr>
        <w:t>The information is collected on an “as needed” basis to support legislative requirements.</w:t>
      </w:r>
      <w:r w:rsidR="00476833">
        <w:rPr>
          <w:rFonts w:ascii="Times New Roman" w:hAnsi="Times New Roman"/>
          <w:szCs w:val="24"/>
        </w:rPr>
        <w:t xml:space="preserve">  It would not be possible for FDIC to conduct acquisition services in accordance with applicable law if the information is not collected on the occasions required.</w:t>
      </w:r>
    </w:p>
    <w:p w:rsidR="00226BAF" w:rsidRPr="00A658D8" w:rsidP="004D5F88" w14:paraId="6FBEC8D6" w14:textId="77777777">
      <w:pPr>
        <w:tabs>
          <w:tab w:val="left" w:pos="-1440"/>
        </w:tabs>
        <w:outlineLvl w:val="0"/>
        <w:rPr>
          <w:rFonts w:ascii="Times New Roman" w:hAnsi="Times New Roman"/>
          <w:szCs w:val="24"/>
        </w:rPr>
      </w:pPr>
    </w:p>
    <w:p w:rsidR="008D5DF3" w:rsidRPr="00A658D8" w:rsidP="007E06F6" w14:paraId="052BB142" w14:textId="70C270A5">
      <w:pPr>
        <w:widowControl/>
        <w:numPr>
          <w:ilvl w:val="1"/>
          <w:numId w:val="18"/>
        </w:numPr>
        <w:ind w:left="630"/>
        <w:rPr>
          <w:rFonts w:ascii="Times New Roman" w:hAnsi="Times New Roman"/>
          <w:szCs w:val="24"/>
        </w:rPr>
      </w:pPr>
      <w:r w:rsidRPr="007D0309">
        <w:rPr>
          <w:rFonts w:ascii="Times New Roman" w:hAnsi="Times New Roman"/>
          <w:szCs w:val="24"/>
          <w:u w:val="single"/>
        </w:rPr>
        <w:t>Special circumstances necessitating collection inconsistent with 5 CFR 1320.5(d)(2):</w:t>
      </w:r>
    </w:p>
    <w:p w:rsidR="00476833" w:rsidP="00995218" w14:paraId="32B80E37" w14:textId="77777777">
      <w:pPr>
        <w:ind w:left="630"/>
        <w:rPr>
          <w:rFonts w:ascii="Times New Roman" w:hAnsi="Times New Roman"/>
          <w:szCs w:val="24"/>
        </w:rPr>
      </w:pPr>
    </w:p>
    <w:p w:rsidR="008D5DF3" w:rsidRPr="00A658D8" w:rsidP="00995218" w14:paraId="783BD9A9" w14:textId="554AD41C">
      <w:pPr>
        <w:ind w:left="630"/>
        <w:rPr>
          <w:rFonts w:ascii="Times New Roman" w:hAnsi="Times New Roman"/>
          <w:szCs w:val="24"/>
        </w:rPr>
      </w:pPr>
      <w:r w:rsidRPr="00A658D8">
        <w:rPr>
          <w:rFonts w:ascii="Times New Roman" w:hAnsi="Times New Roman"/>
          <w:szCs w:val="24"/>
        </w:rPr>
        <w:t xml:space="preserve">None.  </w:t>
      </w:r>
    </w:p>
    <w:p w:rsidR="008D5DF3" w:rsidRPr="00A658D8" w:rsidP="00850D6B" w14:paraId="2B1A1A70" w14:textId="77777777">
      <w:pPr>
        <w:rPr>
          <w:rFonts w:ascii="Times New Roman" w:hAnsi="Times New Roman"/>
          <w:szCs w:val="24"/>
        </w:rPr>
      </w:pPr>
    </w:p>
    <w:p w:rsidR="00CF5845" w:rsidRPr="00A658D8" w:rsidP="007E06F6" w14:paraId="2374FFD9" w14:textId="77777777">
      <w:pPr>
        <w:widowControl/>
        <w:numPr>
          <w:ilvl w:val="1"/>
          <w:numId w:val="18"/>
        </w:numPr>
        <w:ind w:left="630"/>
        <w:rPr>
          <w:rFonts w:ascii="Times New Roman" w:hAnsi="Times New Roman"/>
          <w:szCs w:val="24"/>
          <w:u w:val="single"/>
        </w:rPr>
      </w:pPr>
      <w:r w:rsidRPr="00A658D8">
        <w:rPr>
          <w:rFonts w:ascii="Times New Roman" w:hAnsi="Times New Roman"/>
          <w:szCs w:val="24"/>
          <w:u w:val="single"/>
        </w:rPr>
        <w:t>Consultation with Persons Outside the FDIC</w:t>
      </w:r>
    </w:p>
    <w:p w:rsidR="00476833" w:rsidP="00995218" w14:paraId="4682425A" w14:textId="77777777">
      <w:pPr>
        <w:ind w:left="630"/>
        <w:rPr>
          <w:rFonts w:ascii="Times New Roman" w:hAnsi="Times New Roman"/>
        </w:rPr>
      </w:pPr>
    </w:p>
    <w:p w:rsidR="00637BCB" w:rsidP="00995218" w14:paraId="42922B36" w14:textId="7B098463">
      <w:pPr>
        <w:ind w:left="630"/>
        <w:rPr>
          <w:rFonts w:ascii="Times New Roman" w:hAnsi="Times New Roman"/>
        </w:rPr>
      </w:pPr>
      <w:r>
        <w:rPr>
          <w:rFonts w:ascii="Times New Roman" w:hAnsi="Times New Roman"/>
        </w:rPr>
        <w:t>FDIC published a notice in the Federal Register</w:t>
      </w:r>
      <w:r w:rsidR="004A3BFA">
        <w:rPr>
          <w:rFonts w:ascii="Times New Roman" w:hAnsi="Times New Roman"/>
        </w:rPr>
        <w:t xml:space="preserve"> </w:t>
      </w:r>
      <w:r>
        <w:rPr>
          <w:rFonts w:ascii="Times New Roman" w:hAnsi="Times New Roman"/>
        </w:rPr>
        <w:t xml:space="preserve">informing the public of its intent to renew this information collection and </w:t>
      </w:r>
      <w:r w:rsidR="004A3BFA">
        <w:rPr>
          <w:rFonts w:ascii="Times New Roman" w:hAnsi="Times New Roman"/>
        </w:rPr>
        <w:t>seeking public comment</w:t>
      </w:r>
      <w:r>
        <w:rPr>
          <w:rFonts w:ascii="Times New Roman" w:hAnsi="Times New Roman"/>
        </w:rPr>
        <w:t xml:space="preserve">.  That notice was published </w:t>
      </w:r>
      <w:r w:rsidRPr="00995218">
        <w:rPr>
          <w:rFonts w:ascii="Times New Roman" w:hAnsi="Times New Roman"/>
          <w:szCs w:val="24"/>
        </w:rPr>
        <w:t>on</w:t>
      </w:r>
      <w:r w:rsidR="000440A4">
        <w:rPr>
          <w:rFonts w:ascii="Times New Roman" w:hAnsi="Times New Roman"/>
        </w:rPr>
        <w:t xml:space="preserve"> </w:t>
      </w:r>
      <w:r w:rsidR="005F55B3">
        <w:rPr>
          <w:rFonts w:ascii="Times New Roman" w:hAnsi="Times New Roman"/>
        </w:rPr>
        <w:t>March 2, 2026</w:t>
      </w:r>
      <w:r>
        <w:rPr>
          <w:rFonts w:ascii="Times New Roman" w:hAnsi="Times New Roman"/>
        </w:rPr>
        <w:t xml:space="preserve"> (</w:t>
      </w:r>
      <w:r w:rsidR="00CD4992">
        <w:rPr>
          <w:rFonts w:ascii="Times New Roman" w:hAnsi="Times New Roman"/>
        </w:rPr>
        <w:t>9</w:t>
      </w:r>
      <w:r w:rsidR="005F55B3">
        <w:rPr>
          <w:rFonts w:ascii="Times New Roman" w:hAnsi="Times New Roman"/>
        </w:rPr>
        <w:t>1</w:t>
      </w:r>
      <w:r w:rsidR="000440A4">
        <w:rPr>
          <w:rFonts w:ascii="Times New Roman" w:hAnsi="Times New Roman"/>
        </w:rPr>
        <w:t xml:space="preserve"> FR </w:t>
      </w:r>
      <w:r w:rsidR="005F55B3">
        <w:rPr>
          <w:rFonts w:ascii="Times New Roman" w:hAnsi="Times New Roman"/>
        </w:rPr>
        <w:t xml:space="preserve"> 10093</w:t>
      </w:r>
      <w:r>
        <w:rPr>
          <w:rFonts w:ascii="Times New Roman" w:hAnsi="Times New Roman"/>
        </w:rPr>
        <w:t xml:space="preserve">).  </w:t>
      </w:r>
      <w:r w:rsidR="005F55B3">
        <w:rPr>
          <w:rFonts w:ascii="Times New Roman" w:hAnsi="Times New Roman"/>
        </w:rPr>
        <w:t>The FDIC received two</w:t>
      </w:r>
      <w:r>
        <w:rPr>
          <w:rFonts w:ascii="Times New Roman" w:hAnsi="Times New Roman"/>
        </w:rPr>
        <w:t xml:space="preserve"> similar</w:t>
      </w:r>
      <w:r w:rsidR="005F55B3">
        <w:rPr>
          <w:rFonts w:ascii="Times New Roman" w:hAnsi="Times New Roman"/>
        </w:rPr>
        <w:t xml:space="preserve"> comments from the same individual</w:t>
      </w:r>
      <w:r w:rsidR="000440A4">
        <w:rPr>
          <w:rFonts w:ascii="Times New Roman" w:hAnsi="Times New Roman"/>
        </w:rPr>
        <w:t xml:space="preserve">.  </w:t>
      </w:r>
      <w:r>
        <w:rPr>
          <w:rFonts w:ascii="Times New Roman" w:hAnsi="Times New Roman"/>
        </w:rPr>
        <w:t>The commenter noted that the FDIC’s current contracting representations “fail to screen vendors for participation in Systemic ERISA and Fiduciary Fraud.” The commenter suggested that the FDIC “</w:t>
      </w:r>
      <w:r w:rsidRPr="00637BCB">
        <w:rPr>
          <w:rFonts w:ascii="Times New Roman" w:hAnsi="Times New Roman"/>
        </w:rPr>
        <w:t xml:space="preserve">update its Integrity and Fitness Representations </w:t>
      </w:r>
      <w:r w:rsidRPr="00637BCB">
        <w:rPr>
          <w:rFonts w:ascii="Times New Roman" w:hAnsi="Times New Roman"/>
        </w:rPr>
        <w:t xml:space="preserve">(Form 3700/12) to include the </w:t>
      </w:r>
      <w:r>
        <w:rPr>
          <w:rFonts w:ascii="Times New Roman" w:hAnsi="Times New Roman"/>
        </w:rPr>
        <w:t>‘</w:t>
      </w:r>
      <w:r w:rsidRPr="00637BCB">
        <w:rPr>
          <w:rFonts w:ascii="Times New Roman" w:hAnsi="Times New Roman"/>
        </w:rPr>
        <w:t>RDS Scrutiny Standard</w:t>
      </w:r>
      <w:r>
        <w:rPr>
          <w:rFonts w:ascii="Times New Roman" w:hAnsi="Times New Roman"/>
        </w:rPr>
        <w:t xml:space="preserve">’” which would require vendors to certify they are not “utilizing ‘Ghost Mortality’ models”, disclose control of union trusts and auditing firms, and </w:t>
      </w:r>
      <w:r w:rsidRPr="00637BCB">
        <w:rPr>
          <w:rFonts w:ascii="Times New Roman" w:hAnsi="Times New Roman"/>
        </w:rPr>
        <w:t xml:space="preserve">disclose if they have received or processed federal outlays (USDA, SBA, or APTC credits) </w:t>
      </w:r>
      <w:r w:rsidR="004737FA">
        <w:rPr>
          <w:rFonts w:ascii="Times New Roman" w:hAnsi="Times New Roman"/>
        </w:rPr>
        <w:t>“</w:t>
      </w:r>
      <w:r w:rsidRPr="00637BCB">
        <w:rPr>
          <w:rFonts w:ascii="Times New Roman" w:hAnsi="Times New Roman"/>
        </w:rPr>
        <w:t>under the identities of deceased participants.</w:t>
      </w:r>
      <w:r w:rsidR="004737FA">
        <w:rPr>
          <w:rFonts w:ascii="Times New Roman" w:hAnsi="Times New Roman"/>
        </w:rPr>
        <w:t>”</w:t>
      </w:r>
    </w:p>
    <w:p w:rsidR="00637BCB" w:rsidP="00995218" w14:paraId="31D528AE" w14:textId="77777777">
      <w:pPr>
        <w:ind w:left="630"/>
        <w:rPr>
          <w:rFonts w:ascii="Times New Roman" w:hAnsi="Times New Roman"/>
        </w:rPr>
      </w:pPr>
    </w:p>
    <w:p w:rsidR="00637BCB" w:rsidP="00995218" w14:paraId="125732A9" w14:textId="130BFA80">
      <w:pPr>
        <w:ind w:left="630"/>
        <w:rPr>
          <w:rFonts w:ascii="Times New Roman" w:hAnsi="Times New Roman"/>
        </w:rPr>
      </w:pPr>
      <w:r>
        <w:rPr>
          <w:rFonts w:ascii="Times New Roman" w:hAnsi="Times New Roman"/>
        </w:rPr>
        <w:t>The FDIC has carefully considered this comment and determined that its current Integrity and Fitness Representatio</w:t>
      </w:r>
      <w:r w:rsidR="00C106DC">
        <w:rPr>
          <w:rFonts w:ascii="Times New Roman" w:hAnsi="Times New Roman"/>
        </w:rPr>
        <w:t xml:space="preserve">n form is sufficient and does not need to be updated. </w:t>
      </w:r>
    </w:p>
    <w:p w:rsidR="00637BCB" w:rsidP="00995218" w14:paraId="4FAC9991" w14:textId="77777777">
      <w:pPr>
        <w:ind w:left="630"/>
        <w:rPr>
          <w:rFonts w:ascii="Times New Roman" w:hAnsi="Times New Roman"/>
        </w:rPr>
      </w:pPr>
    </w:p>
    <w:p w:rsidR="00A658D8" w:rsidP="00995218" w14:paraId="2CB82C0C" w14:textId="17557FD4">
      <w:pPr>
        <w:ind w:left="630"/>
        <w:rPr>
          <w:rFonts w:ascii="Times New Roman" w:hAnsi="Times New Roman"/>
        </w:rPr>
      </w:pPr>
      <w:r w:rsidRPr="003F12AD">
        <w:rPr>
          <w:rFonts w:ascii="Times New Roman" w:hAnsi="Times New Roman"/>
        </w:rPr>
        <w:t xml:space="preserve">On </w:t>
      </w:r>
      <w:r w:rsidRPr="003F12AD" w:rsidR="00C106DC">
        <w:rPr>
          <w:rFonts w:ascii="Times New Roman" w:hAnsi="Times New Roman"/>
        </w:rPr>
        <w:t>May 20,</w:t>
      </w:r>
      <w:r w:rsidRPr="003F12AD">
        <w:rPr>
          <w:rFonts w:ascii="Times New Roman" w:hAnsi="Times New Roman"/>
        </w:rPr>
        <w:t xml:space="preserve"> </w:t>
      </w:r>
      <w:r w:rsidRPr="003F12AD" w:rsidR="00CD4992">
        <w:rPr>
          <w:rFonts w:ascii="Times New Roman" w:hAnsi="Times New Roman"/>
        </w:rPr>
        <w:t>202</w:t>
      </w:r>
      <w:r w:rsidRPr="003F12AD" w:rsidR="00C106DC">
        <w:rPr>
          <w:rFonts w:ascii="Times New Roman" w:hAnsi="Times New Roman"/>
        </w:rPr>
        <w:t>6</w:t>
      </w:r>
      <w:r w:rsidRPr="003F12AD" w:rsidR="00CD4992">
        <w:rPr>
          <w:rFonts w:ascii="Times New Roman" w:hAnsi="Times New Roman"/>
        </w:rPr>
        <w:t>,</w:t>
      </w:r>
      <w:r w:rsidRPr="003F12AD" w:rsidR="00C106DC">
        <w:rPr>
          <w:rFonts w:ascii="Times New Roman" w:hAnsi="Times New Roman"/>
        </w:rPr>
        <w:t xml:space="preserve"> the</w:t>
      </w:r>
      <w:r w:rsidRPr="003F12AD" w:rsidR="004A65CE">
        <w:rPr>
          <w:rFonts w:ascii="Times New Roman" w:hAnsi="Times New Roman"/>
        </w:rPr>
        <w:t xml:space="preserve"> FDIC published a second notice in the Federal Register (</w:t>
      </w:r>
      <w:r w:rsidRPr="003F12AD" w:rsidR="00C106DC">
        <w:rPr>
          <w:rFonts w:ascii="Times New Roman" w:hAnsi="Times New Roman"/>
        </w:rPr>
        <w:t>91 FR 29483</w:t>
      </w:r>
      <w:r w:rsidRPr="003F12AD" w:rsidR="00A22D73">
        <w:rPr>
          <w:rFonts w:ascii="Times New Roman" w:hAnsi="Times New Roman"/>
        </w:rPr>
        <w:t xml:space="preserve">) </w:t>
      </w:r>
      <w:r w:rsidRPr="003F12AD" w:rsidR="004A65CE">
        <w:rPr>
          <w:rFonts w:ascii="Times New Roman" w:hAnsi="Times New Roman"/>
        </w:rPr>
        <w:t xml:space="preserve">informing the public that the agency is submitting a request to OMB for the </w:t>
      </w:r>
      <w:r w:rsidRPr="003F12AD" w:rsidR="005F55B3">
        <w:rPr>
          <w:rFonts w:ascii="Times New Roman" w:hAnsi="Times New Roman"/>
        </w:rPr>
        <w:t>revision</w:t>
      </w:r>
      <w:r w:rsidRPr="003F12AD" w:rsidR="004A65CE">
        <w:rPr>
          <w:rFonts w:ascii="Times New Roman" w:hAnsi="Times New Roman"/>
        </w:rPr>
        <w:t xml:space="preserve"> of this</w:t>
      </w:r>
      <w:r w:rsidR="004A65CE">
        <w:rPr>
          <w:rFonts w:ascii="Times New Roman" w:hAnsi="Times New Roman"/>
        </w:rPr>
        <w:t xml:space="preserve"> information collection.  That notice provides for an additional 30-day comment period and if any comments are received, FDIC will address them as instructed by OMB.</w:t>
      </w:r>
    </w:p>
    <w:p w:rsidR="004A3BFA" w:rsidRPr="00A658D8" w:rsidP="00A658D8" w14:paraId="75340158" w14:textId="77777777">
      <w:pPr>
        <w:ind w:left="1080"/>
        <w:outlineLvl w:val="0"/>
        <w:rPr>
          <w:rFonts w:ascii="Times New Roman" w:hAnsi="Times New Roman"/>
          <w:szCs w:val="24"/>
        </w:rPr>
      </w:pPr>
    </w:p>
    <w:p w:rsidR="008D5DF3" w:rsidRPr="00A658D8" w:rsidP="007E06F6" w14:paraId="307EA246"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Payment </w:t>
      </w:r>
      <w:r w:rsidRPr="00A658D8" w:rsidR="00CF5845">
        <w:rPr>
          <w:rFonts w:ascii="Times New Roman" w:hAnsi="Times New Roman"/>
          <w:szCs w:val="24"/>
          <w:u w:val="single"/>
        </w:rPr>
        <w:t>or Gifts to R</w:t>
      </w:r>
      <w:r w:rsidRPr="00A658D8">
        <w:rPr>
          <w:rFonts w:ascii="Times New Roman" w:hAnsi="Times New Roman"/>
          <w:szCs w:val="24"/>
          <w:u w:val="single"/>
        </w:rPr>
        <w:t>espondents</w:t>
      </w:r>
    </w:p>
    <w:p w:rsidR="00476833" w:rsidP="00995218" w14:paraId="2A4F6676" w14:textId="77777777">
      <w:pPr>
        <w:ind w:left="630"/>
        <w:rPr>
          <w:rFonts w:ascii="Times New Roman" w:hAnsi="Times New Roman"/>
          <w:szCs w:val="24"/>
        </w:rPr>
      </w:pPr>
    </w:p>
    <w:p w:rsidR="008D5DF3" w:rsidP="00995218" w14:paraId="05243013" w14:textId="5644D941">
      <w:pPr>
        <w:ind w:left="630"/>
        <w:rPr>
          <w:rFonts w:ascii="Times New Roman" w:hAnsi="Times New Roman"/>
          <w:szCs w:val="24"/>
        </w:rPr>
      </w:pPr>
      <w:r w:rsidRPr="00A658D8">
        <w:rPr>
          <w:rFonts w:ascii="Times New Roman" w:hAnsi="Times New Roman"/>
          <w:szCs w:val="24"/>
        </w:rPr>
        <w:t>None.</w:t>
      </w:r>
    </w:p>
    <w:p w:rsidR="008D5DF3" w:rsidRPr="00A658D8" w:rsidP="00850D6B" w14:paraId="5854F7CE" w14:textId="77777777">
      <w:pPr>
        <w:rPr>
          <w:rFonts w:ascii="Times New Roman" w:hAnsi="Times New Roman"/>
          <w:szCs w:val="24"/>
        </w:rPr>
      </w:pPr>
    </w:p>
    <w:p w:rsidR="00A658D8" w:rsidP="007E06F6" w14:paraId="4EB38ECC" w14:textId="71A1349D">
      <w:pPr>
        <w:widowControl/>
        <w:numPr>
          <w:ilvl w:val="1"/>
          <w:numId w:val="18"/>
        </w:numPr>
        <w:ind w:left="630"/>
        <w:rPr>
          <w:rFonts w:ascii="Times New Roman" w:hAnsi="Times New Roman"/>
          <w:szCs w:val="24"/>
          <w:u w:val="single"/>
        </w:rPr>
      </w:pPr>
      <w:r w:rsidRPr="00CD4992">
        <w:rPr>
          <w:rFonts w:ascii="Times New Roman" w:hAnsi="Times New Roman"/>
          <w:szCs w:val="24"/>
          <w:u w:val="single"/>
        </w:rPr>
        <w:t>Any assurance of confidentiality</w:t>
      </w:r>
      <w:r>
        <w:rPr>
          <w:rFonts w:ascii="Times New Roman" w:hAnsi="Times New Roman"/>
          <w:szCs w:val="24"/>
          <w:u w:val="single"/>
        </w:rPr>
        <w:t>:</w:t>
      </w:r>
    </w:p>
    <w:p w:rsidR="00476833" w:rsidP="00995218" w14:paraId="575E10C5" w14:textId="77777777">
      <w:pPr>
        <w:ind w:left="630"/>
        <w:rPr>
          <w:rFonts w:ascii="Times New Roman" w:hAnsi="Times New Roman"/>
        </w:rPr>
      </w:pPr>
    </w:p>
    <w:p w:rsidR="008D5DF3" w:rsidRPr="00A658D8" w:rsidP="00995218" w14:paraId="597A16B4" w14:textId="6FBA410A">
      <w:pPr>
        <w:ind w:left="630"/>
        <w:rPr>
          <w:rFonts w:ascii="Times New Roman" w:hAnsi="Times New Roman"/>
          <w:szCs w:val="24"/>
          <w:u w:val="single"/>
        </w:rPr>
      </w:pPr>
      <w:r>
        <w:rPr>
          <w:rFonts w:ascii="Times New Roman" w:hAnsi="Times New Roman"/>
        </w:rPr>
        <w:t xml:space="preserve">Information will be kept confidential to the extent allowed by law.  </w:t>
      </w:r>
      <w:r w:rsidRPr="00A658D8" w:rsidR="00A658D8">
        <w:rPr>
          <w:rFonts w:ascii="Times New Roman" w:hAnsi="Times New Roman"/>
        </w:rPr>
        <w:t>Any information deemed to be of a confidential nature would be exempt from public disclosure in accordance with the provisions of the Freedom of Information Act (5 U.S.C. 552</w:t>
      </w:r>
      <w:r w:rsidRPr="00A658D8" w:rsidR="00A658D8">
        <w:rPr>
          <w:rFonts w:ascii="Times New Roman" w:hAnsi="Times New Roman"/>
          <w:szCs w:val="24"/>
        </w:rPr>
        <w:t xml:space="preserve">). </w:t>
      </w:r>
    </w:p>
    <w:p w:rsidR="00A658D8" w:rsidP="00CF5845" w14:paraId="3BC5D520" w14:textId="77777777">
      <w:pPr>
        <w:tabs>
          <w:tab w:val="left" w:pos="-1440"/>
        </w:tabs>
        <w:ind w:left="1800" w:hanging="720"/>
        <w:outlineLvl w:val="0"/>
        <w:rPr>
          <w:rFonts w:ascii="Times New Roman" w:hAnsi="Times New Roman"/>
          <w:szCs w:val="24"/>
        </w:rPr>
      </w:pPr>
    </w:p>
    <w:p w:rsidR="008D5DF3" w:rsidRPr="00A658D8" w:rsidP="007E06F6" w14:paraId="2F8E0F62" w14:textId="5B50EAE6">
      <w:pPr>
        <w:widowControl/>
        <w:numPr>
          <w:ilvl w:val="1"/>
          <w:numId w:val="18"/>
        </w:numPr>
        <w:ind w:left="630"/>
        <w:rPr>
          <w:rFonts w:ascii="Times New Roman" w:hAnsi="Times New Roman"/>
          <w:szCs w:val="24"/>
          <w:u w:val="single"/>
        </w:rPr>
      </w:pPr>
      <w:r w:rsidRPr="00CD4992">
        <w:rPr>
          <w:rFonts w:ascii="Times New Roman" w:hAnsi="Times New Roman"/>
          <w:szCs w:val="24"/>
          <w:u w:val="single"/>
        </w:rPr>
        <w:t>Justification for questions of a sensitive nature</w:t>
      </w:r>
      <w:r>
        <w:rPr>
          <w:rFonts w:ascii="Times New Roman" w:hAnsi="Times New Roman"/>
          <w:szCs w:val="24"/>
          <w:u w:val="single"/>
        </w:rPr>
        <w:t>:</w:t>
      </w:r>
    </w:p>
    <w:p w:rsidR="00476833" w:rsidP="00995218" w14:paraId="2F6FA62B" w14:textId="77777777">
      <w:pPr>
        <w:ind w:left="630"/>
        <w:rPr>
          <w:rFonts w:ascii="Times New Roman" w:hAnsi="Times New Roman"/>
          <w:szCs w:val="24"/>
        </w:rPr>
      </w:pPr>
    </w:p>
    <w:p w:rsidR="008D5DF3" w:rsidRPr="00A658D8" w:rsidP="00476833" w14:paraId="77F0E582" w14:textId="25C0FABE">
      <w:pPr>
        <w:ind w:left="630"/>
        <w:rPr>
          <w:rFonts w:ascii="Times New Roman" w:hAnsi="Times New Roman"/>
          <w:szCs w:val="24"/>
        </w:rPr>
      </w:pPr>
      <w:r w:rsidRPr="000440A4">
        <w:rPr>
          <w:rFonts w:ascii="Times New Roman" w:hAnsi="Times New Roman"/>
          <w:szCs w:val="24"/>
        </w:rPr>
        <w:t xml:space="preserve">The forms related to this information collection contain Personally Identifiable Information, including name, address, telephone number, customer account number and/or social </w:t>
      </w:r>
      <w:r w:rsidRPr="000440A4">
        <w:rPr>
          <w:rFonts w:ascii="Times New Roman" w:hAnsi="Times New Roman"/>
        </w:rPr>
        <w:t>security</w:t>
      </w:r>
      <w:r w:rsidRPr="000440A4">
        <w:rPr>
          <w:rFonts w:ascii="Times New Roman" w:hAnsi="Times New Roman"/>
          <w:szCs w:val="24"/>
        </w:rPr>
        <w:t xml:space="preserve"> number.  This information is necessary to assist the FDIC in determining the qualifications, fitness and integrity of contractors wishing to </w:t>
      </w:r>
      <w:r w:rsidRPr="000440A4">
        <w:rPr>
          <w:rFonts w:ascii="Times New Roman" w:hAnsi="Times New Roman"/>
          <w:szCs w:val="24"/>
        </w:rPr>
        <w:t>enter into</w:t>
      </w:r>
      <w:r w:rsidRPr="000440A4">
        <w:rPr>
          <w:rFonts w:ascii="Times New Roman" w:hAnsi="Times New Roman"/>
          <w:szCs w:val="24"/>
        </w:rPr>
        <w:t xml:space="preserve"> contracts or leases with the FDIC and to obtain past performance information pertaining to specific contractors.  </w:t>
      </w:r>
      <w:r w:rsidR="00476833">
        <w:rPr>
          <w:rFonts w:ascii="Times New Roman" w:hAnsi="Times New Roman"/>
          <w:szCs w:val="24"/>
        </w:rPr>
        <w:t xml:space="preserve"> </w:t>
      </w:r>
      <w:r w:rsidRPr="000440A4">
        <w:rPr>
          <w:rFonts w:ascii="Times New Roman" w:hAnsi="Times New Roman"/>
          <w:szCs w:val="24"/>
        </w:rPr>
        <w:t xml:space="preserve">The Systems of Records Notices associated with this collection may be viewed at the following link: </w:t>
      </w:r>
      <w:r w:rsidRPr="000440A4">
        <w:rPr>
          <w:rFonts w:ascii="Times New Roman" w:hAnsi="Times New Roman"/>
        </w:rPr>
        <w:t>https</w:t>
      </w:r>
      <w:r w:rsidRPr="000440A4">
        <w:rPr>
          <w:rFonts w:ascii="Times New Roman" w:hAnsi="Times New Roman"/>
          <w:szCs w:val="24"/>
        </w:rPr>
        <w:t>://www.fdic.gov/regulations/laws/rules/2000-4000.html.  The applicable Privacy Impact Assessment is available at https://www.fdic.gov/about/privacy/assessments.html.</w:t>
      </w:r>
    </w:p>
    <w:p w:rsidR="008D5DF3" w:rsidRPr="00A658D8" w:rsidP="00850D6B" w14:paraId="6FA1B44B" w14:textId="77777777">
      <w:pPr>
        <w:rPr>
          <w:rFonts w:ascii="Times New Roman" w:hAnsi="Times New Roman"/>
          <w:szCs w:val="24"/>
        </w:rPr>
      </w:pPr>
    </w:p>
    <w:p w:rsidR="008D5DF3" w:rsidRPr="00F71800" w:rsidP="00F71800" w14:paraId="298E9C0E" w14:textId="796D4369">
      <w:pPr>
        <w:numPr>
          <w:ilvl w:val="1"/>
          <w:numId w:val="18"/>
        </w:numPr>
        <w:ind w:left="634"/>
        <w:rPr>
          <w:rFonts w:ascii="Times New Roman" w:hAnsi="Times New Roman"/>
          <w:szCs w:val="24"/>
        </w:rPr>
      </w:pPr>
      <w:r w:rsidRPr="00CD4992">
        <w:rPr>
          <w:rFonts w:ascii="Times New Roman" w:hAnsi="Times New Roman"/>
          <w:spacing w:val="-3"/>
          <w:szCs w:val="24"/>
          <w:u w:val="single"/>
        </w:rPr>
        <w:t>Estimate of Hour Burden Including Annualized Hourly Costs</w:t>
      </w:r>
      <w:r w:rsidR="00C7365B">
        <w:rPr>
          <w:rFonts w:ascii="Times New Roman" w:hAnsi="Times New Roman"/>
          <w:spacing w:val="-3"/>
          <w:szCs w:val="24"/>
          <w:u w:val="single"/>
        </w:rPr>
        <w:t>:</w:t>
      </w:r>
    </w:p>
    <w:p w:rsidR="00F8624D" w:rsidP="00F8624D" w14:paraId="58D89755" w14:textId="77777777">
      <w:pPr>
        <w:tabs>
          <w:tab w:val="left" w:pos="-1440"/>
        </w:tabs>
        <w:outlineLvl w:val="0"/>
        <w:rPr>
          <w:rFonts w:ascii="Times New Roman" w:hAnsi="Times New Roman"/>
          <w:szCs w:val="24"/>
        </w:rPr>
      </w:pPr>
    </w:p>
    <w:tbl>
      <w:tblPr>
        <w:tblW w:w="10436" w:type="dxa"/>
        <w:tblCellMar>
          <w:top w:w="15" w:type="dxa"/>
        </w:tblCellMar>
        <w:tblLook w:val="04A0"/>
      </w:tblPr>
      <w:tblGrid>
        <w:gridCol w:w="10436"/>
      </w:tblGrid>
      <w:tr w14:paraId="0987CF9B" w14:textId="77777777" w:rsidTr="001407D8">
        <w:tblPrEx>
          <w:tblW w:w="10436" w:type="dxa"/>
          <w:tblCellMar>
            <w:top w:w="15" w:type="dxa"/>
          </w:tblCellMar>
          <w:tblLook w:val="04A0"/>
        </w:tblPrEx>
        <w:trPr>
          <w:trHeight w:val="360"/>
        </w:trPr>
        <w:tc>
          <w:tcPr>
            <w:tcW w:w="10436" w:type="dxa"/>
            <w:tcBorders>
              <w:top w:val="single" w:sz="8" w:space="0" w:color="auto"/>
              <w:left w:val="single" w:sz="8" w:space="0" w:color="auto"/>
              <w:bottom w:val="single" w:sz="8" w:space="0" w:color="auto"/>
              <w:right w:val="single" w:sz="8" w:space="0" w:color="auto"/>
            </w:tcBorders>
            <w:noWrap/>
            <w:vAlign w:val="bottom"/>
            <w:hideMark/>
          </w:tcPr>
          <w:p w:rsidR="001407D8" w:rsidRPr="001407D8" w:rsidP="001407D8" w14:paraId="5D65129C" w14:textId="77777777">
            <w:pPr>
              <w:widowControl/>
              <w:spacing w:after="160"/>
              <w:jc w:val="center"/>
              <w:rPr>
                <w:rFonts w:ascii="Source Sans Pro" w:eastAsia="Source Sans Pro" w:hAnsi="Source Sans Pro"/>
                <w:szCs w:val="24"/>
              </w:rPr>
            </w:pPr>
            <w:r w:rsidRPr="001407D8">
              <w:rPr>
                <w:rFonts w:ascii="Source Sans Pro" w:eastAsia="Source Sans Pro" w:hAnsi="Source Sans Pro"/>
                <w:szCs w:val="24"/>
              </w:rPr>
              <w:t>Table 1. Summary of Estimated Annual Burden (OMB No. 3064-0072)</w:t>
            </w:r>
          </w:p>
        </w:tc>
      </w:tr>
    </w:tbl>
    <w:tbl>
      <w:tblPr>
        <w:tblW w:w="0" w:type="auto"/>
        <w:tblLayout w:type="fixed"/>
        <w:tblLook w:val="06A0"/>
      </w:tblPr>
      <w:tblGrid>
        <w:gridCol w:w="2302"/>
        <w:gridCol w:w="1538"/>
        <w:gridCol w:w="1190"/>
        <w:gridCol w:w="1672"/>
        <w:gridCol w:w="1279"/>
        <w:gridCol w:w="1469"/>
      </w:tblGrid>
      <w:tr w14:paraId="294D7184" w14:textId="77777777" w:rsidTr="003B1C2E">
        <w:tblPrEx>
          <w:tblW w:w="0" w:type="auto"/>
          <w:tblLayout w:type="fixed"/>
          <w:tblLook w:val="06A0"/>
        </w:tblPrEx>
        <w:trPr>
          <w:trHeight w:val="840"/>
        </w:trPr>
        <w:tc>
          <w:tcPr>
            <w:tcW w:w="2302"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1407D8" w:rsidP="003B1C2E" w14:paraId="3A34141F"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Information Collection (IC) (Obligation to Respond)</w:t>
            </w:r>
          </w:p>
        </w:tc>
        <w:tc>
          <w:tcPr>
            <w:tcW w:w="15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1407D8" w:rsidP="003B1C2E" w14:paraId="7AF4C68B"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Type of Burden</w:t>
            </w:r>
            <w:r>
              <w:br/>
            </w:r>
            <w:r w:rsidRPr="2B3754B9">
              <w:rPr>
                <w:rFonts w:ascii="Source Sans Pro" w:eastAsia="Source Sans Pro" w:hAnsi="Source Sans Pro" w:cs="Source Sans Pro"/>
                <w:color w:val="000000" w:themeColor="text1"/>
                <w:sz w:val="20"/>
              </w:rPr>
              <w:t xml:space="preserve"> (Frequency of Response)</w:t>
            </w:r>
          </w:p>
        </w:tc>
        <w:tc>
          <w:tcPr>
            <w:tcW w:w="1190"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B71C82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 Number of Respondents</w:t>
            </w:r>
          </w:p>
        </w:tc>
        <w:tc>
          <w:tcPr>
            <w:tcW w:w="1672"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1407D8" w:rsidP="003B1C2E" w14:paraId="7718F541"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 Number of Responses per Respondent</w:t>
            </w:r>
          </w:p>
        </w:tc>
        <w:tc>
          <w:tcPr>
            <w:tcW w:w="1279"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385C470"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Time per Response (HH:MM)</w:t>
            </w:r>
          </w:p>
        </w:tc>
        <w:tc>
          <w:tcPr>
            <w:tcW w:w="1469" w:type="dxa"/>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rsidR="001407D8" w:rsidP="003B1C2E" w14:paraId="0DCDC00D"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Annual Burden (Hours)</w:t>
            </w:r>
          </w:p>
        </w:tc>
      </w:tr>
      <w:tr w14:paraId="2A924BFB" w14:textId="77777777" w:rsidTr="003B1C2E">
        <w:tblPrEx>
          <w:tblW w:w="0" w:type="auto"/>
          <w:tblLayout w:type="fixed"/>
          <w:tblLook w:val="06A0"/>
        </w:tblPrEx>
        <w:trPr>
          <w:trHeight w:val="1470"/>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B0890AC"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1. Request for Proposal and </w:t>
            </w:r>
            <w:r>
              <w:rPr>
                <w:rFonts w:ascii="Source Sans Pro" w:eastAsia="Source Sans Pro" w:hAnsi="Source Sans Pro" w:cs="Source Sans Pro"/>
                <w:color w:val="000000" w:themeColor="text1"/>
                <w:sz w:val="20"/>
              </w:rPr>
              <w:t xml:space="preserve">Request </w:t>
            </w:r>
            <w:r>
              <w:rPr>
                <w:rFonts w:ascii="Source Sans Pro" w:eastAsia="Source Sans Pro" w:hAnsi="Source Sans Pro" w:cs="Source Sans Pro"/>
                <w:color w:val="000000" w:themeColor="text1"/>
                <w:sz w:val="20"/>
              </w:rPr>
              <w:t xml:space="preserve">for </w:t>
            </w:r>
            <w:r w:rsidRPr="2B3754B9">
              <w:rPr>
                <w:rFonts w:ascii="Source Sans Pro" w:eastAsia="Source Sans Pro" w:hAnsi="Source Sans Pro" w:cs="Source Sans Pro"/>
                <w:color w:val="000000" w:themeColor="text1"/>
                <w:sz w:val="20"/>
              </w:rPr>
              <w:t xml:space="preserve"> Quotation</w:t>
            </w:r>
            <w:r w:rsidRPr="2B3754B9">
              <w:rPr>
                <w:rFonts w:ascii="Source Sans Pro" w:eastAsia="Source Sans Pro" w:hAnsi="Source Sans Pro" w:cs="Source Sans Pro"/>
                <w:color w:val="000000" w:themeColor="text1"/>
                <w:sz w:val="20"/>
              </w:rPr>
              <w:t xml:space="preserve"> - Solicitation/Award (Form 3700/55)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32A2E768"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E946137"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634</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D624C0E"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0F0C7D18"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10:36</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D27CA8C"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6,720</w:t>
            </w:r>
          </w:p>
        </w:tc>
      </w:tr>
      <w:tr w14:paraId="3BC87D68" w14:textId="77777777" w:rsidTr="003B1C2E">
        <w:tblPrEx>
          <w:tblW w:w="0" w:type="auto"/>
          <w:tblLayout w:type="fixed"/>
          <w:tblLook w:val="06A0"/>
        </w:tblPrEx>
        <w:trPr>
          <w:trHeight w:val="55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9799E0C"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 Request for Information (Voluntary)</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9B0FF3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763C8892"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104</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B5038D6"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1FA11D85"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55:24</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2F63E81"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5,762</w:t>
            </w:r>
          </w:p>
        </w:tc>
      </w:tr>
      <w:tr w14:paraId="4E9C4733" w14:textId="77777777" w:rsidTr="003B1C2E">
        <w:tblPrEx>
          <w:tblW w:w="0" w:type="auto"/>
          <w:tblLayout w:type="fixed"/>
          <w:tblLook w:val="06A0"/>
        </w:tblPrEx>
        <w:trPr>
          <w:trHeight w:val="960"/>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57FCE83"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3. Background Investigation Questionnaire for Contractor Personnel and Subcontractors (Form 1600/04), 12 CFR 366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32225E5"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3014A5C6"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581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3285FC5"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5EEEBCF1"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00:20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7D3421F"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194</w:t>
            </w:r>
          </w:p>
        </w:tc>
      </w:tr>
      <w:tr w14:paraId="065D43C1" w14:textId="77777777" w:rsidTr="003B1C2E">
        <w:tblPrEx>
          <w:tblW w:w="0" w:type="auto"/>
          <w:tblLayout w:type="fixed"/>
          <w:tblLook w:val="06A0"/>
        </w:tblPrEx>
        <w:trPr>
          <w:trHeight w:val="163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C64423F"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 Background Investigation Questionnaire for Contractors (Form 1600/07), 12 CFR 366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D4E591C"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1BD4212"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223</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49C572D"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1CC91A63"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00:30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A0614EA"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112</w:t>
            </w:r>
          </w:p>
        </w:tc>
      </w:tr>
      <w:tr w14:paraId="516EDCC2" w14:textId="77777777" w:rsidTr="003B1C2E">
        <w:tblPrEx>
          <w:tblW w:w="0" w:type="auto"/>
          <w:tblLayout w:type="fixed"/>
          <w:tblLook w:val="06A0"/>
        </w:tblPrEx>
        <w:trPr>
          <w:trHeight w:val="136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2FD086C"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5. Leasing Representations and Certifications (Form 3700/44), 12 CFR 366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038F1C1"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39F166A"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40</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92B94D0"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07F8A930"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01:00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97F3DB3"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40</w:t>
            </w:r>
          </w:p>
        </w:tc>
      </w:tr>
      <w:tr w14:paraId="32A95F8B" w14:textId="77777777" w:rsidTr="003B1C2E">
        <w:tblPrEx>
          <w:tblW w:w="0" w:type="auto"/>
          <w:tblLayout w:type="fixed"/>
          <w:tblLook w:val="06A0"/>
        </w:tblPrEx>
        <w:trPr>
          <w:trHeight w:val="109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517EB6D"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 Past Performance Questionnaire (Form 3700/57)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1AF6C1F"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1D3AB97"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474</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06AA0E4"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65AB06EB"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00:45</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D355922"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356</w:t>
            </w:r>
          </w:p>
        </w:tc>
      </w:tr>
      <w:tr w14:paraId="7B31AB6E" w14:textId="77777777" w:rsidTr="003B1C2E">
        <w:tblPrEx>
          <w:tblW w:w="0" w:type="auto"/>
          <w:tblLayout w:type="fixed"/>
          <w:tblLook w:val="06A0"/>
        </w:tblPrEx>
        <w:trPr>
          <w:trHeight w:val="136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6C32A72"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7. Contractor Representations and Certifications (Form 3700/04A)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8400DD0"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3C5EB975"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18FD8FA1"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527BC9F6"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w:t>
            </w:r>
            <w:r>
              <w:rPr>
                <w:rFonts w:ascii="Source Sans Pro" w:eastAsia="Source Sans Pro" w:hAnsi="Source Sans Pro" w:cs="Source Sans Pro"/>
                <w:color w:val="000000" w:themeColor="text1"/>
                <w:sz w:val="20"/>
              </w:rPr>
              <w:t>3</w:t>
            </w:r>
            <w:r w:rsidRPr="2B3754B9">
              <w:rPr>
                <w:rFonts w:ascii="Source Sans Pro" w:eastAsia="Source Sans Pro" w:hAnsi="Source Sans Pro" w:cs="Source Sans Pro"/>
                <w:color w:val="000000" w:themeColor="text1"/>
                <w:sz w:val="20"/>
              </w:rPr>
              <w:t>5</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71FFBE3A"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r>
      <w:tr w14:paraId="1561195D" w14:textId="77777777" w:rsidTr="003B1C2E">
        <w:tblPrEx>
          <w:tblW w:w="0" w:type="auto"/>
          <w:tblLayout w:type="fixed"/>
          <w:tblLook w:val="06A0"/>
        </w:tblPrEx>
        <w:trPr>
          <w:trHeight w:val="136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3B8A9E9C"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8. Integrity and Fitness Representations and Certifications (Form 3700/12)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FF3A60E"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13649B1"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AB5E6A4"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1F5DE52A"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00:20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702D4FF3"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w:t>
            </w:r>
          </w:p>
        </w:tc>
      </w:tr>
      <w:tr w14:paraId="632266B9" w14:textId="77777777" w:rsidTr="003B1C2E">
        <w:tblPrEx>
          <w:tblW w:w="0" w:type="auto"/>
          <w:tblLayout w:type="fixed"/>
          <w:tblLook w:val="06A0"/>
        </w:tblPrEx>
        <w:trPr>
          <w:trHeight w:val="82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916B078"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9. Prize Competitions – Application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67CC17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7B16ABD9"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FCB97D3"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308C3406"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01:00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DB490C4"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r>
      <w:tr w14:paraId="22847187" w14:textId="77777777" w:rsidTr="003B1C2E">
        <w:tblPrEx>
          <w:tblW w:w="0" w:type="auto"/>
          <w:tblLayout w:type="fixed"/>
          <w:tblLook w:val="06A0"/>
        </w:tblPrEx>
        <w:trPr>
          <w:trHeight w:val="82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39CBB7E6"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10. Prize Competitions – Proposal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75AD396"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27403F2"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7C84EAE"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6A7F3509"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D229394"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w:t>
            </w:r>
          </w:p>
        </w:tc>
      </w:tr>
      <w:tr w14:paraId="1CD26D20" w14:textId="77777777" w:rsidTr="003B1C2E">
        <w:tblPrEx>
          <w:tblW w:w="0" w:type="auto"/>
          <w:tblLayout w:type="fixed"/>
          <w:tblLook w:val="06A0"/>
        </w:tblPrEx>
        <w:trPr>
          <w:trHeight w:val="109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E041CF0"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11. Innovation Pilot Programs - Application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ED6F550"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678DB489"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253C7A2"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231E5FDB"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20:00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F500B68"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20</w:t>
            </w:r>
          </w:p>
        </w:tc>
      </w:tr>
      <w:tr w14:paraId="109CCF11" w14:textId="77777777" w:rsidTr="003B1C2E">
        <w:tblPrEx>
          <w:tblW w:w="0" w:type="auto"/>
          <w:tblLayout w:type="fixed"/>
          <w:tblLook w:val="06A0"/>
        </w:tblPrEx>
        <w:trPr>
          <w:trHeight w:val="1095"/>
        </w:trPr>
        <w:tc>
          <w:tcPr>
            <w:tcW w:w="230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4FB11E05"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12. Innovation Pilot Programs - Proposal (Required to Obtain or Retain Benefits)</w:t>
            </w:r>
          </w:p>
        </w:tc>
        <w:tc>
          <w:tcPr>
            <w:tcW w:w="15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8D984E6"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Reporting</w:t>
            </w:r>
            <w:r>
              <w:br/>
            </w:r>
            <w:r w:rsidRPr="2B3754B9">
              <w:rPr>
                <w:rFonts w:ascii="Source Sans Pro" w:eastAsia="Source Sans Pro" w:hAnsi="Source Sans Pro" w:cs="Source Sans Pro"/>
                <w:color w:val="000000" w:themeColor="text1"/>
                <w:sz w:val="20"/>
              </w:rPr>
              <w:t xml:space="preserve"> (On Occasion)</w:t>
            </w:r>
          </w:p>
        </w:tc>
        <w:tc>
          <w:tcPr>
            <w:tcW w:w="119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2BCC58A7"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67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5971C420"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w:t>
            </w:r>
          </w:p>
        </w:tc>
        <w:tc>
          <w:tcPr>
            <w:tcW w:w="1279" w:type="dxa"/>
            <w:tcBorders>
              <w:top w:val="single" w:sz="8" w:space="0" w:color="auto"/>
              <w:left w:val="single" w:sz="8" w:space="0" w:color="auto"/>
              <w:bottom w:val="single" w:sz="8" w:space="0" w:color="auto"/>
              <w:right w:val="nil"/>
            </w:tcBorders>
            <w:tcMar>
              <w:top w:w="15" w:type="dxa"/>
              <w:left w:w="15" w:type="dxa"/>
              <w:right w:w="15" w:type="dxa"/>
            </w:tcMar>
            <w:vAlign w:val="center"/>
          </w:tcPr>
          <w:p w:rsidR="001407D8" w:rsidP="003B1C2E" w14:paraId="7C7DE812"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60:00</w:t>
            </w:r>
          </w:p>
        </w:tc>
        <w:tc>
          <w:tcPr>
            <w:tcW w:w="14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1407D8" w:rsidP="003B1C2E" w14:paraId="053D02B0"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60</w:t>
            </w:r>
          </w:p>
        </w:tc>
      </w:tr>
      <w:tr w14:paraId="38A4F322" w14:textId="77777777" w:rsidTr="003B1C2E">
        <w:tblPrEx>
          <w:tblW w:w="0" w:type="auto"/>
          <w:tblLayout w:type="fixed"/>
          <w:tblLook w:val="06A0"/>
        </w:tblPrEx>
        <w:trPr>
          <w:trHeight w:val="300"/>
        </w:trPr>
        <w:tc>
          <w:tcPr>
            <w:tcW w:w="7981" w:type="dxa"/>
            <w:gridSpan w:val="5"/>
            <w:tcBorders>
              <w:top w:val="single" w:sz="8" w:space="0" w:color="auto"/>
              <w:left w:val="single" w:sz="8" w:space="0" w:color="auto"/>
              <w:bottom w:val="single" w:sz="8" w:space="0" w:color="auto"/>
              <w:right w:val="nil"/>
            </w:tcBorders>
            <w:shd w:val="clear" w:color="auto" w:fill="FFFFFF" w:themeFill="background1"/>
            <w:tcMar>
              <w:top w:w="15" w:type="dxa"/>
              <w:left w:w="15" w:type="dxa"/>
              <w:right w:w="15" w:type="dxa"/>
            </w:tcMar>
            <w:vAlign w:val="center"/>
          </w:tcPr>
          <w:p w:rsidR="001407D8" w:rsidP="003B1C2E" w14:paraId="6AC06A55"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Total Annual Burden (Hours):</w:t>
            </w:r>
          </w:p>
        </w:tc>
        <w:tc>
          <w:tcPr>
            <w:tcW w:w="1469" w:type="dxa"/>
            <w:tcBorders>
              <w:top w:val="single" w:sz="8" w:space="0" w:color="auto"/>
              <w:left w:val="nil"/>
              <w:bottom w:val="single" w:sz="8" w:space="0" w:color="auto"/>
              <w:right w:val="single" w:sz="8" w:space="0" w:color="auto"/>
            </w:tcBorders>
            <w:tcMar>
              <w:top w:w="15" w:type="dxa"/>
              <w:left w:w="15" w:type="dxa"/>
              <w:right w:w="15" w:type="dxa"/>
            </w:tcMar>
            <w:vAlign w:val="bottom"/>
          </w:tcPr>
          <w:p w:rsidR="001407D8" w:rsidP="003B1C2E" w14:paraId="72BC30B1"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13,326</w:t>
            </w:r>
          </w:p>
        </w:tc>
      </w:tr>
      <w:tr w14:paraId="263B77D3" w14:textId="77777777" w:rsidTr="003B1C2E">
        <w:tblPrEx>
          <w:tblW w:w="0" w:type="auto"/>
          <w:tblLayout w:type="fixed"/>
          <w:tblLook w:val="06A0"/>
        </w:tblPrEx>
        <w:trPr>
          <w:trHeight w:val="255"/>
        </w:trPr>
        <w:tc>
          <w:tcPr>
            <w:tcW w:w="9450" w:type="dxa"/>
            <w:gridSpan w:val="6"/>
            <w:tcBorders>
              <w:top w:val="single" w:sz="8" w:space="0" w:color="auto"/>
              <w:left w:val="single" w:sz="8" w:space="0" w:color="auto"/>
              <w:bottom w:val="nil"/>
              <w:right w:val="single" w:sz="8" w:space="0" w:color="000000" w:themeColor="text1"/>
            </w:tcBorders>
            <w:tcMar>
              <w:top w:w="15" w:type="dxa"/>
              <w:left w:w="15" w:type="dxa"/>
              <w:right w:w="15" w:type="dxa"/>
            </w:tcMar>
          </w:tcPr>
          <w:p w:rsidR="001407D8" w:rsidP="003B1C2E" w14:paraId="2B102A82" w14:textId="77777777">
            <w:pPr>
              <w:rPr>
                <w:rFonts w:ascii="Source Sans Pro" w:eastAsia="Source Sans Pro" w:hAnsi="Source Sans Pro" w:cs="Source Sans Pro"/>
                <w:color w:val="000000" w:themeColor="text1"/>
                <w:sz w:val="18"/>
                <w:szCs w:val="18"/>
              </w:rPr>
            </w:pPr>
            <w:r w:rsidRPr="2B3754B9">
              <w:rPr>
                <w:rFonts w:ascii="Source Sans Pro" w:eastAsia="Source Sans Pro" w:hAnsi="Source Sans Pro" w:cs="Source Sans Pro"/>
                <w:color w:val="000000" w:themeColor="text1"/>
                <w:sz w:val="18"/>
                <w:szCs w:val="18"/>
              </w:rPr>
              <w:t>Source: FDIC.</w:t>
            </w:r>
          </w:p>
        </w:tc>
      </w:tr>
      <w:tr w14:paraId="432239D1" w14:textId="77777777" w:rsidTr="003B1C2E">
        <w:tblPrEx>
          <w:tblW w:w="0" w:type="auto"/>
          <w:tblLayout w:type="fixed"/>
          <w:tblLook w:val="06A0"/>
        </w:tblPrEx>
        <w:trPr>
          <w:trHeight w:val="461"/>
        </w:trPr>
        <w:tc>
          <w:tcPr>
            <w:tcW w:w="9450" w:type="dxa"/>
            <w:gridSpan w:val="6"/>
            <w:vMerge w:val="restart"/>
            <w:tcBorders>
              <w:top w:val="nil"/>
              <w:left w:val="single" w:sz="8" w:space="0" w:color="auto"/>
              <w:bottom w:val="single" w:sz="8" w:space="0" w:color="000000" w:themeColor="text1"/>
              <w:right w:val="single" w:sz="8" w:space="0" w:color="000000" w:themeColor="text1"/>
            </w:tcBorders>
            <w:tcMar>
              <w:top w:w="15" w:type="dxa"/>
              <w:left w:w="15" w:type="dxa"/>
              <w:right w:w="15" w:type="dxa"/>
            </w:tcMar>
            <w:vAlign w:val="center"/>
          </w:tcPr>
          <w:p w:rsidR="001407D8" w:rsidP="003B1C2E" w14:paraId="52708EC7" w14:textId="77777777">
            <w:pPr>
              <w:rPr>
                <w:rFonts w:ascii="Source Sans Pro" w:eastAsia="Source Sans Pro" w:hAnsi="Source Sans Pro" w:cs="Source Sans Pro"/>
                <w:color w:val="000000" w:themeColor="text1"/>
                <w:sz w:val="18"/>
                <w:szCs w:val="18"/>
              </w:rPr>
            </w:pPr>
            <w:r w:rsidRPr="2B3754B9">
              <w:rPr>
                <w:rFonts w:ascii="Source Sans Pro" w:eastAsia="Source Sans Pro" w:hAnsi="Source Sans Pro" w:cs="Source Sans Pro"/>
                <w:color w:val="000000" w:themeColor="text1"/>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0763A9B6" w14:textId="77777777" w:rsidTr="003B1C2E">
        <w:tblPrEx>
          <w:tblW w:w="0" w:type="auto"/>
          <w:tblLayout w:type="fixed"/>
          <w:tblLook w:val="06A0"/>
        </w:tblPrEx>
        <w:trPr>
          <w:trHeight w:val="575"/>
        </w:trPr>
        <w:tc>
          <w:tcPr>
            <w:tcW w:w="9450" w:type="dxa"/>
            <w:gridSpan w:val="6"/>
            <w:vMerge/>
            <w:vAlign w:val="center"/>
          </w:tcPr>
          <w:p w:rsidR="001407D8" w:rsidP="003B1C2E" w14:paraId="1310D262" w14:textId="77777777"/>
        </w:tc>
      </w:tr>
      <w:tr w14:paraId="5D6A987F" w14:textId="77777777" w:rsidTr="003B1C2E">
        <w:tblPrEx>
          <w:tblW w:w="0" w:type="auto"/>
          <w:tblLayout w:type="fixed"/>
          <w:tblLook w:val="06A0"/>
        </w:tblPrEx>
        <w:trPr>
          <w:trHeight w:val="575"/>
        </w:trPr>
        <w:tc>
          <w:tcPr>
            <w:tcW w:w="9450" w:type="dxa"/>
            <w:gridSpan w:val="6"/>
            <w:vMerge/>
            <w:vAlign w:val="center"/>
          </w:tcPr>
          <w:p w:rsidR="001407D8" w:rsidP="003B1C2E" w14:paraId="15724FC3" w14:textId="77777777"/>
        </w:tc>
      </w:tr>
      <w:tr w14:paraId="2591CC6C" w14:textId="77777777" w:rsidTr="003B1C2E">
        <w:tblPrEx>
          <w:tblW w:w="0" w:type="auto"/>
          <w:tblLayout w:type="fixed"/>
          <w:tblLook w:val="06A0"/>
        </w:tblPrEx>
        <w:trPr>
          <w:trHeight w:val="575"/>
        </w:trPr>
        <w:tc>
          <w:tcPr>
            <w:tcW w:w="9450" w:type="dxa"/>
            <w:gridSpan w:val="6"/>
            <w:vMerge/>
            <w:vAlign w:val="center"/>
          </w:tcPr>
          <w:p w:rsidR="001407D8" w:rsidP="003B1C2E" w14:paraId="5D6923DD" w14:textId="77777777"/>
        </w:tc>
      </w:tr>
    </w:tbl>
    <w:tbl>
      <w:tblPr>
        <w:tblW w:w="10436" w:type="dxa"/>
        <w:tblCellMar>
          <w:top w:w="15" w:type="dxa"/>
        </w:tblCellMar>
        <w:tblLook w:val="04A0"/>
      </w:tblPr>
      <w:tblGrid>
        <w:gridCol w:w="2372"/>
        <w:gridCol w:w="880"/>
        <w:gridCol w:w="984"/>
        <w:gridCol w:w="984"/>
        <w:gridCol w:w="920"/>
        <w:gridCol w:w="984"/>
        <w:gridCol w:w="984"/>
        <w:gridCol w:w="884"/>
        <w:gridCol w:w="1444"/>
      </w:tblGrid>
      <w:tr w14:paraId="5D58541C" w14:textId="77777777" w:rsidTr="00C7365B">
        <w:tblPrEx>
          <w:tblW w:w="10436" w:type="dxa"/>
          <w:tblCellMar>
            <w:top w:w="15" w:type="dxa"/>
          </w:tblCellMar>
          <w:tblLook w:val="04A0"/>
        </w:tblPrEx>
        <w:trPr>
          <w:trHeight w:val="360"/>
        </w:trPr>
        <w:tc>
          <w:tcPr>
            <w:tcW w:w="10436" w:type="dxa"/>
            <w:gridSpan w:val="9"/>
            <w:tcBorders>
              <w:top w:val="single" w:sz="8" w:space="0" w:color="auto"/>
              <w:left w:val="single" w:sz="8" w:space="0" w:color="auto"/>
              <w:bottom w:val="single" w:sz="8" w:space="0" w:color="auto"/>
              <w:right w:val="single" w:sz="8" w:space="0" w:color="auto"/>
            </w:tcBorders>
            <w:noWrap/>
            <w:vAlign w:val="bottom"/>
            <w:hideMark/>
          </w:tcPr>
          <w:p w:rsidR="00C7365B" w:rsidRPr="00C7365B" w:rsidP="00C7365B" w14:paraId="3C171A4A" w14:textId="4F44A3D5">
            <w:pPr>
              <w:widowControl/>
              <w:spacing w:after="160"/>
              <w:jc w:val="center"/>
              <w:rPr>
                <w:rFonts w:ascii="Source Sans Pro" w:eastAsia="Source Sans Pro" w:hAnsi="Source Sans Pro"/>
                <w:szCs w:val="24"/>
              </w:rPr>
            </w:pPr>
            <w:r w:rsidRPr="00C7365B">
              <w:rPr>
                <w:rFonts w:ascii="Source Sans Pro" w:eastAsia="Source Sans Pro" w:hAnsi="Source Sans Pro"/>
                <w:szCs w:val="24"/>
              </w:rPr>
              <w:t>Summary of Hourly Burden Cost Estimate (OMB No. 3064-0072)</w:t>
            </w:r>
          </w:p>
        </w:tc>
      </w:tr>
      <w:tr w14:paraId="1D883F85" w14:textId="77777777" w:rsidTr="00C7365B">
        <w:tblPrEx>
          <w:tblW w:w="10436" w:type="dxa"/>
          <w:tblCellMar>
            <w:top w:w="15" w:type="dxa"/>
          </w:tblCellMar>
          <w:tblLook w:val="04A0"/>
        </w:tblPrEx>
        <w:trPr>
          <w:trHeight w:val="600"/>
        </w:trPr>
        <w:tc>
          <w:tcPr>
            <w:tcW w:w="2372"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209F9E1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Information Collection (IC) (Obligation to Respond)</w:t>
            </w:r>
          </w:p>
        </w:tc>
        <w:tc>
          <w:tcPr>
            <w:tcW w:w="880"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2680FC7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Hourly Weight </w:t>
            </w:r>
            <w:r w:rsidRPr="00C7365B">
              <w:rPr>
                <w:rFonts w:ascii="Source Sans Pro" w:eastAsia="Source Sans Pro" w:hAnsi="Source Sans Pro"/>
                <w:sz w:val="20"/>
              </w:rPr>
              <w:br/>
              <w:t>(%)</w:t>
            </w:r>
          </w:p>
        </w:tc>
        <w:tc>
          <w:tcPr>
            <w:tcW w:w="574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C7365B" w:rsidRPr="00C7365B" w:rsidP="00C7365B" w14:paraId="3D6199A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Percentage Shares of Hours Spent by and </w:t>
            </w:r>
            <w:r w:rsidRPr="00C7365B">
              <w:rPr>
                <w:rFonts w:ascii="Source Sans Pro" w:eastAsia="Source Sans Pro" w:hAnsi="Source Sans Pro"/>
                <w:sz w:val="20"/>
              </w:rPr>
              <w:br/>
              <w:t xml:space="preserve">Hourly Compensation Rates for each Occupation Group </w:t>
            </w:r>
            <w:r w:rsidRPr="00C7365B">
              <w:rPr>
                <w:rFonts w:ascii="Source Sans Pro" w:eastAsia="Source Sans Pro" w:hAnsi="Source Sans Pro"/>
                <w:sz w:val="20"/>
              </w:rPr>
              <w:br/>
              <w:t>(by Collection)</w:t>
            </w:r>
          </w:p>
        </w:tc>
        <w:tc>
          <w:tcPr>
            <w:tcW w:w="1444"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645149C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Estimated Hourly Compensation Rate</w:t>
            </w:r>
          </w:p>
        </w:tc>
      </w:tr>
      <w:tr w14:paraId="0C549785" w14:textId="77777777" w:rsidTr="00C7365B">
        <w:tblPrEx>
          <w:tblW w:w="10436" w:type="dxa"/>
          <w:tblCellMar>
            <w:top w:w="15" w:type="dxa"/>
          </w:tblCellMar>
          <w:tblLook w:val="04A0"/>
        </w:tblPrEx>
        <w:trPr>
          <w:trHeight w:val="496"/>
        </w:trPr>
        <w:tc>
          <w:tcPr>
            <w:tcW w:w="2372" w:type="dxa"/>
            <w:vMerge/>
            <w:tcBorders>
              <w:top w:val="nil"/>
              <w:left w:val="single" w:sz="8" w:space="0" w:color="auto"/>
              <w:bottom w:val="single" w:sz="8" w:space="0" w:color="auto"/>
              <w:right w:val="single" w:sz="8" w:space="0" w:color="auto"/>
            </w:tcBorders>
            <w:vAlign w:val="center"/>
            <w:hideMark/>
          </w:tcPr>
          <w:p w:rsidR="00C7365B" w:rsidRPr="00C7365B" w:rsidP="00C7365B" w14:paraId="0EF99E32" w14:textId="77777777">
            <w:pPr>
              <w:widowControl/>
              <w:spacing w:after="160"/>
              <w:rPr>
                <w:rFonts w:ascii="Source Sans Pro" w:eastAsia="Source Sans Pro" w:hAnsi="Source Sans Pro"/>
                <w:sz w:val="20"/>
              </w:rPr>
            </w:pPr>
          </w:p>
        </w:tc>
        <w:tc>
          <w:tcPr>
            <w:tcW w:w="880" w:type="dxa"/>
            <w:vMerge/>
            <w:tcBorders>
              <w:top w:val="nil"/>
              <w:left w:val="single" w:sz="8" w:space="0" w:color="auto"/>
              <w:bottom w:val="single" w:sz="8" w:space="0" w:color="auto"/>
              <w:right w:val="single" w:sz="8" w:space="0" w:color="auto"/>
            </w:tcBorders>
            <w:vAlign w:val="center"/>
            <w:hideMark/>
          </w:tcPr>
          <w:p w:rsidR="00C7365B" w:rsidRPr="00C7365B" w:rsidP="00C7365B" w14:paraId="1936A594" w14:textId="77777777">
            <w:pPr>
              <w:widowControl/>
              <w:spacing w:after="160"/>
              <w:rPr>
                <w:rFonts w:ascii="Source Sans Pro" w:eastAsia="Source Sans Pro" w:hAnsi="Source Sans Pro"/>
                <w:sz w:val="20"/>
              </w:rPr>
            </w:pPr>
          </w:p>
        </w:tc>
        <w:tc>
          <w:tcPr>
            <w:tcW w:w="5740" w:type="dxa"/>
            <w:gridSpan w:val="6"/>
            <w:vMerge/>
            <w:tcBorders>
              <w:top w:val="single" w:sz="8" w:space="0" w:color="auto"/>
              <w:left w:val="single" w:sz="8" w:space="0" w:color="auto"/>
              <w:bottom w:val="single" w:sz="8" w:space="0" w:color="auto"/>
              <w:right w:val="single" w:sz="8" w:space="0" w:color="auto"/>
            </w:tcBorders>
            <w:vAlign w:val="center"/>
            <w:hideMark/>
          </w:tcPr>
          <w:p w:rsidR="00C7365B" w:rsidRPr="00C7365B" w:rsidP="00C7365B" w14:paraId="607AE832" w14:textId="77777777">
            <w:pPr>
              <w:widowControl/>
              <w:spacing w:after="160"/>
              <w:rPr>
                <w:rFonts w:ascii="Source Sans Pro" w:eastAsia="Source Sans Pro" w:hAnsi="Source Sans Pro"/>
                <w:sz w:val="20"/>
              </w:rPr>
            </w:pPr>
          </w:p>
        </w:tc>
        <w:tc>
          <w:tcPr>
            <w:tcW w:w="1444" w:type="dxa"/>
            <w:vMerge/>
            <w:tcBorders>
              <w:top w:val="nil"/>
              <w:left w:val="single" w:sz="8" w:space="0" w:color="auto"/>
              <w:bottom w:val="single" w:sz="8" w:space="0" w:color="auto"/>
              <w:right w:val="single" w:sz="8" w:space="0" w:color="auto"/>
            </w:tcBorders>
            <w:vAlign w:val="center"/>
            <w:hideMark/>
          </w:tcPr>
          <w:p w:rsidR="00C7365B" w:rsidRPr="00C7365B" w:rsidP="00C7365B" w14:paraId="662AA04D" w14:textId="77777777">
            <w:pPr>
              <w:widowControl/>
              <w:spacing w:after="160"/>
              <w:rPr>
                <w:rFonts w:ascii="Source Sans Pro" w:eastAsia="Source Sans Pro" w:hAnsi="Source Sans Pro"/>
                <w:sz w:val="20"/>
              </w:rPr>
            </w:pPr>
          </w:p>
        </w:tc>
      </w:tr>
      <w:tr w14:paraId="5DAC3BC3" w14:textId="77777777" w:rsidTr="00C7365B">
        <w:tblPrEx>
          <w:tblW w:w="10436" w:type="dxa"/>
          <w:tblCellMar>
            <w:top w:w="15" w:type="dxa"/>
          </w:tblCellMar>
          <w:tblLook w:val="04A0"/>
        </w:tblPrEx>
        <w:trPr>
          <w:trHeight w:val="458"/>
        </w:trPr>
        <w:tc>
          <w:tcPr>
            <w:tcW w:w="2372" w:type="dxa"/>
            <w:vMerge/>
            <w:tcBorders>
              <w:top w:val="nil"/>
              <w:left w:val="single" w:sz="8" w:space="0" w:color="auto"/>
              <w:bottom w:val="single" w:sz="8" w:space="0" w:color="auto"/>
              <w:right w:val="single" w:sz="8" w:space="0" w:color="auto"/>
            </w:tcBorders>
            <w:vAlign w:val="center"/>
            <w:hideMark/>
          </w:tcPr>
          <w:p w:rsidR="00C7365B" w:rsidRPr="00C7365B" w:rsidP="00C7365B" w14:paraId="24459239" w14:textId="77777777">
            <w:pPr>
              <w:widowControl/>
              <w:spacing w:after="160"/>
              <w:rPr>
                <w:rFonts w:ascii="Source Sans Pro" w:eastAsia="Source Sans Pro" w:hAnsi="Source Sans Pro"/>
                <w:sz w:val="20"/>
              </w:rPr>
            </w:pPr>
          </w:p>
        </w:tc>
        <w:tc>
          <w:tcPr>
            <w:tcW w:w="880" w:type="dxa"/>
            <w:vMerge/>
            <w:tcBorders>
              <w:top w:val="nil"/>
              <w:left w:val="single" w:sz="8" w:space="0" w:color="auto"/>
              <w:bottom w:val="single" w:sz="8" w:space="0" w:color="auto"/>
              <w:right w:val="single" w:sz="8" w:space="0" w:color="auto"/>
            </w:tcBorders>
            <w:vAlign w:val="center"/>
            <w:hideMark/>
          </w:tcPr>
          <w:p w:rsidR="00C7365B" w:rsidRPr="00C7365B" w:rsidP="00C7365B" w14:paraId="1C07646F" w14:textId="77777777">
            <w:pPr>
              <w:widowControl/>
              <w:spacing w:after="160"/>
              <w:rPr>
                <w:rFonts w:ascii="Source Sans Pro" w:eastAsia="Source Sans Pro" w:hAnsi="Source Sans Pro"/>
                <w:sz w:val="20"/>
              </w:rPr>
            </w:pPr>
          </w:p>
        </w:tc>
        <w:tc>
          <w:tcPr>
            <w:tcW w:w="984"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62A4B3F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Exec. &amp; Mgr.      ($146.13)</w:t>
            </w:r>
          </w:p>
        </w:tc>
        <w:tc>
          <w:tcPr>
            <w:tcW w:w="984"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6399DD8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Lawyer</w:t>
            </w:r>
            <w:r w:rsidRPr="00C7365B">
              <w:rPr>
                <w:rFonts w:ascii="Source Sans Pro" w:eastAsia="Source Sans Pro" w:hAnsi="Source Sans Pro"/>
                <w:sz w:val="20"/>
              </w:rPr>
              <w:t xml:space="preserve">   (</w:t>
            </w:r>
            <w:r w:rsidRPr="00C7365B">
              <w:rPr>
                <w:rFonts w:ascii="Source Sans Pro" w:eastAsia="Source Sans Pro" w:hAnsi="Source Sans Pro"/>
                <w:sz w:val="20"/>
              </w:rPr>
              <w:t>$182.07)</w:t>
            </w:r>
          </w:p>
        </w:tc>
        <w:tc>
          <w:tcPr>
            <w:tcW w:w="920"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20D578F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Compl</w:t>
            </w:r>
            <w:r w:rsidRPr="00C7365B">
              <w:rPr>
                <w:rFonts w:ascii="Source Sans Pro" w:eastAsia="Source Sans Pro" w:hAnsi="Source Sans Pro"/>
                <w:sz w:val="20"/>
              </w:rPr>
              <w:t>. Ofc.   ($77.07)</w:t>
            </w:r>
          </w:p>
        </w:tc>
        <w:tc>
          <w:tcPr>
            <w:tcW w:w="984"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388E502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IT </w:t>
            </w:r>
            <w:r w:rsidRPr="00C7365B">
              <w:rPr>
                <w:rFonts w:ascii="Source Sans Pro" w:eastAsia="Source Sans Pro" w:hAnsi="Source Sans Pro"/>
                <w:sz w:val="20"/>
              </w:rPr>
              <w:t xml:space="preserve">   (</w:t>
            </w:r>
            <w:r w:rsidRPr="00C7365B">
              <w:rPr>
                <w:rFonts w:ascii="Source Sans Pro" w:eastAsia="Source Sans Pro" w:hAnsi="Source Sans Pro"/>
                <w:sz w:val="20"/>
              </w:rPr>
              <w:t>$110.91)</w:t>
            </w:r>
          </w:p>
        </w:tc>
        <w:tc>
          <w:tcPr>
            <w:tcW w:w="984"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46A6D43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Fin. </w:t>
            </w:r>
            <w:r w:rsidRPr="00C7365B">
              <w:rPr>
                <w:rFonts w:ascii="Source Sans Pro" w:eastAsia="Source Sans Pro" w:hAnsi="Source Sans Pro"/>
                <w:sz w:val="20"/>
              </w:rPr>
              <w:t>Anlst</w:t>
            </w:r>
            <w:r w:rsidRPr="00C7365B">
              <w:rPr>
                <w:rFonts w:ascii="Source Sans Pro" w:eastAsia="Source Sans Pro" w:hAnsi="Source Sans Pro"/>
                <w:sz w:val="20"/>
              </w:rPr>
              <w:t>.    ($100.28)</w:t>
            </w:r>
          </w:p>
        </w:tc>
        <w:tc>
          <w:tcPr>
            <w:tcW w:w="884" w:type="dxa"/>
            <w:vMerge w:val="restart"/>
            <w:tcBorders>
              <w:top w:val="nil"/>
              <w:left w:val="single" w:sz="8" w:space="0" w:color="auto"/>
              <w:bottom w:val="single" w:sz="8" w:space="0" w:color="auto"/>
              <w:right w:val="single" w:sz="8" w:space="0" w:color="auto"/>
            </w:tcBorders>
            <w:vAlign w:val="center"/>
            <w:hideMark/>
          </w:tcPr>
          <w:p w:rsidR="00C7365B" w:rsidRPr="00C7365B" w:rsidP="00C7365B" w14:paraId="09293F1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 xml:space="preserve">Clerical </w:t>
            </w:r>
            <w:r w:rsidRPr="00C7365B">
              <w:rPr>
                <w:rFonts w:ascii="Source Sans Pro" w:eastAsia="Source Sans Pro" w:hAnsi="Source Sans Pro"/>
                <w:sz w:val="20"/>
              </w:rPr>
              <w:t xml:space="preserve">   (</w:t>
            </w:r>
            <w:r w:rsidRPr="00C7365B">
              <w:rPr>
                <w:rFonts w:ascii="Source Sans Pro" w:eastAsia="Source Sans Pro" w:hAnsi="Source Sans Pro"/>
                <w:sz w:val="20"/>
              </w:rPr>
              <w:t>$39.39)</w:t>
            </w:r>
          </w:p>
        </w:tc>
        <w:tc>
          <w:tcPr>
            <w:tcW w:w="1444" w:type="dxa"/>
            <w:vMerge/>
            <w:tcBorders>
              <w:top w:val="nil"/>
              <w:left w:val="single" w:sz="8" w:space="0" w:color="auto"/>
              <w:bottom w:val="single" w:sz="8" w:space="0" w:color="auto"/>
              <w:right w:val="single" w:sz="8" w:space="0" w:color="auto"/>
            </w:tcBorders>
            <w:vAlign w:val="center"/>
            <w:hideMark/>
          </w:tcPr>
          <w:p w:rsidR="00C7365B" w:rsidRPr="00C7365B" w:rsidP="00C7365B" w14:paraId="0E654246" w14:textId="77777777">
            <w:pPr>
              <w:widowControl/>
              <w:spacing w:after="160"/>
              <w:rPr>
                <w:rFonts w:ascii="Source Sans Pro" w:eastAsia="Source Sans Pro" w:hAnsi="Source Sans Pro"/>
                <w:sz w:val="20"/>
              </w:rPr>
            </w:pPr>
          </w:p>
        </w:tc>
      </w:tr>
      <w:tr w14:paraId="527DEA4F" w14:textId="77777777" w:rsidTr="00C7365B">
        <w:tblPrEx>
          <w:tblW w:w="10436" w:type="dxa"/>
          <w:tblCellMar>
            <w:top w:w="15" w:type="dxa"/>
          </w:tblCellMar>
          <w:tblLook w:val="04A0"/>
        </w:tblPrEx>
        <w:trPr>
          <w:trHeight w:val="664"/>
        </w:trPr>
        <w:tc>
          <w:tcPr>
            <w:tcW w:w="2372" w:type="dxa"/>
            <w:vMerge/>
            <w:tcBorders>
              <w:top w:val="nil"/>
              <w:left w:val="single" w:sz="8" w:space="0" w:color="auto"/>
              <w:bottom w:val="single" w:sz="8" w:space="0" w:color="auto"/>
              <w:right w:val="single" w:sz="8" w:space="0" w:color="auto"/>
            </w:tcBorders>
            <w:vAlign w:val="center"/>
            <w:hideMark/>
          </w:tcPr>
          <w:p w:rsidR="00C7365B" w:rsidRPr="00C7365B" w:rsidP="00C7365B" w14:paraId="337D9ADB" w14:textId="77777777">
            <w:pPr>
              <w:widowControl/>
              <w:spacing w:after="160"/>
              <w:rPr>
                <w:rFonts w:ascii="Source Sans Pro" w:eastAsia="Source Sans Pro" w:hAnsi="Source Sans Pro"/>
                <w:sz w:val="20"/>
              </w:rPr>
            </w:pPr>
          </w:p>
        </w:tc>
        <w:tc>
          <w:tcPr>
            <w:tcW w:w="880" w:type="dxa"/>
            <w:vMerge/>
            <w:tcBorders>
              <w:top w:val="nil"/>
              <w:left w:val="single" w:sz="8" w:space="0" w:color="auto"/>
              <w:bottom w:val="single" w:sz="8" w:space="0" w:color="auto"/>
              <w:right w:val="single" w:sz="8" w:space="0" w:color="auto"/>
            </w:tcBorders>
            <w:vAlign w:val="center"/>
            <w:hideMark/>
          </w:tcPr>
          <w:p w:rsidR="00C7365B" w:rsidRPr="00C7365B" w:rsidP="00C7365B" w14:paraId="74AA966D"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4F59CFC1"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4383F834" w14:textId="77777777">
            <w:pPr>
              <w:widowControl/>
              <w:spacing w:after="160"/>
              <w:rPr>
                <w:rFonts w:ascii="Source Sans Pro" w:eastAsia="Source Sans Pro" w:hAnsi="Source Sans Pro"/>
                <w:sz w:val="20"/>
              </w:rPr>
            </w:pPr>
          </w:p>
        </w:tc>
        <w:tc>
          <w:tcPr>
            <w:tcW w:w="920" w:type="dxa"/>
            <w:vMerge/>
            <w:tcBorders>
              <w:top w:val="nil"/>
              <w:left w:val="single" w:sz="8" w:space="0" w:color="auto"/>
              <w:bottom w:val="single" w:sz="8" w:space="0" w:color="auto"/>
              <w:right w:val="single" w:sz="8" w:space="0" w:color="auto"/>
            </w:tcBorders>
            <w:vAlign w:val="center"/>
            <w:hideMark/>
          </w:tcPr>
          <w:p w:rsidR="00C7365B" w:rsidRPr="00C7365B" w:rsidP="00C7365B" w14:paraId="38D5BB9B"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7A8B058B" w14:textId="77777777">
            <w:pPr>
              <w:widowControl/>
              <w:spacing w:after="160"/>
              <w:rPr>
                <w:rFonts w:ascii="Source Sans Pro" w:eastAsia="Source Sans Pro" w:hAnsi="Source Sans Pro"/>
                <w:sz w:val="20"/>
              </w:rPr>
            </w:pPr>
          </w:p>
        </w:tc>
        <w:tc>
          <w:tcPr>
            <w:tcW w:w="984" w:type="dxa"/>
            <w:vMerge/>
            <w:tcBorders>
              <w:top w:val="nil"/>
              <w:left w:val="single" w:sz="8" w:space="0" w:color="auto"/>
              <w:bottom w:val="single" w:sz="8" w:space="0" w:color="auto"/>
              <w:right w:val="single" w:sz="8" w:space="0" w:color="auto"/>
            </w:tcBorders>
            <w:vAlign w:val="center"/>
            <w:hideMark/>
          </w:tcPr>
          <w:p w:rsidR="00C7365B" w:rsidRPr="00C7365B" w:rsidP="00C7365B" w14:paraId="42609657" w14:textId="77777777">
            <w:pPr>
              <w:widowControl/>
              <w:spacing w:after="160"/>
              <w:rPr>
                <w:rFonts w:ascii="Source Sans Pro" w:eastAsia="Source Sans Pro" w:hAnsi="Source Sans Pro"/>
                <w:sz w:val="20"/>
              </w:rPr>
            </w:pPr>
          </w:p>
        </w:tc>
        <w:tc>
          <w:tcPr>
            <w:tcW w:w="884" w:type="dxa"/>
            <w:vMerge/>
            <w:tcBorders>
              <w:top w:val="nil"/>
              <w:left w:val="single" w:sz="8" w:space="0" w:color="auto"/>
              <w:bottom w:val="single" w:sz="8" w:space="0" w:color="auto"/>
              <w:right w:val="single" w:sz="8" w:space="0" w:color="auto"/>
            </w:tcBorders>
            <w:vAlign w:val="center"/>
            <w:hideMark/>
          </w:tcPr>
          <w:p w:rsidR="00C7365B" w:rsidRPr="00C7365B" w:rsidP="00C7365B" w14:paraId="0E74505D" w14:textId="77777777">
            <w:pPr>
              <w:widowControl/>
              <w:spacing w:after="160"/>
              <w:rPr>
                <w:rFonts w:ascii="Source Sans Pro" w:eastAsia="Source Sans Pro" w:hAnsi="Source Sans Pro"/>
                <w:sz w:val="20"/>
              </w:rPr>
            </w:pPr>
          </w:p>
        </w:tc>
        <w:tc>
          <w:tcPr>
            <w:tcW w:w="1444" w:type="dxa"/>
            <w:vMerge/>
            <w:tcBorders>
              <w:top w:val="nil"/>
              <w:left w:val="single" w:sz="8" w:space="0" w:color="auto"/>
              <w:bottom w:val="single" w:sz="8" w:space="0" w:color="auto"/>
              <w:right w:val="single" w:sz="8" w:space="0" w:color="auto"/>
            </w:tcBorders>
            <w:vAlign w:val="center"/>
            <w:hideMark/>
          </w:tcPr>
          <w:p w:rsidR="00C7365B" w:rsidRPr="00C7365B" w:rsidP="00C7365B" w14:paraId="1F3BC193" w14:textId="77777777">
            <w:pPr>
              <w:widowControl/>
              <w:spacing w:after="160"/>
              <w:rPr>
                <w:rFonts w:ascii="Source Sans Pro" w:eastAsia="Source Sans Pro" w:hAnsi="Source Sans Pro"/>
                <w:sz w:val="20"/>
              </w:rPr>
            </w:pPr>
          </w:p>
        </w:tc>
      </w:tr>
      <w:tr w14:paraId="59861FAE" w14:textId="77777777" w:rsidTr="00C7365B">
        <w:tblPrEx>
          <w:tblW w:w="10436" w:type="dxa"/>
          <w:tblCellMar>
            <w:top w:w="15" w:type="dxa"/>
          </w:tblCellMar>
          <w:tblLook w:val="04A0"/>
        </w:tblPrEx>
        <w:trPr>
          <w:trHeight w:val="157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4392C499"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1. Request for Proposal and Request for Quotation (includes Basic Safeguards) - Solicitation/Award (Form 3700/55)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708CEAA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53.27</w:t>
            </w:r>
          </w:p>
        </w:tc>
        <w:tc>
          <w:tcPr>
            <w:tcW w:w="984" w:type="dxa"/>
            <w:tcBorders>
              <w:top w:val="nil"/>
              <w:left w:val="nil"/>
              <w:bottom w:val="single" w:sz="8" w:space="0" w:color="auto"/>
              <w:right w:val="single" w:sz="8" w:space="0" w:color="auto"/>
            </w:tcBorders>
            <w:vAlign w:val="center"/>
            <w:hideMark/>
          </w:tcPr>
          <w:p w:rsidR="00C7365B" w:rsidRPr="00C7365B" w:rsidP="00C7365B" w14:paraId="69124CD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7E1C094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149E170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0FE6672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150FDD1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1CA1B5B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02C4F8B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60F72528" w14:textId="77777777" w:rsidTr="00C7365B">
        <w:tblPrEx>
          <w:tblW w:w="10436" w:type="dxa"/>
          <w:tblCellMar>
            <w:top w:w="15" w:type="dxa"/>
          </w:tblCellMar>
          <w:tblLook w:val="04A0"/>
        </w:tblPrEx>
        <w:trPr>
          <w:trHeight w:val="66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097A2D95"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2. Request for Information (Voluntary)</w:t>
            </w:r>
          </w:p>
        </w:tc>
        <w:tc>
          <w:tcPr>
            <w:tcW w:w="880" w:type="dxa"/>
            <w:tcBorders>
              <w:top w:val="nil"/>
              <w:left w:val="nil"/>
              <w:bottom w:val="single" w:sz="8" w:space="0" w:color="auto"/>
              <w:right w:val="single" w:sz="8" w:space="0" w:color="auto"/>
            </w:tcBorders>
            <w:vAlign w:val="center"/>
            <w:hideMark/>
          </w:tcPr>
          <w:p w:rsidR="00C7365B" w:rsidRPr="00C7365B" w:rsidP="00C7365B" w14:paraId="2F336FA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39.46</w:t>
            </w:r>
          </w:p>
        </w:tc>
        <w:tc>
          <w:tcPr>
            <w:tcW w:w="984" w:type="dxa"/>
            <w:tcBorders>
              <w:top w:val="nil"/>
              <w:left w:val="nil"/>
              <w:bottom w:val="single" w:sz="8" w:space="0" w:color="auto"/>
              <w:right w:val="single" w:sz="8" w:space="0" w:color="auto"/>
            </w:tcBorders>
            <w:vAlign w:val="center"/>
            <w:hideMark/>
          </w:tcPr>
          <w:p w:rsidR="00C7365B" w:rsidRPr="00C7365B" w:rsidP="00C7365B" w14:paraId="634FB1F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036BF99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60532F6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724DA36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2782C0B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5E27468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23C8948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1E4A3618" w14:textId="77777777" w:rsidTr="00C7365B">
        <w:tblPrEx>
          <w:tblW w:w="10436" w:type="dxa"/>
          <w:tblCellMar>
            <w:top w:w="15" w:type="dxa"/>
          </w:tblCellMar>
          <w:tblLook w:val="04A0"/>
        </w:tblPrEx>
        <w:trPr>
          <w:trHeight w:val="187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04596420"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3. Background Investigation Questionnaire for Contractor Personnel and Subcontractors (Form 1600/04), 12 CFR 366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7462C50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1.52</w:t>
            </w:r>
          </w:p>
        </w:tc>
        <w:tc>
          <w:tcPr>
            <w:tcW w:w="984" w:type="dxa"/>
            <w:tcBorders>
              <w:top w:val="nil"/>
              <w:left w:val="nil"/>
              <w:bottom w:val="single" w:sz="8" w:space="0" w:color="auto"/>
              <w:right w:val="single" w:sz="8" w:space="0" w:color="auto"/>
            </w:tcBorders>
            <w:vAlign w:val="center"/>
            <w:hideMark/>
          </w:tcPr>
          <w:p w:rsidR="00C7365B" w:rsidRPr="00C7365B" w:rsidP="00C7365B" w14:paraId="0C2CF66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33F6BAF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1B7084B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46A0C75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210BFA1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6385577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0D7A0CD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5B1F74BD" w14:textId="77777777" w:rsidTr="00C7365B">
        <w:tblPrEx>
          <w:tblW w:w="10436" w:type="dxa"/>
          <w:tblCellMar>
            <w:top w:w="15" w:type="dxa"/>
          </w:tblCellMar>
          <w:tblLook w:val="04A0"/>
        </w:tblPrEx>
        <w:trPr>
          <w:trHeight w:val="142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200A08D8" w14:textId="77777777">
            <w:pPr>
              <w:widowControl/>
              <w:spacing w:after="160"/>
              <w:rPr>
                <w:rFonts w:ascii="Source Sans Pro" w:eastAsia="Source Sans Pro" w:hAnsi="Source Sans Pro"/>
                <w:sz w:val="20"/>
              </w:rPr>
            </w:pPr>
            <w:r w:rsidRPr="00C7365B">
              <w:rPr>
                <w:rFonts w:ascii="Source Sans Pro" w:eastAsia="Source Sans Pro" w:hAnsi="Source Sans Pro"/>
                <w:sz w:val="20"/>
              </w:rPr>
              <w:t>4. Background Investigation Questionnaire for Contractors (Form 1600/07), 12 CFR 366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3C01FCF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0.88</w:t>
            </w:r>
          </w:p>
        </w:tc>
        <w:tc>
          <w:tcPr>
            <w:tcW w:w="984" w:type="dxa"/>
            <w:tcBorders>
              <w:top w:val="nil"/>
              <w:left w:val="nil"/>
              <w:bottom w:val="single" w:sz="8" w:space="0" w:color="auto"/>
              <w:right w:val="single" w:sz="8" w:space="0" w:color="auto"/>
            </w:tcBorders>
            <w:vAlign w:val="center"/>
            <w:hideMark/>
          </w:tcPr>
          <w:p w:rsidR="00C7365B" w:rsidRPr="00C7365B" w:rsidP="00C7365B" w14:paraId="3351856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5978018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6BDEB56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59E3620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0334866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1113F6E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45F4CB1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546BA128" w14:textId="77777777" w:rsidTr="00C7365B">
        <w:tblPrEx>
          <w:tblW w:w="10436" w:type="dxa"/>
          <w:tblCellMar>
            <w:top w:w="15" w:type="dxa"/>
          </w:tblCellMar>
          <w:tblLook w:val="04A0"/>
        </w:tblPrEx>
        <w:trPr>
          <w:trHeight w:val="141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56163294" w14:textId="662D7BAB">
            <w:pPr>
              <w:widowControl/>
              <w:spacing w:after="160"/>
              <w:rPr>
                <w:rFonts w:ascii="Source Sans Pro" w:eastAsia="Source Sans Pro" w:hAnsi="Source Sans Pro"/>
                <w:sz w:val="20"/>
              </w:rPr>
            </w:pPr>
            <w:r>
              <w:rPr>
                <w:rFonts w:ascii="Source Sans Pro" w:eastAsia="Source Sans Pro" w:hAnsi="Source Sans Pro"/>
                <w:sz w:val="20"/>
              </w:rPr>
              <w:t>5</w:t>
            </w:r>
            <w:r w:rsidRPr="00C7365B">
              <w:rPr>
                <w:rFonts w:ascii="Source Sans Pro" w:eastAsia="Source Sans Pro" w:hAnsi="Source Sans Pro"/>
                <w:sz w:val="20"/>
              </w:rPr>
              <w:t>. Leasing Representations and Certifications (Form 3700/44), 12 CFR 366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2C9F294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0.31</w:t>
            </w:r>
          </w:p>
        </w:tc>
        <w:tc>
          <w:tcPr>
            <w:tcW w:w="984" w:type="dxa"/>
            <w:tcBorders>
              <w:top w:val="nil"/>
              <w:left w:val="nil"/>
              <w:bottom w:val="single" w:sz="8" w:space="0" w:color="auto"/>
              <w:right w:val="single" w:sz="8" w:space="0" w:color="auto"/>
            </w:tcBorders>
            <w:vAlign w:val="center"/>
            <w:hideMark/>
          </w:tcPr>
          <w:p w:rsidR="00C7365B" w:rsidRPr="00C7365B" w:rsidP="00C7365B" w14:paraId="70FFC75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1F8F04B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4CB4854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4469890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1FBA86A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51CD1FA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4543C86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3F7CBF28" w14:textId="77777777" w:rsidTr="00C7365B">
        <w:tblPrEx>
          <w:tblW w:w="10436" w:type="dxa"/>
          <w:tblCellMar>
            <w:top w:w="15" w:type="dxa"/>
          </w:tblCellMar>
          <w:tblLook w:val="04A0"/>
        </w:tblPrEx>
        <w:trPr>
          <w:trHeight w:val="105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40126CE6" w14:textId="462DE74F">
            <w:pPr>
              <w:widowControl/>
              <w:spacing w:after="160"/>
              <w:rPr>
                <w:rFonts w:ascii="Source Sans Pro" w:eastAsia="Source Sans Pro" w:hAnsi="Source Sans Pro"/>
                <w:sz w:val="20"/>
              </w:rPr>
            </w:pPr>
            <w:r>
              <w:rPr>
                <w:rFonts w:ascii="Source Sans Pro" w:eastAsia="Source Sans Pro" w:hAnsi="Source Sans Pro"/>
                <w:sz w:val="20"/>
              </w:rPr>
              <w:t>6</w:t>
            </w:r>
            <w:r w:rsidRPr="00C7365B">
              <w:rPr>
                <w:rFonts w:ascii="Source Sans Pro" w:eastAsia="Source Sans Pro" w:hAnsi="Source Sans Pro"/>
                <w:sz w:val="20"/>
              </w:rPr>
              <w:t>. Past Performance Questionnaire (Form 3700/57)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1DE8869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2.69</w:t>
            </w:r>
          </w:p>
        </w:tc>
        <w:tc>
          <w:tcPr>
            <w:tcW w:w="984" w:type="dxa"/>
            <w:tcBorders>
              <w:top w:val="nil"/>
              <w:left w:val="nil"/>
              <w:bottom w:val="single" w:sz="8" w:space="0" w:color="auto"/>
              <w:right w:val="single" w:sz="8" w:space="0" w:color="auto"/>
            </w:tcBorders>
            <w:vAlign w:val="center"/>
            <w:hideMark/>
          </w:tcPr>
          <w:p w:rsidR="00C7365B" w:rsidRPr="00C7365B" w:rsidP="00C7365B" w14:paraId="7C7F992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46227E2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344D6446"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180C925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355612C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421C397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4FD5286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12FFCEFB" w14:textId="77777777" w:rsidTr="00C7365B">
        <w:tblPrEx>
          <w:tblW w:w="10436" w:type="dxa"/>
          <w:tblCellMar>
            <w:top w:w="15" w:type="dxa"/>
          </w:tblCellMar>
          <w:tblLook w:val="04A0"/>
        </w:tblPrEx>
        <w:trPr>
          <w:trHeight w:val="131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2FBE280A" w14:textId="73C34F52">
            <w:pPr>
              <w:widowControl/>
              <w:spacing w:after="160"/>
              <w:rPr>
                <w:rFonts w:ascii="Source Sans Pro" w:eastAsia="Source Sans Pro" w:hAnsi="Source Sans Pro"/>
                <w:sz w:val="20"/>
              </w:rPr>
            </w:pPr>
            <w:r>
              <w:rPr>
                <w:rFonts w:ascii="Source Sans Pro" w:eastAsia="Source Sans Pro" w:hAnsi="Source Sans Pro"/>
                <w:sz w:val="20"/>
              </w:rPr>
              <w:t>7</w:t>
            </w:r>
            <w:r w:rsidRPr="00C7365B">
              <w:rPr>
                <w:rFonts w:ascii="Source Sans Pro" w:eastAsia="Source Sans Pro" w:hAnsi="Source Sans Pro"/>
                <w:sz w:val="20"/>
              </w:rPr>
              <w:t>. Contractor Representations and Certifications (Form 3700/04A)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2D12DE8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0.01</w:t>
            </w:r>
          </w:p>
        </w:tc>
        <w:tc>
          <w:tcPr>
            <w:tcW w:w="984" w:type="dxa"/>
            <w:tcBorders>
              <w:top w:val="nil"/>
              <w:left w:val="nil"/>
              <w:bottom w:val="single" w:sz="8" w:space="0" w:color="auto"/>
              <w:right w:val="single" w:sz="8" w:space="0" w:color="auto"/>
            </w:tcBorders>
            <w:vAlign w:val="center"/>
            <w:hideMark/>
          </w:tcPr>
          <w:p w:rsidR="00C7365B" w:rsidRPr="00C7365B" w:rsidP="00C7365B" w14:paraId="47F095A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73AAC82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79CCF30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4695422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67183C9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27DA60C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7FC0656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0750594C" w14:textId="77777777" w:rsidTr="00C7365B">
        <w:tblPrEx>
          <w:tblW w:w="10436" w:type="dxa"/>
          <w:tblCellMar>
            <w:top w:w="15" w:type="dxa"/>
          </w:tblCellMar>
          <w:tblLook w:val="04A0"/>
        </w:tblPrEx>
        <w:trPr>
          <w:trHeight w:val="131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7AB438A4" w14:textId="378BD48F">
            <w:pPr>
              <w:widowControl/>
              <w:spacing w:after="160"/>
              <w:rPr>
                <w:rFonts w:ascii="Source Sans Pro" w:eastAsia="Source Sans Pro" w:hAnsi="Source Sans Pro"/>
                <w:sz w:val="20"/>
              </w:rPr>
            </w:pPr>
            <w:r>
              <w:rPr>
                <w:rFonts w:ascii="Source Sans Pro" w:eastAsia="Source Sans Pro" w:hAnsi="Source Sans Pro"/>
                <w:sz w:val="20"/>
              </w:rPr>
              <w:t>8</w:t>
            </w:r>
            <w:r w:rsidRPr="00C7365B">
              <w:rPr>
                <w:rFonts w:ascii="Source Sans Pro" w:eastAsia="Source Sans Pro" w:hAnsi="Source Sans Pro"/>
                <w:sz w:val="20"/>
              </w:rPr>
              <w:t>. Integrity and Fitness Representations and Certifications (Form 3700/12)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6EEDD40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0.00</w:t>
            </w:r>
          </w:p>
        </w:tc>
        <w:tc>
          <w:tcPr>
            <w:tcW w:w="984" w:type="dxa"/>
            <w:tcBorders>
              <w:top w:val="nil"/>
              <w:left w:val="nil"/>
              <w:bottom w:val="single" w:sz="8" w:space="0" w:color="auto"/>
              <w:right w:val="single" w:sz="8" w:space="0" w:color="auto"/>
            </w:tcBorders>
            <w:vAlign w:val="center"/>
            <w:hideMark/>
          </w:tcPr>
          <w:p w:rsidR="00C7365B" w:rsidRPr="00C7365B" w:rsidP="00C7365B" w14:paraId="34EBF27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5AC1F56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5DEF79E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47239F4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3CA342C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5E44FAFF"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175DDF6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25381728" w14:textId="77777777" w:rsidTr="00C7365B">
        <w:tblPrEx>
          <w:tblW w:w="10436" w:type="dxa"/>
          <w:tblCellMar>
            <w:top w:w="15" w:type="dxa"/>
          </w:tblCellMar>
          <w:tblLook w:val="04A0"/>
        </w:tblPrEx>
        <w:trPr>
          <w:trHeight w:val="79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307E7B26" w14:textId="1364A84F">
            <w:pPr>
              <w:widowControl/>
              <w:spacing w:after="160"/>
              <w:rPr>
                <w:rFonts w:ascii="Source Sans Pro" w:eastAsia="Source Sans Pro" w:hAnsi="Source Sans Pro"/>
                <w:sz w:val="20"/>
              </w:rPr>
            </w:pPr>
            <w:r>
              <w:rPr>
                <w:rFonts w:ascii="Source Sans Pro" w:eastAsia="Source Sans Pro" w:hAnsi="Source Sans Pro"/>
                <w:sz w:val="20"/>
              </w:rPr>
              <w:t>9</w:t>
            </w:r>
            <w:r w:rsidRPr="00C7365B">
              <w:rPr>
                <w:rFonts w:ascii="Source Sans Pro" w:eastAsia="Source Sans Pro" w:hAnsi="Source Sans Pro"/>
                <w:sz w:val="20"/>
              </w:rPr>
              <w:t>. Prize Competitions – Application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7F471FA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0.01</w:t>
            </w:r>
          </w:p>
        </w:tc>
        <w:tc>
          <w:tcPr>
            <w:tcW w:w="984" w:type="dxa"/>
            <w:tcBorders>
              <w:top w:val="nil"/>
              <w:left w:val="nil"/>
              <w:bottom w:val="single" w:sz="8" w:space="0" w:color="auto"/>
              <w:right w:val="single" w:sz="8" w:space="0" w:color="auto"/>
            </w:tcBorders>
            <w:vAlign w:val="center"/>
            <w:hideMark/>
          </w:tcPr>
          <w:p w:rsidR="00C7365B" w:rsidRPr="00C7365B" w:rsidP="00C7365B" w14:paraId="6696CC2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422380F0"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67163F91"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5B91895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794EF5D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653A497E"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0822418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798956A9" w14:textId="77777777" w:rsidTr="00C7365B">
        <w:tblPrEx>
          <w:tblW w:w="10436" w:type="dxa"/>
          <w:tblCellMar>
            <w:top w:w="15" w:type="dxa"/>
          </w:tblCellMar>
          <w:tblLook w:val="04A0"/>
        </w:tblPrEx>
        <w:trPr>
          <w:trHeight w:val="79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73DD27D4" w14:textId="7D04B1ED">
            <w:pPr>
              <w:widowControl/>
              <w:spacing w:after="160"/>
              <w:rPr>
                <w:rFonts w:ascii="Source Sans Pro" w:eastAsia="Source Sans Pro" w:hAnsi="Source Sans Pro"/>
                <w:sz w:val="20"/>
              </w:rPr>
            </w:pPr>
            <w:r w:rsidRPr="00C7365B">
              <w:rPr>
                <w:rFonts w:ascii="Source Sans Pro" w:eastAsia="Source Sans Pro" w:hAnsi="Source Sans Pro"/>
                <w:sz w:val="20"/>
              </w:rPr>
              <w:t>1</w:t>
            </w:r>
            <w:r w:rsidR="000F684F">
              <w:rPr>
                <w:rFonts w:ascii="Source Sans Pro" w:eastAsia="Source Sans Pro" w:hAnsi="Source Sans Pro"/>
                <w:sz w:val="20"/>
              </w:rPr>
              <w:t>0</w:t>
            </w:r>
            <w:r w:rsidRPr="00C7365B">
              <w:rPr>
                <w:rFonts w:ascii="Source Sans Pro" w:eastAsia="Source Sans Pro" w:hAnsi="Source Sans Pro"/>
                <w:sz w:val="20"/>
              </w:rPr>
              <w:t>. Prize Competitions – Proposal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064DE91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0.47</w:t>
            </w:r>
          </w:p>
        </w:tc>
        <w:tc>
          <w:tcPr>
            <w:tcW w:w="984" w:type="dxa"/>
            <w:tcBorders>
              <w:top w:val="nil"/>
              <w:left w:val="nil"/>
              <w:bottom w:val="single" w:sz="8" w:space="0" w:color="auto"/>
              <w:right w:val="single" w:sz="8" w:space="0" w:color="auto"/>
            </w:tcBorders>
            <w:vAlign w:val="center"/>
            <w:hideMark/>
          </w:tcPr>
          <w:p w:rsidR="00C7365B" w:rsidRPr="00C7365B" w:rsidP="00C7365B" w14:paraId="75F4524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3906353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3E34E99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0EF1C81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6C96788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639A4F7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31E6AD0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75E7AD3A" w14:textId="77777777" w:rsidTr="00C7365B">
        <w:tblPrEx>
          <w:tblW w:w="10436" w:type="dxa"/>
          <w:tblCellMar>
            <w:top w:w="15" w:type="dxa"/>
          </w:tblCellMar>
          <w:tblLook w:val="04A0"/>
        </w:tblPrEx>
        <w:trPr>
          <w:trHeight w:val="105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24CE7F2B" w14:textId="5BE05D69">
            <w:pPr>
              <w:widowControl/>
              <w:spacing w:after="160"/>
              <w:rPr>
                <w:rFonts w:ascii="Source Sans Pro" w:eastAsia="Source Sans Pro" w:hAnsi="Source Sans Pro"/>
                <w:sz w:val="20"/>
              </w:rPr>
            </w:pPr>
            <w:r w:rsidRPr="00C7365B">
              <w:rPr>
                <w:rFonts w:ascii="Source Sans Pro" w:eastAsia="Source Sans Pro" w:hAnsi="Source Sans Pro"/>
                <w:sz w:val="20"/>
              </w:rPr>
              <w:t>1</w:t>
            </w:r>
            <w:r w:rsidR="000F684F">
              <w:rPr>
                <w:rFonts w:ascii="Source Sans Pro" w:eastAsia="Source Sans Pro" w:hAnsi="Source Sans Pro"/>
                <w:sz w:val="20"/>
              </w:rPr>
              <w:t>1</w:t>
            </w:r>
            <w:r w:rsidRPr="00C7365B">
              <w:rPr>
                <w:rFonts w:ascii="Source Sans Pro" w:eastAsia="Source Sans Pro" w:hAnsi="Source Sans Pro"/>
                <w:sz w:val="20"/>
              </w:rPr>
              <w:t>. Innovation Pilot Programs - Application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20F14C2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0.16</w:t>
            </w:r>
          </w:p>
        </w:tc>
        <w:tc>
          <w:tcPr>
            <w:tcW w:w="984" w:type="dxa"/>
            <w:tcBorders>
              <w:top w:val="nil"/>
              <w:left w:val="nil"/>
              <w:bottom w:val="single" w:sz="8" w:space="0" w:color="auto"/>
              <w:right w:val="single" w:sz="8" w:space="0" w:color="auto"/>
            </w:tcBorders>
            <w:vAlign w:val="center"/>
            <w:hideMark/>
          </w:tcPr>
          <w:p w:rsidR="00C7365B" w:rsidRPr="00C7365B" w:rsidP="00C7365B" w14:paraId="6402F1C5"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6001F39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45EB170A"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66DFA80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2D3E2D1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4554EB07"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nil"/>
              <w:left w:val="nil"/>
              <w:bottom w:val="single" w:sz="8" w:space="0" w:color="auto"/>
              <w:right w:val="single" w:sz="8" w:space="0" w:color="auto"/>
            </w:tcBorders>
            <w:vAlign w:val="center"/>
            <w:hideMark/>
          </w:tcPr>
          <w:p w:rsidR="00C7365B" w:rsidRPr="00C7365B" w:rsidP="00C7365B" w14:paraId="65C9484D"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014A03C3" w14:textId="77777777" w:rsidTr="00C7365B">
        <w:tblPrEx>
          <w:tblW w:w="10436" w:type="dxa"/>
          <w:tblCellMar>
            <w:top w:w="15" w:type="dxa"/>
          </w:tblCellMar>
          <w:tblLook w:val="04A0"/>
        </w:tblPrEx>
        <w:trPr>
          <w:trHeight w:val="1050"/>
        </w:trPr>
        <w:tc>
          <w:tcPr>
            <w:tcW w:w="2372" w:type="dxa"/>
            <w:tcBorders>
              <w:top w:val="nil"/>
              <w:left w:val="single" w:sz="8" w:space="0" w:color="auto"/>
              <w:bottom w:val="single" w:sz="8" w:space="0" w:color="auto"/>
              <w:right w:val="single" w:sz="8" w:space="0" w:color="auto"/>
            </w:tcBorders>
            <w:vAlign w:val="center"/>
            <w:hideMark/>
          </w:tcPr>
          <w:p w:rsidR="00C7365B" w:rsidRPr="00C7365B" w:rsidP="00C7365B" w14:paraId="53ED828E" w14:textId="5F92C38D">
            <w:pPr>
              <w:widowControl/>
              <w:spacing w:after="160"/>
              <w:rPr>
                <w:rFonts w:ascii="Source Sans Pro" w:eastAsia="Source Sans Pro" w:hAnsi="Source Sans Pro"/>
                <w:sz w:val="20"/>
              </w:rPr>
            </w:pPr>
            <w:r w:rsidRPr="00C7365B">
              <w:rPr>
                <w:rFonts w:ascii="Source Sans Pro" w:eastAsia="Source Sans Pro" w:hAnsi="Source Sans Pro"/>
                <w:sz w:val="20"/>
              </w:rPr>
              <w:t>1</w:t>
            </w:r>
            <w:r w:rsidR="000F684F">
              <w:rPr>
                <w:rFonts w:ascii="Source Sans Pro" w:eastAsia="Source Sans Pro" w:hAnsi="Source Sans Pro"/>
                <w:sz w:val="20"/>
              </w:rPr>
              <w:t>2</w:t>
            </w:r>
            <w:r w:rsidRPr="00C7365B">
              <w:rPr>
                <w:rFonts w:ascii="Source Sans Pro" w:eastAsia="Source Sans Pro" w:hAnsi="Source Sans Pro"/>
                <w:sz w:val="20"/>
              </w:rPr>
              <w:t>. Innovation Pilot Programs - Proposal (Required to Obtain or Retain Benefits)</w:t>
            </w:r>
          </w:p>
        </w:tc>
        <w:tc>
          <w:tcPr>
            <w:tcW w:w="880" w:type="dxa"/>
            <w:tcBorders>
              <w:top w:val="nil"/>
              <w:left w:val="nil"/>
              <w:bottom w:val="single" w:sz="8" w:space="0" w:color="auto"/>
              <w:right w:val="single" w:sz="8" w:space="0" w:color="auto"/>
            </w:tcBorders>
            <w:vAlign w:val="center"/>
            <w:hideMark/>
          </w:tcPr>
          <w:p w:rsidR="00C7365B" w:rsidRPr="00C7365B" w:rsidP="00C7365B" w14:paraId="59B65E6C"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0.47</w:t>
            </w:r>
          </w:p>
        </w:tc>
        <w:tc>
          <w:tcPr>
            <w:tcW w:w="984" w:type="dxa"/>
            <w:tcBorders>
              <w:top w:val="nil"/>
              <w:left w:val="nil"/>
              <w:bottom w:val="single" w:sz="8" w:space="0" w:color="auto"/>
              <w:right w:val="single" w:sz="8" w:space="0" w:color="auto"/>
            </w:tcBorders>
            <w:vAlign w:val="center"/>
            <w:hideMark/>
          </w:tcPr>
          <w:p w:rsidR="00C7365B" w:rsidRPr="00C7365B" w:rsidP="00C7365B" w14:paraId="44513119"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84" w:type="dxa"/>
            <w:tcBorders>
              <w:top w:val="nil"/>
              <w:left w:val="nil"/>
              <w:bottom w:val="single" w:sz="8" w:space="0" w:color="auto"/>
              <w:right w:val="single" w:sz="8" w:space="0" w:color="auto"/>
            </w:tcBorders>
            <w:vAlign w:val="center"/>
            <w:hideMark/>
          </w:tcPr>
          <w:p w:rsidR="00C7365B" w:rsidRPr="00C7365B" w:rsidP="00C7365B" w14:paraId="79D55A14"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50</w:t>
            </w:r>
          </w:p>
        </w:tc>
        <w:tc>
          <w:tcPr>
            <w:tcW w:w="920" w:type="dxa"/>
            <w:tcBorders>
              <w:top w:val="nil"/>
              <w:left w:val="nil"/>
              <w:bottom w:val="single" w:sz="8" w:space="0" w:color="auto"/>
              <w:right w:val="single" w:sz="8" w:space="0" w:color="auto"/>
            </w:tcBorders>
            <w:vAlign w:val="center"/>
            <w:hideMark/>
          </w:tcPr>
          <w:p w:rsidR="00C7365B" w:rsidRPr="00C7365B" w:rsidP="00C7365B" w14:paraId="08EDB4D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223F7473"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984" w:type="dxa"/>
            <w:tcBorders>
              <w:top w:val="nil"/>
              <w:left w:val="nil"/>
              <w:bottom w:val="single" w:sz="8" w:space="0" w:color="auto"/>
              <w:right w:val="single" w:sz="8" w:space="0" w:color="auto"/>
            </w:tcBorders>
            <w:vAlign w:val="center"/>
            <w:hideMark/>
          </w:tcPr>
          <w:p w:rsidR="00C7365B" w:rsidRPr="00C7365B" w:rsidP="00C7365B" w14:paraId="7763192B"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884" w:type="dxa"/>
            <w:tcBorders>
              <w:top w:val="nil"/>
              <w:left w:val="nil"/>
              <w:bottom w:val="single" w:sz="8" w:space="0" w:color="auto"/>
              <w:right w:val="single" w:sz="8" w:space="0" w:color="auto"/>
            </w:tcBorders>
            <w:vAlign w:val="center"/>
            <w:hideMark/>
          </w:tcPr>
          <w:p w:rsidR="00C7365B" w:rsidRPr="00C7365B" w:rsidP="00C7365B" w14:paraId="2FC98C12"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0</w:t>
            </w:r>
          </w:p>
        </w:tc>
        <w:tc>
          <w:tcPr>
            <w:tcW w:w="1444" w:type="dxa"/>
            <w:tcBorders>
              <w:top w:val="single" w:sz="8" w:space="0" w:color="auto"/>
              <w:left w:val="nil"/>
              <w:bottom w:val="single" w:sz="4" w:space="0" w:color="auto"/>
              <w:right w:val="single" w:sz="8" w:space="0" w:color="auto"/>
            </w:tcBorders>
            <w:vAlign w:val="center"/>
            <w:hideMark/>
          </w:tcPr>
          <w:p w:rsidR="00C7365B" w:rsidRPr="00C7365B" w:rsidP="00C7365B" w14:paraId="620F5558" w14:textId="77777777">
            <w:pPr>
              <w:widowControl/>
              <w:spacing w:after="160"/>
              <w:jc w:val="center"/>
              <w:rPr>
                <w:rFonts w:ascii="Source Sans Pro" w:eastAsia="Source Sans Pro" w:hAnsi="Source Sans Pro"/>
                <w:sz w:val="20"/>
              </w:rPr>
            </w:pPr>
            <w:r w:rsidRPr="00C7365B">
              <w:rPr>
                <w:rFonts w:ascii="Source Sans Pro" w:eastAsia="Source Sans Pro" w:hAnsi="Source Sans Pro"/>
                <w:sz w:val="20"/>
              </w:rPr>
              <w:t>$164.10</w:t>
            </w:r>
          </w:p>
        </w:tc>
      </w:tr>
      <w:tr w14:paraId="22F1E8AB" w14:textId="77777777" w:rsidTr="00C7365B">
        <w:tblPrEx>
          <w:tblW w:w="10436" w:type="dxa"/>
          <w:tblCellMar>
            <w:top w:w="15" w:type="dxa"/>
          </w:tblCellMar>
          <w:tblLook w:val="04A0"/>
        </w:tblPrEx>
        <w:trPr>
          <w:trHeight w:val="300"/>
        </w:trPr>
        <w:tc>
          <w:tcPr>
            <w:tcW w:w="8992" w:type="dxa"/>
            <w:gridSpan w:val="8"/>
            <w:tcBorders>
              <w:top w:val="single" w:sz="8" w:space="0" w:color="auto"/>
              <w:left w:val="single" w:sz="8" w:space="0" w:color="auto"/>
              <w:bottom w:val="single" w:sz="4" w:space="0" w:color="auto"/>
              <w:right w:val="single" w:sz="8" w:space="0" w:color="auto"/>
            </w:tcBorders>
            <w:vAlign w:val="center"/>
            <w:hideMark/>
          </w:tcPr>
          <w:p w:rsidR="00C7365B" w:rsidRPr="00C7365B" w:rsidP="00C7365B" w14:paraId="0F7F0DCF" w14:textId="77777777">
            <w:pPr>
              <w:widowControl/>
              <w:spacing w:after="160"/>
              <w:jc w:val="right"/>
              <w:rPr>
                <w:rFonts w:ascii="Source Sans Pro" w:eastAsia="Source Sans Pro" w:hAnsi="Source Sans Pro"/>
                <w:sz w:val="22"/>
                <w:szCs w:val="22"/>
              </w:rPr>
            </w:pPr>
            <w:r w:rsidRPr="00C7365B">
              <w:rPr>
                <w:rFonts w:ascii="Source Sans Pro" w:eastAsia="Source Sans Pro" w:hAnsi="Source Sans Pro"/>
                <w:sz w:val="22"/>
                <w:szCs w:val="22"/>
              </w:rPr>
              <w:t>Weighted Average Hourly Compensation Rate:</w:t>
            </w:r>
          </w:p>
        </w:tc>
        <w:tc>
          <w:tcPr>
            <w:tcW w:w="1444" w:type="dxa"/>
            <w:tcBorders>
              <w:top w:val="single" w:sz="4" w:space="0" w:color="auto"/>
              <w:left w:val="nil"/>
              <w:bottom w:val="single" w:sz="4" w:space="0" w:color="auto"/>
              <w:right w:val="single" w:sz="8" w:space="0" w:color="auto"/>
            </w:tcBorders>
            <w:vAlign w:val="center"/>
            <w:hideMark/>
          </w:tcPr>
          <w:p w:rsidR="00C7365B" w:rsidRPr="00C7365B" w:rsidP="00C7365B" w14:paraId="184179FF" w14:textId="77777777">
            <w:pPr>
              <w:widowControl/>
              <w:spacing w:after="160"/>
              <w:jc w:val="center"/>
              <w:rPr>
                <w:rFonts w:ascii="Source Sans Pro" w:eastAsia="Source Sans Pro" w:hAnsi="Source Sans Pro"/>
                <w:sz w:val="22"/>
                <w:szCs w:val="22"/>
              </w:rPr>
            </w:pPr>
            <w:r w:rsidRPr="00C7365B">
              <w:rPr>
                <w:rFonts w:ascii="Source Sans Pro" w:eastAsia="Source Sans Pro" w:hAnsi="Source Sans Pro"/>
                <w:sz w:val="22"/>
                <w:szCs w:val="22"/>
              </w:rPr>
              <w:t>$164.10</w:t>
            </w:r>
          </w:p>
        </w:tc>
      </w:tr>
    </w:tbl>
    <w:p w:rsidR="001E4B70" w:rsidP="00F8624D" w14:paraId="1A0B8DB0" w14:textId="41DDF08E">
      <w:pPr>
        <w:tabs>
          <w:tab w:val="left" w:pos="-1440"/>
        </w:tabs>
        <w:outlineLvl w:val="0"/>
        <w:rPr>
          <w:rFonts w:ascii="Times New Roman" w:hAnsi="Times New Roman"/>
          <w:szCs w:val="24"/>
          <w:lang w:bidi="en-US"/>
        </w:rPr>
      </w:pPr>
    </w:p>
    <w:p w:rsidR="001E4B70" w14:paraId="7A625CF6" w14:textId="77777777">
      <w:pPr>
        <w:widowControl/>
        <w:rPr>
          <w:rFonts w:ascii="Times New Roman" w:hAnsi="Times New Roman"/>
          <w:szCs w:val="24"/>
          <w:lang w:bidi="en-US"/>
        </w:rPr>
      </w:pPr>
      <w:r>
        <w:rPr>
          <w:rFonts w:ascii="Times New Roman" w:hAnsi="Times New Roman"/>
          <w:szCs w:val="24"/>
          <w:lang w:bidi="en-US"/>
        </w:rPr>
        <w:br w:type="page"/>
      </w:r>
    </w:p>
    <w:p w:rsidR="00C7365B" w:rsidP="00F8624D" w14:paraId="12A43DA7" w14:textId="77777777">
      <w:pPr>
        <w:tabs>
          <w:tab w:val="left" w:pos="-1440"/>
        </w:tabs>
        <w:outlineLvl w:val="0"/>
        <w:rPr>
          <w:rFonts w:ascii="Times New Roman" w:hAnsi="Times New Roman"/>
          <w:szCs w:val="24"/>
          <w:lang w:bidi="en-US"/>
        </w:rPr>
      </w:pPr>
    </w:p>
    <w:tbl>
      <w:tblPr>
        <w:tblW w:w="10430" w:type="dxa"/>
        <w:tblLayout w:type="fixed"/>
        <w:tblLook w:val="06A0"/>
      </w:tblPr>
      <w:tblGrid>
        <w:gridCol w:w="2169"/>
        <w:gridCol w:w="2075"/>
        <w:gridCol w:w="2585"/>
        <w:gridCol w:w="3601"/>
      </w:tblGrid>
      <w:tr w14:paraId="5D2A4550" w14:textId="77777777" w:rsidTr="00C7365B">
        <w:tblPrEx>
          <w:tblW w:w="10430" w:type="dxa"/>
          <w:tblLayout w:type="fixed"/>
          <w:tblLook w:val="06A0"/>
        </w:tblPrEx>
        <w:trPr>
          <w:trHeight w:val="360"/>
        </w:trPr>
        <w:tc>
          <w:tcPr>
            <w:tcW w:w="10430" w:type="dxa"/>
            <w:gridSpan w:val="4"/>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118602E8" w14:textId="70DADF72">
            <w:pPr>
              <w:jc w:val="center"/>
              <w:rPr>
                <w:rFonts w:ascii="Source Sans Pro" w:eastAsia="Source Sans Pro" w:hAnsi="Source Sans Pro" w:cs="Source Sans Pro"/>
                <w:color w:val="000000" w:themeColor="text1"/>
                <w:szCs w:val="24"/>
              </w:rPr>
            </w:pPr>
            <w:r w:rsidRPr="2B3754B9">
              <w:rPr>
                <w:rFonts w:ascii="Source Sans Pro" w:eastAsia="Source Sans Pro" w:hAnsi="Source Sans Pro" w:cs="Source Sans Pro"/>
                <w:color w:val="000000" w:themeColor="text1"/>
                <w:szCs w:val="24"/>
              </w:rPr>
              <w:t>Total Estimated Cost Burden (OMB No. 3064-0072)</w:t>
            </w:r>
          </w:p>
        </w:tc>
      </w:tr>
      <w:tr w14:paraId="7E17940E" w14:textId="77777777" w:rsidTr="00C7365B">
        <w:tblPrEx>
          <w:tblW w:w="10430" w:type="dxa"/>
          <w:tblLayout w:type="fixed"/>
          <w:tblLook w:val="06A0"/>
        </w:tblPrEx>
        <w:trPr>
          <w:trHeight w:val="600"/>
        </w:trPr>
        <w:tc>
          <w:tcPr>
            <w:tcW w:w="2169" w:type="dxa"/>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39B1EF65"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Information Collection Request</w:t>
            </w:r>
          </w:p>
        </w:tc>
        <w:tc>
          <w:tcPr>
            <w:tcW w:w="2075"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7A39CDA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Annual Burden (Hours)</w:t>
            </w:r>
          </w:p>
        </w:tc>
        <w:tc>
          <w:tcPr>
            <w:tcW w:w="2585"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C7365B" w:rsidP="000845EC" w14:paraId="16938950"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Weighted Average Hourly Compensation Rate</w:t>
            </w:r>
          </w:p>
        </w:tc>
        <w:tc>
          <w:tcPr>
            <w:tcW w:w="3601" w:type="dxa"/>
            <w:tcBorders>
              <w:top w:val="nil"/>
              <w:left w:val="single" w:sz="8" w:space="0" w:color="auto"/>
              <w:bottom w:val="single" w:sz="8" w:space="0" w:color="auto"/>
              <w:right w:val="single" w:sz="8" w:space="0" w:color="000000" w:themeColor="text1"/>
            </w:tcBorders>
            <w:tcMar>
              <w:top w:w="15" w:type="dxa"/>
              <w:left w:w="15" w:type="dxa"/>
              <w:right w:w="15" w:type="dxa"/>
            </w:tcMar>
            <w:vAlign w:val="center"/>
          </w:tcPr>
          <w:p w:rsidR="00C7365B" w:rsidP="000845EC" w14:paraId="35078F77" w14:textId="77777777">
            <w:pPr>
              <w:jc w:val="cente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Annual Respondent Cost</w:t>
            </w:r>
          </w:p>
        </w:tc>
      </w:tr>
      <w:tr w14:paraId="5B5AC2B3" w14:textId="77777777" w:rsidTr="00C7365B">
        <w:tblPrEx>
          <w:tblW w:w="10430" w:type="dxa"/>
          <w:tblLayout w:type="fixed"/>
          <w:tblLook w:val="06A0"/>
        </w:tblPrEx>
        <w:trPr>
          <w:trHeight w:val="870"/>
        </w:trPr>
        <w:tc>
          <w:tcPr>
            <w:tcW w:w="216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C7365B" w:rsidP="000845EC" w14:paraId="6997D665" w14:textId="77777777">
            <w:pPr>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Acquisition Services Information Requirements</w:t>
            </w:r>
          </w:p>
        </w:tc>
        <w:tc>
          <w:tcPr>
            <w:tcW w:w="2075" w:type="dxa"/>
            <w:tcBorders>
              <w:top w:val="single" w:sz="8" w:space="0" w:color="auto"/>
              <w:left w:val="single" w:sz="8" w:space="0" w:color="auto"/>
              <w:bottom w:val="single" w:sz="8" w:space="0" w:color="auto"/>
              <w:right w:val="single" w:sz="8" w:space="0" w:color="auto"/>
            </w:tcBorders>
            <w:tcMar>
              <w:top w:w="15" w:type="dxa"/>
              <w:left w:w="15" w:type="dxa"/>
              <w:right w:w="270" w:type="dxa"/>
            </w:tcMar>
            <w:vAlign w:val="center"/>
          </w:tcPr>
          <w:p w:rsidR="00C7365B" w:rsidP="000845EC" w14:paraId="0108BD88"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                             </w:t>
            </w:r>
          </w:p>
          <w:p w:rsidR="00C7365B" w:rsidP="000845EC" w14:paraId="475BBFE8"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 xml:space="preserve">13,326 </w:t>
            </w:r>
          </w:p>
        </w:tc>
        <w:tc>
          <w:tcPr>
            <w:tcW w:w="2585" w:type="dxa"/>
            <w:tcBorders>
              <w:top w:val="single" w:sz="8" w:space="0" w:color="auto"/>
              <w:left w:val="single" w:sz="8" w:space="0" w:color="auto"/>
              <w:bottom w:val="single" w:sz="8" w:space="0" w:color="auto"/>
              <w:right w:val="single" w:sz="8" w:space="0" w:color="auto"/>
            </w:tcBorders>
            <w:tcMar>
              <w:top w:w="15" w:type="dxa"/>
              <w:left w:w="15" w:type="dxa"/>
              <w:right w:w="135" w:type="dxa"/>
            </w:tcMar>
            <w:vAlign w:val="center"/>
          </w:tcPr>
          <w:p w:rsidR="00C7365B" w:rsidP="000845EC" w14:paraId="25DDF549"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$164.10</w:t>
            </w:r>
          </w:p>
        </w:tc>
        <w:tc>
          <w:tcPr>
            <w:tcW w:w="3601" w:type="dxa"/>
            <w:tcBorders>
              <w:top w:val="single" w:sz="8" w:space="0" w:color="auto"/>
              <w:left w:val="single" w:sz="8" w:space="0" w:color="auto"/>
              <w:bottom w:val="single" w:sz="8" w:space="0" w:color="auto"/>
              <w:right w:val="single" w:sz="8" w:space="0" w:color="auto"/>
            </w:tcBorders>
            <w:tcMar>
              <w:top w:w="15" w:type="dxa"/>
              <w:left w:w="15" w:type="dxa"/>
              <w:right w:w="135" w:type="dxa"/>
            </w:tcMar>
            <w:vAlign w:val="center"/>
          </w:tcPr>
          <w:p w:rsidR="00C7365B" w:rsidP="000845EC" w14:paraId="4F17B3D5" w14:textId="77777777">
            <w:pPr>
              <w:jc w:val="right"/>
              <w:rPr>
                <w:rFonts w:ascii="Source Sans Pro" w:eastAsia="Source Sans Pro" w:hAnsi="Source Sans Pro" w:cs="Source Sans Pro"/>
                <w:color w:val="000000" w:themeColor="text1"/>
                <w:sz w:val="20"/>
              </w:rPr>
            </w:pPr>
            <w:r w:rsidRPr="2B3754B9">
              <w:rPr>
                <w:rFonts w:ascii="Source Sans Pro" w:eastAsia="Source Sans Pro" w:hAnsi="Source Sans Pro" w:cs="Source Sans Pro"/>
                <w:color w:val="000000" w:themeColor="text1"/>
                <w:sz w:val="20"/>
              </w:rPr>
              <w:t>$2,186,797</w:t>
            </w:r>
          </w:p>
        </w:tc>
      </w:tr>
      <w:tr w14:paraId="5DCB2EF1" w14:textId="77777777" w:rsidTr="00C7365B">
        <w:tblPrEx>
          <w:tblW w:w="10430" w:type="dxa"/>
          <w:tblLayout w:type="fixed"/>
          <w:tblLook w:val="06A0"/>
        </w:tblPrEx>
        <w:trPr>
          <w:trHeight w:val="360"/>
        </w:trPr>
        <w:tc>
          <w:tcPr>
            <w:tcW w:w="6829" w:type="dxa"/>
            <w:gridSpan w:val="3"/>
            <w:tcBorders>
              <w:top w:val="single" w:sz="8" w:space="0" w:color="auto"/>
              <w:left w:val="single" w:sz="8" w:space="0" w:color="auto"/>
              <w:bottom w:val="single" w:sz="8" w:space="0" w:color="auto"/>
              <w:right w:val="nil"/>
            </w:tcBorders>
            <w:shd w:val="clear" w:color="auto" w:fill="FFFFFF" w:themeFill="background1"/>
            <w:tcMar>
              <w:top w:w="15" w:type="dxa"/>
              <w:left w:w="15" w:type="dxa"/>
              <w:right w:w="15" w:type="dxa"/>
            </w:tcMar>
            <w:vAlign w:val="center"/>
          </w:tcPr>
          <w:p w:rsidR="00C7365B" w:rsidP="000845EC" w14:paraId="43EC4271"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Total Annual Respondent Cost:</w:t>
            </w:r>
          </w:p>
        </w:tc>
        <w:tc>
          <w:tcPr>
            <w:tcW w:w="3601" w:type="dxa"/>
            <w:tcBorders>
              <w:top w:val="single" w:sz="8" w:space="0" w:color="auto"/>
              <w:left w:val="nil"/>
              <w:bottom w:val="single" w:sz="8" w:space="0" w:color="auto"/>
              <w:right w:val="single" w:sz="8" w:space="0" w:color="auto"/>
            </w:tcBorders>
            <w:shd w:val="clear" w:color="auto" w:fill="FFFFFF" w:themeFill="background1"/>
            <w:tcMar>
              <w:top w:w="15" w:type="dxa"/>
              <w:left w:w="15" w:type="dxa"/>
              <w:right w:w="135" w:type="dxa"/>
            </w:tcMar>
            <w:vAlign w:val="center"/>
          </w:tcPr>
          <w:p w:rsidR="00C7365B" w:rsidP="000845EC" w14:paraId="59BDB4BA" w14:textId="77777777">
            <w:pPr>
              <w:jc w:val="right"/>
              <w:rPr>
                <w:rFonts w:ascii="Source Sans Pro" w:eastAsia="Source Sans Pro" w:hAnsi="Source Sans Pro" w:cs="Source Sans Pro"/>
                <w:b/>
                <w:bCs/>
                <w:i/>
                <w:iCs/>
                <w:color w:val="000000" w:themeColor="text1"/>
              </w:rPr>
            </w:pPr>
            <w:r w:rsidRPr="2B3754B9">
              <w:rPr>
                <w:rFonts w:ascii="Source Sans Pro" w:eastAsia="Source Sans Pro" w:hAnsi="Source Sans Pro" w:cs="Source Sans Pro"/>
                <w:b/>
                <w:bCs/>
                <w:i/>
                <w:iCs/>
                <w:color w:val="000000" w:themeColor="text1"/>
              </w:rPr>
              <w:t xml:space="preserve">$2,186,797 </w:t>
            </w:r>
          </w:p>
        </w:tc>
      </w:tr>
      <w:tr w14:paraId="39B8F3BB" w14:textId="77777777" w:rsidTr="00C7365B">
        <w:tblPrEx>
          <w:tblW w:w="10430" w:type="dxa"/>
          <w:tblLayout w:type="fixed"/>
          <w:tblLook w:val="06A0"/>
        </w:tblPrEx>
        <w:trPr>
          <w:trHeight w:val="300"/>
        </w:trPr>
        <w:tc>
          <w:tcPr>
            <w:tcW w:w="10430" w:type="dxa"/>
            <w:gridSpan w:val="4"/>
            <w:tcBorders>
              <w:top w:val="single" w:sz="8" w:space="0" w:color="auto"/>
              <w:left w:val="single" w:sz="8" w:space="0" w:color="auto"/>
              <w:bottom w:val="single" w:sz="8" w:space="0" w:color="auto"/>
              <w:right w:val="single" w:sz="8" w:space="0" w:color="000000" w:themeColor="text1"/>
            </w:tcBorders>
            <w:tcMar>
              <w:top w:w="15" w:type="dxa"/>
              <w:left w:w="15" w:type="dxa"/>
              <w:right w:w="15" w:type="dxa"/>
            </w:tcMar>
          </w:tcPr>
          <w:p w:rsidR="00C7365B" w:rsidP="000845EC" w14:paraId="56D4B88E" w14:textId="77777777">
            <w:pPr>
              <w:rPr>
                <w:rFonts w:ascii="Source Sans Pro" w:eastAsia="Source Sans Pro" w:hAnsi="Source Sans Pro" w:cs="Source Sans Pro"/>
                <w:color w:val="000000" w:themeColor="text1"/>
                <w:sz w:val="18"/>
                <w:szCs w:val="18"/>
              </w:rPr>
            </w:pPr>
            <w:r w:rsidRPr="28DAAD43">
              <w:rPr>
                <w:rFonts w:ascii="Source Sans Pro" w:eastAsia="Source Sans Pro" w:hAnsi="Source Sans Pro" w:cs="Source Sans Pro"/>
                <w:color w:val="000000" w:themeColor="text1"/>
                <w:sz w:val="18"/>
                <w:szCs w:val="18"/>
              </w:rPr>
              <w:t>Source: FDIC.</w:t>
            </w:r>
          </w:p>
        </w:tc>
      </w:tr>
    </w:tbl>
    <w:p w:rsidR="00C7365B" w:rsidP="00F8624D" w14:paraId="0C7C19F1" w14:textId="77777777">
      <w:pPr>
        <w:tabs>
          <w:tab w:val="left" w:pos="-1440"/>
        </w:tabs>
        <w:outlineLvl w:val="0"/>
        <w:rPr>
          <w:rFonts w:ascii="Times New Roman" w:hAnsi="Times New Roman"/>
          <w:szCs w:val="24"/>
          <w:lang w:bidi="en-US"/>
        </w:rPr>
      </w:pPr>
    </w:p>
    <w:p w:rsidR="00C7365B" w:rsidP="00F8624D" w14:paraId="7DF90391" w14:textId="77777777">
      <w:pPr>
        <w:tabs>
          <w:tab w:val="left" w:pos="-1440"/>
        </w:tabs>
        <w:outlineLvl w:val="0"/>
        <w:rPr>
          <w:rFonts w:ascii="Times New Roman" w:hAnsi="Times New Roman"/>
          <w:szCs w:val="24"/>
          <w:lang w:bidi="en-US"/>
        </w:rPr>
      </w:pPr>
    </w:p>
    <w:p w:rsidR="008D5DF3" w:rsidRPr="001E4B70" w:rsidP="007E06F6" w14:paraId="35F65A75" w14:textId="70CAB769">
      <w:pPr>
        <w:widowControl/>
        <w:numPr>
          <w:ilvl w:val="1"/>
          <w:numId w:val="18"/>
        </w:numPr>
        <w:ind w:left="630"/>
        <w:rPr>
          <w:rFonts w:ascii="Times New Roman" w:hAnsi="Times New Roman"/>
          <w:szCs w:val="24"/>
        </w:rPr>
      </w:pPr>
      <w:r>
        <w:rPr>
          <w:rFonts w:ascii="Times New Roman" w:hAnsi="Times New Roman"/>
          <w:szCs w:val="24"/>
          <w:u w:val="single"/>
        </w:rPr>
        <w:t xml:space="preserve">Capital, Start-up, Operating, and Maintenance </w:t>
      </w:r>
      <w:r w:rsidRPr="00471381" w:rsidR="001E4B70">
        <w:rPr>
          <w:rFonts w:ascii="Times New Roman" w:hAnsi="Times New Roman"/>
          <w:u w:val="single"/>
        </w:rPr>
        <w:t xml:space="preserve">Estimate of </w:t>
      </w:r>
      <w:r w:rsidR="001E4B70">
        <w:rPr>
          <w:rFonts w:ascii="Times New Roman" w:hAnsi="Times New Roman"/>
          <w:u w:val="single"/>
        </w:rPr>
        <w:t>Start-up C</w:t>
      </w:r>
      <w:r w:rsidRPr="00471381" w:rsidR="001E4B70">
        <w:rPr>
          <w:rFonts w:ascii="Times New Roman" w:hAnsi="Times New Roman"/>
          <w:u w:val="single"/>
        </w:rPr>
        <w:t xml:space="preserve">osts to </w:t>
      </w:r>
      <w:r w:rsidR="001E4B70">
        <w:rPr>
          <w:rFonts w:ascii="Times New Roman" w:hAnsi="Times New Roman"/>
          <w:u w:val="single"/>
        </w:rPr>
        <w:t>R</w:t>
      </w:r>
      <w:r w:rsidRPr="00471381" w:rsidR="001E4B70">
        <w:rPr>
          <w:rFonts w:ascii="Times New Roman" w:hAnsi="Times New Roman"/>
          <w:u w:val="single"/>
        </w:rPr>
        <w:t>espondents</w:t>
      </w:r>
      <w:r w:rsidR="001E4B70">
        <w:rPr>
          <w:rFonts w:ascii="Times New Roman" w:hAnsi="Times New Roman"/>
          <w:szCs w:val="24"/>
          <w:u w:val="single"/>
        </w:rPr>
        <w:t>.</w:t>
      </w:r>
    </w:p>
    <w:p w:rsidR="001E4B70" w:rsidRPr="00A658D8" w:rsidP="001E4B70" w14:paraId="7A553C0A" w14:textId="77777777">
      <w:pPr>
        <w:widowControl/>
        <w:ind w:left="630"/>
        <w:rPr>
          <w:rFonts w:ascii="Times New Roman" w:hAnsi="Times New Roman"/>
          <w:szCs w:val="24"/>
        </w:rPr>
      </w:pPr>
    </w:p>
    <w:p w:rsidR="008D5DF3" w:rsidRPr="00A658D8" w:rsidP="00995218" w14:paraId="46F902A9" w14:textId="77777777">
      <w:pPr>
        <w:ind w:left="630"/>
        <w:rPr>
          <w:rFonts w:ascii="Times New Roman" w:hAnsi="Times New Roman"/>
          <w:szCs w:val="24"/>
        </w:rPr>
      </w:pPr>
      <w:r w:rsidRPr="00A658D8">
        <w:rPr>
          <w:rFonts w:ascii="Times New Roman" w:hAnsi="Times New Roman"/>
          <w:szCs w:val="24"/>
        </w:rPr>
        <w:t>None.</w:t>
      </w:r>
    </w:p>
    <w:p w:rsidR="00A658D8" w:rsidRPr="00A658D8" w:rsidP="00850D6B" w14:paraId="59E7E429" w14:textId="77777777">
      <w:pPr>
        <w:outlineLvl w:val="0"/>
        <w:rPr>
          <w:rFonts w:ascii="Times New Roman" w:hAnsi="Times New Roman"/>
          <w:szCs w:val="24"/>
        </w:rPr>
      </w:pPr>
    </w:p>
    <w:p w:rsidR="008D5DF3" w:rsidRPr="001E4B70" w:rsidP="007E06F6" w14:paraId="3028DFC6" w14:textId="05979AA8">
      <w:pPr>
        <w:widowControl/>
        <w:numPr>
          <w:ilvl w:val="1"/>
          <w:numId w:val="18"/>
        </w:numPr>
        <w:ind w:left="630"/>
        <w:rPr>
          <w:rFonts w:ascii="Times New Roman" w:hAnsi="Times New Roman"/>
          <w:szCs w:val="24"/>
        </w:rPr>
      </w:pPr>
      <w:r w:rsidRPr="00EF69B6">
        <w:rPr>
          <w:rFonts w:ascii="Times New Roman" w:hAnsi="Times New Roman"/>
          <w:szCs w:val="24"/>
          <w:u w:val="single"/>
        </w:rPr>
        <w:t>Estimate of annualized costs to the government</w:t>
      </w:r>
    </w:p>
    <w:p w:rsidR="001E4B70" w:rsidRPr="00A658D8" w:rsidP="001E4B70" w14:paraId="514FE76C" w14:textId="77777777">
      <w:pPr>
        <w:widowControl/>
        <w:ind w:left="630"/>
        <w:rPr>
          <w:rFonts w:ascii="Times New Roman" w:hAnsi="Times New Roman"/>
          <w:szCs w:val="24"/>
        </w:rPr>
      </w:pPr>
    </w:p>
    <w:p w:rsidR="008D5DF3" w:rsidRPr="00A658D8" w:rsidP="00995218" w14:paraId="2B1D7178" w14:textId="77777777">
      <w:pPr>
        <w:ind w:left="630"/>
        <w:rPr>
          <w:rFonts w:ascii="Times New Roman" w:hAnsi="Times New Roman"/>
          <w:szCs w:val="24"/>
        </w:rPr>
      </w:pPr>
      <w:r w:rsidRPr="00A658D8">
        <w:rPr>
          <w:rFonts w:ascii="Times New Roman" w:hAnsi="Times New Roman"/>
          <w:szCs w:val="24"/>
        </w:rPr>
        <w:t>None.</w:t>
      </w:r>
    </w:p>
    <w:p w:rsidR="008D5DF3" w:rsidRPr="00A658D8" w:rsidP="00850D6B" w14:paraId="2396C776" w14:textId="77777777">
      <w:pPr>
        <w:rPr>
          <w:rFonts w:ascii="Times New Roman" w:hAnsi="Times New Roman"/>
          <w:szCs w:val="24"/>
        </w:rPr>
      </w:pPr>
    </w:p>
    <w:p w:rsidR="008D5DF3" w:rsidRPr="000440A4" w:rsidP="007E06F6" w14:paraId="1B3296C6" w14:textId="7878853C">
      <w:pPr>
        <w:widowControl/>
        <w:numPr>
          <w:ilvl w:val="1"/>
          <w:numId w:val="18"/>
        </w:numPr>
        <w:ind w:left="630"/>
        <w:rPr>
          <w:rFonts w:ascii="Times New Roman" w:hAnsi="Times New Roman"/>
          <w:szCs w:val="24"/>
        </w:rPr>
      </w:pPr>
      <w:r>
        <w:rPr>
          <w:rFonts w:ascii="Times New Roman" w:hAnsi="Times New Roman"/>
          <w:szCs w:val="24"/>
          <w:u w:val="single"/>
        </w:rPr>
        <w:t>Reason for Change in Burden</w:t>
      </w:r>
    </w:p>
    <w:p w:rsidR="000440A4" w:rsidP="000440A4" w14:paraId="02F89291" w14:textId="77777777">
      <w:pPr>
        <w:pStyle w:val="ListParagraph"/>
        <w:tabs>
          <w:tab w:val="left" w:pos="-1440"/>
        </w:tabs>
        <w:ind w:left="1080"/>
        <w:outlineLvl w:val="0"/>
        <w:rPr>
          <w:rFonts w:ascii="Times New Roman" w:hAnsi="Times New Roman"/>
          <w:sz w:val="24"/>
          <w:szCs w:val="24"/>
        </w:rPr>
      </w:pPr>
    </w:p>
    <w:p w:rsidR="000440A4" w:rsidRPr="00A658D8" w:rsidP="001E4B70" w14:paraId="311166F6" w14:textId="7B121C6A">
      <w:pPr>
        <w:pStyle w:val="ListParagraph"/>
        <w:tabs>
          <w:tab w:val="left" w:pos="-1440"/>
        </w:tabs>
        <w:outlineLvl w:val="0"/>
        <w:rPr>
          <w:rFonts w:ascii="Times New Roman" w:hAnsi="Times New Roman"/>
          <w:szCs w:val="24"/>
        </w:rPr>
      </w:pPr>
      <w:r w:rsidRPr="00376149">
        <w:rPr>
          <w:rFonts w:ascii="Times New Roman" w:hAnsi="Times New Roman"/>
          <w:sz w:val="24"/>
          <w:szCs w:val="24"/>
        </w:rPr>
        <w:t>The FDIC</w:t>
      </w:r>
      <w:r>
        <w:rPr>
          <w:rFonts w:ascii="Times New Roman" w:hAnsi="Times New Roman"/>
          <w:sz w:val="24"/>
          <w:szCs w:val="24"/>
        </w:rPr>
        <w:t xml:space="preserve"> has</w:t>
      </w:r>
      <w:r w:rsidRPr="00376149">
        <w:rPr>
          <w:rFonts w:ascii="Times New Roman" w:hAnsi="Times New Roman"/>
          <w:sz w:val="24"/>
          <w:szCs w:val="24"/>
        </w:rPr>
        <w:t xml:space="preserve"> revis</w:t>
      </w:r>
      <w:r>
        <w:rPr>
          <w:rFonts w:ascii="Times New Roman" w:hAnsi="Times New Roman"/>
          <w:sz w:val="24"/>
          <w:szCs w:val="24"/>
        </w:rPr>
        <w:t>ed</w:t>
      </w:r>
      <w:r w:rsidRPr="00376149">
        <w:rPr>
          <w:rFonts w:ascii="Times New Roman" w:hAnsi="Times New Roman"/>
          <w:sz w:val="24"/>
          <w:szCs w:val="24"/>
        </w:rPr>
        <w:t xml:space="preserve"> Form 7400/ 04A by removing certain language and questions in the form to comply with Executive Order 14151. </w:t>
      </w:r>
      <w:r>
        <w:rPr>
          <w:rFonts w:ascii="Times New Roman" w:hAnsi="Times New Roman"/>
          <w:sz w:val="24"/>
          <w:szCs w:val="24"/>
        </w:rPr>
        <w:t>These revisions resulted in a slight reduction in the time to respond for IC #</w:t>
      </w:r>
      <w:r w:rsidR="001407D8">
        <w:rPr>
          <w:rFonts w:ascii="Times New Roman" w:hAnsi="Times New Roman"/>
          <w:sz w:val="24"/>
          <w:szCs w:val="24"/>
        </w:rPr>
        <w:t>7</w:t>
      </w:r>
      <w:r>
        <w:rPr>
          <w:rFonts w:ascii="Times New Roman" w:hAnsi="Times New Roman"/>
          <w:sz w:val="24"/>
          <w:szCs w:val="24"/>
        </w:rPr>
        <w:t xml:space="preserve"> from 45 minutes to 35 minutes. </w:t>
      </w:r>
    </w:p>
    <w:p w:rsidR="008D5DF3" w:rsidRPr="001E4B70" w:rsidP="007E06F6" w14:paraId="7ECEF77A" w14:textId="59E97712">
      <w:pPr>
        <w:widowControl/>
        <w:numPr>
          <w:ilvl w:val="1"/>
          <w:numId w:val="18"/>
        </w:numPr>
        <w:ind w:left="630"/>
        <w:rPr>
          <w:rFonts w:ascii="Times New Roman" w:hAnsi="Times New Roman"/>
          <w:szCs w:val="24"/>
        </w:rPr>
      </w:pPr>
      <w:r w:rsidRPr="00471381">
        <w:rPr>
          <w:rFonts w:ascii="Times New Roman" w:hAnsi="Times New Roman"/>
          <w:u w:val="single"/>
        </w:rPr>
        <w:t>Information regarding collections whose results are planned to be published for statistical use</w:t>
      </w:r>
      <w:r>
        <w:rPr>
          <w:rFonts w:ascii="Times New Roman" w:hAnsi="Times New Roman"/>
          <w:szCs w:val="24"/>
          <w:u w:val="single"/>
        </w:rPr>
        <w:t>:</w:t>
      </w:r>
    </w:p>
    <w:p w:rsidR="001E4B70" w:rsidRPr="00DC4739" w:rsidP="001E4B70" w14:paraId="501B8A1D" w14:textId="77777777">
      <w:pPr>
        <w:widowControl/>
        <w:ind w:left="630"/>
        <w:rPr>
          <w:rFonts w:ascii="Times New Roman" w:hAnsi="Times New Roman"/>
          <w:szCs w:val="24"/>
        </w:rPr>
      </w:pPr>
    </w:p>
    <w:p w:rsidR="008D5DF3" w:rsidRPr="00A658D8" w:rsidP="00995218" w14:paraId="64F90372" w14:textId="298B5FE6">
      <w:pPr>
        <w:ind w:left="630"/>
        <w:rPr>
          <w:rFonts w:ascii="Times New Roman" w:hAnsi="Times New Roman"/>
          <w:szCs w:val="24"/>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r w:rsidRPr="00A658D8">
        <w:rPr>
          <w:rFonts w:ascii="Times New Roman" w:hAnsi="Times New Roman"/>
          <w:szCs w:val="24"/>
        </w:rPr>
        <w:t>.</w:t>
      </w:r>
    </w:p>
    <w:p w:rsidR="008D5DF3" w:rsidRPr="00A658D8" w:rsidP="00850D6B" w14:paraId="40061DA2" w14:textId="77777777">
      <w:pPr>
        <w:rPr>
          <w:rFonts w:ascii="Times New Roman" w:hAnsi="Times New Roman"/>
          <w:szCs w:val="24"/>
        </w:rPr>
      </w:pPr>
    </w:p>
    <w:p w:rsidR="008D5DF3" w:rsidRPr="001E4B70" w:rsidP="007E06F6" w14:paraId="45AB94EF"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Display of </w:t>
      </w:r>
      <w:r w:rsidR="00DC4739">
        <w:rPr>
          <w:rFonts w:ascii="Times New Roman" w:hAnsi="Times New Roman"/>
          <w:szCs w:val="24"/>
          <w:u w:val="single"/>
        </w:rPr>
        <w:t>Expiration D</w:t>
      </w:r>
      <w:r w:rsidRPr="00A658D8">
        <w:rPr>
          <w:rFonts w:ascii="Times New Roman" w:hAnsi="Times New Roman"/>
          <w:szCs w:val="24"/>
          <w:u w:val="single"/>
        </w:rPr>
        <w:t>ate</w:t>
      </w:r>
    </w:p>
    <w:p w:rsidR="001E4B70" w:rsidRPr="00A658D8" w:rsidP="001E4B70" w14:paraId="7C902775" w14:textId="77777777">
      <w:pPr>
        <w:widowControl/>
        <w:ind w:left="630"/>
        <w:rPr>
          <w:rFonts w:ascii="Times New Roman" w:hAnsi="Times New Roman"/>
          <w:szCs w:val="24"/>
        </w:rPr>
      </w:pPr>
    </w:p>
    <w:p w:rsidR="008D5DF3" w:rsidRPr="00A658D8" w:rsidP="00995218" w14:paraId="627D80CB" w14:textId="77777777">
      <w:pPr>
        <w:ind w:left="630"/>
        <w:rPr>
          <w:rFonts w:ascii="Times New Roman" w:hAnsi="Times New Roman"/>
          <w:szCs w:val="24"/>
        </w:rPr>
      </w:pPr>
      <w:r w:rsidRPr="00A658D8">
        <w:rPr>
          <w:rFonts w:ascii="Times New Roman" w:hAnsi="Times New Roman"/>
          <w:szCs w:val="24"/>
        </w:rPr>
        <w:t>Not applicable.</w:t>
      </w:r>
    </w:p>
    <w:p w:rsidR="00A658D8" w:rsidRPr="00A658D8" w:rsidP="00850D6B" w14:paraId="03C2E223" w14:textId="77777777">
      <w:pPr>
        <w:outlineLvl w:val="0"/>
        <w:rPr>
          <w:rFonts w:ascii="Times New Roman" w:hAnsi="Times New Roman"/>
          <w:szCs w:val="24"/>
        </w:rPr>
      </w:pPr>
    </w:p>
    <w:p w:rsidR="008D5DF3" w:rsidRPr="001E4B70" w:rsidP="007E06F6" w14:paraId="666A0BE4" w14:textId="77777777">
      <w:pPr>
        <w:widowControl/>
        <w:numPr>
          <w:ilvl w:val="1"/>
          <w:numId w:val="18"/>
        </w:numPr>
        <w:ind w:left="630"/>
        <w:rPr>
          <w:rFonts w:ascii="Times New Roman" w:hAnsi="Times New Roman"/>
          <w:szCs w:val="24"/>
        </w:rPr>
      </w:pPr>
      <w:r w:rsidRPr="00A658D8">
        <w:rPr>
          <w:rFonts w:ascii="Times New Roman" w:hAnsi="Times New Roman"/>
          <w:szCs w:val="24"/>
          <w:u w:val="single"/>
        </w:rPr>
        <w:t xml:space="preserve">Exceptions to </w:t>
      </w:r>
      <w:r w:rsidR="00DC4739">
        <w:rPr>
          <w:rFonts w:ascii="Times New Roman" w:hAnsi="Times New Roman"/>
          <w:szCs w:val="24"/>
          <w:u w:val="single"/>
        </w:rPr>
        <w:t>Certification S</w:t>
      </w:r>
      <w:r w:rsidRPr="00A658D8">
        <w:rPr>
          <w:rFonts w:ascii="Times New Roman" w:hAnsi="Times New Roman"/>
          <w:szCs w:val="24"/>
          <w:u w:val="single"/>
        </w:rPr>
        <w:t>tatement</w:t>
      </w:r>
    </w:p>
    <w:p w:rsidR="001E4B70" w:rsidRPr="00A658D8" w:rsidP="001E4B70" w14:paraId="330483E5" w14:textId="77777777">
      <w:pPr>
        <w:widowControl/>
        <w:ind w:left="630"/>
        <w:rPr>
          <w:rFonts w:ascii="Times New Roman" w:hAnsi="Times New Roman"/>
          <w:szCs w:val="24"/>
        </w:rPr>
      </w:pPr>
    </w:p>
    <w:p w:rsidR="008D5DF3" w:rsidRPr="00A658D8" w:rsidP="00995218" w14:paraId="0D5705FE" w14:textId="77777777">
      <w:pPr>
        <w:ind w:left="630"/>
        <w:rPr>
          <w:rFonts w:ascii="Times New Roman" w:hAnsi="Times New Roman"/>
          <w:szCs w:val="24"/>
        </w:rPr>
      </w:pPr>
      <w:r>
        <w:rPr>
          <w:rFonts w:ascii="Times New Roman" w:hAnsi="Times New Roman"/>
          <w:szCs w:val="24"/>
        </w:rPr>
        <w:t>None.</w:t>
      </w:r>
    </w:p>
    <w:p w:rsidR="008D5DF3" w:rsidRPr="00A658D8" w:rsidP="00850D6B" w14:paraId="5E8DA4C8" w14:textId="77777777">
      <w:pPr>
        <w:outlineLvl w:val="0"/>
        <w:rPr>
          <w:rFonts w:ascii="Times New Roman" w:hAnsi="Times New Roman"/>
          <w:szCs w:val="24"/>
        </w:rPr>
      </w:pPr>
    </w:p>
    <w:p w:rsidR="00A658D8" w:rsidRPr="00A658D8" w:rsidP="00A658D8" w14:paraId="7AF77FBE" w14:textId="77777777">
      <w:pPr>
        <w:widowControl/>
        <w:numPr>
          <w:ilvl w:val="0"/>
          <w:numId w:val="18"/>
        </w:numPr>
        <w:rPr>
          <w:rFonts w:ascii="Times New Roman" w:hAnsi="Times New Roman"/>
          <w:szCs w:val="24"/>
        </w:rPr>
      </w:pPr>
      <w:r>
        <w:rPr>
          <w:rFonts w:ascii="Times New Roman" w:hAnsi="Times New Roman"/>
          <w:szCs w:val="24"/>
          <w:u w:val="single"/>
        </w:rPr>
        <w:t>STATISTICAL METHODS</w:t>
      </w:r>
    </w:p>
    <w:p w:rsidR="00A658D8" w:rsidRPr="00A658D8" w:rsidP="00850D6B" w14:paraId="03EC9C3B" w14:textId="77777777">
      <w:pPr>
        <w:outlineLvl w:val="0"/>
        <w:rPr>
          <w:rFonts w:ascii="Times New Roman" w:hAnsi="Times New Roman"/>
          <w:szCs w:val="24"/>
        </w:rPr>
      </w:pPr>
    </w:p>
    <w:p w:rsidR="008D5DF3" w:rsidRPr="00A658D8" w:rsidP="00995218" w14:paraId="27322ED2" w14:textId="77777777">
      <w:pPr>
        <w:ind w:left="630"/>
        <w:rPr>
          <w:rFonts w:ascii="Times New Roman" w:hAnsi="Times New Roman"/>
          <w:szCs w:val="24"/>
        </w:rPr>
      </w:pPr>
      <w:r w:rsidRPr="00A658D8">
        <w:rPr>
          <w:rFonts w:ascii="Times New Roman" w:hAnsi="Times New Roman"/>
          <w:szCs w:val="24"/>
        </w:rPr>
        <w:t>Not applicable.</w:t>
      </w:r>
    </w:p>
    <w:sectPr w:rsidSect="00E67FC4">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rsidP="009E3EF8" w14:paraId="71247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C219C" w14:paraId="201531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rsidRPr="00D44A17" w:rsidP="009E3EF8" w14:paraId="4437658F" w14:textId="06A679F1">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729D7">
      <w:rPr>
        <w:rStyle w:val="PageNumber"/>
        <w:rFonts w:ascii="Times New Roman" w:hAnsi="Times New Roman"/>
        <w:noProof/>
      </w:rPr>
      <w:t>14</w:t>
    </w:r>
    <w:r w:rsidRPr="00D44A17">
      <w:rPr>
        <w:rStyle w:val="PageNumber"/>
        <w:rFonts w:ascii="Times New Roman" w:hAnsi="Times New Roman"/>
      </w:rPr>
      <w:fldChar w:fldCharType="end"/>
    </w:r>
  </w:p>
  <w:p w:rsidR="001C219C" w14:paraId="1C3FEA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219F94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53719B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61F6CA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19C" w14:paraId="523E54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A2E6A"/>
    <w:multiLevelType w:val="singleLevel"/>
    <w:tmpl w:val="948EAEF4"/>
    <w:lvl w:ilvl="0">
      <w:start w:val="2"/>
      <w:numFmt w:val="decimal"/>
      <w:lvlText w:val="%1."/>
      <w:lvlJc w:val="left"/>
      <w:pPr>
        <w:tabs>
          <w:tab w:val="num" w:pos="720"/>
        </w:tabs>
        <w:ind w:left="720" w:hanging="360"/>
      </w:pPr>
      <w:rPr>
        <w:rFonts w:hint="default"/>
        <w:u w:val="none"/>
      </w:rPr>
    </w:lvl>
  </w:abstractNum>
  <w:abstractNum w:abstractNumId="1">
    <w:nsid w:val="0F09122C"/>
    <w:multiLevelType w:val="hybridMultilevel"/>
    <w:tmpl w:val="8A626D8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9F7457"/>
    <w:multiLevelType w:val="hybridMultilevel"/>
    <w:tmpl w:val="DCD2E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B23B60"/>
    <w:multiLevelType w:val="hybridMultilevel"/>
    <w:tmpl w:val="C1EC2CBC"/>
    <w:lvl w:ilvl="0">
      <w:start w:val="1"/>
      <w:numFmt w:val="decimal"/>
      <w:lvlText w:val="%1."/>
      <w:lvlJc w:val="left"/>
      <w:pPr>
        <w:ind w:left="3326" w:hanging="360"/>
      </w:pPr>
      <w:rPr>
        <w:rFonts w:hint="default"/>
      </w:rPr>
    </w:lvl>
    <w:lvl w:ilvl="1">
      <w:start w:val="1"/>
      <w:numFmt w:val="lowerLetter"/>
      <w:lvlText w:val="%2."/>
      <w:lvlJc w:val="left"/>
      <w:pPr>
        <w:ind w:left="4046" w:hanging="360"/>
      </w:pPr>
    </w:lvl>
    <w:lvl w:ilvl="2" w:tentative="1">
      <w:start w:val="1"/>
      <w:numFmt w:val="lowerRoman"/>
      <w:lvlText w:val="%3."/>
      <w:lvlJc w:val="right"/>
      <w:pPr>
        <w:ind w:left="4766" w:hanging="180"/>
      </w:pPr>
    </w:lvl>
    <w:lvl w:ilvl="3" w:tentative="1">
      <w:start w:val="1"/>
      <w:numFmt w:val="decimal"/>
      <w:lvlText w:val="%4."/>
      <w:lvlJc w:val="left"/>
      <w:pPr>
        <w:ind w:left="5486" w:hanging="360"/>
      </w:pPr>
    </w:lvl>
    <w:lvl w:ilvl="4" w:tentative="1">
      <w:start w:val="1"/>
      <w:numFmt w:val="lowerLetter"/>
      <w:lvlText w:val="%5."/>
      <w:lvlJc w:val="left"/>
      <w:pPr>
        <w:ind w:left="6206" w:hanging="360"/>
      </w:pPr>
    </w:lvl>
    <w:lvl w:ilvl="5" w:tentative="1">
      <w:start w:val="1"/>
      <w:numFmt w:val="lowerRoman"/>
      <w:lvlText w:val="%6."/>
      <w:lvlJc w:val="right"/>
      <w:pPr>
        <w:ind w:left="6926" w:hanging="180"/>
      </w:pPr>
    </w:lvl>
    <w:lvl w:ilvl="6" w:tentative="1">
      <w:start w:val="1"/>
      <w:numFmt w:val="decimal"/>
      <w:lvlText w:val="%7."/>
      <w:lvlJc w:val="left"/>
      <w:pPr>
        <w:ind w:left="7646" w:hanging="360"/>
      </w:pPr>
    </w:lvl>
    <w:lvl w:ilvl="7" w:tentative="1">
      <w:start w:val="1"/>
      <w:numFmt w:val="lowerLetter"/>
      <w:lvlText w:val="%8."/>
      <w:lvlJc w:val="left"/>
      <w:pPr>
        <w:ind w:left="8366" w:hanging="360"/>
      </w:pPr>
    </w:lvl>
    <w:lvl w:ilvl="8" w:tentative="1">
      <w:start w:val="1"/>
      <w:numFmt w:val="lowerRoman"/>
      <w:lvlText w:val="%9."/>
      <w:lvlJc w:val="right"/>
      <w:pPr>
        <w:ind w:left="9086" w:hanging="180"/>
      </w:pPr>
    </w:lvl>
  </w:abstractNum>
  <w:abstractNum w:abstractNumId="6">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4A1CFD"/>
    <w:multiLevelType w:val="hybridMultilevel"/>
    <w:tmpl w:val="4258A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3594C"/>
    <w:multiLevelType w:val="hybridMultilevel"/>
    <w:tmpl w:val="647AFC4E"/>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7542A84"/>
    <w:multiLevelType w:val="hybridMultilevel"/>
    <w:tmpl w:val="0C0C6D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7A76A17"/>
    <w:multiLevelType w:val="hybridMultilevel"/>
    <w:tmpl w:val="73366F9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6">
    <w:nsid w:val="5D7D5F40"/>
    <w:multiLevelType w:val="hybridMultilevel"/>
    <w:tmpl w:val="55AC2B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D05624"/>
    <w:multiLevelType w:val="hybridMultilevel"/>
    <w:tmpl w:val="D7961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61A1F1C"/>
    <w:multiLevelType w:val="hybridMultilevel"/>
    <w:tmpl w:val="1CC28C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3F080B"/>
    <w:multiLevelType w:val="hybridMultilevel"/>
    <w:tmpl w:val="DB20E7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9815917">
    <w:abstractNumId w:val="9"/>
  </w:num>
  <w:num w:numId="2" w16cid:durableId="1945384205">
    <w:abstractNumId w:val="14"/>
  </w:num>
  <w:num w:numId="3" w16cid:durableId="50615633">
    <w:abstractNumId w:val="4"/>
  </w:num>
  <w:num w:numId="4" w16cid:durableId="1343821972">
    <w:abstractNumId w:val="2"/>
  </w:num>
  <w:num w:numId="5" w16cid:durableId="1216819590">
    <w:abstractNumId w:val="20"/>
  </w:num>
  <w:num w:numId="6" w16cid:durableId="2146773965">
    <w:abstractNumId w:val="10"/>
  </w:num>
  <w:num w:numId="7" w16cid:durableId="1109662394">
    <w:abstractNumId w:val="6"/>
  </w:num>
  <w:num w:numId="8" w16cid:durableId="1456874099">
    <w:abstractNumId w:val="15"/>
  </w:num>
  <w:num w:numId="9" w16cid:durableId="3707699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737421">
    <w:abstractNumId w:val="13"/>
  </w:num>
  <w:num w:numId="11" w16cid:durableId="2055231815">
    <w:abstractNumId w:val="18"/>
  </w:num>
  <w:num w:numId="12" w16cid:durableId="11253511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918317">
    <w:abstractNumId w:val="1"/>
  </w:num>
  <w:num w:numId="14" w16cid:durableId="2048332924">
    <w:abstractNumId w:val="17"/>
  </w:num>
  <w:num w:numId="15" w16cid:durableId="103430751">
    <w:abstractNumId w:val="21"/>
  </w:num>
  <w:num w:numId="16" w16cid:durableId="391781395">
    <w:abstractNumId w:val="7"/>
  </w:num>
  <w:num w:numId="17" w16cid:durableId="344946357">
    <w:abstractNumId w:val="3"/>
  </w:num>
  <w:num w:numId="18" w16cid:durableId="546795788">
    <w:abstractNumId w:val="8"/>
  </w:num>
  <w:num w:numId="19" w16cid:durableId="98334016">
    <w:abstractNumId w:val="0"/>
  </w:num>
  <w:num w:numId="20" w16cid:durableId="958877425">
    <w:abstractNumId w:val="19"/>
  </w:num>
  <w:num w:numId="21" w16cid:durableId="1649626651">
    <w:abstractNumId w:val="5"/>
  </w:num>
  <w:num w:numId="22" w16cid:durableId="1811551727">
    <w:abstractNumId w:val="11"/>
  </w:num>
  <w:num w:numId="23" w16cid:durableId="789279585">
    <w:abstractNumId w:val="12"/>
  </w:num>
  <w:num w:numId="24" w16cid:durableId="2392185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A9"/>
    <w:rsid w:val="00004251"/>
    <w:rsid w:val="0001487F"/>
    <w:rsid w:val="00015F7E"/>
    <w:rsid w:val="00020D88"/>
    <w:rsid w:val="00024493"/>
    <w:rsid w:val="0002477D"/>
    <w:rsid w:val="000260FD"/>
    <w:rsid w:val="000329F0"/>
    <w:rsid w:val="00032A27"/>
    <w:rsid w:val="00040171"/>
    <w:rsid w:val="00040EDD"/>
    <w:rsid w:val="000440A4"/>
    <w:rsid w:val="00053B9D"/>
    <w:rsid w:val="00072A1E"/>
    <w:rsid w:val="000841A0"/>
    <w:rsid w:val="000845EC"/>
    <w:rsid w:val="0008718C"/>
    <w:rsid w:val="00094D94"/>
    <w:rsid w:val="00096502"/>
    <w:rsid w:val="0009732C"/>
    <w:rsid w:val="000B6DF0"/>
    <w:rsid w:val="000C6A72"/>
    <w:rsid w:val="000C7953"/>
    <w:rsid w:val="000D71BF"/>
    <w:rsid w:val="000E0ACC"/>
    <w:rsid w:val="000E3D1D"/>
    <w:rsid w:val="000E739A"/>
    <w:rsid w:val="000F0705"/>
    <w:rsid w:val="000F0AD0"/>
    <w:rsid w:val="000F39F2"/>
    <w:rsid w:val="000F4771"/>
    <w:rsid w:val="000F6328"/>
    <w:rsid w:val="000F684F"/>
    <w:rsid w:val="00102DCA"/>
    <w:rsid w:val="001067D8"/>
    <w:rsid w:val="00106AB2"/>
    <w:rsid w:val="00112142"/>
    <w:rsid w:val="0011233B"/>
    <w:rsid w:val="00124A8A"/>
    <w:rsid w:val="00126C08"/>
    <w:rsid w:val="00127D85"/>
    <w:rsid w:val="00136D63"/>
    <w:rsid w:val="001407D8"/>
    <w:rsid w:val="00140D33"/>
    <w:rsid w:val="00155060"/>
    <w:rsid w:val="00157762"/>
    <w:rsid w:val="0016302F"/>
    <w:rsid w:val="00176A39"/>
    <w:rsid w:val="0018255F"/>
    <w:rsid w:val="00185D39"/>
    <w:rsid w:val="001870F5"/>
    <w:rsid w:val="00190528"/>
    <w:rsid w:val="001964B1"/>
    <w:rsid w:val="001B096A"/>
    <w:rsid w:val="001B3324"/>
    <w:rsid w:val="001B3A0E"/>
    <w:rsid w:val="001B4368"/>
    <w:rsid w:val="001C219C"/>
    <w:rsid w:val="001C665A"/>
    <w:rsid w:val="001D7038"/>
    <w:rsid w:val="001D77CC"/>
    <w:rsid w:val="001E4B70"/>
    <w:rsid w:val="001E69B5"/>
    <w:rsid w:val="001E6DFD"/>
    <w:rsid w:val="001F20B1"/>
    <w:rsid w:val="002170A9"/>
    <w:rsid w:val="00224DA9"/>
    <w:rsid w:val="00226BAF"/>
    <w:rsid w:val="00227FA9"/>
    <w:rsid w:val="002301EF"/>
    <w:rsid w:val="00232C01"/>
    <w:rsid w:val="00234E23"/>
    <w:rsid w:val="00245F2C"/>
    <w:rsid w:val="00256276"/>
    <w:rsid w:val="00256905"/>
    <w:rsid w:val="002614B3"/>
    <w:rsid w:val="00262DF4"/>
    <w:rsid w:val="0028496D"/>
    <w:rsid w:val="0028762A"/>
    <w:rsid w:val="00287A09"/>
    <w:rsid w:val="00290B4E"/>
    <w:rsid w:val="0029200F"/>
    <w:rsid w:val="00292F82"/>
    <w:rsid w:val="002A404B"/>
    <w:rsid w:val="002B051E"/>
    <w:rsid w:val="002B408A"/>
    <w:rsid w:val="002C48F4"/>
    <w:rsid w:val="002C53C5"/>
    <w:rsid w:val="002C5C1E"/>
    <w:rsid w:val="002C69A4"/>
    <w:rsid w:val="002C757A"/>
    <w:rsid w:val="002D0E60"/>
    <w:rsid w:val="002D322F"/>
    <w:rsid w:val="002E7426"/>
    <w:rsid w:val="002F3E29"/>
    <w:rsid w:val="002F5062"/>
    <w:rsid w:val="00310CE0"/>
    <w:rsid w:val="0031284F"/>
    <w:rsid w:val="00312ECF"/>
    <w:rsid w:val="00315751"/>
    <w:rsid w:val="003175D7"/>
    <w:rsid w:val="00317C12"/>
    <w:rsid w:val="003357F5"/>
    <w:rsid w:val="003362F9"/>
    <w:rsid w:val="00345464"/>
    <w:rsid w:val="00350F70"/>
    <w:rsid w:val="00376149"/>
    <w:rsid w:val="00377909"/>
    <w:rsid w:val="003826B0"/>
    <w:rsid w:val="00382A5D"/>
    <w:rsid w:val="00392208"/>
    <w:rsid w:val="00392C22"/>
    <w:rsid w:val="00396C6F"/>
    <w:rsid w:val="003B1C2E"/>
    <w:rsid w:val="003B2E1B"/>
    <w:rsid w:val="003C1AE7"/>
    <w:rsid w:val="003C41D9"/>
    <w:rsid w:val="003E6C02"/>
    <w:rsid w:val="003E7DCF"/>
    <w:rsid w:val="003F12AD"/>
    <w:rsid w:val="003F29AE"/>
    <w:rsid w:val="003F3502"/>
    <w:rsid w:val="0041183F"/>
    <w:rsid w:val="00420F7B"/>
    <w:rsid w:val="0043250F"/>
    <w:rsid w:val="004329EE"/>
    <w:rsid w:val="004513D4"/>
    <w:rsid w:val="0045298C"/>
    <w:rsid w:val="004545FE"/>
    <w:rsid w:val="00457F56"/>
    <w:rsid w:val="004600FF"/>
    <w:rsid w:val="00460C30"/>
    <w:rsid w:val="00464D95"/>
    <w:rsid w:val="00465614"/>
    <w:rsid w:val="00471381"/>
    <w:rsid w:val="004737FA"/>
    <w:rsid w:val="004762BF"/>
    <w:rsid w:val="00476833"/>
    <w:rsid w:val="00484606"/>
    <w:rsid w:val="004849F9"/>
    <w:rsid w:val="004901EF"/>
    <w:rsid w:val="00490EEF"/>
    <w:rsid w:val="0049101F"/>
    <w:rsid w:val="004955DD"/>
    <w:rsid w:val="0049662E"/>
    <w:rsid w:val="004A3BFA"/>
    <w:rsid w:val="004A5C84"/>
    <w:rsid w:val="004A605B"/>
    <w:rsid w:val="004A65CE"/>
    <w:rsid w:val="004B0ADA"/>
    <w:rsid w:val="004B4DB0"/>
    <w:rsid w:val="004B5658"/>
    <w:rsid w:val="004D18A2"/>
    <w:rsid w:val="004D49AE"/>
    <w:rsid w:val="004D5F88"/>
    <w:rsid w:val="004E118F"/>
    <w:rsid w:val="004E2BE7"/>
    <w:rsid w:val="004E3361"/>
    <w:rsid w:val="004E3939"/>
    <w:rsid w:val="004E3E52"/>
    <w:rsid w:val="004F1101"/>
    <w:rsid w:val="004F1BC1"/>
    <w:rsid w:val="00503353"/>
    <w:rsid w:val="00504EB7"/>
    <w:rsid w:val="005102F8"/>
    <w:rsid w:val="0051073D"/>
    <w:rsid w:val="00513EA3"/>
    <w:rsid w:val="00531257"/>
    <w:rsid w:val="00541136"/>
    <w:rsid w:val="0055600E"/>
    <w:rsid w:val="0056028A"/>
    <w:rsid w:val="00561856"/>
    <w:rsid w:val="0057102C"/>
    <w:rsid w:val="005723EE"/>
    <w:rsid w:val="0057362F"/>
    <w:rsid w:val="0057656B"/>
    <w:rsid w:val="005813FD"/>
    <w:rsid w:val="005828C6"/>
    <w:rsid w:val="00592BD0"/>
    <w:rsid w:val="00594137"/>
    <w:rsid w:val="005A4FAF"/>
    <w:rsid w:val="005A5D9A"/>
    <w:rsid w:val="005B0EA7"/>
    <w:rsid w:val="005C3A4E"/>
    <w:rsid w:val="005C7D7E"/>
    <w:rsid w:val="005D5CAD"/>
    <w:rsid w:val="005D666A"/>
    <w:rsid w:val="005E032E"/>
    <w:rsid w:val="005E1199"/>
    <w:rsid w:val="005E1E82"/>
    <w:rsid w:val="005F0E1E"/>
    <w:rsid w:val="005F3A57"/>
    <w:rsid w:val="005F55B3"/>
    <w:rsid w:val="00600057"/>
    <w:rsid w:val="00603617"/>
    <w:rsid w:val="006057E5"/>
    <w:rsid w:val="0061243E"/>
    <w:rsid w:val="00615C5F"/>
    <w:rsid w:val="006266B0"/>
    <w:rsid w:val="006312DA"/>
    <w:rsid w:val="006352DD"/>
    <w:rsid w:val="00635583"/>
    <w:rsid w:val="00637BCB"/>
    <w:rsid w:val="00650B31"/>
    <w:rsid w:val="006610B6"/>
    <w:rsid w:val="00677966"/>
    <w:rsid w:val="00677F6F"/>
    <w:rsid w:val="00681014"/>
    <w:rsid w:val="006846D8"/>
    <w:rsid w:val="006853BE"/>
    <w:rsid w:val="00686664"/>
    <w:rsid w:val="006914A9"/>
    <w:rsid w:val="006915D9"/>
    <w:rsid w:val="006917AE"/>
    <w:rsid w:val="006A2529"/>
    <w:rsid w:val="006C2B19"/>
    <w:rsid w:val="006D02C2"/>
    <w:rsid w:val="006D1B84"/>
    <w:rsid w:val="006D43C5"/>
    <w:rsid w:val="006E6279"/>
    <w:rsid w:val="0070054A"/>
    <w:rsid w:val="00702457"/>
    <w:rsid w:val="007112F8"/>
    <w:rsid w:val="007128DF"/>
    <w:rsid w:val="007142B0"/>
    <w:rsid w:val="007162B9"/>
    <w:rsid w:val="0072471D"/>
    <w:rsid w:val="00734B23"/>
    <w:rsid w:val="00741B4D"/>
    <w:rsid w:val="00745F2F"/>
    <w:rsid w:val="007703D4"/>
    <w:rsid w:val="00774164"/>
    <w:rsid w:val="00780279"/>
    <w:rsid w:val="00782DF2"/>
    <w:rsid w:val="00787035"/>
    <w:rsid w:val="007903FB"/>
    <w:rsid w:val="00792888"/>
    <w:rsid w:val="007A3C59"/>
    <w:rsid w:val="007A5D30"/>
    <w:rsid w:val="007C0AB8"/>
    <w:rsid w:val="007C0BCC"/>
    <w:rsid w:val="007C7882"/>
    <w:rsid w:val="007D0309"/>
    <w:rsid w:val="007D2D64"/>
    <w:rsid w:val="007D405E"/>
    <w:rsid w:val="007D4B8C"/>
    <w:rsid w:val="007D651E"/>
    <w:rsid w:val="007D701B"/>
    <w:rsid w:val="007E06F6"/>
    <w:rsid w:val="007F1558"/>
    <w:rsid w:val="007F574F"/>
    <w:rsid w:val="00805EED"/>
    <w:rsid w:val="00812C0C"/>
    <w:rsid w:val="00813F52"/>
    <w:rsid w:val="00815BA0"/>
    <w:rsid w:val="00815BF3"/>
    <w:rsid w:val="008258B0"/>
    <w:rsid w:val="008262BC"/>
    <w:rsid w:val="00832F4D"/>
    <w:rsid w:val="008334D8"/>
    <w:rsid w:val="00836D46"/>
    <w:rsid w:val="008424FE"/>
    <w:rsid w:val="00850D6B"/>
    <w:rsid w:val="00853CE9"/>
    <w:rsid w:val="00855435"/>
    <w:rsid w:val="00855657"/>
    <w:rsid w:val="00861894"/>
    <w:rsid w:val="00892D77"/>
    <w:rsid w:val="008943F0"/>
    <w:rsid w:val="008945FE"/>
    <w:rsid w:val="0089610B"/>
    <w:rsid w:val="008A7570"/>
    <w:rsid w:val="008B2F52"/>
    <w:rsid w:val="008C0AF9"/>
    <w:rsid w:val="008D08B8"/>
    <w:rsid w:val="008D1F22"/>
    <w:rsid w:val="008D4DFA"/>
    <w:rsid w:val="008D5DF3"/>
    <w:rsid w:val="008D6920"/>
    <w:rsid w:val="008D73BF"/>
    <w:rsid w:val="008D7F91"/>
    <w:rsid w:val="008E0066"/>
    <w:rsid w:val="008F65F9"/>
    <w:rsid w:val="008F7601"/>
    <w:rsid w:val="009005D0"/>
    <w:rsid w:val="00901670"/>
    <w:rsid w:val="00905047"/>
    <w:rsid w:val="00914465"/>
    <w:rsid w:val="00921AC7"/>
    <w:rsid w:val="00934FDA"/>
    <w:rsid w:val="0094584A"/>
    <w:rsid w:val="00946D60"/>
    <w:rsid w:val="00950FE9"/>
    <w:rsid w:val="00957F5B"/>
    <w:rsid w:val="00964127"/>
    <w:rsid w:val="00970EE1"/>
    <w:rsid w:val="00980B27"/>
    <w:rsid w:val="00982C52"/>
    <w:rsid w:val="00984A05"/>
    <w:rsid w:val="009873A8"/>
    <w:rsid w:val="00995218"/>
    <w:rsid w:val="009E334E"/>
    <w:rsid w:val="009E3EF8"/>
    <w:rsid w:val="009F3F7C"/>
    <w:rsid w:val="009F53B1"/>
    <w:rsid w:val="009F55DC"/>
    <w:rsid w:val="00A05524"/>
    <w:rsid w:val="00A118AA"/>
    <w:rsid w:val="00A22D73"/>
    <w:rsid w:val="00A26F7E"/>
    <w:rsid w:val="00A30089"/>
    <w:rsid w:val="00A35263"/>
    <w:rsid w:val="00A42208"/>
    <w:rsid w:val="00A5661D"/>
    <w:rsid w:val="00A5742F"/>
    <w:rsid w:val="00A658D8"/>
    <w:rsid w:val="00A7066E"/>
    <w:rsid w:val="00A76A56"/>
    <w:rsid w:val="00A87D23"/>
    <w:rsid w:val="00A92C99"/>
    <w:rsid w:val="00A95005"/>
    <w:rsid w:val="00AA4AD0"/>
    <w:rsid w:val="00AA773B"/>
    <w:rsid w:val="00AB3C90"/>
    <w:rsid w:val="00AC662C"/>
    <w:rsid w:val="00AD0380"/>
    <w:rsid w:val="00AE10C8"/>
    <w:rsid w:val="00AE59A1"/>
    <w:rsid w:val="00AF2C38"/>
    <w:rsid w:val="00AF4118"/>
    <w:rsid w:val="00B0188F"/>
    <w:rsid w:val="00B20204"/>
    <w:rsid w:val="00B3056A"/>
    <w:rsid w:val="00B30C27"/>
    <w:rsid w:val="00B31017"/>
    <w:rsid w:val="00B359B1"/>
    <w:rsid w:val="00B36BA5"/>
    <w:rsid w:val="00B37324"/>
    <w:rsid w:val="00B45CDB"/>
    <w:rsid w:val="00B46745"/>
    <w:rsid w:val="00B46E0A"/>
    <w:rsid w:val="00B473A1"/>
    <w:rsid w:val="00B620ED"/>
    <w:rsid w:val="00B6274E"/>
    <w:rsid w:val="00B62B63"/>
    <w:rsid w:val="00B65251"/>
    <w:rsid w:val="00B66D61"/>
    <w:rsid w:val="00B72A05"/>
    <w:rsid w:val="00B84FE3"/>
    <w:rsid w:val="00B8749C"/>
    <w:rsid w:val="00BA4483"/>
    <w:rsid w:val="00BB10F6"/>
    <w:rsid w:val="00BB3596"/>
    <w:rsid w:val="00BC0A7F"/>
    <w:rsid w:val="00BD26F2"/>
    <w:rsid w:val="00BD6331"/>
    <w:rsid w:val="00BE162F"/>
    <w:rsid w:val="00BE5CFB"/>
    <w:rsid w:val="00BF3DBF"/>
    <w:rsid w:val="00BF6EB1"/>
    <w:rsid w:val="00C06211"/>
    <w:rsid w:val="00C106DC"/>
    <w:rsid w:val="00C26121"/>
    <w:rsid w:val="00C27F84"/>
    <w:rsid w:val="00C31329"/>
    <w:rsid w:val="00C360D6"/>
    <w:rsid w:val="00C40BE8"/>
    <w:rsid w:val="00C72DFA"/>
    <w:rsid w:val="00C7365B"/>
    <w:rsid w:val="00C85B53"/>
    <w:rsid w:val="00C872FF"/>
    <w:rsid w:val="00CA41B1"/>
    <w:rsid w:val="00CB7FC6"/>
    <w:rsid w:val="00CC7F5B"/>
    <w:rsid w:val="00CD4992"/>
    <w:rsid w:val="00CD6C0A"/>
    <w:rsid w:val="00CE1B4B"/>
    <w:rsid w:val="00CE41FF"/>
    <w:rsid w:val="00CF316A"/>
    <w:rsid w:val="00CF4B0A"/>
    <w:rsid w:val="00CF5845"/>
    <w:rsid w:val="00D0065D"/>
    <w:rsid w:val="00D03D50"/>
    <w:rsid w:val="00D04E0C"/>
    <w:rsid w:val="00D07187"/>
    <w:rsid w:val="00D15997"/>
    <w:rsid w:val="00D16271"/>
    <w:rsid w:val="00D2791C"/>
    <w:rsid w:val="00D30EFA"/>
    <w:rsid w:val="00D31E49"/>
    <w:rsid w:val="00D44A17"/>
    <w:rsid w:val="00D5680A"/>
    <w:rsid w:val="00D62E18"/>
    <w:rsid w:val="00D63E38"/>
    <w:rsid w:val="00D63E61"/>
    <w:rsid w:val="00D75ABD"/>
    <w:rsid w:val="00D76413"/>
    <w:rsid w:val="00D83E34"/>
    <w:rsid w:val="00D855D3"/>
    <w:rsid w:val="00D87272"/>
    <w:rsid w:val="00DA5D4F"/>
    <w:rsid w:val="00DA617B"/>
    <w:rsid w:val="00DA7769"/>
    <w:rsid w:val="00DB42F5"/>
    <w:rsid w:val="00DB63AD"/>
    <w:rsid w:val="00DB73FE"/>
    <w:rsid w:val="00DC4739"/>
    <w:rsid w:val="00DC6741"/>
    <w:rsid w:val="00DD05CA"/>
    <w:rsid w:val="00DD30D3"/>
    <w:rsid w:val="00DD59A9"/>
    <w:rsid w:val="00DE7404"/>
    <w:rsid w:val="00E00061"/>
    <w:rsid w:val="00E020A1"/>
    <w:rsid w:val="00E04B07"/>
    <w:rsid w:val="00E1180C"/>
    <w:rsid w:val="00E129E6"/>
    <w:rsid w:val="00E13B07"/>
    <w:rsid w:val="00E1513D"/>
    <w:rsid w:val="00E16125"/>
    <w:rsid w:val="00E1693B"/>
    <w:rsid w:val="00E277DB"/>
    <w:rsid w:val="00E27BD7"/>
    <w:rsid w:val="00E32519"/>
    <w:rsid w:val="00E32813"/>
    <w:rsid w:val="00E36994"/>
    <w:rsid w:val="00E370B8"/>
    <w:rsid w:val="00E439F7"/>
    <w:rsid w:val="00E45EFB"/>
    <w:rsid w:val="00E53C0F"/>
    <w:rsid w:val="00E674A3"/>
    <w:rsid w:val="00E67FC4"/>
    <w:rsid w:val="00E80F08"/>
    <w:rsid w:val="00E83806"/>
    <w:rsid w:val="00E86D48"/>
    <w:rsid w:val="00E922CF"/>
    <w:rsid w:val="00E93140"/>
    <w:rsid w:val="00E93E3A"/>
    <w:rsid w:val="00E94E0E"/>
    <w:rsid w:val="00E9580B"/>
    <w:rsid w:val="00EA052D"/>
    <w:rsid w:val="00EA1240"/>
    <w:rsid w:val="00EA4C7F"/>
    <w:rsid w:val="00EC2B07"/>
    <w:rsid w:val="00EC319A"/>
    <w:rsid w:val="00EC340C"/>
    <w:rsid w:val="00ED4BE7"/>
    <w:rsid w:val="00ED6060"/>
    <w:rsid w:val="00EE574F"/>
    <w:rsid w:val="00EF1FAE"/>
    <w:rsid w:val="00EF3127"/>
    <w:rsid w:val="00EF69B6"/>
    <w:rsid w:val="00EF7930"/>
    <w:rsid w:val="00EF7C3C"/>
    <w:rsid w:val="00F00FB3"/>
    <w:rsid w:val="00F0437F"/>
    <w:rsid w:val="00F1200B"/>
    <w:rsid w:val="00F1641D"/>
    <w:rsid w:val="00F30987"/>
    <w:rsid w:val="00F34F78"/>
    <w:rsid w:val="00F5332D"/>
    <w:rsid w:val="00F61FD3"/>
    <w:rsid w:val="00F6404A"/>
    <w:rsid w:val="00F66314"/>
    <w:rsid w:val="00F66734"/>
    <w:rsid w:val="00F71800"/>
    <w:rsid w:val="00F71FF3"/>
    <w:rsid w:val="00F729D7"/>
    <w:rsid w:val="00F733E3"/>
    <w:rsid w:val="00F8624D"/>
    <w:rsid w:val="00F8634C"/>
    <w:rsid w:val="00F86D4E"/>
    <w:rsid w:val="00FB642E"/>
    <w:rsid w:val="00FC7D00"/>
    <w:rsid w:val="00FD51E1"/>
    <w:rsid w:val="00FD6C9D"/>
    <w:rsid w:val="00FE151E"/>
    <w:rsid w:val="00FE25C4"/>
    <w:rsid w:val="00FE5BE2"/>
    <w:rsid w:val="00FF620A"/>
    <w:rsid w:val="28DAAD43"/>
    <w:rsid w:val="2B375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0EA080"/>
  <w15:docId w15:val="{FBF1565E-3DA6-4FF2-990F-5650505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36"/>
    <w:pPr>
      <w:widowControl w:val="0"/>
    </w:pPr>
    <w:rPr>
      <w:rFonts w:ascii="Courier" w:hAnsi="Courier"/>
      <w:sz w:val="24"/>
      <w:szCs w:val="20"/>
    </w:rPr>
  </w:style>
  <w:style w:type="paragraph" w:styleId="Heading2">
    <w:name w:val="heading 2"/>
    <w:basedOn w:val="Normal"/>
    <w:next w:val="Normal"/>
    <w:link w:val="Heading2Char"/>
    <w:uiPriority w:val="9"/>
    <w:unhideWhenUsed/>
    <w:qFormat/>
    <w:locked/>
    <w:rsid w:val="00457F56"/>
    <w:pPr>
      <w:keepNext/>
      <w:keepLines/>
      <w:widowControl/>
      <w:spacing w:before="40"/>
      <w:outlineLvl w:val="1"/>
    </w:pPr>
    <w:rPr>
      <w:rFonts w:ascii="Source Sans Pro" w:hAnsi="Source Sans Pro"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ootnote Reference),12,BVI fnr,EN Footnote Reference,Exposant 3 Point,Footnote,Footnote Reference Superscript,Footnote reference number,Footnote symbol,Nota,SUPERS,Style 16,Style 19,Times 10 Point,Voetnootverwijzing,fr,note TESI"/>
    <w:basedOn w:val="DefaultParagraphFont"/>
    <w:uiPriority w:val="99"/>
    <w:qFormat/>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ALTS FOOTNOTE,Car,Footnote Text Char Char,Footnote Text Char Char Char,Footnote Text Char Char Char Char Char Char Char Char Char Char Char Char Char Char Char Char Char,Style 15,Style 40 Char,Style 40 Char Char,fn,ft"/>
    <w:basedOn w:val="Normal"/>
    <w:link w:val="FootnoteTextChar"/>
    <w:uiPriority w:val="99"/>
    <w:qFormat/>
    <w:rsid w:val="00541136"/>
    <w:pPr>
      <w:autoSpaceDE w:val="0"/>
      <w:autoSpaceDN w:val="0"/>
      <w:adjustRightInd w:val="0"/>
    </w:pPr>
    <w:rPr>
      <w:rFonts w:ascii="CourierPS" w:hAnsi="CourierPS"/>
      <w:sz w:val="20"/>
    </w:rPr>
  </w:style>
  <w:style w:type="character" w:customStyle="1" w:styleId="FootnoteTextChar">
    <w:name w:val="Footnote Text Char"/>
    <w:aliases w:val="ALTS FOOTNOTE Char,Car Char,Footnote Text Char Char Char Char,Footnote Text Char Char Char Char Char Char Char Char Char Char Char Char Char Char Char Char Char Char,Footnote Text Char Char Char1,Style 15 Char,Style 40 Char Char1"/>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3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 w:type="paragraph" w:styleId="Revision">
    <w:name w:val="Revision"/>
    <w:hidden/>
    <w:uiPriority w:val="99"/>
    <w:semiHidden/>
    <w:rsid w:val="005E1199"/>
    <w:rPr>
      <w:rFonts w:ascii="Courier" w:hAnsi="Courier"/>
      <w:sz w:val="24"/>
      <w:szCs w:val="20"/>
    </w:rPr>
  </w:style>
  <w:style w:type="character" w:customStyle="1" w:styleId="ms-rtethemefontface-1">
    <w:name w:val="ms-rtethemefontface-1"/>
    <w:basedOn w:val="DefaultParagraphFont"/>
    <w:rsid w:val="004A3BFA"/>
  </w:style>
  <w:style w:type="character" w:customStyle="1" w:styleId="Hyperlink1">
    <w:name w:val="Hyperlink1"/>
    <w:basedOn w:val="DefaultParagraphFont"/>
    <w:uiPriority w:val="99"/>
    <w:unhideWhenUsed/>
    <w:rsid w:val="004A3BFA"/>
    <w:rPr>
      <w:color w:val="0563C1"/>
      <w:u w:val="single"/>
    </w:rPr>
  </w:style>
  <w:style w:type="character" w:styleId="Hyperlink">
    <w:name w:val="Hyperlink"/>
    <w:basedOn w:val="DefaultParagraphFont"/>
    <w:uiPriority w:val="99"/>
    <w:semiHidden/>
    <w:unhideWhenUsed/>
    <w:rsid w:val="004A3BFA"/>
    <w:rPr>
      <w:color w:val="0000FF" w:themeColor="hyperlink"/>
      <w:u w:val="single"/>
    </w:rPr>
  </w:style>
  <w:style w:type="character" w:customStyle="1" w:styleId="Heading2Char">
    <w:name w:val="Heading 2 Char"/>
    <w:basedOn w:val="DefaultParagraphFont"/>
    <w:link w:val="Heading2"/>
    <w:uiPriority w:val="9"/>
    <w:rsid w:val="00457F56"/>
    <w:rPr>
      <w:rFonts w:ascii="Source Sans Pro" w:hAnsi="Source Sans Pro" w:eastAsiaTheme="majorEastAsia" w:cstheme="majorBidi"/>
      <w:b/>
      <w:sz w:val="20"/>
      <w:szCs w:val="26"/>
    </w:rPr>
  </w:style>
  <w:style w:type="character" w:customStyle="1" w:styleId="normaltextrun">
    <w:name w:val="normaltextrun"/>
    <w:basedOn w:val="DefaultParagraphFont"/>
    <w:rsid w:val="00457F56"/>
  </w:style>
  <w:style w:type="paragraph" w:styleId="BodyTextIndent">
    <w:name w:val="Body Text Indent"/>
    <w:basedOn w:val="Normal"/>
    <w:link w:val="BodyTextIndentChar"/>
    <w:uiPriority w:val="99"/>
    <w:semiHidden/>
    <w:unhideWhenUsed/>
    <w:rsid w:val="00914465"/>
    <w:pPr>
      <w:spacing w:after="120"/>
      <w:ind w:left="360"/>
    </w:pPr>
  </w:style>
  <w:style w:type="character" w:customStyle="1" w:styleId="BodyTextIndentChar">
    <w:name w:val="Body Text Indent Char"/>
    <w:basedOn w:val="DefaultParagraphFont"/>
    <w:link w:val="BodyTextIndent"/>
    <w:uiPriority w:val="99"/>
    <w:semiHidden/>
    <w:rsid w:val="00914465"/>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2926-3491-425E-9ECC-EC60C0FC4C95}">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4025</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8</cp:revision>
  <dcterms:created xsi:type="dcterms:W3CDTF">2026-06-10T18:54:00Z</dcterms:created>
  <dcterms:modified xsi:type="dcterms:W3CDTF">2026-06-17T15:27:00Z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f3c08076-9e71-4451-976b-74900f17caed</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2025-03-24T17:44:54Z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