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1A90" w:rsidRPr="00D807AF" w14:paraId="1BDB45A8" w14:textId="77777777">
      <w:pPr>
        <w:pStyle w:val="Footer"/>
        <w:tabs>
          <w:tab w:val="clear" w:pos="4320"/>
          <w:tab w:val="center" w:pos="4680"/>
          <w:tab w:val="clear" w:pos="8640"/>
        </w:tabs>
        <w:jc w:val="center"/>
        <w:rPr>
          <w:rFonts w:ascii="Times New Roman" w:hAnsi="Times New Roman"/>
          <w:b/>
        </w:rPr>
      </w:pPr>
      <w:r w:rsidRPr="00D807AF">
        <w:rPr>
          <w:rFonts w:ascii="Times New Roman" w:hAnsi="Times New Roman"/>
          <w:b/>
        </w:rPr>
        <w:t>SUPPORTING STATEMENT</w:t>
      </w:r>
    </w:p>
    <w:p w:rsidR="00731A90" w:rsidRPr="00D807AF" w14:paraId="460BF9D3" w14:textId="77777777">
      <w:pPr>
        <w:tabs>
          <w:tab w:val="center" w:pos="4680"/>
        </w:tabs>
        <w:jc w:val="center"/>
        <w:rPr>
          <w:rFonts w:ascii="Times New Roman" w:hAnsi="Times New Roman"/>
          <w:b/>
        </w:rPr>
      </w:pPr>
      <w:r w:rsidRPr="005D2273">
        <w:rPr>
          <w:rFonts w:ascii="Times New Roman" w:hAnsi="Times New Roman"/>
          <w:b/>
        </w:rPr>
        <w:t>Notification of Performance of Bank Services</w:t>
      </w:r>
    </w:p>
    <w:p w:rsidR="00731A90" w:rsidRPr="00D807AF" w14:paraId="547BEB8B" w14:textId="77777777">
      <w:pPr>
        <w:tabs>
          <w:tab w:val="center" w:pos="4680"/>
        </w:tabs>
        <w:jc w:val="center"/>
        <w:rPr>
          <w:rFonts w:ascii="Times New Roman" w:hAnsi="Times New Roman"/>
          <w:b/>
        </w:rPr>
      </w:pPr>
      <w:r w:rsidRPr="00D807AF">
        <w:rPr>
          <w:rFonts w:ascii="Times New Roman" w:hAnsi="Times New Roman"/>
          <w:b/>
        </w:rPr>
        <w:t>(</w:t>
      </w:r>
      <w:r w:rsidR="00D807AF">
        <w:rPr>
          <w:rFonts w:ascii="Times New Roman" w:hAnsi="Times New Roman"/>
          <w:b/>
        </w:rPr>
        <w:t xml:space="preserve">OMB Control No. </w:t>
      </w:r>
      <w:r w:rsidRPr="00D807AF">
        <w:rPr>
          <w:rFonts w:ascii="Times New Roman" w:hAnsi="Times New Roman"/>
          <w:b/>
        </w:rPr>
        <w:t>3064-</w:t>
      </w:r>
      <w:r w:rsidR="009431C3">
        <w:rPr>
          <w:rFonts w:ascii="Times New Roman" w:hAnsi="Times New Roman"/>
          <w:b/>
        </w:rPr>
        <w:t>0</w:t>
      </w:r>
      <w:r w:rsidR="005D2273">
        <w:rPr>
          <w:rFonts w:ascii="Times New Roman" w:hAnsi="Times New Roman"/>
          <w:b/>
        </w:rPr>
        <w:t>029</w:t>
      </w:r>
      <w:r w:rsidRPr="00D807AF">
        <w:rPr>
          <w:rFonts w:ascii="Times New Roman" w:hAnsi="Times New Roman"/>
          <w:b/>
        </w:rPr>
        <w:t>)</w:t>
      </w:r>
    </w:p>
    <w:p w:rsidR="00731A90" w14:paraId="31080FCF" w14:textId="77777777">
      <w:pPr>
        <w:rPr>
          <w:rFonts w:ascii="Times New Roman" w:hAnsi="Times New Roman"/>
        </w:rPr>
      </w:pPr>
    </w:p>
    <w:p w:rsidR="00731A90" w14:paraId="1D5349A6" w14:textId="77777777">
      <w:pPr>
        <w:rPr>
          <w:rFonts w:ascii="Times New Roman" w:hAnsi="Times New Roman"/>
          <w:u w:val="single"/>
        </w:rPr>
      </w:pPr>
      <w:r>
        <w:rPr>
          <w:rFonts w:ascii="Times New Roman" w:hAnsi="Times New Roman"/>
          <w:u w:val="single"/>
        </w:rPr>
        <w:t>INTRODUCTION</w:t>
      </w:r>
    </w:p>
    <w:p w:rsidR="00731A90" w14:paraId="1F3D29CB" w14:textId="77777777">
      <w:pPr>
        <w:rPr>
          <w:rFonts w:ascii="Times New Roman" w:hAnsi="Times New Roman"/>
          <w:u w:val="single"/>
        </w:rPr>
      </w:pPr>
    </w:p>
    <w:p w:rsidR="00DB04B6" w:rsidRPr="00DB04B6" w:rsidP="003C5AB0" w14:paraId="673E1588" w14:textId="1A204FC9">
      <w:pPr>
        <w:widowControl/>
        <w:rPr>
          <w:rFonts w:ascii="Times New Roman" w:hAnsi="Times New Roman"/>
        </w:rPr>
      </w:pPr>
      <w:r w:rsidRPr="005D2273">
        <w:rPr>
          <w:rFonts w:ascii="Times New Roman" w:hAnsi="Times New Roman"/>
        </w:rPr>
        <w:t xml:space="preserve">The FDIC is requesting OMB approval </w:t>
      </w:r>
      <w:r w:rsidR="002B0FE1">
        <w:rPr>
          <w:rFonts w:ascii="Times New Roman" w:hAnsi="Times New Roman"/>
        </w:rPr>
        <w:t>of the extension, w</w:t>
      </w:r>
      <w:r w:rsidR="00F516C1">
        <w:rPr>
          <w:rFonts w:ascii="Times New Roman" w:hAnsi="Times New Roman"/>
        </w:rPr>
        <w:t>ithout change,</w:t>
      </w:r>
      <w:r w:rsidRPr="005D2273">
        <w:rPr>
          <w:rFonts w:ascii="Times New Roman" w:hAnsi="Times New Roman"/>
        </w:rPr>
        <w:t xml:space="preserve"> of the information collection captioned above. This collection expires on </w:t>
      </w:r>
      <w:r w:rsidR="00143537">
        <w:rPr>
          <w:rFonts w:ascii="Times New Roman" w:hAnsi="Times New Roman"/>
        </w:rPr>
        <w:t>June 30, 2026</w:t>
      </w:r>
      <w:r w:rsidRPr="005D2273">
        <w:rPr>
          <w:rFonts w:ascii="Times New Roman" w:hAnsi="Times New Roman"/>
        </w:rPr>
        <w:t xml:space="preserve">. There is no change in the method or substance of the collection. The information collection requirements are contained in 12 CFR Part 304 of FDIC's rules and regulations. Insured state nonmember banks are required to notify the FDIC, under section 7 of the Bank Service Company Act (12 U.S.C. 1867), of the relationship with a bank service company. The Form FDIC 6120/06, </w:t>
      </w:r>
      <w:r w:rsidR="00F516C1">
        <w:rPr>
          <w:rFonts w:ascii="Times New Roman" w:hAnsi="Times New Roman"/>
        </w:rPr>
        <w:t>Notification of Performance of Bank Services</w:t>
      </w:r>
      <w:r w:rsidRPr="005D2273">
        <w:rPr>
          <w:rFonts w:ascii="Times New Roman" w:hAnsi="Times New Roman"/>
        </w:rPr>
        <w:t>, may be used by banks to satisfy the notification requirement</w:t>
      </w:r>
      <w:r w:rsidRPr="004A4C59" w:rsidR="004A4C59">
        <w:rPr>
          <w:rFonts w:ascii="Times New Roman" w:hAnsi="Times New Roman"/>
        </w:rPr>
        <w:t>.</w:t>
      </w:r>
    </w:p>
    <w:p w:rsidR="00DB04B6" w:rsidP="004D1876" w14:paraId="53CCFABD" w14:textId="77777777">
      <w:pPr>
        <w:rPr>
          <w:rFonts w:ascii="Times New Roman" w:hAnsi="Times New Roman"/>
        </w:rPr>
      </w:pPr>
    </w:p>
    <w:p w:rsidR="00731A90" w:rsidRPr="004D7E89" w:rsidP="004D7E89" w14:paraId="79BC19EB" w14:textId="77777777">
      <w:pPr>
        <w:pStyle w:val="ListParagraph"/>
        <w:numPr>
          <w:ilvl w:val="0"/>
          <w:numId w:val="12"/>
        </w:numPr>
        <w:rPr>
          <w:u w:val="single"/>
        </w:rPr>
      </w:pPr>
      <w:r w:rsidRPr="004D7E89">
        <w:rPr>
          <w:u w:val="single"/>
        </w:rPr>
        <w:t>JUSTIFICATION</w:t>
      </w:r>
    </w:p>
    <w:p w:rsidR="004D7E89" w:rsidRPr="004D7E89" w:rsidP="004D7E89" w14:paraId="403B56D7" w14:textId="77777777">
      <w:pPr>
        <w:pStyle w:val="ListParagraph"/>
        <w:ind w:left="1080"/>
        <w:rPr>
          <w:u w:val="single"/>
        </w:rPr>
      </w:pPr>
    </w:p>
    <w:p w:rsidR="00731A90" w14:paraId="3F7F435B" w14:textId="77777777">
      <w:pPr>
        <w:rPr>
          <w:rFonts w:ascii="Times New Roman" w:hAnsi="Times New Roman"/>
        </w:rPr>
      </w:pPr>
    </w:p>
    <w:p w:rsidR="00731A90" w:rsidP="006D4D8E" w14:paraId="1047DE51" w14:textId="77777777">
      <w:pPr>
        <w:numPr>
          <w:ilvl w:val="0"/>
          <w:numId w:val="11"/>
        </w:numPr>
        <w:ind w:left="1440" w:hanging="720"/>
        <w:rPr>
          <w:rFonts w:ascii="Times New Roman" w:hAnsi="Times New Roman"/>
        </w:rPr>
      </w:pPr>
      <w:r w:rsidRPr="00B662BE">
        <w:rPr>
          <w:rFonts w:ascii="Times New Roman" w:hAnsi="Times New Roman"/>
          <w:bCs/>
          <w:szCs w:val="24"/>
          <w:u w:val="single"/>
        </w:rPr>
        <w:t>Circumstances that make the collection necessary:</w:t>
      </w:r>
    </w:p>
    <w:p w:rsidR="00731A90" w14:paraId="30287E40" w14:textId="77777777">
      <w:pPr>
        <w:ind w:firstLine="1440"/>
        <w:rPr>
          <w:rFonts w:ascii="Times New Roman" w:hAnsi="Times New Roman"/>
        </w:rPr>
      </w:pPr>
    </w:p>
    <w:p w:rsidR="005D2273" w:rsidP="00AD6A6E" w14:paraId="1C803944" w14:textId="77777777">
      <w:pPr>
        <w:ind w:left="1440"/>
        <w:rPr>
          <w:rFonts w:ascii="Times New Roman" w:hAnsi="Times New Roman"/>
          <w:snapToGrid/>
        </w:rPr>
      </w:pPr>
      <w:r w:rsidRPr="005D2273">
        <w:rPr>
          <w:rFonts w:ascii="Times New Roman" w:hAnsi="Times New Roman"/>
          <w:snapToGrid/>
        </w:rPr>
        <w:t xml:space="preserve">Section 7 of the Bank Service Company Act (12 U.S.C. 1867) states that any bank regularly examined by a federal supervisory agency that has bank services performed by a third party must notify the agency within 30 days of signing the contract or the start of the service, whichever occurs first. To help insured state nonmember banks comply with the Act the FDIC developed Form FDIC 6120/06. The information to be entered on the form is the identity and location of the submitting bank, the identity and location of the servicer and a brief description of the services performed. The form provides respondents with a quick, simple way to submit the required information in a uniform manner. In lieu of the form, a bank may satisfy the notification requirement by submitting a letter stating; the name of the servicer; the address at which the service is performed; the service being performed; and the date the service commenced. </w:t>
      </w:r>
    </w:p>
    <w:p w:rsidR="005D2273" w:rsidP="00AD6A6E" w14:paraId="7E219B46" w14:textId="77777777">
      <w:pPr>
        <w:ind w:left="1440"/>
        <w:rPr>
          <w:rFonts w:ascii="Times New Roman" w:hAnsi="Times New Roman"/>
          <w:snapToGrid/>
        </w:rPr>
      </w:pPr>
    </w:p>
    <w:p w:rsidR="00AD6A6E" w:rsidRPr="00AD6A6E" w:rsidP="00AD6A6E" w14:paraId="6A4EC7C2" w14:textId="77777777">
      <w:pPr>
        <w:ind w:left="1440"/>
        <w:rPr>
          <w:rFonts w:ascii="Times New Roman" w:hAnsi="Times New Roman"/>
          <w:snapToGrid/>
        </w:rPr>
      </w:pPr>
      <w:r w:rsidRPr="005D2273">
        <w:rPr>
          <w:rFonts w:ascii="Times New Roman" w:hAnsi="Times New Roman"/>
          <w:snapToGrid/>
        </w:rPr>
        <w:t>According to the Act, the service becomes subject to examination and regulation by the federal agencies to the same extent as if the service were performed by the bank on its own premises. Section 304.5(b) of FDIC's regulation 12 CFR Part 304 implements the notification requirement of 12 U.S.C. 1867</w:t>
      </w:r>
      <w:r w:rsidRPr="00AD6A6E">
        <w:rPr>
          <w:rFonts w:ascii="Times New Roman" w:hAnsi="Times New Roman"/>
          <w:snapToGrid/>
        </w:rPr>
        <w:t>.</w:t>
      </w:r>
    </w:p>
    <w:p w:rsidR="00075303" w:rsidRPr="00373ED8" w:rsidP="001509ED" w14:paraId="6B525D14" w14:textId="77777777">
      <w:pPr>
        <w:ind w:left="1440"/>
        <w:rPr>
          <w:rFonts w:ascii="Times New Roman" w:hAnsi="Times New Roman"/>
        </w:rPr>
      </w:pPr>
    </w:p>
    <w:p w:rsidR="004D1876" w:rsidRPr="00373ED8" w:rsidP="006D4D8E" w14:paraId="51C9AEEB" w14:textId="77777777">
      <w:pPr>
        <w:numPr>
          <w:ilvl w:val="0"/>
          <w:numId w:val="11"/>
        </w:numPr>
        <w:tabs>
          <w:tab w:val="left" w:pos="-1440"/>
        </w:tabs>
        <w:ind w:left="1440" w:hanging="720"/>
        <w:rPr>
          <w:rFonts w:ascii="Times New Roman" w:hAnsi="Times New Roman"/>
        </w:rPr>
      </w:pPr>
      <w:r w:rsidRPr="00373ED8">
        <w:rPr>
          <w:rFonts w:ascii="Times New Roman" w:hAnsi="Times New Roman"/>
          <w:u w:val="single"/>
        </w:rPr>
        <w:t>Use of the information:</w:t>
      </w:r>
    </w:p>
    <w:p w:rsidR="004D1876" w:rsidRPr="00373ED8" w:rsidP="004D1876" w14:paraId="41484184" w14:textId="77777777">
      <w:pPr>
        <w:ind w:left="1440"/>
        <w:rPr>
          <w:rFonts w:ascii="Times New Roman" w:hAnsi="Times New Roman"/>
        </w:rPr>
      </w:pPr>
    </w:p>
    <w:p w:rsidR="00F034F1" w:rsidP="00AD6A6E" w14:paraId="0C063E1F" w14:textId="77777777">
      <w:pPr>
        <w:ind w:left="1440"/>
        <w:rPr>
          <w:rFonts w:ascii="Times New Roman" w:hAnsi="Times New Roman"/>
        </w:rPr>
      </w:pPr>
      <w:r w:rsidRPr="005D2273">
        <w:rPr>
          <w:rFonts w:ascii="Times New Roman" w:hAnsi="Times New Roman"/>
        </w:rPr>
        <w:t>The information collected from the serviced bank is forwarded to the appropriate FDIC regional office. The information is scanned into the Corporation’s Regional Automated Document Distribution (RADD) system. This information is used during the examination process to determine the location of the servicer’s records before the examination begins, and whether the servicer itself may need to be examined in the future</w:t>
      </w:r>
    </w:p>
    <w:p w:rsidR="00AD6A6E" w:rsidP="004D1876" w14:paraId="6689E494" w14:textId="77777777">
      <w:pPr>
        <w:ind w:left="2880"/>
        <w:rPr>
          <w:rFonts w:ascii="Times New Roman" w:hAnsi="Times New Roman"/>
        </w:rPr>
      </w:pPr>
    </w:p>
    <w:p w:rsidR="00731A90" w:rsidP="006D4D8E" w14:paraId="5313003E" w14:textId="77777777">
      <w:pPr>
        <w:numPr>
          <w:ilvl w:val="0"/>
          <w:numId w:val="11"/>
        </w:numPr>
        <w:ind w:left="1440" w:hanging="720"/>
        <w:rPr>
          <w:rFonts w:ascii="Times New Roman" w:hAnsi="Times New Roman"/>
        </w:rPr>
      </w:pPr>
      <w:r w:rsidRPr="00B662BE">
        <w:rPr>
          <w:rFonts w:ascii="Times New Roman" w:hAnsi="Times New Roman"/>
          <w:bCs/>
          <w:szCs w:val="24"/>
          <w:u w:val="single"/>
        </w:rPr>
        <w:t>Consideration of the use of improved information technology:</w:t>
      </w:r>
    </w:p>
    <w:p w:rsidR="00731A90" w14:paraId="1AFD3BBE" w14:textId="77777777">
      <w:pPr>
        <w:rPr>
          <w:rFonts w:ascii="Times New Roman" w:hAnsi="Times New Roman"/>
        </w:rPr>
      </w:pPr>
    </w:p>
    <w:p w:rsidR="00F034F1" w:rsidP="00736FF6" w14:paraId="7FE9AD1B" w14:textId="77777777">
      <w:pPr>
        <w:ind w:left="1440"/>
        <w:rPr>
          <w:rFonts w:ascii="Times New Roman" w:hAnsi="Times New Roman"/>
        </w:rPr>
      </w:pPr>
      <w:r w:rsidRPr="005D2273">
        <w:rPr>
          <w:rFonts w:ascii="Times New Roman" w:hAnsi="Times New Roman"/>
        </w:rPr>
        <w:t>Each institution is free to use any technology that is reasonable and appropriate for its circumstances</w:t>
      </w:r>
      <w:r w:rsidRPr="00AD6A6E" w:rsidR="00AD6A6E">
        <w:rPr>
          <w:rFonts w:ascii="Times New Roman" w:hAnsi="Times New Roman"/>
        </w:rPr>
        <w:t>.</w:t>
      </w:r>
    </w:p>
    <w:p w:rsidR="006F2769" w:rsidP="00736FF6" w14:paraId="42A2D0C8" w14:textId="77777777">
      <w:pPr>
        <w:ind w:left="1440"/>
        <w:rPr>
          <w:rFonts w:ascii="Times New Roman" w:hAnsi="Times New Roman"/>
        </w:rPr>
      </w:pPr>
    </w:p>
    <w:p w:rsidR="00731A90" w:rsidP="006D4D8E" w14:paraId="7B3058C0" w14:textId="77777777">
      <w:pPr>
        <w:numPr>
          <w:ilvl w:val="0"/>
          <w:numId w:val="11"/>
        </w:numPr>
        <w:ind w:left="1440" w:hanging="720"/>
        <w:rPr>
          <w:rFonts w:ascii="Times New Roman" w:hAnsi="Times New Roman"/>
        </w:rPr>
      </w:pPr>
      <w:r>
        <w:rPr>
          <w:rFonts w:ascii="Times New Roman" w:hAnsi="Times New Roman"/>
          <w:u w:val="single"/>
        </w:rPr>
        <w:t>Efforts to identify duplication</w:t>
      </w:r>
      <w:r w:rsidR="008F53AC">
        <w:rPr>
          <w:rFonts w:ascii="Times New Roman" w:hAnsi="Times New Roman"/>
          <w:u w:val="single"/>
        </w:rPr>
        <w:t>:</w:t>
      </w:r>
    </w:p>
    <w:p w:rsidR="00731A90" w14:paraId="08C9C4A0" w14:textId="77777777">
      <w:pPr>
        <w:rPr>
          <w:rFonts w:ascii="Times New Roman" w:hAnsi="Times New Roman"/>
        </w:rPr>
      </w:pPr>
    </w:p>
    <w:p w:rsidR="00731A90" w:rsidP="00F034F1" w14:paraId="3F88DFCE" w14:textId="77777777">
      <w:pPr>
        <w:ind w:left="1440"/>
        <w:rPr>
          <w:rFonts w:ascii="Times New Roman" w:hAnsi="Times New Roman"/>
        </w:rPr>
      </w:pPr>
      <w:r w:rsidRPr="005D2273">
        <w:rPr>
          <w:rFonts w:ascii="Times New Roman" w:hAnsi="Times New Roman"/>
        </w:rPr>
        <w:t>This collection does not duplicate information provided elsewhere.</w:t>
      </w:r>
    </w:p>
    <w:p w:rsidR="00F034F1" w14:paraId="00FEA5BA" w14:textId="77777777">
      <w:pPr>
        <w:ind w:left="720"/>
        <w:rPr>
          <w:rFonts w:ascii="Times New Roman" w:hAnsi="Times New Roman"/>
        </w:rPr>
      </w:pPr>
    </w:p>
    <w:p w:rsidR="00EA72EA" w:rsidRPr="00EA72EA" w:rsidP="004D7E89" w14:paraId="44287369" w14:textId="77777777">
      <w:pPr>
        <w:numPr>
          <w:ilvl w:val="0"/>
          <w:numId w:val="11"/>
        </w:numPr>
        <w:ind w:left="1440" w:hanging="720"/>
        <w:rPr>
          <w:rFonts w:ascii="Times New Roman" w:hAnsi="Times New Roman"/>
          <w:u w:val="single"/>
        </w:rPr>
      </w:pPr>
      <w:r w:rsidRPr="008873E8">
        <w:rPr>
          <w:rFonts w:ascii="Times New Roman" w:hAnsi="Times New Roman"/>
          <w:bCs/>
          <w:szCs w:val="24"/>
          <w:u w:val="single"/>
        </w:rPr>
        <w:t>Methods used to minimize burden if the collectio</w:t>
      </w:r>
      <w:r>
        <w:rPr>
          <w:rFonts w:ascii="Times New Roman" w:hAnsi="Times New Roman"/>
          <w:bCs/>
          <w:szCs w:val="24"/>
          <w:u w:val="single"/>
        </w:rPr>
        <w:t xml:space="preserve">n has a significant impact on </w:t>
      </w:r>
    </w:p>
    <w:p w:rsidR="00731A90" w:rsidP="00EA72EA" w14:paraId="5EE06EBE" w14:textId="77777777">
      <w:pPr>
        <w:ind w:left="1080" w:firstLine="360"/>
        <w:rPr>
          <w:rFonts w:ascii="Times New Roman" w:hAnsi="Times New Roman"/>
          <w:u w:val="single"/>
        </w:rPr>
      </w:pPr>
      <w:r w:rsidRPr="008873E8">
        <w:rPr>
          <w:rFonts w:ascii="Times New Roman" w:hAnsi="Times New Roman"/>
          <w:bCs/>
          <w:szCs w:val="24"/>
          <w:u w:val="single"/>
        </w:rPr>
        <w:t>substantial number of small entities:</w:t>
      </w:r>
    </w:p>
    <w:p w:rsidR="00731A90" w14:paraId="63054E08" w14:textId="77777777">
      <w:pPr>
        <w:ind w:left="1440"/>
        <w:rPr>
          <w:rFonts w:ascii="Times New Roman" w:hAnsi="Times New Roman"/>
        </w:rPr>
      </w:pPr>
    </w:p>
    <w:p w:rsidR="00AD6A6E" w:rsidRPr="00AD6A6E" w:rsidP="00AD6A6E" w14:paraId="5D8F6F08" w14:textId="77777777">
      <w:pPr>
        <w:widowControl/>
        <w:ind w:left="1440"/>
        <w:rPr>
          <w:rFonts w:ascii="Times New Roman" w:hAnsi="Times New Roman"/>
          <w:szCs w:val="24"/>
        </w:rPr>
      </w:pPr>
      <w:r w:rsidRPr="009D1351">
        <w:rPr>
          <w:rFonts w:ascii="Times New Roman" w:hAnsi="Times New Roman"/>
          <w:szCs w:val="24"/>
        </w:rPr>
        <w:t>The agencies do not have reason to believe the collection has a significant impact on a substantial number of small entities. All banks, regardless of size, are required to submit the same information. The amount of information to be provided is minimal</w:t>
      </w:r>
      <w:r w:rsidRPr="00AD6A6E">
        <w:rPr>
          <w:rFonts w:ascii="Times New Roman" w:hAnsi="Times New Roman"/>
          <w:szCs w:val="24"/>
        </w:rPr>
        <w:t xml:space="preserve">.   </w:t>
      </w:r>
    </w:p>
    <w:p w:rsidR="00731A90" w14:paraId="62A375D9" w14:textId="77777777">
      <w:pPr>
        <w:rPr>
          <w:rFonts w:ascii="Times New Roman" w:hAnsi="Times New Roman"/>
        </w:rPr>
      </w:pPr>
    </w:p>
    <w:p w:rsidR="00731A90" w:rsidP="00EA72EA" w14:paraId="33ECEDE9" w14:textId="77777777">
      <w:pPr>
        <w:numPr>
          <w:ilvl w:val="0"/>
          <w:numId w:val="11"/>
        </w:numPr>
        <w:tabs>
          <w:tab w:val="left" w:pos="-1620"/>
        </w:tabs>
        <w:ind w:left="1440" w:hanging="720"/>
        <w:rPr>
          <w:rFonts w:ascii="Times New Roman" w:hAnsi="Times New Roman"/>
        </w:rPr>
      </w:pPr>
      <w:r w:rsidRPr="008873E8">
        <w:rPr>
          <w:rFonts w:ascii="Times New Roman" w:hAnsi="Times New Roman"/>
          <w:bCs/>
          <w:szCs w:val="24"/>
          <w:u w:val="single"/>
        </w:rPr>
        <w:t>Consequences to the Federal program if the collection were conducted less frequently:</w:t>
      </w:r>
    </w:p>
    <w:p w:rsidR="00731A90" w14:paraId="236FC296" w14:textId="77777777">
      <w:pPr>
        <w:rPr>
          <w:rFonts w:ascii="Times New Roman" w:hAnsi="Times New Roman"/>
        </w:rPr>
      </w:pPr>
    </w:p>
    <w:p w:rsidR="001509ED" w:rsidP="001509ED" w14:paraId="1188BE26" w14:textId="77777777">
      <w:pPr>
        <w:ind w:left="1440"/>
        <w:rPr>
          <w:rFonts w:ascii="Times New Roman" w:hAnsi="Times New Roman"/>
          <w:snapToGrid/>
        </w:rPr>
      </w:pPr>
      <w:r w:rsidRPr="009D1351">
        <w:rPr>
          <w:rFonts w:ascii="Times New Roman" w:hAnsi="Times New Roman"/>
          <w:snapToGrid/>
        </w:rPr>
        <w:t>Less frequent collection would be in violation of a Federal statute</w:t>
      </w:r>
      <w:r w:rsidRPr="00AD6A6E" w:rsidR="00AD6A6E">
        <w:rPr>
          <w:rFonts w:ascii="Times New Roman" w:hAnsi="Times New Roman"/>
          <w:snapToGrid/>
        </w:rPr>
        <w:t>.</w:t>
      </w:r>
    </w:p>
    <w:p w:rsidR="00AD6A6E" w:rsidP="001509ED" w14:paraId="45F3807C" w14:textId="77777777">
      <w:pPr>
        <w:ind w:left="1440"/>
        <w:rPr>
          <w:rFonts w:ascii="Times New Roman" w:hAnsi="Times New Roman"/>
        </w:rPr>
      </w:pPr>
    </w:p>
    <w:p w:rsidR="00D807AF" w:rsidRPr="001F2A5D" w:rsidP="00EA72EA" w14:paraId="2994F63B" w14:textId="77777777">
      <w:pPr>
        <w:numPr>
          <w:ilvl w:val="0"/>
          <w:numId w:val="11"/>
        </w:numPr>
        <w:ind w:left="1440" w:hanging="720"/>
        <w:rPr>
          <w:rFonts w:ascii="Times New Roman" w:hAnsi="Times New Roman"/>
          <w:szCs w:val="24"/>
        </w:rPr>
      </w:pPr>
      <w:r w:rsidRPr="008873E8">
        <w:rPr>
          <w:rFonts w:ascii="Times New Roman" w:hAnsi="Times New Roman"/>
          <w:bCs/>
          <w:szCs w:val="24"/>
          <w:u w:val="single"/>
        </w:rPr>
        <w:t>Special circumstances necessitating collection inconsistent with 5 CFR Part 1320.5(d)(2):</w:t>
      </w:r>
      <w:r>
        <w:rPr>
          <w:rFonts w:ascii="Times New Roman" w:hAnsi="Times New Roman"/>
          <w:bCs/>
          <w:szCs w:val="24"/>
          <w:u w:val="single"/>
        </w:rPr>
        <w:t xml:space="preserve"> </w:t>
      </w:r>
    </w:p>
    <w:p w:rsidR="00731A90" w14:paraId="52B6FF76" w14:textId="77777777">
      <w:pPr>
        <w:rPr>
          <w:rFonts w:ascii="Times New Roman" w:hAnsi="Times New Roman"/>
        </w:rPr>
      </w:pPr>
    </w:p>
    <w:p w:rsidR="00D40E93" w:rsidRPr="0011503E" w:rsidP="002F0A91" w14:paraId="51733D63" w14:textId="77777777">
      <w:pPr>
        <w:ind w:left="1440"/>
        <w:rPr>
          <w:rFonts w:ascii="Times New Roman" w:hAnsi="Times New Roman"/>
        </w:rPr>
      </w:pPr>
      <w:r w:rsidRPr="00712682">
        <w:rPr>
          <w:rFonts w:ascii="Times New Roman" w:hAnsi="Times New Roman"/>
        </w:rPr>
        <w:t>None. This information collection is conducted in accordance with the guidelines in 5 CFR 1320.5(d)(2).</w:t>
      </w:r>
    </w:p>
    <w:p w:rsidR="00731A90" w:rsidP="00F034F1" w14:paraId="4D06F1E8" w14:textId="77777777">
      <w:pPr>
        <w:pStyle w:val="BodyTextIndent"/>
        <w:ind w:left="1440"/>
      </w:pPr>
      <w:r w:rsidRPr="008873E8">
        <w:rPr>
          <w:szCs w:val="24"/>
        </w:rPr>
        <w:t xml:space="preserve"> </w:t>
      </w:r>
    </w:p>
    <w:p w:rsidR="00D807AF" w:rsidRPr="001F2A5D" w:rsidP="004D7E89" w14:paraId="1E7B1D30" w14:textId="77777777">
      <w:pPr>
        <w:numPr>
          <w:ilvl w:val="0"/>
          <w:numId w:val="11"/>
        </w:numPr>
        <w:ind w:left="1440" w:hanging="720"/>
        <w:rPr>
          <w:rFonts w:ascii="Times New Roman" w:hAnsi="Times New Roman"/>
          <w:szCs w:val="24"/>
        </w:rPr>
      </w:pPr>
      <w:r w:rsidRPr="008873E8">
        <w:rPr>
          <w:rFonts w:ascii="Times New Roman" w:hAnsi="Times New Roman"/>
          <w:bCs/>
          <w:szCs w:val="24"/>
          <w:u w:val="single"/>
        </w:rPr>
        <w:t>Efforts to consult with persons outside the agency:</w:t>
      </w:r>
    </w:p>
    <w:p w:rsidR="00731A90" w:rsidP="00D807AF" w14:paraId="741B6DFC" w14:textId="77777777">
      <w:pPr>
        <w:ind w:firstLine="720"/>
        <w:rPr>
          <w:rFonts w:ascii="Times New Roman" w:hAnsi="Times New Roman"/>
        </w:rPr>
      </w:pPr>
    </w:p>
    <w:p w:rsidR="001E004B" w:rsidP="00DB04B6" w14:paraId="5B575B8D" w14:textId="5425B89F">
      <w:pPr>
        <w:widowControl/>
        <w:autoSpaceDE w:val="0"/>
        <w:autoSpaceDN w:val="0"/>
        <w:adjustRightInd w:val="0"/>
        <w:ind w:left="1440"/>
        <w:rPr>
          <w:rFonts w:ascii="Times New Roman" w:hAnsi="Times New Roman"/>
          <w:iCs/>
          <w:szCs w:val="24"/>
        </w:rPr>
      </w:pPr>
      <w:r w:rsidRPr="00154964">
        <w:rPr>
          <w:rFonts w:ascii="Times New Roman" w:hAnsi="Times New Roman"/>
        </w:rPr>
        <w:t xml:space="preserve">On </w:t>
      </w:r>
      <w:r w:rsidR="00771AC2">
        <w:rPr>
          <w:rFonts w:ascii="Times New Roman" w:hAnsi="Times New Roman"/>
        </w:rPr>
        <w:t xml:space="preserve">April 21, </w:t>
      </w:r>
      <w:r w:rsidR="001735BB">
        <w:rPr>
          <w:rFonts w:ascii="Times New Roman" w:hAnsi="Times New Roman"/>
        </w:rPr>
        <w:t>2026,</w:t>
      </w:r>
      <w:r w:rsidRPr="00154964">
        <w:rPr>
          <w:rFonts w:ascii="Times New Roman" w:hAnsi="Times New Roman"/>
        </w:rPr>
        <w:t xml:space="preserve"> the FDIC published a </w:t>
      </w:r>
      <w:r w:rsidRPr="00154964">
        <w:rPr>
          <w:rFonts w:ascii="Times New Roman" w:hAnsi="Times New Roman"/>
          <w:u w:val="single"/>
        </w:rPr>
        <w:t>Federal Register</w:t>
      </w:r>
      <w:r w:rsidRPr="00154964">
        <w:rPr>
          <w:rFonts w:ascii="Times New Roman" w:hAnsi="Times New Roman"/>
        </w:rPr>
        <w:t xml:space="preserve"> notice proposing to </w:t>
      </w:r>
      <w:r w:rsidR="00795221">
        <w:rPr>
          <w:rFonts w:ascii="Times New Roman" w:hAnsi="Times New Roman"/>
        </w:rPr>
        <w:t>renew</w:t>
      </w:r>
      <w:r w:rsidRPr="00154964">
        <w:rPr>
          <w:rFonts w:ascii="Times New Roman" w:hAnsi="Times New Roman"/>
        </w:rPr>
        <w:t xml:space="preserve"> the Notification of Performance of Bank Services existing information collection (</w:t>
      </w:r>
      <w:r w:rsidR="00771AC2">
        <w:rPr>
          <w:rFonts w:ascii="Times New Roman" w:hAnsi="Times New Roman"/>
        </w:rPr>
        <w:t>91</w:t>
      </w:r>
      <w:r w:rsidRPr="00154964">
        <w:rPr>
          <w:rFonts w:ascii="Times New Roman" w:hAnsi="Times New Roman"/>
        </w:rPr>
        <w:t xml:space="preserve"> FR </w:t>
      </w:r>
      <w:r w:rsidR="00771AC2">
        <w:rPr>
          <w:rFonts w:ascii="Times New Roman" w:hAnsi="Times New Roman"/>
        </w:rPr>
        <w:t>21292</w:t>
      </w:r>
      <w:r w:rsidRPr="00154964">
        <w:rPr>
          <w:rFonts w:ascii="Times New Roman" w:hAnsi="Times New Roman"/>
        </w:rPr>
        <w:t xml:space="preserve">).  </w:t>
      </w:r>
      <w:r w:rsidRPr="00154964">
        <w:rPr>
          <w:rFonts w:ascii="Times New Roman" w:hAnsi="Times New Roman"/>
          <w:iCs/>
        </w:rPr>
        <w:t>The FDIC did not receive any comments addressing this collection of information</w:t>
      </w:r>
      <w:r w:rsidRPr="007E5FB2" w:rsidR="001509ED">
        <w:rPr>
          <w:rFonts w:ascii="Times New Roman" w:hAnsi="Times New Roman"/>
          <w:iCs/>
          <w:szCs w:val="24"/>
        </w:rPr>
        <w:t>.</w:t>
      </w:r>
    </w:p>
    <w:p w:rsidR="001509ED" w:rsidP="00DB04B6" w14:paraId="41600591" w14:textId="77777777">
      <w:pPr>
        <w:widowControl/>
        <w:autoSpaceDE w:val="0"/>
        <w:autoSpaceDN w:val="0"/>
        <w:adjustRightInd w:val="0"/>
        <w:ind w:left="1440"/>
        <w:rPr>
          <w:rFonts w:ascii="Times New Roman" w:hAnsi="Times New Roman"/>
        </w:rPr>
      </w:pPr>
    </w:p>
    <w:p w:rsidR="00D807AF" w:rsidRPr="001F2A5D" w:rsidP="006D4D8E" w14:paraId="1BC2613F" w14:textId="77777777">
      <w:pPr>
        <w:numPr>
          <w:ilvl w:val="0"/>
          <w:numId w:val="11"/>
        </w:numPr>
        <w:ind w:left="1440" w:hanging="720"/>
        <w:rPr>
          <w:rFonts w:ascii="Times New Roman" w:hAnsi="Times New Roman"/>
          <w:szCs w:val="24"/>
        </w:rPr>
      </w:pPr>
      <w:r w:rsidRPr="001F2A5D">
        <w:rPr>
          <w:rFonts w:ascii="Times New Roman" w:hAnsi="Times New Roman"/>
          <w:szCs w:val="24"/>
          <w:u w:val="single"/>
        </w:rPr>
        <w:t>Payment</w:t>
      </w:r>
      <w:r>
        <w:rPr>
          <w:rFonts w:ascii="Times New Roman" w:hAnsi="Times New Roman"/>
          <w:szCs w:val="24"/>
          <w:u w:val="single"/>
        </w:rPr>
        <w:t>s</w:t>
      </w:r>
      <w:r w:rsidRPr="001F2A5D">
        <w:rPr>
          <w:rFonts w:ascii="Times New Roman" w:hAnsi="Times New Roman"/>
          <w:szCs w:val="24"/>
          <w:u w:val="single"/>
        </w:rPr>
        <w:t xml:space="preserve"> or </w:t>
      </w:r>
      <w:r>
        <w:rPr>
          <w:rFonts w:ascii="Times New Roman" w:hAnsi="Times New Roman"/>
          <w:szCs w:val="24"/>
          <w:u w:val="single"/>
        </w:rPr>
        <w:t>g</w:t>
      </w:r>
      <w:r w:rsidRPr="001F2A5D">
        <w:rPr>
          <w:rFonts w:ascii="Times New Roman" w:hAnsi="Times New Roman"/>
          <w:szCs w:val="24"/>
          <w:u w:val="single"/>
        </w:rPr>
        <w:t>ift</w:t>
      </w:r>
      <w:r>
        <w:rPr>
          <w:rFonts w:ascii="Times New Roman" w:hAnsi="Times New Roman"/>
          <w:szCs w:val="24"/>
          <w:u w:val="single"/>
        </w:rPr>
        <w:t>s</w:t>
      </w:r>
      <w:r w:rsidRPr="001F2A5D">
        <w:rPr>
          <w:rFonts w:ascii="Times New Roman" w:hAnsi="Times New Roman"/>
          <w:szCs w:val="24"/>
          <w:u w:val="single"/>
        </w:rPr>
        <w:t xml:space="preserve"> to </w:t>
      </w:r>
      <w:r>
        <w:rPr>
          <w:rFonts w:ascii="Times New Roman" w:hAnsi="Times New Roman"/>
          <w:szCs w:val="24"/>
          <w:u w:val="single"/>
        </w:rPr>
        <w:t>r</w:t>
      </w:r>
      <w:r w:rsidRPr="001F2A5D">
        <w:rPr>
          <w:rFonts w:ascii="Times New Roman" w:hAnsi="Times New Roman"/>
          <w:szCs w:val="24"/>
          <w:u w:val="single"/>
        </w:rPr>
        <w:t>espondents</w:t>
      </w:r>
      <w:r>
        <w:rPr>
          <w:rFonts w:ascii="Times New Roman" w:hAnsi="Times New Roman"/>
          <w:szCs w:val="24"/>
          <w:u w:val="single"/>
        </w:rPr>
        <w:t>:</w:t>
      </w:r>
    </w:p>
    <w:p w:rsidR="00731A90" w14:paraId="0B197200" w14:textId="77777777">
      <w:pPr>
        <w:rPr>
          <w:rFonts w:ascii="Times New Roman" w:hAnsi="Times New Roman"/>
        </w:rPr>
      </w:pPr>
    </w:p>
    <w:p w:rsidR="00731A90" w14:paraId="6A3721BF" w14:textId="77777777">
      <w:pPr>
        <w:ind w:left="1440"/>
        <w:rPr>
          <w:rFonts w:ascii="Times New Roman" w:hAnsi="Times New Roman"/>
        </w:rPr>
      </w:pPr>
      <w:r>
        <w:rPr>
          <w:rFonts w:ascii="Times New Roman" w:hAnsi="Times New Roman"/>
        </w:rPr>
        <w:t xml:space="preserve">None. </w:t>
      </w:r>
    </w:p>
    <w:p w:rsidR="00731A90" w14:paraId="60167B9E" w14:textId="77777777">
      <w:pPr>
        <w:rPr>
          <w:rFonts w:ascii="Times New Roman" w:hAnsi="Times New Roman"/>
        </w:rPr>
      </w:pPr>
    </w:p>
    <w:p w:rsidR="00731A90" w:rsidP="006D4D8E" w14:paraId="5991576E" w14:textId="77777777">
      <w:pPr>
        <w:numPr>
          <w:ilvl w:val="0"/>
          <w:numId w:val="11"/>
        </w:numPr>
        <w:ind w:left="1440" w:hanging="720"/>
        <w:rPr>
          <w:rFonts w:ascii="Times New Roman" w:hAnsi="Times New Roman"/>
        </w:rPr>
      </w:pPr>
      <w:r w:rsidRPr="00647F97">
        <w:rPr>
          <w:rFonts w:ascii="Times New Roman TUR" w:hAnsi="Times New Roman TUR" w:cs="Times New Roman TUR"/>
          <w:bCs/>
          <w:u w:val="single"/>
        </w:rPr>
        <w:t>Any assurance of confidentiality:</w:t>
      </w:r>
    </w:p>
    <w:p w:rsidR="00731A90" w14:paraId="37D3FA8B" w14:textId="77777777">
      <w:pPr>
        <w:rPr>
          <w:rFonts w:ascii="Times New Roman" w:hAnsi="Times New Roman"/>
        </w:rPr>
      </w:pPr>
    </w:p>
    <w:p w:rsidR="00E5596D" w:rsidP="00F034F1" w14:paraId="5A3F6955" w14:textId="77777777">
      <w:pPr>
        <w:ind w:left="1440"/>
        <w:rPr>
          <w:rFonts w:ascii="Times New Roman" w:hAnsi="Times New Roman"/>
        </w:rPr>
      </w:pPr>
      <w:r w:rsidRPr="00F034F1">
        <w:rPr>
          <w:rFonts w:ascii="Times New Roman" w:hAnsi="Times New Roman"/>
        </w:rPr>
        <w:t>Information will be kept private to the extent allowed by law.</w:t>
      </w:r>
    </w:p>
    <w:p w:rsidR="00F034F1" w14:paraId="4DB8BC9E" w14:textId="77777777">
      <w:pPr>
        <w:rPr>
          <w:rFonts w:ascii="Times New Roman" w:hAnsi="Times New Roman"/>
        </w:rPr>
      </w:pPr>
    </w:p>
    <w:p w:rsidR="00736FF6" w:rsidRPr="00E5596D" w14:paraId="4328D1F7" w14:textId="77777777">
      <w:pPr>
        <w:rPr>
          <w:rFonts w:ascii="Times New Roman" w:hAnsi="Times New Roman"/>
        </w:rPr>
      </w:pPr>
    </w:p>
    <w:p w:rsidR="00731A90" w:rsidP="006D4D8E" w14:paraId="100BBF09" w14:textId="77777777">
      <w:pPr>
        <w:numPr>
          <w:ilvl w:val="0"/>
          <w:numId w:val="11"/>
        </w:numPr>
        <w:ind w:left="1440" w:hanging="720"/>
        <w:rPr>
          <w:rFonts w:ascii="Times New Roman" w:hAnsi="Times New Roman"/>
        </w:rPr>
      </w:pPr>
      <w:r w:rsidRPr="00647F97">
        <w:rPr>
          <w:rFonts w:ascii="Times New Roman TUR" w:hAnsi="Times New Roman TUR" w:cs="Times New Roman TUR"/>
          <w:bCs/>
          <w:u w:val="single"/>
        </w:rPr>
        <w:t>Justification for questions of a sensitive nature:</w:t>
      </w:r>
    </w:p>
    <w:p w:rsidR="00731A90" w14:paraId="2DAC68A1" w14:textId="77777777">
      <w:pPr>
        <w:rPr>
          <w:rFonts w:ascii="Times New Roman" w:hAnsi="Times New Roman"/>
        </w:rPr>
      </w:pPr>
    </w:p>
    <w:p w:rsidR="001509ED" w:rsidP="006D4D8E" w14:paraId="4A36B058" w14:textId="77777777">
      <w:pPr>
        <w:ind w:left="1440"/>
        <w:rPr>
          <w:rFonts w:ascii="Times New Roman" w:hAnsi="Times New Roman"/>
        </w:rPr>
      </w:pPr>
      <w:r w:rsidRPr="001C1012">
        <w:rPr>
          <w:rFonts w:ascii="Times New Roman" w:hAnsi="Times New Roman"/>
        </w:rPr>
        <w:t>No information of a sensitive nature is requested</w:t>
      </w:r>
      <w:r w:rsidRPr="00736FF6" w:rsidR="00736FF6">
        <w:rPr>
          <w:rFonts w:ascii="Times New Roman" w:hAnsi="Times New Roman"/>
        </w:rPr>
        <w:t>.</w:t>
      </w:r>
    </w:p>
    <w:p w:rsidR="00736FF6" w:rsidP="001509ED" w14:paraId="2F18013A" w14:textId="77777777">
      <w:pPr>
        <w:ind w:left="1440"/>
        <w:rPr>
          <w:rFonts w:ascii="Times New Roman" w:hAnsi="Times New Roman"/>
        </w:rPr>
      </w:pPr>
    </w:p>
    <w:p w:rsidR="00731A90" w:rsidP="006D4D8E" w14:paraId="46F3DF11" w14:textId="77777777">
      <w:pPr>
        <w:numPr>
          <w:ilvl w:val="0"/>
          <w:numId w:val="11"/>
        </w:numPr>
        <w:ind w:left="1440" w:hanging="720"/>
        <w:rPr>
          <w:rFonts w:ascii="Times New Roman" w:hAnsi="Times New Roman"/>
          <w:szCs w:val="24"/>
          <w:u w:val="single"/>
        </w:rPr>
      </w:pPr>
      <w:r w:rsidRPr="000D67E2">
        <w:rPr>
          <w:rFonts w:ascii="Times New Roman" w:hAnsi="Times New Roman"/>
          <w:szCs w:val="24"/>
          <w:u w:val="single"/>
        </w:rPr>
        <w:t>Estimate of hour burden including annualized hourly costs:</w:t>
      </w:r>
    </w:p>
    <w:p w:rsidR="00C7167C" w:rsidP="00C7167C" w14:paraId="14C17694" w14:textId="77777777">
      <w:pPr>
        <w:ind w:left="720"/>
        <w:rPr>
          <w:rFonts w:ascii="Times New Roman" w:hAnsi="Times New Roman"/>
          <w:szCs w:val="24"/>
          <w:u w:val="single"/>
        </w:rPr>
      </w:pPr>
    </w:p>
    <w:tbl>
      <w:tblPr>
        <w:tblW w:w="9240" w:type="dxa"/>
        <w:tblLook w:val="04A0"/>
      </w:tblPr>
      <w:tblGrid>
        <w:gridCol w:w="2293"/>
        <w:gridCol w:w="1634"/>
        <w:gridCol w:w="1313"/>
        <w:gridCol w:w="1640"/>
        <w:gridCol w:w="1160"/>
        <w:gridCol w:w="1200"/>
      </w:tblGrid>
      <w:tr w14:paraId="51FCD339" w14:textId="77777777" w:rsidTr="00BB7F42">
        <w:tblPrEx>
          <w:tblW w:w="9240" w:type="dxa"/>
          <w:tblLook w:val="04A0"/>
        </w:tblPrEx>
        <w:trPr>
          <w:trHeight w:val="360"/>
        </w:trPr>
        <w:tc>
          <w:tcPr>
            <w:tcW w:w="9240" w:type="dxa"/>
            <w:gridSpan w:val="6"/>
            <w:tcBorders>
              <w:top w:val="single" w:sz="8" w:space="0" w:color="auto"/>
              <w:left w:val="single" w:sz="8" w:space="0" w:color="auto"/>
              <w:bottom w:val="single" w:sz="8" w:space="0" w:color="auto"/>
              <w:right w:val="single" w:sz="8" w:space="0" w:color="000000"/>
            </w:tcBorders>
            <w:vAlign w:val="center"/>
            <w:hideMark/>
          </w:tcPr>
          <w:p w:rsidR="00C7167C" w:rsidRPr="00C7167C" w:rsidP="00C7167C" w14:paraId="5CEED8B7" w14:textId="77777777">
            <w:pPr>
              <w:widowControl/>
              <w:jc w:val="center"/>
              <w:rPr>
                <w:rFonts w:ascii="Source Sans Pro" w:hAnsi="Source Sans Pro" w:cs="Calibri"/>
                <w:snapToGrid/>
                <w:color w:val="000000"/>
                <w:sz w:val="20"/>
              </w:rPr>
            </w:pPr>
            <w:r w:rsidRPr="00C7167C">
              <w:rPr>
                <w:rFonts w:ascii="Source Sans Pro" w:hAnsi="Source Sans Pro" w:cs="Calibri"/>
                <w:snapToGrid/>
                <w:color w:val="000000"/>
                <w:sz w:val="20"/>
              </w:rPr>
              <w:t>Summary of Estimated Annual Burden (OMB No. 3064-0029)</w:t>
            </w:r>
          </w:p>
        </w:tc>
      </w:tr>
      <w:tr w14:paraId="2B7C8DAE" w14:textId="77777777" w:rsidTr="00C7167C">
        <w:tblPrEx>
          <w:tblW w:w="9240" w:type="dxa"/>
          <w:tblLook w:val="04A0"/>
        </w:tblPrEx>
        <w:trPr>
          <w:trHeight w:val="840"/>
        </w:trPr>
        <w:tc>
          <w:tcPr>
            <w:tcW w:w="2293" w:type="dxa"/>
            <w:tcBorders>
              <w:top w:val="nil"/>
              <w:left w:val="single" w:sz="8" w:space="0" w:color="auto"/>
              <w:bottom w:val="single" w:sz="8" w:space="0" w:color="auto"/>
              <w:right w:val="single" w:sz="8" w:space="0" w:color="auto"/>
            </w:tcBorders>
            <w:vAlign w:val="center"/>
            <w:hideMark/>
          </w:tcPr>
          <w:p w:rsidR="00C7167C" w:rsidRPr="00C7167C" w:rsidP="00C7167C" w14:paraId="6B401D60" w14:textId="77777777">
            <w:pPr>
              <w:widowControl/>
              <w:rPr>
                <w:rFonts w:ascii="Source Sans Pro" w:hAnsi="Source Sans Pro" w:cs="Calibri"/>
                <w:snapToGrid/>
                <w:color w:val="000000"/>
                <w:sz w:val="20"/>
              </w:rPr>
            </w:pPr>
            <w:r w:rsidRPr="00C7167C">
              <w:rPr>
                <w:rFonts w:ascii="Source Sans Pro" w:hAnsi="Source Sans Pro" w:cs="Calibri"/>
                <w:snapToGrid/>
                <w:color w:val="000000"/>
                <w:sz w:val="20"/>
              </w:rPr>
              <w:t>Information Collection (Obligation to Respond)</w:t>
            </w:r>
          </w:p>
        </w:tc>
        <w:tc>
          <w:tcPr>
            <w:tcW w:w="1634" w:type="dxa"/>
            <w:tcBorders>
              <w:top w:val="nil"/>
              <w:left w:val="nil"/>
              <w:bottom w:val="single" w:sz="8" w:space="0" w:color="auto"/>
              <w:right w:val="single" w:sz="8" w:space="0" w:color="auto"/>
            </w:tcBorders>
            <w:vAlign w:val="center"/>
            <w:hideMark/>
          </w:tcPr>
          <w:p w:rsidR="00C7167C" w:rsidRPr="00C7167C" w:rsidP="00C7167C" w14:paraId="15B3ECC1" w14:textId="77777777">
            <w:pPr>
              <w:widowControl/>
              <w:jc w:val="center"/>
              <w:rPr>
                <w:rFonts w:ascii="Source Sans Pro" w:hAnsi="Source Sans Pro" w:cs="Calibri"/>
                <w:snapToGrid/>
                <w:color w:val="000000"/>
                <w:sz w:val="20"/>
              </w:rPr>
            </w:pPr>
            <w:r w:rsidRPr="00C7167C">
              <w:rPr>
                <w:rFonts w:ascii="Source Sans Pro" w:hAnsi="Source Sans Pro" w:cs="Calibri"/>
                <w:snapToGrid/>
                <w:color w:val="000000"/>
                <w:sz w:val="20"/>
              </w:rPr>
              <w:t>Type of Burden</w:t>
            </w:r>
            <w:r w:rsidRPr="00C7167C">
              <w:rPr>
                <w:rFonts w:ascii="Source Sans Pro" w:hAnsi="Source Sans Pro" w:cs="Calibri"/>
                <w:snapToGrid/>
                <w:color w:val="000000"/>
                <w:sz w:val="20"/>
              </w:rPr>
              <w:br/>
              <w:t>(Frequency of Response)</w:t>
            </w:r>
          </w:p>
        </w:tc>
        <w:tc>
          <w:tcPr>
            <w:tcW w:w="1313" w:type="dxa"/>
            <w:tcBorders>
              <w:top w:val="nil"/>
              <w:left w:val="nil"/>
              <w:bottom w:val="single" w:sz="8" w:space="0" w:color="auto"/>
              <w:right w:val="single" w:sz="8" w:space="0" w:color="auto"/>
            </w:tcBorders>
            <w:vAlign w:val="center"/>
            <w:hideMark/>
          </w:tcPr>
          <w:p w:rsidR="00C7167C" w:rsidRPr="00C7167C" w:rsidP="00C7167C" w14:paraId="328E6BC6" w14:textId="77777777">
            <w:pPr>
              <w:widowControl/>
              <w:jc w:val="center"/>
              <w:rPr>
                <w:rFonts w:ascii="Source Sans Pro" w:hAnsi="Source Sans Pro" w:cs="Calibri"/>
                <w:snapToGrid/>
                <w:color w:val="000000"/>
                <w:sz w:val="20"/>
              </w:rPr>
            </w:pPr>
            <w:r w:rsidRPr="00C7167C">
              <w:rPr>
                <w:rFonts w:ascii="Source Sans Pro" w:hAnsi="Source Sans Pro" w:cs="Calibri"/>
                <w:snapToGrid/>
                <w:color w:val="000000"/>
                <w:sz w:val="20"/>
              </w:rPr>
              <w:t xml:space="preserve"> Number of Respondents</w:t>
            </w:r>
          </w:p>
        </w:tc>
        <w:tc>
          <w:tcPr>
            <w:tcW w:w="1640" w:type="dxa"/>
            <w:tcBorders>
              <w:top w:val="nil"/>
              <w:left w:val="nil"/>
              <w:bottom w:val="single" w:sz="8" w:space="0" w:color="auto"/>
              <w:right w:val="single" w:sz="8" w:space="0" w:color="auto"/>
            </w:tcBorders>
            <w:vAlign w:val="center"/>
            <w:hideMark/>
          </w:tcPr>
          <w:p w:rsidR="00C7167C" w:rsidRPr="00C7167C" w:rsidP="00C7167C" w14:paraId="1CC96598" w14:textId="77777777">
            <w:pPr>
              <w:widowControl/>
              <w:jc w:val="center"/>
              <w:rPr>
                <w:rFonts w:ascii="Source Sans Pro" w:hAnsi="Source Sans Pro" w:cs="Calibri"/>
                <w:snapToGrid/>
                <w:color w:val="000000"/>
                <w:sz w:val="20"/>
              </w:rPr>
            </w:pPr>
            <w:r w:rsidRPr="00C7167C">
              <w:rPr>
                <w:rFonts w:ascii="Source Sans Pro" w:hAnsi="Source Sans Pro" w:cs="Calibri"/>
                <w:snapToGrid/>
                <w:color w:val="000000"/>
                <w:sz w:val="20"/>
              </w:rPr>
              <w:t xml:space="preserve"> Number of Responses per Respondent</w:t>
            </w:r>
          </w:p>
        </w:tc>
        <w:tc>
          <w:tcPr>
            <w:tcW w:w="1160" w:type="dxa"/>
            <w:tcBorders>
              <w:top w:val="nil"/>
              <w:left w:val="nil"/>
              <w:bottom w:val="single" w:sz="8" w:space="0" w:color="auto"/>
              <w:right w:val="single" w:sz="8" w:space="0" w:color="auto"/>
            </w:tcBorders>
            <w:vAlign w:val="center"/>
            <w:hideMark/>
          </w:tcPr>
          <w:p w:rsidR="00C7167C" w:rsidRPr="00C7167C" w:rsidP="00C7167C" w14:paraId="754B49D0" w14:textId="77777777">
            <w:pPr>
              <w:widowControl/>
              <w:jc w:val="center"/>
              <w:rPr>
                <w:rFonts w:ascii="Source Sans Pro" w:hAnsi="Source Sans Pro" w:cs="Calibri"/>
                <w:snapToGrid/>
                <w:color w:val="000000"/>
                <w:sz w:val="20"/>
              </w:rPr>
            </w:pPr>
            <w:r w:rsidRPr="00C7167C">
              <w:rPr>
                <w:rFonts w:ascii="Source Sans Pro" w:hAnsi="Source Sans Pro" w:cs="Calibri"/>
                <w:snapToGrid/>
                <w:color w:val="000000"/>
                <w:sz w:val="20"/>
              </w:rPr>
              <w:t>Time per Response (HH:MM)</w:t>
            </w:r>
          </w:p>
        </w:tc>
        <w:tc>
          <w:tcPr>
            <w:tcW w:w="1200" w:type="dxa"/>
            <w:tcBorders>
              <w:top w:val="nil"/>
              <w:left w:val="nil"/>
              <w:bottom w:val="single" w:sz="8" w:space="0" w:color="auto"/>
              <w:right w:val="single" w:sz="8" w:space="0" w:color="auto"/>
            </w:tcBorders>
            <w:vAlign w:val="center"/>
            <w:hideMark/>
          </w:tcPr>
          <w:p w:rsidR="00C7167C" w:rsidRPr="00C7167C" w:rsidP="00C7167C" w14:paraId="645BA958" w14:textId="77777777">
            <w:pPr>
              <w:widowControl/>
              <w:jc w:val="center"/>
              <w:rPr>
                <w:rFonts w:ascii="Source Sans Pro" w:hAnsi="Source Sans Pro" w:cs="Calibri"/>
                <w:snapToGrid/>
                <w:color w:val="000000"/>
                <w:sz w:val="20"/>
              </w:rPr>
            </w:pPr>
            <w:r w:rsidRPr="00C7167C">
              <w:rPr>
                <w:rFonts w:ascii="Source Sans Pro" w:hAnsi="Source Sans Pro" w:cs="Calibri"/>
                <w:snapToGrid/>
                <w:color w:val="000000"/>
                <w:sz w:val="20"/>
              </w:rPr>
              <w:t>Annual Burden (Hours)</w:t>
            </w:r>
          </w:p>
        </w:tc>
      </w:tr>
      <w:tr w14:paraId="2D1171B5" w14:textId="77777777" w:rsidTr="00C7167C">
        <w:tblPrEx>
          <w:tblW w:w="9240" w:type="dxa"/>
          <w:tblLook w:val="04A0"/>
        </w:tblPrEx>
        <w:trPr>
          <w:trHeight w:val="1050"/>
        </w:trPr>
        <w:tc>
          <w:tcPr>
            <w:tcW w:w="2293" w:type="dxa"/>
            <w:tcBorders>
              <w:top w:val="nil"/>
              <w:left w:val="single" w:sz="8" w:space="0" w:color="auto"/>
              <w:bottom w:val="single" w:sz="8" w:space="0" w:color="auto"/>
              <w:right w:val="single" w:sz="8" w:space="0" w:color="auto"/>
            </w:tcBorders>
            <w:vAlign w:val="center"/>
            <w:hideMark/>
          </w:tcPr>
          <w:p w:rsidR="00C7167C" w:rsidRPr="00C7167C" w:rsidP="00C7167C" w14:paraId="64541796" w14:textId="2E95CBD4">
            <w:pPr>
              <w:widowControl/>
              <w:rPr>
                <w:rFonts w:ascii="Source Sans Pro" w:hAnsi="Source Sans Pro" w:cs="Calibri"/>
                <w:snapToGrid/>
                <w:color w:val="000000"/>
                <w:sz w:val="20"/>
              </w:rPr>
            </w:pPr>
            <w:r w:rsidRPr="00C7167C">
              <w:rPr>
                <w:rFonts w:ascii="Source Sans Pro" w:hAnsi="Source Sans Pro" w:cs="Calibri"/>
                <w:snapToGrid/>
                <w:color w:val="000000"/>
                <w:sz w:val="20"/>
              </w:rPr>
              <w:t>Notification of Performance of Bank Services,</w:t>
            </w:r>
            <w:r w:rsidRPr="00C7167C">
              <w:rPr>
                <w:rFonts w:ascii="Source Sans Pro" w:hAnsi="Source Sans Pro" w:cs="Calibri"/>
                <w:snapToGrid/>
                <w:color w:val="000000"/>
                <w:sz w:val="20"/>
              </w:rPr>
              <w:br/>
              <w:t>12 CFR 304.3 (Mandatory)</w:t>
            </w:r>
          </w:p>
        </w:tc>
        <w:tc>
          <w:tcPr>
            <w:tcW w:w="1634" w:type="dxa"/>
            <w:tcBorders>
              <w:top w:val="nil"/>
              <w:left w:val="nil"/>
              <w:bottom w:val="single" w:sz="8" w:space="0" w:color="auto"/>
              <w:right w:val="single" w:sz="8" w:space="0" w:color="auto"/>
            </w:tcBorders>
            <w:vAlign w:val="center"/>
            <w:hideMark/>
          </w:tcPr>
          <w:p w:rsidR="00C7167C" w:rsidRPr="00C7167C" w:rsidP="00C7167C" w14:paraId="0919CB5C" w14:textId="77777777">
            <w:pPr>
              <w:widowControl/>
              <w:jc w:val="center"/>
              <w:rPr>
                <w:rFonts w:ascii="Source Sans Pro" w:hAnsi="Source Sans Pro" w:cs="Calibri"/>
                <w:snapToGrid/>
                <w:color w:val="000000"/>
                <w:sz w:val="20"/>
              </w:rPr>
            </w:pPr>
            <w:r w:rsidRPr="00C7167C">
              <w:rPr>
                <w:rFonts w:ascii="Source Sans Pro" w:hAnsi="Source Sans Pro" w:cs="Calibri"/>
                <w:snapToGrid/>
                <w:color w:val="000000"/>
                <w:sz w:val="20"/>
              </w:rPr>
              <w:t>Reporting</w:t>
            </w:r>
            <w:r w:rsidRPr="00C7167C">
              <w:rPr>
                <w:rFonts w:ascii="Source Sans Pro" w:hAnsi="Source Sans Pro" w:cs="Calibri"/>
                <w:snapToGrid/>
                <w:color w:val="000000"/>
                <w:sz w:val="20"/>
              </w:rPr>
              <w:br/>
              <w:t>(On Occasion)</w:t>
            </w:r>
          </w:p>
        </w:tc>
        <w:tc>
          <w:tcPr>
            <w:tcW w:w="1313" w:type="dxa"/>
            <w:tcBorders>
              <w:top w:val="nil"/>
              <w:left w:val="nil"/>
              <w:bottom w:val="single" w:sz="8" w:space="0" w:color="auto"/>
              <w:right w:val="single" w:sz="8" w:space="0" w:color="auto"/>
            </w:tcBorders>
            <w:noWrap/>
            <w:vAlign w:val="center"/>
            <w:hideMark/>
          </w:tcPr>
          <w:p w:rsidR="00C7167C" w:rsidRPr="00C7167C" w:rsidP="00C7167C" w14:paraId="3D9B312F" w14:textId="09068165">
            <w:pPr>
              <w:widowControl/>
              <w:jc w:val="right"/>
              <w:rPr>
                <w:rFonts w:ascii="Source Sans Pro" w:hAnsi="Source Sans Pro" w:cs="Calibri"/>
                <w:snapToGrid/>
                <w:color w:val="000000"/>
                <w:sz w:val="20"/>
              </w:rPr>
            </w:pPr>
            <w:r>
              <w:rPr>
                <w:rFonts w:ascii="Source Sans Pro" w:hAnsi="Source Sans Pro" w:cs="Calibri"/>
                <w:snapToGrid/>
                <w:color w:val="000000"/>
                <w:sz w:val="20"/>
              </w:rPr>
              <w:t>308</w:t>
            </w:r>
          </w:p>
        </w:tc>
        <w:tc>
          <w:tcPr>
            <w:tcW w:w="1640" w:type="dxa"/>
            <w:tcBorders>
              <w:top w:val="nil"/>
              <w:left w:val="nil"/>
              <w:bottom w:val="single" w:sz="8" w:space="0" w:color="auto"/>
              <w:right w:val="single" w:sz="8" w:space="0" w:color="auto"/>
            </w:tcBorders>
            <w:noWrap/>
            <w:vAlign w:val="center"/>
            <w:hideMark/>
          </w:tcPr>
          <w:p w:rsidR="00C7167C" w:rsidRPr="00C7167C" w:rsidP="00C7167C" w14:paraId="05BAAAB9" w14:textId="2DFE61B4">
            <w:pPr>
              <w:widowControl/>
              <w:jc w:val="right"/>
              <w:rPr>
                <w:rFonts w:ascii="Source Sans Pro" w:hAnsi="Source Sans Pro" w:cs="Calibri"/>
                <w:snapToGrid/>
                <w:color w:val="000000"/>
                <w:sz w:val="20"/>
              </w:rPr>
            </w:pPr>
            <w:r w:rsidRPr="00C7167C">
              <w:rPr>
                <w:rFonts w:ascii="Source Sans Pro" w:hAnsi="Source Sans Pro" w:cs="Calibri"/>
                <w:snapToGrid/>
                <w:color w:val="000000"/>
                <w:sz w:val="20"/>
              </w:rPr>
              <w:t>2.</w:t>
            </w:r>
            <w:r w:rsidR="00716EFC">
              <w:rPr>
                <w:rFonts w:ascii="Source Sans Pro" w:hAnsi="Source Sans Pro" w:cs="Calibri"/>
                <w:snapToGrid/>
                <w:color w:val="000000"/>
                <w:sz w:val="20"/>
              </w:rPr>
              <w:t>03</w:t>
            </w:r>
          </w:p>
        </w:tc>
        <w:tc>
          <w:tcPr>
            <w:tcW w:w="1160" w:type="dxa"/>
            <w:tcBorders>
              <w:top w:val="nil"/>
              <w:left w:val="nil"/>
              <w:bottom w:val="single" w:sz="8" w:space="0" w:color="auto"/>
              <w:right w:val="nil"/>
            </w:tcBorders>
            <w:vAlign w:val="center"/>
            <w:hideMark/>
          </w:tcPr>
          <w:p w:rsidR="00C7167C" w:rsidRPr="00C7167C" w:rsidP="00C7167C" w14:paraId="65343C18" w14:textId="77777777">
            <w:pPr>
              <w:widowControl/>
              <w:jc w:val="right"/>
              <w:rPr>
                <w:rFonts w:ascii="Source Sans Pro" w:hAnsi="Source Sans Pro" w:cs="Calibri"/>
                <w:snapToGrid/>
                <w:color w:val="000000"/>
                <w:sz w:val="20"/>
              </w:rPr>
            </w:pPr>
            <w:r w:rsidRPr="00C7167C">
              <w:rPr>
                <w:rFonts w:ascii="Source Sans Pro" w:hAnsi="Source Sans Pro" w:cs="Calibri"/>
                <w:snapToGrid/>
                <w:color w:val="000000"/>
                <w:sz w:val="20"/>
              </w:rPr>
              <w:t>00:30</w:t>
            </w:r>
          </w:p>
        </w:tc>
        <w:tc>
          <w:tcPr>
            <w:tcW w:w="1200" w:type="dxa"/>
            <w:tcBorders>
              <w:top w:val="nil"/>
              <w:left w:val="single" w:sz="8" w:space="0" w:color="auto"/>
              <w:bottom w:val="single" w:sz="8" w:space="0" w:color="auto"/>
              <w:right w:val="single" w:sz="8" w:space="0" w:color="auto"/>
            </w:tcBorders>
            <w:noWrap/>
            <w:vAlign w:val="center"/>
            <w:hideMark/>
          </w:tcPr>
          <w:p w:rsidR="00C7167C" w:rsidRPr="00C7167C" w:rsidP="00C7167C" w14:paraId="1FF24A19" w14:textId="1CEA81C3">
            <w:pPr>
              <w:widowControl/>
              <w:jc w:val="right"/>
              <w:rPr>
                <w:rFonts w:ascii="Source Sans Pro" w:hAnsi="Source Sans Pro" w:cs="Calibri"/>
                <w:snapToGrid/>
                <w:color w:val="000000"/>
                <w:sz w:val="20"/>
              </w:rPr>
            </w:pPr>
            <w:r w:rsidRPr="00C7167C">
              <w:rPr>
                <w:rFonts w:ascii="Source Sans Pro" w:hAnsi="Source Sans Pro" w:cs="Calibri"/>
                <w:snapToGrid/>
                <w:color w:val="000000"/>
                <w:sz w:val="20"/>
              </w:rPr>
              <w:t>3</w:t>
            </w:r>
            <w:r w:rsidR="00716EFC">
              <w:rPr>
                <w:rFonts w:ascii="Source Sans Pro" w:hAnsi="Source Sans Pro" w:cs="Calibri"/>
                <w:snapToGrid/>
                <w:color w:val="000000"/>
                <w:sz w:val="20"/>
              </w:rPr>
              <w:t>13</w:t>
            </w:r>
          </w:p>
        </w:tc>
      </w:tr>
      <w:tr w14:paraId="2A667945" w14:textId="77777777" w:rsidTr="00BB7F42">
        <w:tblPrEx>
          <w:tblW w:w="9240" w:type="dxa"/>
          <w:tblLook w:val="04A0"/>
        </w:tblPrEx>
        <w:trPr>
          <w:trHeight w:val="300"/>
        </w:trPr>
        <w:tc>
          <w:tcPr>
            <w:tcW w:w="8040" w:type="dxa"/>
            <w:gridSpan w:val="5"/>
            <w:tcBorders>
              <w:top w:val="single" w:sz="8" w:space="0" w:color="auto"/>
              <w:left w:val="single" w:sz="8" w:space="0" w:color="auto"/>
              <w:bottom w:val="single" w:sz="4" w:space="0" w:color="auto"/>
              <w:right w:val="nil"/>
            </w:tcBorders>
            <w:shd w:val="clear" w:color="000000" w:fill="FFFFFF"/>
            <w:noWrap/>
            <w:vAlign w:val="center"/>
            <w:hideMark/>
          </w:tcPr>
          <w:p w:rsidR="00C7167C" w:rsidRPr="00C7167C" w:rsidP="00C7167C" w14:paraId="1143F151" w14:textId="77777777">
            <w:pPr>
              <w:widowControl/>
              <w:jc w:val="right"/>
              <w:rPr>
                <w:rFonts w:ascii="Source Sans Pro" w:hAnsi="Source Sans Pro" w:cs="Calibri"/>
                <w:b/>
                <w:bCs/>
                <w:i/>
                <w:iCs/>
                <w:snapToGrid/>
                <w:color w:val="000000"/>
                <w:sz w:val="20"/>
              </w:rPr>
            </w:pPr>
            <w:r w:rsidRPr="00C7167C">
              <w:rPr>
                <w:rFonts w:ascii="Source Sans Pro" w:hAnsi="Source Sans Pro" w:cs="Calibri"/>
                <w:b/>
                <w:bCs/>
                <w:i/>
                <w:iCs/>
                <w:snapToGrid/>
                <w:color w:val="000000"/>
                <w:sz w:val="20"/>
              </w:rPr>
              <w:t>Total Annual Burden (Hours):</w:t>
            </w:r>
          </w:p>
        </w:tc>
        <w:tc>
          <w:tcPr>
            <w:tcW w:w="1200" w:type="dxa"/>
            <w:tcBorders>
              <w:top w:val="nil"/>
              <w:left w:val="nil"/>
              <w:bottom w:val="single" w:sz="4" w:space="0" w:color="auto"/>
              <w:right w:val="single" w:sz="8" w:space="0" w:color="auto"/>
            </w:tcBorders>
            <w:noWrap/>
            <w:vAlign w:val="bottom"/>
            <w:hideMark/>
          </w:tcPr>
          <w:p w:rsidR="00C7167C" w:rsidRPr="00C7167C" w:rsidP="00C7167C" w14:paraId="768D6B9E" w14:textId="00B45B55">
            <w:pPr>
              <w:widowControl/>
              <w:jc w:val="right"/>
              <w:rPr>
                <w:rFonts w:ascii="Source Sans Pro" w:hAnsi="Source Sans Pro" w:cs="Calibri"/>
                <w:b/>
                <w:bCs/>
                <w:i/>
                <w:iCs/>
                <w:snapToGrid/>
                <w:color w:val="000000"/>
                <w:sz w:val="20"/>
              </w:rPr>
            </w:pPr>
            <w:r w:rsidRPr="00C7167C">
              <w:rPr>
                <w:rFonts w:ascii="Source Sans Pro" w:hAnsi="Source Sans Pro" w:cs="Calibri"/>
                <w:b/>
                <w:bCs/>
                <w:i/>
                <w:iCs/>
                <w:snapToGrid/>
                <w:color w:val="000000"/>
                <w:sz w:val="20"/>
              </w:rPr>
              <w:t>3</w:t>
            </w:r>
            <w:r w:rsidR="00716EFC">
              <w:rPr>
                <w:rFonts w:ascii="Source Sans Pro" w:hAnsi="Source Sans Pro" w:cs="Calibri"/>
                <w:b/>
                <w:bCs/>
                <w:i/>
                <w:iCs/>
                <w:snapToGrid/>
                <w:color w:val="000000"/>
                <w:sz w:val="20"/>
              </w:rPr>
              <w:t>13</w:t>
            </w:r>
          </w:p>
        </w:tc>
      </w:tr>
      <w:tr w14:paraId="1C18CBDF" w14:textId="77777777" w:rsidTr="00BB7F42">
        <w:tblPrEx>
          <w:tblW w:w="9240" w:type="dxa"/>
          <w:tblLook w:val="04A0"/>
        </w:tblPrEx>
        <w:trPr>
          <w:trHeight w:val="253"/>
        </w:trPr>
        <w:tc>
          <w:tcPr>
            <w:tcW w:w="9240" w:type="dxa"/>
            <w:gridSpan w:val="6"/>
            <w:tcBorders>
              <w:top w:val="single" w:sz="4" w:space="0" w:color="auto"/>
              <w:left w:val="single" w:sz="4" w:space="0" w:color="auto"/>
              <w:bottom w:val="single" w:sz="4" w:space="0" w:color="auto"/>
              <w:right w:val="single" w:sz="4" w:space="0" w:color="auto"/>
            </w:tcBorders>
            <w:noWrap/>
            <w:hideMark/>
          </w:tcPr>
          <w:p w:rsidR="00C7167C" w:rsidRPr="00C7167C" w:rsidP="00C7167C" w14:paraId="3847230F" w14:textId="77777777">
            <w:pPr>
              <w:widowControl/>
              <w:rPr>
                <w:rFonts w:ascii="Source Sans Pro" w:hAnsi="Source Sans Pro" w:cs="Calibri"/>
                <w:snapToGrid/>
                <w:color w:val="000000"/>
                <w:sz w:val="18"/>
                <w:szCs w:val="18"/>
              </w:rPr>
            </w:pPr>
            <w:r w:rsidRPr="00C7167C">
              <w:rPr>
                <w:rFonts w:ascii="Source Sans Pro" w:hAnsi="Source Sans Pro" w:cs="Calibri"/>
                <w:snapToGrid/>
                <w:color w:val="000000"/>
                <w:sz w:val="18"/>
                <w:szCs w:val="18"/>
              </w:rPr>
              <w:t>Source: FDIC.</w:t>
            </w:r>
          </w:p>
        </w:tc>
      </w:tr>
    </w:tbl>
    <w:p w:rsidR="00C516B6" w:rsidP="006B5B26" w14:paraId="7E51E02E" w14:textId="77777777">
      <w:pPr>
        <w:rPr>
          <w:rFonts w:ascii="Times New Roman" w:hAnsi="Times New Roman"/>
        </w:rPr>
      </w:pPr>
    </w:p>
    <w:tbl>
      <w:tblPr>
        <w:tblW w:w="9317" w:type="dxa"/>
        <w:tblLook w:val="04A0"/>
      </w:tblPr>
      <w:tblGrid>
        <w:gridCol w:w="2375"/>
        <w:gridCol w:w="2882"/>
        <w:gridCol w:w="2176"/>
        <w:gridCol w:w="1884"/>
      </w:tblGrid>
      <w:tr w14:paraId="27CAA13C" w14:textId="77777777" w:rsidTr="00C7167C">
        <w:tblPrEx>
          <w:tblW w:w="9317" w:type="dxa"/>
          <w:tblLook w:val="04A0"/>
        </w:tblPrEx>
        <w:trPr>
          <w:trHeight w:val="364"/>
        </w:trPr>
        <w:tc>
          <w:tcPr>
            <w:tcW w:w="9317" w:type="dxa"/>
            <w:gridSpan w:val="4"/>
            <w:tcBorders>
              <w:top w:val="single" w:sz="8" w:space="0" w:color="auto"/>
              <w:left w:val="single" w:sz="8" w:space="0" w:color="auto"/>
              <w:bottom w:val="single" w:sz="8" w:space="0" w:color="auto"/>
              <w:right w:val="single" w:sz="8" w:space="0" w:color="000000"/>
            </w:tcBorders>
            <w:noWrap/>
            <w:vAlign w:val="center"/>
            <w:hideMark/>
          </w:tcPr>
          <w:p w:rsidR="00C7167C" w:rsidRPr="00C7167C" w:rsidP="00C7167C" w14:paraId="2612516E" w14:textId="77777777">
            <w:pPr>
              <w:widowControl/>
              <w:jc w:val="center"/>
              <w:rPr>
                <w:rFonts w:ascii="Source Sans Pro" w:hAnsi="Source Sans Pro"/>
                <w:snapToGrid/>
                <w:color w:val="000000"/>
                <w:sz w:val="20"/>
              </w:rPr>
            </w:pPr>
            <w:r w:rsidRPr="00C7167C">
              <w:rPr>
                <w:rFonts w:ascii="Source Sans Pro" w:hAnsi="Source Sans Pro"/>
                <w:snapToGrid/>
                <w:color w:val="000000"/>
                <w:sz w:val="20"/>
              </w:rPr>
              <w:t>Total Estimated Cost Burden (OMB No. 3064-0029)</w:t>
            </w:r>
          </w:p>
        </w:tc>
      </w:tr>
      <w:tr w14:paraId="5C81C2B4" w14:textId="77777777" w:rsidTr="00C7167C">
        <w:tblPrEx>
          <w:tblW w:w="9317" w:type="dxa"/>
          <w:tblLook w:val="04A0"/>
        </w:tblPrEx>
        <w:trPr>
          <w:trHeight w:val="607"/>
        </w:trPr>
        <w:tc>
          <w:tcPr>
            <w:tcW w:w="2375" w:type="dxa"/>
            <w:tcBorders>
              <w:top w:val="nil"/>
              <w:left w:val="single" w:sz="8" w:space="0" w:color="auto"/>
              <w:bottom w:val="single" w:sz="8" w:space="0" w:color="auto"/>
              <w:right w:val="single" w:sz="8" w:space="0" w:color="auto"/>
            </w:tcBorders>
            <w:vAlign w:val="center"/>
            <w:hideMark/>
          </w:tcPr>
          <w:p w:rsidR="00C7167C" w:rsidRPr="00C7167C" w:rsidP="00C7167C" w14:paraId="23983E16" w14:textId="77777777">
            <w:pPr>
              <w:widowControl/>
              <w:rPr>
                <w:rFonts w:ascii="Source Sans Pro" w:hAnsi="Source Sans Pro"/>
                <w:snapToGrid/>
                <w:color w:val="000000"/>
                <w:sz w:val="20"/>
              </w:rPr>
            </w:pPr>
            <w:r w:rsidRPr="00C7167C">
              <w:rPr>
                <w:rFonts w:ascii="Source Sans Pro" w:hAnsi="Source Sans Pro"/>
                <w:snapToGrid/>
                <w:color w:val="000000"/>
                <w:sz w:val="20"/>
              </w:rPr>
              <w:t>Information Collection Request</w:t>
            </w:r>
          </w:p>
        </w:tc>
        <w:tc>
          <w:tcPr>
            <w:tcW w:w="2882" w:type="dxa"/>
            <w:tcBorders>
              <w:top w:val="nil"/>
              <w:left w:val="nil"/>
              <w:bottom w:val="single" w:sz="8" w:space="0" w:color="auto"/>
              <w:right w:val="single" w:sz="8" w:space="0" w:color="auto"/>
            </w:tcBorders>
            <w:vAlign w:val="center"/>
            <w:hideMark/>
          </w:tcPr>
          <w:p w:rsidR="00C7167C" w:rsidRPr="00C7167C" w:rsidP="00C7167C" w14:paraId="229289D1" w14:textId="77777777">
            <w:pPr>
              <w:widowControl/>
              <w:jc w:val="center"/>
              <w:rPr>
                <w:rFonts w:ascii="Source Sans Pro" w:hAnsi="Source Sans Pro"/>
                <w:snapToGrid/>
                <w:color w:val="000000"/>
                <w:sz w:val="20"/>
              </w:rPr>
            </w:pPr>
            <w:r w:rsidRPr="00C7167C">
              <w:rPr>
                <w:rFonts w:ascii="Source Sans Pro" w:hAnsi="Source Sans Pro"/>
                <w:snapToGrid/>
                <w:color w:val="000000"/>
                <w:sz w:val="20"/>
              </w:rPr>
              <w:t>Annual Burden (Hours)</w:t>
            </w:r>
          </w:p>
        </w:tc>
        <w:tc>
          <w:tcPr>
            <w:tcW w:w="2175" w:type="dxa"/>
            <w:tcBorders>
              <w:top w:val="nil"/>
              <w:left w:val="nil"/>
              <w:bottom w:val="single" w:sz="8" w:space="0" w:color="auto"/>
              <w:right w:val="single" w:sz="8" w:space="0" w:color="auto"/>
            </w:tcBorders>
            <w:vAlign w:val="center"/>
            <w:hideMark/>
          </w:tcPr>
          <w:p w:rsidR="00C7167C" w:rsidRPr="00C7167C" w:rsidP="00C7167C" w14:paraId="6ABDD6C3" w14:textId="77777777">
            <w:pPr>
              <w:widowControl/>
              <w:jc w:val="center"/>
              <w:rPr>
                <w:rFonts w:ascii="Source Sans Pro" w:hAnsi="Source Sans Pro"/>
                <w:snapToGrid/>
                <w:color w:val="000000"/>
                <w:sz w:val="20"/>
              </w:rPr>
            </w:pPr>
            <w:r w:rsidRPr="00C7167C">
              <w:rPr>
                <w:rFonts w:ascii="Source Sans Pro" w:hAnsi="Source Sans Pro"/>
                <w:snapToGrid/>
                <w:color w:val="000000"/>
                <w:sz w:val="20"/>
              </w:rPr>
              <w:t>Weighted Average Hourly Compensation Rate</w:t>
            </w:r>
          </w:p>
        </w:tc>
        <w:tc>
          <w:tcPr>
            <w:tcW w:w="1884" w:type="dxa"/>
            <w:tcBorders>
              <w:top w:val="nil"/>
              <w:left w:val="nil"/>
              <w:bottom w:val="single" w:sz="8" w:space="0" w:color="auto"/>
              <w:right w:val="single" w:sz="8" w:space="0" w:color="auto"/>
            </w:tcBorders>
            <w:vAlign w:val="center"/>
            <w:hideMark/>
          </w:tcPr>
          <w:p w:rsidR="00C7167C" w:rsidRPr="00C7167C" w:rsidP="00C7167C" w14:paraId="0FE4EDC1" w14:textId="77777777">
            <w:pPr>
              <w:widowControl/>
              <w:jc w:val="center"/>
              <w:rPr>
                <w:rFonts w:ascii="Source Sans Pro" w:hAnsi="Source Sans Pro"/>
                <w:snapToGrid/>
                <w:color w:val="000000"/>
                <w:sz w:val="20"/>
              </w:rPr>
            </w:pPr>
            <w:r w:rsidRPr="00C7167C">
              <w:rPr>
                <w:rFonts w:ascii="Source Sans Pro" w:hAnsi="Source Sans Pro"/>
                <w:snapToGrid/>
                <w:color w:val="000000"/>
                <w:sz w:val="20"/>
              </w:rPr>
              <w:t>Annual Respondent Cost</w:t>
            </w:r>
          </w:p>
        </w:tc>
      </w:tr>
      <w:tr w14:paraId="40920551" w14:textId="77777777" w:rsidTr="00C7167C">
        <w:tblPrEx>
          <w:tblW w:w="9317" w:type="dxa"/>
          <w:tblLook w:val="04A0"/>
        </w:tblPrEx>
        <w:trPr>
          <w:trHeight w:val="876"/>
        </w:trPr>
        <w:tc>
          <w:tcPr>
            <w:tcW w:w="2375" w:type="dxa"/>
            <w:tcBorders>
              <w:top w:val="nil"/>
              <w:left w:val="single" w:sz="8" w:space="0" w:color="auto"/>
              <w:bottom w:val="single" w:sz="8" w:space="0" w:color="auto"/>
              <w:right w:val="single" w:sz="8" w:space="0" w:color="auto"/>
            </w:tcBorders>
            <w:vAlign w:val="center"/>
            <w:hideMark/>
          </w:tcPr>
          <w:p w:rsidR="00C7167C" w:rsidRPr="00C7167C" w:rsidP="00C7167C" w14:paraId="79175911" w14:textId="77777777">
            <w:pPr>
              <w:widowControl/>
              <w:rPr>
                <w:rFonts w:ascii="Source Sans Pro" w:hAnsi="Source Sans Pro"/>
                <w:snapToGrid/>
                <w:color w:val="000000"/>
                <w:sz w:val="20"/>
              </w:rPr>
            </w:pPr>
            <w:r w:rsidRPr="00C7167C">
              <w:rPr>
                <w:rFonts w:ascii="Source Sans Pro" w:hAnsi="Source Sans Pro"/>
                <w:snapToGrid/>
                <w:color w:val="000000"/>
                <w:sz w:val="20"/>
              </w:rPr>
              <w:t>Notification of Performance of Bank Services</w:t>
            </w:r>
          </w:p>
        </w:tc>
        <w:tc>
          <w:tcPr>
            <w:tcW w:w="2882" w:type="dxa"/>
            <w:tcBorders>
              <w:top w:val="nil"/>
              <w:left w:val="nil"/>
              <w:bottom w:val="single" w:sz="8" w:space="0" w:color="auto"/>
              <w:right w:val="single" w:sz="8" w:space="0" w:color="auto"/>
            </w:tcBorders>
            <w:noWrap/>
            <w:vAlign w:val="center"/>
            <w:hideMark/>
          </w:tcPr>
          <w:p w:rsidR="00C7167C" w:rsidRPr="00C7167C" w:rsidP="00C7167C" w14:paraId="0FC0CDAD" w14:textId="19CACA9C">
            <w:pPr>
              <w:widowControl/>
              <w:ind w:firstLine="400" w:firstLineChars="200"/>
              <w:jc w:val="right"/>
              <w:rPr>
                <w:rFonts w:ascii="Source Sans Pro" w:hAnsi="Source Sans Pro"/>
                <w:snapToGrid/>
                <w:color w:val="000000"/>
                <w:sz w:val="20"/>
              </w:rPr>
            </w:pPr>
            <w:r w:rsidRPr="00C7167C">
              <w:rPr>
                <w:rFonts w:ascii="Source Sans Pro" w:hAnsi="Source Sans Pro"/>
                <w:snapToGrid/>
                <w:color w:val="000000"/>
                <w:sz w:val="20"/>
              </w:rPr>
              <w:t xml:space="preserve">                                             3</w:t>
            </w:r>
            <w:r w:rsidR="001544CD">
              <w:rPr>
                <w:rFonts w:ascii="Source Sans Pro" w:hAnsi="Source Sans Pro"/>
                <w:snapToGrid/>
                <w:color w:val="000000"/>
                <w:sz w:val="20"/>
              </w:rPr>
              <w:t>13</w:t>
            </w:r>
            <w:r w:rsidRPr="00C7167C">
              <w:rPr>
                <w:rFonts w:ascii="Source Sans Pro" w:hAnsi="Source Sans Pro"/>
                <w:snapToGrid/>
                <w:color w:val="000000"/>
                <w:sz w:val="20"/>
              </w:rPr>
              <w:t xml:space="preserve"> </w:t>
            </w:r>
          </w:p>
        </w:tc>
        <w:tc>
          <w:tcPr>
            <w:tcW w:w="2175" w:type="dxa"/>
            <w:tcBorders>
              <w:top w:val="nil"/>
              <w:left w:val="nil"/>
              <w:bottom w:val="single" w:sz="8" w:space="0" w:color="auto"/>
              <w:right w:val="single" w:sz="8" w:space="0" w:color="auto"/>
            </w:tcBorders>
            <w:noWrap/>
            <w:vAlign w:val="center"/>
            <w:hideMark/>
          </w:tcPr>
          <w:p w:rsidR="00C7167C" w:rsidRPr="00C7167C" w:rsidP="00C7167C" w14:paraId="729F19EC" w14:textId="0228D9F5">
            <w:pPr>
              <w:widowControl/>
              <w:ind w:firstLine="200" w:firstLineChars="100"/>
              <w:jc w:val="right"/>
              <w:rPr>
                <w:rFonts w:ascii="Source Sans Pro" w:hAnsi="Source Sans Pro"/>
                <w:snapToGrid/>
                <w:color w:val="000000"/>
                <w:sz w:val="20"/>
              </w:rPr>
            </w:pPr>
            <w:r w:rsidRPr="00C7167C">
              <w:rPr>
                <w:rFonts w:ascii="Source Sans Pro" w:hAnsi="Source Sans Pro"/>
                <w:snapToGrid/>
                <w:color w:val="000000"/>
                <w:sz w:val="20"/>
              </w:rPr>
              <w:t>$</w:t>
            </w:r>
            <w:r w:rsidR="001544CD">
              <w:rPr>
                <w:rFonts w:ascii="Source Sans Pro" w:hAnsi="Source Sans Pro"/>
                <w:snapToGrid/>
                <w:color w:val="000000"/>
                <w:sz w:val="20"/>
              </w:rPr>
              <w:t>90.33</w:t>
            </w:r>
          </w:p>
        </w:tc>
        <w:tc>
          <w:tcPr>
            <w:tcW w:w="1884" w:type="dxa"/>
            <w:tcBorders>
              <w:top w:val="nil"/>
              <w:left w:val="nil"/>
              <w:bottom w:val="single" w:sz="8" w:space="0" w:color="auto"/>
              <w:right w:val="single" w:sz="8" w:space="0" w:color="auto"/>
            </w:tcBorders>
            <w:noWrap/>
            <w:vAlign w:val="center"/>
            <w:hideMark/>
          </w:tcPr>
          <w:p w:rsidR="00C7167C" w:rsidRPr="00C7167C" w:rsidP="00C7167C" w14:paraId="5CB255CA" w14:textId="4BA4D699">
            <w:pPr>
              <w:widowControl/>
              <w:ind w:firstLine="200" w:firstLineChars="100"/>
              <w:jc w:val="right"/>
              <w:rPr>
                <w:rFonts w:ascii="Source Sans Pro" w:hAnsi="Source Sans Pro"/>
                <w:snapToGrid/>
                <w:color w:val="000000"/>
                <w:sz w:val="20"/>
              </w:rPr>
            </w:pPr>
            <w:r w:rsidRPr="00C7167C">
              <w:rPr>
                <w:rFonts w:ascii="Source Sans Pro" w:hAnsi="Source Sans Pro"/>
                <w:snapToGrid/>
                <w:color w:val="000000"/>
                <w:sz w:val="20"/>
              </w:rPr>
              <w:t>$</w:t>
            </w:r>
            <w:r w:rsidR="001544CD">
              <w:rPr>
                <w:rFonts w:ascii="Source Sans Pro" w:hAnsi="Source Sans Pro"/>
                <w:snapToGrid/>
                <w:color w:val="000000"/>
                <w:sz w:val="20"/>
              </w:rPr>
              <w:t>28,273</w:t>
            </w:r>
          </w:p>
        </w:tc>
      </w:tr>
      <w:tr w14:paraId="64741280" w14:textId="77777777" w:rsidTr="00C7167C">
        <w:tblPrEx>
          <w:tblW w:w="9317" w:type="dxa"/>
          <w:tblLook w:val="04A0"/>
        </w:tblPrEx>
        <w:trPr>
          <w:trHeight w:val="364"/>
        </w:trPr>
        <w:tc>
          <w:tcPr>
            <w:tcW w:w="7433"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C7167C" w:rsidRPr="00C7167C" w:rsidP="00C7167C" w14:paraId="3CE2D396" w14:textId="77777777">
            <w:pPr>
              <w:widowControl/>
              <w:jc w:val="right"/>
              <w:rPr>
                <w:rFonts w:ascii="Source Sans Pro" w:hAnsi="Source Sans Pro"/>
                <w:b/>
                <w:bCs/>
                <w:i/>
                <w:iCs/>
                <w:snapToGrid/>
                <w:color w:val="000000"/>
                <w:sz w:val="22"/>
                <w:szCs w:val="22"/>
              </w:rPr>
            </w:pPr>
            <w:r w:rsidRPr="00C7167C">
              <w:rPr>
                <w:rFonts w:ascii="Source Sans Pro" w:hAnsi="Source Sans Pro"/>
                <w:b/>
                <w:bCs/>
                <w:i/>
                <w:iCs/>
                <w:snapToGrid/>
                <w:color w:val="000000"/>
                <w:sz w:val="22"/>
                <w:szCs w:val="22"/>
              </w:rPr>
              <w:t>Total Annual Respondent Cost:</w:t>
            </w:r>
          </w:p>
        </w:tc>
        <w:tc>
          <w:tcPr>
            <w:tcW w:w="1884" w:type="dxa"/>
            <w:tcBorders>
              <w:top w:val="nil"/>
              <w:left w:val="nil"/>
              <w:bottom w:val="single" w:sz="8" w:space="0" w:color="auto"/>
              <w:right w:val="single" w:sz="8" w:space="0" w:color="auto"/>
            </w:tcBorders>
            <w:shd w:val="clear" w:color="000000" w:fill="FFFFFF"/>
            <w:vAlign w:val="center"/>
            <w:hideMark/>
          </w:tcPr>
          <w:p w:rsidR="00C7167C" w:rsidRPr="00C7167C" w:rsidP="00C7167C" w14:paraId="64DBEF31" w14:textId="7A8F4D03">
            <w:pPr>
              <w:widowControl/>
              <w:ind w:firstLine="200" w:firstLineChars="100"/>
              <w:jc w:val="right"/>
              <w:rPr>
                <w:rFonts w:ascii="Source Sans Pro" w:hAnsi="Source Sans Pro"/>
                <w:b/>
                <w:bCs/>
                <w:i/>
                <w:iCs/>
                <w:snapToGrid/>
                <w:color w:val="000000"/>
                <w:sz w:val="20"/>
              </w:rPr>
            </w:pPr>
            <w:r w:rsidRPr="00C7167C">
              <w:rPr>
                <w:rFonts w:ascii="Source Sans Pro" w:hAnsi="Source Sans Pro"/>
                <w:b/>
                <w:bCs/>
                <w:i/>
                <w:iCs/>
                <w:snapToGrid/>
                <w:color w:val="000000"/>
                <w:sz w:val="20"/>
              </w:rPr>
              <w:t>$</w:t>
            </w:r>
            <w:r w:rsidR="001544CD">
              <w:rPr>
                <w:rFonts w:ascii="Source Sans Pro" w:hAnsi="Source Sans Pro"/>
                <w:b/>
                <w:bCs/>
                <w:i/>
                <w:iCs/>
                <w:snapToGrid/>
                <w:color w:val="000000"/>
                <w:sz w:val="20"/>
              </w:rPr>
              <w:t>28,273</w:t>
            </w:r>
            <w:r w:rsidRPr="00C7167C">
              <w:rPr>
                <w:rFonts w:ascii="Source Sans Pro" w:hAnsi="Source Sans Pro"/>
                <w:b/>
                <w:bCs/>
                <w:i/>
                <w:iCs/>
                <w:snapToGrid/>
                <w:color w:val="000000"/>
                <w:sz w:val="20"/>
              </w:rPr>
              <w:t xml:space="preserve"> </w:t>
            </w:r>
          </w:p>
        </w:tc>
      </w:tr>
      <w:tr w14:paraId="3797CB6A" w14:textId="77777777" w:rsidTr="00C7167C">
        <w:tblPrEx>
          <w:tblW w:w="9317" w:type="dxa"/>
          <w:tblLook w:val="04A0"/>
        </w:tblPrEx>
        <w:trPr>
          <w:trHeight w:val="225"/>
        </w:trPr>
        <w:tc>
          <w:tcPr>
            <w:tcW w:w="9317" w:type="dxa"/>
            <w:gridSpan w:val="4"/>
            <w:tcBorders>
              <w:top w:val="single" w:sz="8" w:space="0" w:color="auto"/>
              <w:left w:val="single" w:sz="8" w:space="0" w:color="auto"/>
              <w:bottom w:val="single" w:sz="8" w:space="0" w:color="auto"/>
              <w:right w:val="single" w:sz="8" w:space="0" w:color="000000"/>
            </w:tcBorders>
            <w:noWrap/>
            <w:hideMark/>
          </w:tcPr>
          <w:p w:rsidR="00C7167C" w:rsidRPr="00C7167C" w:rsidP="00C7167C" w14:paraId="53F6A153" w14:textId="77777777">
            <w:pPr>
              <w:widowControl/>
              <w:rPr>
                <w:rFonts w:ascii="Source Sans Pro" w:hAnsi="Source Sans Pro"/>
                <w:snapToGrid/>
                <w:color w:val="000000"/>
                <w:sz w:val="20"/>
              </w:rPr>
            </w:pPr>
            <w:r w:rsidRPr="00C7167C">
              <w:rPr>
                <w:rFonts w:ascii="Source Sans Pro" w:hAnsi="Source Sans Pro"/>
                <w:snapToGrid/>
                <w:color w:val="000000"/>
                <w:sz w:val="20"/>
              </w:rPr>
              <w:t>Source: FDIC.</w:t>
            </w:r>
          </w:p>
        </w:tc>
      </w:tr>
    </w:tbl>
    <w:p w:rsidR="00C7167C" w:rsidRPr="00C516B6" w:rsidP="006B5B26" w14:paraId="55636850" w14:textId="77777777">
      <w:pPr>
        <w:rPr>
          <w:rFonts w:ascii="Times New Roman" w:hAnsi="Times New Roman"/>
        </w:rPr>
      </w:pPr>
    </w:p>
    <w:p w:rsidR="002847B4" w:rsidRPr="00BA19E0" w:rsidP="00736FF6" w14:paraId="61A5B7DA" w14:textId="77777777">
      <w:pPr>
        <w:pStyle w:val="CommentText"/>
        <w:rPr>
          <w:rStyle w:val="documentbody1"/>
          <w:color w:val="000000"/>
          <w:sz w:val="24"/>
          <w:szCs w:val="24"/>
          <w:u w:val="single"/>
        </w:rPr>
      </w:pPr>
    </w:p>
    <w:p w:rsidR="009F4532" w:rsidRPr="001F2A5D" w:rsidP="006D4D8E" w14:paraId="2D8B0A87" w14:textId="77777777">
      <w:pPr>
        <w:numPr>
          <w:ilvl w:val="0"/>
          <w:numId w:val="11"/>
        </w:numPr>
        <w:ind w:left="1440" w:hanging="720"/>
        <w:outlineLvl w:val="0"/>
        <w:rPr>
          <w:rFonts w:ascii="Times New Roman" w:hAnsi="Times New Roman"/>
          <w:szCs w:val="24"/>
          <w:u w:val="single"/>
        </w:rPr>
      </w:pPr>
      <w:r w:rsidRPr="009E60FB">
        <w:rPr>
          <w:rFonts w:ascii="Times New Roman" w:hAnsi="Times New Roman"/>
          <w:bCs/>
          <w:szCs w:val="24"/>
          <w:u w:val="single"/>
        </w:rPr>
        <w:t>Estimate of start-up costs to respondents:</w:t>
      </w:r>
    </w:p>
    <w:p w:rsidR="00731A90" w14:paraId="4A1F98D6" w14:textId="77777777">
      <w:pPr>
        <w:rPr>
          <w:rFonts w:ascii="Times New Roman" w:hAnsi="Times New Roman"/>
        </w:rPr>
      </w:pPr>
    </w:p>
    <w:p w:rsidR="00731A90" w14:paraId="393721A2" w14:textId="77777777">
      <w:pPr>
        <w:ind w:left="1440"/>
        <w:rPr>
          <w:rFonts w:ascii="Times New Roman" w:hAnsi="Times New Roman"/>
        </w:rPr>
      </w:pPr>
      <w:r>
        <w:rPr>
          <w:rFonts w:ascii="Times New Roman" w:hAnsi="Times New Roman"/>
        </w:rPr>
        <w:t xml:space="preserve">None. </w:t>
      </w:r>
    </w:p>
    <w:p w:rsidR="00731A90" w14:paraId="1312202B" w14:textId="77777777">
      <w:pPr>
        <w:rPr>
          <w:rFonts w:ascii="Times New Roman" w:hAnsi="Times New Roman"/>
        </w:rPr>
      </w:pPr>
    </w:p>
    <w:p w:rsidR="00731A90" w:rsidP="006D4D8E" w14:paraId="3968BCB5" w14:textId="77777777">
      <w:pPr>
        <w:numPr>
          <w:ilvl w:val="0"/>
          <w:numId w:val="11"/>
        </w:numPr>
        <w:ind w:left="1440" w:hanging="720"/>
        <w:rPr>
          <w:rFonts w:ascii="Times New Roman" w:hAnsi="Times New Roman"/>
          <w:bCs/>
          <w:szCs w:val="24"/>
          <w:u w:val="single"/>
        </w:rPr>
      </w:pPr>
      <w:r w:rsidRPr="009E60FB">
        <w:rPr>
          <w:rFonts w:ascii="Times New Roman" w:hAnsi="Times New Roman"/>
          <w:bCs/>
          <w:szCs w:val="24"/>
          <w:u w:val="single"/>
        </w:rPr>
        <w:t>Estimate of annualized costs to the government:</w:t>
      </w:r>
    </w:p>
    <w:p w:rsidR="009F4532" w:rsidP="009F4532" w14:paraId="021C303E" w14:textId="77777777">
      <w:pPr>
        <w:ind w:firstLine="720"/>
        <w:rPr>
          <w:rFonts w:ascii="Times New Roman" w:hAnsi="Times New Roman"/>
        </w:rPr>
      </w:pPr>
    </w:p>
    <w:p w:rsidR="007E3A41" w:rsidP="007E3A41" w14:paraId="0E736EC0" w14:textId="77777777">
      <w:pPr>
        <w:ind w:left="720" w:firstLine="720"/>
        <w:rPr>
          <w:rFonts w:ascii="Times New Roman" w:hAnsi="Times New Roman"/>
        </w:rPr>
      </w:pPr>
      <w:r>
        <w:rPr>
          <w:rFonts w:ascii="Times New Roman" w:hAnsi="Times New Roman"/>
        </w:rPr>
        <w:t>None</w:t>
      </w:r>
    </w:p>
    <w:p w:rsidR="002616EA" w:rsidP="002616EA" w14:paraId="7D6C8661" w14:textId="77777777">
      <w:pPr>
        <w:rPr>
          <w:rFonts w:ascii="Times New Roman" w:hAnsi="Times New Roman"/>
        </w:rPr>
      </w:pPr>
    </w:p>
    <w:p w:rsidR="009F4532" w:rsidRPr="001F2A5D" w:rsidP="006D4D8E" w14:paraId="476C24C9" w14:textId="77777777">
      <w:pPr>
        <w:numPr>
          <w:ilvl w:val="0"/>
          <w:numId w:val="11"/>
        </w:numPr>
        <w:ind w:left="1440" w:hanging="720"/>
        <w:outlineLvl w:val="0"/>
        <w:rPr>
          <w:rFonts w:ascii="Times New Roman" w:hAnsi="Times New Roman"/>
          <w:szCs w:val="24"/>
        </w:rPr>
      </w:pPr>
      <w:r w:rsidRPr="009E60FB">
        <w:rPr>
          <w:rFonts w:ascii="Times New Roman" w:hAnsi="Times New Roman"/>
          <w:szCs w:val="24"/>
          <w:u w:val="single"/>
        </w:rPr>
        <w:t>Analysis of change in burden:</w:t>
      </w:r>
    </w:p>
    <w:p w:rsidR="00731A90" w14:paraId="1ACBFC14" w14:textId="77777777">
      <w:pPr>
        <w:ind w:firstLine="720"/>
        <w:rPr>
          <w:rFonts w:ascii="Times New Roman" w:hAnsi="Times New Roman"/>
        </w:rPr>
      </w:pPr>
    </w:p>
    <w:p w:rsidR="0033027B" w:rsidP="00711D13" w14:paraId="6C106A19" w14:textId="64449423">
      <w:pPr>
        <w:ind w:left="1440"/>
        <w:rPr>
          <w:rFonts w:ascii="Times New Roman" w:hAnsi="Times New Roman"/>
          <w:snapToGrid/>
          <w:szCs w:val="24"/>
        </w:rPr>
      </w:pPr>
      <w:r w:rsidRPr="00154964">
        <w:rPr>
          <w:rFonts w:ascii="Times New Roman" w:hAnsi="Times New Roman"/>
          <w:snapToGrid/>
          <w:szCs w:val="24"/>
        </w:rPr>
        <w:t xml:space="preserve">There is no change in </w:t>
      </w:r>
      <w:r w:rsidR="00F516C1">
        <w:rPr>
          <w:rFonts w:ascii="Times New Roman" w:hAnsi="Times New Roman"/>
          <w:snapToGrid/>
          <w:szCs w:val="24"/>
        </w:rPr>
        <w:t xml:space="preserve">burden. </w:t>
      </w:r>
      <w:r w:rsidRPr="00462D56" w:rsidR="00711D13">
        <w:rPr>
          <w:rFonts w:ascii="Times New Roman" w:hAnsi="Times New Roman"/>
          <w:snapToGrid/>
          <w:szCs w:val="24"/>
        </w:rPr>
        <w:t xml:space="preserve">The </w:t>
      </w:r>
      <w:r w:rsidR="00711D13">
        <w:rPr>
          <w:rFonts w:ascii="Times New Roman" w:hAnsi="Times New Roman"/>
          <w:snapToGrid/>
          <w:szCs w:val="24"/>
        </w:rPr>
        <w:t>annual</w:t>
      </w:r>
      <w:r w:rsidRPr="00462D56" w:rsidR="00711D13">
        <w:rPr>
          <w:rFonts w:ascii="Times New Roman" w:hAnsi="Times New Roman"/>
          <w:snapToGrid/>
          <w:szCs w:val="24"/>
        </w:rPr>
        <w:t xml:space="preserve"> burden has </w:t>
      </w:r>
      <w:r w:rsidR="00711D13">
        <w:rPr>
          <w:rFonts w:ascii="Times New Roman" w:hAnsi="Times New Roman"/>
          <w:snapToGrid/>
          <w:szCs w:val="24"/>
        </w:rPr>
        <w:t xml:space="preserve">decreased by </w:t>
      </w:r>
      <w:r w:rsidR="0071173F">
        <w:rPr>
          <w:rFonts w:ascii="Times New Roman" w:hAnsi="Times New Roman"/>
          <w:snapToGrid/>
          <w:szCs w:val="24"/>
        </w:rPr>
        <w:t>12</w:t>
      </w:r>
      <w:r w:rsidR="00711D13">
        <w:rPr>
          <w:rFonts w:ascii="Times New Roman" w:hAnsi="Times New Roman"/>
          <w:snapToGrid/>
          <w:szCs w:val="24"/>
        </w:rPr>
        <w:t xml:space="preserve"> </w:t>
      </w:r>
      <w:r w:rsidRPr="00B000D5" w:rsidR="00711D13">
        <w:rPr>
          <w:rFonts w:ascii="Times New Roman" w:hAnsi="Times New Roman"/>
          <w:snapToGrid/>
          <w:szCs w:val="24"/>
        </w:rPr>
        <w:t>hour</w:t>
      </w:r>
      <w:r w:rsidR="00711D13">
        <w:rPr>
          <w:rFonts w:ascii="Times New Roman" w:hAnsi="Times New Roman"/>
          <w:snapToGrid/>
          <w:szCs w:val="24"/>
        </w:rPr>
        <w:t>s</w:t>
      </w:r>
      <w:r w:rsidRPr="00B000D5" w:rsidR="00711D13">
        <w:rPr>
          <w:rFonts w:ascii="Times New Roman" w:hAnsi="Times New Roman"/>
          <w:snapToGrid/>
          <w:szCs w:val="24"/>
        </w:rPr>
        <w:t xml:space="preserve"> from the estimate in the previous renewal. This </w:t>
      </w:r>
      <w:r w:rsidR="00711D13">
        <w:rPr>
          <w:rFonts w:ascii="Times New Roman" w:hAnsi="Times New Roman"/>
          <w:snapToGrid/>
          <w:szCs w:val="24"/>
        </w:rPr>
        <w:t>change</w:t>
      </w:r>
      <w:r w:rsidRPr="00B000D5" w:rsidR="00711D13">
        <w:rPr>
          <w:rFonts w:ascii="Times New Roman" w:hAnsi="Times New Roman"/>
          <w:snapToGrid/>
          <w:szCs w:val="24"/>
        </w:rPr>
        <w:t xml:space="preserve"> is entirely due to the decrease in estimated number of respondents</w:t>
      </w:r>
      <w:r w:rsidRPr="00462D56" w:rsidR="00711D13">
        <w:rPr>
          <w:rFonts w:ascii="Times New Roman" w:hAnsi="Times New Roman"/>
          <w:snapToGrid/>
          <w:szCs w:val="24"/>
        </w:rPr>
        <w:t>.</w:t>
      </w:r>
    </w:p>
    <w:p w:rsidR="00711D13" w:rsidP="00711D13" w14:paraId="14B02A37" w14:textId="77777777">
      <w:pPr>
        <w:ind w:left="1440"/>
      </w:pPr>
    </w:p>
    <w:p w:rsidR="009F4532" w:rsidRPr="001F2A5D" w:rsidP="00EA72EA" w14:paraId="4CC32E7A" w14:textId="77777777">
      <w:pPr>
        <w:numPr>
          <w:ilvl w:val="0"/>
          <w:numId w:val="11"/>
        </w:numPr>
        <w:ind w:left="1440" w:hanging="720"/>
        <w:outlineLvl w:val="0"/>
        <w:rPr>
          <w:rFonts w:ascii="Times New Roman" w:hAnsi="Times New Roman"/>
          <w:szCs w:val="24"/>
        </w:rPr>
      </w:pPr>
      <w:r w:rsidRPr="00E47BDF">
        <w:rPr>
          <w:rFonts w:ascii="Times New Roman" w:hAnsi="Times New Roman"/>
          <w:szCs w:val="24"/>
          <w:u w:val="single"/>
        </w:rPr>
        <w:t>Information regarding collections whose results</w:t>
      </w:r>
      <w:r w:rsidRPr="006A7DD6">
        <w:rPr>
          <w:rFonts w:ascii="Times New Roman" w:hAnsi="Times New Roman"/>
          <w:szCs w:val="24"/>
          <w:u w:val="single"/>
        </w:rPr>
        <w:t xml:space="preserve"> are planned to be published for statistical use:</w:t>
      </w:r>
    </w:p>
    <w:p w:rsidR="00731A90" w14:paraId="76DADFA6" w14:textId="77777777">
      <w:pPr>
        <w:rPr>
          <w:rFonts w:ascii="Times New Roman" w:hAnsi="Times New Roman"/>
        </w:rPr>
      </w:pPr>
    </w:p>
    <w:p w:rsidR="00731A90" w14:paraId="45C2E1A2" w14:textId="77777777">
      <w:pPr>
        <w:ind w:left="1440"/>
        <w:rPr>
          <w:rFonts w:ascii="Times New Roman" w:hAnsi="Times New Roman"/>
        </w:rPr>
      </w:pPr>
      <w:r w:rsidRPr="00471381">
        <w:rPr>
          <w:rFonts w:ascii="Times New Roman" w:hAnsi="Times New Roman"/>
        </w:rPr>
        <w:t xml:space="preserve">The </w:t>
      </w:r>
      <w:r>
        <w:rPr>
          <w:rFonts w:ascii="Times New Roman" w:hAnsi="Times New Roman"/>
        </w:rPr>
        <w:t>results of this collection will not be</w:t>
      </w:r>
      <w:r w:rsidRPr="00471381">
        <w:rPr>
          <w:rFonts w:ascii="Times New Roman" w:hAnsi="Times New Roman"/>
        </w:rPr>
        <w:t xml:space="preserve"> publish</w:t>
      </w:r>
      <w:r>
        <w:rPr>
          <w:rFonts w:ascii="Times New Roman" w:hAnsi="Times New Roman"/>
        </w:rPr>
        <w:t>ed</w:t>
      </w:r>
      <w:r w:rsidRPr="00471381">
        <w:rPr>
          <w:rFonts w:ascii="Times New Roman" w:hAnsi="Times New Roman"/>
        </w:rPr>
        <w:t xml:space="preserve"> for statistical use.</w:t>
      </w:r>
    </w:p>
    <w:p w:rsidR="00731A90" w14:paraId="6056E748" w14:textId="77777777">
      <w:pPr>
        <w:rPr>
          <w:rFonts w:ascii="Times New Roman" w:hAnsi="Times New Roman"/>
        </w:rPr>
      </w:pPr>
    </w:p>
    <w:p w:rsidR="00731A90" w:rsidP="006D4D8E" w14:paraId="00F3906C" w14:textId="77777777">
      <w:pPr>
        <w:numPr>
          <w:ilvl w:val="0"/>
          <w:numId w:val="11"/>
        </w:numPr>
        <w:ind w:left="1440" w:hanging="720"/>
        <w:rPr>
          <w:rFonts w:ascii="Times New Roman" w:hAnsi="Times New Roman"/>
        </w:rPr>
      </w:pPr>
      <w:r w:rsidRPr="009E60FB">
        <w:rPr>
          <w:rFonts w:ascii="Times New Roman" w:hAnsi="Times New Roman"/>
          <w:szCs w:val="24"/>
          <w:u w:val="single"/>
        </w:rPr>
        <w:t>Display of expiration date</w:t>
      </w:r>
      <w:r>
        <w:rPr>
          <w:rFonts w:ascii="Times New Roman" w:hAnsi="Times New Roman"/>
          <w:szCs w:val="24"/>
          <w:u w:val="single"/>
        </w:rPr>
        <w:t>:</w:t>
      </w:r>
    </w:p>
    <w:p w:rsidR="00731A90" w14:paraId="1AF83BDB" w14:textId="77777777">
      <w:pPr>
        <w:rPr>
          <w:rFonts w:ascii="Times New Roman" w:hAnsi="Times New Roman"/>
        </w:rPr>
      </w:pPr>
    </w:p>
    <w:p w:rsidR="00731A90" w14:paraId="401CF203" w14:textId="77777777">
      <w:pPr>
        <w:ind w:left="1440"/>
        <w:rPr>
          <w:rFonts w:ascii="Times New Roman" w:hAnsi="Times New Roman"/>
        </w:rPr>
      </w:pPr>
      <w:r>
        <w:rPr>
          <w:rFonts w:ascii="Times New Roman" w:hAnsi="Times New Roman"/>
        </w:rPr>
        <w:t>Not applicable.</w:t>
      </w:r>
    </w:p>
    <w:p w:rsidR="00603AE5" w14:paraId="317D3DF0" w14:textId="77777777">
      <w:pPr>
        <w:ind w:left="1440"/>
        <w:rPr>
          <w:rFonts w:ascii="Times New Roman" w:hAnsi="Times New Roman"/>
        </w:rPr>
      </w:pPr>
    </w:p>
    <w:p w:rsidR="00731A90" w14:paraId="2CBDDE14" w14:textId="77777777">
      <w:pPr>
        <w:rPr>
          <w:rFonts w:ascii="Times New Roman" w:hAnsi="Times New Roman"/>
        </w:rPr>
      </w:pPr>
    </w:p>
    <w:p w:rsidR="00731A90" w:rsidP="006D4D8E" w14:paraId="0AFD8075" w14:textId="77777777">
      <w:pPr>
        <w:numPr>
          <w:ilvl w:val="0"/>
          <w:numId w:val="11"/>
        </w:numPr>
        <w:ind w:left="1440" w:hanging="720"/>
        <w:rPr>
          <w:rFonts w:ascii="Times New Roman" w:hAnsi="Times New Roman"/>
        </w:rPr>
      </w:pPr>
      <w:r>
        <w:rPr>
          <w:rFonts w:ascii="Times New Roman" w:hAnsi="Times New Roman"/>
          <w:u w:val="single"/>
        </w:rPr>
        <w:t>Exceptions to Certification</w:t>
      </w:r>
      <w:r>
        <w:rPr>
          <w:rFonts w:ascii="Times New Roman" w:hAnsi="Times New Roman"/>
        </w:rPr>
        <w:t xml:space="preserve">  </w:t>
      </w:r>
    </w:p>
    <w:p w:rsidR="00731A90" w:rsidP="006D4D8E" w14:paraId="3A35BE27" w14:textId="77777777">
      <w:pPr>
        <w:ind w:left="1440" w:hanging="720"/>
        <w:rPr>
          <w:rFonts w:ascii="Times New Roman" w:hAnsi="Times New Roman"/>
        </w:rPr>
      </w:pPr>
    </w:p>
    <w:p w:rsidR="00731A90" w14:paraId="3ACCBA1B" w14:textId="77777777">
      <w:pPr>
        <w:ind w:left="1440"/>
        <w:rPr>
          <w:rFonts w:ascii="Times New Roman" w:hAnsi="Times New Roman"/>
        </w:rPr>
      </w:pPr>
      <w:r>
        <w:rPr>
          <w:rFonts w:ascii="Times New Roman" w:hAnsi="Times New Roman"/>
        </w:rPr>
        <w:t>None.</w:t>
      </w:r>
    </w:p>
    <w:p w:rsidR="00731A90" w14:paraId="5B0C72C7" w14:textId="77777777">
      <w:pPr>
        <w:rPr>
          <w:rFonts w:ascii="Times New Roman" w:hAnsi="Times New Roman"/>
        </w:rPr>
      </w:pPr>
    </w:p>
    <w:p w:rsidR="00731A90" w14:paraId="079C1563" w14:textId="77777777">
      <w:pPr>
        <w:numPr>
          <w:ilvl w:val="0"/>
          <w:numId w:val="3"/>
        </w:numPr>
        <w:rPr>
          <w:rFonts w:ascii="Times New Roman" w:hAnsi="Times New Roman"/>
          <w:u w:val="single"/>
        </w:rPr>
      </w:pPr>
      <w:r w:rsidRPr="001F2A5D">
        <w:rPr>
          <w:rFonts w:ascii="Times New Roman" w:hAnsi="Times New Roman"/>
          <w:szCs w:val="24"/>
          <w:u w:val="single"/>
        </w:rPr>
        <w:t>Collection of Information Employing Statistical Methods</w:t>
      </w:r>
      <w:r>
        <w:rPr>
          <w:rFonts w:ascii="Times New Roman" w:hAnsi="Times New Roman"/>
          <w:u w:val="single"/>
        </w:rPr>
        <w:t xml:space="preserve"> </w:t>
      </w:r>
    </w:p>
    <w:p w:rsidR="00731A90" w14:paraId="09ED2952" w14:textId="77777777">
      <w:pPr>
        <w:rPr>
          <w:rFonts w:ascii="Times New Roman" w:hAnsi="Times New Roman"/>
          <w:u w:val="single"/>
        </w:rPr>
      </w:pPr>
    </w:p>
    <w:p w:rsidR="00731A90" w14:paraId="6A56E4A9" w14:textId="77777777">
      <w:pPr>
        <w:ind w:left="720"/>
        <w:rPr>
          <w:rFonts w:ascii="Times New Roman" w:hAnsi="Times New Roman"/>
        </w:rPr>
      </w:pPr>
      <w:r>
        <w:rPr>
          <w:rFonts w:ascii="Times New Roman" w:hAnsi="Times New Roman"/>
        </w:rPr>
        <w:t>Not Applicable</w:t>
      </w:r>
      <w:r w:rsidR="00DB04B6">
        <w:rPr>
          <w:rFonts w:ascii="Times New Roman" w:hAnsi="Times New Roman"/>
        </w:rPr>
        <w:t>.</w:t>
      </w:r>
    </w:p>
    <w:p w:rsidR="00731A90" w14:paraId="228F183D" w14:textId="77777777">
      <w:pPr>
        <w:rPr>
          <w:rFonts w:ascii="Times New Roman" w:hAnsi="Times New Roman"/>
        </w:rPr>
      </w:pPr>
    </w:p>
    <w:p w:rsidR="00731A90" w14:paraId="66A1A4C3" w14:textId="77777777">
      <w:pPr>
        <w:rPr>
          <w:rFonts w:ascii="Times New Roman" w:hAnsi="Times New Roman"/>
        </w:rPr>
      </w:pPr>
    </w:p>
    <w:p w:rsidR="00731A90" w14:paraId="623ACD6A" w14:textId="77777777">
      <w:pPr>
        <w:rPr>
          <w:rFonts w:ascii="Times New Roman" w:hAnsi="Times New Roman"/>
        </w:rPr>
      </w:pPr>
    </w:p>
    <w:p w:rsidR="00731A90" w14:paraId="04E75006" w14:textId="77777777"/>
    <w:sectPr w:rsidSect="00CC299C">
      <w:headerReference w:type="even" r:id="rId5"/>
      <w:headerReference w:type="default" r:id="rId6"/>
      <w:footerReference w:type="default" r:id="rId7"/>
      <w:headerReference w:type="first" r:id="rId8"/>
      <w:endnotePr>
        <w:numFmt w:val="decimal"/>
      </w:endnotePr>
      <w:type w:val="continuous"/>
      <w:pgSz w:w="12240" w:h="15840"/>
      <w:pgMar w:top="1296" w:right="1440" w:bottom="129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TUR">
    <w:altName w:val="Times New Roman"/>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F33" w14:paraId="265B6D87" w14:textId="77777777">
    <w:pPr>
      <w:spacing w:line="240" w:lineRule="exact"/>
    </w:pPr>
  </w:p>
  <w:p w:rsidR="00782F33" w14:paraId="1C85A92A"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2B0FE1">
      <w:rPr>
        <w:rFonts w:ascii="Times New Roman" w:hAnsi="Times New Roman"/>
        <w:noProof/>
      </w:rPr>
      <w:t>1</w:t>
    </w:r>
    <w:r>
      <w:rPr>
        <w:rFonts w:ascii="Times New Roman" w:hAnsi="Times New Roman"/>
      </w:rPr>
      <w:fldChar w:fldCharType="end"/>
    </w:r>
  </w:p>
  <w:p w:rsidR="00782F33" w14:paraId="4EB770E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27A" w14:paraId="71D7FD5F" w14:textId="68BF516F">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381885" cy="382270"/>
              <wp:effectExtent l="0" t="0" r="18415" b="17780"/>
              <wp:wrapNone/>
              <wp:docPr id="1695179644" name="Text Box 2" descr="CONTROLLED//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382270"/>
                      </a:xfrm>
                      <a:prstGeom prst="rect">
                        <a:avLst/>
                      </a:prstGeom>
                      <a:noFill/>
                      <a:ln>
                        <a:noFill/>
                      </a:ln>
                    </wps:spPr>
                    <wps:txbx>
                      <w:txbxContent>
                        <w:p w:rsidR="0000627A" w:rsidRPr="0000627A" w:rsidP="0000627A" w14:textId="23363F78">
                          <w:pPr>
                            <w:rPr>
                              <w:rFonts w:ascii="Source Sans Pro Semibold" w:eastAsia="Source Sans Pro Semibold" w:hAnsi="Source Sans Pro Semibold" w:cs="Source Sans Pro Semibold"/>
                              <w:noProof/>
                              <w:color w:val="000000"/>
                              <w:szCs w:val="24"/>
                            </w:rPr>
                          </w:pPr>
                          <w:r w:rsidRPr="0000627A">
                            <w:rPr>
                              <w:rFonts w:ascii="Source Sans Pro Semibold" w:eastAsia="Source Sans Pro Semibold" w:hAnsi="Source Sans Pro Semibold" w:cs="Source Sans Pro Semibold"/>
                              <w:noProof/>
                              <w:color w:val="000000"/>
                              <w:szCs w:val="24"/>
                            </w:rPr>
                            <w:t>CONTROLLED//FDIC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ONTROLLED//FDIC INTERNAL ONLY" style="width:18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00627A" w:rsidRPr="0000627A" w:rsidP="0000627A" w14:paraId="49177026" w14:textId="23363F78">
                    <w:pPr>
                      <w:rPr>
                        <w:rFonts w:ascii="Source Sans Pro Semibold" w:eastAsia="Source Sans Pro Semibold" w:hAnsi="Source Sans Pro Semibold" w:cs="Source Sans Pro Semibold"/>
                        <w:noProof/>
                        <w:color w:val="000000"/>
                        <w:szCs w:val="24"/>
                      </w:rPr>
                    </w:pPr>
                    <w:r w:rsidRPr="0000627A">
                      <w:rPr>
                        <w:rFonts w:ascii="Source Sans Pro Semibold" w:eastAsia="Source Sans Pro Semibold" w:hAnsi="Source Sans Pro Semibold" w:cs="Source Sans Pro Semibold"/>
                        <w:noProof/>
                        <w:color w:val="000000"/>
                        <w:szCs w:val="24"/>
                      </w:rPr>
                      <w:t>CONTROLLED//FDIC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27A" w14:paraId="19D54BD9" w14:textId="6DF0E749">
    <w:pPr>
      <w:pStyle w:val="Header"/>
    </w:pPr>
    <w:r>
      <w:rPr>
        <w:noProof/>
        <w:snapToGrid/>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381885" cy="382270"/>
              <wp:effectExtent l="0" t="0" r="18415" b="17780"/>
              <wp:wrapNone/>
              <wp:docPr id="161774859" name="Text Box 3" descr="CONTROLLED//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382270"/>
                      </a:xfrm>
                      <a:prstGeom prst="rect">
                        <a:avLst/>
                      </a:prstGeom>
                      <a:noFill/>
                      <a:ln>
                        <a:noFill/>
                      </a:ln>
                    </wps:spPr>
                    <wps:txbx>
                      <w:txbxContent>
                        <w:p w:rsidR="0000627A" w:rsidRPr="0000627A" w:rsidP="0000627A" w14:textId="559DF5CC">
                          <w:pPr>
                            <w:rPr>
                              <w:rFonts w:ascii="Source Sans Pro Semibold" w:eastAsia="Source Sans Pro Semibold" w:hAnsi="Source Sans Pro Semibold" w:cs="Source Sans Pro Semibold"/>
                              <w:noProof/>
                              <w:color w:val="000000"/>
                              <w:szCs w:val="24"/>
                            </w:rPr>
                          </w:pPr>
                          <w:r w:rsidRPr="0000627A">
                            <w:rPr>
                              <w:rFonts w:ascii="Source Sans Pro Semibold" w:eastAsia="Source Sans Pro Semibold" w:hAnsi="Source Sans Pro Semibold" w:cs="Source Sans Pro Semibold"/>
                              <w:noProof/>
                              <w:color w:val="000000"/>
                              <w:szCs w:val="24"/>
                            </w:rPr>
                            <w:t>CONTROLLED//FDIC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CONTROLLED//FDIC INTERNAL ONLY" style="width:18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fill o:detectmouseclick="t"/>
              <v:textbox style="mso-fit-shape-to-text:t" inset="0,15pt,0,0">
                <w:txbxContent>
                  <w:p w:rsidR="0000627A" w:rsidRPr="0000627A" w:rsidP="0000627A" w14:paraId="5D31ABF0" w14:textId="559DF5CC">
                    <w:pPr>
                      <w:rPr>
                        <w:rFonts w:ascii="Source Sans Pro Semibold" w:eastAsia="Source Sans Pro Semibold" w:hAnsi="Source Sans Pro Semibold" w:cs="Source Sans Pro Semibold"/>
                        <w:noProof/>
                        <w:color w:val="000000"/>
                        <w:szCs w:val="24"/>
                      </w:rPr>
                    </w:pPr>
                    <w:r w:rsidRPr="0000627A">
                      <w:rPr>
                        <w:rFonts w:ascii="Source Sans Pro Semibold" w:eastAsia="Source Sans Pro Semibold" w:hAnsi="Source Sans Pro Semibold" w:cs="Source Sans Pro Semibold"/>
                        <w:noProof/>
                        <w:color w:val="000000"/>
                        <w:szCs w:val="24"/>
                      </w:rPr>
                      <w:t>CONTROLLED//FDIC INTERNAL ONLY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27A" w14:paraId="698082C3" w14:textId="1AFEE41E">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381885" cy="382270"/>
              <wp:effectExtent l="0" t="0" r="18415" b="17780"/>
              <wp:wrapNone/>
              <wp:docPr id="839910949" name="Text Box 1" descr="CONTROLLED//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382270"/>
                      </a:xfrm>
                      <a:prstGeom prst="rect">
                        <a:avLst/>
                      </a:prstGeom>
                      <a:noFill/>
                      <a:ln>
                        <a:noFill/>
                      </a:ln>
                    </wps:spPr>
                    <wps:txbx>
                      <w:txbxContent>
                        <w:p w:rsidR="0000627A" w:rsidRPr="0000627A" w:rsidP="0000627A" w14:textId="76F5B5EA">
                          <w:pPr>
                            <w:rPr>
                              <w:rFonts w:ascii="Source Sans Pro Semibold" w:eastAsia="Source Sans Pro Semibold" w:hAnsi="Source Sans Pro Semibold" w:cs="Source Sans Pro Semibold"/>
                              <w:noProof/>
                              <w:color w:val="000000"/>
                              <w:szCs w:val="24"/>
                            </w:rPr>
                          </w:pPr>
                          <w:r w:rsidRPr="0000627A">
                            <w:rPr>
                              <w:rFonts w:ascii="Source Sans Pro Semibold" w:eastAsia="Source Sans Pro Semibold" w:hAnsi="Source Sans Pro Semibold" w:cs="Source Sans Pro Semibold"/>
                              <w:noProof/>
                              <w:color w:val="000000"/>
                              <w:szCs w:val="24"/>
                            </w:rPr>
                            <w:t>CONTROLLED//FDIC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CONTROLLED//FDIC INTERNAL ONLY" style="width:18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0,15pt,0,0">
                <w:txbxContent>
                  <w:p w:rsidR="0000627A" w:rsidRPr="0000627A" w:rsidP="0000627A" w14:paraId="0188C4E2" w14:textId="76F5B5EA">
                    <w:pPr>
                      <w:rPr>
                        <w:rFonts w:ascii="Source Sans Pro Semibold" w:eastAsia="Source Sans Pro Semibold" w:hAnsi="Source Sans Pro Semibold" w:cs="Source Sans Pro Semibold"/>
                        <w:noProof/>
                        <w:color w:val="000000"/>
                        <w:szCs w:val="24"/>
                      </w:rPr>
                    </w:pPr>
                    <w:r w:rsidRPr="0000627A">
                      <w:rPr>
                        <w:rFonts w:ascii="Source Sans Pro Semibold" w:eastAsia="Source Sans Pro Semibold" w:hAnsi="Source Sans Pro Semibold" w:cs="Source Sans Pro Semibold"/>
                        <w:noProof/>
                        <w:color w:val="000000"/>
                        <w:szCs w:val="24"/>
                      </w:rPr>
                      <w:t>CONTROLLED//FDIC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47137"/>
    <w:multiLevelType w:val="hybridMultilevel"/>
    <w:tmpl w:val="21262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2">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nsid w:val="27C30C12"/>
    <w:multiLevelType w:val="hybridMultilevel"/>
    <w:tmpl w:val="668219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7761F8"/>
    <w:multiLevelType w:val="hybridMultilevel"/>
    <w:tmpl w:val="170A613C"/>
    <w:lvl w:ilvl="0">
      <w:start w:val="1"/>
      <w:numFmt w:val="upperLetter"/>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BD0B0B"/>
    <w:multiLevelType w:val="hybridMultilevel"/>
    <w:tmpl w:val="AAFCFE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
    <w:nsid w:val="3D192ABB"/>
    <w:multiLevelType w:val="hybridMultilevel"/>
    <w:tmpl w:val="D55E27A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1D231EC"/>
    <w:multiLevelType w:val="hybridMultilevel"/>
    <w:tmpl w:val="38080B4A"/>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9">
    <w:nsid w:val="618C7D97"/>
    <w:multiLevelType w:val="hybridMultilevel"/>
    <w:tmpl w:val="CC7C56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B4B3676"/>
    <w:multiLevelType w:val="hybridMultilevel"/>
    <w:tmpl w:val="0C6CEE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7D2C5665"/>
    <w:multiLevelType w:val="hybridMultilevel"/>
    <w:tmpl w:val="823CA48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hint="default"/>
      </w:rPr>
    </w:lvl>
    <w:lvl w:ilvl="8" w:tentative="1">
      <w:start w:val="1"/>
      <w:numFmt w:val="bullet"/>
      <w:lvlText w:val=""/>
      <w:lvlJc w:val="left"/>
      <w:pPr>
        <w:ind w:left="7470" w:hanging="360"/>
      </w:pPr>
      <w:rPr>
        <w:rFonts w:ascii="Wingdings" w:hAnsi="Wingdings" w:hint="default"/>
      </w:rPr>
    </w:lvl>
  </w:abstractNum>
  <w:num w:numId="1" w16cid:durableId="820850913">
    <w:abstractNumId w:val="8"/>
  </w:num>
  <w:num w:numId="2" w16cid:durableId="1175537491">
    <w:abstractNumId w:val="1"/>
  </w:num>
  <w:num w:numId="3" w16cid:durableId="2065713501">
    <w:abstractNumId w:val="2"/>
  </w:num>
  <w:num w:numId="4" w16cid:durableId="1196848170">
    <w:abstractNumId w:val="0"/>
  </w:num>
  <w:num w:numId="5" w16cid:durableId="1488395053">
    <w:abstractNumId w:val="11"/>
  </w:num>
  <w:num w:numId="6" w16cid:durableId="1863589850">
    <w:abstractNumId w:val="9"/>
  </w:num>
  <w:num w:numId="7" w16cid:durableId="950357934">
    <w:abstractNumId w:val="5"/>
  </w:num>
  <w:num w:numId="8" w16cid:durableId="1976371295">
    <w:abstractNumId w:val="7"/>
  </w:num>
  <w:num w:numId="9" w16cid:durableId="961033732">
    <w:abstractNumId w:val="10"/>
  </w:num>
  <w:num w:numId="10" w16cid:durableId="1974359461">
    <w:abstractNumId w:val="3"/>
  </w:num>
  <w:num w:numId="11" w16cid:durableId="1306201860">
    <w:abstractNumId w:val="6"/>
  </w:num>
  <w:num w:numId="12" w16cid:durableId="888566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2DE"/>
    <w:rsid w:val="00005BCF"/>
    <w:rsid w:val="0000627A"/>
    <w:rsid w:val="00013A0F"/>
    <w:rsid w:val="00020CDC"/>
    <w:rsid w:val="00031361"/>
    <w:rsid w:val="0003174D"/>
    <w:rsid w:val="00067509"/>
    <w:rsid w:val="000712DC"/>
    <w:rsid w:val="00075303"/>
    <w:rsid w:val="000A65F3"/>
    <w:rsid w:val="000C49A8"/>
    <w:rsid w:val="000C5523"/>
    <w:rsid w:val="000D67E2"/>
    <w:rsid w:val="000D7176"/>
    <w:rsid w:val="001042BF"/>
    <w:rsid w:val="0011503E"/>
    <w:rsid w:val="00121C50"/>
    <w:rsid w:val="0013412F"/>
    <w:rsid w:val="001378FD"/>
    <w:rsid w:val="00142214"/>
    <w:rsid w:val="00143537"/>
    <w:rsid w:val="001509ED"/>
    <w:rsid w:val="001544CD"/>
    <w:rsid w:val="00154964"/>
    <w:rsid w:val="00173189"/>
    <w:rsid w:val="001735BB"/>
    <w:rsid w:val="0018551F"/>
    <w:rsid w:val="00195400"/>
    <w:rsid w:val="001A10B6"/>
    <w:rsid w:val="001A59C0"/>
    <w:rsid w:val="001C1012"/>
    <w:rsid w:val="001C4726"/>
    <w:rsid w:val="001D433C"/>
    <w:rsid w:val="001E004B"/>
    <w:rsid w:val="001F2A5D"/>
    <w:rsid w:val="0021184B"/>
    <w:rsid w:val="0024688B"/>
    <w:rsid w:val="00253651"/>
    <w:rsid w:val="002616EA"/>
    <w:rsid w:val="00281F97"/>
    <w:rsid w:val="002847B4"/>
    <w:rsid w:val="002853B0"/>
    <w:rsid w:val="002864BB"/>
    <w:rsid w:val="0029442A"/>
    <w:rsid w:val="002B0FE1"/>
    <w:rsid w:val="002D2C1C"/>
    <w:rsid w:val="002D58BF"/>
    <w:rsid w:val="002F0A91"/>
    <w:rsid w:val="003036FF"/>
    <w:rsid w:val="00324E6B"/>
    <w:rsid w:val="0033027B"/>
    <w:rsid w:val="00344C29"/>
    <w:rsid w:val="00361E1E"/>
    <w:rsid w:val="00370F7D"/>
    <w:rsid w:val="00373ED8"/>
    <w:rsid w:val="003A2A04"/>
    <w:rsid w:val="003C37B8"/>
    <w:rsid w:val="003C5AB0"/>
    <w:rsid w:val="003E3253"/>
    <w:rsid w:val="00401A8A"/>
    <w:rsid w:val="00412D5F"/>
    <w:rsid w:val="00414D83"/>
    <w:rsid w:val="00420255"/>
    <w:rsid w:val="00440038"/>
    <w:rsid w:val="00462D56"/>
    <w:rsid w:val="00462F60"/>
    <w:rsid w:val="00471381"/>
    <w:rsid w:val="00497E0B"/>
    <w:rsid w:val="004A1A4D"/>
    <w:rsid w:val="004A4C59"/>
    <w:rsid w:val="004C4367"/>
    <w:rsid w:val="004D1876"/>
    <w:rsid w:val="004D6D84"/>
    <w:rsid w:val="004D7E89"/>
    <w:rsid w:val="004E7B81"/>
    <w:rsid w:val="004F2F9B"/>
    <w:rsid w:val="00503AAC"/>
    <w:rsid w:val="00534357"/>
    <w:rsid w:val="00562839"/>
    <w:rsid w:val="00565D70"/>
    <w:rsid w:val="00574D7A"/>
    <w:rsid w:val="005D2273"/>
    <w:rsid w:val="005D2FE1"/>
    <w:rsid w:val="005E2771"/>
    <w:rsid w:val="005E4AC4"/>
    <w:rsid w:val="005F15BB"/>
    <w:rsid w:val="00603AE5"/>
    <w:rsid w:val="00606638"/>
    <w:rsid w:val="0061500B"/>
    <w:rsid w:val="00647F97"/>
    <w:rsid w:val="00652F4C"/>
    <w:rsid w:val="00692309"/>
    <w:rsid w:val="00697A37"/>
    <w:rsid w:val="006A13B2"/>
    <w:rsid w:val="006A7DD6"/>
    <w:rsid w:val="006B23FE"/>
    <w:rsid w:val="006B4247"/>
    <w:rsid w:val="006B5B26"/>
    <w:rsid w:val="006C65B7"/>
    <w:rsid w:val="006D317D"/>
    <w:rsid w:val="006D4D8E"/>
    <w:rsid w:val="006D6C7C"/>
    <w:rsid w:val="006E11B2"/>
    <w:rsid w:val="006E670D"/>
    <w:rsid w:val="006F2769"/>
    <w:rsid w:val="00703ECB"/>
    <w:rsid w:val="0071173F"/>
    <w:rsid w:val="00711D13"/>
    <w:rsid w:val="00712682"/>
    <w:rsid w:val="00716EFC"/>
    <w:rsid w:val="00723A34"/>
    <w:rsid w:val="00727480"/>
    <w:rsid w:val="007301E4"/>
    <w:rsid w:val="00731A90"/>
    <w:rsid w:val="00736FF6"/>
    <w:rsid w:val="00771AC2"/>
    <w:rsid w:val="00782F33"/>
    <w:rsid w:val="007844D0"/>
    <w:rsid w:val="00784EE8"/>
    <w:rsid w:val="00795221"/>
    <w:rsid w:val="007B274F"/>
    <w:rsid w:val="007C6837"/>
    <w:rsid w:val="007C6F0C"/>
    <w:rsid w:val="007D1404"/>
    <w:rsid w:val="007E3A41"/>
    <w:rsid w:val="007E3BBD"/>
    <w:rsid w:val="007E5FB2"/>
    <w:rsid w:val="007F7BC9"/>
    <w:rsid w:val="00805511"/>
    <w:rsid w:val="00807C1A"/>
    <w:rsid w:val="00817925"/>
    <w:rsid w:val="0086426A"/>
    <w:rsid w:val="00876F23"/>
    <w:rsid w:val="00877FB0"/>
    <w:rsid w:val="008873E8"/>
    <w:rsid w:val="008A1A8E"/>
    <w:rsid w:val="008F53AC"/>
    <w:rsid w:val="00905E1E"/>
    <w:rsid w:val="00937193"/>
    <w:rsid w:val="009431C3"/>
    <w:rsid w:val="00967A7E"/>
    <w:rsid w:val="0099128A"/>
    <w:rsid w:val="00994D3E"/>
    <w:rsid w:val="009A329F"/>
    <w:rsid w:val="009A6AB2"/>
    <w:rsid w:val="009B6429"/>
    <w:rsid w:val="009D1351"/>
    <w:rsid w:val="009D2490"/>
    <w:rsid w:val="009D24E5"/>
    <w:rsid w:val="009E44FC"/>
    <w:rsid w:val="009E60FB"/>
    <w:rsid w:val="009F4532"/>
    <w:rsid w:val="00A07652"/>
    <w:rsid w:val="00A20A6C"/>
    <w:rsid w:val="00A61329"/>
    <w:rsid w:val="00A61517"/>
    <w:rsid w:val="00A63E49"/>
    <w:rsid w:val="00A700DA"/>
    <w:rsid w:val="00A92D47"/>
    <w:rsid w:val="00AA35E1"/>
    <w:rsid w:val="00AB30BF"/>
    <w:rsid w:val="00AD251A"/>
    <w:rsid w:val="00AD2B69"/>
    <w:rsid w:val="00AD6A6E"/>
    <w:rsid w:val="00AF79FB"/>
    <w:rsid w:val="00B000D5"/>
    <w:rsid w:val="00B0375D"/>
    <w:rsid w:val="00B17C0A"/>
    <w:rsid w:val="00B26610"/>
    <w:rsid w:val="00B35942"/>
    <w:rsid w:val="00B434D6"/>
    <w:rsid w:val="00B46EDD"/>
    <w:rsid w:val="00B662BE"/>
    <w:rsid w:val="00B723D8"/>
    <w:rsid w:val="00B830E4"/>
    <w:rsid w:val="00B92CD6"/>
    <w:rsid w:val="00BA19E0"/>
    <w:rsid w:val="00BA29C4"/>
    <w:rsid w:val="00BC7C03"/>
    <w:rsid w:val="00BD18FD"/>
    <w:rsid w:val="00BD2DF7"/>
    <w:rsid w:val="00BF402A"/>
    <w:rsid w:val="00C2633A"/>
    <w:rsid w:val="00C2664C"/>
    <w:rsid w:val="00C46EA0"/>
    <w:rsid w:val="00C47D42"/>
    <w:rsid w:val="00C51500"/>
    <w:rsid w:val="00C516B6"/>
    <w:rsid w:val="00C53139"/>
    <w:rsid w:val="00C5691D"/>
    <w:rsid w:val="00C56B13"/>
    <w:rsid w:val="00C7167C"/>
    <w:rsid w:val="00C806D4"/>
    <w:rsid w:val="00C96990"/>
    <w:rsid w:val="00CA0749"/>
    <w:rsid w:val="00CA613E"/>
    <w:rsid w:val="00CC299C"/>
    <w:rsid w:val="00CC5F54"/>
    <w:rsid w:val="00D10113"/>
    <w:rsid w:val="00D1076C"/>
    <w:rsid w:val="00D40E93"/>
    <w:rsid w:val="00D664A3"/>
    <w:rsid w:val="00D807AF"/>
    <w:rsid w:val="00DB04B6"/>
    <w:rsid w:val="00DC002F"/>
    <w:rsid w:val="00E12D38"/>
    <w:rsid w:val="00E26D96"/>
    <w:rsid w:val="00E47BDF"/>
    <w:rsid w:val="00E5596D"/>
    <w:rsid w:val="00E72F1F"/>
    <w:rsid w:val="00E92265"/>
    <w:rsid w:val="00EA72EA"/>
    <w:rsid w:val="00EB2791"/>
    <w:rsid w:val="00ED73FC"/>
    <w:rsid w:val="00F034F1"/>
    <w:rsid w:val="00F115F5"/>
    <w:rsid w:val="00F30B4A"/>
    <w:rsid w:val="00F437A0"/>
    <w:rsid w:val="00F516C1"/>
    <w:rsid w:val="00F74201"/>
    <w:rsid w:val="00F80067"/>
    <w:rsid w:val="00F94074"/>
    <w:rsid w:val="00FD5E35"/>
    <w:rsid w:val="00FF44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4450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9,Times 10 Point,Voetnootverwijzing,fr,note TESI"/>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Footnote Text Char Char Char,Footnote Text Char Char Char Char Char,Footnote Text Char Char Char Char Char Char Char Char Char Char Char Char Char Char Char Char Char Char,Footnote Text Char1 Char Char Char,fn Char"/>
    <w:basedOn w:val="Normal"/>
    <w:link w:val="FootnoteTextChar1"/>
    <w:uiPriority w:val="99"/>
    <w:rsid w:val="004D1876"/>
    <w:pPr>
      <w:widowControl/>
    </w:pPr>
    <w:rPr>
      <w:rFonts w:ascii="Times New Roman" w:hAnsi="Times New Roman"/>
      <w:snapToGrid/>
      <w:sz w:val="20"/>
    </w:rPr>
  </w:style>
  <w:style w:type="character" w:customStyle="1" w:styleId="FootnoteTextChar1">
    <w:name w:val="Footnote Text Char1"/>
    <w:aliases w:val="Footnote Text Char Char,Footnote Text Char Char Char Char,Footnote Text Char Char Char Char Char Char,Footnote Text Char Char Char Char Char Char Char Char Char Char Char Char Char Char Char Char Char Char Char,fn Char Char"/>
    <w:link w:val="FootnoteText"/>
    <w:semiHidden/>
    <w:locked/>
    <w:rsid w:val="004D1876"/>
    <w:rPr>
      <w:lang w:val="en-US" w:eastAsia="en-US" w:bidi="ar-SA"/>
    </w:rPr>
  </w:style>
  <w:style w:type="paragraph" w:styleId="NormalWeb">
    <w:name w:val="Normal (Web)"/>
    <w:basedOn w:val="Normal"/>
    <w:rsid w:val="004D1876"/>
    <w:pPr>
      <w:widowControl/>
      <w:spacing w:before="100" w:beforeAutospacing="1" w:after="100" w:afterAutospacing="1"/>
    </w:pPr>
    <w:rPr>
      <w:rFonts w:ascii="Times New Roman" w:hAnsi="Times New Roman"/>
      <w:snapToGrid/>
      <w:szCs w:val="24"/>
    </w:rPr>
  </w:style>
  <w:style w:type="paragraph" w:styleId="NoSpacing">
    <w:name w:val="No Spacing"/>
    <w:qFormat/>
    <w:rsid w:val="004D1876"/>
    <w:rPr>
      <w:rFonts w:ascii="Calibri" w:hAnsi="Calibri"/>
      <w:sz w:val="22"/>
      <w:szCs w:val="22"/>
    </w:rPr>
  </w:style>
  <w:style w:type="paragraph" w:styleId="ListParagraph">
    <w:name w:val="List Paragraph"/>
    <w:basedOn w:val="Normal"/>
    <w:qFormat/>
    <w:rsid w:val="004D1876"/>
    <w:pPr>
      <w:widowControl/>
      <w:ind w:left="720"/>
      <w:contextualSpacing/>
    </w:pPr>
    <w:rPr>
      <w:rFonts w:ascii="Times New Roman" w:hAnsi="Times New Roman"/>
      <w:snapToGrid/>
      <w:szCs w:val="22"/>
    </w:rPr>
  </w:style>
  <w:style w:type="paragraph" w:styleId="CommentText">
    <w:name w:val="annotation text"/>
    <w:basedOn w:val="Normal"/>
    <w:link w:val="CommentTextChar"/>
    <w:rsid w:val="005D2FE1"/>
    <w:pPr>
      <w:widowControl/>
    </w:pPr>
    <w:rPr>
      <w:rFonts w:ascii="Times New Roman" w:hAnsi="Times New Roman"/>
      <w:snapToGrid/>
      <w:sz w:val="20"/>
    </w:rPr>
  </w:style>
  <w:style w:type="character" w:styleId="CommentReference">
    <w:name w:val="annotation reference"/>
    <w:rsid w:val="005D2FE1"/>
    <w:rPr>
      <w:rFonts w:ascii="Times New Roman" w:hAnsi="Times New Roman" w:cs="Times New Roman"/>
      <w:sz w:val="16"/>
    </w:rPr>
  </w:style>
  <w:style w:type="character" w:customStyle="1" w:styleId="CommentTextChar">
    <w:name w:val="Comment Text Char"/>
    <w:link w:val="CommentText"/>
    <w:locked/>
    <w:rsid w:val="005D2FE1"/>
    <w:rPr>
      <w:lang w:val="en-US" w:eastAsia="en-US" w:bidi="ar-SA"/>
    </w:rPr>
  </w:style>
  <w:style w:type="character" w:customStyle="1" w:styleId="documentbody1">
    <w:name w:val="documentbody1"/>
    <w:rsid w:val="005D2FE1"/>
    <w:rPr>
      <w:rFonts w:ascii="Verdana" w:hAnsi="Verdana"/>
      <w:sz w:val="19"/>
    </w:rPr>
  </w:style>
  <w:style w:type="paragraph" w:styleId="CommentSubject">
    <w:name w:val="annotation subject"/>
    <w:basedOn w:val="CommentText"/>
    <w:next w:val="CommentText"/>
    <w:link w:val="CommentSubjectChar"/>
    <w:rsid w:val="00C46EA0"/>
    <w:pPr>
      <w:widowControl w:val="0"/>
    </w:pPr>
    <w:rPr>
      <w:rFonts w:ascii="Courier" w:hAnsi="Courier"/>
      <w:b/>
      <w:bCs/>
      <w:snapToGrid w:val="0"/>
    </w:rPr>
  </w:style>
  <w:style w:type="character" w:customStyle="1" w:styleId="CommentSubjectChar">
    <w:name w:val="Comment Subject Char"/>
    <w:link w:val="CommentSubject"/>
    <w:rsid w:val="00C46EA0"/>
    <w:rPr>
      <w:rFonts w:ascii="Courier" w:hAnsi="Courier"/>
      <w:b/>
      <w:bCs/>
      <w:snapToGrid w:val="0"/>
      <w:lang w:val="en-US" w:eastAsia="en-US" w:bidi="ar-SA"/>
    </w:rPr>
  </w:style>
  <w:style w:type="table" w:customStyle="1" w:styleId="TableGrid1">
    <w:name w:val="Table Grid1"/>
    <w:basedOn w:val="TableNormal"/>
    <w:next w:val="TableGrid"/>
    <w:uiPriority w:val="59"/>
    <w:rsid w:val="002847B4"/>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7B4"/>
    <w:rPr>
      <w:rFonts w:ascii="Courier" w:hAnsi="Courier"/>
      <w:snapToGrid w:val="0"/>
      <w:sz w:val="24"/>
    </w:rPr>
  </w:style>
  <w:style w:type="paragraph" w:styleId="BodyTextIndent">
    <w:name w:val="Body Text Indent"/>
    <w:basedOn w:val="Normal"/>
    <w:link w:val="BodyTextIndentChar"/>
    <w:rsid w:val="00D807AF"/>
    <w:pPr>
      <w:ind w:left="720"/>
    </w:pPr>
    <w:rPr>
      <w:rFonts w:ascii="Times New Roman" w:hAnsi="Times New Roman"/>
    </w:rPr>
  </w:style>
  <w:style w:type="character" w:customStyle="1" w:styleId="BodyTextIndentChar">
    <w:name w:val="Body Text Indent Char"/>
    <w:link w:val="BodyTextIndent"/>
    <w:rsid w:val="00D807AF"/>
    <w:rPr>
      <w:snapToGrid w:val="0"/>
      <w:sz w:val="24"/>
    </w:rPr>
  </w:style>
  <w:style w:type="paragraph" w:styleId="BlockText">
    <w:name w:val="Block Text"/>
    <w:basedOn w:val="Normal"/>
    <w:rsid w:val="00DB04B6"/>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Indent2">
    <w:name w:val="Body Text Indent 2"/>
    <w:basedOn w:val="Normal"/>
    <w:link w:val="BodyTextIndent2Char"/>
    <w:rsid w:val="001509ED"/>
    <w:pPr>
      <w:spacing w:after="120" w:line="480" w:lineRule="auto"/>
      <w:ind w:left="360"/>
    </w:pPr>
  </w:style>
  <w:style w:type="character" w:customStyle="1" w:styleId="BodyTextIndent2Char">
    <w:name w:val="Body Text Indent 2 Char"/>
    <w:link w:val="BodyTextIndent2"/>
    <w:rsid w:val="001509ED"/>
    <w:rPr>
      <w:rFonts w:ascii="Courier" w:hAnsi="Courier"/>
      <w:snapToGrid w:val="0"/>
      <w:sz w:val="24"/>
    </w:rPr>
  </w:style>
  <w:style w:type="character" w:customStyle="1" w:styleId="ms-rtethemefontface-1">
    <w:name w:val="ms-rtethemefontface-1"/>
    <w:rsid w:val="0030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03135-F92E-481F-B50F-723E41D9B2BB}">
  <ds:schemaRefs>
    <ds:schemaRef ds:uri="http://schemas.openxmlformats.org/officeDocument/2006/bibliography"/>
  </ds:schemaRefs>
</ds:datastoreItem>
</file>

<file path=docMetadata/LabelInfo.xml><?xml version="1.0" encoding="utf-8"?>
<clbl:labelList xmlns:clbl="http://schemas.microsoft.com/office/2020/mipLabelMetadata">
  <clbl:label id="{8e8b60d7-0d0f-4bba-99cb-e67b75665b9a}"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2026-06-08T16:05:00Z</dcterms:created>
  <dcterms:modified xsi:type="dcterms:W3CDTF">2026-06-08T16:16:00Z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32100625,650a637c,9a47d0b</vt:lpwstr>
  </property>
  <property fmtid="{D5CDD505-2E9C-101B-9397-08002B2CF9AE}" pid="4" name="ClassificationContentMarkingHeaderText">
    <vt:lpwstr>CONTROLLED//FDIC INTERNAL ONLY</vt:lpwstr>
  </property>
</Properties>
</file>