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1D2" w:rsidRPr="00AB6E74" w:rsidP="007921D2" w14:paraId="1117605E" w14:textId="77777777">
      <w:pPr>
        <w:tabs>
          <w:tab w:val="center" w:pos="4680"/>
        </w:tabs>
        <w:jc w:val="center"/>
        <w:rPr>
          <w:rFonts w:ascii="Times New Roman" w:hAnsi="Times New Roman"/>
          <w:szCs w:val="24"/>
        </w:rPr>
      </w:pPr>
      <w:r w:rsidRPr="00AB6E74">
        <w:rPr>
          <w:rFonts w:ascii="Times New Roman" w:hAnsi="Times New Roman"/>
          <w:szCs w:val="24"/>
        </w:rPr>
        <w:t>SUPPORTING STATEMENT</w:t>
      </w:r>
    </w:p>
    <w:p w:rsidR="00AB6E74" w:rsidRPr="00AB6E74" w:rsidP="007921D2" w14:paraId="09433297" w14:textId="77777777">
      <w:pPr>
        <w:tabs>
          <w:tab w:val="center" w:pos="4680"/>
        </w:tabs>
        <w:jc w:val="center"/>
        <w:rPr>
          <w:rFonts w:ascii="Times New Roman" w:hAnsi="Times New Roman"/>
        </w:rPr>
      </w:pPr>
      <w:r w:rsidRPr="00AB6E74">
        <w:rPr>
          <w:rFonts w:ascii="Times New Roman" w:hAnsi="Times New Roman"/>
        </w:rPr>
        <w:t>Disclosure of Information</w:t>
      </w:r>
      <w:r w:rsidRPr="00AB6E74">
        <w:rPr>
          <w:rFonts w:ascii="Times New Roman" w:hAnsi="Times New Roman"/>
        </w:rPr>
        <w:t xml:space="preserve"> </w:t>
      </w:r>
    </w:p>
    <w:p w:rsidR="007921D2" w:rsidRPr="00AB6E74" w:rsidP="007921D2" w14:paraId="3C37E20E" w14:textId="25ECD20E">
      <w:pPr>
        <w:tabs>
          <w:tab w:val="center" w:pos="4680"/>
        </w:tabs>
        <w:jc w:val="center"/>
        <w:rPr>
          <w:rFonts w:ascii="Times New Roman" w:hAnsi="Times New Roman"/>
          <w:szCs w:val="24"/>
        </w:rPr>
      </w:pPr>
      <w:r w:rsidRPr="00AB6E74">
        <w:rPr>
          <w:rFonts w:ascii="Times New Roman" w:hAnsi="Times New Roman"/>
          <w:szCs w:val="24"/>
        </w:rPr>
        <w:t>(OMB Control No. 3064-NEW)</w:t>
      </w:r>
    </w:p>
    <w:p w:rsidR="007921D2" w:rsidRPr="00376241" w:rsidP="007921D2" w14:paraId="46E80309"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376241" w:rsidP="007921D2" w14:paraId="4DC942D7"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u w:val="single"/>
        </w:rPr>
      </w:pPr>
      <w:r w:rsidRPr="00376241">
        <w:rPr>
          <w:rFonts w:ascii="Times New Roman" w:hAnsi="Times New Roman"/>
          <w:szCs w:val="24"/>
          <w:u w:val="single"/>
        </w:rPr>
        <w:t>INTRODUCTION</w:t>
      </w:r>
    </w:p>
    <w:p w:rsidR="001362D5" w:rsidRPr="00376241" w:rsidP="007921D2" w14:paraId="1A5AE7D6"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376241" w:rsidP="00D80E81" w14:paraId="12CC4978" w14:textId="1FD7DFB7">
      <w:pPr>
        <w:rPr>
          <w:rFonts w:ascii="Times New Roman" w:eastAsia="Aptos" w:hAnsi="Times New Roman"/>
          <w:snapToGrid/>
          <w:szCs w:val="24"/>
        </w:rPr>
      </w:pPr>
      <w:r w:rsidRPr="00376241">
        <w:rPr>
          <w:rFonts w:ascii="Times New Roman" w:hAnsi="Times New Roman"/>
          <w:szCs w:val="24"/>
        </w:rPr>
        <w:t>The Federal Deposit Insurance Corporation (FDIC) is requesting approval from the Office of Management and Budget (OMB) to establish a new information collection contained in a notice of proposed rulemaking on “</w:t>
      </w:r>
      <w:r w:rsidRPr="00376241" w:rsidR="00AB6E74">
        <w:rPr>
          <w:rFonts w:ascii="Times New Roman" w:eastAsia="Aptos" w:hAnsi="Times New Roman"/>
          <w:snapToGrid/>
          <w:szCs w:val="24"/>
        </w:rPr>
        <w:t>Disclosure of Information</w:t>
      </w:r>
      <w:r w:rsidRPr="00376241">
        <w:rPr>
          <w:rFonts w:ascii="Times New Roman" w:hAnsi="Times New Roman"/>
          <w:szCs w:val="24"/>
        </w:rPr>
        <w:t>.” The pro</w:t>
      </w:r>
      <w:r w:rsidRPr="00376241" w:rsidR="00A83503">
        <w:rPr>
          <w:rFonts w:ascii="Times New Roman" w:hAnsi="Times New Roman"/>
          <w:szCs w:val="24"/>
        </w:rPr>
        <w:t>posed rule</w:t>
      </w:r>
      <w:r w:rsidRPr="00376241">
        <w:rPr>
          <w:rFonts w:ascii="Times New Roman" w:hAnsi="Times New Roman"/>
          <w:szCs w:val="24"/>
        </w:rPr>
        <w:t xml:space="preserve"> seeks to impose</w:t>
      </w:r>
      <w:r w:rsidRPr="00376241" w:rsidR="00F15AB4">
        <w:rPr>
          <w:rFonts w:ascii="Times New Roman" w:hAnsi="Times New Roman"/>
          <w:szCs w:val="24"/>
        </w:rPr>
        <w:t xml:space="preserve"> </w:t>
      </w:r>
      <w:r w:rsidRPr="00376241" w:rsidR="0063790C">
        <w:rPr>
          <w:rFonts w:ascii="Times New Roman" w:hAnsi="Times New Roman"/>
          <w:szCs w:val="24"/>
        </w:rPr>
        <w:t xml:space="preserve">new </w:t>
      </w:r>
      <w:r w:rsidRPr="00376241" w:rsidR="00DF34F6">
        <w:rPr>
          <w:rFonts w:ascii="Times New Roman" w:hAnsi="Times New Roman"/>
          <w:szCs w:val="24"/>
        </w:rPr>
        <w:t>reporting</w:t>
      </w:r>
      <w:r w:rsidRPr="00376241" w:rsidR="00FD4BDF">
        <w:rPr>
          <w:rFonts w:ascii="Times New Roman" w:hAnsi="Times New Roman"/>
          <w:szCs w:val="24"/>
        </w:rPr>
        <w:t xml:space="preserve"> </w:t>
      </w:r>
      <w:r w:rsidRPr="00376241">
        <w:rPr>
          <w:rFonts w:ascii="Times New Roman" w:hAnsi="Times New Roman"/>
          <w:szCs w:val="24"/>
        </w:rPr>
        <w:t>requirements under the Paperwork Reduction Act (PRA)</w:t>
      </w:r>
      <w:r w:rsidRPr="00376241" w:rsidR="00676962">
        <w:rPr>
          <w:rFonts w:ascii="Times New Roman" w:hAnsi="Times New Roman"/>
          <w:szCs w:val="24"/>
        </w:rPr>
        <w:t>.</w:t>
      </w:r>
      <w:r>
        <w:rPr>
          <w:rFonts w:ascii="Times New Roman" w:hAnsi="Times New Roman"/>
          <w:szCs w:val="24"/>
          <w:vertAlign w:val="superscript"/>
        </w:rPr>
        <w:footnoteReference w:id="2"/>
      </w:r>
      <w:r w:rsidRPr="00376241">
        <w:rPr>
          <w:rFonts w:ascii="Times New Roman" w:hAnsi="Times New Roman"/>
          <w:szCs w:val="24"/>
        </w:rPr>
        <w:t xml:space="preserve"> As a result, the FDIC is requesting approval from the OMB and asks that the OMB assign an OMB control number.</w:t>
      </w:r>
    </w:p>
    <w:p w:rsidR="007921D2" w:rsidRPr="009E537F" w:rsidP="007921D2" w14:paraId="422B2A7B" w14:textId="77777777">
      <w:pPr>
        <w:tabs>
          <w:tab w:val="left" w:pos="240"/>
          <w:tab w:val="left" w:pos="840"/>
          <w:tab w:val="left" w:pos="1440"/>
          <w:tab w:val="left" w:pos="2040"/>
          <w:tab w:val="left" w:pos="2640"/>
          <w:tab w:val="left" w:pos="3240"/>
          <w:tab w:val="left" w:pos="3840"/>
          <w:tab w:val="left" w:pos="4440"/>
        </w:tabs>
        <w:rPr>
          <w:rFonts w:ascii="Times New Roman" w:hAnsi="Times New Roman"/>
          <w:szCs w:val="24"/>
        </w:rPr>
      </w:pPr>
    </w:p>
    <w:p w:rsidR="007921D2" w:rsidRPr="009E537F" w:rsidP="007921D2" w14:paraId="0D0978C5" w14:textId="77777777">
      <w:pPr>
        <w:pStyle w:val="ListParagraph"/>
        <w:numPr>
          <w:ilvl w:val="0"/>
          <w:numId w:val="1"/>
        </w:numPr>
        <w:rPr>
          <w:rFonts w:ascii="Times New Roman" w:hAnsi="Times New Roman"/>
          <w:szCs w:val="24"/>
        </w:rPr>
      </w:pPr>
      <w:r w:rsidRPr="009E537F">
        <w:rPr>
          <w:rFonts w:ascii="Times New Roman" w:hAnsi="Times New Roman"/>
          <w:szCs w:val="24"/>
          <w:u w:val="single"/>
        </w:rPr>
        <w:t>JUSTIFICATION</w:t>
      </w:r>
    </w:p>
    <w:p w:rsidR="007921D2" w:rsidRPr="009E537F" w:rsidP="007921D2" w14:paraId="3F6AC701" w14:textId="77777777">
      <w:pPr>
        <w:rPr>
          <w:rFonts w:ascii="Times New Roman" w:hAnsi="Times New Roman"/>
          <w:i/>
          <w:szCs w:val="24"/>
        </w:rPr>
      </w:pPr>
    </w:p>
    <w:p w:rsidR="007921D2" w:rsidRPr="009E537F" w:rsidP="007921D2" w14:paraId="7E6135FE"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9E537F">
        <w:rPr>
          <w:rFonts w:ascii="Times New Roman" w:hAnsi="Times New Roman"/>
          <w:szCs w:val="24"/>
          <w:u w:val="single"/>
        </w:rPr>
        <w:t>Circumstances that make the collection necessary:</w:t>
      </w:r>
    </w:p>
    <w:p w:rsidR="007921D2" w:rsidRPr="00491DAA" w:rsidP="007921D2" w14:paraId="72616029" w14:textId="77777777">
      <w:pPr>
        <w:rPr>
          <w:rFonts w:ascii="Times New Roman" w:hAnsi="Times New Roman"/>
          <w:i/>
          <w:szCs w:val="24"/>
        </w:rPr>
      </w:pPr>
    </w:p>
    <w:p w:rsidR="002C5BA8" w:rsidRPr="00491DAA" w:rsidP="002C5BA8" w14:paraId="42A946DA" w14:textId="77777777">
      <w:pPr>
        <w:widowControl/>
        <w:ind w:left="1080"/>
        <w:rPr>
          <w:rFonts w:ascii="Times New Roman" w:eastAsia="Aptos" w:hAnsi="Times New Roman"/>
          <w:snapToGrid/>
          <w:szCs w:val="24"/>
        </w:rPr>
      </w:pPr>
      <w:r w:rsidRPr="00491DAA">
        <w:rPr>
          <w:rFonts w:ascii="Times New Roman" w:eastAsia="Aptos" w:hAnsi="Times New Roman"/>
          <w:snapToGrid/>
          <w:szCs w:val="24"/>
        </w:rPr>
        <w:t xml:space="preserve">The FDIC is issuing this notice of proposed rulemaking (proposed rule) </w:t>
      </w:r>
      <w:r w:rsidRPr="00491DAA" w:rsidR="00340057">
        <w:rPr>
          <w:rFonts w:ascii="Times New Roman" w:eastAsia="Aptos" w:hAnsi="Times New Roman"/>
          <w:snapToGrid/>
          <w:szCs w:val="24"/>
        </w:rPr>
        <w:t>to</w:t>
      </w:r>
      <w:r w:rsidRPr="00491DAA" w:rsidR="00177AD0">
        <w:rPr>
          <w:rFonts w:ascii="Times New Roman" w:eastAsia="Aptos" w:hAnsi="Times New Roman"/>
          <w:snapToGrid/>
          <w:szCs w:val="24"/>
        </w:rPr>
        <w:t xml:space="preserve"> </w:t>
      </w:r>
      <w:r w:rsidRPr="00491DAA">
        <w:rPr>
          <w:rFonts w:ascii="Times New Roman" w:eastAsia="Aptos" w:hAnsi="Times New Roman"/>
          <w:snapToGrid/>
          <w:szCs w:val="24"/>
        </w:rPr>
        <w:t xml:space="preserve">update, clarify, and supplement the FDIC’s regulations regarding the disclosure of confidential information by the FDIC and other parties, including by enhancing the ability of insured depository institutions to share confidential supervisory information with affiliates and certain other entities for appropriate business purposes, without seeking prior authorization from the FDIC. The proposal also would significantly simplify and clarify the requirements and restrictions applicable to the FDIC’s discretionary disclosure of confidential information. Finally, the proposal would update and simplify the FDIC’s rules regarding disclosures required under the Freedom of Information Act and would clarify how and when FDIC information may be disclosed in connection with legal proceedings and </w:t>
      </w:r>
      <w:r w:rsidRPr="00491DAA">
        <w:rPr>
          <w:rFonts w:ascii="Times New Roman" w:eastAsia="Aptos" w:hAnsi="Times New Roman"/>
          <w:snapToGrid/>
          <w:szCs w:val="24"/>
        </w:rPr>
        <w:t>as a result of</w:t>
      </w:r>
      <w:r w:rsidRPr="00491DAA">
        <w:rPr>
          <w:rFonts w:ascii="Times New Roman" w:eastAsia="Aptos" w:hAnsi="Times New Roman"/>
          <w:snapToGrid/>
          <w:szCs w:val="24"/>
        </w:rPr>
        <w:t xml:space="preserve"> </w:t>
      </w:r>
      <w:r w:rsidRPr="00491DAA">
        <w:rPr>
          <w:rFonts w:ascii="Times New Roman" w:eastAsia="Aptos" w:hAnsi="Times New Roman"/>
          <w:snapToGrid/>
          <w:szCs w:val="24"/>
        </w:rPr>
        <w:t>service of</w:t>
      </w:r>
      <w:r w:rsidRPr="00491DAA">
        <w:rPr>
          <w:rFonts w:ascii="Times New Roman" w:eastAsia="Aptos" w:hAnsi="Times New Roman"/>
          <w:snapToGrid/>
          <w:szCs w:val="24"/>
        </w:rPr>
        <w:t xml:space="preserve"> process made upon the FDIC and its directors, officers, and employees.</w:t>
      </w:r>
    </w:p>
    <w:p w:rsidR="007921D2" w:rsidRPr="00165952" w:rsidP="002C5BA8" w14:paraId="17568A2E" w14:textId="730FDFA0">
      <w:pPr>
        <w:widowControl/>
        <w:ind w:left="1080"/>
        <w:rPr>
          <w:rFonts w:ascii="Times New Roman" w:hAnsi="Times New Roman"/>
          <w:color w:val="FF0000"/>
          <w:szCs w:val="24"/>
        </w:rPr>
      </w:pPr>
    </w:p>
    <w:p w:rsidR="007921D2" w:rsidRPr="00266FBC" w:rsidP="007921D2" w14:paraId="6DFFD47C"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66FBC">
        <w:rPr>
          <w:rFonts w:ascii="Times New Roman" w:hAnsi="Times New Roman"/>
          <w:szCs w:val="24"/>
          <w:u w:val="single"/>
        </w:rPr>
        <w:t xml:space="preserve">Use of the information: </w:t>
      </w:r>
    </w:p>
    <w:p w:rsidR="007921D2" w:rsidRPr="00266FBC" w:rsidP="007921D2" w14:paraId="0A8787B8" w14:textId="77777777">
      <w:pPr>
        <w:rPr>
          <w:rFonts w:ascii="Times New Roman" w:hAnsi="Times New Roman"/>
          <w:szCs w:val="24"/>
        </w:rPr>
      </w:pPr>
    </w:p>
    <w:p w:rsidR="00A5199F" w:rsidP="00A5199F" w14:paraId="3B5017E4" w14:textId="77777777">
      <w:pPr>
        <w:ind w:left="1080"/>
        <w:rPr>
          <w:rFonts w:ascii="Times New Roman" w:hAnsi="Times New Roman"/>
        </w:rPr>
      </w:pPr>
      <w:r w:rsidRPr="00266FBC">
        <w:rPr>
          <w:rFonts w:ascii="Times New Roman" w:eastAsia="Aptos" w:hAnsi="Times New Roman"/>
          <w:snapToGrid/>
          <w:szCs w:val="24"/>
        </w:rPr>
        <w:t>Among other things, the proposal would</w:t>
      </w:r>
      <w:r w:rsidRPr="00266FBC" w:rsidR="00266FBC">
        <w:rPr>
          <w:rFonts w:ascii="Times New Roman" w:eastAsia="Aptos" w:hAnsi="Times New Roman"/>
        </w:rPr>
        <w:t xml:space="preserve"> </w:t>
      </w:r>
      <w:r w:rsidRPr="00266FBC" w:rsidR="00266FBC">
        <w:rPr>
          <w:rFonts w:ascii="Times New Roman" w:hAnsi="Times New Roman"/>
        </w:rPr>
        <w:t>update, clarify, and supplement the FDIC’s regulations regarding the disclosure of confidential information by the FDIC and other parties.</w:t>
      </w:r>
    </w:p>
    <w:p w:rsidR="00A5199F" w:rsidP="00A5199F" w14:paraId="4F1DB268" w14:textId="77777777">
      <w:pPr>
        <w:ind w:left="1080"/>
        <w:rPr>
          <w:rFonts w:ascii="Times New Roman" w:hAnsi="Times New Roman"/>
        </w:rPr>
      </w:pPr>
    </w:p>
    <w:p w:rsidR="0033398F" w:rsidP="00885CD0" w14:paraId="31D83E7A" w14:textId="4FE1AF5A">
      <w:pPr>
        <w:ind w:left="1080"/>
        <w:rPr>
          <w:rFonts w:ascii="Times New Roman" w:hAnsi="Times New Roman"/>
        </w:rPr>
      </w:pPr>
      <w:r>
        <w:rPr>
          <w:rFonts w:ascii="Times New Roman" w:hAnsi="Times New Roman"/>
        </w:rPr>
        <w:t xml:space="preserve">Respondents </w:t>
      </w:r>
      <w:r>
        <w:rPr>
          <w:rFonts w:ascii="Times New Roman" w:hAnsi="Times New Roman"/>
        </w:rPr>
        <w:t>would be</w:t>
      </w:r>
      <w:r>
        <w:rPr>
          <w:rFonts w:ascii="Times New Roman" w:hAnsi="Times New Roman"/>
        </w:rPr>
        <w:t xml:space="preserve"> required to </w:t>
      </w:r>
      <w:r w:rsidR="00152CD4">
        <w:rPr>
          <w:rFonts w:ascii="Times New Roman" w:hAnsi="Times New Roman"/>
        </w:rPr>
        <w:t xml:space="preserve">submit requests for discretionary disclosure of confidential information </w:t>
      </w:r>
      <w:r w:rsidR="00885CD0">
        <w:rPr>
          <w:rFonts w:ascii="Times New Roman" w:hAnsi="Times New Roman"/>
        </w:rPr>
        <w:t xml:space="preserve">to the FDIC. Potential counterparties would be required to submit a written waiver to the FDIC. </w:t>
      </w:r>
      <w:r>
        <w:rPr>
          <w:rFonts w:ascii="Times New Roman" w:hAnsi="Times New Roman"/>
        </w:rPr>
        <w:t xml:space="preserve">Parties in a legal proceeding, or any person substantially involved in the legal proceeding, would be required to submit a request to the FDIC general counsel or designee. </w:t>
      </w:r>
    </w:p>
    <w:p w:rsidR="00780C4B" w:rsidRPr="00885CD0" w:rsidP="00885CD0" w14:paraId="5C5A213A" w14:textId="5B60F65D">
      <w:pPr>
        <w:ind w:left="1080"/>
        <w:rPr>
          <w:rFonts w:ascii="Times New Roman" w:hAnsi="Times New Roman"/>
        </w:rPr>
      </w:pPr>
      <w:r w:rsidRPr="00165952">
        <w:rPr>
          <w:rFonts w:ascii="Times New Roman" w:eastAsia="Aptos" w:hAnsi="Times New Roman"/>
          <w:snapToGrid/>
          <w:color w:val="FF0000"/>
          <w:szCs w:val="24"/>
        </w:rPr>
        <w:t xml:space="preserve"> </w:t>
      </w:r>
    </w:p>
    <w:p w:rsidR="007921D2" w:rsidRPr="00376241" w:rsidP="007921D2" w14:paraId="00D63595"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376241">
        <w:rPr>
          <w:rFonts w:ascii="Times New Roman" w:hAnsi="Times New Roman"/>
          <w:szCs w:val="24"/>
          <w:u w:val="single"/>
        </w:rPr>
        <w:t>Consideration of the use of improved information technology:</w:t>
      </w:r>
    </w:p>
    <w:p w:rsidR="007921D2" w:rsidRPr="00376241" w:rsidP="007921D2" w14:paraId="34D2544B" w14:textId="77777777">
      <w:pPr>
        <w:rPr>
          <w:rFonts w:ascii="Times New Roman" w:hAnsi="Times New Roman"/>
          <w:szCs w:val="24"/>
        </w:rPr>
      </w:pPr>
    </w:p>
    <w:p w:rsidR="007921D2" w:rsidRPr="00376241" w:rsidP="00D80E81" w14:paraId="03F89FD0" w14:textId="48F5266F">
      <w:pPr>
        <w:ind w:left="1080"/>
        <w:rPr>
          <w:rFonts w:ascii="Times New Roman" w:hAnsi="Times New Roman"/>
          <w:szCs w:val="24"/>
        </w:rPr>
      </w:pPr>
      <w:r w:rsidRPr="00376241">
        <w:rPr>
          <w:rFonts w:ascii="Times New Roman" w:hAnsi="Times New Roman"/>
          <w:szCs w:val="24"/>
        </w:rPr>
        <w:t>Respondents</w:t>
      </w:r>
      <w:r w:rsidRPr="00376241" w:rsidR="00630F11">
        <w:rPr>
          <w:rFonts w:ascii="Times New Roman" w:hAnsi="Times New Roman"/>
          <w:szCs w:val="24"/>
        </w:rPr>
        <w:t xml:space="preserve"> </w:t>
      </w:r>
      <w:r w:rsidRPr="00376241">
        <w:rPr>
          <w:rFonts w:ascii="Times New Roman" w:hAnsi="Times New Roman"/>
          <w:szCs w:val="24"/>
        </w:rPr>
        <w:t>may use technology to the extent feasible and/or desirable or appropriate</w:t>
      </w:r>
      <w:r w:rsidRPr="00376241" w:rsidR="007A0684">
        <w:rPr>
          <w:rFonts w:ascii="Times New Roman" w:hAnsi="Times New Roman"/>
          <w:szCs w:val="24"/>
        </w:rPr>
        <w:t>.</w:t>
      </w:r>
    </w:p>
    <w:p w:rsidR="007921D2" w:rsidRPr="00376241" w:rsidP="007921D2" w14:paraId="74179004" w14:textId="77777777">
      <w:pPr>
        <w:ind w:firstLine="720"/>
        <w:rPr>
          <w:rFonts w:ascii="Times New Roman" w:hAnsi="Times New Roman"/>
          <w:szCs w:val="24"/>
        </w:rPr>
      </w:pPr>
    </w:p>
    <w:p w:rsidR="007921D2" w:rsidRPr="00376241" w:rsidP="007921D2" w14:paraId="46FCDA68" w14:textId="77777777">
      <w:pPr>
        <w:pStyle w:val="BodyTextIndent"/>
        <w:numPr>
          <w:ilvl w:val="1"/>
          <w:numId w:val="2"/>
        </w:numPr>
        <w:rPr>
          <w:szCs w:val="24"/>
        </w:rPr>
      </w:pPr>
      <w:r w:rsidRPr="00376241">
        <w:rPr>
          <w:szCs w:val="24"/>
          <w:u w:val="single"/>
        </w:rPr>
        <w:t>Effort to identify duplication:</w:t>
      </w:r>
    </w:p>
    <w:p w:rsidR="007921D2" w:rsidRPr="00376241" w:rsidP="007921D2" w14:paraId="6D53AE0E" w14:textId="77777777">
      <w:pPr>
        <w:pStyle w:val="BodyTextIndent"/>
        <w:rPr>
          <w:szCs w:val="24"/>
        </w:rPr>
      </w:pPr>
    </w:p>
    <w:p w:rsidR="007921D2" w:rsidRPr="00376241" w:rsidP="00D80E81" w14:paraId="3E494CF7" w14:textId="392C1E17">
      <w:pPr>
        <w:pStyle w:val="BodyTextIndent"/>
        <w:ind w:left="1080"/>
        <w:rPr>
          <w:szCs w:val="24"/>
        </w:rPr>
      </w:pPr>
      <w:r w:rsidRPr="00376241">
        <w:rPr>
          <w:szCs w:val="24"/>
        </w:rPr>
        <w:t>No other federal law mandates these requirements and therefore the reporting requirements are not otherwise duplicated.</w:t>
      </w:r>
    </w:p>
    <w:p w:rsidR="007921D2" w:rsidRPr="00165952" w:rsidP="007921D2" w14:paraId="1D1A7F91" w14:textId="77777777">
      <w:pPr>
        <w:widowControl/>
        <w:ind w:firstLine="720"/>
        <w:rPr>
          <w:rFonts w:ascii="Times New Roman" w:hAnsi="Times New Roman"/>
          <w:color w:val="FF0000"/>
          <w:szCs w:val="24"/>
        </w:rPr>
      </w:pPr>
    </w:p>
    <w:p w:rsidR="007921D2" w:rsidRPr="006C0037" w:rsidP="007921D2" w14:paraId="1C9C9D5E" w14:textId="77777777">
      <w:pPr>
        <w:pStyle w:val="BodyTextIndent"/>
        <w:numPr>
          <w:ilvl w:val="1"/>
          <w:numId w:val="2"/>
        </w:numPr>
        <w:rPr>
          <w:szCs w:val="24"/>
        </w:rPr>
      </w:pPr>
      <w:r w:rsidRPr="006C0037">
        <w:rPr>
          <w:szCs w:val="24"/>
          <w:u w:val="single"/>
        </w:rPr>
        <w:t>Methods used to minimize burden if the collection has a significant impact on a substantial number of small entities:</w:t>
      </w:r>
    </w:p>
    <w:p w:rsidR="00F94FA6" w:rsidRPr="006C0037" w:rsidP="00F94FA6" w14:paraId="430EAC21" w14:textId="77777777">
      <w:pPr>
        <w:pStyle w:val="BodyTextIndent"/>
        <w:rPr>
          <w:szCs w:val="24"/>
          <w:u w:val="single"/>
        </w:rPr>
      </w:pPr>
    </w:p>
    <w:p w:rsidR="00F94FA6" w:rsidRPr="006C0037" w:rsidP="00D80E81" w14:paraId="668827B1" w14:textId="0DA7BE69">
      <w:pPr>
        <w:pStyle w:val="BodyTextIndent"/>
        <w:ind w:left="1080"/>
      </w:pPr>
      <w:r w:rsidRPr="006C0037">
        <w:t>The FDIC believes the proposed rule is unlikely to have a significant economic impact on a substantial number of small entities.</w:t>
      </w:r>
    </w:p>
    <w:p w:rsidR="00B40E4F" w:rsidP="007921D2" w14:paraId="2924071B" w14:textId="77777777">
      <w:pPr>
        <w:pStyle w:val="BodyTextIndent"/>
        <w:ind w:left="1080"/>
        <w:rPr>
          <w:color w:val="FF0000"/>
        </w:rPr>
      </w:pPr>
    </w:p>
    <w:p w:rsidR="0035215B" w:rsidRPr="00292781" w:rsidP="007921D2" w14:paraId="7A4A8852" w14:textId="77777777">
      <w:pPr>
        <w:pStyle w:val="BodyTextIndent"/>
        <w:ind w:left="1080"/>
      </w:pPr>
      <w:r w:rsidRPr="00292781">
        <w:t xml:space="preserve">Generally, the FDIC considers a significant economic impact to be a quantified effect </w:t>
      </w:r>
      <w:r w:rsidRPr="00292781">
        <w:t>in excess of</w:t>
      </w:r>
      <w:r w:rsidRPr="00292781">
        <w:t xml:space="preserve"> 5 percent of total annual salaries and benefits or 2.5 percent of total noninterest expenses. To estimate the economic impact of the proposed rule on each small entity, the FDIC compares expected outcomes under the proposed rule to expected outcomes under a baseline absent the proposed rule. </w:t>
      </w:r>
    </w:p>
    <w:p w:rsidR="0035215B" w:rsidP="007921D2" w14:paraId="38BA7CB6" w14:textId="77777777">
      <w:pPr>
        <w:pStyle w:val="BodyTextIndent"/>
        <w:ind w:left="1080"/>
        <w:rPr>
          <w:color w:val="FF0000"/>
        </w:rPr>
      </w:pPr>
    </w:p>
    <w:p w:rsidR="0035215B" w:rsidP="007921D2" w14:paraId="56DA1EF6" w14:textId="5346B1C1">
      <w:pPr>
        <w:pStyle w:val="BodyTextIndent"/>
        <w:ind w:left="1080"/>
        <w:rPr>
          <w:color w:val="FF0000"/>
        </w:rPr>
      </w:pPr>
      <w:r w:rsidRPr="00D37715">
        <w:t>The proposed rule would apply to all FDIC-insured institutions, parent holding companies of insured depository institutions, persons and entities requesting information from the FDIC under FOIA, persons and entities requesting information from the FDIC in connection with legal proceedings, and persons and entities serving legal process on the FDIC. As of the quarter ending December 31, 2025, the FDIC insures 4,345 depository institutions, of which 2,996 are small.</w:t>
      </w:r>
      <w:r>
        <w:rPr>
          <w:rStyle w:val="FootnoteReference"/>
          <w:vertAlign w:val="superscript"/>
        </w:rPr>
        <w:footnoteReference w:id="3"/>
      </w:r>
      <w:r w:rsidRPr="00D37715">
        <w:t xml:space="preserve"> In addition, 3,600 holding companies were active as of December 31, </w:t>
      </w:r>
      <w:r w:rsidRPr="00D37715">
        <w:t>2025</w:t>
      </w:r>
      <w:r w:rsidRPr="00D37715">
        <w:t xml:space="preserve"> and filed a Y–9C or Y–9SP.</w:t>
      </w:r>
      <w:r>
        <w:rPr>
          <w:rStyle w:val="FootnoteReference"/>
          <w:vertAlign w:val="superscript"/>
        </w:rPr>
        <w:footnoteReference w:id="4"/>
      </w:r>
      <w:r w:rsidRPr="00D37715">
        <w:t xml:space="preserve"> Of these, 2,253 are small entities for purposes of RFA.</w:t>
      </w:r>
      <w:r>
        <w:rPr>
          <w:rStyle w:val="FootnoteReference"/>
          <w:vertAlign w:val="superscript"/>
        </w:rPr>
        <w:footnoteReference w:id="5"/>
      </w:r>
      <w:r w:rsidRPr="00D37715">
        <w:t xml:space="preserve"> The FDIC does not possess the data to estimate the population of the persons and entities other than insured depository institutions that are potentially affected by the proposed rule. However, the FDIC reviewed a random sample of 50 discretionary disclosure requests (requests) received over the last ten years from a full population of 1,262 DDRs. Of these requests, 19 were made by banks, 17 by government entities, and two by law and accounting firms, neither of which was a small entity. For 12 requests, it was not possible based on the data drawn to identify who made the request. </w:t>
      </w:r>
    </w:p>
    <w:p w:rsidR="0035215B" w:rsidP="007921D2" w14:paraId="791A6765" w14:textId="77777777">
      <w:pPr>
        <w:pStyle w:val="BodyTextIndent"/>
        <w:ind w:left="1080"/>
        <w:rPr>
          <w:color w:val="FF0000"/>
        </w:rPr>
      </w:pPr>
    </w:p>
    <w:p w:rsidR="00582FFD" w:rsidRPr="00DC7168" w:rsidP="00582FFD" w14:paraId="4E25BC11" w14:textId="7099D743">
      <w:pPr>
        <w:pStyle w:val="NoSpacing"/>
        <w:ind w:left="1080"/>
        <w:rPr>
          <w:rFonts w:ascii="Times New Roman" w:eastAsia="Aptos" w:hAnsi="Times New Roman"/>
          <w:snapToGrid/>
          <w:szCs w:val="24"/>
        </w:rPr>
      </w:pPr>
      <w:r w:rsidRPr="00DC7168">
        <w:rPr>
          <w:rFonts w:ascii="Times New Roman" w:eastAsia="Aptos" w:hAnsi="Times New Roman"/>
          <w:snapToGrid/>
          <w:szCs w:val="24"/>
        </w:rPr>
        <w:t>For the 31 requests that were potentially made by small entities (19 banks and 12 unknown), 12 were identified as being made by large banks, leaving an upper bound of 19 possible requests by small entities in the sample of 50, a proportion of 38 percent. Extrapolating this to the full population of 1262 requests over ten years gives an upper-bound estimate of 48 for the annual number of requests from small entities.</w:t>
      </w:r>
      <w:r>
        <w:rPr>
          <w:rFonts w:ascii="Times New Roman" w:eastAsia="Aptos" w:hAnsi="Times New Roman"/>
          <w:snapToGrid/>
          <w:szCs w:val="24"/>
          <w:vertAlign w:val="superscript"/>
        </w:rPr>
        <w:footnoteReference w:id="6"/>
      </w:r>
    </w:p>
    <w:p w:rsidR="006B14FC" w:rsidP="008D4DEB" w14:paraId="429281E7" w14:textId="77777777">
      <w:pPr>
        <w:pStyle w:val="NoSpacing"/>
        <w:ind w:left="1080"/>
        <w:rPr>
          <w:rFonts w:ascii="Times New Roman" w:hAnsi="Times New Roman"/>
          <w:szCs w:val="24"/>
        </w:rPr>
      </w:pPr>
    </w:p>
    <w:p w:rsidR="008D4DEB" w:rsidRPr="00DC7168" w:rsidP="008D4DEB" w14:paraId="5DEA245C" w14:textId="58E41F52">
      <w:pPr>
        <w:pStyle w:val="NoSpacing"/>
        <w:ind w:left="1080"/>
        <w:rPr>
          <w:rFonts w:ascii="Times New Roman" w:hAnsi="Times New Roman"/>
          <w:szCs w:val="24"/>
        </w:rPr>
      </w:pPr>
      <w:r w:rsidRPr="00DC7168">
        <w:rPr>
          <w:rFonts w:ascii="Times New Roman" w:hAnsi="Times New Roman"/>
          <w:szCs w:val="24"/>
        </w:rPr>
        <w:t xml:space="preserve">The largest effect of this rule on small entities is likely to be a reduction in the </w:t>
      </w:r>
      <w:r w:rsidRPr="00DC7168">
        <w:rPr>
          <w:rFonts w:ascii="Times New Roman" w:hAnsi="Times New Roman"/>
          <w:szCs w:val="24"/>
        </w:rPr>
        <w:t>number of requests made by small insured depository institutions due to the change in regulation. Of the 19 requests submitted by potential small entities that were reviewed for this analysis, the FDIC estimates that eight would be rendered unnecessary by the proposed rule, a proportion of 42.1 percent. Applying this to the upper bound estimate (48 annual requests) yields an upper bound reduction of approximately 20 requests from small entities, so that at most 20 small entities will be affected each year. The FDIC does not consider 20 to be a substantial number of small entities, even under the extremely conservative assumption that making a single request in a year constitutes a significant economic impact.</w:t>
      </w:r>
    </w:p>
    <w:p w:rsidR="008D4DEB" w:rsidRPr="00DC7168" w:rsidP="00582FFD" w14:paraId="0F662D72" w14:textId="77777777">
      <w:pPr>
        <w:pStyle w:val="NoSpacing"/>
        <w:ind w:left="1080"/>
        <w:rPr>
          <w:rFonts w:ascii="Times New Roman" w:eastAsia="Aptos" w:hAnsi="Times New Roman"/>
          <w:snapToGrid/>
          <w:szCs w:val="24"/>
        </w:rPr>
      </w:pPr>
    </w:p>
    <w:p w:rsidR="00A563D5" w:rsidRPr="00DC7168" w:rsidP="00A563D5" w14:paraId="7203D3F9" w14:textId="77777777">
      <w:pPr>
        <w:pStyle w:val="NoSpacing"/>
        <w:ind w:left="1080"/>
        <w:rPr>
          <w:rFonts w:ascii="Times New Roman" w:hAnsi="Times New Roman"/>
          <w:szCs w:val="24"/>
        </w:rPr>
      </w:pPr>
      <w:r w:rsidRPr="00DC7168">
        <w:rPr>
          <w:rFonts w:ascii="Times New Roman" w:hAnsi="Times New Roman"/>
          <w:szCs w:val="24"/>
        </w:rPr>
        <w:t xml:space="preserve">The other effects of the rule which could impact small entities that are not contingent on filing a request are: (1) the benefit from reduced uncertainty about the FDIC’s regulations governing disclosure of information; and (2) the potential risk of increased unauthorized sharing of confidential information. As discussed above, neither of these effects are material, particularly for small entities. </w:t>
      </w:r>
    </w:p>
    <w:p w:rsidR="00A563D5" w:rsidRPr="00DC7168" w:rsidP="00A563D5" w14:paraId="12EF8C33" w14:textId="77777777">
      <w:pPr>
        <w:pStyle w:val="NoSpacing"/>
        <w:rPr>
          <w:rFonts w:ascii="Times New Roman" w:hAnsi="Times New Roman"/>
          <w:szCs w:val="24"/>
        </w:rPr>
      </w:pPr>
    </w:p>
    <w:p w:rsidR="00A563D5" w:rsidRPr="00DC7168" w:rsidP="00A563D5" w14:paraId="17E7E65B" w14:textId="7E75C281">
      <w:pPr>
        <w:pStyle w:val="NoSpacing"/>
        <w:ind w:left="1080"/>
        <w:rPr>
          <w:rFonts w:ascii="Times New Roman" w:hAnsi="Times New Roman"/>
          <w:szCs w:val="24"/>
        </w:rPr>
      </w:pPr>
      <w:r w:rsidRPr="00DC7168">
        <w:rPr>
          <w:rFonts w:ascii="Times New Roman" w:hAnsi="Times New Roman"/>
          <w:szCs w:val="24"/>
        </w:rPr>
        <w:t>Based on the preceding statement of factual basis, the FDIC certifies that the proposed rule will not, if promulgated, have a significant economic impact on a substantial number of small entities. Accordingly, an initial regulatory flexibility analysis is not required.</w:t>
      </w:r>
      <w:r>
        <w:rPr>
          <w:rStyle w:val="FootnoteReference"/>
          <w:szCs w:val="24"/>
          <w:vertAlign w:val="superscript"/>
        </w:rPr>
        <w:footnoteReference w:id="7"/>
      </w:r>
    </w:p>
    <w:p w:rsidR="0035215B" w:rsidRPr="00165952" w:rsidP="00DC7168" w14:paraId="286D5227" w14:textId="77777777">
      <w:pPr>
        <w:pStyle w:val="BodyTextIndent"/>
        <w:ind w:left="0"/>
        <w:rPr>
          <w:color w:val="FF0000"/>
          <w:szCs w:val="24"/>
        </w:rPr>
      </w:pPr>
    </w:p>
    <w:p w:rsidR="007921D2" w:rsidRPr="00B0077A" w:rsidP="007921D2" w14:paraId="1356A1B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B0077A">
        <w:rPr>
          <w:rFonts w:ascii="Times New Roman" w:hAnsi="Times New Roman"/>
          <w:szCs w:val="24"/>
          <w:u w:val="single"/>
        </w:rPr>
        <w:t>Consequences to the Federal program if the collection were conducted less frequently:</w:t>
      </w:r>
    </w:p>
    <w:p w:rsidR="007921D2" w:rsidRPr="00165952" w:rsidP="007D0E77" w14:paraId="7D8593DB" w14:textId="77777777">
      <w:pPr>
        <w:ind w:left="720"/>
        <w:rPr>
          <w:rFonts w:ascii="Times New Roman" w:hAnsi="Times New Roman"/>
          <w:color w:val="FF0000"/>
          <w:szCs w:val="24"/>
        </w:rPr>
      </w:pPr>
    </w:p>
    <w:p w:rsidR="00E00051" w:rsidP="000316F0" w14:paraId="2BCCF73B" w14:textId="592D2373">
      <w:pPr>
        <w:autoSpaceDE w:val="0"/>
        <w:autoSpaceDN w:val="0"/>
        <w:ind w:left="1080"/>
        <w:rPr>
          <w:rFonts w:ascii="Times New Roman" w:hAnsi="Times New Roman"/>
        </w:rPr>
      </w:pPr>
      <w:r w:rsidRPr="0084387D">
        <w:rPr>
          <w:rFonts w:ascii="Times New Roman" w:hAnsi="Times New Roman"/>
        </w:rPr>
        <w:t xml:space="preserve">The FDIC’s regulations set forth procedures, requirements, and restrictions for the disclosure of information by the FDIC and by other parties, including insured depository institutions, that may be in possession of the FDIC’s confidential information. These include rules related to disclosure by the FDIC of information under </w:t>
      </w:r>
      <w:r w:rsidR="00776CA0">
        <w:rPr>
          <w:rFonts w:ascii="Times New Roman" w:hAnsi="Times New Roman"/>
        </w:rPr>
        <w:t>FOIA</w:t>
      </w:r>
      <w:r w:rsidRPr="0084387D">
        <w:rPr>
          <w:rFonts w:ascii="Times New Roman" w:hAnsi="Times New Roman"/>
        </w:rPr>
        <w:t xml:space="preserve">, disclosure by the FDIC and other parties of information that </w:t>
      </w:r>
      <w:r w:rsidRPr="0084387D">
        <w:rPr>
          <w:rFonts w:ascii="Times New Roman" w:hAnsi="Times New Roman"/>
        </w:rPr>
        <w:t>is</w:t>
      </w:r>
      <w:r w:rsidRPr="0084387D">
        <w:rPr>
          <w:rFonts w:ascii="Times New Roman" w:hAnsi="Times New Roman"/>
        </w:rPr>
        <w:t xml:space="preserve"> confidential and exempt from disclosure under FOIA, and information related to legal proceedings (collectively, the information disclosure regulations). </w:t>
      </w:r>
    </w:p>
    <w:p w:rsidR="00B04ECD" w:rsidP="000316F0" w14:paraId="26F090F0" w14:textId="77777777">
      <w:pPr>
        <w:autoSpaceDE w:val="0"/>
        <w:autoSpaceDN w:val="0"/>
        <w:ind w:left="1080"/>
        <w:rPr>
          <w:rFonts w:ascii="Times New Roman" w:hAnsi="Times New Roman"/>
        </w:rPr>
      </w:pPr>
    </w:p>
    <w:p w:rsidR="00B04ECD" w:rsidP="00B04ECD" w14:paraId="14F4B1E5" w14:textId="203618FB">
      <w:pPr>
        <w:autoSpaceDE w:val="0"/>
        <w:autoSpaceDN w:val="0"/>
        <w:ind w:left="1080"/>
        <w:rPr>
          <w:rFonts w:ascii="Times New Roman" w:hAnsi="Times New Roman"/>
        </w:rPr>
      </w:pPr>
      <w:r>
        <w:rPr>
          <w:rFonts w:ascii="Times New Roman" w:hAnsi="Times New Roman"/>
        </w:rPr>
        <w:t>T</w:t>
      </w:r>
      <w:r w:rsidRPr="00B04ECD">
        <w:rPr>
          <w:rFonts w:ascii="Times New Roman" w:hAnsi="Times New Roman"/>
        </w:rPr>
        <w:t xml:space="preserve">he FDIC’s current information disclosure regulations (1) do not reflect or appropriately accommodate the business relationships and transactions that often give rise to a need by insured depository institutions to disclose the information subject to these provisions; (2) include administrative impediments to disclosing information that are unnecessarily burdensome and may produce inconsistent results; (3) use terms that are outdated or vague; and (4) impose additional restrictions on the disclosure of confidential information by insured depository institutions that are not imposed under information disclosure regulations of the other federal banking agencies. </w:t>
      </w:r>
    </w:p>
    <w:p w:rsidR="005040EA" w:rsidP="00B04ECD" w14:paraId="029FB911" w14:textId="77777777">
      <w:pPr>
        <w:autoSpaceDE w:val="0"/>
        <w:autoSpaceDN w:val="0"/>
        <w:ind w:left="1080"/>
        <w:rPr>
          <w:rFonts w:ascii="Times New Roman" w:hAnsi="Times New Roman"/>
        </w:rPr>
      </w:pPr>
    </w:p>
    <w:p w:rsidR="000316F0" w:rsidRPr="005040EA" w:rsidP="005040EA" w14:paraId="1270CD8E" w14:textId="727B277F">
      <w:pPr>
        <w:autoSpaceDE w:val="0"/>
        <w:autoSpaceDN w:val="0"/>
        <w:ind w:left="1080"/>
        <w:rPr>
          <w:rFonts w:ascii="Times New Roman" w:hAnsi="Times New Roman"/>
          <w:b/>
          <w:bCs/>
        </w:rPr>
      </w:pPr>
      <w:r w:rsidRPr="0084387D">
        <w:rPr>
          <w:rFonts w:ascii="Times New Roman" w:hAnsi="Times New Roman"/>
        </w:rPr>
        <w:t xml:space="preserve">The proposal seeks to address these and other issues, </w:t>
      </w:r>
      <w:r w:rsidRPr="0084387D">
        <w:rPr>
          <w:rFonts w:ascii="Times New Roman" w:hAnsi="Times New Roman"/>
        </w:rPr>
        <w:t>including by</w:t>
      </w:r>
      <w:r w:rsidRPr="0084387D">
        <w:rPr>
          <w:rFonts w:ascii="Times New Roman" w:hAnsi="Times New Roman"/>
        </w:rPr>
        <w:t xml:space="preserve"> providing flexibility to FDIC-supervised institutions to disclose information they commonly seek to share with certain third parties without prior approval of the FDIC and significantly reorganizing the FDIC’s information dis</w:t>
      </w:r>
      <w:r w:rsidRPr="005040EA">
        <w:rPr>
          <w:rFonts w:ascii="Times New Roman" w:hAnsi="Times New Roman"/>
        </w:rPr>
        <w:t>closure regulations.</w:t>
      </w:r>
      <w:r w:rsidR="00437223">
        <w:rPr>
          <w:rFonts w:ascii="Times New Roman" w:hAnsi="Times New Roman"/>
        </w:rPr>
        <w:t xml:space="preserve"> </w:t>
      </w:r>
      <w:r w:rsidRPr="005040EA" w:rsidR="00543FDA">
        <w:rPr>
          <w:rFonts w:ascii="Times New Roman" w:eastAsia="Source Sans Pro" w:hAnsi="Times New Roman"/>
          <w:snapToGrid/>
          <w:szCs w:val="24"/>
          <w:lang w:bidi="en-US"/>
        </w:rPr>
        <w:t>This</w:t>
      </w:r>
      <w:r w:rsidRPr="005040EA" w:rsidR="00543FDA">
        <w:rPr>
          <w:rFonts w:ascii="Times New Roman" w:eastAsia="Source Sans Pro" w:hAnsi="Times New Roman"/>
          <w:snapToGrid/>
          <w:szCs w:val="24"/>
          <w:lang w:bidi="en-US"/>
        </w:rPr>
        <w:t xml:space="preserve"> </w:t>
      </w:r>
      <w:r w:rsidRPr="005040EA" w:rsidR="00543FDA">
        <w:rPr>
          <w:rFonts w:ascii="Times New Roman" w:eastAsia="Source Sans Pro" w:hAnsi="Times New Roman"/>
          <w:snapToGrid/>
          <w:szCs w:val="24"/>
          <w:lang w:bidi="en-US"/>
        </w:rPr>
        <w:t xml:space="preserve">collection is necessary to </w:t>
      </w:r>
      <w:r w:rsidRPr="005040EA" w:rsidR="00B21AAA">
        <w:rPr>
          <w:rFonts w:ascii="Times New Roman" w:eastAsia="Source Sans Pro" w:hAnsi="Times New Roman"/>
          <w:snapToGrid/>
          <w:szCs w:val="24"/>
          <w:lang w:bidi="en-US"/>
        </w:rPr>
        <w:t xml:space="preserve">implement these changes. </w:t>
      </w:r>
      <w:r w:rsidRPr="00165952">
        <w:rPr>
          <w:rFonts w:ascii="Times New Roman" w:eastAsia="Source Sans Pro" w:hAnsi="Times New Roman"/>
          <w:snapToGrid/>
          <w:color w:val="FF0000"/>
          <w:szCs w:val="24"/>
          <w:lang w:bidi="en-US"/>
        </w:rPr>
        <w:tab/>
      </w:r>
    </w:p>
    <w:p w:rsidR="007921D2" w:rsidRPr="00165952" w:rsidP="00950ECD" w14:paraId="210E3913" w14:textId="77777777">
      <w:pPr>
        <w:pStyle w:val="BodyTextIndent"/>
        <w:ind w:left="0"/>
        <w:rPr>
          <w:color w:val="FF0000"/>
          <w:szCs w:val="24"/>
        </w:rPr>
      </w:pPr>
    </w:p>
    <w:p w:rsidR="007921D2" w:rsidRPr="00562F47" w:rsidP="007921D2" w14:paraId="39B04700"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562F47">
        <w:rPr>
          <w:rFonts w:ascii="Times New Roman" w:hAnsi="Times New Roman"/>
          <w:szCs w:val="24"/>
          <w:u w:val="single"/>
        </w:rPr>
        <w:t>Special circumstances necessitating collection inconsistent with 5 CFR 1320.5(d)(2):</w:t>
      </w:r>
    </w:p>
    <w:p w:rsidR="007921D2" w:rsidRPr="00562F47" w:rsidP="007921D2" w14:paraId="3AA08E36" w14:textId="77777777">
      <w:pPr>
        <w:rPr>
          <w:rFonts w:ascii="Times New Roman" w:hAnsi="Times New Roman"/>
          <w:szCs w:val="24"/>
        </w:rPr>
      </w:pPr>
    </w:p>
    <w:p w:rsidR="007921D2" w:rsidRPr="00562F47" w:rsidP="007921D2" w14:paraId="3C7C84D6"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562F47">
        <w:rPr>
          <w:rFonts w:ascii="Times New Roman" w:hAnsi="Times New Roman"/>
          <w:szCs w:val="24"/>
        </w:rPr>
        <w:t>None. This information collection is conducted in accordance with the guidelines in 5 CFR 1320.5(d)(2).</w:t>
      </w:r>
    </w:p>
    <w:p w:rsidR="007921D2" w:rsidRPr="00562F47" w:rsidP="007921D2" w14:paraId="1000C9B5" w14:textId="77777777">
      <w:pPr>
        <w:rPr>
          <w:rFonts w:ascii="Times New Roman" w:hAnsi="Times New Roman"/>
          <w:szCs w:val="24"/>
        </w:rPr>
      </w:pPr>
    </w:p>
    <w:p w:rsidR="007921D2" w:rsidRPr="00562F47" w:rsidP="007921D2" w14:paraId="0946CE91"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562F47">
        <w:rPr>
          <w:rFonts w:ascii="Times New Roman" w:hAnsi="Times New Roman"/>
          <w:szCs w:val="24"/>
          <w:u w:val="single"/>
        </w:rPr>
        <w:t xml:space="preserve">Efforts to consult with </w:t>
      </w:r>
      <w:r w:rsidRPr="00562F47">
        <w:rPr>
          <w:rFonts w:ascii="Times New Roman" w:hAnsi="Times New Roman"/>
          <w:szCs w:val="24"/>
          <w:u w:val="single"/>
        </w:rPr>
        <w:t>persons</w:t>
      </w:r>
      <w:r w:rsidRPr="00562F47">
        <w:rPr>
          <w:rFonts w:ascii="Times New Roman" w:hAnsi="Times New Roman"/>
          <w:szCs w:val="24"/>
          <w:u w:val="single"/>
        </w:rPr>
        <w:t xml:space="preserve"> outside the agency:</w:t>
      </w:r>
    </w:p>
    <w:p w:rsidR="007921D2" w:rsidRPr="00562F47" w:rsidP="007921D2" w14:paraId="7C6F51C9" w14:textId="77777777">
      <w:pPr>
        <w:rPr>
          <w:rFonts w:ascii="Times New Roman" w:hAnsi="Times New Roman"/>
          <w:szCs w:val="24"/>
        </w:rPr>
      </w:pPr>
    </w:p>
    <w:p w:rsidR="007921D2" w:rsidRPr="00562F47" w:rsidP="007921D2" w14:paraId="55A1864D" w14:textId="35E4658B">
      <w:pPr>
        <w:pStyle w:val="BodyTextIndent"/>
        <w:ind w:left="1080"/>
        <w:rPr>
          <w:szCs w:val="24"/>
        </w:rPr>
      </w:pPr>
      <w:r w:rsidRPr="00562F47">
        <w:rPr>
          <w:szCs w:val="24"/>
        </w:rPr>
        <w:t xml:space="preserve">On </w:t>
      </w:r>
      <w:r w:rsidRPr="00562F47" w:rsidR="00D35C22">
        <w:rPr>
          <w:szCs w:val="24"/>
        </w:rPr>
        <w:t>June</w:t>
      </w:r>
      <w:r w:rsidRPr="00562F47" w:rsidR="00700D14">
        <w:rPr>
          <w:szCs w:val="24"/>
        </w:rPr>
        <w:t xml:space="preserve"> </w:t>
      </w:r>
      <w:r w:rsidRPr="00562F47" w:rsidR="008543B1">
        <w:rPr>
          <w:szCs w:val="24"/>
        </w:rPr>
        <w:t>30</w:t>
      </w:r>
      <w:r w:rsidRPr="00562F47" w:rsidR="00291B68">
        <w:rPr>
          <w:szCs w:val="24"/>
        </w:rPr>
        <w:t>,</w:t>
      </w:r>
      <w:r w:rsidRPr="00562F47">
        <w:rPr>
          <w:szCs w:val="24"/>
        </w:rPr>
        <w:t xml:space="preserve"> 202</w:t>
      </w:r>
      <w:r w:rsidRPr="00562F47" w:rsidR="00EB1F46">
        <w:rPr>
          <w:szCs w:val="24"/>
        </w:rPr>
        <w:t>6</w:t>
      </w:r>
      <w:r w:rsidRPr="00562F47">
        <w:rPr>
          <w:szCs w:val="24"/>
        </w:rPr>
        <w:t>, the FDIC issued a Notice of Proposed Rulemaking in the Federal Register (</w:t>
      </w:r>
      <w:r w:rsidRPr="00562F47" w:rsidR="00753228">
        <w:rPr>
          <w:szCs w:val="24"/>
        </w:rPr>
        <w:t>91</w:t>
      </w:r>
      <w:r w:rsidRPr="00562F47">
        <w:rPr>
          <w:szCs w:val="24"/>
        </w:rPr>
        <w:t xml:space="preserve"> FR </w:t>
      </w:r>
      <w:r w:rsidRPr="00562F47" w:rsidR="00A72566">
        <w:rPr>
          <w:szCs w:val="24"/>
        </w:rPr>
        <w:t>397</w:t>
      </w:r>
      <w:r w:rsidRPr="00562F47" w:rsidR="00562F47">
        <w:rPr>
          <w:szCs w:val="24"/>
        </w:rPr>
        <w:t>26</w:t>
      </w:r>
      <w:r w:rsidRPr="00562F47">
        <w:rPr>
          <w:szCs w:val="24"/>
        </w:rPr>
        <w:t>) seeking comment on the requirements under the PRA. The FDIC will consider any received during the comment when finalizing the Rule.</w:t>
      </w:r>
    </w:p>
    <w:p w:rsidR="007921D2" w:rsidRPr="00165952" w:rsidP="007921D2" w14:paraId="30AA2299" w14:textId="77777777">
      <w:pPr>
        <w:ind w:left="1440"/>
        <w:rPr>
          <w:rFonts w:ascii="Times New Roman" w:hAnsi="Times New Roman"/>
          <w:color w:val="FF0000"/>
          <w:szCs w:val="24"/>
        </w:rPr>
      </w:pPr>
    </w:p>
    <w:p w:rsidR="007921D2" w:rsidRPr="006835ED" w:rsidP="007921D2" w14:paraId="09FE0D45" w14:textId="77777777">
      <w:pPr>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835ED">
        <w:rPr>
          <w:rFonts w:ascii="Times New Roman" w:hAnsi="Times New Roman"/>
          <w:szCs w:val="24"/>
          <w:u w:val="single"/>
        </w:rPr>
        <w:t>Payment or gift to respondents:</w:t>
      </w:r>
    </w:p>
    <w:p w:rsidR="007921D2" w:rsidRPr="006835ED" w:rsidP="007921D2" w14:paraId="724FC0B1" w14:textId="77777777">
      <w:pPr>
        <w:rPr>
          <w:rFonts w:ascii="Times New Roman" w:hAnsi="Times New Roman"/>
          <w:szCs w:val="24"/>
        </w:rPr>
      </w:pPr>
    </w:p>
    <w:p w:rsidR="007921D2" w:rsidRPr="006835ED" w:rsidP="007921D2" w14:paraId="78A04214" w14:textId="77777777">
      <w:pPr>
        <w:ind w:left="360" w:firstLine="720"/>
        <w:rPr>
          <w:rFonts w:ascii="Times New Roman" w:hAnsi="Times New Roman"/>
          <w:szCs w:val="24"/>
        </w:rPr>
      </w:pPr>
      <w:r w:rsidRPr="006835ED">
        <w:rPr>
          <w:rFonts w:ascii="Times New Roman" w:hAnsi="Times New Roman"/>
          <w:szCs w:val="24"/>
        </w:rPr>
        <w:t>None.</w:t>
      </w:r>
    </w:p>
    <w:p w:rsidR="007921D2" w:rsidRPr="006835ED" w:rsidP="007921D2" w14:paraId="3713FC2B" w14:textId="77777777">
      <w:pPr>
        <w:rPr>
          <w:rFonts w:ascii="Times New Roman" w:hAnsi="Times New Roman"/>
          <w:szCs w:val="24"/>
        </w:rPr>
      </w:pPr>
    </w:p>
    <w:p w:rsidR="007921D2" w:rsidRPr="006835ED" w:rsidP="007921D2" w14:paraId="14BDBDB0" w14:textId="77777777">
      <w:pPr>
        <w:pStyle w:val="ListParagraph"/>
        <w:widowControl/>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835ED">
        <w:rPr>
          <w:rFonts w:ascii="Times New Roman" w:hAnsi="Times New Roman"/>
          <w:szCs w:val="24"/>
          <w:u w:val="single"/>
        </w:rPr>
        <w:t>Any assurance of confidentiality:</w:t>
      </w:r>
      <w:r w:rsidRPr="006835ED">
        <w:rPr>
          <w:rFonts w:ascii="Times New Roman" w:hAnsi="Times New Roman"/>
          <w:szCs w:val="24"/>
        </w:rPr>
        <w:tab/>
      </w:r>
    </w:p>
    <w:p w:rsidR="007921D2" w:rsidRPr="006835ED" w:rsidP="007921D2" w14:paraId="4E22C807" w14:textId="77777777">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6835ED" w:rsidP="007921D2" w14:paraId="27608C23" w14:textId="1BFF1345">
      <w:pPr>
        <w:widowControl/>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080"/>
        <w:jc w:val="both"/>
        <w:rPr>
          <w:rFonts w:ascii="Times New Roman" w:hAnsi="Times New Roman"/>
          <w:szCs w:val="24"/>
        </w:rPr>
      </w:pPr>
      <w:r w:rsidRPr="006835ED">
        <w:rPr>
          <w:rFonts w:ascii="Times New Roman" w:hAnsi="Times New Roman"/>
          <w:szCs w:val="24"/>
        </w:rPr>
        <w:t>Information collected is kept private to the extent allowed by law. All required records are subject to the confidentiality requirements of the Privacy Act.</w:t>
      </w:r>
      <w:r w:rsidRPr="006835ED" w:rsidR="00606FCF">
        <w:rPr>
          <w:rFonts w:ascii="Times New Roman" w:hAnsi="Times New Roman"/>
          <w:szCs w:val="24"/>
        </w:rPr>
        <w:t xml:space="preserve"> </w:t>
      </w:r>
      <w:r w:rsidRPr="006835ED">
        <w:rPr>
          <w:rFonts w:ascii="Times New Roman" w:hAnsi="Times New Roman"/>
          <w:szCs w:val="24"/>
        </w:rPr>
        <w:t>In addition, any information deemed to be of a confidential nature is exempt from public disclosure in accordance with the provisions of the Freedom of Information Act (5 U.S.C. 552).</w:t>
      </w:r>
    </w:p>
    <w:p w:rsidR="007921D2" w:rsidRPr="006835ED" w:rsidP="007921D2" w14:paraId="3DECDB27" w14:textId="77777777">
      <w:pPr>
        <w:ind w:left="840" w:hanging="120"/>
        <w:rPr>
          <w:rFonts w:ascii="Times New Roman" w:hAnsi="Times New Roman"/>
          <w:szCs w:val="24"/>
        </w:rPr>
      </w:pPr>
    </w:p>
    <w:p w:rsidR="007921D2" w:rsidRPr="006835ED" w:rsidP="007921D2" w14:paraId="42A04919" w14:textId="77777777">
      <w:pPr>
        <w:widowControl/>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6835ED">
        <w:rPr>
          <w:rFonts w:ascii="Times New Roman" w:hAnsi="Times New Roman"/>
          <w:szCs w:val="24"/>
          <w:u w:val="single"/>
        </w:rPr>
        <w:t>Justification for questions of a sensitive nature:</w:t>
      </w:r>
    </w:p>
    <w:p w:rsidR="007921D2" w:rsidRPr="006835ED" w:rsidP="007921D2" w14:paraId="1A212D6F" w14:textId="77777777">
      <w:pPr>
        <w:rPr>
          <w:rFonts w:ascii="Times New Roman" w:hAnsi="Times New Roman"/>
          <w:szCs w:val="24"/>
        </w:rPr>
      </w:pPr>
    </w:p>
    <w:p w:rsidR="007921D2" w:rsidRPr="006835ED" w:rsidP="007921D2" w14:paraId="05D8BDA4" w14:textId="2AE9006A">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szCs w:val="24"/>
        </w:rPr>
      </w:pPr>
      <w:r w:rsidRPr="006835ED">
        <w:rPr>
          <w:rFonts w:ascii="Times New Roman" w:hAnsi="Times New Roman"/>
          <w:szCs w:val="24"/>
        </w:rPr>
        <w:t>No questions of a sensitive nature are included in the collection.</w:t>
      </w:r>
    </w:p>
    <w:p w:rsidR="009D4FC2" w:rsidRPr="00165952" w:rsidP="007921D2" w14:paraId="6B9147FA"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1080"/>
        <w:jc w:val="both"/>
        <w:rPr>
          <w:rFonts w:ascii="Times New Roman" w:hAnsi="Times New Roman"/>
          <w:color w:val="FF0000"/>
          <w:szCs w:val="24"/>
        </w:rPr>
      </w:pPr>
    </w:p>
    <w:p w:rsidR="007921D2" w:rsidRPr="000D7F68" w:rsidP="009D4FC2" w14:paraId="66EFE689" w14:textId="281DB38B">
      <w:pPr>
        <w:pStyle w:val="ListParagraph"/>
        <w:widowControl/>
        <w:numPr>
          <w:ilvl w:val="1"/>
          <w:numId w:val="2"/>
        </w:numPr>
        <w:rPr>
          <w:rFonts w:ascii="Times New Roman" w:hAnsi="Times New Roman"/>
          <w:szCs w:val="24"/>
        </w:rPr>
      </w:pPr>
      <w:r w:rsidRPr="000D7F68">
        <w:rPr>
          <w:rFonts w:ascii="Times New Roman" w:hAnsi="Times New Roman"/>
          <w:szCs w:val="24"/>
          <w:u w:val="single"/>
        </w:rPr>
        <w:t>Estimate of Hour Burden:</w:t>
      </w:r>
      <w:r w:rsidRPr="000D7F68">
        <w:rPr>
          <w:rFonts w:ascii="Times New Roman" w:hAnsi="Times New Roman"/>
          <w:szCs w:val="24"/>
        </w:rPr>
        <w:tab/>
      </w:r>
    </w:p>
    <w:p w:rsidR="007921D2" w:rsidRPr="000D7F68" w:rsidP="007921D2" w14:paraId="1C6C0B2F" w14:textId="77777777">
      <w:pPr>
        <w:rPr>
          <w:rFonts w:ascii="Times New Roman" w:hAnsi="Times New Roman"/>
          <w:szCs w:val="24"/>
        </w:rPr>
      </w:pPr>
      <w:r w:rsidRPr="000D7F68">
        <w:rPr>
          <w:rFonts w:ascii="Times New Roman" w:hAnsi="Times New Roman"/>
          <w:szCs w:val="24"/>
        </w:rPr>
        <w:tab/>
      </w:r>
    </w:p>
    <w:p w:rsidR="005F6452" w:rsidRPr="000D7F68" w:rsidP="005F6452" w14:paraId="62D9EF55" w14:textId="5EE65224">
      <w:pPr>
        <w:ind w:left="1080"/>
        <w:rPr>
          <w:rFonts w:ascii="Times New Roman" w:hAnsi="Times New Roman"/>
          <w:szCs w:val="24"/>
        </w:rPr>
      </w:pPr>
      <w:r w:rsidRPr="000D7F68">
        <w:rPr>
          <w:rFonts w:ascii="Times New Roman" w:hAnsi="Times New Roman"/>
          <w:szCs w:val="24"/>
        </w:rPr>
        <w:t>The proposed rule would update, clarify, and supplement the FDIC’s regulations regarding the disclosure of confidential information by the FDIC and other parties. The information collection requirements in the proposed rule are as follows</w:t>
      </w:r>
      <w:r w:rsidRPr="000D7F68">
        <w:rPr>
          <w:rFonts w:ascii="Times New Roman" w:hAnsi="Times New Roman"/>
          <w:szCs w:val="24"/>
        </w:rPr>
        <w:t xml:space="preserve">: </w:t>
      </w:r>
    </w:p>
    <w:p w:rsidR="005F6452" w:rsidRPr="000D7F68" w:rsidP="005F6452" w14:paraId="62B2620A" w14:textId="77777777">
      <w:pPr>
        <w:ind w:left="1080"/>
        <w:rPr>
          <w:rFonts w:ascii="Times New Roman" w:hAnsi="Times New Roman"/>
          <w:szCs w:val="24"/>
        </w:rPr>
      </w:pPr>
    </w:p>
    <w:p w:rsidR="004B5873" w:rsidRPr="000D7F68" w:rsidP="005F6452" w14:paraId="521C1C19" w14:textId="77777777">
      <w:pPr>
        <w:ind w:left="1080"/>
        <w:rPr>
          <w:rFonts w:ascii="Times New Roman" w:hAnsi="Times New Roman"/>
          <w:szCs w:val="24"/>
        </w:rPr>
      </w:pPr>
      <w:r w:rsidRPr="000D7F68">
        <w:rPr>
          <w:rFonts w:ascii="Times New Roman" w:hAnsi="Times New Roman"/>
          <w:szCs w:val="24"/>
        </w:rPr>
        <w:t xml:space="preserve">Section 309.34 would require requests for discretionary disclosure of confidential information to be submitted to the FDIC. </w:t>
      </w:r>
    </w:p>
    <w:p w:rsidR="004B5873" w:rsidRPr="000D7F68" w:rsidP="000D7F68" w14:paraId="04DB7405" w14:textId="77777777">
      <w:pPr>
        <w:rPr>
          <w:rFonts w:ascii="Times New Roman" w:hAnsi="Times New Roman"/>
          <w:szCs w:val="24"/>
        </w:rPr>
      </w:pPr>
    </w:p>
    <w:p w:rsidR="004B5873" w:rsidRPr="000D7F68" w:rsidP="005F6452" w14:paraId="502CBC57" w14:textId="77777777">
      <w:pPr>
        <w:ind w:left="1080"/>
        <w:rPr>
          <w:rFonts w:ascii="Times New Roman" w:hAnsi="Times New Roman"/>
          <w:szCs w:val="24"/>
        </w:rPr>
      </w:pPr>
      <w:r w:rsidRPr="000D7F68">
        <w:rPr>
          <w:rFonts w:ascii="Times New Roman" w:hAnsi="Times New Roman"/>
          <w:szCs w:val="24"/>
        </w:rPr>
        <w:t xml:space="preserve">Section 309.37(a)(1)(vii)(C) would require potential counterparties to submit a written waiver to the FDIC. </w:t>
      </w:r>
    </w:p>
    <w:p w:rsidR="004B5873" w:rsidRPr="000D7F68" w:rsidP="005F6452" w14:paraId="07798D3B" w14:textId="77777777">
      <w:pPr>
        <w:ind w:left="1080"/>
        <w:rPr>
          <w:rFonts w:ascii="Times New Roman" w:hAnsi="Times New Roman"/>
          <w:szCs w:val="24"/>
        </w:rPr>
      </w:pPr>
    </w:p>
    <w:p w:rsidR="004B5873" w:rsidP="005F6452" w14:paraId="05795308" w14:textId="5F42245B">
      <w:pPr>
        <w:ind w:left="1080"/>
        <w:rPr>
          <w:rFonts w:ascii="Times New Roman" w:hAnsi="Times New Roman"/>
          <w:szCs w:val="24"/>
        </w:rPr>
      </w:pPr>
      <w:r w:rsidRPr="000D7F68">
        <w:rPr>
          <w:rFonts w:ascii="Times New Roman" w:hAnsi="Times New Roman"/>
          <w:szCs w:val="24"/>
        </w:rPr>
        <w:t>Section 309.52(b) and (c) and section 309.53 would require a party in a legal proceeding, or any person substantially involved in the legal proceeding, to submit a request to the FDIC general counsel or designee.</w:t>
      </w:r>
    </w:p>
    <w:p w:rsidR="00571724" w:rsidP="005F6452" w14:paraId="1863056A" w14:textId="77777777">
      <w:pPr>
        <w:ind w:left="1080"/>
        <w:rPr>
          <w:rFonts w:ascii="Times New Roman" w:hAnsi="Times New Roman"/>
          <w:szCs w:val="24"/>
        </w:rPr>
      </w:pPr>
    </w:p>
    <w:tbl>
      <w:tblPr>
        <w:tblW w:w="4861" w:type="pct"/>
        <w:tblLook w:val="04A0"/>
      </w:tblPr>
      <w:tblGrid>
        <w:gridCol w:w="2319"/>
        <w:gridCol w:w="1408"/>
        <w:gridCol w:w="1624"/>
        <w:gridCol w:w="1432"/>
        <w:gridCol w:w="1334"/>
        <w:gridCol w:w="963"/>
      </w:tblGrid>
      <w:tr w14:paraId="265EC8AA" w14:textId="77777777" w:rsidTr="00571724">
        <w:tblPrEx>
          <w:tblW w:w="4861" w:type="pct"/>
          <w:tblLook w:val="04A0"/>
        </w:tblPrEx>
        <w:trPr>
          <w:trHeight w:val="359"/>
        </w:trPr>
        <w:tc>
          <w:tcPr>
            <w:tcW w:w="5000" w:type="pct"/>
            <w:gridSpan w:val="6"/>
            <w:tcBorders>
              <w:top w:val="single" w:sz="8" w:space="0" w:color="auto"/>
              <w:left w:val="single" w:sz="8" w:space="0" w:color="auto"/>
              <w:bottom w:val="single" w:sz="8" w:space="0" w:color="auto"/>
              <w:right w:val="single" w:sz="8" w:space="0" w:color="000000"/>
            </w:tcBorders>
            <w:vAlign w:val="center"/>
            <w:hideMark/>
          </w:tcPr>
          <w:p w:rsidR="00571724" w:rsidRPr="008C6C19" w:rsidP="00571724" w14:paraId="0B9D2345" w14:textId="77777777">
            <w:pPr>
              <w:rPr>
                <w:rFonts w:ascii="Times New Roman" w:hAnsi="Times New Roman"/>
              </w:rPr>
            </w:pPr>
            <w:r w:rsidRPr="008C6C19">
              <w:rPr>
                <w:rFonts w:ascii="Times New Roman" w:hAnsi="Times New Roman"/>
              </w:rPr>
              <w:t>Table 1. Summary of Estimated Annual Burden (OMB No. 3064-</w:t>
            </w:r>
            <w:r>
              <w:rPr>
                <w:rFonts w:ascii="Times New Roman" w:hAnsi="Times New Roman"/>
              </w:rPr>
              <w:t>NEW</w:t>
            </w:r>
            <w:r w:rsidRPr="008C6C19">
              <w:rPr>
                <w:rFonts w:ascii="Times New Roman" w:hAnsi="Times New Roman"/>
              </w:rPr>
              <w:t>)</w:t>
            </w:r>
          </w:p>
        </w:tc>
      </w:tr>
      <w:tr w14:paraId="240D6EB5" w14:textId="77777777" w:rsidTr="00571724">
        <w:tblPrEx>
          <w:tblW w:w="4861" w:type="pct"/>
          <w:tblLook w:val="04A0"/>
        </w:tblPrEx>
        <w:trPr>
          <w:trHeight w:val="838"/>
        </w:trPr>
        <w:tc>
          <w:tcPr>
            <w:tcW w:w="1295" w:type="pct"/>
            <w:tcBorders>
              <w:top w:val="nil"/>
              <w:left w:val="single" w:sz="8" w:space="0" w:color="auto"/>
              <w:bottom w:val="single" w:sz="8" w:space="0" w:color="auto"/>
              <w:right w:val="single" w:sz="8" w:space="0" w:color="auto"/>
            </w:tcBorders>
            <w:vAlign w:val="center"/>
            <w:hideMark/>
          </w:tcPr>
          <w:p w:rsidR="00571724" w:rsidRPr="008C6C19" w:rsidP="005F2007" w14:paraId="1D44D6E2" w14:textId="77777777">
            <w:pPr>
              <w:rPr>
                <w:rFonts w:ascii="Times New Roman" w:hAnsi="Times New Roman"/>
              </w:rPr>
            </w:pPr>
            <w:r w:rsidRPr="008C6C19">
              <w:rPr>
                <w:rFonts w:ascii="Times New Roman" w:hAnsi="Times New Roman"/>
              </w:rPr>
              <w:t>Information Collection (IC) (Obligation to Respond)</w:t>
            </w:r>
          </w:p>
        </w:tc>
        <w:tc>
          <w:tcPr>
            <w:tcW w:w="793" w:type="pct"/>
            <w:tcBorders>
              <w:top w:val="nil"/>
              <w:left w:val="nil"/>
              <w:bottom w:val="single" w:sz="8" w:space="0" w:color="auto"/>
              <w:right w:val="single" w:sz="8" w:space="0" w:color="auto"/>
            </w:tcBorders>
            <w:vAlign w:val="center"/>
            <w:hideMark/>
          </w:tcPr>
          <w:p w:rsidR="00571724" w:rsidRPr="008C6C19" w:rsidP="005F2007" w14:paraId="74F46D9F" w14:textId="77777777">
            <w:pPr>
              <w:jc w:val="center"/>
              <w:rPr>
                <w:rFonts w:ascii="Times New Roman" w:hAnsi="Times New Roman"/>
              </w:rPr>
            </w:pPr>
            <w:r w:rsidRPr="008C6C19">
              <w:rPr>
                <w:rFonts w:ascii="Times New Roman" w:hAnsi="Times New Roman"/>
              </w:rPr>
              <w:t>Type of Burden</w:t>
            </w:r>
            <w:r w:rsidRPr="008C6C19">
              <w:rPr>
                <w:rFonts w:ascii="Times New Roman" w:hAnsi="Times New Roman"/>
              </w:rPr>
              <w:br/>
              <w:t>(Frequency of Response)</w:t>
            </w:r>
          </w:p>
        </w:tc>
        <w:tc>
          <w:tcPr>
            <w:tcW w:w="912" w:type="pct"/>
            <w:tcBorders>
              <w:top w:val="nil"/>
              <w:left w:val="nil"/>
              <w:bottom w:val="single" w:sz="8" w:space="0" w:color="auto"/>
              <w:right w:val="single" w:sz="8" w:space="0" w:color="auto"/>
            </w:tcBorders>
            <w:vAlign w:val="center"/>
            <w:hideMark/>
          </w:tcPr>
          <w:p w:rsidR="00571724" w:rsidRPr="008C6C19" w:rsidP="005F2007" w14:paraId="601E5E93" w14:textId="77777777">
            <w:pPr>
              <w:jc w:val="center"/>
              <w:rPr>
                <w:rFonts w:ascii="Times New Roman" w:hAnsi="Times New Roman"/>
              </w:rPr>
            </w:pPr>
            <w:r w:rsidRPr="008C6C19">
              <w:rPr>
                <w:rFonts w:ascii="Times New Roman" w:hAnsi="Times New Roman"/>
              </w:rPr>
              <w:t xml:space="preserve"> Number of Respondents</w:t>
            </w:r>
          </w:p>
        </w:tc>
        <w:tc>
          <w:tcPr>
            <w:tcW w:w="806" w:type="pct"/>
            <w:tcBorders>
              <w:top w:val="nil"/>
              <w:left w:val="nil"/>
              <w:bottom w:val="single" w:sz="8" w:space="0" w:color="auto"/>
              <w:right w:val="single" w:sz="8" w:space="0" w:color="auto"/>
            </w:tcBorders>
            <w:vAlign w:val="center"/>
            <w:hideMark/>
          </w:tcPr>
          <w:p w:rsidR="00571724" w:rsidRPr="008C6C19" w:rsidP="005F2007" w14:paraId="081F2A50" w14:textId="77777777">
            <w:pPr>
              <w:jc w:val="center"/>
              <w:rPr>
                <w:rFonts w:ascii="Times New Roman" w:hAnsi="Times New Roman"/>
              </w:rPr>
            </w:pPr>
            <w:r w:rsidRPr="008C6C19">
              <w:rPr>
                <w:rFonts w:ascii="Times New Roman" w:hAnsi="Times New Roman"/>
              </w:rPr>
              <w:t xml:space="preserve"> Number of Responses per Respondent</w:t>
            </w:r>
          </w:p>
        </w:tc>
        <w:tc>
          <w:tcPr>
            <w:tcW w:w="752" w:type="pct"/>
            <w:tcBorders>
              <w:top w:val="nil"/>
              <w:left w:val="nil"/>
              <w:bottom w:val="single" w:sz="8" w:space="0" w:color="auto"/>
              <w:right w:val="single" w:sz="8" w:space="0" w:color="auto"/>
            </w:tcBorders>
            <w:vAlign w:val="center"/>
            <w:hideMark/>
          </w:tcPr>
          <w:p w:rsidR="00571724" w:rsidRPr="008C6C19" w:rsidP="005F2007" w14:paraId="2EA6EAAC" w14:textId="77777777">
            <w:pPr>
              <w:jc w:val="center"/>
              <w:rPr>
                <w:rFonts w:ascii="Times New Roman" w:hAnsi="Times New Roman"/>
              </w:rPr>
            </w:pPr>
            <w:r w:rsidRPr="008C6C19">
              <w:rPr>
                <w:rFonts w:ascii="Times New Roman" w:hAnsi="Times New Roman"/>
              </w:rPr>
              <w:t>Time per Response (HH:MM)</w:t>
            </w:r>
          </w:p>
        </w:tc>
        <w:tc>
          <w:tcPr>
            <w:tcW w:w="442" w:type="pct"/>
            <w:tcBorders>
              <w:top w:val="nil"/>
              <w:left w:val="nil"/>
              <w:bottom w:val="single" w:sz="8" w:space="0" w:color="auto"/>
              <w:right w:val="single" w:sz="8" w:space="0" w:color="auto"/>
            </w:tcBorders>
            <w:vAlign w:val="center"/>
            <w:hideMark/>
          </w:tcPr>
          <w:p w:rsidR="00571724" w:rsidRPr="008C6C19" w:rsidP="005F2007" w14:paraId="54859762" w14:textId="77777777">
            <w:pPr>
              <w:jc w:val="center"/>
              <w:rPr>
                <w:rFonts w:ascii="Times New Roman" w:hAnsi="Times New Roman"/>
              </w:rPr>
            </w:pPr>
            <w:r w:rsidRPr="008C6C19">
              <w:rPr>
                <w:rFonts w:ascii="Times New Roman" w:hAnsi="Times New Roman"/>
              </w:rPr>
              <w:t>Annual Burden (Hours)</w:t>
            </w:r>
          </w:p>
        </w:tc>
      </w:tr>
      <w:tr w14:paraId="6DEBD423" w14:textId="77777777" w:rsidTr="00571724">
        <w:tblPrEx>
          <w:tblW w:w="4861" w:type="pct"/>
          <w:tblLook w:val="04A0"/>
        </w:tblPrEx>
        <w:trPr>
          <w:trHeight w:val="1114"/>
        </w:trPr>
        <w:tc>
          <w:tcPr>
            <w:tcW w:w="1295" w:type="pct"/>
            <w:tcBorders>
              <w:top w:val="nil"/>
              <w:left w:val="single" w:sz="8" w:space="0" w:color="auto"/>
              <w:bottom w:val="single" w:sz="8" w:space="0" w:color="auto"/>
              <w:right w:val="single" w:sz="8" w:space="0" w:color="auto"/>
            </w:tcBorders>
            <w:vAlign w:val="center"/>
            <w:hideMark/>
          </w:tcPr>
          <w:p w:rsidR="00571724" w:rsidRPr="005C275E" w:rsidP="005F2007" w14:paraId="325CE302" w14:textId="77777777">
            <w:pPr>
              <w:rPr>
                <w:rFonts w:ascii="Times New Roman" w:hAnsi="Times New Roman"/>
              </w:rPr>
            </w:pPr>
            <w:r w:rsidRPr="00AE346B">
              <w:rPr>
                <w:rFonts w:ascii="Times New Roman" w:hAnsi="Times New Roman"/>
              </w:rPr>
              <w:t xml:space="preserve">1. Request for discretionary disclosure of </w:t>
            </w:r>
            <w:r>
              <w:rPr>
                <w:rFonts w:ascii="Times New Roman" w:hAnsi="Times New Roman"/>
              </w:rPr>
              <w:t>c</w:t>
            </w:r>
            <w:r w:rsidRPr="00AE346B">
              <w:rPr>
                <w:rFonts w:ascii="Times New Roman" w:hAnsi="Times New Roman"/>
              </w:rPr>
              <w:t xml:space="preserve">onfidential </w:t>
            </w:r>
            <w:r>
              <w:rPr>
                <w:rFonts w:ascii="Times New Roman" w:hAnsi="Times New Roman"/>
              </w:rPr>
              <w:t>i</w:t>
            </w:r>
            <w:r w:rsidRPr="00AE346B">
              <w:rPr>
                <w:rFonts w:ascii="Times New Roman" w:hAnsi="Times New Roman"/>
              </w:rPr>
              <w:t>nformation</w:t>
            </w:r>
            <w:r w:rsidRPr="00FC46F2">
              <w:rPr>
                <w:rFonts w:ascii="Source Sans Pro" w:hAnsi="Source Sans Pro"/>
                <w:color w:val="000000"/>
                <w:sz w:val="20"/>
              </w:rPr>
              <w:t xml:space="preserve"> </w:t>
            </w:r>
            <w:r>
              <w:rPr>
                <w:rFonts w:ascii="Times New Roman" w:hAnsi="Times New Roman"/>
              </w:rPr>
              <w:t>r</w:t>
            </w:r>
            <w:r w:rsidRPr="00FC46F2">
              <w:rPr>
                <w:rFonts w:ascii="Times New Roman" w:hAnsi="Times New Roman"/>
              </w:rPr>
              <w:t xml:space="preserve">elated to </w:t>
            </w:r>
            <w:r>
              <w:rPr>
                <w:rFonts w:ascii="Times New Roman" w:hAnsi="Times New Roman"/>
              </w:rPr>
              <w:t>r</w:t>
            </w:r>
            <w:r w:rsidRPr="00FC46F2">
              <w:rPr>
                <w:rFonts w:ascii="Times New Roman" w:hAnsi="Times New Roman"/>
              </w:rPr>
              <w:t xml:space="preserve">esolution </w:t>
            </w:r>
            <w:r>
              <w:rPr>
                <w:rFonts w:ascii="Times New Roman" w:hAnsi="Times New Roman"/>
              </w:rPr>
              <w:t>p</w:t>
            </w:r>
            <w:r w:rsidRPr="00FC46F2">
              <w:rPr>
                <w:rFonts w:ascii="Times New Roman" w:hAnsi="Times New Roman"/>
              </w:rPr>
              <w:t>lans</w:t>
            </w:r>
            <w:r w:rsidRPr="00AE346B">
              <w:rPr>
                <w:rFonts w:ascii="Times New Roman" w:hAnsi="Times New Roman"/>
              </w:rPr>
              <w:t xml:space="preserve"> – Section 309.34 (Required to </w:t>
            </w:r>
            <w:r>
              <w:rPr>
                <w:rFonts w:ascii="Times New Roman" w:hAnsi="Times New Roman"/>
              </w:rPr>
              <w:t>o</w:t>
            </w:r>
            <w:r w:rsidRPr="00AE346B">
              <w:rPr>
                <w:rFonts w:ascii="Times New Roman" w:hAnsi="Times New Roman"/>
              </w:rPr>
              <w:t xml:space="preserve">btain or </w:t>
            </w:r>
            <w:r>
              <w:rPr>
                <w:rFonts w:ascii="Times New Roman" w:hAnsi="Times New Roman"/>
              </w:rPr>
              <w:t>r</w:t>
            </w:r>
            <w:r w:rsidRPr="00AE346B">
              <w:rPr>
                <w:rFonts w:ascii="Times New Roman" w:hAnsi="Times New Roman"/>
              </w:rPr>
              <w:t xml:space="preserve">etain a </w:t>
            </w:r>
            <w:r>
              <w:rPr>
                <w:rFonts w:ascii="Times New Roman" w:hAnsi="Times New Roman"/>
              </w:rPr>
              <w:t>b</w:t>
            </w:r>
            <w:r w:rsidRPr="00AE346B">
              <w:rPr>
                <w:rFonts w:ascii="Times New Roman" w:hAnsi="Times New Roman"/>
              </w:rPr>
              <w:t>enefit)</w:t>
            </w:r>
          </w:p>
        </w:tc>
        <w:tc>
          <w:tcPr>
            <w:tcW w:w="793" w:type="pct"/>
            <w:tcBorders>
              <w:top w:val="nil"/>
              <w:left w:val="nil"/>
              <w:bottom w:val="single" w:sz="8" w:space="0" w:color="auto"/>
              <w:right w:val="single" w:sz="8" w:space="0" w:color="auto"/>
            </w:tcBorders>
            <w:vAlign w:val="center"/>
            <w:hideMark/>
          </w:tcPr>
          <w:p w:rsidR="00571724" w:rsidRPr="005C275E" w:rsidP="005F2007" w14:paraId="307D819E" w14:textId="77777777">
            <w:pPr>
              <w:jc w:val="center"/>
              <w:rPr>
                <w:rFonts w:ascii="Times New Roman" w:hAnsi="Times New Roman"/>
              </w:rPr>
            </w:pPr>
            <w:r w:rsidRPr="005C275E">
              <w:rPr>
                <w:rFonts w:ascii="Times New Roman" w:hAnsi="Times New Roman"/>
              </w:rPr>
              <w:t>Reporting (On Occasion)</w:t>
            </w:r>
          </w:p>
        </w:tc>
        <w:tc>
          <w:tcPr>
            <w:tcW w:w="912" w:type="pct"/>
            <w:tcBorders>
              <w:top w:val="nil"/>
              <w:left w:val="nil"/>
              <w:bottom w:val="single" w:sz="8" w:space="0" w:color="auto"/>
              <w:right w:val="single" w:sz="8" w:space="0" w:color="auto"/>
            </w:tcBorders>
            <w:noWrap/>
            <w:vAlign w:val="center"/>
            <w:hideMark/>
          </w:tcPr>
          <w:p w:rsidR="00571724" w:rsidRPr="00EC2BEE" w:rsidP="005F2007" w14:paraId="59E26596" w14:textId="77777777">
            <w:pPr>
              <w:jc w:val="right"/>
              <w:rPr>
                <w:rFonts w:ascii="Times New Roman" w:hAnsi="Times New Roman"/>
              </w:rPr>
            </w:pPr>
            <w:r w:rsidRPr="00EC2BEE">
              <w:rPr>
                <w:rFonts w:ascii="Times New Roman" w:hAnsi="Times New Roman"/>
              </w:rPr>
              <w:t>91</w:t>
            </w:r>
          </w:p>
        </w:tc>
        <w:tc>
          <w:tcPr>
            <w:tcW w:w="806" w:type="pct"/>
            <w:tcBorders>
              <w:top w:val="nil"/>
              <w:left w:val="nil"/>
              <w:bottom w:val="single" w:sz="8" w:space="0" w:color="auto"/>
              <w:right w:val="single" w:sz="8" w:space="0" w:color="auto"/>
            </w:tcBorders>
            <w:noWrap/>
            <w:vAlign w:val="center"/>
            <w:hideMark/>
          </w:tcPr>
          <w:p w:rsidR="00571724" w:rsidRPr="00EC2BEE" w:rsidP="005F2007" w14:paraId="5D600781" w14:textId="77777777">
            <w:pPr>
              <w:jc w:val="right"/>
              <w:rPr>
                <w:rFonts w:ascii="Times New Roman" w:hAnsi="Times New Roman"/>
              </w:rPr>
            </w:pPr>
            <w:r w:rsidRPr="00EC2BEE">
              <w:rPr>
                <w:rFonts w:ascii="Times New Roman" w:hAnsi="Times New Roman"/>
              </w:rPr>
              <w:t>1</w:t>
            </w:r>
          </w:p>
        </w:tc>
        <w:tc>
          <w:tcPr>
            <w:tcW w:w="752" w:type="pct"/>
            <w:tcBorders>
              <w:top w:val="nil"/>
              <w:left w:val="nil"/>
              <w:bottom w:val="single" w:sz="8" w:space="0" w:color="auto"/>
              <w:right w:val="nil"/>
            </w:tcBorders>
            <w:vAlign w:val="center"/>
            <w:hideMark/>
          </w:tcPr>
          <w:p w:rsidR="00571724" w:rsidRPr="00EC2BEE" w:rsidP="005F2007" w14:paraId="480CBBCD" w14:textId="77777777">
            <w:pPr>
              <w:jc w:val="right"/>
              <w:rPr>
                <w:rFonts w:ascii="Times New Roman" w:hAnsi="Times New Roman"/>
              </w:rPr>
            </w:pPr>
            <w:r w:rsidRPr="00EC2BEE">
              <w:rPr>
                <w:rFonts w:ascii="Times New Roman" w:hAnsi="Times New Roman"/>
              </w:rPr>
              <w:t>01:00</w:t>
            </w:r>
          </w:p>
        </w:tc>
        <w:tc>
          <w:tcPr>
            <w:tcW w:w="442" w:type="pct"/>
            <w:tcBorders>
              <w:top w:val="nil"/>
              <w:left w:val="single" w:sz="8" w:space="0" w:color="auto"/>
              <w:bottom w:val="single" w:sz="8" w:space="0" w:color="auto"/>
              <w:right w:val="single" w:sz="8" w:space="0" w:color="auto"/>
            </w:tcBorders>
            <w:noWrap/>
            <w:vAlign w:val="center"/>
            <w:hideMark/>
          </w:tcPr>
          <w:p w:rsidR="00571724" w:rsidRPr="00EC2BEE" w:rsidP="005F2007" w14:paraId="2B8D7C71" w14:textId="77777777">
            <w:pPr>
              <w:jc w:val="right"/>
              <w:rPr>
                <w:rFonts w:ascii="Times New Roman" w:hAnsi="Times New Roman"/>
              </w:rPr>
            </w:pPr>
            <w:r w:rsidRPr="00EC2BEE">
              <w:rPr>
                <w:rFonts w:ascii="Times New Roman" w:hAnsi="Times New Roman"/>
              </w:rPr>
              <w:t>91</w:t>
            </w:r>
          </w:p>
        </w:tc>
      </w:tr>
      <w:tr w14:paraId="2C5E3EE1" w14:textId="77777777" w:rsidTr="00571724">
        <w:tblPrEx>
          <w:tblW w:w="4861" w:type="pct"/>
          <w:tblLook w:val="04A0"/>
        </w:tblPrEx>
        <w:trPr>
          <w:trHeight w:val="1114"/>
        </w:trPr>
        <w:tc>
          <w:tcPr>
            <w:tcW w:w="1295" w:type="pct"/>
            <w:tcBorders>
              <w:top w:val="nil"/>
              <w:left w:val="single" w:sz="8" w:space="0" w:color="auto"/>
              <w:bottom w:val="single" w:sz="8" w:space="0" w:color="auto"/>
              <w:right w:val="single" w:sz="8" w:space="0" w:color="auto"/>
            </w:tcBorders>
            <w:vAlign w:val="center"/>
          </w:tcPr>
          <w:p w:rsidR="00571724" w:rsidRPr="00AE346B" w:rsidP="005F2007" w14:paraId="0B3641CC" w14:textId="77777777">
            <w:pPr>
              <w:rPr>
                <w:rFonts w:ascii="Times New Roman" w:hAnsi="Times New Roman"/>
              </w:rPr>
            </w:pPr>
            <w:r>
              <w:rPr>
                <w:rFonts w:ascii="Times New Roman" w:hAnsi="Times New Roman"/>
              </w:rPr>
              <w:t>2</w:t>
            </w:r>
            <w:r w:rsidRPr="00AE346B">
              <w:rPr>
                <w:rFonts w:ascii="Times New Roman" w:hAnsi="Times New Roman"/>
              </w:rPr>
              <w:t xml:space="preserve">. Request for discretionary disclosure of </w:t>
            </w:r>
            <w:r>
              <w:rPr>
                <w:rFonts w:ascii="Times New Roman" w:hAnsi="Times New Roman"/>
              </w:rPr>
              <w:t>c</w:t>
            </w:r>
            <w:r w:rsidRPr="00AE346B">
              <w:rPr>
                <w:rFonts w:ascii="Times New Roman" w:hAnsi="Times New Roman"/>
              </w:rPr>
              <w:t xml:space="preserve">onfidential </w:t>
            </w:r>
            <w:r>
              <w:rPr>
                <w:rFonts w:ascii="Times New Roman" w:hAnsi="Times New Roman"/>
              </w:rPr>
              <w:t>i</w:t>
            </w:r>
            <w:r w:rsidRPr="00AE346B">
              <w:rPr>
                <w:rFonts w:ascii="Times New Roman" w:hAnsi="Times New Roman"/>
              </w:rPr>
              <w:t>nformation</w:t>
            </w:r>
            <w:r w:rsidRPr="00494851">
              <w:rPr>
                <w:rFonts w:ascii="Source Sans Pro" w:hAnsi="Source Sans Pro"/>
                <w:color w:val="000000"/>
                <w:sz w:val="20"/>
              </w:rPr>
              <w:t xml:space="preserve"> </w:t>
            </w:r>
            <w:r>
              <w:rPr>
                <w:rFonts w:ascii="Times New Roman" w:hAnsi="Times New Roman"/>
              </w:rPr>
              <w:t>o</w:t>
            </w:r>
            <w:r w:rsidRPr="00494851">
              <w:rPr>
                <w:rFonts w:ascii="Times New Roman" w:hAnsi="Times New Roman"/>
              </w:rPr>
              <w:t xml:space="preserve">ther than </w:t>
            </w:r>
            <w:r>
              <w:rPr>
                <w:rFonts w:ascii="Times New Roman" w:hAnsi="Times New Roman"/>
              </w:rPr>
              <w:t>i</w:t>
            </w:r>
            <w:r w:rsidRPr="00494851">
              <w:rPr>
                <w:rFonts w:ascii="Times New Roman" w:hAnsi="Times New Roman"/>
              </w:rPr>
              <w:t xml:space="preserve">nformation </w:t>
            </w:r>
            <w:r>
              <w:rPr>
                <w:rFonts w:ascii="Times New Roman" w:hAnsi="Times New Roman"/>
              </w:rPr>
              <w:t>r</w:t>
            </w:r>
            <w:r w:rsidRPr="00494851">
              <w:rPr>
                <w:rFonts w:ascii="Times New Roman" w:hAnsi="Times New Roman"/>
              </w:rPr>
              <w:t xml:space="preserve">elated to </w:t>
            </w:r>
            <w:r>
              <w:rPr>
                <w:rFonts w:ascii="Times New Roman" w:hAnsi="Times New Roman"/>
              </w:rPr>
              <w:t>r</w:t>
            </w:r>
            <w:r w:rsidRPr="00494851">
              <w:rPr>
                <w:rFonts w:ascii="Times New Roman" w:hAnsi="Times New Roman"/>
              </w:rPr>
              <w:t xml:space="preserve">esolution </w:t>
            </w:r>
            <w:r>
              <w:rPr>
                <w:rFonts w:ascii="Times New Roman" w:hAnsi="Times New Roman"/>
              </w:rPr>
              <w:t>p</w:t>
            </w:r>
            <w:r w:rsidRPr="00494851">
              <w:rPr>
                <w:rFonts w:ascii="Times New Roman" w:hAnsi="Times New Roman"/>
              </w:rPr>
              <w:t>lans</w:t>
            </w:r>
            <w:r w:rsidRPr="00AE346B">
              <w:rPr>
                <w:rFonts w:ascii="Times New Roman" w:hAnsi="Times New Roman"/>
              </w:rPr>
              <w:t xml:space="preserve"> – Section 309.34 (Required to </w:t>
            </w:r>
            <w:r>
              <w:rPr>
                <w:rFonts w:ascii="Times New Roman" w:hAnsi="Times New Roman"/>
              </w:rPr>
              <w:t>o</w:t>
            </w:r>
            <w:r w:rsidRPr="00AE346B">
              <w:rPr>
                <w:rFonts w:ascii="Times New Roman" w:hAnsi="Times New Roman"/>
              </w:rPr>
              <w:t xml:space="preserve">btain or </w:t>
            </w:r>
            <w:r>
              <w:rPr>
                <w:rFonts w:ascii="Times New Roman" w:hAnsi="Times New Roman"/>
              </w:rPr>
              <w:t>r</w:t>
            </w:r>
            <w:r w:rsidRPr="00AE346B">
              <w:rPr>
                <w:rFonts w:ascii="Times New Roman" w:hAnsi="Times New Roman"/>
              </w:rPr>
              <w:t xml:space="preserve">etain a </w:t>
            </w:r>
            <w:r>
              <w:rPr>
                <w:rFonts w:ascii="Times New Roman" w:hAnsi="Times New Roman"/>
              </w:rPr>
              <w:t>b</w:t>
            </w:r>
            <w:r w:rsidRPr="00AE346B">
              <w:rPr>
                <w:rFonts w:ascii="Times New Roman" w:hAnsi="Times New Roman"/>
              </w:rPr>
              <w:t>enefit)</w:t>
            </w:r>
          </w:p>
        </w:tc>
        <w:tc>
          <w:tcPr>
            <w:tcW w:w="793" w:type="pct"/>
            <w:tcBorders>
              <w:top w:val="nil"/>
              <w:left w:val="nil"/>
              <w:bottom w:val="single" w:sz="8" w:space="0" w:color="auto"/>
              <w:right w:val="single" w:sz="8" w:space="0" w:color="auto"/>
            </w:tcBorders>
            <w:vAlign w:val="center"/>
          </w:tcPr>
          <w:p w:rsidR="00571724" w:rsidRPr="005C275E" w:rsidP="005F2007" w14:paraId="3B86E4FC" w14:textId="77777777">
            <w:pPr>
              <w:jc w:val="center"/>
              <w:rPr>
                <w:rFonts w:ascii="Times New Roman" w:hAnsi="Times New Roman"/>
              </w:rPr>
            </w:pPr>
            <w:r w:rsidRPr="005C275E">
              <w:rPr>
                <w:rFonts w:ascii="Times New Roman" w:hAnsi="Times New Roman"/>
              </w:rPr>
              <w:t>Reporting (On Occasion)</w:t>
            </w:r>
          </w:p>
        </w:tc>
        <w:tc>
          <w:tcPr>
            <w:tcW w:w="912" w:type="pct"/>
            <w:tcBorders>
              <w:top w:val="nil"/>
              <w:left w:val="nil"/>
              <w:bottom w:val="single" w:sz="8" w:space="0" w:color="auto"/>
              <w:right w:val="single" w:sz="8" w:space="0" w:color="auto"/>
            </w:tcBorders>
            <w:noWrap/>
            <w:vAlign w:val="center"/>
          </w:tcPr>
          <w:p w:rsidR="00571724" w:rsidRPr="00EC2BEE" w:rsidP="005F2007" w14:paraId="410B6207" w14:textId="77777777">
            <w:pPr>
              <w:jc w:val="right"/>
              <w:rPr>
                <w:rFonts w:ascii="Times New Roman" w:hAnsi="Times New Roman"/>
              </w:rPr>
            </w:pPr>
            <w:r w:rsidRPr="00EC2BEE">
              <w:rPr>
                <w:rFonts w:ascii="Times New Roman" w:hAnsi="Times New Roman"/>
              </w:rPr>
              <w:t>139</w:t>
            </w:r>
          </w:p>
        </w:tc>
        <w:tc>
          <w:tcPr>
            <w:tcW w:w="806" w:type="pct"/>
            <w:tcBorders>
              <w:top w:val="nil"/>
              <w:left w:val="nil"/>
              <w:bottom w:val="single" w:sz="8" w:space="0" w:color="auto"/>
              <w:right w:val="single" w:sz="8" w:space="0" w:color="auto"/>
            </w:tcBorders>
            <w:noWrap/>
            <w:vAlign w:val="center"/>
          </w:tcPr>
          <w:p w:rsidR="00571724" w:rsidRPr="00EC2BEE" w:rsidP="005F2007" w14:paraId="6CBC6F25" w14:textId="77777777">
            <w:pPr>
              <w:jc w:val="right"/>
              <w:rPr>
                <w:rFonts w:ascii="Times New Roman" w:hAnsi="Times New Roman"/>
              </w:rPr>
            </w:pPr>
            <w:r w:rsidRPr="00EC2BEE">
              <w:rPr>
                <w:rFonts w:ascii="Times New Roman" w:hAnsi="Times New Roman"/>
              </w:rPr>
              <w:t>1</w:t>
            </w:r>
          </w:p>
        </w:tc>
        <w:tc>
          <w:tcPr>
            <w:tcW w:w="752" w:type="pct"/>
            <w:tcBorders>
              <w:top w:val="nil"/>
              <w:left w:val="nil"/>
              <w:bottom w:val="single" w:sz="8" w:space="0" w:color="auto"/>
              <w:right w:val="nil"/>
            </w:tcBorders>
            <w:vAlign w:val="center"/>
          </w:tcPr>
          <w:p w:rsidR="00571724" w:rsidRPr="00EC2BEE" w:rsidP="005F2007" w14:paraId="1400DF05" w14:textId="77777777">
            <w:pPr>
              <w:jc w:val="right"/>
              <w:rPr>
                <w:rFonts w:ascii="Times New Roman" w:hAnsi="Times New Roman"/>
              </w:rPr>
            </w:pPr>
            <w:r w:rsidRPr="00EC2BEE">
              <w:rPr>
                <w:rFonts w:ascii="Times New Roman" w:hAnsi="Times New Roman"/>
              </w:rPr>
              <w:t>03:00</w:t>
            </w:r>
          </w:p>
        </w:tc>
        <w:tc>
          <w:tcPr>
            <w:tcW w:w="442" w:type="pct"/>
            <w:tcBorders>
              <w:top w:val="nil"/>
              <w:left w:val="single" w:sz="8" w:space="0" w:color="auto"/>
              <w:bottom w:val="single" w:sz="8" w:space="0" w:color="auto"/>
              <w:right w:val="single" w:sz="8" w:space="0" w:color="auto"/>
            </w:tcBorders>
            <w:noWrap/>
            <w:vAlign w:val="center"/>
          </w:tcPr>
          <w:p w:rsidR="00571724" w:rsidRPr="00EC2BEE" w:rsidP="005F2007" w14:paraId="007890F9" w14:textId="77777777">
            <w:pPr>
              <w:jc w:val="right"/>
              <w:rPr>
                <w:rFonts w:ascii="Times New Roman" w:hAnsi="Times New Roman"/>
              </w:rPr>
            </w:pPr>
            <w:r w:rsidRPr="00EC2BEE">
              <w:rPr>
                <w:rFonts w:ascii="Times New Roman" w:hAnsi="Times New Roman"/>
              </w:rPr>
              <w:t>417</w:t>
            </w:r>
          </w:p>
        </w:tc>
      </w:tr>
      <w:tr w14:paraId="59DFCB13" w14:textId="77777777" w:rsidTr="00571724">
        <w:tblPrEx>
          <w:tblW w:w="4861" w:type="pct"/>
          <w:tblLook w:val="04A0"/>
        </w:tblPrEx>
        <w:trPr>
          <w:trHeight w:val="563"/>
        </w:trPr>
        <w:tc>
          <w:tcPr>
            <w:tcW w:w="1295" w:type="pct"/>
            <w:tcBorders>
              <w:top w:val="nil"/>
              <w:left w:val="single" w:sz="8" w:space="0" w:color="auto"/>
              <w:bottom w:val="single" w:sz="8" w:space="0" w:color="auto"/>
              <w:right w:val="single" w:sz="8" w:space="0" w:color="auto"/>
            </w:tcBorders>
            <w:vAlign w:val="center"/>
            <w:hideMark/>
          </w:tcPr>
          <w:p w:rsidR="00571724" w:rsidRPr="00C20522" w:rsidP="005F2007" w14:paraId="369F0DD7" w14:textId="77777777">
            <w:pPr>
              <w:rPr>
                <w:rFonts w:ascii="Times New Roman" w:hAnsi="Times New Roman"/>
              </w:rPr>
            </w:pPr>
            <w:r>
              <w:rPr>
                <w:rFonts w:ascii="Times New Roman" w:hAnsi="Times New Roman"/>
              </w:rPr>
              <w:t>3</w:t>
            </w:r>
            <w:r w:rsidRPr="00954F3B">
              <w:rPr>
                <w:rFonts w:ascii="Times New Roman" w:hAnsi="Times New Roman"/>
              </w:rPr>
              <w:t xml:space="preserve">. Written </w:t>
            </w:r>
            <w:r>
              <w:rPr>
                <w:rFonts w:ascii="Times New Roman" w:hAnsi="Times New Roman"/>
              </w:rPr>
              <w:t>w</w:t>
            </w:r>
            <w:r w:rsidRPr="00954F3B">
              <w:rPr>
                <w:rFonts w:ascii="Times New Roman" w:hAnsi="Times New Roman"/>
              </w:rPr>
              <w:t xml:space="preserve">aiver </w:t>
            </w:r>
            <w:r w:rsidRPr="00954F3B">
              <w:rPr>
                <w:rFonts w:ascii="Times New Roman" w:hAnsi="Times New Roman"/>
                <w:sz w:val="22"/>
                <w:szCs w:val="22"/>
              </w:rPr>
              <w:t xml:space="preserve">– </w:t>
            </w:r>
            <w:r w:rsidRPr="00954F3B">
              <w:rPr>
                <w:rFonts w:ascii="Times New Roman" w:hAnsi="Times New Roman"/>
              </w:rPr>
              <w:t>Section 309.37(a)(1)(</w:t>
            </w:r>
            <w:r>
              <w:rPr>
                <w:rFonts w:ascii="Times New Roman" w:hAnsi="Times New Roman"/>
              </w:rPr>
              <w:t>vii</w:t>
            </w:r>
            <w:r w:rsidRPr="00954F3B">
              <w:rPr>
                <w:rFonts w:ascii="Times New Roman" w:hAnsi="Times New Roman"/>
              </w:rPr>
              <w:t>)(</w:t>
            </w:r>
            <w:r>
              <w:rPr>
                <w:rFonts w:ascii="Times New Roman" w:hAnsi="Times New Roman"/>
              </w:rPr>
              <w:t>C</w:t>
            </w:r>
            <w:r w:rsidRPr="00954F3B">
              <w:rPr>
                <w:rFonts w:ascii="Times New Roman" w:hAnsi="Times New Roman"/>
              </w:rPr>
              <w:t xml:space="preserve">) (Required to </w:t>
            </w:r>
            <w:r>
              <w:rPr>
                <w:rFonts w:ascii="Times New Roman" w:hAnsi="Times New Roman"/>
              </w:rPr>
              <w:t>o</w:t>
            </w:r>
            <w:r w:rsidRPr="00954F3B">
              <w:rPr>
                <w:rFonts w:ascii="Times New Roman" w:hAnsi="Times New Roman"/>
              </w:rPr>
              <w:t xml:space="preserve">btain or </w:t>
            </w:r>
            <w:r>
              <w:rPr>
                <w:rFonts w:ascii="Times New Roman" w:hAnsi="Times New Roman"/>
              </w:rPr>
              <w:t>r</w:t>
            </w:r>
            <w:r w:rsidRPr="00954F3B">
              <w:rPr>
                <w:rFonts w:ascii="Times New Roman" w:hAnsi="Times New Roman"/>
              </w:rPr>
              <w:t xml:space="preserve">etain a </w:t>
            </w:r>
            <w:r>
              <w:rPr>
                <w:rFonts w:ascii="Times New Roman" w:hAnsi="Times New Roman"/>
              </w:rPr>
              <w:t>b</w:t>
            </w:r>
            <w:r w:rsidRPr="00954F3B">
              <w:rPr>
                <w:rFonts w:ascii="Times New Roman" w:hAnsi="Times New Roman"/>
              </w:rPr>
              <w:t>enefit)</w:t>
            </w:r>
          </w:p>
        </w:tc>
        <w:tc>
          <w:tcPr>
            <w:tcW w:w="793" w:type="pct"/>
            <w:tcBorders>
              <w:top w:val="nil"/>
              <w:left w:val="nil"/>
              <w:bottom w:val="single" w:sz="8" w:space="0" w:color="auto"/>
              <w:right w:val="single" w:sz="8" w:space="0" w:color="auto"/>
            </w:tcBorders>
            <w:vAlign w:val="center"/>
            <w:hideMark/>
          </w:tcPr>
          <w:p w:rsidR="00571724" w:rsidRPr="00C20522" w:rsidP="005F2007" w14:paraId="0EE2B6C1" w14:textId="77777777">
            <w:pPr>
              <w:jc w:val="center"/>
              <w:rPr>
                <w:rFonts w:ascii="Times New Roman" w:hAnsi="Times New Roman"/>
              </w:rPr>
            </w:pPr>
            <w:r w:rsidRPr="00C20522">
              <w:rPr>
                <w:rFonts w:ascii="Times New Roman" w:hAnsi="Times New Roman"/>
              </w:rPr>
              <w:t>Reporting (On Occasion)</w:t>
            </w:r>
          </w:p>
        </w:tc>
        <w:tc>
          <w:tcPr>
            <w:tcW w:w="912" w:type="pct"/>
            <w:tcBorders>
              <w:top w:val="nil"/>
              <w:left w:val="nil"/>
              <w:bottom w:val="single" w:sz="8" w:space="0" w:color="auto"/>
              <w:right w:val="single" w:sz="8" w:space="0" w:color="auto"/>
            </w:tcBorders>
            <w:noWrap/>
            <w:vAlign w:val="center"/>
            <w:hideMark/>
          </w:tcPr>
          <w:p w:rsidR="00571724" w:rsidRPr="00EC2BEE" w:rsidP="005F2007" w14:paraId="2A89CA67" w14:textId="77777777">
            <w:pPr>
              <w:jc w:val="right"/>
              <w:rPr>
                <w:rFonts w:ascii="Times New Roman" w:hAnsi="Times New Roman"/>
              </w:rPr>
            </w:pPr>
            <w:r w:rsidRPr="00EC2BEE">
              <w:rPr>
                <w:rFonts w:ascii="Times New Roman" w:hAnsi="Times New Roman"/>
              </w:rPr>
              <w:t xml:space="preserve">330 </w:t>
            </w:r>
          </w:p>
        </w:tc>
        <w:tc>
          <w:tcPr>
            <w:tcW w:w="806" w:type="pct"/>
            <w:tcBorders>
              <w:top w:val="nil"/>
              <w:left w:val="nil"/>
              <w:bottom w:val="single" w:sz="8" w:space="0" w:color="auto"/>
              <w:right w:val="single" w:sz="8" w:space="0" w:color="auto"/>
            </w:tcBorders>
            <w:noWrap/>
            <w:vAlign w:val="center"/>
            <w:hideMark/>
          </w:tcPr>
          <w:p w:rsidR="00571724" w:rsidRPr="00EC2BEE" w:rsidP="005F2007" w14:paraId="0326A56B" w14:textId="77777777">
            <w:pPr>
              <w:jc w:val="right"/>
              <w:rPr>
                <w:rFonts w:ascii="Times New Roman" w:hAnsi="Times New Roman"/>
              </w:rPr>
            </w:pPr>
            <w:r w:rsidRPr="00EC2BEE">
              <w:rPr>
                <w:rFonts w:ascii="Times New Roman" w:hAnsi="Times New Roman"/>
              </w:rPr>
              <w:t>1</w:t>
            </w:r>
          </w:p>
        </w:tc>
        <w:tc>
          <w:tcPr>
            <w:tcW w:w="752" w:type="pct"/>
            <w:tcBorders>
              <w:top w:val="nil"/>
              <w:left w:val="nil"/>
              <w:bottom w:val="single" w:sz="8" w:space="0" w:color="auto"/>
              <w:right w:val="nil"/>
            </w:tcBorders>
            <w:vAlign w:val="center"/>
            <w:hideMark/>
          </w:tcPr>
          <w:p w:rsidR="00571724" w:rsidRPr="00EC2BEE" w:rsidP="005F2007" w14:paraId="7CA49EBC" w14:textId="77777777">
            <w:pPr>
              <w:jc w:val="right"/>
              <w:rPr>
                <w:rFonts w:ascii="Times New Roman" w:hAnsi="Times New Roman"/>
              </w:rPr>
            </w:pPr>
            <w:r w:rsidRPr="00EC2BEE">
              <w:rPr>
                <w:rFonts w:ascii="Times New Roman" w:hAnsi="Times New Roman"/>
              </w:rPr>
              <w:t>0</w:t>
            </w:r>
            <w:r>
              <w:rPr>
                <w:rFonts w:ascii="Times New Roman" w:hAnsi="Times New Roman"/>
              </w:rPr>
              <w:t>1</w:t>
            </w:r>
            <w:r w:rsidRPr="00EC2BEE">
              <w:rPr>
                <w:rFonts w:ascii="Times New Roman" w:hAnsi="Times New Roman"/>
              </w:rPr>
              <w:t>:</w:t>
            </w:r>
            <w:r>
              <w:rPr>
                <w:rFonts w:ascii="Times New Roman" w:hAnsi="Times New Roman"/>
              </w:rPr>
              <w:t>0</w:t>
            </w:r>
            <w:r w:rsidRPr="00EC2BEE">
              <w:rPr>
                <w:rFonts w:ascii="Times New Roman" w:hAnsi="Times New Roman"/>
              </w:rPr>
              <w:t>0</w:t>
            </w:r>
          </w:p>
        </w:tc>
        <w:tc>
          <w:tcPr>
            <w:tcW w:w="442" w:type="pct"/>
            <w:tcBorders>
              <w:top w:val="nil"/>
              <w:left w:val="single" w:sz="8" w:space="0" w:color="auto"/>
              <w:bottom w:val="single" w:sz="8" w:space="0" w:color="auto"/>
              <w:right w:val="single" w:sz="8" w:space="0" w:color="auto"/>
            </w:tcBorders>
            <w:noWrap/>
            <w:vAlign w:val="center"/>
            <w:hideMark/>
          </w:tcPr>
          <w:p w:rsidR="00571724" w:rsidRPr="00EC2BEE" w:rsidP="005F2007" w14:paraId="526A7A39" w14:textId="77777777">
            <w:pPr>
              <w:jc w:val="right"/>
              <w:rPr>
                <w:rFonts w:ascii="Times New Roman" w:hAnsi="Times New Roman"/>
              </w:rPr>
            </w:pPr>
            <w:r>
              <w:rPr>
                <w:rFonts w:ascii="Times New Roman" w:hAnsi="Times New Roman"/>
              </w:rPr>
              <w:t>330</w:t>
            </w:r>
          </w:p>
        </w:tc>
      </w:tr>
      <w:tr w14:paraId="2E941AF9" w14:textId="77777777" w:rsidTr="00571724">
        <w:tblPrEx>
          <w:tblW w:w="4861" w:type="pct"/>
          <w:tblLook w:val="04A0"/>
        </w:tblPrEx>
        <w:trPr>
          <w:trHeight w:val="563"/>
        </w:trPr>
        <w:tc>
          <w:tcPr>
            <w:tcW w:w="1295" w:type="pct"/>
            <w:tcBorders>
              <w:top w:val="nil"/>
              <w:left w:val="single" w:sz="8" w:space="0" w:color="auto"/>
              <w:bottom w:val="single" w:sz="8" w:space="0" w:color="auto"/>
              <w:right w:val="single" w:sz="8" w:space="0" w:color="auto"/>
            </w:tcBorders>
            <w:vAlign w:val="center"/>
          </w:tcPr>
          <w:p w:rsidR="00571724" w:rsidP="005F2007" w14:paraId="797E8718" w14:textId="77777777">
            <w:pPr>
              <w:rPr>
                <w:rFonts w:ascii="Times New Roman" w:hAnsi="Times New Roman"/>
              </w:rPr>
            </w:pPr>
            <w:r>
              <w:rPr>
                <w:rFonts w:ascii="Times New Roman" w:hAnsi="Times New Roman"/>
              </w:rPr>
              <w:t>4. Request to use FDIC information in a non-party legal proceeding</w:t>
            </w:r>
            <w:r w:rsidRPr="00954F3B">
              <w:rPr>
                <w:rFonts w:ascii="Times New Roman" w:hAnsi="Times New Roman"/>
              </w:rPr>
              <w:t xml:space="preserve"> </w:t>
            </w:r>
            <w:r w:rsidRPr="00954F3B">
              <w:rPr>
                <w:rFonts w:ascii="Times New Roman" w:hAnsi="Times New Roman"/>
                <w:sz w:val="22"/>
                <w:szCs w:val="22"/>
              </w:rPr>
              <w:t xml:space="preserve">– </w:t>
            </w:r>
            <w:r w:rsidRPr="00954F3B">
              <w:rPr>
                <w:rFonts w:ascii="Times New Roman" w:hAnsi="Times New Roman"/>
              </w:rPr>
              <w:t>Section</w:t>
            </w:r>
            <w:r>
              <w:rPr>
                <w:rFonts w:ascii="Times New Roman" w:hAnsi="Times New Roman"/>
              </w:rPr>
              <w:t xml:space="preserve"> 309.52(b) and (c), Section 309.53 </w:t>
            </w:r>
            <w:r w:rsidRPr="00954F3B">
              <w:rPr>
                <w:rFonts w:ascii="Times New Roman" w:hAnsi="Times New Roman"/>
              </w:rPr>
              <w:t xml:space="preserve">(Required to </w:t>
            </w:r>
            <w:r>
              <w:rPr>
                <w:rFonts w:ascii="Times New Roman" w:hAnsi="Times New Roman"/>
              </w:rPr>
              <w:t>o</w:t>
            </w:r>
            <w:r w:rsidRPr="00954F3B">
              <w:rPr>
                <w:rFonts w:ascii="Times New Roman" w:hAnsi="Times New Roman"/>
              </w:rPr>
              <w:t xml:space="preserve">btain or </w:t>
            </w:r>
            <w:r>
              <w:rPr>
                <w:rFonts w:ascii="Times New Roman" w:hAnsi="Times New Roman"/>
              </w:rPr>
              <w:t>r</w:t>
            </w:r>
            <w:r w:rsidRPr="00954F3B">
              <w:rPr>
                <w:rFonts w:ascii="Times New Roman" w:hAnsi="Times New Roman"/>
              </w:rPr>
              <w:t xml:space="preserve">etain a </w:t>
            </w:r>
            <w:r>
              <w:rPr>
                <w:rFonts w:ascii="Times New Roman" w:hAnsi="Times New Roman"/>
              </w:rPr>
              <w:t>b</w:t>
            </w:r>
            <w:r w:rsidRPr="00954F3B">
              <w:rPr>
                <w:rFonts w:ascii="Times New Roman" w:hAnsi="Times New Roman"/>
              </w:rPr>
              <w:t>enefit)</w:t>
            </w:r>
          </w:p>
        </w:tc>
        <w:tc>
          <w:tcPr>
            <w:tcW w:w="793" w:type="pct"/>
            <w:tcBorders>
              <w:top w:val="nil"/>
              <w:left w:val="nil"/>
              <w:bottom w:val="single" w:sz="8" w:space="0" w:color="auto"/>
              <w:right w:val="single" w:sz="8" w:space="0" w:color="auto"/>
            </w:tcBorders>
            <w:vAlign w:val="center"/>
          </w:tcPr>
          <w:p w:rsidR="00571724" w:rsidRPr="00C20522" w:rsidP="005F2007" w14:paraId="061192D7" w14:textId="77777777">
            <w:pPr>
              <w:jc w:val="center"/>
              <w:rPr>
                <w:rFonts w:ascii="Times New Roman" w:hAnsi="Times New Roman"/>
              </w:rPr>
            </w:pPr>
            <w:r>
              <w:rPr>
                <w:rFonts w:ascii="Times New Roman" w:hAnsi="Times New Roman"/>
              </w:rPr>
              <w:t>Reporting (On Occasion)</w:t>
            </w:r>
          </w:p>
        </w:tc>
        <w:tc>
          <w:tcPr>
            <w:tcW w:w="912" w:type="pct"/>
            <w:tcBorders>
              <w:top w:val="nil"/>
              <w:left w:val="nil"/>
              <w:bottom w:val="single" w:sz="8" w:space="0" w:color="auto"/>
              <w:right w:val="single" w:sz="8" w:space="0" w:color="auto"/>
            </w:tcBorders>
            <w:noWrap/>
            <w:vAlign w:val="center"/>
          </w:tcPr>
          <w:p w:rsidR="00571724" w:rsidRPr="00EC2BEE" w:rsidP="005F2007" w14:paraId="6B3B03F7" w14:textId="77777777">
            <w:pPr>
              <w:jc w:val="right"/>
              <w:rPr>
                <w:rFonts w:ascii="Times New Roman" w:hAnsi="Times New Roman"/>
              </w:rPr>
            </w:pPr>
            <w:r>
              <w:rPr>
                <w:rFonts w:ascii="Times New Roman" w:hAnsi="Times New Roman"/>
              </w:rPr>
              <w:t>254</w:t>
            </w:r>
          </w:p>
        </w:tc>
        <w:tc>
          <w:tcPr>
            <w:tcW w:w="806" w:type="pct"/>
            <w:tcBorders>
              <w:top w:val="nil"/>
              <w:left w:val="nil"/>
              <w:bottom w:val="single" w:sz="8" w:space="0" w:color="auto"/>
              <w:right w:val="single" w:sz="8" w:space="0" w:color="auto"/>
            </w:tcBorders>
            <w:noWrap/>
            <w:vAlign w:val="center"/>
          </w:tcPr>
          <w:p w:rsidR="00571724" w:rsidRPr="00EC2BEE" w:rsidP="005F2007" w14:paraId="52140DF8" w14:textId="77777777">
            <w:pPr>
              <w:jc w:val="right"/>
              <w:rPr>
                <w:rFonts w:ascii="Times New Roman" w:hAnsi="Times New Roman"/>
              </w:rPr>
            </w:pPr>
            <w:r>
              <w:rPr>
                <w:rFonts w:ascii="Times New Roman" w:hAnsi="Times New Roman"/>
              </w:rPr>
              <w:t>1</w:t>
            </w:r>
          </w:p>
        </w:tc>
        <w:tc>
          <w:tcPr>
            <w:tcW w:w="752" w:type="pct"/>
            <w:tcBorders>
              <w:top w:val="nil"/>
              <w:left w:val="nil"/>
              <w:bottom w:val="single" w:sz="8" w:space="0" w:color="auto"/>
              <w:right w:val="nil"/>
            </w:tcBorders>
            <w:vAlign w:val="center"/>
          </w:tcPr>
          <w:p w:rsidR="00571724" w:rsidRPr="00EC2BEE" w:rsidP="005F2007" w14:paraId="6668CB04" w14:textId="77777777">
            <w:pPr>
              <w:jc w:val="right"/>
              <w:rPr>
                <w:rFonts w:ascii="Times New Roman" w:hAnsi="Times New Roman"/>
              </w:rPr>
            </w:pPr>
            <w:r>
              <w:rPr>
                <w:rFonts w:ascii="Times New Roman" w:hAnsi="Times New Roman"/>
              </w:rPr>
              <w:t>2</w:t>
            </w:r>
            <w:r w:rsidRPr="00EC2BEE">
              <w:rPr>
                <w:rFonts w:ascii="Times New Roman" w:hAnsi="Times New Roman"/>
              </w:rPr>
              <w:t>:</w:t>
            </w:r>
            <w:r>
              <w:rPr>
                <w:rFonts w:ascii="Times New Roman" w:hAnsi="Times New Roman"/>
              </w:rPr>
              <w:t>30</w:t>
            </w:r>
          </w:p>
        </w:tc>
        <w:tc>
          <w:tcPr>
            <w:tcW w:w="442" w:type="pct"/>
            <w:tcBorders>
              <w:top w:val="nil"/>
              <w:left w:val="single" w:sz="8" w:space="0" w:color="auto"/>
              <w:bottom w:val="single" w:sz="8" w:space="0" w:color="auto"/>
              <w:right w:val="single" w:sz="8" w:space="0" w:color="auto"/>
            </w:tcBorders>
            <w:noWrap/>
            <w:vAlign w:val="center"/>
          </w:tcPr>
          <w:p w:rsidR="00571724" w:rsidRPr="00EC2BEE" w:rsidP="005F2007" w14:paraId="5D41562E" w14:textId="77777777">
            <w:pPr>
              <w:jc w:val="right"/>
              <w:rPr>
                <w:rFonts w:ascii="Times New Roman" w:hAnsi="Times New Roman"/>
              </w:rPr>
            </w:pPr>
            <w:r>
              <w:rPr>
                <w:rFonts w:ascii="Times New Roman" w:hAnsi="Times New Roman"/>
              </w:rPr>
              <w:t>635</w:t>
            </w:r>
          </w:p>
        </w:tc>
      </w:tr>
      <w:tr w14:paraId="3B58E031" w14:textId="77777777" w:rsidTr="00571724">
        <w:tblPrEx>
          <w:tblW w:w="4861" w:type="pct"/>
          <w:tblLook w:val="04A0"/>
        </w:tblPrEx>
        <w:trPr>
          <w:trHeight w:val="563"/>
        </w:trPr>
        <w:tc>
          <w:tcPr>
            <w:tcW w:w="5000" w:type="pct"/>
            <w:gridSpan w:val="6"/>
            <w:tcBorders>
              <w:top w:val="single" w:sz="4" w:space="0" w:color="auto"/>
              <w:left w:val="single" w:sz="4" w:space="0" w:color="auto"/>
              <w:bottom w:val="single" w:sz="4" w:space="0" w:color="auto"/>
              <w:right w:val="single" w:sz="4" w:space="0" w:color="auto"/>
            </w:tcBorders>
            <w:vAlign w:val="center"/>
          </w:tcPr>
          <w:p w:rsidR="00571724" w:rsidRPr="008C6C19" w:rsidP="005F2007" w14:paraId="02DB8A64" w14:textId="77777777">
            <w:pPr>
              <w:jc w:val="right"/>
              <w:rPr>
                <w:rFonts w:ascii="Times New Roman" w:hAnsi="Times New Roman"/>
                <w:color w:val="FF0000"/>
              </w:rPr>
            </w:pPr>
            <w:r w:rsidRPr="008C6C19">
              <w:rPr>
                <w:rFonts w:ascii="Times New Roman" w:hAnsi="Times New Roman"/>
                <w:b/>
                <w:bCs/>
                <w:i/>
                <w:iCs/>
              </w:rPr>
              <w:t>Total Annual Burden (Hours):</w:t>
            </w:r>
            <w:r>
              <w:rPr>
                <w:rFonts w:ascii="Times New Roman" w:hAnsi="Times New Roman"/>
                <w:b/>
                <w:bCs/>
                <w:i/>
                <w:iCs/>
              </w:rPr>
              <w:t xml:space="preserve"> 1,473</w:t>
            </w:r>
          </w:p>
        </w:tc>
      </w:tr>
    </w:tbl>
    <w:p w:rsidR="00571724" w:rsidRPr="000D7F68" w:rsidP="005F6452" w14:paraId="2EB25CC1" w14:textId="77777777">
      <w:pPr>
        <w:ind w:left="1080"/>
        <w:rPr>
          <w:rFonts w:ascii="Times New Roman" w:hAnsi="Times New Roman"/>
          <w:szCs w:val="24"/>
        </w:rPr>
      </w:pPr>
    </w:p>
    <w:p w:rsidR="00CE34A1" w:rsidRPr="00E67BF4" w:rsidP="00CE34A1" w14:paraId="6A241FE8" w14:textId="77777777">
      <w:pPr>
        <w:rPr>
          <w:rFonts w:ascii="Times New Roman" w:hAnsi="Times New Roman"/>
          <w:szCs w:val="24"/>
        </w:rPr>
      </w:pPr>
    </w:p>
    <w:tbl>
      <w:tblPr>
        <w:tblW w:w="5000" w:type="pct"/>
        <w:tblCellMar>
          <w:left w:w="0" w:type="dxa"/>
          <w:right w:w="0" w:type="dxa"/>
        </w:tblCellMar>
        <w:tblLook w:val="04A0"/>
      </w:tblPr>
      <w:tblGrid>
        <w:gridCol w:w="1190"/>
        <w:gridCol w:w="578"/>
        <w:gridCol w:w="1124"/>
        <w:gridCol w:w="1165"/>
        <w:gridCol w:w="943"/>
        <w:gridCol w:w="937"/>
        <w:gridCol w:w="1117"/>
        <w:gridCol w:w="1148"/>
        <w:gridCol w:w="926"/>
        <w:gridCol w:w="219"/>
        <w:gridCol w:w="3"/>
      </w:tblGrid>
      <w:tr w14:paraId="368C4444" w14:textId="77777777" w:rsidTr="00571724">
        <w:tblPrEx>
          <w:tblW w:w="5000" w:type="pct"/>
          <w:tblCellMar>
            <w:left w:w="0" w:type="dxa"/>
            <w:right w:w="0" w:type="dxa"/>
          </w:tblCellMar>
          <w:tblLook w:val="04A0"/>
        </w:tblPrEx>
        <w:trPr>
          <w:trHeight w:val="360"/>
        </w:trPr>
        <w:tc>
          <w:tcPr>
            <w:tcW w:w="4881" w:type="pct"/>
            <w:gridSpan w:val="9"/>
            <w:tcBorders>
              <w:top w:val="single" w:sz="8" w:space="0" w:color="auto"/>
              <w:left w:val="single" w:sz="8" w:space="0" w:color="auto"/>
              <w:bottom w:val="single" w:sz="8" w:space="0" w:color="auto"/>
              <w:right w:val="single" w:sz="8" w:space="0" w:color="auto"/>
            </w:tcBorders>
            <w:noWrap/>
            <w:tcMar>
              <w:top w:w="15" w:type="dxa"/>
              <w:left w:w="108" w:type="dxa"/>
              <w:bottom w:w="0" w:type="dxa"/>
              <w:right w:w="108" w:type="dxa"/>
            </w:tcMar>
            <w:vAlign w:val="bottom"/>
            <w:hideMark/>
          </w:tcPr>
          <w:p w:rsidR="00CE34A1" w:rsidRPr="00E67BF4" w:rsidP="00CE34A1" w14:paraId="06E908B0" w14:textId="77777777">
            <w:pPr>
              <w:rPr>
                <w:rFonts w:ascii="Times New Roman" w:hAnsi="Times New Roman"/>
                <w:szCs w:val="24"/>
              </w:rPr>
            </w:pPr>
            <w:r w:rsidRPr="00E67BF4">
              <w:rPr>
                <w:rFonts w:ascii="Times New Roman" w:hAnsi="Times New Roman"/>
                <w:szCs w:val="24"/>
              </w:rPr>
              <w:t>Table 2. Summary of Hourly Burden Cost Estimate (OMB No. 3064-NEW)</w:t>
            </w:r>
          </w:p>
        </w:tc>
        <w:tc>
          <w:tcPr>
            <w:tcW w:w="117" w:type="pct"/>
            <w:vAlign w:val="center"/>
            <w:hideMark/>
          </w:tcPr>
          <w:p w:rsidR="00CE34A1" w:rsidRPr="00E67BF4" w:rsidP="00CE34A1" w14:paraId="34FEEFA7" w14:textId="77777777">
            <w:pPr>
              <w:rPr>
                <w:rFonts w:ascii="Times New Roman" w:hAnsi="Times New Roman"/>
                <w:szCs w:val="24"/>
              </w:rPr>
            </w:pPr>
            <w:r w:rsidRPr="00E67BF4">
              <w:rPr>
                <w:rFonts w:ascii="Times New Roman" w:hAnsi="Times New Roman"/>
                <w:szCs w:val="24"/>
              </w:rPr>
              <w:t> </w:t>
            </w:r>
          </w:p>
        </w:tc>
        <w:tc>
          <w:tcPr>
            <w:tcW w:w="2" w:type="pct"/>
            <w:vAlign w:val="center"/>
            <w:hideMark/>
          </w:tcPr>
          <w:p w:rsidR="00CE34A1" w:rsidRPr="00E67BF4" w:rsidP="00CE34A1" w14:paraId="333C977C" w14:textId="77777777">
            <w:pPr>
              <w:rPr>
                <w:rFonts w:ascii="Times New Roman" w:hAnsi="Times New Roman"/>
                <w:szCs w:val="24"/>
              </w:rPr>
            </w:pPr>
          </w:p>
        </w:tc>
      </w:tr>
      <w:tr w14:paraId="7073F0FF" w14:textId="77777777" w:rsidTr="00571724">
        <w:tblPrEx>
          <w:tblW w:w="5000" w:type="pct"/>
          <w:tblCellMar>
            <w:left w:w="0" w:type="dxa"/>
            <w:right w:w="0" w:type="dxa"/>
          </w:tblCellMar>
          <w:tblLook w:val="04A0"/>
        </w:tblPrEx>
        <w:trPr>
          <w:trHeight w:val="600"/>
        </w:trPr>
        <w:tc>
          <w:tcPr>
            <w:tcW w:w="636" w:type="pct"/>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3E23C4D6" w14:textId="77777777">
            <w:pPr>
              <w:rPr>
                <w:rFonts w:ascii="Times New Roman" w:hAnsi="Times New Roman"/>
                <w:szCs w:val="24"/>
              </w:rPr>
            </w:pPr>
            <w:r w:rsidRPr="00E67BF4">
              <w:rPr>
                <w:rFonts w:ascii="Times New Roman" w:hAnsi="Times New Roman"/>
                <w:szCs w:val="24"/>
              </w:rPr>
              <w:t xml:space="preserve">Information </w:t>
            </w:r>
            <w:r w:rsidRPr="00E67BF4">
              <w:rPr>
                <w:rFonts w:ascii="Times New Roman" w:hAnsi="Times New Roman"/>
                <w:szCs w:val="24"/>
              </w:rPr>
              <w:t xml:space="preserve">Collection (IC) (Obligation to Respond) </w:t>
            </w:r>
          </w:p>
        </w:tc>
        <w:tc>
          <w:tcPr>
            <w:tcW w:w="309"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7D43214D" w14:textId="77777777">
            <w:pPr>
              <w:rPr>
                <w:rFonts w:ascii="Times New Roman" w:hAnsi="Times New Roman"/>
                <w:szCs w:val="24"/>
              </w:rPr>
            </w:pPr>
            <w:r w:rsidRPr="00E67BF4">
              <w:rPr>
                <w:rFonts w:ascii="Times New Roman" w:hAnsi="Times New Roman"/>
                <w:szCs w:val="24"/>
              </w:rPr>
              <w:t>Hourl</w:t>
            </w:r>
            <w:r w:rsidRPr="00E67BF4">
              <w:rPr>
                <w:rFonts w:ascii="Times New Roman" w:hAnsi="Times New Roman"/>
                <w:szCs w:val="24"/>
              </w:rPr>
              <w:t xml:space="preserve">y Weight </w:t>
            </w:r>
            <w:r w:rsidRPr="00E67BF4">
              <w:rPr>
                <w:rFonts w:ascii="Times New Roman" w:hAnsi="Times New Roman"/>
                <w:szCs w:val="24"/>
              </w:rPr>
              <w:br/>
              <w:t>(%)</w:t>
            </w:r>
          </w:p>
        </w:tc>
        <w:tc>
          <w:tcPr>
            <w:tcW w:w="3441" w:type="pct"/>
            <w:gridSpan w:val="6"/>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36185D4" w14:textId="77777777">
            <w:pPr>
              <w:rPr>
                <w:rFonts w:ascii="Times New Roman" w:hAnsi="Times New Roman"/>
                <w:szCs w:val="24"/>
              </w:rPr>
            </w:pPr>
            <w:r w:rsidRPr="00E67BF4">
              <w:rPr>
                <w:rFonts w:ascii="Times New Roman" w:hAnsi="Times New Roman"/>
                <w:szCs w:val="24"/>
              </w:rPr>
              <w:t xml:space="preserve">Percentage Shares of Hours Spent by and </w:t>
            </w:r>
            <w:r w:rsidRPr="00E67BF4">
              <w:rPr>
                <w:rFonts w:ascii="Times New Roman" w:hAnsi="Times New Roman"/>
                <w:szCs w:val="24"/>
              </w:rPr>
              <w:br/>
              <w:t xml:space="preserve">Hourly Compensation Rates for each Occupation Group </w:t>
            </w:r>
            <w:r w:rsidRPr="00E67BF4">
              <w:rPr>
                <w:rFonts w:ascii="Times New Roman" w:hAnsi="Times New Roman"/>
                <w:szCs w:val="24"/>
              </w:rPr>
              <w:br/>
            </w:r>
            <w:r w:rsidRPr="00E67BF4">
              <w:rPr>
                <w:rFonts w:ascii="Times New Roman" w:hAnsi="Times New Roman"/>
                <w:szCs w:val="24"/>
              </w:rPr>
              <w:t>(by Collection)</w:t>
            </w:r>
          </w:p>
        </w:tc>
        <w:tc>
          <w:tcPr>
            <w:tcW w:w="495"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F57DD6D" w14:textId="77777777">
            <w:pPr>
              <w:rPr>
                <w:rFonts w:ascii="Times New Roman" w:hAnsi="Times New Roman"/>
                <w:szCs w:val="24"/>
              </w:rPr>
            </w:pPr>
            <w:r w:rsidRPr="00E67BF4">
              <w:rPr>
                <w:rFonts w:ascii="Times New Roman" w:hAnsi="Times New Roman"/>
                <w:szCs w:val="24"/>
              </w:rPr>
              <w:t xml:space="preserve">Estimated </w:t>
            </w:r>
            <w:r w:rsidRPr="00E67BF4">
              <w:rPr>
                <w:rFonts w:ascii="Times New Roman" w:hAnsi="Times New Roman"/>
                <w:szCs w:val="24"/>
              </w:rPr>
              <w:t>Hourly Compensation Rate</w:t>
            </w:r>
          </w:p>
        </w:tc>
        <w:tc>
          <w:tcPr>
            <w:tcW w:w="117" w:type="pct"/>
            <w:vAlign w:val="center"/>
            <w:hideMark/>
          </w:tcPr>
          <w:p w:rsidR="00CE34A1" w:rsidRPr="00E67BF4" w:rsidP="00CE34A1" w14:paraId="08D6560C" w14:textId="77777777">
            <w:pPr>
              <w:rPr>
                <w:rFonts w:ascii="Times New Roman" w:hAnsi="Times New Roman"/>
                <w:szCs w:val="24"/>
              </w:rPr>
            </w:pPr>
            <w:r w:rsidRPr="00E67BF4">
              <w:rPr>
                <w:rFonts w:ascii="Times New Roman" w:hAnsi="Times New Roman"/>
                <w:szCs w:val="24"/>
              </w:rPr>
              <w:t> </w:t>
            </w:r>
          </w:p>
        </w:tc>
        <w:tc>
          <w:tcPr>
            <w:tcW w:w="2" w:type="pct"/>
            <w:vAlign w:val="center"/>
            <w:hideMark/>
          </w:tcPr>
          <w:p w:rsidR="00CE34A1" w:rsidRPr="00E67BF4" w:rsidP="00CE34A1" w14:paraId="21AFCDB9" w14:textId="77777777">
            <w:pPr>
              <w:rPr>
                <w:rFonts w:ascii="Times New Roman" w:hAnsi="Times New Roman"/>
                <w:szCs w:val="24"/>
              </w:rPr>
            </w:pPr>
          </w:p>
        </w:tc>
      </w:tr>
      <w:tr w14:paraId="4478480E" w14:textId="77777777" w:rsidTr="00571724">
        <w:tblPrEx>
          <w:tblW w:w="5000" w:type="pct"/>
          <w:tblCellMar>
            <w:left w:w="0" w:type="dxa"/>
            <w:right w:w="0" w:type="dxa"/>
          </w:tblCellMar>
          <w:tblLook w:val="04A0"/>
        </w:tblPrEx>
        <w:trPr>
          <w:trHeight w:val="864"/>
        </w:trPr>
        <w:tc>
          <w:tcPr>
            <w:tcW w:w="636" w:type="pct"/>
            <w:vMerge/>
            <w:tcBorders>
              <w:top w:val="nil"/>
              <w:left w:val="single" w:sz="8" w:space="0" w:color="auto"/>
              <w:bottom w:val="single" w:sz="8" w:space="0" w:color="auto"/>
              <w:right w:val="single" w:sz="8" w:space="0" w:color="auto"/>
            </w:tcBorders>
            <w:vAlign w:val="center"/>
            <w:hideMark/>
          </w:tcPr>
          <w:p w:rsidR="00CE34A1" w:rsidRPr="00E67BF4" w:rsidP="00CE34A1" w14:paraId="2AF148B8" w14:textId="77777777">
            <w:pPr>
              <w:rPr>
                <w:rFonts w:ascii="Times New Roman" w:hAnsi="Times New Roman"/>
                <w:szCs w:val="24"/>
              </w:rPr>
            </w:pPr>
          </w:p>
        </w:tc>
        <w:tc>
          <w:tcPr>
            <w:tcW w:w="309" w:type="pct"/>
            <w:vMerge/>
            <w:tcBorders>
              <w:top w:val="nil"/>
              <w:left w:val="nil"/>
              <w:bottom w:val="single" w:sz="8" w:space="0" w:color="auto"/>
              <w:right w:val="single" w:sz="8" w:space="0" w:color="auto"/>
            </w:tcBorders>
            <w:vAlign w:val="center"/>
            <w:hideMark/>
          </w:tcPr>
          <w:p w:rsidR="00CE34A1" w:rsidRPr="00E67BF4" w:rsidP="00CE34A1" w14:paraId="057F8BD8" w14:textId="77777777">
            <w:pPr>
              <w:rPr>
                <w:rFonts w:ascii="Times New Roman" w:hAnsi="Times New Roman"/>
                <w:szCs w:val="24"/>
              </w:rPr>
            </w:pPr>
          </w:p>
        </w:tc>
        <w:tc>
          <w:tcPr>
            <w:tcW w:w="3441" w:type="pct"/>
            <w:gridSpan w:val="6"/>
            <w:vMerge/>
            <w:tcBorders>
              <w:top w:val="nil"/>
              <w:left w:val="nil"/>
              <w:bottom w:val="single" w:sz="8" w:space="0" w:color="auto"/>
              <w:right w:val="single" w:sz="8" w:space="0" w:color="auto"/>
            </w:tcBorders>
            <w:vAlign w:val="center"/>
            <w:hideMark/>
          </w:tcPr>
          <w:p w:rsidR="00CE34A1" w:rsidRPr="00E67BF4" w:rsidP="00CE34A1" w14:paraId="09249E83" w14:textId="77777777">
            <w:pPr>
              <w:rPr>
                <w:rFonts w:ascii="Times New Roman" w:hAnsi="Times New Roman"/>
                <w:szCs w:val="24"/>
              </w:rPr>
            </w:pPr>
          </w:p>
        </w:tc>
        <w:tc>
          <w:tcPr>
            <w:tcW w:w="495" w:type="pct"/>
            <w:vMerge/>
            <w:tcBorders>
              <w:top w:val="nil"/>
              <w:left w:val="nil"/>
              <w:bottom w:val="single" w:sz="8" w:space="0" w:color="auto"/>
              <w:right w:val="single" w:sz="8" w:space="0" w:color="auto"/>
            </w:tcBorders>
            <w:vAlign w:val="center"/>
            <w:hideMark/>
          </w:tcPr>
          <w:p w:rsidR="00CE34A1" w:rsidRPr="00E67BF4" w:rsidP="00CE34A1" w14:paraId="5CE1AE2D"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58E3E317" w14:textId="77777777">
            <w:pPr>
              <w:rPr>
                <w:rFonts w:ascii="Times New Roman" w:hAnsi="Times New Roman"/>
                <w:szCs w:val="24"/>
              </w:rPr>
            </w:pPr>
          </w:p>
        </w:tc>
        <w:tc>
          <w:tcPr>
            <w:tcW w:w="2" w:type="pct"/>
            <w:vAlign w:val="center"/>
            <w:hideMark/>
          </w:tcPr>
          <w:p w:rsidR="00CE34A1" w:rsidRPr="00E67BF4" w:rsidP="00CE34A1" w14:paraId="398BD507" w14:textId="77777777">
            <w:pPr>
              <w:rPr>
                <w:rFonts w:ascii="Times New Roman" w:hAnsi="Times New Roman"/>
                <w:szCs w:val="24"/>
              </w:rPr>
            </w:pPr>
          </w:p>
        </w:tc>
      </w:tr>
      <w:tr w14:paraId="4640E0CE" w14:textId="77777777" w:rsidTr="00571724">
        <w:tblPrEx>
          <w:tblW w:w="5000" w:type="pct"/>
          <w:tblCellMar>
            <w:left w:w="0" w:type="dxa"/>
            <w:right w:w="0" w:type="dxa"/>
          </w:tblCellMar>
          <w:tblLook w:val="04A0"/>
        </w:tblPrEx>
        <w:trPr>
          <w:trHeight w:val="360"/>
        </w:trPr>
        <w:tc>
          <w:tcPr>
            <w:tcW w:w="636" w:type="pct"/>
            <w:vMerge/>
            <w:tcBorders>
              <w:top w:val="nil"/>
              <w:left w:val="single" w:sz="8" w:space="0" w:color="auto"/>
              <w:bottom w:val="single" w:sz="8" w:space="0" w:color="auto"/>
              <w:right w:val="single" w:sz="8" w:space="0" w:color="auto"/>
            </w:tcBorders>
            <w:vAlign w:val="center"/>
            <w:hideMark/>
          </w:tcPr>
          <w:p w:rsidR="00CE34A1" w:rsidRPr="00E67BF4" w:rsidP="00CE34A1" w14:paraId="55712B1C" w14:textId="77777777">
            <w:pPr>
              <w:rPr>
                <w:rFonts w:ascii="Times New Roman" w:hAnsi="Times New Roman"/>
                <w:szCs w:val="24"/>
              </w:rPr>
            </w:pPr>
          </w:p>
        </w:tc>
        <w:tc>
          <w:tcPr>
            <w:tcW w:w="309" w:type="pct"/>
            <w:vMerge/>
            <w:tcBorders>
              <w:top w:val="nil"/>
              <w:left w:val="nil"/>
              <w:bottom w:val="single" w:sz="8" w:space="0" w:color="auto"/>
              <w:right w:val="single" w:sz="8" w:space="0" w:color="auto"/>
            </w:tcBorders>
            <w:vAlign w:val="center"/>
            <w:hideMark/>
          </w:tcPr>
          <w:p w:rsidR="00CE34A1" w:rsidRPr="00E67BF4" w:rsidP="00CE34A1" w14:paraId="718FABD5" w14:textId="77777777">
            <w:pPr>
              <w:rPr>
                <w:rFonts w:ascii="Times New Roman" w:hAnsi="Times New Roman"/>
                <w:szCs w:val="24"/>
              </w:rPr>
            </w:pPr>
          </w:p>
        </w:tc>
        <w:tc>
          <w:tcPr>
            <w:tcW w:w="601"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FC00257" w14:textId="77777777">
            <w:pPr>
              <w:rPr>
                <w:rFonts w:ascii="Times New Roman" w:hAnsi="Times New Roman"/>
                <w:szCs w:val="24"/>
              </w:rPr>
            </w:pPr>
            <w:r w:rsidRPr="00E67BF4">
              <w:rPr>
                <w:rFonts w:ascii="Times New Roman" w:hAnsi="Times New Roman"/>
                <w:szCs w:val="24"/>
              </w:rPr>
              <w:t>Exec. &amp; Mgr.      ($159.84)</w:t>
            </w:r>
          </w:p>
        </w:tc>
        <w:tc>
          <w:tcPr>
            <w:tcW w:w="623"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74269619" w14:textId="77777777">
            <w:pPr>
              <w:rPr>
                <w:rFonts w:ascii="Times New Roman" w:hAnsi="Times New Roman"/>
                <w:szCs w:val="24"/>
              </w:rPr>
            </w:pPr>
            <w:r w:rsidRPr="00E67BF4">
              <w:rPr>
                <w:rFonts w:ascii="Times New Roman" w:hAnsi="Times New Roman"/>
                <w:szCs w:val="24"/>
              </w:rPr>
              <w:t>Lawyer</w:t>
            </w:r>
            <w:r w:rsidRPr="00E67BF4">
              <w:rPr>
                <w:rFonts w:ascii="Times New Roman" w:hAnsi="Times New Roman"/>
                <w:szCs w:val="24"/>
              </w:rPr>
              <w:t>   (</w:t>
            </w:r>
            <w:r w:rsidRPr="00E67BF4">
              <w:rPr>
                <w:rFonts w:ascii="Times New Roman" w:hAnsi="Times New Roman"/>
                <w:szCs w:val="24"/>
              </w:rPr>
              <w:t>$180.27)</w:t>
            </w:r>
          </w:p>
        </w:tc>
        <w:tc>
          <w:tcPr>
            <w:tcW w:w="504"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7593CC3" w14:textId="77777777">
            <w:pPr>
              <w:rPr>
                <w:rFonts w:ascii="Times New Roman" w:hAnsi="Times New Roman"/>
                <w:szCs w:val="24"/>
              </w:rPr>
            </w:pPr>
            <w:r w:rsidRPr="00E67BF4">
              <w:rPr>
                <w:rFonts w:ascii="Times New Roman" w:hAnsi="Times New Roman"/>
                <w:szCs w:val="24"/>
              </w:rPr>
              <w:t>Compl</w:t>
            </w:r>
            <w:r w:rsidRPr="00E67BF4">
              <w:rPr>
                <w:rFonts w:ascii="Times New Roman" w:hAnsi="Times New Roman"/>
                <w:szCs w:val="24"/>
              </w:rPr>
              <w:t>. Ofc.   ($81.09)</w:t>
            </w:r>
          </w:p>
        </w:tc>
        <w:tc>
          <w:tcPr>
            <w:tcW w:w="501"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57CCC1A" w14:textId="77777777">
            <w:pPr>
              <w:rPr>
                <w:rFonts w:ascii="Times New Roman" w:hAnsi="Times New Roman"/>
                <w:szCs w:val="24"/>
              </w:rPr>
            </w:pPr>
            <w:r w:rsidRPr="00E67BF4">
              <w:rPr>
                <w:rFonts w:ascii="Times New Roman" w:hAnsi="Times New Roman"/>
                <w:szCs w:val="24"/>
              </w:rPr>
              <w:t>IT </w:t>
            </w:r>
            <w:r w:rsidRPr="00E67BF4">
              <w:rPr>
                <w:rFonts w:ascii="Times New Roman" w:hAnsi="Times New Roman"/>
                <w:szCs w:val="24"/>
              </w:rPr>
              <w:t>   (</w:t>
            </w:r>
            <w:r w:rsidRPr="00E67BF4">
              <w:rPr>
                <w:rFonts w:ascii="Times New Roman" w:hAnsi="Times New Roman"/>
                <w:szCs w:val="24"/>
              </w:rPr>
              <w:t>$116.97)</w:t>
            </w:r>
          </w:p>
        </w:tc>
        <w:tc>
          <w:tcPr>
            <w:tcW w:w="597"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FAEAAF5" w14:textId="77777777">
            <w:pPr>
              <w:rPr>
                <w:rFonts w:ascii="Times New Roman" w:hAnsi="Times New Roman"/>
                <w:szCs w:val="24"/>
              </w:rPr>
            </w:pPr>
            <w:r w:rsidRPr="00E67BF4">
              <w:rPr>
                <w:rFonts w:ascii="Times New Roman" w:hAnsi="Times New Roman"/>
                <w:szCs w:val="24"/>
              </w:rPr>
              <w:t xml:space="preserve">Fin. </w:t>
            </w:r>
            <w:r w:rsidRPr="00E67BF4">
              <w:rPr>
                <w:rFonts w:ascii="Times New Roman" w:hAnsi="Times New Roman"/>
                <w:szCs w:val="24"/>
              </w:rPr>
              <w:t>Anlst</w:t>
            </w:r>
            <w:r w:rsidRPr="00E67BF4">
              <w:rPr>
                <w:rFonts w:ascii="Times New Roman" w:hAnsi="Times New Roman"/>
                <w:szCs w:val="24"/>
              </w:rPr>
              <w:t>.    ($101.69)</w:t>
            </w:r>
          </w:p>
        </w:tc>
        <w:tc>
          <w:tcPr>
            <w:tcW w:w="614" w:type="pct"/>
            <w:vMerge w:val="restar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AE1449C" w14:textId="77777777">
            <w:pPr>
              <w:rPr>
                <w:rFonts w:ascii="Times New Roman" w:hAnsi="Times New Roman"/>
                <w:szCs w:val="24"/>
              </w:rPr>
            </w:pPr>
            <w:r w:rsidRPr="00E67BF4">
              <w:rPr>
                <w:rFonts w:ascii="Times New Roman" w:hAnsi="Times New Roman"/>
                <w:szCs w:val="24"/>
              </w:rPr>
              <w:t>Clerical </w:t>
            </w:r>
            <w:r w:rsidRPr="00E67BF4">
              <w:rPr>
                <w:rFonts w:ascii="Times New Roman" w:hAnsi="Times New Roman"/>
                <w:szCs w:val="24"/>
              </w:rPr>
              <w:t>   (</w:t>
            </w:r>
            <w:r w:rsidRPr="00E67BF4">
              <w:rPr>
                <w:rFonts w:ascii="Times New Roman" w:hAnsi="Times New Roman"/>
                <w:szCs w:val="24"/>
              </w:rPr>
              <w:t>$42.73)</w:t>
            </w:r>
          </w:p>
        </w:tc>
        <w:tc>
          <w:tcPr>
            <w:tcW w:w="495" w:type="pct"/>
            <w:vMerge/>
            <w:tcBorders>
              <w:top w:val="nil"/>
              <w:left w:val="nil"/>
              <w:bottom w:val="single" w:sz="8" w:space="0" w:color="auto"/>
              <w:right w:val="single" w:sz="8" w:space="0" w:color="auto"/>
            </w:tcBorders>
            <w:vAlign w:val="center"/>
            <w:hideMark/>
          </w:tcPr>
          <w:p w:rsidR="00CE34A1" w:rsidRPr="00E67BF4" w:rsidP="00CE34A1" w14:paraId="7F11D2B5" w14:textId="77777777">
            <w:pPr>
              <w:rPr>
                <w:rFonts w:ascii="Times New Roman" w:hAnsi="Times New Roman"/>
                <w:szCs w:val="24"/>
              </w:rPr>
            </w:pPr>
          </w:p>
        </w:tc>
        <w:tc>
          <w:tcPr>
            <w:tcW w:w="117" w:type="pct"/>
            <w:tcMar>
              <w:top w:w="15" w:type="dxa"/>
              <w:left w:w="108" w:type="dxa"/>
              <w:bottom w:w="0" w:type="dxa"/>
              <w:right w:w="108" w:type="dxa"/>
            </w:tcMar>
            <w:vAlign w:val="center"/>
            <w:hideMark/>
          </w:tcPr>
          <w:p w:rsidR="00CE34A1" w:rsidRPr="00E67BF4" w:rsidP="00CE34A1" w14:paraId="69CD793D" w14:textId="77777777">
            <w:pPr>
              <w:rPr>
                <w:rFonts w:ascii="Times New Roman" w:hAnsi="Times New Roman"/>
                <w:szCs w:val="24"/>
              </w:rPr>
            </w:pPr>
          </w:p>
        </w:tc>
        <w:tc>
          <w:tcPr>
            <w:tcW w:w="2" w:type="pct"/>
            <w:vAlign w:val="center"/>
            <w:hideMark/>
          </w:tcPr>
          <w:p w:rsidR="00CE34A1" w:rsidRPr="00E67BF4" w:rsidP="00CE34A1" w14:paraId="0AB1135F" w14:textId="77777777">
            <w:pPr>
              <w:rPr>
                <w:rFonts w:ascii="Times New Roman" w:hAnsi="Times New Roman"/>
                <w:szCs w:val="24"/>
              </w:rPr>
            </w:pPr>
          </w:p>
        </w:tc>
      </w:tr>
      <w:tr w14:paraId="7C0CC8D3" w14:textId="77777777" w:rsidTr="00571724">
        <w:tblPrEx>
          <w:tblW w:w="5000" w:type="pct"/>
          <w:tblCellMar>
            <w:left w:w="0" w:type="dxa"/>
            <w:right w:w="0" w:type="dxa"/>
          </w:tblCellMar>
          <w:tblLook w:val="04A0"/>
        </w:tblPrEx>
        <w:trPr>
          <w:trHeight w:val="1140"/>
        </w:trPr>
        <w:tc>
          <w:tcPr>
            <w:tcW w:w="636" w:type="pct"/>
            <w:vMerge/>
            <w:tcBorders>
              <w:top w:val="nil"/>
              <w:left w:val="single" w:sz="8" w:space="0" w:color="auto"/>
              <w:bottom w:val="single" w:sz="8" w:space="0" w:color="auto"/>
              <w:right w:val="single" w:sz="8" w:space="0" w:color="auto"/>
            </w:tcBorders>
            <w:vAlign w:val="center"/>
            <w:hideMark/>
          </w:tcPr>
          <w:p w:rsidR="00CE34A1" w:rsidRPr="00E67BF4" w:rsidP="00CE34A1" w14:paraId="41FD08A4" w14:textId="77777777">
            <w:pPr>
              <w:rPr>
                <w:rFonts w:ascii="Times New Roman" w:hAnsi="Times New Roman"/>
                <w:szCs w:val="24"/>
              </w:rPr>
            </w:pPr>
          </w:p>
        </w:tc>
        <w:tc>
          <w:tcPr>
            <w:tcW w:w="309" w:type="pct"/>
            <w:vMerge/>
            <w:tcBorders>
              <w:top w:val="nil"/>
              <w:left w:val="nil"/>
              <w:bottom w:val="single" w:sz="8" w:space="0" w:color="auto"/>
              <w:right w:val="single" w:sz="8" w:space="0" w:color="auto"/>
            </w:tcBorders>
            <w:vAlign w:val="center"/>
            <w:hideMark/>
          </w:tcPr>
          <w:p w:rsidR="00CE34A1" w:rsidRPr="00E67BF4" w:rsidP="00CE34A1" w14:paraId="23415233" w14:textId="77777777">
            <w:pPr>
              <w:rPr>
                <w:rFonts w:ascii="Times New Roman" w:hAnsi="Times New Roman"/>
                <w:szCs w:val="24"/>
              </w:rPr>
            </w:pPr>
          </w:p>
        </w:tc>
        <w:tc>
          <w:tcPr>
            <w:tcW w:w="601" w:type="pct"/>
            <w:vMerge/>
            <w:tcBorders>
              <w:top w:val="nil"/>
              <w:left w:val="nil"/>
              <w:bottom w:val="single" w:sz="8" w:space="0" w:color="auto"/>
              <w:right w:val="single" w:sz="8" w:space="0" w:color="auto"/>
            </w:tcBorders>
            <w:vAlign w:val="center"/>
            <w:hideMark/>
          </w:tcPr>
          <w:p w:rsidR="00CE34A1" w:rsidRPr="00E67BF4" w:rsidP="00CE34A1" w14:paraId="1BFB211B" w14:textId="77777777">
            <w:pPr>
              <w:rPr>
                <w:rFonts w:ascii="Times New Roman" w:hAnsi="Times New Roman"/>
                <w:szCs w:val="24"/>
              </w:rPr>
            </w:pPr>
          </w:p>
        </w:tc>
        <w:tc>
          <w:tcPr>
            <w:tcW w:w="623" w:type="pct"/>
            <w:vMerge/>
            <w:tcBorders>
              <w:top w:val="nil"/>
              <w:left w:val="nil"/>
              <w:bottom w:val="single" w:sz="8" w:space="0" w:color="auto"/>
              <w:right w:val="single" w:sz="8" w:space="0" w:color="auto"/>
            </w:tcBorders>
            <w:vAlign w:val="center"/>
            <w:hideMark/>
          </w:tcPr>
          <w:p w:rsidR="00CE34A1" w:rsidRPr="00E67BF4" w:rsidP="00CE34A1" w14:paraId="0C31D397" w14:textId="77777777">
            <w:pPr>
              <w:rPr>
                <w:rFonts w:ascii="Times New Roman" w:hAnsi="Times New Roman"/>
                <w:szCs w:val="24"/>
              </w:rPr>
            </w:pPr>
          </w:p>
        </w:tc>
        <w:tc>
          <w:tcPr>
            <w:tcW w:w="504" w:type="pct"/>
            <w:vMerge/>
            <w:tcBorders>
              <w:top w:val="nil"/>
              <w:left w:val="nil"/>
              <w:bottom w:val="single" w:sz="8" w:space="0" w:color="auto"/>
              <w:right w:val="single" w:sz="8" w:space="0" w:color="auto"/>
            </w:tcBorders>
            <w:vAlign w:val="center"/>
            <w:hideMark/>
          </w:tcPr>
          <w:p w:rsidR="00CE34A1" w:rsidRPr="00E67BF4" w:rsidP="00CE34A1" w14:paraId="6E8F05F8" w14:textId="77777777">
            <w:pPr>
              <w:rPr>
                <w:rFonts w:ascii="Times New Roman" w:hAnsi="Times New Roman"/>
                <w:szCs w:val="24"/>
              </w:rPr>
            </w:pPr>
          </w:p>
        </w:tc>
        <w:tc>
          <w:tcPr>
            <w:tcW w:w="501" w:type="pct"/>
            <w:vMerge/>
            <w:tcBorders>
              <w:top w:val="nil"/>
              <w:left w:val="nil"/>
              <w:bottom w:val="single" w:sz="8" w:space="0" w:color="auto"/>
              <w:right w:val="single" w:sz="8" w:space="0" w:color="auto"/>
            </w:tcBorders>
            <w:vAlign w:val="center"/>
            <w:hideMark/>
          </w:tcPr>
          <w:p w:rsidR="00CE34A1" w:rsidRPr="00E67BF4" w:rsidP="00CE34A1" w14:paraId="7FE4EB2F" w14:textId="77777777">
            <w:pPr>
              <w:rPr>
                <w:rFonts w:ascii="Times New Roman" w:hAnsi="Times New Roman"/>
                <w:szCs w:val="24"/>
              </w:rPr>
            </w:pPr>
          </w:p>
        </w:tc>
        <w:tc>
          <w:tcPr>
            <w:tcW w:w="597" w:type="pct"/>
            <w:vMerge/>
            <w:tcBorders>
              <w:top w:val="nil"/>
              <w:left w:val="nil"/>
              <w:bottom w:val="single" w:sz="8" w:space="0" w:color="auto"/>
              <w:right w:val="single" w:sz="8" w:space="0" w:color="auto"/>
            </w:tcBorders>
            <w:vAlign w:val="center"/>
            <w:hideMark/>
          </w:tcPr>
          <w:p w:rsidR="00CE34A1" w:rsidRPr="00E67BF4" w:rsidP="00CE34A1" w14:paraId="0C1F6017" w14:textId="77777777">
            <w:pPr>
              <w:rPr>
                <w:rFonts w:ascii="Times New Roman" w:hAnsi="Times New Roman"/>
                <w:szCs w:val="24"/>
              </w:rPr>
            </w:pPr>
          </w:p>
        </w:tc>
        <w:tc>
          <w:tcPr>
            <w:tcW w:w="614" w:type="pct"/>
            <w:vMerge/>
            <w:tcBorders>
              <w:top w:val="nil"/>
              <w:left w:val="nil"/>
              <w:bottom w:val="single" w:sz="8" w:space="0" w:color="auto"/>
              <w:right w:val="single" w:sz="8" w:space="0" w:color="auto"/>
            </w:tcBorders>
            <w:vAlign w:val="center"/>
            <w:hideMark/>
          </w:tcPr>
          <w:p w:rsidR="00CE34A1" w:rsidRPr="00E67BF4" w:rsidP="00CE34A1" w14:paraId="2AB60921" w14:textId="77777777">
            <w:pPr>
              <w:rPr>
                <w:rFonts w:ascii="Times New Roman" w:hAnsi="Times New Roman"/>
                <w:szCs w:val="24"/>
              </w:rPr>
            </w:pPr>
          </w:p>
        </w:tc>
        <w:tc>
          <w:tcPr>
            <w:tcW w:w="495" w:type="pct"/>
            <w:vMerge/>
            <w:tcBorders>
              <w:top w:val="nil"/>
              <w:left w:val="nil"/>
              <w:bottom w:val="single" w:sz="8" w:space="0" w:color="auto"/>
              <w:right w:val="single" w:sz="8" w:space="0" w:color="auto"/>
            </w:tcBorders>
            <w:vAlign w:val="center"/>
            <w:hideMark/>
          </w:tcPr>
          <w:p w:rsidR="00CE34A1" w:rsidRPr="00E67BF4" w:rsidP="00CE34A1" w14:paraId="2489085D"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3812954D" w14:textId="77777777">
            <w:pPr>
              <w:rPr>
                <w:rFonts w:ascii="Times New Roman" w:hAnsi="Times New Roman"/>
                <w:szCs w:val="24"/>
              </w:rPr>
            </w:pPr>
          </w:p>
        </w:tc>
        <w:tc>
          <w:tcPr>
            <w:tcW w:w="2" w:type="pct"/>
            <w:vAlign w:val="center"/>
            <w:hideMark/>
          </w:tcPr>
          <w:p w:rsidR="00CE34A1" w:rsidRPr="00E67BF4" w:rsidP="00CE34A1" w14:paraId="3BF689AF" w14:textId="77777777">
            <w:pPr>
              <w:rPr>
                <w:rFonts w:ascii="Times New Roman" w:hAnsi="Times New Roman"/>
                <w:szCs w:val="24"/>
              </w:rPr>
            </w:pPr>
          </w:p>
        </w:tc>
      </w:tr>
      <w:tr w14:paraId="4153B4E4" w14:textId="77777777" w:rsidTr="00571724">
        <w:tblPrEx>
          <w:tblW w:w="5000" w:type="pct"/>
          <w:tblCellMar>
            <w:left w:w="0" w:type="dxa"/>
            <w:right w:w="0" w:type="dxa"/>
          </w:tblCellMar>
          <w:tblLook w:val="04A0"/>
        </w:tblPrEx>
        <w:trPr>
          <w:trHeight w:val="1944"/>
        </w:trPr>
        <w:tc>
          <w:tcPr>
            <w:tcW w:w="636" w:type="pc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1814715" w14:textId="77777777">
            <w:pPr>
              <w:rPr>
                <w:rFonts w:ascii="Times New Roman" w:hAnsi="Times New Roman"/>
                <w:szCs w:val="24"/>
              </w:rPr>
            </w:pPr>
            <w:r w:rsidRPr="00E67BF4">
              <w:rPr>
                <w:rFonts w:ascii="Times New Roman" w:hAnsi="Times New Roman"/>
                <w:szCs w:val="24"/>
              </w:rPr>
              <w:t>1. Request for discretionary disclosure of Confidential Information Related to Resolution Plans,</w:t>
            </w:r>
            <w:r w:rsidRPr="00E67BF4">
              <w:rPr>
                <w:rFonts w:ascii="Times New Roman" w:hAnsi="Times New Roman"/>
                <w:szCs w:val="24"/>
              </w:rPr>
              <w:br/>
              <w:t>12 CFR 309.34</w:t>
            </w:r>
            <w:r w:rsidRPr="00E67BF4">
              <w:rPr>
                <w:rFonts w:ascii="Times New Roman" w:hAnsi="Times New Roman"/>
                <w:szCs w:val="24"/>
              </w:rPr>
              <w:br/>
              <w:t>(Required to Obtain or Retain a Benefit)</w:t>
            </w:r>
          </w:p>
        </w:tc>
        <w:tc>
          <w:tcPr>
            <w:tcW w:w="309"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790B0FE" w14:textId="77777777">
            <w:pPr>
              <w:rPr>
                <w:rFonts w:ascii="Times New Roman" w:hAnsi="Times New Roman"/>
                <w:szCs w:val="24"/>
              </w:rPr>
            </w:pPr>
            <w:r w:rsidRPr="00E67BF4">
              <w:rPr>
                <w:rFonts w:ascii="Times New Roman" w:hAnsi="Times New Roman"/>
                <w:szCs w:val="24"/>
              </w:rPr>
              <w:t>6.18</w:t>
            </w:r>
          </w:p>
        </w:tc>
        <w:tc>
          <w:tcPr>
            <w:tcW w:w="6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74E2DB3C" w14:textId="77777777">
            <w:pPr>
              <w:rPr>
                <w:rFonts w:ascii="Times New Roman" w:hAnsi="Times New Roman"/>
                <w:szCs w:val="24"/>
              </w:rPr>
            </w:pPr>
            <w:r w:rsidRPr="00E67BF4">
              <w:rPr>
                <w:rFonts w:ascii="Times New Roman" w:hAnsi="Times New Roman"/>
                <w:szCs w:val="24"/>
              </w:rPr>
              <w:t>30</w:t>
            </w:r>
          </w:p>
        </w:tc>
        <w:tc>
          <w:tcPr>
            <w:tcW w:w="623"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3E017A44" w14:textId="77777777">
            <w:pPr>
              <w:rPr>
                <w:rFonts w:ascii="Times New Roman" w:hAnsi="Times New Roman"/>
                <w:szCs w:val="24"/>
              </w:rPr>
            </w:pPr>
            <w:r w:rsidRPr="00E67BF4">
              <w:rPr>
                <w:rFonts w:ascii="Times New Roman" w:hAnsi="Times New Roman"/>
                <w:szCs w:val="24"/>
              </w:rPr>
              <w:t>44</w:t>
            </w:r>
          </w:p>
        </w:tc>
        <w:tc>
          <w:tcPr>
            <w:tcW w:w="50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9BC6B14" w14:textId="77777777">
            <w:pPr>
              <w:rPr>
                <w:rFonts w:ascii="Times New Roman" w:hAnsi="Times New Roman"/>
                <w:szCs w:val="24"/>
              </w:rPr>
            </w:pPr>
            <w:r w:rsidRPr="00E67BF4">
              <w:rPr>
                <w:rFonts w:ascii="Times New Roman" w:hAnsi="Times New Roman"/>
                <w:szCs w:val="24"/>
              </w:rPr>
              <w:t>13</w:t>
            </w:r>
          </w:p>
        </w:tc>
        <w:tc>
          <w:tcPr>
            <w:tcW w:w="5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C64B915" w14:textId="77777777">
            <w:pPr>
              <w:rPr>
                <w:rFonts w:ascii="Times New Roman" w:hAnsi="Times New Roman"/>
                <w:szCs w:val="24"/>
              </w:rPr>
            </w:pPr>
            <w:r w:rsidRPr="00E67BF4">
              <w:rPr>
                <w:rFonts w:ascii="Times New Roman" w:hAnsi="Times New Roman"/>
                <w:szCs w:val="24"/>
              </w:rPr>
              <w:t>0</w:t>
            </w:r>
          </w:p>
        </w:tc>
        <w:tc>
          <w:tcPr>
            <w:tcW w:w="597"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F1D13CD" w14:textId="77777777">
            <w:pPr>
              <w:rPr>
                <w:rFonts w:ascii="Times New Roman" w:hAnsi="Times New Roman"/>
                <w:szCs w:val="24"/>
              </w:rPr>
            </w:pPr>
            <w:r w:rsidRPr="00E67BF4">
              <w:rPr>
                <w:rFonts w:ascii="Times New Roman" w:hAnsi="Times New Roman"/>
                <w:szCs w:val="24"/>
              </w:rPr>
              <w:t>0</w:t>
            </w:r>
          </w:p>
        </w:tc>
        <w:tc>
          <w:tcPr>
            <w:tcW w:w="61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98D69A8" w14:textId="77777777">
            <w:pPr>
              <w:rPr>
                <w:rFonts w:ascii="Times New Roman" w:hAnsi="Times New Roman"/>
                <w:szCs w:val="24"/>
              </w:rPr>
            </w:pPr>
            <w:r w:rsidRPr="00E67BF4">
              <w:rPr>
                <w:rFonts w:ascii="Times New Roman" w:hAnsi="Times New Roman"/>
                <w:szCs w:val="24"/>
              </w:rPr>
              <w:t>13</w:t>
            </w:r>
          </w:p>
        </w:tc>
        <w:tc>
          <w:tcPr>
            <w:tcW w:w="495"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11AFEC4" w14:textId="77777777">
            <w:pPr>
              <w:rPr>
                <w:rFonts w:ascii="Times New Roman" w:hAnsi="Times New Roman"/>
                <w:szCs w:val="24"/>
              </w:rPr>
            </w:pPr>
            <w:r w:rsidRPr="00E67BF4">
              <w:rPr>
                <w:rFonts w:ascii="Times New Roman" w:hAnsi="Times New Roman"/>
                <w:szCs w:val="24"/>
              </w:rPr>
              <w:t xml:space="preserve">$143.37 </w:t>
            </w:r>
          </w:p>
        </w:tc>
        <w:tc>
          <w:tcPr>
            <w:tcW w:w="117" w:type="pct"/>
            <w:tcMar>
              <w:top w:w="15" w:type="dxa"/>
              <w:left w:w="108" w:type="dxa"/>
              <w:bottom w:w="0" w:type="dxa"/>
              <w:right w:w="108" w:type="dxa"/>
            </w:tcMar>
            <w:vAlign w:val="center"/>
            <w:hideMark/>
          </w:tcPr>
          <w:p w:rsidR="00CE34A1" w:rsidRPr="00E67BF4" w:rsidP="00CE34A1" w14:paraId="53AC6989" w14:textId="77777777">
            <w:pPr>
              <w:rPr>
                <w:rFonts w:ascii="Times New Roman" w:hAnsi="Times New Roman"/>
                <w:szCs w:val="24"/>
              </w:rPr>
            </w:pPr>
          </w:p>
        </w:tc>
        <w:tc>
          <w:tcPr>
            <w:tcW w:w="2" w:type="pct"/>
            <w:vAlign w:val="center"/>
            <w:hideMark/>
          </w:tcPr>
          <w:p w:rsidR="00CE34A1" w:rsidRPr="00E67BF4" w:rsidP="00CE34A1" w14:paraId="18599FCA" w14:textId="77777777">
            <w:pPr>
              <w:rPr>
                <w:rFonts w:ascii="Times New Roman" w:hAnsi="Times New Roman"/>
                <w:szCs w:val="24"/>
              </w:rPr>
            </w:pPr>
          </w:p>
        </w:tc>
      </w:tr>
      <w:tr w14:paraId="1077A7C8" w14:textId="77777777" w:rsidTr="00571724">
        <w:tblPrEx>
          <w:tblW w:w="5000" w:type="pct"/>
          <w:tblCellMar>
            <w:left w:w="0" w:type="dxa"/>
            <w:right w:w="0" w:type="dxa"/>
          </w:tblCellMar>
          <w:tblLook w:val="04A0"/>
        </w:tblPrEx>
        <w:trPr>
          <w:trHeight w:val="2220"/>
        </w:trPr>
        <w:tc>
          <w:tcPr>
            <w:tcW w:w="636" w:type="pc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34F649F" w14:textId="77777777">
            <w:pPr>
              <w:rPr>
                <w:rFonts w:ascii="Times New Roman" w:hAnsi="Times New Roman"/>
                <w:szCs w:val="24"/>
              </w:rPr>
            </w:pPr>
            <w:r w:rsidRPr="00E67BF4">
              <w:rPr>
                <w:rFonts w:ascii="Times New Roman" w:hAnsi="Times New Roman"/>
                <w:szCs w:val="24"/>
              </w:rPr>
              <w:t xml:space="preserve">2. Request for discretionary disclosure of Confidential Information (Other than Information Related to </w:t>
            </w:r>
            <w:r w:rsidRPr="00E67BF4">
              <w:rPr>
                <w:rFonts w:ascii="Times New Roman" w:hAnsi="Times New Roman"/>
                <w:szCs w:val="24"/>
              </w:rPr>
              <w:t>Resolution Plans),</w:t>
            </w:r>
            <w:r w:rsidRPr="00E67BF4">
              <w:rPr>
                <w:rFonts w:ascii="Times New Roman" w:hAnsi="Times New Roman"/>
                <w:szCs w:val="24"/>
              </w:rPr>
              <w:br/>
              <w:t>12 CFR 309.34</w:t>
            </w:r>
            <w:r w:rsidRPr="00E67BF4">
              <w:rPr>
                <w:rFonts w:ascii="Times New Roman" w:hAnsi="Times New Roman"/>
                <w:szCs w:val="24"/>
              </w:rPr>
              <w:br/>
              <w:t>(Required to Obtain or Retain a Benefit)</w:t>
            </w:r>
          </w:p>
        </w:tc>
        <w:tc>
          <w:tcPr>
            <w:tcW w:w="309"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7D400C7" w14:textId="77777777">
            <w:pPr>
              <w:rPr>
                <w:rFonts w:ascii="Times New Roman" w:hAnsi="Times New Roman"/>
                <w:szCs w:val="24"/>
              </w:rPr>
            </w:pPr>
            <w:r w:rsidRPr="00E67BF4">
              <w:rPr>
                <w:rFonts w:ascii="Times New Roman" w:hAnsi="Times New Roman"/>
                <w:szCs w:val="24"/>
              </w:rPr>
              <w:t>28.31</w:t>
            </w:r>
          </w:p>
        </w:tc>
        <w:tc>
          <w:tcPr>
            <w:tcW w:w="6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7B2EA409" w14:textId="77777777">
            <w:pPr>
              <w:rPr>
                <w:rFonts w:ascii="Times New Roman" w:hAnsi="Times New Roman"/>
                <w:szCs w:val="24"/>
              </w:rPr>
            </w:pPr>
            <w:r w:rsidRPr="00E67BF4">
              <w:rPr>
                <w:rFonts w:ascii="Times New Roman" w:hAnsi="Times New Roman"/>
                <w:szCs w:val="24"/>
              </w:rPr>
              <w:t>30</w:t>
            </w:r>
          </w:p>
        </w:tc>
        <w:tc>
          <w:tcPr>
            <w:tcW w:w="623"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757F3FE" w14:textId="77777777">
            <w:pPr>
              <w:rPr>
                <w:rFonts w:ascii="Times New Roman" w:hAnsi="Times New Roman"/>
                <w:szCs w:val="24"/>
              </w:rPr>
            </w:pPr>
            <w:r w:rsidRPr="00E67BF4">
              <w:rPr>
                <w:rFonts w:ascii="Times New Roman" w:hAnsi="Times New Roman"/>
                <w:szCs w:val="24"/>
              </w:rPr>
              <w:t>44</w:t>
            </w:r>
          </w:p>
        </w:tc>
        <w:tc>
          <w:tcPr>
            <w:tcW w:w="50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4382188" w14:textId="77777777">
            <w:pPr>
              <w:rPr>
                <w:rFonts w:ascii="Times New Roman" w:hAnsi="Times New Roman"/>
                <w:szCs w:val="24"/>
              </w:rPr>
            </w:pPr>
            <w:r w:rsidRPr="00E67BF4">
              <w:rPr>
                <w:rFonts w:ascii="Times New Roman" w:hAnsi="Times New Roman"/>
                <w:szCs w:val="24"/>
              </w:rPr>
              <w:t>13</w:t>
            </w:r>
          </w:p>
        </w:tc>
        <w:tc>
          <w:tcPr>
            <w:tcW w:w="5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86B121B" w14:textId="77777777">
            <w:pPr>
              <w:rPr>
                <w:rFonts w:ascii="Times New Roman" w:hAnsi="Times New Roman"/>
                <w:szCs w:val="24"/>
              </w:rPr>
            </w:pPr>
            <w:r w:rsidRPr="00E67BF4">
              <w:rPr>
                <w:rFonts w:ascii="Times New Roman" w:hAnsi="Times New Roman"/>
                <w:szCs w:val="24"/>
              </w:rPr>
              <w:t>0</w:t>
            </w:r>
          </w:p>
        </w:tc>
        <w:tc>
          <w:tcPr>
            <w:tcW w:w="597"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EA27C63" w14:textId="77777777">
            <w:pPr>
              <w:rPr>
                <w:rFonts w:ascii="Times New Roman" w:hAnsi="Times New Roman"/>
                <w:szCs w:val="24"/>
              </w:rPr>
            </w:pPr>
            <w:r w:rsidRPr="00E67BF4">
              <w:rPr>
                <w:rFonts w:ascii="Times New Roman" w:hAnsi="Times New Roman"/>
                <w:szCs w:val="24"/>
              </w:rPr>
              <w:t>0</w:t>
            </w:r>
          </w:p>
        </w:tc>
        <w:tc>
          <w:tcPr>
            <w:tcW w:w="61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A8AAEFE" w14:textId="77777777">
            <w:pPr>
              <w:rPr>
                <w:rFonts w:ascii="Times New Roman" w:hAnsi="Times New Roman"/>
                <w:szCs w:val="24"/>
              </w:rPr>
            </w:pPr>
            <w:r w:rsidRPr="00E67BF4">
              <w:rPr>
                <w:rFonts w:ascii="Times New Roman" w:hAnsi="Times New Roman"/>
                <w:szCs w:val="24"/>
              </w:rPr>
              <w:t>13</w:t>
            </w:r>
          </w:p>
        </w:tc>
        <w:tc>
          <w:tcPr>
            <w:tcW w:w="495"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568159F" w14:textId="77777777">
            <w:pPr>
              <w:rPr>
                <w:rFonts w:ascii="Times New Roman" w:hAnsi="Times New Roman"/>
                <w:szCs w:val="24"/>
              </w:rPr>
            </w:pPr>
            <w:r w:rsidRPr="00E67BF4">
              <w:rPr>
                <w:rFonts w:ascii="Times New Roman" w:hAnsi="Times New Roman"/>
                <w:szCs w:val="24"/>
              </w:rPr>
              <w:t xml:space="preserve">$143.37 </w:t>
            </w:r>
          </w:p>
        </w:tc>
        <w:tc>
          <w:tcPr>
            <w:tcW w:w="117" w:type="pct"/>
            <w:tcMar>
              <w:top w:w="15" w:type="dxa"/>
              <w:left w:w="108" w:type="dxa"/>
              <w:bottom w:w="0" w:type="dxa"/>
              <w:right w:w="108" w:type="dxa"/>
            </w:tcMar>
            <w:vAlign w:val="center"/>
            <w:hideMark/>
          </w:tcPr>
          <w:p w:rsidR="00CE34A1" w:rsidRPr="00E67BF4" w:rsidP="00CE34A1" w14:paraId="45125C50" w14:textId="77777777">
            <w:pPr>
              <w:rPr>
                <w:rFonts w:ascii="Times New Roman" w:hAnsi="Times New Roman"/>
                <w:szCs w:val="24"/>
              </w:rPr>
            </w:pPr>
          </w:p>
        </w:tc>
        <w:tc>
          <w:tcPr>
            <w:tcW w:w="2" w:type="pct"/>
            <w:vAlign w:val="center"/>
            <w:hideMark/>
          </w:tcPr>
          <w:p w:rsidR="00CE34A1" w:rsidRPr="00E67BF4" w:rsidP="00CE34A1" w14:paraId="6C6C43F3" w14:textId="77777777">
            <w:pPr>
              <w:rPr>
                <w:rFonts w:ascii="Times New Roman" w:hAnsi="Times New Roman"/>
                <w:szCs w:val="24"/>
              </w:rPr>
            </w:pPr>
          </w:p>
        </w:tc>
      </w:tr>
      <w:tr w14:paraId="497197F2" w14:textId="77777777" w:rsidTr="00571724">
        <w:tblPrEx>
          <w:tblW w:w="5000" w:type="pct"/>
          <w:tblCellMar>
            <w:left w:w="0" w:type="dxa"/>
            <w:right w:w="0" w:type="dxa"/>
          </w:tblCellMar>
          <w:tblLook w:val="04A0"/>
        </w:tblPrEx>
        <w:trPr>
          <w:trHeight w:val="1116"/>
        </w:trPr>
        <w:tc>
          <w:tcPr>
            <w:tcW w:w="636" w:type="pc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96C69B7" w14:textId="77777777">
            <w:pPr>
              <w:rPr>
                <w:rFonts w:ascii="Times New Roman" w:hAnsi="Times New Roman"/>
                <w:szCs w:val="24"/>
              </w:rPr>
            </w:pPr>
            <w:r w:rsidRPr="00E67BF4">
              <w:rPr>
                <w:rFonts w:ascii="Times New Roman" w:hAnsi="Times New Roman"/>
                <w:szCs w:val="24"/>
              </w:rPr>
              <w:t>3. Written Waiver – Section 309.37(a)(1)(G)(iii) (Required to Obtain or Retain a Benefit)</w:t>
            </w:r>
          </w:p>
        </w:tc>
        <w:tc>
          <w:tcPr>
            <w:tcW w:w="309"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F2064F4" w14:textId="77777777">
            <w:pPr>
              <w:rPr>
                <w:rFonts w:ascii="Times New Roman" w:hAnsi="Times New Roman"/>
                <w:szCs w:val="24"/>
              </w:rPr>
            </w:pPr>
            <w:r w:rsidRPr="00E67BF4">
              <w:rPr>
                <w:rFonts w:ascii="Times New Roman" w:hAnsi="Times New Roman"/>
                <w:szCs w:val="24"/>
              </w:rPr>
              <w:t>22.40</w:t>
            </w:r>
          </w:p>
        </w:tc>
        <w:tc>
          <w:tcPr>
            <w:tcW w:w="6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8CDA575" w14:textId="77777777">
            <w:pPr>
              <w:rPr>
                <w:rFonts w:ascii="Times New Roman" w:hAnsi="Times New Roman"/>
                <w:szCs w:val="24"/>
              </w:rPr>
            </w:pPr>
            <w:r w:rsidRPr="00E67BF4">
              <w:rPr>
                <w:rFonts w:ascii="Times New Roman" w:hAnsi="Times New Roman"/>
                <w:szCs w:val="24"/>
              </w:rPr>
              <w:t>0</w:t>
            </w:r>
          </w:p>
        </w:tc>
        <w:tc>
          <w:tcPr>
            <w:tcW w:w="623"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451318D" w14:textId="77777777">
            <w:pPr>
              <w:rPr>
                <w:rFonts w:ascii="Times New Roman" w:hAnsi="Times New Roman"/>
                <w:szCs w:val="24"/>
              </w:rPr>
            </w:pPr>
            <w:r w:rsidRPr="00E67BF4">
              <w:rPr>
                <w:rFonts w:ascii="Times New Roman" w:hAnsi="Times New Roman"/>
                <w:szCs w:val="24"/>
              </w:rPr>
              <w:t>100</w:t>
            </w:r>
          </w:p>
        </w:tc>
        <w:tc>
          <w:tcPr>
            <w:tcW w:w="50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9E6C2F7" w14:textId="77777777">
            <w:pPr>
              <w:rPr>
                <w:rFonts w:ascii="Times New Roman" w:hAnsi="Times New Roman"/>
                <w:szCs w:val="24"/>
              </w:rPr>
            </w:pPr>
            <w:r w:rsidRPr="00E67BF4">
              <w:rPr>
                <w:rFonts w:ascii="Times New Roman" w:hAnsi="Times New Roman"/>
                <w:szCs w:val="24"/>
              </w:rPr>
              <w:t>0</w:t>
            </w:r>
          </w:p>
        </w:tc>
        <w:tc>
          <w:tcPr>
            <w:tcW w:w="5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34D26848" w14:textId="77777777">
            <w:pPr>
              <w:rPr>
                <w:rFonts w:ascii="Times New Roman" w:hAnsi="Times New Roman"/>
                <w:szCs w:val="24"/>
              </w:rPr>
            </w:pPr>
            <w:r w:rsidRPr="00E67BF4">
              <w:rPr>
                <w:rFonts w:ascii="Times New Roman" w:hAnsi="Times New Roman"/>
                <w:szCs w:val="24"/>
              </w:rPr>
              <w:t>0</w:t>
            </w:r>
          </w:p>
        </w:tc>
        <w:tc>
          <w:tcPr>
            <w:tcW w:w="597"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6F750E0" w14:textId="77777777">
            <w:pPr>
              <w:rPr>
                <w:rFonts w:ascii="Times New Roman" w:hAnsi="Times New Roman"/>
                <w:szCs w:val="24"/>
              </w:rPr>
            </w:pPr>
            <w:r w:rsidRPr="00E67BF4">
              <w:rPr>
                <w:rFonts w:ascii="Times New Roman" w:hAnsi="Times New Roman"/>
                <w:szCs w:val="24"/>
              </w:rPr>
              <w:t>0</w:t>
            </w:r>
          </w:p>
        </w:tc>
        <w:tc>
          <w:tcPr>
            <w:tcW w:w="61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8E65620" w14:textId="77777777">
            <w:pPr>
              <w:rPr>
                <w:rFonts w:ascii="Times New Roman" w:hAnsi="Times New Roman"/>
                <w:szCs w:val="24"/>
              </w:rPr>
            </w:pPr>
            <w:r w:rsidRPr="00E67BF4">
              <w:rPr>
                <w:rFonts w:ascii="Times New Roman" w:hAnsi="Times New Roman"/>
                <w:szCs w:val="24"/>
              </w:rPr>
              <w:t>0</w:t>
            </w:r>
          </w:p>
        </w:tc>
        <w:tc>
          <w:tcPr>
            <w:tcW w:w="495"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782DEAC" w14:textId="77777777">
            <w:pPr>
              <w:rPr>
                <w:rFonts w:ascii="Times New Roman" w:hAnsi="Times New Roman"/>
                <w:szCs w:val="24"/>
              </w:rPr>
            </w:pPr>
            <w:r w:rsidRPr="00E67BF4">
              <w:rPr>
                <w:rFonts w:ascii="Times New Roman" w:hAnsi="Times New Roman"/>
                <w:szCs w:val="24"/>
              </w:rPr>
              <w:t xml:space="preserve">$180.27 </w:t>
            </w:r>
          </w:p>
        </w:tc>
        <w:tc>
          <w:tcPr>
            <w:tcW w:w="117" w:type="pct"/>
            <w:tcMar>
              <w:top w:w="15" w:type="dxa"/>
              <w:left w:w="108" w:type="dxa"/>
              <w:bottom w:w="0" w:type="dxa"/>
              <w:right w:w="108" w:type="dxa"/>
            </w:tcMar>
            <w:vAlign w:val="center"/>
            <w:hideMark/>
          </w:tcPr>
          <w:p w:rsidR="00CE34A1" w:rsidRPr="00E67BF4" w:rsidP="00CE34A1" w14:paraId="12A5262F" w14:textId="77777777">
            <w:pPr>
              <w:rPr>
                <w:rFonts w:ascii="Times New Roman" w:hAnsi="Times New Roman"/>
                <w:szCs w:val="24"/>
              </w:rPr>
            </w:pPr>
          </w:p>
        </w:tc>
        <w:tc>
          <w:tcPr>
            <w:tcW w:w="2" w:type="pct"/>
            <w:vAlign w:val="center"/>
            <w:hideMark/>
          </w:tcPr>
          <w:p w:rsidR="00CE34A1" w:rsidRPr="00E67BF4" w:rsidP="00CE34A1" w14:paraId="64B6874E" w14:textId="77777777">
            <w:pPr>
              <w:rPr>
                <w:rFonts w:ascii="Times New Roman" w:hAnsi="Times New Roman"/>
                <w:szCs w:val="24"/>
              </w:rPr>
            </w:pPr>
          </w:p>
        </w:tc>
      </w:tr>
      <w:tr w14:paraId="5B358688" w14:textId="77777777" w:rsidTr="00571724">
        <w:tblPrEx>
          <w:tblW w:w="5000" w:type="pct"/>
          <w:tblCellMar>
            <w:left w:w="0" w:type="dxa"/>
            <w:right w:w="0" w:type="dxa"/>
          </w:tblCellMar>
          <w:tblLook w:val="04A0"/>
        </w:tblPrEx>
        <w:trPr>
          <w:trHeight w:val="1668"/>
        </w:trPr>
        <w:tc>
          <w:tcPr>
            <w:tcW w:w="636" w:type="pc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5DF0C3D" w14:textId="77777777">
            <w:pPr>
              <w:rPr>
                <w:rFonts w:ascii="Times New Roman" w:hAnsi="Times New Roman"/>
                <w:szCs w:val="24"/>
              </w:rPr>
            </w:pPr>
            <w:r w:rsidRPr="00E67BF4">
              <w:rPr>
                <w:rFonts w:ascii="Times New Roman" w:hAnsi="Times New Roman"/>
                <w:szCs w:val="24"/>
              </w:rPr>
              <w:t>4. Request to use FDIC information in a non-party legal proceeding – Section 309.52(b) and (c), Section 309.53 (Required to Obtain or Retain a Benefit)</w:t>
            </w:r>
          </w:p>
        </w:tc>
        <w:tc>
          <w:tcPr>
            <w:tcW w:w="309"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78E53428" w14:textId="77777777">
            <w:pPr>
              <w:rPr>
                <w:rFonts w:ascii="Times New Roman" w:hAnsi="Times New Roman"/>
                <w:szCs w:val="24"/>
              </w:rPr>
            </w:pPr>
            <w:r w:rsidRPr="00E67BF4">
              <w:rPr>
                <w:rFonts w:ascii="Times New Roman" w:hAnsi="Times New Roman"/>
                <w:szCs w:val="24"/>
              </w:rPr>
              <w:t>43.11</w:t>
            </w:r>
          </w:p>
        </w:tc>
        <w:tc>
          <w:tcPr>
            <w:tcW w:w="6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C0EE4FC" w14:textId="77777777">
            <w:pPr>
              <w:rPr>
                <w:rFonts w:ascii="Times New Roman" w:hAnsi="Times New Roman"/>
                <w:szCs w:val="24"/>
              </w:rPr>
            </w:pPr>
            <w:r w:rsidRPr="00E67BF4">
              <w:rPr>
                <w:rFonts w:ascii="Times New Roman" w:hAnsi="Times New Roman"/>
                <w:szCs w:val="24"/>
              </w:rPr>
              <w:t>0</w:t>
            </w:r>
          </w:p>
        </w:tc>
        <w:tc>
          <w:tcPr>
            <w:tcW w:w="623"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3273542A" w14:textId="77777777">
            <w:pPr>
              <w:rPr>
                <w:rFonts w:ascii="Times New Roman" w:hAnsi="Times New Roman"/>
                <w:szCs w:val="24"/>
              </w:rPr>
            </w:pPr>
            <w:r w:rsidRPr="00E67BF4">
              <w:rPr>
                <w:rFonts w:ascii="Times New Roman" w:hAnsi="Times New Roman"/>
                <w:szCs w:val="24"/>
              </w:rPr>
              <w:t>75</w:t>
            </w:r>
          </w:p>
        </w:tc>
        <w:tc>
          <w:tcPr>
            <w:tcW w:w="50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0D70A714" w14:textId="77777777">
            <w:pPr>
              <w:rPr>
                <w:rFonts w:ascii="Times New Roman" w:hAnsi="Times New Roman"/>
                <w:szCs w:val="24"/>
              </w:rPr>
            </w:pPr>
            <w:r w:rsidRPr="00E67BF4">
              <w:rPr>
                <w:rFonts w:ascii="Times New Roman" w:hAnsi="Times New Roman"/>
                <w:szCs w:val="24"/>
              </w:rPr>
              <w:t>0</w:t>
            </w:r>
          </w:p>
        </w:tc>
        <w:tc>
          <w:tcPr>
            <w:tcW w:w="501"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35C6593F" w14:textId="77777777">
            <w:pPr>
              <w:rPr>
                <w:rFonts w:ascii="Times New Roman" w:hAnsi="Times New Roman"/>
                <w:szCs w:val="24"/>
              </w:rPr>
            </w:pPr>
            <w:r w:rsidRPr="00E67BF4">
              <w:rPr>
                <w:rFonts w:ascii="Times New Roman" w:hAnsi="Times New Roman"/>
                <w:szCs w:val="24"/>
              </w:rPr>
              <w:t>0</w:t>
            </w:r>
          </w:p>
        </w:tc>
        <w:tc>
          <w:tcPr>
            <w:tcW w:w="597"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155A9B75" w14:textId="77777777">
            <w:pPr>
              <w:rPr>
                <w:rFonts w:ascii="Times New Roman" w:hAnsi="Times New Roman"/>
                <w:szCs w:val="24"/>
              </w:rPr>
            </w:pPr>
            <w:r w:rsidRPr="00E67BF4">
              <w:rPr>
                <w:rFonts w:ascii="Times New Roman" w:hAnsi="Times New Roman"/>
                <w:szCs w:val="24"/>
              </w:rPr>
              <w:t>0</w:t>
            </w:r>
          </w:p>
        </w:tc>
        <w:tc>
          <w:tcPr>
            <w:tcW w:w="614"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500A9B9D" w14:textId="77777777">
            <w:pPr>
              <w:rPr>
                <w:rFonts w:ascii="Times New Roman" w:hAnsi="Times New Roman"/>
                <w:szCs w:val="24"/>
              </w:rPr>
            </w:pPr>
            <w:r w:rsidRPr="00E67BF4">
              <w:rPr>
                <w:rFonts w:ascii="Times New Roman" w:hAnsi="Times New Roman"/>
                <w:szCs w:val="24"/>
              </w:rPr>
              <w:t>25</w:t>
            </w:r>
          </w:p>
        </w:tc>
        <w:tc>
          <w:tcPr>
            <w:tcW w:w="495" w:type="pct"/>
            <w:tcBorders>
              <w:top w:val="nil"/>
              <w:left w:val="nil"/>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4200B425" w14:textId="77777777">
            <w:pPr>
              <w:rPr>
                <w:rFonts w:ascii="Times New Roman" w:hAnsi="Times New Roman"/>
                <w:szCs w:val="24"/>
              </w:rPr>
            </w:pPr>
            <w:r w:rsidRPr="00E67BF4">
              <w:rPr>
                <w:rFonts w:ascii="Times New Roman" w:hAnsi="Times New Roman"/>
                <w:szCs w:val="24"/>
              </w:rPr>
              <w:t xml:space="preserve">$145.89 </w:t>
            </w:r>
          </w:p>
        </w:tc>
        <w:tc>
          <w:tcPr>
            <w:tcW w:w="117" w:type="pct"/>
            <w:tcMar>
              <w:top w:w="15" w:type="dxa"/>
              <w:left w:w="108" w:type="dxa"/>
              <w:bottom w:w="0" w:type="dxa"/>
              <w:right w:w="108" w:type="dxa"/>
            </w:tcMar>
            <w:vAlign w:val="center"/>
            <w:hideMark/>
          </w:tcPr>
          <w:p w:rsidR="00CE34A1" w:rsidRPr="00E67BF4" w:rsidP="00CE34A1" w14:paraId="300BCEAD" w14:textId="77777777">
            <w:pPr>
              <w:rPr>
                <w:rFonts w:ascii="Times New Roman" w:hAnsi="Times New Roman"/>
                <w:szCs w:val="24"/>
              </w:rPr>
            </w:pPr>
          </w:p>
        </w:tc>
        <w:tc>
          <w:tcPr>
            <w:tcW w:w="2" w:type="pct"/>
            <w:vAlign w:val="center"/>
            <w:hideMark/>
          </w:tcPr>
          <w:p w:rsidR="00CE34A1" w:rsidRPr="00E67BF4" w:rsidP="00CE34A1" w14:paraId="50049784" w14:textId="77777777">
            <w:pPr>
              <w:rPr>
                <w:rFonts w:ascii="Times New Roman" w:hAnsi="Times New Roman"/>
                <w:szCs w:val="24"/>
              </w:rPr>
            </w:pPr>
          </w:p>
        </w:tc>
      </w:tr>
      <w:tr w14:paraId="366DA1C8" w14:textId="77777777" w:rsidTr="00571724">
        <w:tblPrEx>
          <w:tblW w:w="5000" w:type="pct"/>
          <w:tblCellMar>
            <w:left w:w="0" w:type="dxa"/>
            <w:right w:w="0" w:type="dxa"/>
          </w:tblCellMar>
          <w:tblLook w:val="04A0"/>
        </w:tblPrEx>
        <w:trPr>
          <w:trHeight w:val="300"/>
        </w:trPr>
        <w:tc>
          <w:tcPr>
            <w:tcW w:w="4386" w:type="pct"/>
            <w:gridSpan w:val="8"/>
            <w:tcBorders>
              <w:top w:val="nil"/>
              <w:left w:val="single" w:sz="8" w:space="0" w:color="auto"/>
              <w:bottom w:val="nil"/>
              <w:right w:val="single" w:sz="8" w:space="0" w:color="auto"/>
            </w:tcBorders>
            <w:tcMar>
              <w:top w:w="15" w:type="dxa"/>
              <w:left w:w="108" w:type="dxa"/>
              <w:bottom w:w="0" w:type="dxa"/>
              <w:right w:w="108" w:type="dxa"/>
            </w:tcMar>
            <w:vAlign w:val="center"/>
            <w:hideMark/>
          </w:tcPr>
          <w:p w:rsidR="00CE34A1" w:rsidRPr="00E67BF4" w:rsidP="00CE34A1" w14:paraId="2F76F89B" w14:textId="77777777">
            <w:pPr>
              <w:rPr>
                <w:rFonts w:ascii="Times New Roman" w:hAnsi="Times New Roman"/>
                <w:b/>
                <w:bCs/>
                <w:i/>
                <w:iCs/>
                <w:szCs w:val="24"/>
              </w:rPr>
            </w:pPr>
            <w:r w:rsidRPr="00E67BF4">
              <w:rPr>
                <w:rFonts w:ascii="Times New Roman" w:hAnsi="Times New Roman"/>
                <w:b/>
                <w:bCs/>
                <w:i/>
                <w:iCs/>
                <w:szCs w:val="24"/>
              </w:rPr>
              <w:t>Weighted Average Hourly Compensation Rate:</w:t>
            </w:r>
          </w:p>
        </w:tc>
        <w:tc>
          <w:tcPr>
            <w:tcW w:w="495" w:type="pct"/>
            <w:tcBorders>
              <w:top w:val="nil"/>
              <w:left w:val="nil"/>
              <w:bottom w:val="nil"/>
              <w:right w:val="single" w:sz="8" w:space="0" w:color="auto"/>
            </w:tcBorders>
            <w:tcMar>
              <w:top w:w="15" w:type="dxa"/>
              <w:left w:w="108" w:type="dxa"/>
              <w:bottom w:w="0" w:type="dxa"/>
              <w:right w:w="108" w:type="dxa"/>
            </w:tcMar>
            <w:vAlign w:val="center"/>
            <w:hideMark/>
          </w:tcPr>
          <w:p w:rsidR="00CE34A1" w:rsidRPr="00E67BF4" w:rsidP="00CE34A1" w14:paraId="022C2D0D" w14:textId="77777777">
            <w:pPr>
              <w:rPr>
                <w:rFonts w:ascii="Times New Roman" w:hAnsi="Times New Roman"/>
                <w:b/>
                <w:bCs/>
                <w:i/>
                <w:iCs/>
                <w:szCs w:val="24"/>
              </w:rPr>
            </w:pPr>
            <w:r w:rsidRPr="00E67BF4">
              <w:rPr>
                <w:rFonts w:ascii="Times New Roman" w:hAnsi="Times New Roman"/>
                <w:b/>
                <w:bCs/>
                <w:i/>
                <w:iCs/>
                <w:szCs w:val="24"/>
              </w:rPr>
              <w:t xml:space="preserve">$152.72 </w:t>
            </w:r>
          </w:p>
        </w:tc>
        <w:tc>
          <w:tcPr>
            <w:tcW w:w="117" w:type="pct"/>
            <w:tcMar>
              <w:top w:w="15" w:type="dxa"/>
              <w:left w:w="108" w:type="dxa"/>
              <w:bottom w:w="0" w:type="dxa"/>
              <w:right w:w="108" w:type="dxa"/>
            </w:tcMar>
            <w:vAlign w:val="center"/>
            <w:hideMark/>
          </w:tcPr>
          <w:p w:rsidR="00CE34A1" w:rsidRPr="00E67BF4" w:rsidP="00CE34A1" w14:paraId="73C8FDEC" w14:textId="77777777">
            <w:pPr>
              <w:rPr>
                <w:rFonts w:ascii="Times New Roman" w:hAnsi="Times New Roman"/>
                <w:b/>
                <w:bCs/>
                <w:i/>
                <w:iCs/>
                <w:szCs w:val="24"/>
              </w:rPr>
            </w:pPr>
          </w:p>
        </w:tc>
        <w:tc>
          <w:tcPr>
            <w:tcW w:w="2" w:type="pct"/>
            <w:vAlign w:val="center"/>
            <w:hideMark/>
          </w:tcPr>
          <w:p w:rsidR="00CE34A1" w:rsidRPr="00E67BF4" w:rsidP="00CE34A1" w14:paraId="00C23B67" w14:textId="77777777">
            <w:pPr>
              <w:rPr>
                <w:rFonts w:ascii="Times New Roman" w:hAnsi="Times New Roman"/>
                <w:szCs w:val="24"/>
              </w:rPr>
            </w:pPr>
          </w:p>
        </w:tc>
      </w:tr>
      <w:tr w14:paraId="31E33128" w14:textId="77777777" w:rsidTr="00571724">
        <w:tblPrEx>
          <w:tblW w:w="5000" w:type="pct"/>
          <w:tblCellMar>
            <w:left w:w="0" w:type="dxa"/>
            <w:right w:w="0" w:type="dxa"/>
          </w:tblCellMar>
          <w:tblLook w:val="04A0"/>
        </w:tblPrEx>
        <w:trPr>
          <w:trHeight w:val="252"/>
        </w:trPr>
        <w:tc>
          <w:tcPr>
            <w:tcW w:w="4881" w:type="pct"/>
            <w:gridSpan w:val="9"/>
            <w:vMerge w:val="restart"/>
            <w:tcBorders>
              <w:top w:val="single" w:sz="8" w:space="0" w:color="auto"/>
              <w:left w:val="single" w:sz="8" w:space="0" w:color="auto"/>
              <w:bottom w:val="nil"/>
              <w:right w:val="single" w:sz="8" w:space="0" w:color="000000"/>
            </w:tcBorders>
            <w:tcMar>
              <w:top w:w="15" w:type="dxa"/>
              <w:left w:w="108" w:type="dxa"/>
              <w:bottom w:w="0" w:type="dxa"/>
              <w:right w:w="108" w:type="dxa"/>
            </w:tcMar>
            <w:vAlign w:val="center"/>
            <w:hideMark/>
          </w:tcPr>
          <w:p w:rsidR="00CE34A1" w:rsidRPr="00E67BF4" w:rsidP="00CE34A1" w14:paraId="26E43473" w14:textId="77777777">
            <w:pPr>
              <w:rPr>
                <w:rFonts w:ascii="Times New Roman" w:hAnsi="Times New Roman"/>
                <w:szCs w:val="24"/>
              </w:rPr>
            </w:pPr>
            <w:r w:rsidRPr="00E67BF4">
              <w:rPr>
                <w:rFonts w:ascii="Times New Roman" w:hAnsi="Times New Roman"/>
                <w:szCs w:val="24"/>
              </w:rPr>
              <w:t xml:space="preserve">Source: Bureau of Labor Statistics: 'National Industry-Specific Occupational Employment and Wage Estimates: Industry: Credit Intermediation and Related Activities (5221 And 5223 only)' (May 2024), Employer Cost of Employee Compensation (March 2024), and Employment Cost Index (March 2024 and December 2025). Standard Occupational Classification (SOC) Codes: Exec. And </w:t>
            </w:r>
            <w:r w:rsidRPr="00E67BF4">
              <w:rPr>
                <w:rFonts w:ascii="Times New Roman" w:hAnsi="Times New Roman"/>
                <w:szCs w:val="24"/>
              </w:rPr>
              <w:t>Mgr</w:t>
            </w:r>
            <w:r w:rsidRPr="00E67BF4">
              <w:rPr>
                <w:rFonts w:ascii="Times New Roman" w:hAnsi="Times New Roman"/>
                <w:szCs w:val="24"/>
              </w:rPr>
              <w:t xml:space="preserve"> = 11-0000 Management Occupations; Lawyer = 23-0000 Legal Occupations; </w:t>
            </w:r>
            <w:r w:rsidRPr="00E67BF4">
              <w:rPr>
                <w:rFonts w:ascii="Times New Roman" w:hAnsi="Times New Roman"/>
                <w:szCs w:val="24"/>
              </w:rPr>
              <w:t>Compl</w:t>
            </w:r>
            <w:r w:rsidRPr="00E67BF4">
              <w:rPr>
                <w:rFonts w:ascii="Times New Roman" w:hAnsi="Times New Roman"/>
                <w:szCs w:val="24"/>
              </w:rPr>
              <w:t xml:space="preserve">. Ofc. = 13-1040 Compliance Officers; IT = 15-0000 Computer and Mathematical Occupations; Fin. </w:t>
            </w:r>
            <w:r w:rsidRPr="00E67BF4">
              <w:rPr>
                <w:rFonts w:ascii="Times New Roman" w:hAnsi="Times New Roman"/>
                <w:szCs w:val="24"/>
              </w:rPr>
              <w:t>Anlst</w:t>
            </w:r>
            <w:r w:rsidRPr="00E67BF4">
              <w:rPr>
                <w:rFonts w:ascii="Times New Roman" w:hAnsi="Times New Roman"/>
                <w:szCs w:val="24"/>
              </w:rPr>
              <w:t xml:space="preserve">. = 13-2051 Financial and Investment Analysts; Clerical = 43-0000 Office and Administrative Support Occupations. </w:t>
            </w:r>
          </w:p>
        </w:tc>
        <w:tc>
          <w:tcPr>
            <w:tcW w:w="117" w:type="pct"/>
            <w:tcMar>
              <w:top w:w="15" w:type="dxa"/>
              <w:left w:w="108" w:type="dxa"/>
              <w:bottom w:w="0" w:type="dxa"/>
              <w:right w:w="108" w:type="dxa"/>
            </w:tcMar>
            <w:vAlign w:val="center"/>
            <w:hideMark/>
          </w:tcPr>
          <w:p w:rsidR="00CE34A1" w:rsidRPr="00E67BF4" w:rsidP="00CE34A1" w14:paraId="1BBCE6F6" w14:textId="77777777">
            <w:pPr>
              <w:rPr>
                <w:rFonts w:ascii="Times New Roman" w:hAnsi="Times New Roman"/>
                <w:szCs w:val="24"/>
              </w:rPr>
            </w:pPr>
          </w:p>
        </w:tc>
        <w:tc>
          <w:tcPr>
            <w:tcW w:w="2" w:type="pct"/>
            <w:vAlign w:val="center"/>
            <w:hideMark/>
          </w:tcPr>
          <w:p w:rsidR="00CE34A1" w:rsidRPr="00E67BF4" w:rsidP="00CE34A1" w14:paraId="38F53446" w14:textId="77777777">
            <w:pPr>
              <w:rPr>
                <w:rFonts w:ascii="Times New Roman" w:hAnsi="Times New Roman"/>
                <w:szCs w:val="24"/>
              </w:rPr>
            </w:pPr>
          </w:p>
        </w:tc>
      </w:tr>
      <w:tr w14:paraId="4C04A1F5" w14:textId="77777777" w:rsidTr="00571724">
        <w:tblPrEx>
          <w:tblW w:w="5000" w:type="pct"/>
          <w:tblCellMar>
            <w:left w:w="0" w:type="dxa"/>
            <w:right w:w="0" w:type="dxa"/>
          </w:tblCellMar>
          <w:tblLook w:val="04A0"/>
        </w:tblPrEx>
        <w:trPr>
          <w:trHeight w:val="288"/>
        </w:trPr>
        <w:tc>
          <w:tcPr>
            <w:tcW w:w="4881" w:type="pct"/>
            <w:gridSpan w:val="9"/>
            <w:vMerge/>
            <w:tcBorders>
              <w:top w:val="single" w:sz="8" w:space="0" w:color="auto"/>
              <w:left w:val="single" w:sz="8" w:space="0" w:color="auto"/>
              <w:bottom w:val="nil"/>
              <w:right w:val="single" w:sz="8" w:space="0" w:color="000000"/>
            </w:tcBorders>
            <w:vAlign w:val="center"/>
            <w:hideMark/>
          </w:tcPr>
          <w:p w:rsidR="00CE34A1" w:rsidRPr="00E67BF4" w:rsidP="00CE34A1" w14:paraId="73E18932"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2E592FD0" w14:textId="77777777">
            <w:pPr>
              <w:rPr>
                <w:rFonts w:ascii="Times New Roman" w:hAnsi="Times New Roman"/>
                <w:szCs w:val="24"/>
              </w:rPr>
            </w:pPr>
          </w:p>
        </w:tc>
        <w:tc>
          <w:tcPr>
            <w:tcW w:w="2" w:type="pct"/>
            <w:vAlign w:val="center"/>
            <w:hideMark/>
          </w:tcPr>
          <w:p w:rsidR="00CE34A1" w:rsidRPr="00E67BF4" w:rsidP="00CE34A1" w14:paraId="2E8C00BA" w14:textId="77777777">
            <w:pPr>
              <w:rPr>
                <w:rFonts w:ascii="Times New Roman" w:hAnsi="Times New Roman"/>
                <w:szCs w:val="24"/>
              </w:rPr>
            </w:pPr>
          </w:p>
        </w:tc>
      </w:tr>
      <w:tr w14:paraId="35C199ED" w14:textId="77777777" w:rsidTr="00571724">
        <w:tblPrEx>
          <w:tblW w:w="5000" w:type="pct"/>
          <w:tblCellMar>
            <w:left w:w="0" w:type="dxa"/>
            <w:right w:w="0" w:type="dxa"/>
          </w:tblCellMar>
          <w:tblLook w:val="04A0"/>
        </w:tblPrEx>
        <w:trPr>
          <w:trHeight w:val="288"/>
        </w:trPr>
        <w:tc>
          <w:tcPr>
            <w:tcW w:w="4881" w:type="pct"/>
            <w:gridSpan w:val="9"/>
            <w:vMerge/>
            <w:tcBorders>
              <w:top w:val="single" w:sz="8" w:space="0" w:color="auto"/>
              <w:left w:val="single" w:sz="8" w:space="0" w:color="auto"/>
              <w:bottom w:val="nil"/>
              <w:right w:val="single" w:sz="8" w:space="0" w:color="000000"/>
            </w:tcBorders>
            <w:vAlign w:val="center"/>
            <w:hideMark/>
          </w:tcPr>
          <w:p w:rsidR="00CE34A1" w:rsidRPr="00E67BF4" w:rsidP="00CE34A1" w14:paraId="68C60B4B"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10AC2D8A" w14:textId="77777777">
            <w:pPr>
              <w:rPr>
                <w:rFonts w:ascii="Times New Roman" w:hAnsi="Times New Roman"/>
                <w:szCs w:val="24"/>
              </w:rPr>
            </w:pPr>
          </w:p>
        </w:tc>
        <w:tc>
          <w:tcPr>
            <w:tcW w:w="2" w:type="pct"/>
            <w:vAlign w:val="center"/>
            <w:hideMark/>
          </w:tcPr>
          <w:p w:rsidR="00CE34A1" w:rsidRPr="00E67BF4" w:rsidP="00CE34A1" w14:paraId="385BD330" w14:textId="77777777">
            <w:pPr>
              <w:rPr>
                <w:rFonts w:ascii="Times New Roman" w:hAnsi="Times New Roman"/>
                <w:szCs w:val="24"/>
              </w:rPr>
            </w:pPr>
          </w:p>
        </w:tc>
      </w:tr>
      <w:tr w14:paraId="1C6000D1" w14:textId="77777777" w:rsidTr="00571724">
        <w:tblPrEx>
          <w:tblW w:w="5000" w:type="pct"/>
          <w:tblCellMar>
            <w:left w:w="0" w:type="dxa"/>
            <w:right w:w="0" w:type="dxa"/>
          </w:tblCellMar>
          <w:tblLook w:val="04A0"/>
        </w:tblPrEx>
        <w:trPr>
          <w:trHeight w:val="312"/>
        </w:trPr>
        <w:tc>
          <w:tcPr>
            <w:tcW w:w="4881" w:type="pct"/>
            <w:gridSpan w:val="9"/>
            <w:vMerge/>
            <w:tcBorders>
              <w:top w:val="single" w:sz="8" w:space="0" w:color="auto"/>
              <w:left w:val="single" w:sz="8" w:space="0" w:color="auto"/>
              <w:bottom w:val="nil"/>
              <w:right w:val="single" w:sz="8" w:space="0" w:color="000000"/>
            </w:tcBorders>
            <w:vAlign w:val="center"/>
            <w:hideMark/>
          </w:tcPr>
          <w:p w:rsidR="00CE34A1" w:rsidRPr="00E67BF4" w:rsidP="00CE34A1" w14:paraId="5F3AE97E"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721C8327" w14:textId="77777777">
            <w:pPr>
              <w:rPr>
                <w:rFonts w:ascii="Times New Roman" w:hAnsi="Times New Roman"/>
                <w:szCs w:val="24"/>
              </w:rPr>
            </w:pPr>
          </w:p>
        </w:tc>
        <w:tc>
          <w:tcPr>
            <w:tcW w:w="2" w:type="pct"/>
            <w:vAlign w:val="center"/>
            <w:hideMark/>
          </w:tcPr>
          <w:p w:rsidR="00CE34A1" w:rsidRPr="00E67BF4" w:rsidP="00CE34A1" w14:paraId="4AE05D16" w14:textId="77777777">
            <w:pPr>
              <w:rPr>
                <w:rFonts w:ascii="Times New Roman" w:hAnsi="Times New Roman"/>
                <w:szCs w:val="24"/>
              </w:rPr>
            </w:pPr>
          </w:p>
        </w:tc>
      </w:tr>
      <w:tr w14:paraId="57A7E626" w14:textId="77777777" w:rsidTr="00571724">
        <w:tblPrEx>
          <w:tblW w:w="5000" w:type="pct"/>
          <w:tblCellMar>
            <w:left w:w="0" w:type="dxa"/>
            <w:right w:w="0" w:type="dxa"/>
          </w:tblCellMar>
          <w:tblLook w:val="04A0"/>
        </w:tblPrEx>
        <w:trPr>
          <w:trHeight w:val="408"/>
        </w:trPr>
        <w:tc>
          <w:tcPr>
            <w:tcW w:w="4881" w:type="pct"/>
            <w:gridSpan w:val="9"/>
            <w:vMerge w:val="restart"/>
            <w:tcBorders>
              <w:top w:val="nil"/>
              <w:left w:val="single" w:sz="8" w:space="0" w:color="auto"/>
              <w:bottom w:val="single" w:sz="8" w:space="0" w:color="auto"/>
              <w:right w:val="single" w:sz="8" w:space="0" w:color="auto"/>
            </w:tcBorders>
            <w:tcMar>
              <w:top w:w="15" w:type="dxa"/>
              <w:left w:w="108" w:type="dxa"/>
              <w:bottom w:w="0" w:type="dxa"/>
              <w:right w:w="108" w:type="dxa"/>
            </w:tcMar>
            <w:vAlign w:val="center"/>
            <w:hideMark/>
          </w:tcPr>
          <w:p w:rsidR="00CE34A1" w:rsidRPr="00E67BF4" w:rsidP="00CE34A1" w14:paraId="2A0C1404" w14:textId="77777777">
            <w:pPr>
              <w:rPr>
                <w:rFonts w:ascii="Times New Roman" w:hAnsi="Times New Roman"/>
                <w:szCs w:val="24"/>
              </w:rPr>
            </w:pPr>
            <w:r w:rsidRPr="00E67BF4">
              <w:rPr>
                <w:rFonts w:ascii="Times New Roman" w:hAnsi="Times New Roman"/>
                <w:szCs w:val="24"/>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c>
          <w:tcPr>
            <w:tcW w:w="117" w:type="pct"/>
            <w:tcMar>
              <w:top w:w="15" w:type="dxa"/>
              <w:left w:w="108" w:type="dxa"/>
              <w:bottom w:w="0" w:type="dxa"/>
              <w:right w:w="108" w:type="dxa"/>
            </w:tcMar>
            <w:vAlign w:val="center"/>
            <w:hideMark/>
          </w:tcPr>
          <w:p w:rsidR="00CE34A1" w:rsidRPr="00E67BF4" w:rsidP="00CE34A1" w14:paraId="2C6898DF" w14:textId="77777777">
            <w:pPr>
              <w:rPr>
                <w:rFonts w:ascii="Times New Roman" w:hAnsi="Times New Roman"/>
                <w:szCs w:val="24"/>
              </w:rPr>
            </w:pPr>
          </w:p>
        </w:tc>
        <w:tc>
          <w:tcPr>
            <w:tcW w:w="2" w:type="pct"/>
            <w:vAlign w:val="center"/>
            <w:hideMark/>
          </w:tcPr>
          <w:p w:rsidR="00CE34A1" w:rsidRPr="00E67BF4" w:rsidP="00CE34A1" w14:paraId="43BD7E6D" w14:textId="77777777">
            <w:pPr>
              <w:rPr>
                <w:rFonts w:ascii="Times New Roman" w:hAnsi="Times New Roman"/>
                <w:szCs w:val="24"/>
              </w:rPr>
            </w:pPr>
          </w:p>
        </w:tc>
      </w:tr>
      <w:tr w14:paraId="62081FDC" w14:textId="77777777" w:rsidTr="00571724">
        <w:tblPrEx>
          <w:tblW w:w="5000" w:type="pct"/>
          <w:tblCellMar>
            <w:left w:w="0" w:type="dxa"/>
            <w:right w:w="0" w:type="dxa"/>
          </w:tblCellMar>
          <w:tblLook w:val="04A0"/>
        </w:tblPrEx>
        <w:trPr>
          <w:trHeight w:val="288"/>
        </w:trPr>
        <w:tc>
          <w:tcPr>
            <w:tcW w:w="4881" w:type="pct"/>
            <w:gridSpan w:val="9"/>
            <w:vMerge/>
            <w:tcBorders>
              <w:top w:val="nil"/>
              <w:left w:val="single" w:sz="8" w:space="0" w:color="auto"/>
              <w:bottom w:val="single" w:sz="8" w:space="0" w:color="auto"/>
              <w:right w:val="single" w:sz="8" w:space="0" w:color="auto"/>
            </w:tcBorders>
            <w:vAlign w:val="center"/>
            <w:hideMark/>
          </w:tcPr>
          <w:p w:rsidR="00CE34A1" w:rsidRPr="00E67BF4" w:rsidP="00CE34A1" w14:paraId="5F3535BE"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175B901E" w14:textId="77777777">
            <w:pPr>
              <w:rPr>
                <w:rFonts w:ascii="Times New Roman" w:hAnsi="Times New Roman"/>
                <w:szCs w:val="24"/>
              </w:rPr>
            </w:pPr>
          </w:p>
        </w:tc>
        <w:tc>
          <w:tcPr>
            <w:tcW w:w="2" w:type="pct"/>
            <w:vAlign w:val="center"/>
            <w:hideMark/>
          </w:tcPr>
          <w:p w:rsidR="00CE34A1" w:rsidRPr="00E67BF4" w:rsidP="00CE34A1" w14:paraId="2EB49D6D" w14:textId="77777777">
            <w:pPr>
              <w:rPr>
                <w:rFonts w:ascii="Times New Roman" w:hAnsi="Times New Roman"/>
                <w:szCs w:val="24"/>
              </w:rPr>
            </w:pPr>
          </w:p>
        </w:tc>
      </w:tr>
      <w:tr w14:paraId="3FAE60FA" w14:textId="77777777" w:rsidTr="00571724">
        <w:tblPrEx>
          <w:tblW w:w="5000" w:type="pct"/>
          <w:tblCellMar>
            <w:left w:w="0" w:type="dxa"/>
            <w:right w:w="0" w:type="dxa"/>
          </w:tblCellMar>
          <w:tblLook w:val="04A0"/>
        </w:tblPrEx>
        <w:trPr>
          <w:trHeight w:val="288"/>
        </w:trPr>
        <w:tc>
          <w:tcPr>
            <w:tcW w:w="4881" w:type="pct"/>
            <w:gridSpan w:val="9"/>
            <w:vMerge/>
            <w:tcBorders>
              <w:top w:val="nil"/>
              <w:left w:val="single" w:sz="8" w:space="0" w:color="auto"/>
              <w:bottom w:val="single" w:sz="8" w:space="0" w:color="auto"/>
              <w:right w:val="single" w:sz="8" w:space="0" w:color="auto"/>
            </w:tcBorders>
            <w:vAlign w:val="center"/>
            <w:hideMark/>
          </w:tcPr>
          <w:p w:rsidR="00CE34A1" w:rsidRPr="00E67BF4" w:rsidP="00CE34A1" w14:paraId="6CBB1CC7"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614BE0AC" w14:textId="77777777">
            <w:pPr>
              <w:rPr>
                <w:rFonts w:ascii="Times New Roman" w:hAnsi="Times New Roman"/>
                <w:szCs w:val="24"/>
              </w:rPr>
            </w:pPr>
          </w:p>
        </w:tc>
        <w:tc>
          <w:tcPr>
            <w:tcW w:w="2" w:type="pct"/>
            <w:vAlign w:val="center"/>
            <w:hideMark/>
          </w:tcPr>
          <w:p w:rsidR="00CE34A1" w:rsidRPr="00E67BF4" w:rsidP="00CE34A1" w14:paraId="36F7135B" w14:textId="77777777">
            <w:pPr>
              <w:rPr>
                <w:rFonts w:ascii="Times New Roman" w:hAnsi="Times New Roman"/>
                <w:szCs w:val="24"/>
              </w:rPr>
            </w:pPr>
          </w:p>
        </w:tc>
      </w:tr>
      <w:tr w14:paraId="45249815" w14:textId="77777777" w:rsidTr="00571724">
        <w:tblPrEx>
          <w:tblW w:w="5000" w:type="pct"/>
          <w:tblCellMar>
            <w:left w:w="0" w:type="dxa"/>
            <w:right w:w="0" w:type="dxa"/>
          </w:tblCellMar>
          <w:tblLook w:val="04A0"/>
        </w:tblPrEx>
        <w:trPr>
          <w:trHeight w:val="588"/>
        </w:trPr>
        <w:tc>
          <w:tcPr>
            <w:tcW w:w="4881" w:type="pct"/>
            <w:gridSpan w:val="9"/>
            <w:vMerge/>
            <w:tcBorders>
              <w:top w:val="nil"/>
              <w:left w:val="single" w:sz="8" w:space="0" w:color="auto"/>
              <w:bottom w:val="single" w:sz="8" w:space="0" w:color="auto"/>
              <w:right w:val="single" w:sz="8" w:space="0" w:color="auto"/>
            </w:tcBorders>
            <w:vAlign w:val="center"/>
            <w:hideMark/>
          </w:tcPr>
          <w:p w:rsidR="00CE34A1" w:rsidRPr="00E67BF4" w:rsidP="00CE34A1" w14:paraId="1FCB2546" w14:textId="77777777">
            <w:pPr>
              <w:rPr>
                <w:rFonts w:ascii="Times New Roman" w:hAnsi="Times New Roman"/>
                <w:szCs w:val="24"/>
              </w:rPr>
            </w:pPr>
          </w:p>
        </w:tc>
        <w:tc>
          <w:tcPr>
            <w:tcW w:w="117" w:type="pct"/>
            <w:noWrap/>
            <w:tcMar>
              <w:top w:w="15" w:type="dxa"/>
              <w:left w:w="108" w:type="dxa"/>
              <w:bottom w:w="0" w:type="dxa"/>
              <w:right w:w="108" w:type="dxa"/>
            </w:tcMar>
            <w:vAlign w:val="bottom"/>
            <w:hideMark/>
          </w:tcPr>
          <w:p w:rsidR="00CE34A1" w:rsidRPr="00E67BF4" w:rsidP="00CE34A1" w14:paraId="4F61A8B9" w14:textId="77777777">
            <w:pPr>
              <w:rPr>
                <w:rFonts w:ascii="Times New Roman" w:hAnsi="Times New Roman"/>
                <w:szCs w:val="24"/>
              </w:rPr>
            </w:pPr>
          </w:p>
        </w:tc>
        <w:tc>
          <w:tcPr>
            <w:tcW w:w="2" w:type="pct"/>
            <w:vAlign w:val="center"/>
            <w:hideMark/>
          </w:tcPr>
          <w:p w:rsidR="00CE34A1" w:rsidRPr="00E67BF4" w:rsidP="00CE34A1" w14:paraId="7092A72F" w14:textId="77777777">
            <w:pPr>
              <w:rPr>
                <w:rFonts w:ascii="Times New Roman" w:hAnsi="Times New Roman"/>
                <w:szCs w:val="24"/>
              </w:rPr>
            </w:pPr>
          </w:p>
        </w:tc>
      </w:tr>
    </w:tbl>
    <w:p w:rsidR="00CE34A1" w:rsidRPr="00E67BF4" w:rsidP="00CE34A1" w14:paraId="27EB2796" w14:textId="77777777">
      <w:pPr>
        <w:rPr>
          <w:rFonts w:ascii="Times New Roman" w:hAnsi="Times New Roman"/>
          <w:szCs w:val="24"/>
        </w:rPr>
      </w:pPr>
    </w:p>
    <w:p w:rsidR="00CE34A1" w:rsidRPr="00E67BF4" w:rsidP="00CE34A1" w14:paraId="035A63B0" w14:textId="77777777">
      <w:pPr>
        <w:rPr>
          <w:rFonts w:ascii="Times New Roman" w:hAnsi="Times New Roman"/>
          <w:szCs w:val="24"/>
        </w:rPr>
      </w:pPr>
    </w:p>
    <w:tbl>
      <w:tblPr>
        <w:tblW w:w="4909" w:type="pct"/>
        <w:tblCellMar>
          <w:left w:w="0" w:type="dxa"/>
          <w:right w:w="0" w:type="dxa"/>
        </w:tblCellMar>
        <w:tblLook w:val="04A0"/>
      </w:tblPr>
      <w:tblGrid>
        <w:gridCol w:w="1552"/>
        <w:gridCol w:w="3516"/>
        <w:gridCol w:w="2481"/>
        <w:gridCol w:w="1621"/>
      </w:tblGrid>
      <w:tr w14:paraId="7DD0A5F4" w14:textId="77777777" w:rsidTr="00571724">
        <w:tblPrEx>
          <w:tblW w:w="4909" w:type="pct"/>
          <w:tblCellMar>
            <w:left w:w="0" w:type="dxa"/>
            <w:right w:w="0" w:type="dxa"/>
          </w:tblCellMar>
          <w:tblLook w:val="04A0"/>
        </w:tblPrEx>
        <w:trPr>
          <w:trHeight w:val="360"/>
        </w:trPr>
        <w:tc>
          <w:tcPr>
            <w:tcW w:w="5000" w:type="pct"/>
            <w:gridSpan w:val="4"/>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CE34A1" w:rsidRPr="00E67BF4" w:rsidP="00CE34A1" w14:paraId="3DAF0146" w14:textId="77777777">
            <w:pPr>
              <w:rPr>
                <w:rFonts w:ascii="Times New Roman" w:hAnsi="Times New Roman"/>
                <w:szCs w:val="24"/>
              </w:rPr>
            </w:pPr>
            <w:r w:rsidRPr="00E67BF4">
              <w:rPr>
                <w:rFonts w:ascii="Times New Roman" w:hAnsi="Times New Roman"/>
                <w:szCs w:val="24"/>
              </w:rPr>
              <w:t>Table 3. Total Estimated Cost Burden (OMB No. 3064-NEW)</w:t>
            </w:r>
          </w:p>
        </w:tc>
      </w:tr>
      <w:tr w14:paraId="26DBE9F5" w14:textId="77777777" w:rsidTr="00571724">
        <w:tblPrEx>
          <w:tblW w:w="4909" w:type="pct"/>
          <w:tblCellMar>
            <w:left w:w="0" w:type="dxa"/>
            <w:right w:w="0" w:type="dxa"/>
          </w:tblCellMar>
          <w:tblLook w:val="04A0"/>
        </w:tblPrEx>
        <w:trPr>
          <w:trHeight w:val="600"/>
        </w:trPr>
        <w:tc>
          <w:tcPr>
            <w:tcW w:w="84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4A1" w:rsidRPr="00E67BF4" w:rsidP="00CE34A1" w14:paraId="487B8570" w14:textId="77777777">
            <w:pPr>
              <w:rPr>
                <w:rFonts w:ascii="Times New Roman" w:hAnsi="Times New Roman"/>
                <w:szCs w:val="24"/>
              </w:rPr>
            </w:pPr>
            <w:r w:rsidRPr="00E67BF4">
              <w:rPr>
                <w:rFonts w:ascii="Times New Roman" w:hAnsi="Times New Roman"/>
                <w:szCs w:val="24"/>
              </w:rPr>
              <w:t>Information Collection Request</w:t>
            </w:r>
          </w:p>
        </w:tc>
        <w:tc>
          <w:tcPr>
            <w:tcW w:w="19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4A1" w:rsidRPr="00E67BF4" w:rsidP="00CE34A1" w14:paraId="45BB0702" w14:textId="77777777">
            <w:pPr>
              <w:rPr>
                <w:rFonts w:ascii="Times New Roman" w:hAnsi="Times New Roman"/>
                <w:szCs w:val="24"/>
              </w:rPr>
            </w:pPr>
            <w:r w:rsidRPr="00E67BF4">
              <w:rPr>
                <w:rFonts w:ascii="Times New Roman" w:hAnsi="Times New Roman"/>
                <w:szCs w:val="24"/>
              </w:rPr>
              <w:t>Annual Burden (Hours)</w:t>
            </w:r>
          </w:p>
        </w:tc>
        <w:tc>
          <w:tcPr>
            <w:tcW w:w="135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4A1" w:rsidRPr="00E67BF4" w:rsidP="00CE34A1" w14:paraId="3308B217" w14:textId="77777777">
            <w:pPr>
              <w:rPr>
                <w:rFonts w:ascii="Times New Roman" w:hAnsi="Times New Roman"/>
                <w:szCs w:val="24"/>
              </w:rPr>
            </w:pPr>
            <w:r w:rsidRPr="00E67BF4">
              <w:rPr>
                <w:rFonts w:ascii="Times New Roman" w:hAnsi="Times New Roman"/>
                <w:szCs w:val="24"/>
              </w:rPr>
              <w:t>Weighted Average Hourly Compensation Rate</w:t>
            </w:r>
          </w:p>
        </w:tc>
        <w:tc>
          <w:tcPr>
            <w:tcW w:w="88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CE34A1" w:rsidRPr="00E67BF4" w:rsidP="00CE34A1" w14:paraId="6FA4F871" w14:textId="77777777">
            <w:pPr>
              <w:rPr>
                <w:rFonts w:ascii="Times New Roman" w:hAnsi="Times New Roman"/>
                <w:szCs w:val="24"/>
              </w:rPr>
            </w:pPr>
            <w:r w:rsidRPr="00E67BF4">
              <w:rPr>
                <w:rFonts w:ascii="Times New Roman" w:hAnsi="Times New Roman"/>
                <w:szCs w:val="24"/>
              </w:rPr>
              <w:t>Annual Respondent Cost</w:t>
            </w:r>
          </w:p>
        </w:tc>
      </w:tr>
      <w:tr w14:paraId="476037C3" w14:textId="77777777" w:rsidTr="00571724">
        <w:tblPrEx>
          <w:tblW w:w="4909" w:type="pct"/>
          <w:tblCellMar>
            <w:left w:w="0" w:type="dxa"/>
            <w:right w:w="0" w:type="dxa"/>
          </w:tblCellMar>
          <w:tblLook w:val="04A0"/>
        </w:tblPrEx>
        <w:trPr>
          <w:trHeight w:val="864"/>
        </w:trPr>
        <w:tc>
          <w:tcPr>
            <w:tcW w:w="84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E34A1" w:rsidRPr="00E67BF4" w:rsidP="00CE34A1" w14:paraId="5DAB2CDA" w14:textId="77777777">
            <w:pPr>
              <w:rPr>
                <w:rFonts w:ascii="Times New Roman" w:hAnsi="Times New Roman"/>
                <w:szCs w:val="24"/>
              </w:rPr>
            </w:pPr>
            <w:r w:rsidRPr="00E67BF4">
              <w:rPr>
                <w:rFonts w:ascii="Times New Roman" w:hAnsi="Times New Roman"/>
                <w:szCs w:val="24"/>
              </w:rPr>
              <w:t>Part 309</w:t>
            </w:r>
          </w:p>
        </w:tc>
        <w:tc>
          <w:tcPr>
            <w:tcW w:w="1917"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34A1" w:rsidRPr="00E67BF4" w:rsidP="00CE34A1" w14:paraId="0AE480AA" w14:textId="77777777">
            <w:pPr>
              <w:rPr>
                <w:rFonts w:ascii="Times New Roman" w:hAnsi="Times New Roman"/>
                <w:szCs w:val="24"/>
              </w:rPr>
            </w:pPr>
            <w:r w:rsidRPr="00E67BF4">
              <w:rPr>
                <w:rFonts w:ascii="Times New Roman" w:hAnsi="Times New Roman"/>
                <w:szCs w:val="24"/>
              </w:rPr>
              <w:t xml:space="preserve">                                              1,473 </w:t>
            </w:r>
          </w:p>
        </w:tc>
        <w:tc>
          <w:tcPr>
            <w:tcW w:w="135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34A1" w:rsidRPr="00E67BF4" w:rsidP="00CE34A1" w14:paraId="7B28A896" w14:textId="77777777">
            <w:pPr>
              <w:rPr>
                <w:rFonts w:ascii="Times New Roman" w:hAnsi="Times New Roman"/>
                <w:szCs w:val="24"/>
              </w:rPr>
            </w:pPr>
            <w:r w:rsidRPr="00E67BF4">
              <w:rPr>
                <w:rFonts w:ascii="Times New Roman" w:hAnsi="Times New Roman"/>
                <w:szCs w:val="24"/>
              </w:rPr>
              <w:t>$152.72</w:t>
            </w:r>
          </w:p>
        </w:tc>
        <w:tc>
          <w:tcPr>
            <w:tcW w:w="88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CE34A1" w:rsidRPr="00E67BF4" w:rsidP="00CE34A1" w14:paraId="61D8707C" w14:textId="77777777">
            <w:pPr>
              <w:rPr>
                <w:rFonts w:ascii="Times New Roman" w:hAnsi="Times New Roman"/>
                <w:szCs w:val="24"/>
              </w:rPr>
            </w:pPr>
            <w:r w:rsidRPr="00E67BF4">
              <w:rPr>
                <w:rFonts w:ascii="Times New Roman" w:hAnsi="Times New Roman"/>
                <w:szCs w:val="24"/>
              </w:rPr>
              <w:t>$224,957</w:t>
            </w:r>
          </w:p>
        </w:tc>
      </w:tr>
      <w:tr w14:paraId="3340315A" w14:textId="77777777" w:rsidTr="00571724">
        <w:tblPrEx>
          <w:tblW w:w="4909" w:type="pct"/>
          <w:tblCellMar>
            <w:left w:w="0" w:type="dxa"/>
            <w:right w:w="0" w:type="dxa"/>
          </w:tblCellMar>
          <w:tblLook w:val="04A0"/>
        </w:tblPrEx>
        <w:trPr>
          <w:trHeight w:val="360"/>
        </w:trPr>
        <w:tc>
          <w:tcPr>
            <w:tcW w:w="4116" w:type="pct"/>
            <w:gridSpan w:val="3"/>
            <w:tcBorders>
              <w:top w:val="nil"/>
              <w:left w:val="single" w:sz="8" w:space="0" w:color="auto"/>
              <w:bottom w:val="single" w:sz="8" w:space="0" w:color="auto"/>
              <w:right w:val="nil"/>
            </w:tcBorders>
            <w:shd w:val="clear" w:color="auto" w:fill="FFFFFF"/>
            <w:noWrap/>
            <w:tcMar>
              <w:top w:w="0" w:type="dxa"/>
              <w:left w:w="108" w:type="dxa"/>
              <w:bottom w:w="0" w:type="dxa"/>
              <w:right w:w="108" w:type="dxa"/>
            </w:tcMar>
            <w:vAlign w:val="center"/>
            <w:hideMark/>
          </w:tcPr>
          <w:p w:rsidR="00CE34A1" w:rsidRPr="00E67BF4" w:rsidP="00CE34A1" w14:paraId="51481133" w14:textId="77777777">
            <w:pPr>
              <w:rPr>
                <w:rFonts w:ascii="Times New Roman" w:hAnsi="Times New Roman"/>
                <w:b/>
                <w:bCs/>
                <w:i/>
                <w:iCs/>
                <w:szCs w:val="24"/>
              </w:rPr>
            </w:pPr>
            <w:r w:rsidRPr="00E67BF4">
              <w:rPr>
                <w:rFonts w:ascii="Times New Roman" w:hAnsi="Times New Roman"/>
                <w:b/>
                <w:bCs/>
                <w:i/>
                <w:iCs/>
                <w:szCs w:val="24"/>
              </w:rPr>
              <w:t>Total Annual Respondent Cost:</w:t>
            </w:r>
          </w:p>
        </w:tc>
        <w:tc>
          <w:tcPr>
            <w:tcW w:w="884"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CE34A1" w:rsidRPr="00E67BF4" w:rsidP="00CE34A1" w14:paraId="54C8B7CE" w14:textId="77777777">
            <w:pPr>
              <w:rPr>
                <w:rFonts w:ascii="Times New Roman" w:hAnsi="Times New Roman"/>
                <w:b/>
                <w:bCs/>
                <w:i/>
                <w:iCs/>
                <w:szCs w:val="24"/>
              </w:rPr>
            </w:pPr>
            <w:r w:rsidRPr="00E67BF4">
              <w:rPr>
                <w:rFonts w:ascii="Times New Roman" w:hAnsi="Times New Roman"/>
                <w:b/>
                <w:bCs/>
                <w:i/>
                <w:iCs/>
                <w:szCs w:val="24"/>
              </w:rPr>
              <w:t xml:space="preserve">$224,957 </w:t>
            </w:r>
          </w:p>
        </w:tc>
      </w:tr>
      <w:tr w14:paraId="0DF00619" w14:textId="77777777" w:rsidTr="00571724">
        <w:tblPrEx>
          <w:tblW w:w="4909" w:type="pct"/>
          <w:tblCellMar>
            <w:left w:w="0" w:type="dxa"/>
            <w:right w:w="0" w:type="dxa"/>
          </w:tblCellMar>
          <w:tblLook w:val="04A0"/>
        </w:tblPrEx>
        <w:trPr>
          <w:trHeight w:val="1140"/>
        </w:trPr>
        <w:tc>
          <w:tcPr>
            <w:tcW w:w="5000" w:type="pct"/>
            <w:gridSpan w:val="4"/>
            <w:tcBorders>
              <w:top w:val="nil"/>
              <w:left w:val="single" w:sz="8" w:space="0" w:color="auto"/>
              <w:bottom w:val="single" w:sz="8" w:space="0" w:color="auto"/>
              <w:right w:val="single" w:sz="8" w:space="0" w:color="000000"/>
            </w:tcBorders>
            <w:noWrap/>
            <w:tcMar>
              <w:top w:w="0" w:type="dxa"/>
              <w:left w:w="108" w:type="dxa"/>
              <w:bottom w:w="0" w:type="dxa"/>
              <w:right w:w="108" w:type="dxa"/>
            </w:tcMar>
            <w:hideMark/>
          </w:tcPr>
          <w:p w:rsidR="00CE34A1" w:rsidRPr="00E67BF4" w:rsidP="00CE34A1" w14:paraId="40B22987" w14:textId="77777777">
            <w:pPr>
              <w:rPr>
                <w:rFonts w:ascii="Times New Roman" w:hAnsi="Times New Roman"/>
                <w:szCs w:val="24"/>
              </w:rPr>
            </w:pPr>
            <w:r w:rsidRPr="00E67BF4">
              <w:rPr>
                <w:rFonts w:ascii="Times New Roman" w:hAnsi="Times New Roman"/>
                <w:szCs w:val="24"/>
              </w:rPr>
              <w:t>Source: FDIC.</w:t>
            </w:r>
          </w:p>
        </w:tc>
      </w:tr>
    </w:tbl>
    <w:p w:rsidR="007921D2" w:rsidRPr="00165952" w:rsidP="007921D2" w14:paraId="55ED6218" w14:textId="77777777">
      <w:pPr>
        <w:rPr>
          <w:rFonts w:ascii="Times New Roman" w:hAnsi="Times New Roman"/>
          <w:color w:val="FF0000"/>
          <w:szCs w:val="24"/>
        </w:rPr>
      </w:pPr>
    </w:p>
    <w:p w:rsidR="007921D2" w:rsidRPr="002201A4" w:rsidP="007921D2" w14:paraId="0ED919C0" w14:textId="77777777">
      <w:pPr>
        <w:numPr>
          <w:ilvl w:val="1"/>
          <w:numId w:val="2"/>
        </w:numPr>
        <w:tabs>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zCs w:val="24"/>
          <w:u w:val="single"/>
        </w:rPr>
        <w:t>Estimate of Start-up Costs to Respondents:</w:t>
      </w:r>
    </w:p>
    <w:p w:rsidR="007921D2" w:rsidRPr="002201A4" w:rsidP="007921D2" w14:paraId="39BD84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369EC8E9" w14:textId="573A80E0">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201A4">
        <w:rPr>
          <w:rFonts w:ascii="Times New Roman" w:hAnsi="Times New Roman"/>
          <w:szCs w:val="24"/>
        </w:rPr>
        <w:t xml:space="preserve">See the analysis in </w:t>
      </w:r>
      <w:r w:rsidRPr="002201A4" w:rsidR="007110B8">
        <w:rPr>
          <w:rFonts w:ascii="Times New Roman" w:hAnsi="Times New Roman"/>
          <w:szCs w:val="24"/>
        </w:rPr>
        <w:t>section 12 above</w:t>
      </w:r>
      <w:r w:rsidRPr="002201A4">
        <w:rPr>
          <w:rFonts w:ascii="Times New Roman" w:hAnsi="Times New Roman"/>
          <w:szCs w:val="24"/>
        </w:rPr>
        <w:t>.</w:t>
      </w:r>
    </w:p>
    <w:p w:rsidR="007921D2" w:rsidRPr="002201A4" w:rsidP="007921D2" w14:paraId="048E561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63892963" w14:textId="77777777">
      <w:pPr>
        <w:numPr>
          <w:ilvl w:val="1"/>
          <w:numId w:val="2"/>
        </w:numPr>
        <w:tabs>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napToGrid/>
          <w:szCs w:val="24"/>
          <w:u w:val="single"/>
        </w:rPr>
        <w:t>Estimate of annualized costs to the government:</w:t>
      </w:r>
    </w:p>
    <w:p w:rsidR="007921D2" w:rsidRPr="002201A4" w:rsidP="007921D2" w14:paraId="200598E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Times New Roman" w:hAnsi="Times New Roman"/>
          <w:szCs w:val="24"/>
        </w:rPr>
      </w:pPr>
    </w:p>
    <w:p w:rsidR="007921D2" w:rsidRPr="002201A4" w:rsidP="007921D2" w14:paraId="11C88D66"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201A4">
        <w:rPr>
          <w:rFonts w:ascii="Times New Roman" w:hAnsi="Times New Roman"/>
          <w:szCs w:val="24"/>
        </w:rPr>
        <w:t>None.</w:t>
      </w:r>
    </w:p>
    <w:p w:rsidR="007921D2" w:rsidRPr="002201A4" w:rsidP="007921D2" w14:paraId="55E5389A" w14:textId="77777777">
      <w:pPr>
        <w:outlineLvl w:val="0"/>
        <w:rPr>
          <w:rFonts w:ascii="Times New Roman" w:hAnsi="Times New Roman"/>
          <w:szCs w:val="24"/>
        </w:rPr>
      </w:pPr>
      <w:r w:rsidRPr="002201A4">
        <w:rPr>
          <w:rFonts w:ascii="Times New Roman" w:hAnsi="Times New Roman"/>
          <w:szCs w:val="24"/>
        </w:rPr>
        <w:tab/>
      </w:r>
    </w:p>
    <w:p w:rsidR="007921D2" w:rsidRPr="002201A4" w:rsidP="007921D2" w14:paraId="55B94EC6"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napToGrid/>
          <w:szCs w:val="24"/>
          <w:u w:val="single"/>
        </w:rPr>
        <w:t>Analysis of change in burden:</w:t>
      </w:r>
      <w:r w:rsidRPr="002201A4">
        <w:rPr>
          <w:rFonts w:ascii="Times New Roman" w:hAnsi="Times New Roman"/>
          <w:szCs w:val="24"/>
        </w:rPr>
        <w:tab/>
      </w:r>
    </w:p>
    <w:p w:rsidR="007921D2" w:rsidRPr="002201A4" w:rsidP="007921D2" w14:paraId="410FF22C" w14:textId="77777777">
      <w:pPr>
        <w:ind w:left="360" w:firstLine="720"/>
        <w:rPr>
          <w:rFonts w:ascii="Times New Roman" w:hAnsi="Times New Roman"/>
          <w:szCs w:val="24"/>
        </w:rPr>
      </w:pPr>
    </w:p>
    <w:p w:rsidR="007921D2" w:rsidRPr="002201A4" w:rsidP="007921D2" w14:paraId="1BCA5F93" w14:textId="72E38C39">
      <w:pPr>
        <w:ind w:left="1080"/>
        <w:rPr>
          <w:rFonts w:ascii="Times New Roman" w:hAnsi="Times New Roman"/>
          <w:szCs w:val="24"/>
        </w:rPr>
      </w:pPr>
      <w:r w:rsidRPr="002201A4">
        <w:rPr>
          <w:rFonts w:ascii="Times New Roman" w:hAnsi="Times New Roman"/>
          <w:szCs w:val="24"/>
        </w:rPr>
        <w:t xml:space="preserve">Since this is the first time the FDIC will be submitting an information collection in connection with the proposed rule, there is no change in burden. However, the burden associated with this new information collection is </w:t>
      </w:r>
      <w:r w:rsidRPr="002201A4" w:rsidR="002201A4">
        <w:rPr>
          <w:rFonts w:ascii="Times New Roman" w:hAnsi="Times New Roman"/>
          <w:szCs w:val="24"/>
        </w:rPr>
        <w:t>1,473</w:t>
      </w:r>
      <w:r w:rsidRPr="002201A4">
        <w:rPr>
          <w:rFonts w:ascii="Times New Roman" w:hAnsi="Times New Roman"/>
          <w:szCs w:val="24"/>
        </w:rPr>
        <w:t xml:space="preserve"> hours.</w:t>
      </w:r>
    </w:p>
    <w:p w:rsidR="007921D2" w:rsidRPr="002201A4" w:rsidP="007921D2" w14:paraId="3DC138DC" w14:textId="77777777">
      <w:pPr>
        <w:ind w:left="1440"/>
        <w:rPr>
          <w:rFonts w:ascii="Times New Roman" w:hAnsi="Times New Roman"/>
          <w:szCs w:val="24"/>
        </w:rPr>
      </w:pPr>
    </w:p>
    <w:p w:rsidR="007921D2" w:rsidRPr="002201A4" w:rsidP="007921D2" w14:paraId="38AF1B13" w14:textId="77777777">
      <w:pPr>
        <w:numPr>
          <w:ilvl w:val="1"/>
          <w:numId w:val="2"/>
        </w:numPr>
        <w:tabs>
          <w:tab w:val="left" w:pos="1170"/>
        </w:tabs>
        <w:autoSpaceDE w:val="0"/>
        <w:autoSpaceDN w:val="0"/>
        <w:adjustRightInd w:val="0"/>
        <w:rPr>
          <w:rFonts w:ascii="Times New Roman" w:hAnsi="Times New Roman"/>
          <w:snapToGrid/>
          <w:szCs w:val="24"/>
        </w:rPr>
      </w:pPr>
      <w:r w:rsidRPr="002201A4">
        <w:rPr>
          <w:rFonts w:ascii="Times New Roman" w:hAnsi="Times New Roman"/>
          <w:szCs w:val="24"/>
          <w:u w:val="single"/>
        </w:rPr>
        <w:t>Information regarding collections whose results are planned to be published for statistical use:</w:t>
      </w:r>
    </w:p>
    <w:p w:rsidR="007921D2" w:rsidRPr="002201A4" w:rsidP="007921D2" w14:paraId="30AE88DC"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32C53B6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201A4">
        <w:rPr>
          <w:rFonts w:ascii="Times New Roman" w:hAnsi="Times New Roman"/>
          <w:szCs w:val="24"/>
        </w:rPr>
        <w:t>The results of this collection will not be published for statistical use.</w:t>
      </w:r>
    </w:p>
    <w:p w:rsidR="007921D2" w:rsidRPr="002201A4" w:rsidP="007921D2" w14:paraId="5384FCAA"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2FDDF793"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zCs w:val="24"/>
          <w:u w:val="single"/>
        </w:rPr>
        <w:t>Display of Expiration Date</w:t>
      </w:r>
    </w:p>
    <w:p w:rsidR="007921D2" w:rsidRPr="002201A4" w:rsidP="007921D2" w14:paraId="716F98DE"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61486E03" w14:textId="77777777">
      <w:pPr>
        <w:widowControl/>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864" w:firstLine="306"/>
        <w:jc w:val="both"/>
        <w:rPr>
          <w:rFonts w:ascii="Times New Roman" w:hAnsi="Times New Roman"/>
          <w:szCs w:val="24"/>
        </w:rPr>
      </w:pPr>
      <w:r w:rsidRPr="002201A4">
        <w:rPr>
          <w:rFonts w:ascii="Times New Roman" w:hAnsi="Times New Roman"/>
          <w:szCs w:val="24"/>
        </w:rPr>
        <w:t>This information collection is contained in a regulation.</w:t>
      </w:r>
    </w:p>
    <w:p w:rsidR="007921D2" w:rsidRPr="002201A4" w:rsidP="007921D2" w14:paraId="32B1628D"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5A1E7F8E" w14:textId="77777777">
      <w:pPr>
        <w:numPr>
          <w:ilvl w:val="1"/>
          <w:numId w:val="2"/>
        </w:num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zCs w:val="24"/>
          <w:u w:val="single"/>
        </w:rPr>
        <w:t>Exceptions to Certification Statement</w:t>
      </w:r>
    </w:p>
    <w:p w:rsidR="007921D2" w:rsidRPr="002201A4" w:rsidP="007921D2" w14:paraId="5F105D99"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11E3AFD2"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ind w:left="1152"/>
        <w:jc w:val="both"/>
        <w:rPr>
          <w:rFonts w:ascii="Times New Roman" w:hAnsi="Times New Roman"/>
          <w:szCs w:val="24"/>
        </w:rPr>
      </w:pPr>
      <w:r w:rsidRPr="002201A4">
        <w:rPr>
          <w:rFonts w:ascii="Times New Roman" w:hAnsi="Times New Roman"/>
          <w:szCs w:val="24"/>
        </w:rPr>
        <w:t>None.</w:t>
      </w:r>
    </w:p>
    <w:p w:rsidR="007921D2" w:rsidRPr="002201A4" w:rsidP="007921D2" w14:paraId="66DCBAB7" w14:textId="77777777">
      <w:pPr>
        <w:tabs>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p>
    <w:p w:rsidR="007921D2" w:rsidRPr="002201A4" w:rsidP="007921D2" w14:paraId="3CF3FDDC" w14:textId="77777777">
      <w:pPr>
        <w:numPr>
          <w:ilvl w:val="0"/>
          <w:numId w:val="2"/>
        </w:numPr>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szCs w:val="24"/>
        </w:rPr>
      </w:pPr>
      <w:r w:rsidRPr="002201A4">
        <w:rPr>
          <w:rFonts w:ascii="Times New Roman" w:hAnsi="Times New Roman"/>
          <w:szCs w:val="24"/>
          <w:u w:val="single"/>
        </w:rPr>
        <w:t>STATISTICAL METHODS</w:t>
      </w:r>
    </w:p>
    <w:p w:rsidR="007921D2" w:rsidRPr="002201A4" w:rsidP="007921D2" w14:paraId="775EB2AA"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both"/>
        <w:rPr>
          <w:rFonts w:ascii="Times New Roman" w:hAnsi="Times New Roman"/>
          <w:szCs w:val="24"/>
        </w:rPr>
      </w:pPr>
    </w:p>
    <w:p w:rsidR="007921D2" w:rsidRPr="002201A4" w:rsidP="007921D2" w14:paraId="06F92A7C" w14:textId="77777777">
      <w:pPr>
        <w:widowControl/>
        <w:tabs>
          <w:tab w:val="left" w:pos="-1440"/>
          <w:tab w:val="left" w:pos="-720"/>
          <w:tab w:val="left" w:pos="0"/>
          <w:tab w:val="left" w:pos="432"/>
          <w:tab w:val="left" w:pos="117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ind w:left="720"/>
        <w:jc w:val="both"/>
        <w:rPr>
          <w:rFonts w:ascii="Times New Roman" w:hAnsi="Times New Roman"/>
          <w:szCs w:val="24"/>
        </w:rPr>
      </w:pPr>
      <w:r w:rsidRPr="002201A4">
        <w:rPr>
          <w:rFonts w:ascii="Times New Roman" w:hAnsi="Times New Roman"/>
          <w:szCs w:val="24"/>
        </w:rPr>
        <w:t>Statistical methods are not employed in these collections.</w:t>
      </w:r>
    </w:p>
    <w:p w:rsidR="007921D2" w:rsidRPr="00165952" w:rsidP="007921D2" w14:paraId="1FDF7AF1" w14:textId="77777777">
      <w:pPr>
        <w:rPr>
          <w:rFonts w:ascii="Times New Roman" w:hAnsi="Times New Roman"/>
          <w:color w:val="FF0000"/>
          <w:szCs w:val="24"/>
        </w:rPr>
      </w:pPr>
    </w:p>
    <w:p w:rsidR="004008FE" w:rsidRPr="00165952" w14:paraId="2E0B142B" w14:textId="77777777">
      <w:pPr>
        <w:rPr>
          <w:color w:val="FF0000"/>
        </w:rPr>
      </w:pPr>
    </w:p>
    <w:sectPr w:rsidSect="005D0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86B61" w:rsidP="007921D2" w14:paraId="2706133D" w14:textId="77777777">
      <w:r>
        <w:separator/>
      </w:r>
    </w:p>
  </w:footnote>
  <w:footnote w:type="continuationSeparator" w:id="1">
    <w:p w:rsidR="00B86B61" w:rsidP="007921D2" w14:paraId="00005FE7" w14:textId="77777777">
      <w:r>
        <w:continuationSeparator/>
      </w:r>
    </w:p>
  </w:footnote>
  <w:footnote w:id="2">
    <w:p w:rsidR="007921D2" w:rsidRPr="00590A2D" w:rsidP="007921D2" w14:paraId="5B7C2340" w14:textId="77777777">
      <w:pPr>
        <w:pStyle w:val="FootnoteText"/>
        <w:tabs>
          <w:tab w:val="left" w:pos="8640"/>
        </w:tabs>
        <w:rPr>
          <w:rFonts w:ascii="Times New Roman" w:hAnsi="Times New Roman"/>
        </w:rPr>
      </w:pPr>
      <w:r w:rsidRPr="00590A2D">
        <w:rPr>
          <w:rStyle w:val="FootnoteReference"/>
          <w:vertAlign w:val="superscript"/>
        </w:rPr>
        <w:footnoteRef/>
      </w:r>
      <w:r w:rsidRPr="00590A2D">
        <w:rPr>
          <w:rFonts w:ascii="Times New Roman" w:hAnsi="Times New Roman"/>
        </w:rPr>
        <w:t xml:space="preserve"> 44 U.S.C. 3501 </w:t>
      </w:r>
      <w:r w:rsidRPr="00590A2D">
        <w:rPr>
          <w:rFonts w:ascii="Times New Roman" w:hAnsi="Times New Roman"/>
          <w:i/>
        </w:rPr>
        <w:t>et seq.</w:t>
      </w:r>
    </w:p>
  </w:footnote>
  <w:footnote w:id="3">
    <w:p w:rsidR="00B07AFC" w:rsidRPr="00E63077" w14:paraId="15E187BF" w14:textId="793CF3FF">
      <w:pPr>
        <w:pStyle w:val="FootnoteText"/>
        <w:rPr>
          <w:rFonts w:ascii="Times New Roman" w:hAnsi="Times New Roman"/>
        </w:rPr>
      </w:pPr>
      <w:r w:rsidRPr="00E63077">
        <w:rPr>
          <w:rStyle w:val="FootnoteReference"/>
          <w:vertAlign w:val="superscript"/>
        </w:rPr>
        <w:footnoteRef/>
      </w:r>
      <w:r w:rsidRPr="00E63077">
        <w:rPr>
          <w:rFonts w:ascii="Times New Roman" w:hAnsi="Times New Roman"/>
        </w:rPr>
        <w:t xml:space="preserve"> </w:t>
      </w:r>
      <w:r w:rsidRPr="00E63077" w:rsidR="0017122A">
        <w:rPr>
          <w:rFonts w:ascii="Times New Roman" w:hAnsi="Times New Roman"/>
        </w:rPr>
        <w:t>Call Reports, December 31, 2025.</w:t>
      </w:r>
    </w:p>
  </w:footnote>
  <w:footnote w:id="4">
    <w:p w:rsidR="009F4E82" w:rsidRPr="00E63077" w14:paraId="6826A14C" w14:textId="4CA96732">
      <w:pPr>
        <w:pStyle w:val="FootnoteText"/>
        <w:rPr>
          <w:rFonts w:ascii="Times New Roman" w:hAnsi="Times New Roman"/>
        </w:rPr>
      </w:pPr>
      <w:r w:rsidRPr="00E63077">
        <w:rPr>
          <w:rStyle w:val="FootnoteReference"/>
          <w:vertAlign w:val="superscript"/>
        </w:rPr>
        <w:footnoteRef/>
      </w:r>
      <w:r w:rsidRPr="00E63077">
        <w:rPr>
          <w:rFonts w:ascii="Times New Roman" w:hAnsi="Times New Roman"/>
        </w:rPr>
        <w:t xml:space="preserve"> </w:t>
      </w:r>
      <w:r w:rsidRPr="00E63077">
        <w:rPr>
          <w:rFonts w:ascii="Times New Roman" w:hAnsi="Times New Roman"/>
        </w:rPr>
        <w:t>December 31, 2025, FR Y–9C and FR Y–9SP data.</w:t>
      </w:r>
    </w:p>
  </w:footnote>
  <w:footnote w:id="5">
    <w:p w:rsidR="00D37715" w14:paraId="5A1E126D" w14:textId="0F9808F3">
      <w:pPr>
        <w:pStyle w:val="FootnoteText"/>
      </w:pPr>
      <w:r w:rsidRPr="00D37715">
        <w:rPr>
          <w:rStyle w:val="FootnoteReference"/>
          <w:vertAlign w:val="superscript"/>
        </w:rPr>
        <w:footnoteRef/>
      </w:r>
      <w:r>
        <w:t xml:space="preserve"> </w:t>
      </w:r>
      <w:r w:rsidRPr="00E63077">
        <w:rPr>
          <w:rFonts w:ascii="Times New Roman" w:hAnsi="Times New Roman"/>
        </w:rPr>
        <w:t>Based on average assets reported in FR Y–9C data from March 31, June 30, and December 31, 2025, and in FR Y–9SP data from December 31, 2024, June 30, 2025, and December 31, 2025.</w:t>
      </w:r>
    </w:p>
  </w:footnote>
  <w:footnote w:id="6">
    <w:p w:rsidR="00582FFD" w:rsidRPr="00FF5438" w:rsidP="00582FFD" w14:paraId="18ACC473" w14:textId="77777777">
      <w:pPr>
        <w:pStyle w:val="FootnoteText"/>
        <w:rPr>
          <w:rFonts w:ascii="Times New Roman" w:hAnsi="Times New Roman"/>
        </w:rPr>
      </w:pPr>
      <w:r w:rsidRPr="00582FFD">
        <w:rPr>
          <w:rStyle w:val="FootnoteReference"/>
          <w:vertAlign w:val="superscript"/>
        </w:rPr>
        <w:footnoteRef/>
      </w:r>
      <w:r w:rsidRPr="00FF5438">
        <w:rPr>
          <w:rFonts w:ascii="Times New Roman" w:hAnsi="Times New Roman"/>
        </w:rPr>
        <w:t xml:space="preserve"> 1,262 requests over ten years * 38% from small entities / 10 years = 48.0 requests from small entities per year.</w:t>
      </w:r>
    </w:p>
  </w:footnote>
  <w:footnote w:id="7">
    <w:p w:rsidR="00A563D5" w:rsidRPr="00FF5438" w:rsidP="00A563D5" w14:paraId="367CDDF1" w14:textId="77777777">
      <w:pPr>
        <w:pStyle w:val="FootnoteText"/>
        <w:rPr>
          <w:rFonts w:ascii="Times New Roman" w:hAnsi="Times New Roman"/>
        </w:rPr>
      </w:pPr>
      <w:r w:rsidRPr="009C65D7">
        <w:rPr>
          <w:rStyle w:val="FootnoteReference"/>
          <w:rFonts w:eastAsia="Aptos"/>
          <w:vertAlign w:val="superscript"/>
        </w:rPr>
        <w:footnoteRef/>
      </w:r>
      <w:r w:rsidRPr="00FF5438">
        <w:rPr>
          <w:rFonts w:ascii="Times New Roman" w:hAnsi="Times New Roman"/>
        </w:rPr>
        <w:t xml:space="preserve"> 5 U.S.C. 605(b).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074D21"/>
    <w:multiLevelType w:val="hybridMultilevel"/>
    <w:tmpl w:val="3670C79C"/>
    <w:lvl w:ilvl="0">
      <w:start w:val="1"/>
      <w:numFmt w:val="upperLetter"/>
      <w:lvlText w:val="%1."/>
      <w:lvlJc w:val="left"/>
      <w:pPr>
        <w:ind w:left="720" w:hanging="72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66936611"/>
    <w:multiLevelType w:val="hybridMultilevel"/>
    <w:tmpl w:val="90CE913C"/>
    <w:lvl w:ilvl="0">
      <w:start w:val="1"/>
      <w:numFmt w:val="upperLetter"/>
      <w:lvlText w:val="%1."/>
      <w:lvlJc w:val="left"/>
      <w:pPr>
        <w:ind w:left="720" w:hanging="720"/>
      </w:pPr>
      <w:rPr>
        <w:rFonts w:hint="default"/>
      </w:rPr>
    </w:lvl>
    <w:lvl w:ilvl="1">
      <w:start w:val="1"/>
      <w:numFmt w:val="decimal"/>
      <w:lvlText w:val="%2."/>
      <w:lvlJc w:val="left"/>
      <w:pPr>
        <w:ind w:left="1080" w:hanging="360"/>
      </w:pPr>
      <w:rPr>
        <w:color w:val="auto"/>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4781029">
    <w:abstractNumId w:val="0"/>
  </w:num>
  <w:num w:numId="2" w16cid:durableId="1397704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D2"/>
    <w:rsid w:val="000043EA"/>
    <w:rsid w:val="00011076"/>
    <w:rsid w:val="000316F0"/>
    <w:rsid w:val="00042364"/>
    <w:rsid w:val="00053517"/>
    <w:rsid w:val="0005612F"/>
    <w:rsid w:val="00060824"/>
    <w:rsid w:val="00071ABE"/>
    <w:rsid w:val="000724DD"/>
    <w:rsid w:val="00076135"/>
    <w:rsid w:val="00096418"/>
    <w:rsid w:val="000B518C"/>
    <w:rsid w:val="000C278B"/>
    <w:rsid w:val="000C77E3"/>
    <w:rsid w:val="000D1A4D"/>
    <w:rsid w:val="000D2161"/>
    <w:rsid w:val="000D7CD4"/>
    <w:rsid w:val="000D7F68"/>
    <w:rsid w:val="000E0A6D"/>
    <w:rsid w:val="000E2BC4"/>
    <w:rsid w:val="000F5FDC"/>
    <w:rsid w:val="000F61D0"/>
    <w:rsid w:val="00102D7D"/>
    <w:rsid w:val="001039AB"/>
    <w:rsid w:val="001125F5"/>
    <w:rsid w:val="001126B4"/>
    <w:rsid w:val="0011526A"/>
    <w:rsid w:val="001362D5"/>
    <w:rsid w:val="001410A1"/>
    <w:rsid w:val="00151E67"/>
    <w:rsid w:val="00152CD4"/>
    <w:rsid w:val="00156642"/>
    <w:rsid w:val="00157E2B"/>
    <w:rsid w:val="00164C03"/>
    <w:rsid w:val="00165952"/>
    <w:rsid w:val="0017122A"/>
    <w:rsid w:val="00172EF0"/>
    <w:rsid w:val="0017356E"/>
    <w:rsid w:val="0017494E"/>
    <w:rsid w:val="00177AD0"/>
    <w:rsid w:val="0019364E"/>
    <w:rsid w:val="00195966"/>
    <w:rsid w:val="001C6926"/>
    <w:rsid w:val="001C7A96"/>
    <w:rsid w:val="001D13F4"/>
    <w:rsid w:val="001E7190"/>
    <w:rsid w:val="0020444B"/>
    <w:rsid w:val="00215465"/>
    <w:rsid w:val="002165FF"/>
    <w:rsid w:val="002201A4"/>
    <w:rsid w:val="00233F7B"/>
    <w:rsid w:val="002462F0"/>
    <w:rsid w:val="00247885"/>
    <w:rsid w:val="00250A77"/>
    <w:rsid w:val="00257106"/>
    <w:rsid w:val="0026081D"/>
    <w:rsid w:val="00266FBC"/>
    <w:rsid w:val="00267E4F"/>
    <w:rsid w:val="00276111"/>
    <w:rsid w:val="0028660A"/>
    <w:rsid w:val="00291B68"/>
    <w:rsid w:val="00292781"/>
    <w:rsid w:val="00296BB0"/>
    <w:rsid w:val="002A1B1C"/>
    <w:rsid w:val="002B0BE9"/>
    <w:rsid w:val="002B7315"/>
    <w:rsid w:val="002C1B1B"/>
    <w:rsid w:val="002C5BA8"/>
    <w:rsid w:val="002C7490"/>
    <w:rsid w:val="002D3482"/>
    <w:rsid w:val="002E35BD"/>
    <w:rsid w:val="002E7DB1"/>
    <w:rsid w:val="002F63D4"/>
    <w:rsid w:val="00304624"/>
    <w:rsid w:val="00317689"/>
    <w:rsid w:val="003217E4"/>
    <w:rsid w:val="0033398F"/>
    <w:rsid w:val="00340057"/>
    <w:rsid w:val="0035215B"/>
    <w:rsid w:val="00353117"/>
    <w:rsid w:val="00353DEE"/>
    <w:rsid w:val="00356F52"/>
    <w:rsid w:val="00365D18"/>
    <w:rsid w:val="00372B19"/>
    <w:rsid w:val="00376241"/>
    <w:rsid w:val="00377DE2"/>
    <w:rsid w:val="0038051F"/>
    <w:rsid w:val="00386121"/>
    <w:rsid w:val="00390C82"/>
    <w:rsid w:val="0039344B"/>
    <w:rsid w:val="00395E37"/>
    <w:rsid w:val="003C1FB8"/>
    <w:rsid w:val="003C277A"/>
    <w:rsid w:val="003C6341"/>
    <w:rsid w:val="003C6E20"/>
    <w:rsid w:val="003D55B5"/>
    <w:rsid w:val="003D6EAA"/>
    <w:rsid w:val="003F34E5"/>
    <w:rsid w:val="004008FE"/>
    <w:rsid w:val="00403578"/>
    <w:rsid w:val="004128B7"/>
    <w:rsid w:val="0042650E"/>
    <w:rsid w:val="004272D4"/>
    <w:rsid w:val="00437223"/>
    <w:rsid w:val="00440336"/>
    <w:rsid w:val="00443C81"/>
    <w:rsid w:val="00451948"/>
    <w:rsid w:val="00452172"/>
    <w:rsid w:val="004566B8"/>
    <w:rsid w:val="00466278"/>
    <w:rsid w:val="004779DF"/>
    <w:rsid w:val="004857A3"/>
    <w:rsid w:val="00491DAA"/>
    <w:rsid w:val="00494851"/>
    <w:rsid w:val="00495A4B"/>
    <w:rsid w:val="00497AF3"/>
    <w:rsid w:val="004A1237"/>
    <w:rsid w:val="004A3005"/>
    <w:rsid w:val="004B5873"/>
    <w:rsid w:val="004C1CBA"/>
    <w:rsid w:val="004D7448"/>
    <w:rsid w:val="004E7F53"/>
    <w:rsid w:val="004F34E9"/>
    <w:rsid w:val="004F6390"/>
    <w:rsid w:val="005002FF"/>
    <w:rsid w:val="00502855"/>
    <w:rsid w:val="005040EA"/>
    <w:rsid w:val="005118E4"/>
    <w:rsid w:val="00523E44"/>
    <w:rsid w:val="00527BBD"/>
    <w:rsid w:val="00527FE0"/>
    <w:rsid w:val="0053447E"/>
    <w:rsid w:val="00543FDA"/>
    <w:rsid w:val="00544F43"/>
    <w:rsid w:val="00562F47"/>
    <w:rsid w:val="00565804"/>
    <w:rsid w:val="00571724"/>
    <w:rsid w:val="00582FFD"/>
    <w:rsid w:val="00590A2D"/>
    <w:rsid w:val="005A4F04"/>
    <w:rsid w:val="005B0899"/>
    <w:rsid w:val="005C275E"/>
    <w:rsid w:val="005D0B6B"/>
    <w:rsid w:val="005E388B"/>
    <w:rsid w:val="005E513B"/>
    <w:rsid w:val="005F2007"/>
    <w:rsid w:val="005F6452"/>
    <w:rsid w:val="00606FCF"/>
    <w:rsid w:val="00607414"/>
    <w:rsid w:val="00630F11"/>
    <w:rsid w:val="006310C2"/>
    <w:rsid w:val="00631A2F"/>
    <w:rsid w:val="006356D2"/>
    <w:rsid w:val="0063790C"/>
    <w:rsid w:val="0064007D"/>
    <w:rsid w:val="006447EC"/>
    <w:rsid w:val="006526DB"/>
    <w:rsid w:val="006626B3"/>
    <w:rsid w:val="0067465D"/>
    <w:rsid w:val="006750FD"/>
    <w:rsid w:val="00676962"/>
    <w:rsid w:val="00676F6B"/>
    <w:rsid w:val="00683157"/>
    <w:rsid w:val="006835ED"/>
    <w:rsid w:val="006A30A0"/>
    <w:rsid w:val="006B14FC"/>
    <w:rsid w:val="006B7F36"/>
    <w:rsid w:val="006C0037"/>
    <w:rsid w:val="006C08DA"/>
    <w:rsid w:val="006C4A95"/>
    <w:rsid w:val="006C66D4"/>
    <w:rsid w:val="006D04F6"/>
    <w:rsid w:val="006D0D8D"/>
    <w:rsid w:val="006E0653"/>
    <w:rsid w:val="006F1A88"/>
    <w:rsid w:val="006F2B5D"/>
    <w:rsid w:val="00700D14"/>
    <w:rsid w:val="00701C82"/>
    <w:rsid w:val="00702266"/>
    <w:rsid w:val="007110B8"/>
    <w:rsid w:val="00715072"/>
    <w:rsid w:val="00730E2E"/>
    <w:rsid w:val="00735943"/>
    <w:rsid w:val="00753228"/>
    <w:rsid w:val="00755209"/>
    <w:rsid w:val="00760010"/>
    <w:rsid w:val="00766E88"/>
    <w:rsid w:val="00773D57"/>
    <w:rsid w:val="00776CA0"/>
    <w:rsid w:val="00780C4B"/>
    <w:rsid w:val="007862B8"/>
    <w:rsid w:val="007921D2"/>
    <w:rsid w:val="00794B17"/>
    <w:rsid w:val="007A0684"/>
    <w:rsid w:val="007A5082"/>
    <w:rsid w:val="007B2781"/>
    <w:rsid w:val="007D0E77"/>
    <w:rsid w:val="007D15CF"/>
    <w:rsid w:val="007D25CD"/>
    <w:rsid w:val="007D3AE3"/>
    <w:rsid w:val="007D53B3"/>
    <w:rsid w:val="007D5D65"/>
    <w:rsid w:val="007D7539"/>
    <w:rsid w:val="007F4B89"/>
    <w:rsid w:val="008005F1"/>
    <w:rsid w:val="00801911"/>
    <w:rsid w:val="00802256"/>
    <w:rsid w:val="0080351A"/>
    <w:rsid w:val="00803FF0"/>
    <w:rsid w:val="00804872"/>
    <w:rsid w:val="008130DE"/>
    <w:rsid w:val="008177EC"/>
    <w:rsid w:val="00820329"/>
    <w:rsid w:val="008264ED"/>
    <w:rsid w:val="00837CE1"/>
    <w:rsid w:val="008410D4"/>
    <w:rsid w:val="00842A9E"/>
    <w:rsid w:val="0084387D"/>
    <w:rsid w:val="008543B1"/>
    <w:rsid w:val="0088305A"/>
    <w:rsid w:val="00883145"/>
    <w:rsid w:val="008852C1"/>
    <w:rsid w:val="00885CD0"/>
    <w:rsid w:val="00897132"/>
    <w:rsid w:val="008A21F8"/>
    <w:rsid w:val="008C17EF"/>
    <w:rsid w:val="008C2CA6"/>
    <w:rsid w:val="008C6C19"/>
    <w:rsid w:val="008D014E"/>
    <w:rsid w:val="008D1962"/>
    <w:rsid w:val="008D24F3"/>
    <w:rsid w:val="008D4DEB"/>
    <w:rsid w:val="008F1D99"/>
    <w:rsid w:val="008F3A63"/>
    <w:rsid w:val="009254FC"/>
    <w:rsid w:val="00940599"/>
    <w:rsid w:val="00941EE6"/>
    <w:rsid w:val="00941FBA"/>
    <w:rsid w:val="00950ECD"/>
    <w:rsid w:val="009526A9"/>
    <w:rsid w:val="009530BB"/>
    <w:rsid w:val="009539EB"/>
    <w:rsid w:val="00954F3B"/>
    <w:rsid w:val="00960863"/>
    <w:rsid w:val="009753DE"/>
    <w:rsid w:val="00977BA8"/>
    <w:rsid w:val="00985FEB"/>
    <w:rsid w:val="009967C2"/>
    <w:rsid w:val="00996940"/>
    <w:rsid w:val="009B39ED"/>
    <w:rsid w:val="009C65D7"/>
    <w:rsid w:val="009D016E"/>
    <w:rsid w:val="009D4E48"/>
    <w:rsid w:val="009D4FC2"/>
    <w:rsid w:val="009E44ED"/>
    <w:rsid w:val="009E537F"/>
    <w:rsid w:val="009F4E82"/>
    <w:rsid w:val="009F5D71"/>
    <w:rsid w:val="009F6E11"/>
    <w:rsid w:val="00A04F12"/>
    <w:rsid w:val="00A056C3"/>
    <w:rsid w:val="00A17E64"/>
    <w:rsid w:val="00A32D8E"/>
    <w:rsid w:val="00A35659"/>
    <w:rsid w:val="00A41D32"/>
    <w:rsid w:val="00A45372"/>
    <w:rsid w:val="00A5199F"/>
    <w:rsid w:val="00A5353A"/>
    <w:rsid w:val="00A5491A"/>
    <w:rsid w:val="00A563D5"/>
    <w:rsid w:val="00A646E6"/>
    <w:rsid w:val="00A67117"/>
    <w:rsid w:val="00A72566"/>
    <w:rsid w:val="00A73E68"/>
    <w:rsid w:val="00A83503"/>
    <w:rsid w:val="00A96D68"/>
    <w:rsid w:val="00A96E30"/>
    <w:rsid w:val="00A97BC2"/>
    <w:rsid w:val="00AA7BE8"/>
    <w:rsid w:val="00AB2AB8"/>
    <w:rsid w:val="00AB2EB8"/>
    <w:rsid w:val="00AB2F03"/>
    <w:rsid w:val="00AB6E74"/>
    <w:rsid w:val="00AC2AB8"/>
    <w:rsid w:val="00AC3E0F"/>
    <w:rsid w:val="00AD775B"/>
    <w:rsid w:val="00AE065C"/>
    <w:rsid w:val="00AE346B"/>
    <w:rsid w:val="00AE4778"/>
    <w:rsid w:val="00B0077A"/>
    <w:rsid w:val="00B02F43"/>
    <w:rsid w:val="00B04ECD"/>
    <w:rsid w:val="00B07AFC"/>
    <w:rsid w:val="00B13573"/>
    <w:rsid w:val="00B21AAA"/>
    <w:rsid w:val="00B34B61"/>
    <w:rsid w:val="00B40E4F"/>
    <w:rsid w:val="00B56572"/>
    <w:rsid w:val="00B66F79"/>
    <w:rsid w:val="00B7104C"/>
    <w:rsid w:val="00B736CF"/>
    <w:rsid w:val="00B76BDC"/>
    <w:rsid w:val="00B82D25"/>
    <w:rsid w:val="00B8480D"/>
    <w:rsid w:val="00B84FF9"/>
    <w:rsid w:val="00B86B61"/>
    <w:rsid w:val="00B87777"/>
    <w:rsid w:val="00B95AAF"/>
    <w:rsid w:val="00BA378E"/>
    <w:rsid w:val="00BA4401"/>
    <w:rsid w:val="00BC26C8"/>
    <w:rsid w:val="00BD759B"/>
    <w:rsid w:val="00BD7659"/>
    <w:rsid w:val="00BE25D4"/>
    <w:rsid w:val="00BF3671"/>
    <w:rsid w:val="00BF41E4"/>
    <w:rsid w:val="00C05101"/>
    <w:rsid w:val="00C20522"/>
    <w:rsid w:val="00C2346E"/>
    <w:rsid w:val="00C62693"/>
    <w:rsid w:val="00C6518A"/>
    <w:rsid w:val="00C8656E"/>
    <w:rsid w:val="00C942F7"/>
    <w:rsid w:val="00C94EFA"/>
    <w:rsid w:val="00C95C1A"/>
    <w:rsid w:val="00CA1FEC"/>
    <w:rsid w:val="00CA6647"/>
    <w:rsid w:val="00CB1BFE"/>
    <w:rsid w:val="00CC014E"/>
    <w:rsid w:val="00CC455E"/>
    <w:rsid w:val="00CC627B"/>
    <w:rsid w:val="00CD38CC"/>
    <w:rsid w:val="00CD5E80"/>
    <w:rsid w:val="00CD70B4"/>
    <w:rsid w:val="00CE34A1"/>
    <w:rsid w:val="00CE5414"/>
    <w:rsid w:val="00CF4330"/>
    <w:rsid w:val="00CF4FDE"/>
    <w:rsid w:val="00D01C4D"/>
    <w:rsid w:val="00D064AD"/>
    <w:rsid w:val="00D13EB0"/>
    <w:rsid w:val="00D149B8"/>
    <w:rsid w:val="00D22E15"/>
    <w:rsid w:val="00D24943"/>
    <w:rsid w:val="00D35C22"/>
    <w:rsid w:val="00D37715"/>
    <w:rsid w:val="00D60C58"/>
    <w:rsid w:val="00D62D09"/>
    <w:rsid w:val="00D8046D"/>
    <w:rsid w:val="00D80E81"/>
    <w:rsid w:val="00D9059A"/>
    <w:rsid w:val="00DA09A5"/>
    <w:rsid w:val="00DA1A39"/>
    <w:rsid w:val="00DA3CEB"/>
    <w:rsid w:val="00DB22D7"/>
    <w:rsid w:val="00DC5A84"/>
    <w:rsid w:val="00DC7168"/>
    <w:rsid w:val="00DD0181"/>
    <w:rsid w:val="00DE166E"/>
    <w:rsid w:val="00DE1D03"/>
    <w:rsid w:val="00DE5ED0"/>
    <w:rsid w:val="00DE63E7"/>
    <w:rsid w:val="00DE6F69"/>
    <w:rsid w:val="00DF1017"/>
    <w:rsid w:val="00DF2D49"/>
    <w:rsid w:val="00DF34F6"/>
    <w:rsid w:val="00DF5519"/>
    <w:rsid w:val="00DF7762"/>
    <w:rsid w:val="00E00051"/>
    <w:rsid w:val="00E05D7E"/>
    <w:rsid w:val="00E14716"/>
    <w:rsid w:val="00E15E69"/>
    <w:rsid w:val="00E24521"/>
    <w:rsid w:val="00E3112B"/>
    <w:rsid w:val="00E464AD"/>
    <w:rsid w:val="00E570F6"/>
    <w:rsid w:val="00E62C29"/>
    <w:rsid w:val="00E63077"/>
    <w:rsid w:val="00E65628"/>
    <w:rsid w:val="00E67BF4"/>
    <w:rsid w:val="00E77330"/>
    <w:rsid w:val="00E84673"/>
    <w:rsid w:val="00EA1710"/>
    <w:rsid w:val="00EB1F46"/>
    <w:rsid w:val="00EB4A38"/>
    <w:rsid w:val="00EC2BEE"/>
    <w:rsid w:val="00EC5778"/>
    <w:rsid w:val="00EC79F5"/>
    <w:rsid w:val="00ED2068"/>
    <w:rsid w:val="00ED6864"/>
    <w:rsid w:val="00EE070C"/>
    <w:rsid w:val="00EF31B2"/>
    <w:rsid w:val="00F05279"/>
    <w:rsid w:val="00F15AB4"/>
    <w:rsid w:val="00F2302F"/>
    <w:rsid w:val="00F4356E"/>
    <w:rsid w:val="00F473C8"/>
    <w:rsid w:val="00F54F3A"/>
    <w:rsid w:val="00F702D2"/>
    <w:rsid w:val="00F94FA6"/>
    <w:rsid w:val="00F97674"/>
    <w:rsid w:val="00FC30BE"/>
    <w:rsid w:val="00FC46F2"/>
    <w:rsid w:val="00FC4D41"/>
    <w:rsid w:val="00FC7169"/>
    <w:rsid w:val="00FD4BDF"/>
    <w:rsid w:val="00FD56A8"/>
    <w:rsid w:val="00FE1DDE"/>
    <w:rsid w:val="00FF54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4125EA"/>
  <w15:chartTrackingRefBased/>
  <w15:docId w15:val="{6E272448-2213-4A33-9D57-23FFDEF00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21D2"/>
    <w:pPr>
      <w:widowControl w:val="0"/>
      <w:spacing w:after="0" w:line="240" w:lineRule="auto"/>
    </w:pPr>
    <w:rPr>
      <w:rFonts w:ascii="Courier" w:eastAsia="Times New Roman" w:hAnsi="Courier" w:cs="Times New Roman"/>
      <w:snapToGrid w:val="0"/>
      <w:kern w:val="0"/>
      <w:szCs w:val="20"/>
      <w14:ligatures w14:val="none"/>
    </w:rPr>
  </w:style>
  <w:style w:type="paragraph" w:styleId="Heading1">
    <w:name w:val="heading 1"/>
    <w:basedOn w:val="Normal"/>
    <w:next w:val="Normal"/>
    <w:link w:val="Heading1Char"/>
    <w:uiPriority w:val="9"/>
    <w:qFormat/>
    <w:rsid w:val="007921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D2"/>
    <w:rPr>
      <w:rFonts w:eastAsiaTheme="majorEastAsia" w:cstheme="majorBidi"/>
      <w:color w:val="272727" w:themeColor="text1" w:themeTint="D8"/>
    </w:rPr>
  </w:style>
  <w:style w:type="paragraph" w:styleId="Title">
    <w:name w:val="Title"/>
    <w:basedOn w:val="Normal"/>
    <w:next w:val="Normal"/>
    <w:link w:val="TitleChar"/>
    <w:uiPriority w:val="10"/>
    <w:qFormat/>
    <w:rsid w:val="007921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D2"/>
    <w:pPr>
      <w:spacing w:before="160"/>
      <w:jc w:val="center"/>
    </w:pPr>
    <w:rPr>
      <w:i/>
      <w:iCs/>
      <w:color w:val="404040" w:themeColor="text1" w:themeTint="BF"/>
    </w:rPr>
  </w:style>
  <w:style w:type="character" w:customStyle="1" w:styleId="QuoteChar">
    <w:name w:val="Quote Char"/>
    <w:basedOn w:val="DefaultParagraphFont"/>
    <w:link w:val="Quote"/>
    <w:uiPriority w:val="29"/>
    <w:rsid w:val="007921D2"/>
    <w:rPr>
      <w:i/>
      <w:iCs/>
      <w:color w:val="404040" w:themeColor="text1" w:themeTint="BF"/>
    </w:rPr>
  </w:style>
  <w:style w:type="paragraph" w:styleId="ListParagraph">
    <w:name w:val="List Paragraph"/>
    <w:basedOn w:val="Normal"/>
    <w:uiPriority w:val="34"/>
    <w:qFormat/>
    <w:rsid w:val="007921D2"/>
    <w:pPr>
      <w:ind w:left="720"/>
      <w:contextualSpacing/>
    </w:pPr>
  </w:style>
  <w:style w:type="character" w:styleId="IntenseEmphasis">
    <w:name w:val="Intense Emphasis"/>
    <w:basedOn w:val="DefaultParagraphFont"/>
    <w:uiPriority w:val="21"/>
    <w:qFormat/>
    <w:rsid w:val="007921D2"/>
    <w:rPr>
      <w:i/>
      <w:iCs/>
      <w:color w:val="0F4761" w:themeColor="accent1" w:themeShade="BF"/>
    </w:rPr>
  </w:style>
  <w:style w:type="paragraph" w:styleId="IntenseQuote">
    <w:name w:val="Intense Quote"/>
    <w:basedOn w:val="Normal"/>
    <w:next w:val="Normal"/>
    <w:link w:val="IntenseQuoteChar"/>
    <w:uiPriority w:val="30"/>
    <w:qFormat/>
    <w:rsid w:val="007921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D2"/>
    <w:rPr>
      <w:i/>
      <w:iCs/>
      <w:color w:val="0F4761" w:themeColor="accent1" w:themeShade="BF"/>
    </w:rPr>
  </w:style>
  <w:style w:type="character" w:styleId="IntenseReference">
    <w:name w:val="Intense Reference"/>
    <w:basedOn w:val="DefaultParagraphFont"/>
    <w:uiPriority w:val="32"/>
    <w:qFormat/>
    <w:rsid w:val="007921D2"/>
    <w:rPr>
      <w:b/>
      <w:bCs/>
      <w:smallCaps/>
      <w:color w:val="0F4761" w:themeColor="accent1" w:themeShade="BF"/>
      <w:spacing w:val="5"/>
    </w:rPr>
  </w:style>
  <w:style w:type="paragraph" w:styleId="BodyTextIndent">
    <w:name w:val="Body Text Indent"/>
    <w:basedOn w:val="Normal"/>
    <w:link w:val="BodyTextIndentChar"/>
    <w:rsid w:val="007921D2"/>
    <w:pPr>
      <w:ind w:left="720"/>
    </w:pPr>
    <w:rPr>
      <w:rFonts w:ascii="Times New Roman" w:hAnsi="Times New Roman"/>
    </w:rPr>
  </w:style>
  <w:style w:type="character" w:customStyle="1" w:styleId="BodyTextIndentChar">
    <w:name w:val="Body Text Indent Char"/>
    <w:basedOn w:val="DefaultParagraphFont"/>
    <w:link w:val="BodyTextIndent"/>
    <w:rsid w:val="007921D2"/>
    <w:rPr>
      <w:rFonts w:ascii="Times New Roman" w:eastAsia="Times New Roman" w:hAnsi="Times New Roman" w:cs="Times New Roman"/>
      <w:snapToGrid w:val="0"/>
      <w:kern w:val="0"/>
      <w:szCs w:val="20"/>
      <w14:ligatures w14:val="none"/>
    </w:rPr>
  </w:style>
  <w:style w:type="character" w:styleId="FootnoteReference">
    <w:name w:val="footnote reference"/>
    <w:aliases w:val=" BVI fnr,(Footnote Reference),12,Appel note de bas de p,BVI fnr,EN Footnote Reference,Footnote,Footnote Reference Superscript,Footnote reference number,Footnote symbol,Nota,Ref,SUPERS,Style 16,Style 19,Voetnootverwijzing,fr,note TESI"/>
    <w:uiPriority w:val="99"/>
    <w:qFormat/>
    <w:rsid w:val="007921D2"/>
    <w:rPr>
      <w:rFonts w:ascii="Times New Roman" w:hAnsi="Times New Roman"/>
    </w:rPr>
  </w:style>
  <w:style w:type="paragraph" w:styleId="FootnoteText">
    <w:name w:val="footnote text"/>
    <w:aliases w:val=" Char,ALTS FOOTNOTE,Car,Ch,Char,Footnote Text Char Char,Footnote Text Char Char Char,Footnote Text Char Char Char Char Char Char Char Char Char Char Char Char Char Char Char Char Char,Fußnote,Style 15,Style 40 Char,Style 40 Char Char,fn,ft"/>
    <w:basedOn w:val="Normal"/>
    <w:link w:val="FootnoteTextChar"/>
    <w:uiPriority w:val="99"/>
    <w:qFormat/>
    <w:rsid w:val="007921D2"/>
    <w:rPr>
      <w:sz w:val="20"/>
    </w:rPr>
  </w:style>
  <w:style w:type="character" w:customStyle="1" w:styleId="FootnoteTextChar">
    <w:name w:val="Footnote Text Char"/>
    <w:aliases w:val=" Char Char,ALTS FOOTNOTE Char,Car Char,Ch Char,Char Char,Footnote Text Char Char Char Char,Footnote Text Char Char Char1,Fußnote Char,Style 15 Char,Style 40 Char Char Char,Style 40 Char Char1,fn Char,ft Char"/>
    <w:basedOn w:val="DefaultParagraphFont"/>
    <w:link w:val="FootnoteText"/>
    <w:uiPriority w:val="99"/>
    <w:rsid w:val="007921D2"/>
    <w:rPr>
      <w:rFonts w:ascii="Courier" w:eastAsia="Times New Roman" w:hAnsi="Courier" w:cs="Times New Roman"/>
      <w:snapToGrid w:val="0"/>
      <w:kern w:val="0"/>
      <w:sz w:val="20"/>
      <w:szCs w:val="20"/>
      <w14:ligatures w14:val="none"/>
    </w:rPr>
  </w:style>
  <w:style w:type="paragraph" w:styleId="BodyText">
    <w:name w:val="Body Text"/>
    <w:basedOn w:val="Normal"/>
    <w:link w:val="BodyTextChar"/>
    <w:uiPriority w:val="99"/>
    <w:unhideWhenUsed/>
    <w:rsid w:val="007921D2"/>
    <w:pPr>
      <w:spacing w:after="120"/>
    </w:pPr>
  </w:style>
  <w:style w:type="character" w:customStyle="1" w:styleId="BodyTextChar">
    <w:name w:val="Body Text Char"/>
    <w:basedOn w:val="DefaultParagraphFont"/>
    <w:link w:val="BodyText"/>
    <w:uiPriority w:val="99"/>
    <w:rsid w:val="007921D2"/>
    <w:rPr>
      <w:rFonts w:ascii="Courier" w:eastAsia="Times New Roman" w:hAnsi="Courier" w:cs="Times New Roman"/>
      <w:snapToGrid w:val="0"/>
      <w:kern w:val="0"/>
      <w:szCs w:val="20"/>
      <w14:ligatures w14:val="none"/>
    </w:rPr>
  </w:style>
  <w:style w:type="paragraph" w:styleId="NoSpacing">
    <w:name w:val="No Spacing"/>
    <w:uiPriority w:val="1"/>
    <w:qFormat/>
    <w:rsid w:val="00941FBA"/>
    <w:pPr>
      <w:widowControl w:val="0"/>
      <w:spacing w:after="0" w:line="240" w:lineRule="auto"/>
    </w:pPr>
    <w:rPr>
      <w:rFonts w:ascii="Courier" w:eastAsia="Times New Roman" w:hAnsi="Courier" w:cs="Times New Roman"/>
      <w:snapToGrid w:val="0"/>
      <w:kern w:val="0"/>
      <w:szCs w:val="20"/>
      <w14:ligatures w14:val="none"/>
    </w:rPr>
  </w:style>
  <w:style w:type="character" w:styleId="CommentReference">
    <w:name w:val="annotation reference"/>
    <w:basedOn w:val="DefaultParagraphFont"/>
    <w:uiPriority w:val="99"/>
    <w:unhideWhenUsed/>
    <w:rsid w:val="00D064AD"/>
    <w:rPr>
      <w:sz w:val="16"/>
      <w:szCs w:val="16"/>
    </w:rPr>
  </w:style>
  <w:style w:type="paragraph" w:styleId="CommentText">
    <w:name w:val="annotation text"/>
    <w:basedOn w:val="Normal"/>
    <w:link w:val="CommentTextChar"/>
    <w:uiPriority w:val="99"/>
    <w:unhideWhenUsed/>
    <w:rsid w:val="00D064AD"/>
    <w:pPr>
      <w:widowControl/>
      <w:spacing w:after="160"/>
    </w:pPr>
    <w:rPr>
      <w:rFonts w:ascii="Times New Roman" w:eastAsia="Aptos" w:hAnsi="Times New Roman"/>
      <w:snapToGrid/>
      <w:sz w:val="20"/>
    </w:rPr>
  </w:style>
  <w:style w:type="character" w:customStyle="1" w:styleId="CommentTextChar">
    <w:name w:val="Comment Text Char"/>
    <w:basedOn w:val="DefaultParagraphFont"/>
    <w:link w:val="CommentText"/>
    <w:uiPriority w:val="99"/>
    <w:rsid w:val="00D064AD"/>
    <w:rPr>
      <w:rFonts w:ascii="Times New Roman" w:eastAsia="Aptos" w:hAnsi="Times New Roman" w:cs="Times New Roman"/>
      <w:kern w:val="0"/>
      <w:sz w:val="20"/>
      <w:szCs w:val="20"/>
      <w14:ligatures w14:val="none"/>
    </w:rPr>
  </w:style>
  <w:style w:type="paragraph" w:styleId="Header">
    <w:name w:val="header"/>
    <w:basedOn w:val="Normal"/>
    <w:link w:val="HeaderChar"/>
    <w:uiPriority w:val="99"/>
    <w:unhideWhenUsed/>
    <w:rsid w:val="004566B8"/>
    <w:pPr>
      <w:widowControl/>
      <w:tabs>
        <w:tab w:val="center" w:pos="4680"/>
        <w:tab w:val="right" w:pos="9360"/>
      </w:tabs>
    </w:pPr>
    <w:rPr>
      <w:rFonts w:ascii="Times New Roman" w:eastAsia="Aptos" w:hAnsi="Times New Roman"/>
      <w:snapToGrid/>
      <w:szCs w:val="24"/>
    </w:rPr>
  </w:style>
  <w:style w:type="character" w:customStyle="1" w:styleId="HeaderChar">
    <w:name w:val="Header Char"/>
    <w:basedOn w:val="DefaultParagraphFont"/>
    <w:link w:val="Header"/>
    <w:uiPriority w:val="99"/>
    <w:rsid w:val="004566B8"/>
    <w:rPr>
      <w:rFonts w:ascii="Times New Roman" w:eastAsia="Aptos" w:hAnsi="Times New Roman" w:cs="Times New Roman"/>
      <w:kern w:val="0"/>
      <w14:ligatures w14:val="none"/>
    </w:rPr>
  </w:style>
  <w:style w:type="paragraph" w:styleId="CommentSubject">
    <w:name w:val="annotation subject"/>
    <w:basedOn w:val="CommentText"/>
    <w:next w:val="CommentText"/>
    <w:link w:val="CommentSubjectChar"/>
    <w:uiPriority w:val="99"/>
    <w:semiHidden/>
    <w:unhideWhenUsed/>
    <w:rsid w:val="00267E4F"/>
    <w:pPr>
      <w:widowControl w:val="0"/>
      <w:spacing w:after="0"/>
    </w:pPr>
    <w:rPr>
      <w:rFonts w:ascii="Courier" w:eastAsia="Times New Roman" w:hAnsi="Courier"/>
      <w:b/>
      <w:bCs/>
      <w:snapToGrid w:val="0"/>
    </w:rPr>
  </w:style>
  <w:style w:type="character" w:customStyle="1" w:styleId="CommentSubjectChar">
    <w:name w:val="Comment Subject Char"/>
    <w:basedOn w:val="CommentTextChar"/>
    <w:link w:val="CommentSubject"/>
    <w:uiPriority w:val="99"/>
    <w:semiHidden/>
    <w:rsid w:val="00267E4F"/>
    <w:rPr>
      <w:rFonts w:ascii="Courier" w:eastAsia="Times New Roman" w:hAnsi="Courier" w:cs="Times New Roman"/>
      <w:b/>
      <w:bCs/>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D20F-E8CE-4822-8E1B-A6258BB30B03}">
  <ds:schemaRefs>
    <ds:schemaRef ds:uri="http://schemas.openxmlformats.org/officeDocument/2006/bibliography"/>
  </ds:schemaRefs>
</ds:datastoreItem>
</file>

<file path=docMetadata/LabelInfo.xml><?xml version="1.0" encoding="utf-8"?>
<clbl:labelList xmlns:clbl="http://schemas.microsoft.com/office/2020/mipLabelMetadata">
  <clbl:label id="{3be8ab8c-433c-4394-a4fb-cd2d5c4d0a5e}" enabled="1" method="Privileged" siteId="{26c83bc9-31c1-4d77-a523-0816095aba31}" removed="0"/>
</clbl:labelList>
</file>

<file path=docProps/app.xml><?xml version="1.0" encoding="utf-8"?>
<Properties xmlns="http://schemas.openxmlformats.org/officeDocument/2006/extended-properties" xmlns:vt="http://schemas.openxmlformats.org/officeDocument/2006/docPropsVTypes">
  <Template>Normal</Template>
  <TotalTime>77</TotalTime>
  <Pages>9</Pages>
  <Words>2137</Words>
  <Characters>12185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 Michelle</dc:creator>
  <cp:lastModifiedBy>Mire, Michelle</cp:lastModifiedBy>
  <cp:revision>60</cp:revision>
  <dcterms:created xsi:type="dcterms:W3CDTF">2026-06-30T17:29:00Z</dcterms:created>
  <dcterms:modified xsi:type="dcterms:W3CDTF">2026-06-30T19:10:00Z</dcterms:modified>
</cp:coreProperties>
</file>