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C29F2" w:rsidP="007C29F2" w14:paraId="25F0A16E" w14:textId="77777777">
      <w:pPr>
        <w:jc w:val="center"/>
        <w:rPr>
          <w:b/>
          <w:bCs/>
        </w:rPr>
      </w:pPr>
      <w:r w:rsidRPr="0098365F">
        <w:rPr>
          <w:b/>
          <w:bCs/>
        </w:rPr>
        <w:t>FEDERAL TRADE COMMISSION</w:t>
      </w:r>
    </w:p>
    <w:p w:rsidR="007C29F2" w:rsidRPr="00CF2A4E" w:rsidP="007C29F2" w14:paraId="07C5C983" w14:textId="11A329E5">
      <w:pPr>
        <w:widowControl w:val="0"/>
        <w:jc w:val="center"/>
        <w:rPr>
          <w:b/>
          <w:bCs/>
        </w:rPr>
      </w:pPr>
      <w:r w:rsidRPr="00CF2A4E">
        <w:rPr>
          <w:b/>
          <w:bCs/>
        </w:rPr>
        <w:t>Rule Governing Pre-</w:t>
      </w:r>
      <w:r w:rsidRPr="00CF2A4E" w:rsidR="00E97A3C">
        <w:rPr>
          <w:b/>
          <w:bCs/>
        </w:rPr>
        <w:t>S</w:t>
      </w:r>
      <w:r w:rsidRPr="00CF2A4E">
        <w:rPr>
          <w:b/>
          <w:bCs/>
        </w:rPr>
        <w:t>ale Availability</w:t>
      </w:r>
    </w:p>
    <w:p w:rsidR="007C29F2" w:rsidRPr="00CF2A4E" w:rsidP="007C29F2" w14:paraId="49D0689A" w14:textId="77777777">
      <w:pPr>
        <w:widowControl w:val="0"/>
        <w:jc w:val="center"/>
        <w:rPr>
          <w:b/>
          <w:bCs/>
        </w:rPr>
      </w:pPr>
      <w:r w:rsidRPr="00CF2A4E">
        <w:rPr>
          <w:b/>
          <w:bCs/>
        </w:rPr>
        <w:t>of Written Warranty Terms</w:t>
      </w:r>
    </w:p>
    <w:p w:rsidR="007C29F2" w:rsidRPr="00CF2A4E" w:rsidP="007C29F2" w14:paraId="3CA19B8F" w14:textId="77777777">
      <w:pPr>
        <w:widowControl w:val="0"/>
        <w:jc w:val="center"/>
        <w:rPr>
          <w:b/>
          <w:bCs/>
        </w:rPr>
      </w:pPr>
      <w:r w:rsidRPr="00CF2A4E">
        <w:rPr>
          <w:b/>
          <w:bCs/>
        </w:rPr>
        <w:t>16 C.F.R. Part 702</w:t>
      </w:r>
    </w:p>
    <w:p w:rsidR="00254DEF" w:rsidRPr="00CF2A4E" w:rsidP="007C29F2" w14:paraId="0C1112EE" w14:textId="673D7AEC">
      <w:pPr>
        <w:widowControl w:val="0"/>
        <w:jc w:val="center"/>
        <w:rPr>
          <w:rFonts w:ascii="Times New Roman" w:hAnsi="Times New Roman"/>
          <w:b/>
          <w:bCs/>
          <w:szCs w:val="22"/>
        </w:rPr>
      </w:pPr>
      <w:r w:rsidRPr="00CF2A4E">
        <w:rPr>
          <w:rFonts w:ascii="Times New Roman" w:hAnsi="Times New Roman"/>
          <w:b/>
          <w:bCs/>
          <w:szCs w:val="22"/>
        </w:rPr>
        <w:t>OMB Control Number</w:t>
      </w:r>
      <w:r w:rsidRPr="00CF2A4E" w:rsidR="007C29F2">
        <w:rPr>
          <w:rFonts w:ascii="Times New Roman" w:hAnsi="Times New Roman"/>
          <w:b/>
          <w:bCs/>
          <w:szCs w:val="22"/>
        </w:rPr>
        <w:t>: 3084-0112</w:t>
      </w:r>
    </w:p>
    <w:p w:rsidR="00254DEF" w:rsidRPr="00CF2A4E" w:rsidP="00F92988" w14:paraId="26001846" w14:textId="67730DC1">
      <w:pPr>
        <w:widowControl w:val="0"/>
        <w:jc w:val="center"/>
        <w:rPr>
          <w:rFonts w:ascii="Times New Roman" w:hAnsi="Times New Roman"/>
          <w:b/>
          <w:bCs/>
          <w:szCs w:val="22"/>
        </w:rPr>
      </w:pPr>
      <w:r w:rsidRPr="00CF2A4E">
        <w:rPr>
          <w:rFonts w:ascii="Times New Roman" w:hAnsi="Times New Roman"/>
          <w:b/>
          <w:bCs/>
          <w:szCs w:val="22"/>
        </w:rPr>
        <w:t>Justification – Part A Supporting Statement</w:t>
      </w:r>
    </w:p>
    <w:p w:rsidR="00254DEF" w:rsidP="00F92988" w14:paraId="354D0985" w14:textId="4C1B8D08">
      <w:pPr>
        <w:widowControl w:val="0"/>
        <w:rPr>
          <w:rFonts w:ascii="Times New Roman" w:hAnsi="Times New Roman"/>
        </w:rPr>
      </w:pPr>
    </w:p>
    <w:p w:rsidR="00B20F59" w:rsidP="00F92988" w14:paraId="57FE58A0" w14:textId="77777777">
      <w:pPr>
        <w:widowControl w:val="0"/>
        <w:rPr>
          <w:rFonts w:ascii="Times New Roman" w:hAnsi="Times New Roman"/>
        </w:rPr>
      </w:pPr>
    </w:p>
    <w:p w:rsidR="00140127" w:rsidRPr="00CF2A4E" w:rsidP="00140127" w14:paraId="0DF038D4" w14:textId="42A32D53">
      <w:pPr>
        <w:widowControl w:val="0"/>
        <w:jc w:val="center"/>
        <w:rPr>
          <w:rFonts w:ascii="Times New Roman" w:hAnsi="Times New Roman"/>
          <w:b/>
          <w:bCs/>
          <w:u w:val="single"/>
        </w:rPr>
      </w:pPr>
      <w:r w:rsidRPr="00CF2A4E">
        <w:rPr>
          <w:rFonts w:ascii="Times New Roman" w:hAnsi="Times New Roman"/>
          <w:b/>
          <w:bCs/>
          <w:u w:val="single"/>
        </w:rPr>
        <w:t>Overview of Information Collection</w:t>
      </w:r>
      <w:r w:rsidRPr="00CF2A4E" w:rsidR="007C29F2">
        <w:rPr>
          <w:rFonts w:ascii="Times New Roman" w:hAnsi="Times New Roman"/>
          <w:b/>
          <w:bCs/>
          <w:u w:val="single"/>
        </w:rPr>
        <w:t>.</w:t>
      </w:r>
    </w:p>
    <w:p w:rsidR="00140127" w:rsidP="007C29F2" w14:paraId="28F10D97" w14:textId="77777777">
      <w:pPr>
        <w:widowControl w:val="0"/>
        <w:rPr>
          <w:rFonts w:ascii="Times New Roman" w:hAnsi="Times New Roman"/>
          <w:u w:val="single"/>
        </w:rPr>
      </w:pPr>
    </w:p>
    <w:p w:rsidR="00B20F59" w:rsidRPr="007C29F2" w:rsidP="007C29F2" w14:paraId="5A4044F2" w14:textId="64874D97">
      <w:pPr>
        <w:widowControl w:val="0"/>
        <w:rPr>
          <w:szCs w:val="22"/>
        </w:rPr>
      </w:pPr>
      <w:r w:rsidRPr="007C29F2">
        <w:rPr>
          <w:szCs w:val="22"/>
        </w:rPr>
        <w:t>This is a request for approval of a three-year extension of</w:t>
      </w:r>
      <w:r w:rsidR="00A92CD3">
        <w:rPr>
          <w:szCs w:val="22"/>
        </w:rPr>
        <w:t xml:space="preserve"> </w:t>
      </w:r>
      <w:r w:rsidRPr="007C29F2">
        <w:rPr>
          <w:szCs w:val="22"/>
        </w:rPr>
        <w:t>an</w:t>
      </w:r>
      <w:r w:rsidRPr="007C29F2">
        <w:rPr>
          <w:szCs w:val="22"/>
        </w:rPr>
        <w:t xml:space="preserve"> existing clearance. The</w:t>
      </w:r>
      <w:r>
        <w:rPr>
          <w:szCs w:val="22"/>
        </w:rPr>
        <w:t xml:space="preserve"> </w:t>
      </w:r>
      <w:r w:rsidRPr="007C29F2">
        <w:rPr>
          <w:szCs w:val="22"/>
        </w:rPr>
        <w:t>Rule on Pre-</w:t>
      </w:r>
      <w:r w:rsidR="00E24AFB">
        <w:rPr>
          <w:szCs w:val="22"/>
        </w:rPr>
        <w:t>S</w:t>
      </w:r>
      <w:r w:rsidRPr="007C29F2">
        <w:rPr>
          <w:szCs w:val="22"/>
        </w:rPr>
        <w:t xml:space="preserve">ale Availability of Written Warranty Terms and Conditions, 16 C.F.R. </w:t>
      </w:r>
      <w:r w:rsidR="00BD2761">
        <w:rPr>
          <w:szCs w:val="22"/>
        </w:rPr>
        <w:t xml:space="preserve">part </w:t>
      </w:r>
      <w:r w:rsidRPr="007C29F2">
        <w:rPr>
          <w:szCs w:val="22"/>
        </w:rPr>
        <w:t>702 (“the</w:t>
      </w:r>
      <w:r>
        <w:rPr>
          <w:szCs w:val="22"/>
        </w:rPr>
        <w:t xml:space="preserve"> </w:t>
      </w:r>
      <w:r w:rsidRPr="007C29F2">
        <w:rPr>
          <w:szCs w:val="22"/>
        </w:rPr>
        <w:t xml:space="preserve">Rule” or “Rule 702”) requires sellers and warrantors to make </w:t>
      </w:r>
      <w:r w:rsidRPr="007C29F2" w:rsidR="005A674B">
        <w:rPr>
          <w:szCs w:val="22"/>
        </w:rPr>
        <w:t xml:space="preserve">available to the consumer before sale </w:t>
      </w:r>
      <w:r w:rsidRPr="007C29F2">
        <w:rPr>
          <w:szCs w:val="22"/>
        </w:rPr>
        <w:t>the text of any written warranty on</w:t>
      </w:r>
      <w:r>
        <w:rPr>
          <w:szCs w:val="22"/>
        </w:rPr>
        <w:t xml:space="preserve"> </w:t>
      </w:r>
      <w:r w:rsidRPr="007C29F2">
        <w:rPr>
          <w:szCs w:val="22"/>
        </w:rPr>
        <w:t>a consumer product costing more than $15. The Rule has</w:t>
      </w:r>
      <w:r>
        <w:rPr>
          <w:szCs w:val="22"/>
        </w:rPr>
        <w:t xml:space="preserve"> </w:t>
      </w:r>
      <w:r w:rsidRPr="007C29F2">
        <w:rPr>
          <w:szCs w:val="22"/>
        </w:rPr>
        <w:t>no recordkeeping or reporting requirements. There is no change in the instrument collection.</w:t>
      </w:r>
    </w:p>
    <w:p w:rsidR="00915D3E" w:rsidRPr="00436E5C" w:rsidP="00F92988" w14:paraId="631F22A9" w14:textId="77777777">
      <w:pPr>
        <w:widowControl w:val="0"/>
        <w:rPr>
          <w:rFonts w:ascii="Times New Roman" w:hAnsi="Times New Roman"/>
        </w:rPr>
      </w:pPr>
    </w:p>
    <w:p w:rsidR="00140127" w:rsidRPr="00CF2A4E" w:rsidP="006F7E35" w14:paraId="687CB0CE" w14:textId="77777777">
      <w:pPr>
        <w:pStyle w:val="ListParagraph"/>
        <w:widowControl w:val="0"/>
        <w:numPr>
          <w:ilvl w:val="0"/>
          <w:numId w:val="32"/>
        </w:numPr>
        <w:tabs>
          <w:tab w:val="left" w:pos="360"/>
          <w:tab w:val="left" w:pos="630"/>
          <w:tab w:val="left" w:pos="720"/>
          <w:tab w:val="left" w:pos="1080"/>
        </w:tabs>
        <w:rPr>
          <w:b/>
          <w:bCs/>
        </w:rPr>
      </w:pPr>
      <w:r w:rsidRPr="00CF2A4E">
        <w:rPr>
          <w:rFonts w:ascii="Times New Roman" w:hAnsi="Times New Roman"/>
          <w:b/>
          <w:bCs/>
          <w:u w:val="single"/>
        </w:rPr>
        <w:t>Need</w:t>
      </w:r>
      <w:r w:rsidRPr="00CF2A4E" w:rsidR="00960321">
        <w:rPr>
          <w:rFonts w:ascii="Times New Roman" w:hAnsi="Times New Roman"/>
          <w:b/>
          <w:bCs/>
          <w:u w:val="single"/>
        </w:rPr>
        <w:t xml:space="preserve"> &amp; Method</w:t>
      </w:r>
      <w:r w:rsidRPr="00CF2A4E">
        <w:rPr>
          <w:rFonts w:ascii="Times New Roman" w:hAnsi="Times New Roman"/>
          <w:b/>
          <w:bCs/>
          <w:u w:val="single"/>
        </w:rPr>
        <w:t xml:space="preserve"> for the Information Collection</w:t>
      </w:r>
      <w:r w:rsidRPr="00CF2A4E" w:rsidR="00FB7D5B">
        <w:rPr>
          <w:rFonts w:ascii="Times New Roman" w:hAnsi="Times New Roman"/>
          <w:b/>
          <w:bCs/>
          <w:u w:val="single"/>
        </w:rPr>
        <w:t>.</w:t>
      </w:r>
      <w:r w:rsidRPr="00CF2A4E" w:rsidR="007C29F2">
        <w:rPr>
          <w:rFonts w:ascii="TimesNewRomanPSMT" w:hAnsi="TimesNewRomanPSMT" w:cs="TimesNewRomanPSMT"/>
          <w:b/>
          <w:bCs/>
          <w:szCs w:val="24"/>
        </w:rPr>
        <w:t xml:space="preserve"> </w:t>
      </w:r>
    </w:p>
    <w:p w:rsidR="00140127" w:rsidP="00140127" w14:paraId="4145537F" w14:textId="77777777">
      <w:pPr>
        <w:pStyle w:val="ListParagraph"/>
        <w:widowControl w:val="0"/>
        <w:tabs>
          <w:tab w:val="left" w:pos="360"/>
          <w:tab w:val="left" w:pos="630"/>
          <w:tab w:val="left" w:pos="720"/>
          <w:tab w:val="left" w:pos="1080"/>
        </w:tabs>
      </w:pPr>
    </w:p>
    <w:p w:rsidR="007C29F2" w:rsidRPr="007C29F2" w:rsidP="00CF2A4E" w14:paraId="5F5DD7C2" w14:textId="5591465D">
      <w:pPr>
        <w:pStyle w:val="ListParagraph"/>
        <w:widowControl w:val="0"/>
        <w:tabs>
          <w:tab w:val="left" w:pos="360"/>
          <w:tab w:val="left" w:pos="630"/>
          <w:tab w:val="left" w:pos="720"/>
          <w:tab w:val="left" w:pos="1080"/>
        </w:tabs>
      </w:pPr>
      <w:r w:rsidRPr="007C29F2">
        <w:t xml:space="preserve">Section 102(b)(1)(A) of the Magnuson-Moss Warranty Act (15 U.S.C. § 2301, </w:t>
      </w:r>
      <w:r w:rsidRPr="00140127">
        <w:rPr>
          <w:i/>
          <w:iCs/>
        </w:rPr>
        <w:t>et seq</w:t>
      </w:r>
      <w:r w:rsidRPr="007C29F2">
        <w:t>.)</w:t>
      </w:r>
      <w:r>
        <w:t xml:space="preserve"> </w:t>
      </w:r>
      <w:r w:rsidRPr="007C29F2">
        <w:t>directed the Commission to prescribe rules requiring that the terms of any written consumer</w:t>
      </w:r>
      <w:r>
        <w:t xml:space="preserve"> </w:t>
      </w:r>
      <w:r w:rsidRPr="007C29F2">
        <w:t>product warranty be made available to consumers prior to sale. On December 31, 1975, the</w:t>
      </w:r>
      <w:r>
        <w:t xml:space="preserve"> </w:t>
      </w:r>
      <w:r w:rsidRPr="007C29F2">
        <w:t>Commission issued Rule 702. The Rule requires that sellers make warranty texts available to</w:t>
      </w:r>
      <w:r>
        <w:t xml:space="preserve"> </w:t>
      </w:r>
      <w:r w:rsidRPr="007C29F2">
        <w:t>consumers for those consumer products that cost more than $15. Manufacturers must provide</w:t>
      </w:r>
      <w:r>
        <w:t xml:space="preserve"> </w:t>
      </w:r>
      <w:r w:rsidRPr="007C29F2">
        <w:t>materials sufficient for retailers to meet their obligations. The Rule also contains</w:t>
      </w:r>
      <w:r>
        <w:t xml:space="preserve"> </w:t>
      </w:r>
      <w:r w:rsidRPr="007C29F2">
        <w:t>requirements for disclosing the availability of warranty information for catalog and door-to</w:t>
      </w:r>
      <w:r>
        <w:t>-</w:t>
      </w:r>
      <w:r w:rsidRPr="007C29F2">
        <w:t>door</w:t>
      </w:r>
      <w:r>
        <w:t xml:space="preserve"> </w:t>
      </w:r>
      <w:r w:rsidRPr="007C29F2">
        <w:t>sales. The Rule imposes no recordkeeping or reporting requirements.</w:t>
      </w:r>
    </w:p>
    <w:p w:rsidR="007C29F2" w:rsidP="00CF2A4E" w14:paraId="488FA5F9" w14:textId="77777777">
      <w:pPr>
        <w:pStyle w:val="ListParagraph"/>
        <w:widowControl w:val="0"/>
        <w:tabs>
          <w:tab w:val="left" w:pos="360"/>
          <w:tab w:val="left" w:pos="630"/>
          <w:tab w:val="left" w:pos="720"/>
          <w:tab w:val="left" w:pos="1080"/>
        </w:tabs>
      </w:pPr>
    </w:p>
    <w:p w:rsidR="00FB7D5B" w:rsidP="00CF2A4E" w14:paraId="5E1BB01F" w14:textId="7EA828B7">
      <w:pPr>
        <w:pStyle w:val="ListParagraph"/>
        <w:widowControl w:val="0"/>
        <w:tabs>
          <w:tab w:val="left" w:pos="360"/>
          <w:tab w:val="left" w:pos="630"/>
          <w:tab w:val="left" w:pos="720"/>
          <w:tab w:val="left" w:pos="1080"/>
        </w:tabs>
        <w:rPr>
          <w:rFonts w:ascii="Times New Roman" w:hAnsi="Times New Roman"/>
          <w:u w:val="single"/>
        </w:rPr>
      </w:pPr>
      <w:r w:rsidRPr="007C29F2">
        <w:t>The Commission issued the Rule to provide consumers with the opportunity to</w:t>
      </w:r>
      <w:r>
        <w:t xml:space="preserve"> </w:t>
      </w:r>
      <w:r w:rsidRPr="007C29F2">
        <w:t xml:space="preserve">compare the warranty terms and conditions of competing products prior to purchase </w:t>
      </w:r>
      <w:r w:rsidRPr="007C29F2" w:rsidR="00A92CD3">
        <w:t>to</w:t>
      </w:r>
      <w:r w:rsidRPr="007C29F2">
        <w:t xml:space="preserve"> allow consumers to make informed purchasing decisions. In the absence of the opportunity</w:t>
      </w:r>
      <w:r>
        <w:t xml:space="preserve"> </w:t>
      </w:r>
      <w:r w:rsidRPr="007C29F2">
        <w:t>to review the warranty terms and conditions prior to purchase, consumers might purchase a</w:t>
      </w:r>
      <w:r>
        <w:t xml:space="preserve"> </w:t>
      </w:r>
      <w:r w:rsidRPr="007C29F2">
        <w:t>product based on the assumption that the product includes a comprehensive warranty when, in</w:t>
      </w:r>
      <w:r>
        <w:t xml:space="preserve"> </w:t>
      </w:r>
      <w:r w:rsidRPr="007C29F2">
        <w:t>fact, the warranty may provide less coverage than the warranties provided with other, similar</w:t>
      </w:r>
      <w:r>
        <w:t xml:space="preserve"> </w:t>
      </w:r>
      <w:r w:rsidRPr="007C29F2">
        <w:t>products. The Rule allows consumers to compare warranty information for different products</w:t>
      </w:r>
      <w:r>
        <w:t xml:space="preserve"> </w:t>
      </w:r>
      <w:r w:rsidRPr="007C29F2">
        <w:t>prior to purchase. Thus, the Rule enhances both informed purchasing decisions and</w:t>
      </w:r>
      <w:r>
        <w:t xml:space="preserve"> </w:t>
      </w:r>
      <w:r w:rsidRPr="007C29F2">
        <w:t>competition among warrantors.</w:t>
      </w:r>
    </w:p>
    <w:p w:rsidR="00FB7D5B" w:rsidRPr="00FB7D5B" w:rsidP="00CF2A4E" w14:paraId="4851B423" w14:textId="77777777">
      <w:pPr>
        <w:widowControl w:val="0"/>
        <w:tabs>
          <w:tab w:val="left" w:pos="360"/>
          <w:tab w:val="left" w:pos="630"/>
          <w:tab w:val="left" w:pos="720"/>
          <w:tab w:val="left" w:pos="1080"/>
        </w:tabs>
        <w:ind w:left="720"/>
        <w:rPr>
          <w:rFonts w:ascii="Times New Roman" w:hAnsi="Times New Roman"/>
          <w:u w:val="single"/>
        </w:rPr>
      </w:pPr>
    </w:p>
    <w:p w:rsidR="00140127" w:rsidRPr="00CF2A4E" w:rsidP="006F7E35" w14:paraId="6E461C43" w14:textId="77777777">
      <w:pPr>
        <w:pStyle w:val="ListParagraph"/>
        <w:numPr>
          <w:ilvl w:val="0"/>
          <w:numId w:val="32"/>
        </w:numPr>
        <w:overflowPunct/>
        <w:textAlignment w:val="auto"/>
        <w:rPr>
          <w:rFonts w:ascii="Times New Roman" w:hAnsi="Times New Roman"/>
          <w:b/>
          <w:bCs/>
          <w:u w:val="single"/>
        </w:rPr>
      </w:pPr>
      <w:r w:rsidRPr="00CF2A4E">
        <w:rPr>
          <w:rFonts w:ascii="Times New Roman" w:hAnsi="Times New Roman"/>
          <w:b/>
          <w:bCs/>
          <w:u w:val="single"/>
        </w:rPr>
        <w:t>Use of the Information</w:t>
      </w:r>
      <w:r w:rsidRPr="00CF2A4E" w:rsidR="00FB7D5B">
        <w:rPr>
          <w:rFonts w:ascii="Times New Roman" w:hAnsi="Times New Roman"/>
          <w:b/>
          <w:bCs/>
          <w:u w:val="single"/>
        </w:rPr>
        <w:t>.</w:t>
      </w:r>
      <w:r w:rsidRPr="00CF2A4E" w:rsidR="00390F87">
        <w:rPr>
          <w:b/>
          <w:bCs/>
        </w:rPr>
        <w:t xml:space="preserve"> </w:t>
      </w:r>
    </w:p>
    <w:p w:rsidR="00140127" w:rsidP="00140127" w14:paraId="21191007" w14:textId="77777777">
      <w:pPr>
        <w:pStyle w:val="ListParagraph"/>
        <w:overflowPunct/>
        <w:textAlignment w:val="auto"/>
        <w:rPr>
          <w:rFonts w:ascii="TimesNewRomanPSMT" w:hAnsi="TimesNewRomanPSMT" w:cs="TimesNewRomanPSMT"/>
          <w:szCs w:val="24"/>
        </w:rPr>
      </w:pPr>
    </w:p>
    <w:p w:rsidR="00D479C8" w:rsidRPr="00140127" w:rsidP="00CF2A4E" w14:paraId="7AF63F38" w14:textId="61C36C27">
      <w:pPr>
        <w:pStyle w:val="ListParagraph"/>
        <w:overflowPunct/>
        <w:textAlignment w:val="auto"/>
        <w:rPr>
          <w:rFonts w:ascii="Times New Roman" w:hAnsi="Times New Roman"/>
          <w:u w:val="single"/>
        </w:rPr>
      </w:pPr>
      <w:r w:rsidRPr="00140127">
        <w:rPr>
          <w:rFonts w:ascii="TimesNewRomanPSMT" w:hAnsi="TimesNewRomanPSMT" w:cs="TimesNewRomanPSMT"/>
          <w:szCs w:val="24"/>
        </w:rPr>
        <w:t xml:space="preserve">Congress mandated that retailers make warranty information available to consumers before they purchase a product. The warranty terms are part of the consumer’s contract with the seller. Rule 702 does not require that a manufacturer provide a written warranty nor does it mandate any warranty terms. However, if the manufacturer chooses to provide a written warranty, the terms of that warranty must be made available to consumers before they buy the product. Thus, Rule 702 enables consumers to understand the </w:t>
      </w:r>
      <w:r w:rsidRPr="00140127">
        <w:rPr>
          <w:rFonts w:ascii="TimesNewRomanPSMT" w:hAnsi="TimesNewRomanPSMT" w:cs="TimesNewRomanPSMT"/>
          <w:szCs w:val="24"/>
        </w:rPr>
        <w:t>coverage provided by the warranty and to compare warranties for similar products before making a purchase decision.</w:t>
      </w:r>
    </w:p>
    <w:p w:rsidR="00500D46" w:rsidP="00CF2A4E" w14:paraId="0A6DC8DB" w14:textId="77777777">
      <w:pPr>
        <w:widowControl w:val="0"/>
        <w:tabs>
          <w:tab w:val="left" w:pos="360"/>
          <w:tab w:val="left" w:pos="630"/>
          <w:tab w:val="left" w:pos="720"/>
          <w:tab w:val="left" w:pos="1080"/>
        </w:tabs>
        <w:ind w:left="720"/>
        <w:rPr>
          <w:rFonts w:ascii="Times New Roman" w:hAnsi="Times New Roman"/>
          <w:u w:val="single"/>
        </w:rPr>
      </w:pPr>
    </w:p>
    <w:p w:rsidR="00140127" w:rsidRPr="00CF2A4E" w:rsidP="006F7E35" w14:paraId="1621C50E" w14:textId="77777777">
      <w:pPr>
        <w:pStyle w:val="ListParagraph"/>
        <w:widowControl w:val="0"/>
        <w:numPr>
          <w:ilvl w:val="0"/>
          <w:numId w:val="32"/>
        </w:numPr>
        <w:tabs>
          <w:tab w:val="left" w:pos="360"/>
          <w:tab w:val="left" w:pos="720"/>
          <w:tab w:val="left" w:pos="1080"/>
        </w:tabs>
        <w:rPr>
          <w:b/>
        </w:rPr>
      </w:pPr>
      <w:r w:rsidRPr="00CF2A4E">
        <w:rPr>
          <w:rFonts w:ascii="Times New Roman" w:hAnsi="Times New Roman"/>
          <w:b/>
          <w:u w:val="single"/>
        </w:rPr>
        <w:t>Use of Information Technology</w:t>
      </w:r>
      <w:r w:rsidRPr="00CF2A4E" w:rsidR="00B460D3">
        <w:rPr>
          <w:rFonts w:ascii="Times New Roman" w:hAnsi="Times New Roman"/>
          <w:b/>
          <w:u w:val="single"/>
        </w:rPr>
        <w:t>.</w:t>
      </w:r>
      <w:r w:rsidRPr="00CF2A4E" w:rsidR="00B460D3">
        <w:rPr>
          <w:rFonts w:ascii="Times New Roman" w:hAnsi="Times New Roman"/>
          <w:b/>
        </w:rPr>
        <w:t xml:space="preserve"> </w:t>
      </w:r>
    </w:p>
    <w:p w:rsidR="00140127" w:rsidP="00140127" w14:paraId="2891661B" w14:textId="77777777">
      <w:pPr>
        <w:pStyle w:val="ListParagraph"/>
      </w:pPr>
    </w:p>
    <w:p w:rsidR="006F7E35" w:rsidRPr="006F7E35" w:rsidP="00CF2A4E" w14:paraId="7FF15744" w14:textId="381198DA">
      <w:pPr>
        <w:pStyle w:val="ListParagraph"/>
        <w:widowControl w:val="0"/>
        <w:tabs>
          <w:tab w:val="left" w:pos="360"/>
          <w:tab w:val="left" w:pos="720"/>
          <w:tab w:val="left" w:pos="1080"/>
        </w:tabs>
      </w:pPr>
      <w:r w:rsidRPr="006F7E35">
        <w:t>Since the Rule’s promulgation, technological changes have transformed the ways</w:t>
      </w:r>
      <w:r>
        <w:t xml:space="preserve"> </w:t>
      </w:r>
      <w:r w:rsidRPr="006F7E35">
        <w:t>businesses make information available to consumers. While some retailers continue to</w:t>
      </w:r>
      <w:r>
        <w:t xml:space="preserve"> </w:t>
      </w:r>
      <w:r w:rsidRPr="006F7E35">
        <w:t>provide consumers with hard copies of written materials, others make warranties available</w:t>
      </w:r>
      <w:r>
        <w:t xml:space="preserve"> </w:t>
      </w:r>
      <w:r w:rsidRPr="006F7E35">
        <w:t>prior to purchase via electronic media. Electronic distribution of warranty materials saves</w:t>
      </w:r>
      <w:r>
        <w:t xml:space="preserve"> </w:t>
      </w:r>
      <w:r w:rsidRPr="006F7E35">
        <w:t>paper and frees up store personnel to handle other customer service functions.</w:t>
      </w:r>
    </w:p>
    <w:p w:rsidR="006F7E35" w:rsidP="00CF2A4E" w14:paraId="3ADF349D" w14:textId="77777777">
      <w:pPr>
        <w:widowControl w:val="0"/>
        <w:tabs>
          <w:tab w:val="left" w:pos="360"/>
          <w:tab w:val="left" w:pos="720"/>
          <w:tab w:val="left" w:pos="1080"/>
        </w:tabs>
        <w:ind w:left="720"/>
      </w:pPr>
    </w:p>
    <w:p w:rsidR="00B460D3" w:rsidRPr="006F7E35" w:rsidP="00CF2A4E" w14:paraId="057B5D91" w14:textId="2ABDDF0A">
      <w:pPr>
        <w:widowControl w:val="0"/>
        <w:tabs>
          <w:tab w:val="left" w:pos="360"/>
          <w:tab w:val="left" w:pos="720"/>
          <w:tab w:val="left" w:pos="1080"/>
        </w:tabs>
        <w:ind w:left="720"/>
      </w:pPr>
      <w:r w:rsidRPr="006F7E35">
        <w:t>In September 2016, the FTC approved amendments to Rule 702, which became</w:t>
      </w:r>
      <w:r>
        <w:t xml:space="preserve"> </w:t>
      </w:r>
      <w:r w:rsidRPr="006F7E35">
        <w:t>effective on October 12, 2016. Under the amendments, warrantors may display warranty</w:t>
      </w:r>
      <w:r>
        <w:t xml:space="preserve"> </w:t>
      </w:r>
      <w:r w:rsidRPr="006F7E35">
        <w:t>terms online and provide information to consumers to obtain those terms via non-Internet</w:t>
      </w:r>
      <w:r>
        <w:t xml:space="preserve"> </w:t>
      </w:r>
      <w:r w:rsidRPr="006F7E35">
        <w:t>means. The amendments also allow sellers to provide pre-sale warranty terms electronically</w:t>
      </w:r>
      <w:r>
        <w:t xml:space="preserve"> </w:t>
      </w:r>
      <w:r w:rsidRPr="006F7E35">
        <w:t>or conventionally if the warrantor has chosen to display its warranty terms online. 81 Fed.</w:t>
      </w:r>
      <w:r>
        <w:t xml:space="preserve"> </w:t>
      </w:r>
      <w:r w:rsidRPr="006F7E35">
        <w:t>Reg. 63,664 (Sept. 15, 2016).</w:t>
      </w:r>
    </w:p>
    <w:p w:rsidR="00140127" w:rsidRPr="00CF2A4E" w:rsidP="006F7E35" w14:paraId="0CA9C01B" w14:textId="77777777">
      <w:pPr>
        <w:pStyle w:val="NormalWeb"/>
        <w:widowControl w:val="0"/>
        <w:numPr>
          <w:ilvl w:val="0"/>
          <w:numId w:val="32"/>
        </w:numPr>
        <w:tabs>
          <w:tab w:val="left" w:pos="360"/>
          <w:tab w:val="left" w:pos="720"/>
          <w:tab w:val="left" w:pos="1080"/>
          <w:tab w:val="left" w:pos="1440"/>
        </w:tabs>
        <w:rPr>
          <w:b/>
          <w:bCs/>
        </w:rPr>
      </w:pPr>
      <w:r w:rsidRPr="00CF2A4E">
        <w:rPr>
          <w:b/>
          <w:bCs/>
          <w:u w:val="single"/>
        </w:rPr>
        <w:t>Non-duplication</w:t>
      </w:r>
      <w:r w:rsidRPr="00CF2A4E" w:rsidR="00BE696E">
        <w:rPr>
          <w:b/>
          <w:bCs/>
          <w:u w:val="single"/>
        </w:rPr>
        <w:t>.</w:t>
      </w:r>
      <w:r w:rsidRPr="00CF2A4E" w:rsidR="00BE696E">
        <w:rPr>
          <w:b/>
          <w:bCs/>
        </w:rPr>
        <w:t xml:space="preserve"> </w:t>
      </w:r>
    </w:p>
    <w:p w:rsidR="006F7E35" w:rsidRPr="006F7E35" w:rsidP="00140127" w14:paraId="75D5449F" w14:textId="7E0ADF72">
      <w:pPr>
        <w:pStyle w:val="NormalWeb"/>
        <w:widowControl w:val="0"/>
        <w:tabs>
          <w:tab w:val="left" w:pos="360"/>
          <w:tab w:val="left" w:pos="720"/>
          <w:tab w:val="left" w:pos="1080"/>
          <w:tab w:val="left" w:pos="1440"/>
        </w:tabs>
        <w:ind w:left="720"/>
      </w:pPr>
      <w:r w:rsidRPr="006F7E35">
        <w:t>Staff is not aware of any other statute or regulation of nationwide applicability that</w:t>
      </w:r>
      <w:r>
        <w:t xml:space="preserve"> </w:t>
      </w:r>
      <w:r w:rsidRPr="006F7E35">
        <w:t>requires the pre-sale disclosure of warranty terms for all consumer products. Since the</w:t>
      </w:r>
      <w:r>
        <w:t xml:space="preserve"> </w:t>
      </w:r>
      <w:r w:rsidRPr="006F7E35">
        <w:t>information required by Rule 702 is not available elsewhere, there are no alternative sources of</w:t>
      </w:r>
      <w:r>
        <w:t xml:space="preserve"> </w:t>
      </w:r>
      <w:r w:rsidRPr="006F7E35">
        <w:t>complete warranty information prior to sale.</w:t>
      </w:r>
    </w:p>
    <w:p w:rsidR="00140127" w:rsidRPr="00CF2A4E" w:rsidP="006F7E35" w14:paraId="13B89B04" w14:textId="77777777">
      <w:pPr>
        <w:pStyle w:val="ListParagraph"/>
        <w:numPr>
          <w:ilvl w:val="0"/>
          <w:numId w:val="32"/>
        </w:numPr>
        <w:overflowPunct/>
        <w:textAlignment w:val="auto"/>
        <w:rPr>
          <w:rFonts w:ascii="TimesNewRomanPSMT" w:hAnsi="TimesNewRomanPSMT" w:cs="TimesNewRomanPSMT"/>
          <w:b/>
          <w:bCs/>
          <w:szCs w:val="24"/>
        </w:rPr>
      </w:pPr>
      <w:r w:rsidRPr="00CF2A4E">
        <w:rPr>
          <w:b/>
          <w:bCs/>
          <w:u w:val="single"/>
        </w:rPr>
        <w:t>Burden on Small Business</w:t>
      </w:r>
      <w:r w:rsidRPr="00CF2A4E" w:rsidR="00BE696E">
        <w:rPr>
          <w:b/>
          <w:bCs/>
          <w:u w:val="single"/>
        </w:rPr>
        <w:t>.</w:t>
      </w:r>
      <w:r w:rsidRPr="00CF2A4E" w:rsidR="00BE696E">
        <w:rPr>
          <w:b/>
          <w:bCs/>
        </w:rPr>
        <w:t xml:space="preserve"> </w:t>
      </w:r>
    </w:p>
    <w:p w:rsidR="00140127" w:rsidP="00140127" w14:paraId="28EB50FD" w14:textId="77777777">
      <w:pPr>
        <w:pStyle w:val="ListParagraph"/>
        <w:overflowPunct/>
        <w:textAlignment w:val="auto"/>
        <w:rPr>
          <w:rFonts w:ascii="TimesNewRomanPSMT" w:hAnsi="TimesNewRomanPSMT" w:cs="TimesNewRomanPSMT"/>
          <w:szCs w:val="24"/>
        </w:rPr>
      </w:pPr>
    </w:p>
    <w:p w:rsidR="006F7E35" w:rsidRPr="00140127" w:rsidP="00140127" w14:paraId="02F80178" w14:textId="01F4D711">
      <w:pPr>
        <w:pStyle w:val="ListParagraph"/>
        <w:overflowPunct/>
        <w:textAlignment w:val="auto"/>
        <w:rPr>
          <w:rFonts w:ascii="TimesNewRomanPSMT" w:hAnsi="TimesNewRomanPSMT" w:cs="TimesNewRomanPSMT"/>
          <w:szCs w:val="24"/>
        </w:rPr>
      </w:pPr>
      <w:r w:rsidRPr="00140127">
        <w:rPr>
          <w:rFonts w:ascii="TimesNewRomanPSMT" w:hAnsi="TimesNewRomanPSMT" w:cs="TimesNewRomanPSMT"/>
          <w:szCs w:val="24"/>
        </w:rPr>
        <w:t>The Congressional mandate requiring this Rule does not allow for a distinction between small and large businesses. Consumers have the right to see the warranty prior to purchase regardless of the size of the store. The costs and inconvenience caused by the Rule appear to be small for both large and small retailers, as well as for manufacturers. Nevertheless, the 2016 amendments to the Rule (see answer to specification #3 above) regarding the provision of warranties in electronic formats gives all warrantors, including small businesses, more flexibility and cost-savings with respect to warranties.</w:t>
      </w:r>
    </w:p>
    <w:p w:rsidR="006F7E35" w:rsidRPr="006F7E35" w:rsidP="006F7E35" w14:paraId="2E742DEC" w14:textId="77777777">
      <w:pPr>
        <w:pStyle w:val="ListParagraph"/>
        <w:overflowPunct/>
        <w:textAlignment w:val="auto"/>
        <w:rPr>
          <w:rFonts w:ascii="TimesNewRomanPSMT" w:hAnsi="TimesNewRomanPSMT" w:cs="TimesNewRomanPSMT"/>
          <w:szCs w:val="24"/>
        </w:rPr>
      </w:pPr>
    </w:p>
    <w:p w:rsidR="00140127" w:rsidRPr="00CF2A4E" w:rsidP="006F7E35" w14:paraId="28DFB65C" w14:textId="77777777">
      <w:pPr>
        <w:pStyle w:val="ListParagraph"/>
        <w:widowControl w:val="0"/>
        <w:numPr>
          <w:ilvl w:val="0"/>
          <w:numId w:val="32"/>
        </w:numPr>
        <w:overflowPunct/>
        <w:textAlignment w:val="auto"/>
        <w:rPr>
          <w:rFonts w:ascii="Times New Roman" w:hAnsi="Times New Roman"/>
          <w:b/>
          <w:bCs/>
          <w:u w:val="single"/>
        </w:rPr>
      </w:pPr>
      <w:r w:rsidRPr="00CF2A4E">
        <w:rPr>
          <w:rFonts w:ascii="Times New Roman" w:hAnsi="Times New Roman"/>
          <w:b/>
          <w:bCs/>
          <w:u w:val="single"/>
        </w:rPr>
        <w:t>Less Frequent Collection</w:t>
      </w:r>
      <w:r w:rsidRPr="00CF2A4E" w:rsidR="00BB5AB7">
        <w:rPr>
          <w:rFonts w:ascii="Times New Roman" w:hAnsi="Times New Roman"/>
          <w:b/>
          <w:bCs/>
          <w:u w:val="single"/>
        </w:rPr>
        <w:t>.</w:t>
      </w:r>
      <w:r w:rsidRPr="00CF2A4E" w:rsidR="00BB5AB7">
        <w:rPr>
          <w:rFonts w:ascii="Times New Roman" w:hAnsi="Times New Roman"/>
          <w:b/>
          <w:bCs/>
        </w:rPr>
        <w:t xml:space="preserve"> </w:t>
      </w:r>
    </w:p>
    <w:p w:rsidR="00140127" w:rsidP="00140127" w14:paraId="2963B101" w14:textId="77777777">
      <w:pPr>
        <w:pStyle w:val="ListParagraph"/>
      </w:pPr>
    </w:p>
    <w:p w:rsidR="00F359F8" w:rsidRPr="006F7E35" w:rsidP="00140127" w14:paraId="388B8B91" w14:textId="5D5F3777">
      <w:pPr>
        <w:pStyle w:val="ListParagraph"/>
        <w:widowControl w:val="0"/>
        <w:overflowPunct/>
        <w:textAlignment w:val="auto"/>
        <w:rPr>
          <w:rFonts w:ascii="Times New Roman" w:hAnsi="Times New Roman"/>
          <w:u w:val="single"/>
        </w:rPr>
      </w:pPr>
      <w:r w:rsidRPr="006F7E35">
        <w:t>Less disclosure would defeat the Congressional intent and objective of the Rule. If</w:t>
      </w:r>
      <w:r w:rsidRPr="006F7E35">
        <w:rPr>
          <w:rFonts w:ascii="TimesNewRomanPSMT" w:hAnsi="TimesNewRomanPSMT" w:cs="TimesNewRomanPSMT"/>
          <w:szCs w:val="24"/>
        </w:rPr>
        <w:t xml:space="preserve"> </w:t>
      </w:r>
      <w:r w:rsidRPr="006F7E35">
        <w:t xml:space="preserve">retailers do not </w:t>
      </w:r>
      <w:r w:rsidRPr="006F7E35">
        <w:t>provide to consumers the terms of</w:t>
      </w:r>
      <w:r w:rsidRPr="006F7E35">
        <w:t xml:space="preserve"> a warranty before they purchase a product,</w:t>
      </w:r>
      <w:r>
        <w:t xml:space="preserve"> </w:t>
      </w:r>
      <w:r w:rsidRPr="006F7E35">
        <w:t>consumers lack important information about their warranty rights before making purchase</w:t>
      </w:r>
      <w:r>
        <w:t xml:space="preserve"> </w:t>
      </w:r>
      <w:r w:rsidRPr="006F7E35">
        <w:t>decisions.</w:t>
      </w:r>
    </w:p>
    <w:p w:rsidR="00BB5AB7" w:rsidP="00F92988" w14:paraId="58FC65EE" w14:textId="37C8415B">
      <w:pPr>
        <w:widowControl w:val="0"/>
        <w:tabs>
          <w:tab w:val="left" w:pos="360"/>
          <w:tab w:val="left" w:pos="720"/>
          <w:tab w:val="left" w:pos="1080"/>
        </w:tabs>
        <w:rPr>
          <w:rFonts w:ascii="Times New Roman" w:hAnsi="Times New Roman"/>
          <w:u w:val="single"/>
        </w:rPr>
      </w:pPr>
    </w:p>
    <w:p w:rsidR="00140127" w:rsidRPr="00CF2A4E" w:rsidP="006F7E35" w14:paraId="5F63D60F" w14:textId="77777777">
      <w:pPr>
        <w:pStyle w:val="ListParagraph"/>
        <w:widowControl w:val="0"/>
        <w:numPr>
          <w:ilvl w:val="0"/>
          <w:numId w:val="32"/>
        </w:numPr>
        <w:tabs>
          <w:tab w:val="left" w:pos="360"/>
          <w:tab w:val="left" w:pos="720"/>
          <w:tab w:val="left" w:pos="1080"/>
          <w:tab w:val="left" w:pos="1440"/>
        </w:tabs>
        <w:overflowPunct/>
        <w:textAlignment w:val="auto"/>
        <w:rPr>
          <w:b/>
          <w:bCs/>
        </w:rPr>
      </w:pPr>
      <w:r w:rsidRPr="00CF2A4E">
        <w:rPr>
          <w:b/>
          <w:bCs/>
          <w:u w:val="single"/>
        </w:rPr>
        <w:t>Paperwork Reduction Act Guidelines</w:t>
      </w:r>
      <w:r w:rsidRPr="00CF2A4E" w:rsidR="00BB5AB7">
        <w:rPr>
          <w:b/>
          <w:bCs/>
          <w:u w:val="single"/>
        </w:rPr>
        <w:t>.</w:t>
      </w:r>
      <w:r w:rsidRPr="00CF2A4E" w:rsidR="00BB5AB7">
        <w:rPr>
          <w:b/>
          <w:bCs/>
        </w:rPr>
        <w:t xml:space="preserve"> </w:t>
      </w:r>
    </w:p>
    <w:p w:rsidR="00140127" w:rsidRPr="00140127" w:rsidP="00140127" w14:paraId="1417E41B" w14:textId="77777777">
      <w:pPr>
        <w:pStyle w:val="ListParagraph"/>
        <w:rPr>
          <w:rFonts w:ascii="TimesNewRomanPSMT" w:hAnsi="TimesNewRomanPSMT" w:cs="TimesNewRomanPSMT"/>
          <w:szCs w:val="24"/>
        </w:rPr>
      </w:pPr>
    </w:p>
    <w:p w:rsidR="00BB5AB7" w:rsidP="00140127" w14:paraId="7725A00B" w14:textId="4A133EFA">
      <w:pPr>
        <w:pStyle w:val="ListParagraph"/>
        <w:widowControl w:val="0"/>
        <w:tabs>
          <w:tab w:val="left" w:pos="360"/>
          <w:tab w:val="left" w:pos="720"/>
          <w:tab w:val="left" w:pos="1080"/>
          <w:tab w:val="left" w:pos="1440"/>
        </w:tabs>
        <w:overflowPunct/>
        <w:textAlignment w:val="auto"/>
      </w:pPr>
      <w:r w:rsidRPr="006F7E35">
        <w:rPr>
          <w:rFonts w:ascii="TimesNewRomanPSMT" w:hAnsi="TimesNewRomanPSMT" w:cs="TimesNewRomanPSMT"/>
          <w:szCs w:val="24"/>
        </w:rPr>
        <w:t xml:space="preserve">Not applicable. There are no recordkeeping or submission requirements contained in the </w:t>
      </w:r>
      <w:r w:rsidRPr="006F7E35">
        <w:rPr>
          <w:rFonts w:ascii="TimesNewRomanPSMT" w:hAnsi="TimesNewRomanPSMT" w:cs="TimesNewRomanPSMT"/>
          <w:szCs w:val="24"/>
        </w:rPr>
        <w:t>Rule. Therefore, there are no special circumstances involving collection of information that can be made more frequently, for longer periods of time, or in greater quantities than guidelines permit. Similarly, there are no issues involving statistical surveys or the use of statistical data classifications. The disclosure information required by the Rule is consistent with all applicable guidelines contained in 5 C.F.R. § 1320.5(d)(2).</w:t>
      </w:r>
    </w:p>
    <w:p w:rsidR="00BB5AB7" w:rsidRPr="00505E03" w:rsidP="00F92988" w14:paraId="4BD890C3" w14:textId="77777777">
      <w:pPr>
        <w:pStyle w:val="NormalWeb"/>
        <w:widowControl w:val="0"/>
        <w:tabs>
          <w:tab w:val="left" w:pos="360"/>
          <w:tab w:val="left" w:pos="720"/>
          <w:tab w:val="left" w:pos="1080"/>
          <w:tab w:val="left" w:pos="1440"/>
        </w:tabs>
        <w:spacing w:before="0" w:beforeAutospacing="0" w:after="0" w:afterAutospacing="0"/>
      </w:pPr>
    </w:p>
    <w:p w:rsidR="006F7E35" w:rsidRPr="00CF2A4E" w:rsidP="006F7E35" w14:paraId="5036C88F" w14:textId="18202095">
      <w:pPr>
        <w:pStyle w:val="ListParagraph"/>
        <w:numPr>
          <w:ilvl w:val="0"/>
          <w:numId w:val="32"/>
        </w:numPr>
        <w:overflowPunct/>
        <w:textAlignment w:val="auto"/>
        <w:rPr>
          <w:b/>
          <w:bCs/>
          <w:u w:val="single"/>
        </w:rPr>
      </w:pPr>
      <w:r w:rsidRPr="00CF2A4E">
        <w:rPr>
          <w:b/>
          <w:bCs/>
          <w:u w:val="single"/>
        </w:rPr>
        <w:t>Consultation and Public Comments</w:t>
      </w:r>
      <w:r w:rsidRPr="00CF2A4E" w:rsidR="008F1CB1">
        <w:rPr>
          <w:b/>
          <w:bCs/>
          <w:u w:val="single"/>
        </w:rPr>
        <w:t xml:space="preserve">. </w:t>
      </w:r>
    </w:p>
    <w:p w:rsidR="006F7E35" w:rsidP="006F7E35" w14:paraId="1DB75018" w14:textId="77777777">
      <w:pPr>
        <w:overflowPunct/>
        <w:textAlignment w:val="auto"/>
        <w:rPr>
          <w:rFonts w:ascii="TimesNewRomanPS-BoldMT" w:hAnsi="TimesNewRomanPS-BoldMT" w:cs="TimesNewRomanPS-BoldMT"/>
          <w:szCs w:val="24"/>
        </w:rPr>
      </w:pPr>
    </w:p>
    <w:p w:rsidR="006F7E35" w:rsidRPr="006F7E35" w:rsidP="006F7E35" w14:paraId="61C2B033" w14:textId="2C24E022">
      <w:pPr>
        <w:overflowPunct/>
        <w:ind w:firstLine="720"/>
        <w:textAlignment w:val="auto"/>
        <w:rPr>
          <w:rFonts w:ascii="TimesNewRomanPS-BoldMT" w:hAnsi="TimesNewRomanPS-BoldMT" w:cs="TimesNewRomanPS-BoldMT"/>
          <w:szCs w:val="24"/>
        </w:rPr>
      </w:pPr>
      <w:r w:rsidRPr="006F7E35">
        <w:rPr>
          <w:rFonts w:ascii="TimesNewRomanPS-BoldMT" w:hAnsi="TimesNewRomanPS-BoldMT" w:cs="TimesNewRomanPS-BoldMT"/>
          <w:szCs w:val="24"/>
        </w:rPr>
        <w:t>(a) Public comments</w:t>
      </w:r>
    </w:p>
    <w:p w:rsidR="006F7E35" w:rsidP="006F7E35" w14:paraId="6F730F75" w14:textId="77777777">
      <w:pPr>
        <w:overflowPunct/>
        <w:textAlignment w:val="auto"/>
        <w:rPr>
          <w:rFonts w:ascii="TimesNewRomanPSMT" w:hAnsi="TimesNewRomanPSMT" w:cs="TimesNewRomanPSMT"/>
          <w:szCs w:val="24"/>
        </w:rPr>
      </w:pPr>
    </w:p>
    <w:p w:rsidR="006F7E35" w:rsidP="006F7E35" w14:paraId="3964BB0D" w14:textId="3A18CD45">
      <w:pPr>
        <w:overflowPunct/>
        <w:ind w:left="720"/>
        <w:textAlignment w:val="auto"/>
        <w:rPr>
          <w:rFonts w:ascii="TimesNewRomanPSMT" w:hAnsi="TimesNewRomanPSMT" w:cs="TimesNewRomanPSMT"/>
          <w:szCs w:val="24"/>
        </w:rPr>
      </w:pPr>
      <w:r>
        <w:rPr>
          <w:rFonts w:ascii="TimesNewRomanPSMT" w:hAnsi="TimesNewRomanPSMT" w:cs="TimesNewRomanPSMT"/>
          <w:szCs w:val="24"/>
        </w:rPr>
        <w:t xml:space="preserve">As a prelude to this request, the Commission sought public comment. </w:t>
      </w:r>
      <w:r>
        <w:rPr>
          <w:rFonts w:ascii="TimesNewRomanPS-ItalicMT" w:hAnsi="TimesNewRomanPS-ItalicMT" w:cs="TimesNewRomanPS-ItalicMT"/>
          <w:i/>
          <w:iCs/>
          <w:szCs w:val="24"/>
        </w:rPr>
        <w:t xml:space="preserve">See </w:t>
      </w:r>
      <w:r w:rsidR="007C1B81">
        <w:rPr>
          <w:rFonts w:ascii="TimesNewRomanPSMT" w:hAnsi="TimesNewRomanPSMT" w:cs="TimesNewRomanPSMT"/>
          <w:szCs w:val="24"/>
        </w:rPr>
        <w:t>91</w:t>
      </w:r>
      <w:r>
        <w:rPr>
          <w:rFonts w:ascii="TimesNewRomanPSMT" w:hAnsi="TimesNewRomanPSMT" w:cs="TimesNewRomanPSMT"/>
          <w:szCs w:val="24"/>
        </w:rPr>
        <w:t xml:space="preserve"> Fed. Reg. </w:t>
      </w:r>
      <w:r w:rsidR="00B37E54">
        <w:rPr>
          <w:rFonts w:ascii="TimesNewRomanPSMT" w:hAnsi="TimesNewRomanPSMT" w:cs="TimesNewRomanPSMT"/>
          <w:szCs w:val="24"/>
        </w:rPr>
        <w:t>15</w:t>
      </w:r>
      <w:r w:rsidR="007C15B9">
        <w:rPr>
          <w:rFonts w:ascii="TimesNewRomanPSMT" w:hAnsi="TimesNewRomanPSMT" w:cs="TimesNewRomanPSMT"/>
          <w:szCs w:val="24"/>
        </w:rPr>
        <w:t>,616</w:t>
      </w:r>
      <w:r>
        <w:rPr>
          <w:rFonts w:ascii="TimesNewRomanPSMT" w:hAnsi="TimesNewRomanPSMT" w:cs="TimesNewRomanPSMT"/>
          <w:szCs w:val="24"/>
        </w:rPr>
        <w:t xml:space="preserve"> (</w:t>
      </w:r>
      <w:r w:rsidR="007C15B9">
        <w:rPr>
          <w:rFonts w:ascii="TimesNewRomanPSMT" w:hAnsi="TimesNewRomanPSMT" w:cs="TimesNewRomanPSMT"/>
          <w:szCs w:val="24"/>
        </w:rPr>
        <w:t>March</w:t>
      </w:r>
      <w:r w:rsidR="00B55352">
        <w:rPr>
          <w:rFonts w:ascii="TimesNewRomanPSMT" w:hAnsi="TimesNewRomanPSMT" w:cs="TimesNewRomanPSMT"/>
          <w:szCs w:val="24"/>
        </w:rPr>
        <w:t xml:space="preserve"> 30, 2026</w:t>
      </w:r>
      <w:r>
        <w:rPr>
          <w:rFonts w:ascii="TimesNewRomanPSMT" w:hAnsi="TimesNewRomanPSMT" w:cs="TimesNewRomanPSMT"/>
          <w:szCs w:val="24"/>
        </w:rPr>
        <w:t>). No germane comments were received. Pursuant to the OMB regulations that implement the PRA (5 C.F.R. §1320), the Commission is providing a second opportunity for public comment while seeking OMB approval to extend the existing paperwork clearance for the Rule.</w:t>
      </w:r>
    </w:p>
    <w:p w:rsidR="006F7E35" w:rsidP="006F7E35" w14:paraId="7A426D48" w14:textId="77777777">
      <w:pPr>
        <w:overflowPunct/>
        <w:ind w:left="720"/>
        <w:textAlignment w:val="auto"/>
        <w:rPr>
          <w:rFonts w:ascii="TimesNewRomanPSMT" w:hAnsi="TimesNewRomanPSMT" w:cs="TimesNewRomanPSMT"/>
          <w:szCs w:val="24"/>
        </w:rPr>
      </w:pPr>
    </w:p>
    <w:p w:rsidR="006F7E35" w:rsidP="006F7E35" w14:paraId="6868ABF9" w14:textId="77777777">
      <w:pPr>
        <w:overflowPunct/>
        <w:ind w:firstLine="720"/>
        <w:textAlignment w:val="auto"/>
        <w:rPr>
          <w:rFonts w:ascii="TimesNewRomanPS-BoldMT" w:hAnsi="TimesNewRomanPS-BoldMT" w:cs="TimesNewRomanPS-BoldMT"/>
          <w:szCs w:val="24"/>
        </w:rPr>
      </w:pPr>
      <w:r w:rsidRPr="006F7E35">
        <w:rPr>
          <w:rFonts w:ascii="TimesNewRomanPS-BoldMT" w:hAnsi="TimesNewRomanPS-BoldMT" w:cs="TimesNewRomanPS-BoldMT"/>
          <w:szCs w:val="24"/>
        </w:rPr>
        <w:t>(b) Consultation Outside of the Agency</w:t>
      </w:r>
    </w:p>
    <w:p w:rsidR="006F7E35" w:rsidRPr="006F7E35" w:rsidP="006F7E35" w14:paraId="75190284" w14:textId="77777777">
      <w:pPr>
        <w:overflowPunct/>
        <w:ind w:firstLine="720"/>
        <w:textAlignment w:val="auto"/>
        <w:rPr>
          <w:rFonts w:ascii="TimesNewRomanPS-BoldMT" w:hAnsi="TimesNewRomanPS-BoldMT" w:cs="TimesNewRomanPS-BoldMT"/>
          <w:szCs w:val="24"/>
        </w:rPr>
      </w:pPr>
    </w:p>
    <w:p w:rsidR="006F7E35" w:rsidP="006F7E35" w14:paraId="28D8FCC7" w14:textId="37E20B46">
      <w:pPr>
        <w:overflowPunct/>
        <w:ind w:left="720"/>
        <w:textAlignment w:val="auto"/>
        <w:rPr>
          <w:rFonts w:ascii="TimesNewRomanPSMT" w:hAnsi="TimesNewRomanPSMT" w:cs="TimesNewRomanPSMT"/>
          <w:szCs w:val="24"/>
        </w:rPr>
      </w:pPr>
      <w:r>
        <w:rPr>
          <w:rFonts w:ascii="TimesNewRomanPSMT" w:hAnsi="TimesNewRomanPSMT" w:cs="TimesNewRomanPSMT"/>
          <w:szCs w:val="24"/>
        </w:rPr>
        <w:t>As part of its periodic review of all Commission rules and guides, the Commission solicited public comments on August 23, 2011, about the costs and benefits of all Rules promulgated under the Magnuson-Moss Act, including Rule 702, as well as the regulatory and economic impacts. 76 Fed. Reg. 52,596. During the review, 29 organizations submitted comments, including industry, trade associations, and consumer groups.</w:t>
      </w:r>
    </w:p>
    <w:p w:rsidR="006F7E35" w:rsidP="006F7E35" w14:paraId="5F74997D" w14:textId="77777777">
      <w:pPr>
        <w:overflowPunct/>
        <w:ind w:firstLine="720"/>
        <w:textAlignment w:val="auto"/>
        <w:rPr>
          <w:rFonts w:ascii="TimesNewRomanPSMT" w:hAnsi="TimesNewRomanPSMT" w:cs="TimesNewRomanPSMT"/>
          <w:szCs w:val="24"/>
        </w:rPr>
      </w:pPr>
    </w:p>
    <w:p w:rsidR="008F1CB1" w:rsidP="006F7E35" w14:paraId="21072DD3" w14:textId="64879346">
      <w:pPr>
        <w:overflowPunct/>
        <w:ind w:left="720"/>
        <w:textAlignment w:val="auto"/>
      </w:pPr>
      <w:r>
        <w:rPr>
          <w:rFonts w:ascii="TimesNewRomanPSMT" w:hAnsi="TimesNewRomanPSMT" w:cs="TimesNewRomanPSMT"/>
          <w:szCs w:val="24"/>
        </w:rPr>
        <w:t>As discussed above, in September 2016, the FTC approved amendments to the Pre-</w:t>
      </w:r>
      <w:r w:rsidR="00A94286">
        <w:rPr>
          <w:rFonts w:ascii="TimesNewRomanPSMT" w:hAnsi="TimesNewRomanPSMT" w:cs="TimesNewRomanPSMT"/>
          <w:szCs w:val="24"/>
        </w:rPr>
        <w:t>S</w:t>
      </w:r>
      <w:r>
        <w:rPr>
          <w:rFonts w:ascii="TimesNewRomanPSMT" w:hAnsi="TimesNewRomanPSMT" w:cs="TimesNewRomanPSMT"/>
          <w:szCs w:val="24"/>
        </w:rPr>
        <w:t>ale Availability Rule, which became effective on October 12, 2016. Under the amendments, warrantors may display warranty terms online and provide information to consumers to obtain those terms via non-Internet means. The amendments also allow sellers to provide pre-sale warranty terms electronically or conventionally if the warrantor has chosen to display its warranty terms online. 81 Fed. Reg. 63,664 (Sept. 15, 2016).</w:t>
      </w:r>
    </w:p>
    <w:p w:rsidR="005F28B2" w:rsidRPr="00505E03" w:rsidP="00F92988" w14:paraId="6418D3B1" w14:textId="77777777">
      <w:pPr>
        <w:pStyle w:val="NormalWeb"/>
        <w:widowControl w:val="0"/>
        <w:tabs>
          <w:tab w:val="left" w:pos="360"/>
          <w:tab w:val="left" w:pos="720"/>
          <w:tab w:val="left" w:pos="1080"/>
          <w:tab w:val="left" w:pos="1440"/>
        </w:tabs>
        <w:spacing w:before="0" w:beforeAutospacing="0" w:after="0" w:afterAutospacing="0"/>
      </w:pPr>
    </w:p>
    <w:p w:rsidR="00140127" w:rsidRPr="00CF2A4E" w:rsidP="006F7E35" w14:paraId="52A7322D" w14:textId="77777777">
      <w:pPr>
        <w:pStyle w:val="ListParagraph"/>
        <w:numPr>
          <w:ilvl w:val="0"/>
          <w:numId w:val="32"/>
        </w:numPr>
        <w:overflowPunct/>
        <w:textAlignment w:val="auto"/>
        <w:rPr>
          <w:rFonts w:ascii="TimesNewRomanPSMT" w:hAnsi="TimesNewRomanPSMT" w:cs="TimesNewRomanPSMT"/>
          <w:b/>
          <w:bCs/>
          <w:szCs w:val="24"/>
        </w:rPr>
      </w:pPr>
      <w:r w:rsidRPr="00CF2A4E">
        <w:rPr>
          <w:b/>
          <w:bCs/>
          <w:u w:val="single"/>
        </w:rPr>
        <w:t>Gifts or Payment</w:t>
      </w:r>
      <w:r w:rsidRPr="00CF2A4E" w:rsidR="00DB6E44">
        <w:rPr>
          <w:b/>
          <w:bCs/>
          <w:u w:val="single"/>
        </w:rPr>
        <w:t xml:space="preserve">. </w:t>
      </w:r>
    </w:p>
    <w:p w:rsidR="00140127" w:rsidP="00140127" w14:paraId="7F931ED8" w14:textId="77777777">
      <w:pPr>
        <w:pStyle w:val="ListParagraph"/>
        <w:overflowPunct/>
        <w:textAlignment w:val="auto"/>
        <w:rPr>
          <w:u w:val="single"/>
        </w:rPr>
      </w:pPr>
    </w:p>
    <w:p w:rsidR="006F7E35" w:rsidP="00140127" w14:paraId="3622912B" w14:textId="733CD3B8">
      <w:pPr>
        <w:pStyle w:val="ListParagraph"/>
        <w:overflowPunct/>
        <w:textAlignment w:val="auto"/>
        <w:rPr>
          <w:rFonts w:ascii="TimesNewRomanPSMT" w:hAnsi="TimesNewRomanPSMT" w:cs="TimesNewRomanPSMT"/>
          <w:szCs w:val="24"/>
        </w:rPr>
      </w:pPr>
      <w:r w:rsidRPr="006F7E35">
        <w:rPr>
          <w:rFonts w:ascii="TimesNewRomanPSMT" w:hAnsi="TimesNewRomanPSMT" w:cs="TimesNewRomanPSMT"/>
          <w:szCs w:val="24"/>
        </w:rPr>
        <w:t>Not applicable. There have been no payments or gifts to respondents in connection with Rule 702.</w:t>
      </w:r>
    </w:p>
    <w:p w:rsidR="006F7E35" w:rsidP="006F7E35" w14:paraId="7F9C84C4" w14:textId="77777777">
      <w:pPr>
        <w:pStyle w:val="ListParagraph"/>
        <w:overflowPunct/>
        <w:textAlignment w:val="auto"/>
        <w:rPr>
          <w:rFonts w:ascii="TimesNewRomanPSMT" w:hAnsi="TimesNewRomanPSMT" w:cs="TimesNewRomanPSMT"/>
          <w:szCs w:val="24"/>
        </w:rPr>
      </w:pPr>
    </w:p>
    <w:p w:rsidR="006D02D3" w:rsidRPr="00CF2A4E" w:rsidP="001C7F3D" w14:paraId="0698A601" w14:textId="1BD9CCD6">
      <w:pPr>
        <w:pStyle w:val="ListParagraph"/>
        <w:widowControl w:val="0"/>
        <w:numPr>
          <w:ilvl w:val="0"/>
          <w:numId w:val="32"/>
        </w:numPr>
        <w:tabs>
          <w:tab w:val="left" w:pos="360"/>
          <w:tab w:val="left" w:pos="720"/>
          <w:tab w:val="left" w:pos="1080"/>
          <w:tab w:val="left" w:pos="1440"/>
        </w:tabs>
        <w:overflowPunct/>
        <w:textAlignment w:val="auto"/>
        <w:rPr>
          <w:b/>
          <w:bCs/>
          <w:u w:val="single"/>
        </w:rPr>
      </w:pPr>
      <w:r w:rsidRPr="00CF2A4E">
        <w:rPr>
          <w:b/>
          <w:bCs/>
          <w:u w:val="single"/>
        </w:rPr>
        <w:t xml:space="preserve">Privacy &amp; </w:t>
      </w:r>
      <w:r w:rsidRPr="00CF2A4E" w:rsidR="00D3303B">
        <w:rPr>
          <w:b/>
          <w:bCs/>
          <w:u w:val="single"/>
        </w:rPr>
        <w:t>Confidentiality</w:t>
      </w:r>
      <w:r w:rsidRPr="00CF2A4E" w:rsidR="00F02924">
        <w:rPr>
          <w:b/>
          <w:bCs/>
          <w:u w:val="single"/>
        </w:rPr>
        <w:t>.</w:t>
      </w:r>
    </w:p>
    <w:p w:rsidR="00140127" w:rsidRPr="00CF2A4E" w:rsidP="001C7F3D" w14:paraId="4EA7E6E4" w14:textId="77777777">
      <w:pPr>
        <w:pStyle w:val="ListParagraph"/>
        <w:widowControl w:val="0"/>
        <w:numPr>
          <w:ilvl w:val="0"/>
          <w:numId w:val="32"/>
        </w:numPr>
        <w:tabs>
          <w:tab w:val="left" w:pos="360"/>
          <w:tab w:val="left" w:pos="720"/>
          <w:tab w:val="left" w:pos="1080"/>
          <w:tab w:val="left" w:pos="1440"/>
        </w:tabs>
        <w:overflowPunct/>
        <w:textAlignment w:val="auto"/>
        <w:rPr>
          <w:b/>
          <w:bCs/>
        </w:rPr>
      </w:pPr>
      <w:r w:rsidRPr="00CF2A4E">
        <w:rPr>
          <w:b/>
          <w:bCs/>
          <w:u w:val="single"/>
        </w:rPr>
        <w:t>Sensitive Questions</w:t>
      </w:r>
      <w:r w:rsidRPr="00CF2A4E" w:rsidR="00376161">
        <w:rPr>
          <w:b/>
          <w:bCs/>
          <w:u w:val="single"/>
        </w:rPr>
        <w:t>.</w:t>
      </w:r>
      <w:r w:rsidRPr="00CF2A4E" w:rsidR="00376161">
        <w:rPr>
          <w:b/>
          <w:bCs/>
        </w:rPr>
        <w:t xml:space="preserve">  </w:t>
      </w:r>
    </w:p>
    <w:p w:rsidR="00140127" w:rsidP="00140127" w14:paraId="640B120E" w14:textId="77777777">
      <w:pPr>
        <w:pStyle w:val="ListParagraph"/>
        <w:widowControl w:val="0"/>
        <w:tabs>
          <w:tab w:val="left" w:pos="360"/>
          <w:tab w:val="left" w:pos="720"/>
          <w:tab w:val="left" w:pos="1080"/>
          <w:tab w:val="left" w:pos="1440"/>
        </w:tabs>
        <w:overflowPunct/>
        <w:textAlignment w:val="auto"/>
      </w:pPr>
    </w:p>
    <w:p w:rsidR="006F7E35" w:rsidP="00140127" w14:paraId="02D64EE9" w14:textId="145034ED">
      <w:pPr>
        <w:pStyle w:val="ListParagraph"/>
        <w:widowControl w:val="0"/>
        <w:tabs>
          <w:tab w:val="left" w:pos="360"/>
          <w:tab w:val="left" w:pos="720"/>
          <w:tab w:val="left" w:pos="1080"/>
          <w:tab w:val="left" w:pos="1440"/>
        </w:tabs>
        <w:overflowPunct/>
        <w:textAlignment w:val="auto"/>
      </w:pPr>
      <w:r>
        <w:t xml:space="preserve">Rule 702 does not present any issues concerning confidentiality or questions of a sensitive nature. From time to time, the Commission may require a warrantor to submit information as part of a law enforcement investigation to determine whether the seller or warrantor has engaged in any practices that might have violated Rule 702. Any information provided to the Commission in connection with such law enforcement investigations is treated as confidential under Sections 6(f) and 21(f) of the Federal Trade </w:t>
      </w:r>
      <w:r>
        <w:t>Commission Act, 15 U.S.C. § 46(f) and 61(f).</w:t>
      </w:r>
    </w:p>
    <w:p w:rsidR="00376161" w:rsidRPr="00505E03" w:rsidP="00F92988" w14:paraId="1F8FDC75" w14:textId="77777777">
      <w:pPr>
        <w:pStyle w:val="NormalWeb"/>
        <w:widowControl w:val="0"/>
        <w:tabs>
          <w:tab w:val="left" w:pos="360"/>
          <w:tab w:val="left" w:pos="720"/>
          <w:tab w:val="left" w:pos="1080"/>
          <w:tab w:val="left" w:pos="1440"/>
        </w:tabs>
        <w:spacing w:before="0" w:beforeAutospacing="0" w:after="0" w:afterAutospacing="0"/>
      </w:pPr>
    </w:p>
    <w:p w:rsidR="006D02D3" w:rsidRPr="00CF2A4E" w:rsidP="006D02D3" w14:paraId="068846BC" w14:textId="77777777">
      <w:pPr>
        <w:pStyle w:val="ListParagraph"/>
        <w:numPr>
          <w:ilvl w:val="0"/>
          <w:numId w:val="32"/>
        </w:numPr>
        <w:overflowPunct/>
        <w:textAlignment w:val="auto"/>
        <w:rPr>
          <w:rFonts w:ascii="TimesNewRomanPSMT" w:hAnsi="TimesNewRomanPSMT" w:cs="TimesNewRomanPSMT"/>
          <w:b/>
          <w:bCs/>
          <w:szCs w:val="24"/>
        </w:rPr>
      </w:pPr>
      <w:r w:rsidRPr="00CF2A4E">
        <w:rPr>
          <w:b/>
          <w:bCs/>
          <w:u w:val="single"/>
        </w:rPr>
        <w:t xml:space="preserve">Burden </w:t>
      </w:r>
      <w:r w:rsidRPr="00CF2A4E" w:rsidR="00E77C9D">
        <w:rPr>
          <w:b/>
          <w:bCs/>
          <w:u w:val="single"/>
        </w:rPr>
        <w:t>Estimate</w:t>
      </w:r>
      <w:r w:rsidRPr="00CF2A4E" w:rsidR="005E436B">
        <w:rPr>
          <w:b/>
          <w:bCs/>
          <w:u w:val="single"/>
        </w:rPr>
        <w:t>.</w:t>
      </w:r>
    </w:p>
    <w:p w:rsidR="006D02D3" w:rsidRPr="006D02D3" w:rsidP="006D02D3" w14:paraId="350E466E" w14:textId="77777777">
      <w:pPr>
        <w:pStyle w:val="ListParagraph"/>
        <w:rPr>
          <w:rFonts w:ascii="TimesNewRomanPS-BoldMT" w:hAnsi="TimesNewRomanPS-BoldMT" w:cs="TimesNewRomanPS-BoldMT"/>
          <w:b/>
          <w:bCs/>
          <w:szCs w:val="24"/>
        </w:rPr>
      </w:pPr>
    </w:p>
    <w:p w:rsidR="006D02D3" w:rsidRPr="006D02D3" w:rsidP="006D02D3" w14:paraId="3214AD8C" w14:textId="661B5793">
      <w:pPr>
        <w:pStyle w:val="ListParagraph"/>
        <w:overflowPunct/>
        <w:textAlignment w:val="auto"/>
        <w:rPr>
          <w:rFonts w:ascii="TimesNewRomanPSMT" w:hAnsi="TimesNewRomanPSMT" w:cs="TimesNewRomanPSMT"/>
          <w:szCs w:val="24"/>
        </w:rPr>
      </w:pPr>
      <w:r w:rsidRPr="006D02D3">
        <w:rPr>
          <w:rFonts w:ascii="TimesNewRomanPS-BoldMT" w:hAnsi="TimesNewRomanPS-BoldMT" w:cs="TimesNewRomanPS-BoldMT"/>
          <w:b/>
          <w:bCs/>
          <w:szCs w:val="24"/>
        </w:rPr>
        <w:t xml:space="preserve">Total annual hours burden: </w:t>
      </w:r>
      <w:r>
        <w:rPr>
          <w:rFonts w:ascii="TimesNewRomanPSMT" w:hAnsi="TimesNewRomanPSMT" w:cs="TimesNewRomanPSMT"/>
          <w:szCs w:val="24"/>
        </w:rPr>
        <w:t>2,611,826</w:t>
      </w:r>
      <w:r w:rsidRPr="006D02D3">
        <w:rPr>
          <w:rFonts w:ascii="TimesNewRomanPSMT" w:hAnsi="TimesNewRomanPSMT" w:cs="TimesNewRomanPSMT"/>
          <w:szCs w:val="24"/>
        </w:rPr>
        <w:t>.</w:t>
      </w:r>
    </w:p>
    <w:p w:rsidR="006D02D3" w:rsidP="006D02D3" w14:paraId="5C1F1FF8" w14:textId="77777777">
      <w:pPr>
        <w:overflowPunct/>
        <w:textAlignment w:val="auto"/>
        <w:rPr>
          <w:rFonts w:ascii="TimesNewRomanPSMT" w:hAnsi="TimesNewRomanPSMT" w:cs="TimesNewRomanPSMT"/>
          <w:szCs w:val="24"/>
        </w:rPr>
      </w:pPr>
    </w:p>
    <w:p w:rsidR="006D02D3" w:rsidP="006D02D3" w14:paraId="5F3FD9B6" w14:textId="4029E203">
      <w:pPr>
        <w:overflowPunct/>
        <w:ind w:left="720"/>
        <w:textAlignment w:val="auto"/>
        <w:rPr>
          <w:rFonts w:ascii="TimesNewRomanPSMT" w:hAnsi="TimesNewRomanPSMT" w:cs="TimesNewRomanPSMT"/>
          <w:szCs w:val="24"/>
        </w:rPr>
      </w:pPr>
      <w:r>
        <w:rPr>
          <w:rFonts w:ascii="TimesNewRomanPSMT" w:hAnsi="TimesNewRomanPSMT" w:cs="TimesNewRomanPSMT"/>
          <w:szCs w:val="24"/>
        </w:rPr>
        <w:t>In its 2023 submission to OMB, FTC staff estimated that the information collection burden of making the disclosures required by the Pre-</w:t>
      </w:r>
      <w:r w:rsidR="004F3DF0">
        <w:rPr>
          <w:rFonts w:ascii="TimesNewRomanPSMT" w:hAnsi="TimesNewRomanPSMT" w:cs="TimesNewRomanPSMT"/>
          <w:szCs w:val="24"/>
        </w:rPr>
        <w:t>S</w:t>
      </w:r>
      <w:r>
        <w:rPr>
          <w:rFonts w:ascii="TimesNewRomanPSMT" w:hAnsi="TimesNewRomanPSMT" w:cs="TimesNewRomanPSMT"/>
          <w:szCs w:val="24"/>
        </w:rPr>
        <w:t>ale Availability Rule was approximately 2,764,837 hours per year. Although there has been no change in the Rule’s information collection requirements since 2023, staff has adjusted downward its previous estimate of the number of manufacturers subject to the Rule based on recent Census data.</w:t>
      </w:r>
      <w:r>
        <w:rPr>
          <w:rStyle w:val="FootnoteReference"/>
          <w:rFonts w:ascii="TimesNewRomanPSMT" w:hAnsi="TimesNewRomanPSMT" w:cs="TimesNewRomanPSMT"/>
          <w:szCs w:val="24"/>
        </w:rPr>
        <w:footnoteReference w:id="2"/>
      </w:r>
      <w:r>
        <w:rPr>
          <w:rFonts w:ascii="TimesNewRomanPSMT" w:hAnsi="TimesNewRomanPSMT" w:cs="TimesNewRomanPSMT"/>
          <w:szCs w:val="24"/>
        </w:rPr>
        <w:t xml:space="preserve"> Based on that data, staff now estimates that there are approximately 26,131 manufacturers subject to the Rule.</w:t>
      </w:r>
      <w:r>
        <w:rPr>
          <w:rStyle w:val="FootnoteReference"/>
          <w:rFonts w:ascii="TimesNewRomanPSMT" w:hAnsi="TimesNewRomanPSMT" w:cs="TimesNewRomanPSMT"/>
          <w:szCs w:val="24"/>
        </w:rPr>
        <w:footnoteReference w:id="3"/>
      </w:r>
      <w:r>
        <w:rPr>
          <w:rFonts w:ascii="TimesNewRomanPSMT" w:hAnsi="TimesNewRomanPSMT" w:cs="TimesNewRomanPSMT"/>
          <w:sz w:val="16"/>
          <w:szCs w:val="16"/>
        </w:rPr>
        <w:t xml:space="preserve"> </w:t>
      </w:r>
      <w:r>
        <w:rPr>
          <w:rFonts w:ascii="TimesNewRomanPSMT" w:hAnsi="TimesNewRomanPSMT" w:cs="TimesNewRomanPSMT"/>
          <w:szCs w:val="24"/>
        </w:rPr>
        <w:t>In addition, staff has adjusted downward its previous estimate of the number of retailers subject to the Rule based on recent Census data.</w:t>
      </w:r>
      <w:r>
        <w:rPr>
          <w:rStyle w:val="FootnoteReference"/>
          <w:rFonts w:ascii="TimesNewRomanPSMT" w:hAnsi="TimesNewRomanPSMT" w:cs="TimesNewRomanPSMT"/>
          <w:szCs w:val="24"/>
        </w:rPr>
        <w:footnoteReference w:id="4"/>
      </w:r>
      <w:r>
        <w:rPr>
          <w:rFonts w:ascii="TimesNewRomanPSMT" w:hAnsi="TimesNewRomanPSMT" w:cs="TimesNewRomanPSMT"/>
          <w:szCs w:val="24"/>
        </w:rPr>
        <w:t xml:space="preserve"> There are now an estimated </w:t>
      </w:r>
      <w:r w:rsidR="00EF1E30">
        <w:rPr>
          <w:rFonts w:ascii="TimesNewRomanPSMT" w:hAnsi="TimesNewRomanPSMT" w:cs="TimesNewRomanPSMT"/>
          <w:szCs w:val="24"/>
        </w:rPr>
        <w:t>493,621</w:t>
      </w:r>
      <w:r>
        <w:rPr>
          <w:rFonts w:ascii="TimesNewRomanPSMT" w:hAnsi="TimesNewRomanPSMT" w:cs="TimesNewRomanPSMT"/>
          <w:szCs w:val="24"/>
        </w:rPr>
        <w:t xml:space="preserve"> retailers impacted by the Rule.</w:t>
      </w:r>
      <w:r>
        <w:rPr>
          <w:rStyle w:val="FootnoteReference"/>
          <w:rFonts w:ascii="TimesNewRomanPSMT" w:hAnsi="TimesNewRomanPSMT" w:cs="TimesNewRomanPSMT"/>
          <w:szCs w:val="24"/>
        </w:rPr>
        <w:footnoteReference w:id="5"/>
      </w:r>
      <w:r>
        <w:rPr>
          <w:rFonts w:ascii="TimesNewRomanPSMT" w:hAnsi="TimesNewRomanPSMT" w:cs="TimesNewRomanPSMT"/>
          <w:sz w:val="16"/>
          <w:szCs w:val="16"/>
        </w:rPr>
        <w:t xml:space="preserve"> </w:t>
      </w:r>
      <w:r>
        <w:rPr>
          <w:rFonts w:ascii="TimesNewRomanPSMT" w:hAnsi="TimesNewRomanPSMT" w:cs="TimesNewRomanPSMT"/>
          <w:szCs w:val="24"/>
        </w:rPr>
        <w:t>These estimates likely overstate the number of manufacturers and retailers because some of the included manufacturers and retailers may make and sell products that are not covered by the Rule.</w:t>
      </w:r>
    </w:p>
    <w:p w:rsidR="00EF1E30" w:rsidP="006D02D3" w14:paraId="55D72DA1" w14:textId="77777777">
      <w:pPr>
        <w:overflowPunct/>
        <w:ind w:firstLine="720"/>
        <w:textAlignment w:val="auto"/>
        <w:rPr>
          <w:rFonts w:ascii="TimesNewRomanPSMT" w:hAnsi="TimesNewRomanPSMT" w:cs="TimesNewRomanPSMT"/>
          <w:szCs w:val="24"/>
        </w:rPr>
      </w:pPr>
    </w:p>
    <w:p w:rsidR="006D02D3" w:rsidP="00EF1E30" w14:paraId="559E4121" w14:textId="54FDE78F">
      <w:pPr>
        <w:overflowPunct/>
        <w:ind w:left="720"/>
        <w:textAlignment w:val="auto"/>
        <w:rPr>
          <w:rFonts w:ascii="TimesNewRomanPSMT" w:hAnsi="TimesNewRomanPSMT" w:cs="TimesNewRomanPSMT"/>
          <w:szCs w:val="24"/>
        </w:rPr>
      </w:pPr>
      <w:r w:rsidRPr="00EF1E30">
        <w:rPr>
          <w:rFonts w:ascii="TimesNewRomanPSMT" w:hAnsi="TimesNewRomanPSMT" w:cs="TimesNewRomanPSMT"/>
          <w:szCs w:val="24"/>
        </w:rPr>
        <w:t>In submissions prior to 2023, FTC</w:t>
      </w:r>
      <w:r>
        <w:rPr>
          <w:rFonts w:ascii="TimesNewRomanPSMT" w:hAnsi="TimesNewRomanPSMT" w:cs="TimesNewRomanPSMT"/>
          <w:szCs w:val="24"/>
        </w:rPr>
        <w:t xml:space="preserve"> </w:t>
      </w:r>
      <w:r w:rsidRPr="00EF1E30">
        <w:rPr>
          <w:rFonts w:ascii="TimesNewRomanPSMT" w:hAnsi="TimesNewRomanPSMT" w:cs="TimesNewRomanPSMT"/>
          <w:szCs w:val="24"/>
        </w:rPr>
        <w:t>staff categorized retailers and</w:t>
      </w:r>
      <w:r>
        <w:rPr>
          <w:rFonts w:ascii="TimesNewRomanPSMT" w:hAnsi="TimesNewRomanPSMT" w:cs="TimesNewRomanPSMT"/>
          <w:szCs w:val="24"/>
        </w:rPr>
        <w:t xml:space="preserve"> </w:t>
      </w:r>
      <w:r w:rsidRPr="00EF1E30">
        <w:rPr>
          <w:rFonts w:ascii="TimesNewRomanPSMT" w:hAnsi="TimesNewRomanPSMT" w:cs="TimesNewRomanPSMT"/>
          <w:szCs w:val="24"/>
        </w:rPr>
        <w:t>manufacturers based on their size</w:t>
      </w:r>
      <w:r>
        <w:rPr>
          <w:rFonts w:ascii="TimesNewRomanPSMT" w:hAnsi="TimesNewRomanPSMT" w:cs="TimesNewRomanPSMT"/>
          <w:szCs w:val="24"/>
        </w:rPr>
        <w:t>, and</w:t>
      </w:r>
      <w:r>
        <w:rPr>
          <w:rFonts w:ascii="TimesNewRomanPSMT" w:hAnsi="TimesNewRomanPSMT" w:cs="TimesNewRomanPSMT"/>
          <w:szCs w:val="24"/>
        </w:rPr>
        <w:t xml:space="preserve"> </w:t>
      </w:r>
      <w:r>
        <w:rPr>
          <w:rFonts w:ascii="TimesNewRomanPSMT" w:hAnsi="TimesNewRomanPSMT" w:cs="TimesNewRomanPSMT"/>
          <w:szCs w:val="24"/>
        </w:rPr>
        <w:t xml:space="preserve">applied different time estimates for complying with the Rule based on whether the entity was large or small. </w:t>
      </w:r>
      <w:r w:rsidRPr="00EF1E30">
        <w:rPr>
          <w:rFonts w:ascii="TimesNewRomanPSMT" w:hAnsi="TimesNewRomanPSMT" w:cs="TimesNewRomanPSMT"/>
          <w:szCs w:val="24"/>
        </w:rPr>
        <w:t>In</w:t>
      </w:r>
      <w:r>
        <w:rPr>
          <w:rFonts w:ascii="TimesNewRomanPSMT" w:hAnsi="TimesNewRomanPSMT" w:cs="TimesNewRomanPSMT"/>
          <w:szCs w:val="24"/>
        </w:rPr>
        <w:t xml:space="preserve"> </w:t>
      </w:r>
      <w:r w:rsidRPr="00EF1E30">
        <w:rPr>
          <w:rFonts w:ascii="TimesNewRomanPSMT" w:hAnsi="TimesNewRomanPSMT" w:cs="TimesNewRomanPSMT"/>
          <w:szCs w:val="24"/>
        </w:rPr>
        <w:t>its 2023 submission to OMB and again</w:t>
      </w:r>
      <w:r>
        <w:rPr>
          <w:rFonts w:ascii="TimesNewRomanPSMT" w:hAnsi="TimesNewRomanPSMT" w:cs="TimesNewRomanPSMT"/>
          <w:szCs w:val="24"/>
        </w:rPr>
        <w:t xml:space="preserve"> </w:t>
      </w:r>
      <w:r w:rsidRPr="00EF1E30">
        <w:rPr>
          <w:rFonts w:ascii="TimesNewRomanPSMT" w:hAnsi="TimesNewRomanPSMT" w:cs="TimesNewRomanPSMT"/>
          <w:szCs w:val="24"/>
        </w:rPr>
        <w:t>this year, staff applied a single time</w:t>
      </w:r>
      <w:r>
        <w:rPr>
          <w:rFonts w:ascii="TimesNewRomanPSMT" w:hAnsi="TimesNewRomanPSMT" w:cs="TimesNewRomanPSMT"/>
          <w:szCs w:val="24"/>
        </w:rPr>
        <w:t xml:space="preserve"> </w:t>
      </w:r>
      <w:r w:rsidRPr="00EF1E30">
        <w:rPr>
          <w:rFonts w:ascii="TimesNewRomanPSMT" w:hAnsi="TimesNewRomanPSMT" w:cs="TimesNewRomanPSMT"/>
          <w:szCs w:val="24"/>
        </w:rPr>
        <w:t>estimate to all retailers and another to</w:t>
      </w:r>
      <w:r>
        <w:rPr>
          <w:rFonts w:ascii="TimesNewRomanPSMT" w:hAnsi="TimesNewRomanPSMT" w:cs="TimesNewRomanPSMT"/>
          <w:szCs w:val="24"/>
        </w:rPr>
        <w:t xml:space="preserve"> </w:t>
      </w:r>
      <w:r w:rsidRPr="00EF1E30">
        <w:rPr>
          <w:rFonts w:ascii="TimesNewRomanPSMT" w:hAnsi="TimesNewRomanPSMT" w:cs="TimesNewRomanPSMT"/>
          <w:szCs w:val="24"/>
        </w:rPr>
        <w:t>all manufacturers,</w:t>
      </w:r>
      <w:r>
        <w:rPr>
          <w:rFonts w:ascii="TimesNewRomanPSMT" w:hAnsi="TimesNewRomanPSMT" w:cs="TimesNewRomanPSMT"/>
          <w:szCs w:val="24"/>
        </w:rPr>
        <w:t xml:space="preserve"> </w:t>
      </w:r>
      <w:r w:rsidRPr="00EF1E30">
        <w:rPr>
          <w:rFonts w:ascii="TimesNewRomanPSMT" w:hAnsi="TimesNewRomanPSMT" w:cs="TimesNewRomanPSMT"/>
          <w:szCs w:val="24"/>
        </w:rPr>
        <w:t>regardless of size.</w:t>
      </w:r>
      <w:r>
        <w:rPr>
          <w:rFonts w:ascii="TimesNewRomanPSMT" w:hAnsi="TimesNewRomanPSMT" w:cs="TimesNewRomanPSMT"/>
          <w:szCs w:val="24"/>
        </w:rPr>
        <w:t xml:space="preserve"> These estimates are intended to be an average time burden, reflecting the typical burden across the full spectrum of retailers and manufacturers, and taking into account the number of large and small entities from prior years. This approach is consistent with how staff have estimated the time burden for the Warranty Rule, 16 CFR part 701, another rule the FTC issued under the Act.</w:t>
      </w:r>
    </w:p>
    <w:p w:rsidR="006D02D3" w:rsidP="006D02D3" w14:paraId="46B27B2A" w14:textId="77777777">
      <w:pPr>
        <w:overflowPunct/>
        <w:textAlignment w:val="auto"/>
        <w:rPr>
          <w:rFonts w:ascii="TimesNewRomanPSMT" w:hAnsi="TimesNewRomanPSMT" w:cs="TimesNewRomanPSMT"/>
          <w:szCs w:val="24"/>
        </w:rPr>
      </w:pPr>
    </w:p>
    <w:p w:rsidR="006D02D3" w:rsidP="006D02D3" w14:paraId="33357365" w14:textId="77777777">
      <w:pPr>
        <w:overflowPunct/>
        <w:ind w:firstLine="720"/>
        <w:textAlignment w:val="auto"/>
        <w:rPr>
          <w:rFonts w:ascii="TimesNewRomanPSMT" w:hAnsi="TimesNewRomanPSMT" w:cs="TimesNewRomanPSMT"/>
          <w:szCs w:val="24"/>
        </w:rPr>
      </w:pPr>
      <w:r>
        <w:rPr>
          <w:rFonts w:ascii="TimesNewRomanPSMT" w:hAnsi="TimesNewRomanPSMT" w:cs="TimesNewRomanPSMT"/>
          <w:szCs w:val="24"/>
        </w:rPr>
        <w:t>Staff estimates that retailers spend, on average, 5 hours per year to comply with the Rule.</w:t>
      </w:r>
    </w:p>
    <w:p w:rsidR="006D02D3" w:rsidP="006D02D3" w14:paraId="7732CECD" w14:textId="4C44F729">
      <w:pPr>
        <w:overflowPunct/>
        <w:ind w:left="720"/>
        <w:textAlignment w:val="auto"/>
        <w:rPr>
          <w:rFonts w:ascii="TimesNewRomanPSMT" w:hAnsi="TimesNewRomanPSMT" w:cs="TimesNewRomanPSMT"/>
          <w:szCs w:val="24"/>
        </w:rPr>
      </w:pPr>
      <w:r>
        <w:rPr>
          <w:rFonts w:ascii="TimesNewRomanPSMT" w:hAnsi="TimesNewRomanPSMT" w:cs="TimesNewRomanPSMT"/>
          <w:szCs w:val="24"/>
        </w:rPr>
        <w:t>Accordingly, the total annual burden for retailers is approximately 2,</w:t>
      </w:r>
      <w:r w:rsidR="007D6AF8">
        <w:rPr>
          <w:rFonts w:ascii="TimesNewRomanPSMT" w:hAnsi="TimesNewRomanPSMT" w:cs="TimesNewRomanPSMT"/>
          <w:szCs w:val="24"/>
        </w:rPr>
        <w:t>468,105</w:t>
      </w:r>
      <w:r>
        <w:rPr>
          <w:rFonts w:ascii="TimesNewRomanPSMT" w:hAnsi="TimesNewRomanPSMT" w:cs="TimesNewRomanPSMT"/>
          <w:szCs w:val="24"/>
        </w:rPr>
        <w:t xml:space="preserve"> hours (</w:t>
      </w:r>
      <w:r w:rsidR="007D6AF8">
        <w:rPr>
          <w:rFonts w:ascii="TimesNewRomanPSMT" w:hAnsi="TimesNewRomanPSMT" w:cs="TimesNewRomanPSMT"/>
          <w:szCs w:val="24"/>
        </w:rPr>
        <w:t>493,621</w:t>
      </w:r>
      <w:r>
        <w:rPr>
          <w:rFonts w:ascii="TimesNewRomanPSMT" w:hAnsi="TimesNewRomanPSMT" w:cs="TimesNewRomanPSMT"/>
          <w:szCs w:val="24"/>
        </w:rPr>
        <w:t xml:space="preserve"> retailers x 5 burden hours). Staff estimates that manufacturers spend an average of 5.5 hours per year to comply with the Rule. Accordingly, the total annual burden incurred by manufacturers is approximately 1</w:t>
      </w:r>
      <w:r w:rsidR="007D6AF8">
        <w:rPr>
          <w:rFonts w:ascii="TimesNewRomanPSMT" w:hAnsi="TimesNewRomanPSMT" w:cs="TimesNewRomanPSMT"/>
          <w:szCs w:val="24"/>
        </w:rPr>
        <w:t>43,721</w:t>
      </w:r>
      <w:r>
        <w:rPr>
          <w:rFonts w:ascii="TimesNewRomanPSMT" w:hAnsi="TimesNewRomanPSMT" w:cs="TimesNewRomanPSMT"/>
          <w:szCs w:val="24"/>
        </w:rPr>
        <w:t xml:space="preserve"> hours (</w:t>
      </w:r>
      <w:r w:rsidR="007D6AF8">
        <w:rPr>
          <w:rFonts w:ascii="TimesNewRomanPSMT" w:hAnsi="TimesNewRomanPSMT" w:cs="TimesNewRomanPSMT"/>
          <w:szCs w:val="24"/>
        </w:rPr>
        <w:t>26,131</w:t>
      </w:r>
      <w:r>
        <w:rPr>
          <w:rFonts w:ascii="TimesNewRomanPSMT" w:hAnsi="TimesNewRomanPSMT" w:cs="TimesNewRomanPSMT"/>
          <w:szCs w:val="24"/>
        </w:rPr>
        <w:t xml:space="preserve"> manufacturers x 5.5 hours).</w:t>
      </w:r>
    </w:p>
    <w:p w:rsidR="006D02D3" w:rsidP="006D02D3" w14:paraId="528BEABD" w14:textId="77777777">
      <w:pPr>
        <w:overflowPunct/>
        <w:textAlignment w:val="auto"/>
        <w:rPr>
          <w:rFonts w:ascii="TimesNewRomanPSMT" w:hAnsi="TimesNewRomanPSMT" w:cs="TimesNewRomanPSMT"/>
          <w:szCs w:val="24"/>
        </w:rPr>
      </w:pPr>
    </w:p>
    <w:p w:rsidR="006D02D3" w:rsidP="006D02D3" w14:paraId="73348B13" w14:textId="7A001905">
      <w:pPr>
        <w:overflowPunct/>
        <w:ind w:firstLine="720"/>
        <w:textAlignment w:val="auto"/>
        <w:rPr>
          <w:rFonts w:ascii="TimesNewRomanPSMT" w:hAnsi="TimesNewRomanPSMT" w:cs="TimesNewRomanPSMT"/>
          <w:szCs w:val="24"/>
        </w:rPr>
      </w:pPr>
      <w:r>
        <w:rPr>
          <w:rFonts w:ascii="TimesNewRomanPSMT" w:hAnsi="TimesNewRomanPSMT" w:cs="TimesNewRomanPSMT"/>
          <w:szCs w:val="24"/>
        </w:rPr>
        <w:t xml:space="preserve">Thus, the total annual burden for all covered entities is approximately </w:t>
      </w:r>
      <w:r w:rsidR="007D6AF8">
        <w:rPr>
          <w:rFonts w:ascii="TimesNewRomanPSMT" w:hAnsi="TimesNewRomanPSMT" w:cs="TimesNewRomanPSMT"/>
          <w:szCs w:val="24"/>
        </w:rPr>
        <w:t>2,611,826</w:t>
      </w:r>
      <w:r>
        <w:rPr>
          <w:rFonts w:ascii="TimesNewRomanPSMT" w:hAnsi="TimesNewRomanPSMT" w:cs="TimesNewRomanPSMT"/>
          <w:szCs w:val="24"/>
        </w:rPr>
        <w:t xml:space="preserve"> hours</w:t>
      </w:r>
    </w:p>
    <w:p w:rsidR="006D02D3" w:rsidP="006D02D3" w14:paraId="41C85ACD" w14:textId="234C9262">
      <w:pPr>
        <w:overflowPunct/>
        <w:ind w:firstLine="720"/>
        <w:textAlignment w:val="auto"/>
        <w:rPr>
          <w:rFonts w:ascii="TimesNewRomanPSMT" w:hAnsi="TimesNewRomanPSMT" w:cs="TimesNewRomanPSMT"/>
          <w:szCs w:val="24"/>
        </w:rPr>
      </w:pPr>
      <w:r>
        <w:rPr>
          <w:rFonts w:ascii="TimesNewRomanPSMT" w:hAnsi="TimesNewRomanPSMT" w:cs="TimesNewRomanPSMT"/>
          <w:szCs w:val="24"/>
        </w:rPr>
        <w:t>(2,</w:t>
      </w:r>
      <w:r w:rsidR="007D6AF8">
        <w:rPr>
          <w:rFonts w:ascii="TimesNewRomanPSMT" w:hAnsi="TimesNewRomanPSMT" w:cs="TimesNewRomanPSMT"/>
          <w:szCs w:val="24"/>
        </w:rPr>
        <w:t xml:space="preserve">468,105 </w:t>
      </w:r>
      <w:r>
        <w:rPr>
          <w:rFonts w:ascii="TimesNewRomanPSMT" w:hAnsi="TimesNewRomanPSMT" w:cs="TimesNewRomanPSMT"/>
          <w:szCs w:val="24"/>
        </w:rPr>
        <w:t>hours for retailers + 1</w:t>
      </w:r>
      <w:r w:rsidR="007D6AF8">
        <w:rPr>
          <w:rFonts w:ascii="TimesNewRomanPSMT" w:hAnsi="TimesNewRomanPSMT" w:cs="TimesNewRomanPSMT"/>
          <w:szCs w:val="24"/>
        </w:rPr>
        <w:t>43,721</w:t>
      </w:r>
      <w:r>
        <w:rPr>
          <w:rFonts w:ascii="TimesNewRomanPSMT" w:hAnsi="TimesNewRomanPSMT" w:cs="TimesNewRomanPSMT"/>
          <w:szCs w:val="24"/>
        </w:rPr>
        <w:t xml:space="preserve"> hours for manufacturers).</w:t>
      </w:r>
    </w:p>
    <w:p w:rsidR="006D02D3" w:rsidP="006D02D3" w14:paraId="48A9A59E" w14:textId="77777777">
      <w:pPr>
        <w:overflowPunct/>
        <w:textAlignment w:val="auto"/>
        <w:rPr>
          <w:rFonts w:ascii="TimesNewRomanPSMT" w:hAnsi="TimesNewRomanPSMT" w:cs="TimesNewRomanPSMT"/>
          <w:szCs w:val="24"/>
        </w:rPr>
      </w:pPr>
    </w:p>
    <w:p w:rsidR="006D02D3" w:rsidP="006D02D3" w14:paraId="3E5050E6" w14:textId="1A0B2F9D">
      <w:pPr>
        <w:overflowPunct/>
        <w:ind w:firstLine="720"/>
        <w:textAlignment w:val="auto"/>
        <w:rPr>
          <w:rFonts w:ascii="TimesNewRomanPSMT" w:hAnsi="TimesNewRomanPSMT" w:cs="TimesNewRomanPSMT"/>
          <w:szCs w:val="24"/>
        </w:rPr>
      </w:pPr>
      <w:r>
        <w:rPr>
          <w:rFonts w:ascii="TimesNewRomanPS-BoldMT" w:hAnsi="TimesNewRomanPS-BoldMT" w:cs="TimesNewRomanPS-BoldMT"/>
          <w:b/>
          <w:bCs/>
          <w:szCs w:val="24"/>
        </w:rPr>
        <w:t xml:space="preserve">Total annual labor cost: </w:t>
      </w:r>
      <w:r>
        <w:rPr>
          <w:rFonts w:ascii="TimesNewRomanPSMT" w:hAnsi="TimesNewRomanPSMT" w:cs="TimesNewRomanPSMT"/>
          <w:szCs w:val="24"/>
        </w:rPr>
        <w:t>$</w:t>
      </w:r>
      <w:r w:rsidRPr="00255E54" w:rsidR="00255E54">
        <w:rPr>
          <w:rFonts w:ascii="TimesNewRomanPSMT" w:hAnsi="TimesNewRomanPSMT" w:cs="TimesNewRomanPSMT"/>
          <w:szCs w:val="24"/>
        </w:rPr>
        <w:t>74,437,041</w:t>
      </w:r>
      <w:r>
        <w:rPr>
          <w:rFonts w:ascii="TimesNewRomanPSMT" w:hAnsi="TimesNewRomanPSMT" w:cs="TimesNewRomanPSMT"/>
          <w:szCs w:val="24"/>
        </w:rPr>
        <w:t>.</w:t>
      </w:r>
      <w:r>
        <w:rPr>
          <w:rStyle w:val="FootnoteReference"/>
        </w:rPr>
        <w:footnoteReference w:id="6"/>
      </w:r>
    </w:p>
    <w:p w:rsidR="006D02D3" w:rsidP="006D02D3" w14:paraId="4BC73E0E" w14:textId="77777777">
      <w:pPr>
        <w:overflowPunct/>
        <w:textAlignment w:val="auto"/>
        <w:rPr>
          <w:rFonts w:ascii="TimesNewRomanPSMT" w:hAnsi="TimesNewRomanPSMT" w:cs="TimesNewRomanPSMT"/>
          <w:szCs w:val="24"/>
        </w:rPr>
      </w:pPr>
    </w:p>
    <w:p w:rsidR="006D02D3" w:rsidP="006D02D3" w14:paraId="2A3C6D02" w14:textId="77777777">
      <w:pPr>
        <w:overflowPunct/>
        <w:ind w:firstLine="720"/>
        <w:textAlignment w:val="auto"/>
        <w:rPr>
          <w:rFonts w:ascii="TimesNewRomanPSMT" w:hAnsi="TimesNewRomanPSMT" w:cs="TimesNewRomanPSMT"/>
          <w:szCs w:val="24"/>
        </w:rPr>
      </w:pPr>
      <w:r>
        <w:rPr>
          <w:rFonts w:ascii="TimesNewRomanPSMT" w:hAnsi="TimesNewRomanPSMT" w:cs="TimesNewRomanPSMT"/>
          <w:szCs w:val="24"/>
        </w:rPr>
        <w:t>The work required to comply with the Pre-Sale Availability Rule entails a mix of clerical</w:t>
      </w:r>
    </w:p>
    <w:p w:rsidR="006D02D3" w:rsidRPr="006D02D3" w:rsidP="006D02D3" w14:paraId="5C8F2892" w14:textId="3259B4EC">
      <w:pPr>
        <w:overflowPunct/>
        <w:ind w:left="720"/>
        <w:textAlignment w:val="auto"/>
        <w:rPr>
          <w:rFonts w:ascii="TimesNewRomanPSMT" w:hAnsi="TimesNewRomanPSMT" w:cs="TimesNewRomanPSMT"/>
        </w:rPr>
      </w:pPr>
      <w:r>
        <w:rPr>
          <w:rFonts w:ascii="TimesNewRomanPSMT" w:hAnsi="TimesNewRomanPSMT" w:cs="TimesNewRomanPSMT"/>
          <w:szCs w:val="24"/>
        </w:rPr>
        <w:t>work and work performed by sales associates. Staff estimates that half of the total burden hours would likely be performed by sales associates. At the manufacturing level, this work would entail ensuring that the written warranty is available for every warranted consumer product. At the retail level, this work would entail ensuring that the written warranty is made available to the consumer prior to sale. The remaining half of the work required to comply with the Pre-Sale</w:t>
      </w:r>
      <w:r>
        <w:rPr>
          <w:rFonts w:ascii="TimesNewRomanPSMT" w:hAnsi="TimesNewRomanPSMT" w:cs="TimesNewRomanPSMT"/>
        </w:rPr>
        <w:t xml:space="preserve"> </w:t>
      </w:r>
      <w:r w:rsidRPr="006D02D3">
        <w:rPr>
          <w:rFonts w:ascii="TimesNewRomanPSMT" w:hAnsi="TimesNewRomanPSMT" w:cs="TimesNewRomanPSMT"/>
          <w:szCs w:val="24"/>
        </w:rPr>
        <w:t>Availability Rule is clerical in nature</w:t>
      </w:r>
      <w:r w:rsidRPr="006D02D3">
        <w:rPr>
          <w:rFonts w:ascii="TimesNewRomanPSMT" w:hAnsi="TimesNewRomanPSMT" w:cs="TimesNewRomanPSMT"/>
          <w:i/>
          <w:iCs/>
          <w:szCs w:val="24"/>
        </w:rPr>
        <w:t>, e.g.</w:t>
      </w:r>
      <w:r w:rsidRPr="006D02D3">
        <w:rPr>
          <w:rFonts w:ascii="TimesNewRomanPSMT" w:hAnsi="TimesNewRomanPSMT" w:cs="TimesNewRomanPSMT"/>
          <w:szCs w:val="24"/>
        </w:rPr>
        <w:t>, shipping or otherwise providing copies of</w:t>
      </w:r>
      <w:r>
        <w:rPr>
          <w:rFonts w:ascii="TimesNewRomanPSMT" w:hAnsi="TimesNewRomanPSMT" w:cs="TimesNewRomanPSMT"/>
        </w:rPr>
        <w:t xml:space="preserve"> </w:t>
      </w:r>
      <w:r w:rsidRPr="006D02D3">
        <w:rPr>
          <w:rFonts w:ascii="TimesNewRomanPSMT" w:hAnsi="TimesNewRomanPSMT" w:cs="TimesNewRomanPSMT"/>
          <w:szCs w:val="24"/>
        </w:rPr>
        <w:t>manufacturer warranties to retailers, along with retailer maintenance of the warranties. Applying</w:t>
      </w:r>
      <w:r>
        <w:rPr>
          <w:rFonts w:ascii="TimesNewRomanPSMT" w:hAnsi="TimesNewRomanPSMT" w:cs="TimesNewRomanPSMT"/>
        </w:rPr>
        <w:t xml:space="preserve"> </w:t>
      </w:r>
      <w:r w:rsidRPr="006D02D3">
        <w:rPr>
          <w:rFonts w:ascii="TimesNewRomanPSMT" w:hAnsi="TimesNewRomanPSMT" w:cs="TimesNewRomanPSMT"/>
          <w:szCs w:val="24"/>
        </w:rPr>
        <w:t>a sales associate wage rate of $</w:t>
      </w:r>
      <w:r w:rsidR="00255E54">
        <w:rPr>
          <w:rFonts w:ascii="TimesNewRomanPSMT" w:hAnsi="TimesNewRomanPSMT" w:cs="TimesNewRomanPSMT"/>
          <w:szCs w:val="24"/>
        </w:rPr>
        <w:t>30</w:t>
      </w:r>
      <w:r w:rsidRPr="006D02D3">
        <w:rPr>
          <w:rFonts w:ascii="TimesNewRomanPSMT" w:hAnsi="TimesNewRomanPSMT" w:cs="TimesNewRomanPSMT"/>
          <w:szCs w:val="24"/>
        </w:rPr>
        <w:t>/hour to half of the burden hours and a clerical wage rate of</w:t>
      </w:r>
      <w:r>
        <w:rPr>
          <w:rFonts w:ascii="TimesNewRomanPSMT" w:hAnsi="TimesNewRomanPSMT" w:cs="TimesNewRomanPSMT"/>
        </w:rPr>
        <w:t xml:space="preserve"> </w:t>
      </w:r>
      <w:r w:rsidRPr="006D02D3">
        <w:rPr>
          <w:rFonts w:ascii="TimesNewRomanPSMT" w:hAnsi="TimesNewRomanPSMT" w:cs="TimesNewRomanPSMT"/>
          <w:szCs w:val="24"/>
        </w:rPr>
        <w:t>$2</w:t>
      </w:r>
      <w:r w:rsidR="007D6AF8">
        <w:rPr>
          <w:rFonts w:ascii="TimesNewRomanPSMT" w:hAnsi="TimesNewRomanPSMT" w:cs="TimesNewRomanPSMT"/>
          <w:szCs w:val="24"/>
        </w:rPr>
        <w:t>7</w:t>
      </w:r>
      <w:r w:rsidRPr="006D02D3">
        <w:rPr>
          <w:rFonts w:ascii="TimesNewRomanPSMT" w:hAnsi="TimesNewRomanPSMT" w:cs="TimesNewRomanPSMT"/>
          <w:szCs w:val="24"/>
        </w:rPr>
        <w:t>/hour to half of the burden hours, the total annual labor cost burden is approximately</w:t>
      </w:r>
      <w:r>
        <w:rPr>
          <w:rFonts w:ascii="TimesNewRomanPSMT" w:hAnsi="TimesNewRomanPSMT" w:cs="TimesNewRomanPSMT"/>
        </w:rPr>
        <w:t xml:space="preserve"> </w:t>
      </w:r>
      <w:r w:rsidRPr="006D02D3">
        <w:rPr>
          <w:rFonts w:ascii="TimesNewRomanPSMT" w:hAnsi="TimesNewRomanPSMT" w:cs="TimesNewRomanPSMT"/>
        </w:rPr>
        <w:t>$</w:t>
      </w:r>
      <w:r w:rsidRPr="00255E54" w:rsidR="00255E54">
        <w:rPr>
          <w:rFonts w:ascii="TimesNewRomanPSMT" w:hAnsi="TimesNewRomanPSMT" w:cs="TimesNewRomanPSMT"/>
        </w:rPr>
        <w:t>74,437,041</w:t>
      </w:r>
      <w:r w:rsidR="00255E54">
        <w:rPr>
          <w:rFonts w:ascii="TimesNewRomanPSMT" w:hAnsi="TimesNewRomanPSMT" w:cs="TimesNewRomanPSMT"/>
        </w:rPr>
        <w:t xml:space="preserve"> </w:t>
      </w:r>
      <w:r w:rsidRPr="006D02D3">
        <w:rPr>
          <w:rFonts w:ascii="TimesNewRomanPSMT" w:hAnsi="TimesNewRomanPSMT" w:cs="TimesNewRomanPSMT"/>
        </w:rPr>
        <w:t>(1,3</w:t>
      </w:r>
      <w:r w:rsidR="007D6AF8">
        <w:rPr>
          <w:rFonts w:ascii="TimesNewRomanPSMT" w:hAnsi="TimesNewRomanPSMT" w:cs="TimesNewRomanPSMT"/>
        </w:rPr>
        <w:t>05,913</w:t>
      </w:r>
      <w:r w:rsidRPr="006D02D3">
        <w:rPr>
          <w:rFonts w:ascii="TimesNewRomanPSMT" w:hAnsi="TimesNewRomanPSMT" w:cs="TimesNewRomanPSMT"/>
        </w:rPr>
        <w:t xml:space="preserve"> hours x $</w:t>
      </w:r>
      <w:r w:rsidR="00255E54">
        <w:rPr>
          <w:rFonts w:ascii="TimesNewRomanPSMT" w:hAnsi="TimesNewRomanPSMT" w:cs="TimesNewRomanPSMT"/>
        </w:rPr>
        <w:t>30</w:t>
      </w:r>
      <w:r w:rsidRPr="006D02D3">
        <w:rPr>
          <w:rFonts w:ascii="TimesNewRomanPSMT" w:hAnsi="TimesNewRomanPSMT" w:cs="TimesNewRomanPSMT"/>
        </w:rPr>
        <w:t xml:space="preserve"> per hour) + (1,3</w:t>
      </w:r>
      <w:r w:rsidR="007D6AF8">
        <w:rPr>
          <w:rFonts w:ascii="TimesNewRomanPSMT" w:hAnsi="TimesNewRomanPSMT" w:cs="TimesNewRomanPSMT"/>
        </w:rPr>
        <w:t>05,913</w:t>
      </w:r>
      <w:r w:rsidRPr="006D02D3">
        <w:rPr>
          <w:rFonts w:ascii="TimesNewRomanPSMT" w:hAnsi="TimesNewRomanPSMT" w:cs="TimesNewRomanPSMT"/>
        </w:rPr>
        <w:t xml:space="preserve"> hours x $2</w:t>
      </w:r>
      <w:r w:rsidR="007D6AF8">
        <w:rPr>
          <w:rFonts w:ascii="TimesNewRomanPSMT" w:hAnsi="TimesNewRomanPSMT" w:cs="TimesNewRomanPSMT"/>
        </w:rPr>
        <w:t>7</w:t>
      </w:r>
      <w:r w:rsidRPr="006D02D3">
        <w:rPr>
          <w:rFonts w:ascii="TimesNewRomanPSMT" w:hAnsi="TimesNewRomanPSMT" w:cs="TimesNewRomanPSMT"/>
        </w:rPr>
        <w:t xml:space="preserve"> per hour).</w:t>
      </w:r>
    </w:p>
    <w:p w:rsidR="006D02D3" w:rsidRPr="006D02D3" w:rsidP="006D02D3" w14:paraId="54B253C3" w14:textId="77777777">
      <w:pPr>
        <w:pStyle w:val="NormalWeb"/>
        <w:widowControl w:val="0"/>
        <w:tabs>
          <w:tab w:val="left" w:pos="360"/>
          <w:tab w:val="left" w:pos="720"/>
          <w:tab w:val="left" w:pos="1080"/>
          <w:tab w:val="left" w:pos="1440"/>
        </w:tabs>
        <w:spacing w:before="0" w:beforeAutospacing="0" w:after="0" w:afterAutospacing="0"/>
      </w:pPr>
    </w:p>
    <w:p w:rsidR="00140127" w:rsidRPr="00CF2A4E" w:rsidP="00FE1E6C" w14:paraId="6B7DA454" w14:textId="77777777">
      <w:pPr>
        <w:pStyle w:val="NormalWeb"/>
        <w:widowControl w:val="0"/>
        <w:numPr>
          <w:ilvl w:val="0"/>
          <w:numId w:val="32"/>
        </w:numPr>
        <w:tabs>
          <w:tab w:val="left" w:pos="360"/>
          <w:tab w:val="left" w:pos="720"/>
          <w:tab w:val="left" w:pos="1080"/>
          <w:tab w:val="left" w:pos="1440"/>
        </w:tabs>
        <w:spacing w:before="0" w:beforeAutospacing="0" w:after="0" w:afterAutospacing="0"/>
        <w:contextualSpacing/>
        <w:rPr>
          <w:b/>
          <w:bCs/>
          <w:strike/>
        </w:rPr>
      </w:pPr>
      <w:r w:rsidRPr="00CF2A4E">
        <w:rPr>
          <w:b/>
          <w:bCs/>
          <w:u w:val="single"/>
        </w:rPr>
        <w:t>Estimated Capital/Other Non-Labor Costs Burden.</w:t>
      </w:r>
      <w:r w:rsidRPr="00CF2A4E">
        <w:rPr>
          <w:b/>
          <w:bCs/>
        </w:rPr>
        <w:t xml:space="preserve"> </w:t>
      </w:r>
    </w:p>
    <w:p w:rsidR="00140127" w:rsidP="00140127" w14:paraId="5C726BA2" w14:textId="77777777">
      <w:pPr>
        <w:pStyle w:val="NormalWeb"/>
        <w:widowControl w:val="0"/>
        <w:tabs>
          <w:tab w:val="left" w:pos="360"/>
          <w:tab w:val="left" w:pos="720"/>
          <w:tab w:val="left" w:pos="1080"/>
          <w:tab w:val="left" w:pos="1440"/>
        </w:tabs>
        <w:spacing w:before="0" w:beforeAutospacing="0" w:after="0" w:afterAutospacing="0"/>
        <w:ind w:left="720"/>
        <w:contextualSpacing/>
        <w:rPr>
          <w:strike/>
        </w:rPr>
      </w:pPr>
    </w:p>
    <w:p w:rsidR="00CB0981" w:rsidRPr="00140127" w:rsidP="00140127" w14:paraId="73A17F19" w14:textId="1D302E71">
      <w:pPr>
        <w:pStyle w:val="NormalWeb"/>
        <w:widowControl w:val="0"/>
        <w:tabs>
          <w:tab w:val="left" w:pos="360"/>
          <w:tab w:val="left" w:pos="720"/>
          <w:tab w:val="left" w:pos="1080"/>
          <w:tab w:val="left" w:pos="1440"/>
        </w:tabs>
        <w:spacing w:before="0" w:beforeAutospacing="0" w:after="0" w:afterAutospacing="0"/>
        <w:ind w:left="720"/>
        <w:contextualSpacing/>
        <w:rPr>
          <w:strike/>
        </w:rPr>
      </w:pPr>
      <w:r>
        <w:t xml:space="preserve">Total annual capital or other nonlabor costs: </w:t>
      </w:r>
      <w:r w:rsidRPr="00140127">
        <w:rPr>
          <w:i/>
          <w:iCs/>
        </w:rPr>
        <w:t>De minimis</w:t>
      </w:r>
      <w:r>
        <w:t xml:space="preserve">. The vast majority of retailers and warrantors already have developed systems to provide the information the Rule requires. Compliance by retailers typically entails keeping warranties on file electronically, in binders or otherwise, and posting an inexpensive sign indicating warranty availability. Warrantor compliance under the 2016 amendments entails providing retailers, together with the warranted good, a copy of the warranty or the address of the warrantor’s internet website where the consumer can review and obtain the warranty terms, along with the contact information where the consumer may use a non-internet based method to obtain a free copy of the warranty terms. Commission staff believes that, in light of the </w:t>
      </w:r>
      <w:r w:rsidRPr="00FE1E6C">
        <w:t xml:space="preserve">amendments, annual capital or other non-labor costs will remain </w:t>
      </w:r>
      <w:r w:rsidRPr="00CF2A4E">
        <w:rPr>
          <w:i/>
          <w:iCs/>
        </w:rPr>
        <w:t>de minimis</w:t>
      </w:r>
      <w:r w:rsidRPr="00FE1E6C">
        <w:t xml:space="preserve">. </w:t>
      </w:r>
    </w:p>
    <w:p w:rsidR="00FE1E6C" w:rsidRPr="00FE1E6C" w:rsidP="006E200C" w14:paraId="234999F8" w14:textId="77777777">
      <w:pPr>
        <w:widowControl w:val="0"/>
        <w:tabs>
          <w:tab w:val="left" w:pos="820"/>
          <w:tab w:val="left" w:pos="821"/>
        </w:tabs>
        <w:overflowPunct/>
        <w:adjustRightInd/>
        <w:ind w:right="195"/>
        <w:textAlignment w:val="auto"/>
        <w:rPr>
          <w:rFonts w:ascii="Times New Roman" w:hAnsi="Times New Roman"/>
          <w:szCs w:val="24"/>
        </w:rPr>
      </w:pPr>
    </w:p>
    <w:p w:rsidR="00140127" w:rsidRPr="00CF2A4E" w:rsidP="00FE1E6C" w14:paraId="2D446B1C" w14:textId="77777777">
      <w:pPr>
        <w:pStyle w:val="ListParagraph"/>
        <w:widowControl w:val="0"/>
        <w:numPr>
          <w:ilvl w:val="0"/>
          <w:numId w:val="32"/>
        </w:numPr>
        <w:tabs>
          <w:tab w:val="left" w:pos="820"/>
          <w:tab w:val="left" w:pos="821"/>
        </w:tabs>
        <w:overflowPunct/>
        <w:adjustRightInd/>
        <w:ind w:right="202"/>
        <w:textAlignment w:val="auto"/>
        <w:rPr>
          <w:rFonts w:ascii="Times New Roman" w:hAnsi="Times New Roman"/>
          <w:b/>
          <w:bCs/>
          <w:szCs w:val="24"/>
        </w:rPr>
      </w:pPr>
      <w:r w:rsidRPr="00CF2A4E">
        <w:rPr>
          <w:rFonts w:ascii="Times New Roman" w:hAnsi="Times New Roman"/>
          <w:b/>
          <w:bCs/>
          <w:szCs w:val="24"/>
          <w:u w:val="single"/>
        </w:rPr>
        <w:t xml:space="preserve">Estimated </w:t>
      </w:r>
      <w:r w:rsidRPr="00CF2A4E" w:rsidR="009C5B83">
        <w:rPr>
          <w:rFonts w:ascii="Times New Roman" w:hAnsi="Times New Roman"/>
          <w:b/>
          <w:bCs/>
          <w:szCs w:val="24"/>
          <w:u w:val="single"/>
        </w:rPr>
        <w:t>C</w:t>
      </w:r>
      <w:r w:rsidRPr="00CF2A4E">
        <w:rPr>
          <w:rFonts w:ascii="Times New Roman" w:hAnsi="Times New Roman"/>
          <w:b/>
          <w:bCs/>
          <w:szCs w:val="24"/>
          <w:u w:val="single"/>
        </w:rPr>
        <w:t>ost to the Government</w:t>
      </w:r>
      <w:r w:rsidRPr="00CF2A4E">
        <w:rPr>
          <w:rFonts w:ascii="Times New Roman" w:hAnsi="Times New Roman"/>
          <w:b/>
          <w:bCs/>
          <w:szCs w:val="24"/>
        </w:rPr>
        <w:t xml:space="preserve">. </w:t>
      </w:r>
    </w:p>
    <w:p w:rsidR="00140127" w:rsidRPr="00140127" w:rsidP="00140127" w14:paraId="34CDEEAF" w14:textId="77777777">
      <w:pPr>
        <w:pStyle w:val="ListParagraph"/>
        <w:rPr>
          <w:rFonts w:ascii="TimesNewRomanPSMT" w:hAnsi="TimesNewRomanPSMT" w:cs="TimesNewRomanPSMT"/>
          <w:szCs w:val="24"/>
        </w:rPr>
      </w:pPr>
    </w:p>
    <w:p w:rsidR="006D3366" w:rsidRPr="00FE1E6C" w:rsidP="00CF2A4E" w14:paraId="001732B4" w14:textId="2BD2FC0D">
      <w:pPr>
        <w:pStyle w:val="ListParagraph"/>
        <w:widowControl w:val="0"/>
        <w:tabs>
          <w:tab w:val="left" w:pos="820"/>
          <w:tab w:val="left" w:pos="821"/>
        </w:tabs>
        <w:overflowPunct/>
        <w:adjustRightInd/>
        <w:textAlignment w:val="auto"/>
        <w:rPr>
          <w:rFonts w:ascii="Times New Roman" w:hAnsi="Times New Roman"/>
          <w:szCs w:val="24"/>
        </w:rPr>
      </w:pPr>
      <w:r w:rsidRPr="00FE1E6C">
        <w:rPr>
          <w:rFonts w:ascii="TimesNewRomanPSMT" w:hAnsi="TimesNewRomanPSMT" w:cs="TimesNewRomanPSMT"/>
          <w:szCs w:val="24"/>
        </w:rPr>
        <w:t xml:space="preserve">The estimated yearly cost to the Federal </w:t>
      </w:r>
      <w:r w:rsidRPr="00B10484">
        <w:rPr>
          <w:rFonts w:ascii="TimesNewRomanPSMT" w:hAnsi="TimesNewRomanPSMT" w:cs="TimesNewRomanPSMT"/>
          <w:szCs w:val="24"/>
        </w:rPr>
        <w:t>Government resulting from administration of the Rule’s warranty disclosure requirements is $</w:t>
      </w:r>
      <w:r w:rsidRPr="00B10484" w:rsidR="00B06859">
        <w:rPr>
          <w:rFonts w:ascii="TimesNewRomanPSMT" w:hAnsi="TimesNewRomanPSMT" w:cs="TimesNewRomanPSMT"/>
          <w:szCs w:val="24"/>
        </w:rPr>
        <w:t>20</w:t>
      </w:r>
      <w:r w:rsidRPr="00B10484">
        <w:rPr>
          <w:rFonts w:ascii="TimesNewRomanPSMT" w:hAnsi="TimesNewRomanPSMT" w:cs="TimesNewRomanPSMT"/>
          <w:szCs w:val="24"/>
        </w:rPr>
        <w:t>,000, which</w:t>
      </w:r>
      <w:r w:rsidRPr="00FE1E6C">
        <w:rPr>
          <w:rFonts w:ascii="TimesNewRomanPSMT" w:hAnsi="TimesNewRomanPSMT" w:cs="TimesNewRomanPSMT"/>
          <w:szCs w:val="24"/>
        </w:rPr>
        <w:t xml:space="preserve"> is approximately the cost of one-tenth of a professional work year.</w:t>
      </w:r>
    </w:p>
    <w:p w:rsidR="006D3366" w:rsidRPr="00FE1E6C" w:rsidP="00F92988" w14:paraId="740ED973" w14:textId="77777777">
      <w:pPr>
        <w:widowControl w:val="0"/>
        <w:tabs>
          <w:tab w:val="left" w:pos="360"/>
          <w:tab w:val="left" w:pos="720"/>
          <w:tab w:val="left" w:pos="1080"/>
        </w:tabs>
        <w:rPr>
          <w:rFonts w:ascii="Times New Roman" w:hAnsi="Times New Roman"/>
          <w:szCs w:val="24"/>
        </w:rPr>
      </w:pPr>
    </w:p>
    <w:p w:rsidR="00140127" w:rsidRPr="00CF2A4E" w:rsidP="00FE1E6C" w14:paraId="71EA2679" w14:textId="77777777">
      <w:pPr>
        <w:pStyle w:val="ListParagraph"/>
        <w:numPr>
          <w:ilvl w:val="0"/>
          <w:numId w:val="32"/>
        </w:numPr>
        <w:overflowPunct/>
        <w:textAlignment w:val="auto"/>
        <w:rPr>
          <w:rFonts w:ascii="TimesNewRomanPSMT" w:hAnsi="TimesNewRomanPSMT" w:cs="TimesNewRomanPSMT"/>
          <w:b/>
          <w:bCs/>
          <w:szCs w:val="24"/>
        </w:rPr>
      </w:pPr>
      <w:r w:rsidRPr="00CF2A4E">
        <w:rPr>
          <w:rFonts w:ascii="Times New Roman" w:hAnsi="Times New Roman"/>
          <w:b/>
          <w:bCs/>
          <w:szCs w:val="24"/>
          <w:u w:val="single"/>
        </w:rPr>
        <w:t>Program Changes or Adjustments</w:t>
      </w:r>
      <w:r w:rsidRPr="00CF2A4E" w:rsidR="00F56608">
        <w:rPr>
          <w:rFonts w:ascii="Times New Roman" w:hAnsi="Times New Roman"/>
          <w:b/>
          <w:bCs/>
          <w:szCs w:val="24"/>
        </w:rPr>
        <w:t>.</w:t>
      </w:r>
      <w:r w:rsidRPr="00CF2A4E" w:rsidR="006D3366">
        <w:rPr>
          <w:rFonts w:ascii="Times New Roman" w:hAnsi="Times New Roman"/>
          <w:b/>
          <w:bCs/>
          <w:szCs w:val="24"/>
        </w:rPr>
        <w:t xml:space="preserve">  </w:t>
      </w:r>
    </w:p>
    <w:p w:rsidR="00140127" w:rsidRPr="00140127" w:rsidP="00140127" w14:paraId="3ED2E30C" w14:textId="77777777">
      <w:pPr>
        <w:pStyle w:val="ListParagraph"/>
        <w:rPr>
          <w:rFonts w:ascii="TimesNewRomanPSMT" w:hAnsi="TimesNewRomanPSMT" w:cs="TimesNewRomanPSMT"/>
          <w:szCs w:val="24"/>
        </w:rPr>
      </w:pPr>
    </w:p>
    <w:p w:rsidR="001E1B8B" w:rsidRPr="00FE1E6C" w:rsidP="00140127" w14:paraId="62221005" w14:textId="5065F162">
      <w:pPr>
        <w:pStyle w:val="ListParagraph"/>
        <w:overflowPunct/>
        <w:textAlignment w:val="auto"/>
        <w:rPr>
          <w:rFonts w:ascii="TimesNewRomanPSMT" w:hAnsi="TimesNewRomanPSMT" w:cs="TimesNewRomanPSMT"/>
          <w:szCs w:val="24"/>
        </w:rPr>
      </w:pPr>
      <w:r w:rsidRPr="00FE1E6C">
        <w:rPr>
          <w:rFonts w:ascii="TimesNewRomanPSMT" w:hAnsi="TimesNewRomanPSMT" w:cs="TimesNewRomanPSMT"/>
          <w:szCs w:val="24"/>
        </w:rPr>
        <w:t xml:space="preserve">There are no program changes. The estimated annual hours of burden has slightly decreased from </w:t>
      </w:r>
      <w:r w:rsidRPr="00FE1E6C" w:rsidR="00A92CD3">
        <w:rPr>
          <w:rFonts w:ascii="TimesNewRomanPSMT" w:hAnsi="TimesNewRomanPSMT" w:cs="TimesNewRomanPSMT"/>
          <w:szCs w:val="24"/>
        </w:rPr>
        <w:t>2,764,837</w:t>
      </w:r>
      <w:r w:rsidRPr="00FE1E6C">
        <w:rPr>
          <w:rFonts w:ascii="TimesNewRomanPSMT" w:hAnsi="TimesNewRomanPSMT" w:cs="TimesNewRomanPSMT"/>
          <w:szCs w:val="24"/>
        </w:rPr>
        <w:t xml:space="preserve"> estimated hours in 202</w:t>
      </w:r>
      <w:r w:rsidRPr="00FE1E6C" w:rsidR="00A92CD3">
        <w:rPr>
          <w:rFonts w:ascii="TimesNewRomanPSMT" w:hAnsi="TimesNewRomanPSMT" w:cs="TimesNewRomanPSMT"/>
          <w:szCs w:val="24"/>
        </w:rPr>
        <w:t>3</w:t>
      </w:r>
      <w:r w:rsidRPr="00FE1E6C">
        <w:rPr>
          <w:rFonts w:ascii="TimesNewRomanPSMT" w:hAnsi="TimesNewRomanPSMT" w:cs="TimesNewRomanPSMT"/>
          <w:szCs w:val="24"/>
        </w:rPr>
        <w:t xml:space="preserve"> to</w:t>
      </w:r>
      <w:r w:rsidRPr="00FE1E6C" w:rsidR="00A92CD3">
        <w:rPr>
          <w:rFonts w:ascii="TimesNewRomanPSMT" w:hAnsi="TimesNewRomanPSMT" w:cs="TimesNewRomanPSMT"/>
          <w:szCs w:val="24"/>
        </w:rPr>
        <w:t xml:space="preserve"> 2,611,826</w:t>
      </w:r>
      <w:r w:rsidRPr="00FE1E6C">
        <w:rPr>
          <w:rFonts w:ascii="TimesNewRomanPSMT" w:hAnsi="TimesNewRomanPSMT" w:cs="TimesNewRomanPSMT"/>
          <w:szCs w:val="24"/>
        </w:rPr>
        <w:t xml:space="preserve"> estimated hours in 202</w:t>
      </w:r>
      <w:r w:rsidRPr="00FE1E6C" w:rsidR="00A92CD3">
        <w:rPr>
          <w:rFonts w:ascii="TimesNewRomanPSMT" w:hAnsi="TimesNewRomanPSMT" w:cs="TimesNewRomanPSMT"/>
          <w:szCs w:val="24"/>
        </w:rPr>
        <w:t>6</w:t>
      </w:r>
      <w:r w:rsidRPr="00FE1E6C">
        <w:rPr>
          <w:rFonts w:ascii="TimesNewRomanPSMT" w:hAnsi="TimesNewRomanPSMT" w:cs="TimesNewRomanPSMT"/>
          <w:szCs w:val="24"/>
        </w:rPr>
        <w:t>.</w:t>
      </w:r>
    </w:p>
    <w:p w:rsidR="00FE1E6C" w:rsidP="001E1B8B" w14:paraId="74A90A27" w14:textId="77777777">
      <w:pPr>
        <w:overflowPunct/>
        <w:textAlignment w:val="auto"/>
        <w:rPr>
          <w:rFonts w:ascii="TimesNewRomanPSMT" w:hAnsi="TimesNewRomanPSMT" w:cs="TimesNewRomanPSMT"/>
          <w:szCs w:val="24"/>
        </w:rPr>
      </w:pPr>
    </w:p>
    <w:p w:rsidR="00366678" w:rsidRPr="00FE1E6C" w:rsidP="00FE1E6C" w14:paraId="759D25B2" w14:textId="3E4601EF">
      <w:pPr>
        <w:overflowPunct/>
        <w:ind w:left="720"/>
        <w:textAlignment w:val="auto"/>
        <w:rPr>
          <w:rFonts w:ascii="TimesNewRomanPSMT" w:hAnsi="TimesNewRomanPSMT" w:cs="TimesNewRomanPSMT"/>
          <w:szCs w:val="24"/>
        </w:rPr>
      </w:pPr>
      <w:r>
        <w:rPr>
          <w:rFonts w:ascii="TimesNewRomanPSMT" w:hAnsi="TimesNewRomanPSMT" w:cs="TimesNewRomanPSMT"/>
          <w:szCs w:val="24"/>
        </w:rPr>
        <w:t>This slight decrease is largely attributable to our estimate that there are fewer retailers and</w:t>
      </w:r>
      <w:r w:rsidR="00FE1E6C">
        <w:rPr>
          <w:rFonts w:ascii="TimesNewRomanPSMT" w:hAnsi="TimesNewRomanPSMT" w:cs="TimesNewRomanPSMT"/>
          <w:szCs w:val="24"/>
        </w:rPr>
        <w:t xml:space="preserve"> </w:t>
      </w:r>
      <w:r>
        <w:rPr>
          <w:rFonts w:ascii="TimesNewRomanPSMT" w:hAnsi="TimesNewRomanPSMT" w:cs="TimesNewRomanPSMT"/>
          <w:szCs w:val="24"/>
        </w:rPr>
        <w:t>manufacturers now subject to warranty requirements. The associated labor burden figure</w:t>
      </w:r>
      <w:r w:rsidR="00FE1E6C">
        <w:rPr>
          <w:rFonts w:ascii="TimesNewRomanPSMT" w:hAnsi="TimesNewRomanPSMT" w:cs="TimesNewRomanPSMT"/>
          <w:szCs w:val="24"/>
        </w:rPr>
        <w:t xml:space="preserve"> </w:t>
      </w:r>
      <w:r w:rsidR="00A92CD3">
        <w:rPr>
          <w:rFonts w:ascii="TimesNewRomanPSMT" w:hAnsi="TimesNewRomanPSMT" w:cs="TimesNewRomanPSMT"/>
          <w:szCs w:val="24"/>
        </w:rPr>
        <w:t>increased</w:t>
      </w:r>
      <w:r>
        <w:rPr>
          <w:rFonts w:ascii="TimesNewRomanPSMT" w:hAnsi="TimesNewRomanPSMT" w:cs="TimesNewRomanPSMT"/>
          <w:szCs w:val="24"/>
        </w:rPr>
        <w:t xml:space="preserve"> from </w:t>
      </w:r>
      <w:r w:rsidR="00A92CD3">
        <w:rPr>
          <w:rFonts w:ascii="TimesNewRomanPSMT" w:hAnsi="TimesNewRomanPSMT" w:cs="TimesNewRomanPSMT"/>
          <w:szCs w:val="24"/>
        </w:rPr>
        <w:t>$67,738,531</w:t>
      </w:r>
      <w:r>
        <w:rPr>
          <w:rFonts w:ascii="TimesNewRomanPSMT" w:hAnsi="TimesNewRomanPSMT" w:cs="TimesNewRomanPSMT"/>
          <w:szCs w:val="24"/>
        </w:rPr>
        <w:t xml:space="preserve"> in 202</w:t>
      </w:r>
      <w:r w:rsidR="00A92CD3">
        <w:rPr>
          <w:rFonts w:ascii="TimesNewRomanPSMT" w:hAnsi="TimesNewRomanPSMT" w:cs="TimesNewRomanPSMT"/>
          <w:szCs w:val="24"/>
        </w:rPr>
        <w:t>3</w:t>
      </w:r>
      <w:r>
        <w:rPr>
          <w:rFonts w:ascii="TimesNewRomanPSMT" w:hAnsi="TimesNewRomanPSMT" w:cs="TimesNewRomanPSMT"/>
          <w:szCs w:val="24"/>
        </w:rPr>
        <w:t xml:space="preserve"> to </w:t>
      </w:r>
      <w:r w:rsidR="00A92CD3">
        <w:rPr>
          <w:rFonts w:ascii="TimesNewRomanPSMT" w:hAnsi="TimesNewRomanPSMT" w:cs="TimesNewRomanPSMT"/>
          <w:szCs w:val="24"/>
        </w:rPr>
        <w:t>$</w:t>
      </w:r>
      <w:r w:rsidRPr="00255E54" w:rsidR="00255E54">
        <w:rPr>
          <w:rFonts w:ascii="TimesNewRomanPSMT" w:hAnsi="TimesNewRomanPSMT" w:cs="TimesNewRomanPSMT"/>
          <w:szCs w:val="24"/>
        </w:rPr>
        <w:t>74,437,041</w:t>
      </w:r>
      <w:r w:rsidR="00255E54">
        <w:rPr>
          <w:rFonts w:ascii="TimesNewRomanPSMT" w:hAnsi="TimesNewRomanPSMT" w:cs="TimesNewRomanPSMT"/>
          <w:szCs w:val="24"/>
        </w:rPr>
        <w:t xml:space="preserve"> </w:t>
      </w:r>
      <w:r>
        <w:rPr>
          <w:rFonts w:ascii="TimesNewRomanPSMT" w:hAnsi="TimesNewRomanPSMT" w:cs="TimesNewRomanPSMT"/>
          <w:szCs w:val="24"/>
        </w:rPr>
        <w:t>in 202</w:t>
      </w:r>
      <w:r w:rsidR="00A92CD3">
        <w:rPr>
          <w:rFonts w:ascii="TimesNewRomanPSMT" w:hAnsi="TimesNewRomanPSMT" w:cs="TimesNewRomanPSMT"/>
          <w:szCs w:val="24"/>
        </w:rPr>
        <w:t xml:space="preserve">6 due to </w:t>
      </w:r>
      <w:r>
        <w:rPr>
          <w:rFonts w:ascii="TimesNewRomanPSMT" w:hAnsi="TimesNewRomanPSMT" w:cs="TimesNewRomanPSMT"/>
          <w:szCs w:val="24"/>
        </w:rPr>
        <w:t>a slight increase in the hourly rates for clerks and sales associates</w:t>
      </w:r>
      <w:r w:rsidR="00A92CD3">
        <w:rPr>
          <w:rFonts w:ascii="TimesNewRomanPSMT" w:hAnsi="TimesNewRomanPSMT" w:cs="TimesNewRomanPSMT"/>
          <w:szCs w:val="24"/>
        </w:rPr>
        <w:t>.</w:t>
      </w:r>
    </w:p>
    <w:p w:rsidR="009C5B83" w:rsidRPr="006E200C" w:rsidP="006E200C" w14:paraId="749B72F0" w14:textId="77777777">
      <w:pPr>
        <w:widowControl w:val="0"/>
        <w:tabs>
          <w:tab w:val="left" w:pos="360"/>
          <w:tab w:val="left" w:pos="720"/>
          <w:tab w:val="left" w:pos="1080"/>
        </w:tabs>
        <w:rPr>
          <w:rFonts w:ascii="Times New Roman" w:hAnsi="Times New Roman"/>
          <w:szCs w:val="24"/>
        </w:rPr>
      </w:pPr>
    </w:p>
    <w:p w:rsidR="00140127" w:rsidRPr="00CF2A4E" w:rsidP="00FE1E6C" w14:paraId="146033CB" w14:textId="77777777">
      <w:pPr>
        <w:pStyle w:val="ListParagraph"/>
        <w:widowControl w:val="0"/>
        <w:numPr>
          <w:ilvl w:val="0"/>
          <w:numId w:val="32"/>
        </w:numPr>
        <w:tabs>
          <w:tab w:val="left" w:pos="360"/>
          <w:tab w:val="left" w:pos="720"/>
          <w:tab w:val="left" w:pos="1080"/>
        </w:tabs>
        <w:rPr>
          <w:rFonts w:ascii="Times New Roman" w:hAnsi="Times New Roman"/>
          <w:b/>
          <w:bCs/>
          <w:szCs w:val="24"/>
        </w:rPr>
      </w:pPr>
      <w:r w:rsidRPr="00CF2A4E">
        <w:rPr>
          <w:b/>
          <w:bCs/>
          <w:u w:val="single"/>
        </w:rPr>
        <w:t>Publicizing Results.</w:t>
      </w:r>
      <w:r w:rsidRPr="00CF2A4E" w:rsidR="00A92CD3">
        <w:rPr>
          <w:rFonts w:ascii="TimesNewRomanPSMT" w:hAnsi="TimesNewRomanPSMT" w:cs="TimesNewRomanPSMT"/>
          <w:b/>
          <w:bCs/>
          <w:szCs w:val="24"/>
        </w:rPr>
        <w:t xml:space="preserve"> </w:t>
      </w:r>
    </w:p>
    <w:p w:rsidR="00140127" w:rsidP="00140127" w14:paraId="7482939D" w14:textId="77777777">
      <w:pPr>
        <w:pStyle w:val="ListParagraph"/>
        <w:widowControl w:val="0"/>
        <w:tabs>
          <w:tab w:val="left" w:pos="360"/>
          <w:tab w:val="left" w:pos="720"/>
          <w:tab w:val="left" w:pos="1080"/>
        </w:tabs>
        <w:rPr>
          <w:rFonts w:ascii="TimesNewRomanPSMT" w:hAnsi="TimesNewRomanPSMT" w:cs="TimesNewRomanPSMT"/>
          <w:szCs w:val="24"/>
        </w:rPr>
      </w:pPr>
    </w:p>
    <w:p w:rsidR="006D3366" w:rsidRPr="00140127" w:rsidP="00140127" w14:paraId="08EF9C9B" w14:textId="49AFB369">
      <w:pPr>
        <w:pStyle w:val="ListParagraph"/>
        <w:widowControl w:val="0"/>
        <w:tabs>
          <w:tab w:val="left" w:pos="360"/>
          <w:tab w:val="left" w:pos="720"/>
          <w:tab w:val="left" w:pos="1080"/>
        </w:tabs>
        <w:rPr>
          <w:rFonts w:ascii="Times New Roman" w:hAnsi="Times New Roman"/>
          <w:szCs w:val="24"/>
        </w:rPr>
      </w:pPr>
      <w:r w:rsidRPr="00A92CD3">
        <w:t>There are no plans to publish any information.</w:t>
      </w:r>
    </w:p>
    <w:p w:rsidR="00140127" w:rsidRPr="00140127" w:rsidP="00140127" w14:paraId="07484692" w14:textId="77777777">
      <w:pPr>
        <w:pStyle w:val="ListParagraph"/>
        <w:widowControl w:val="0"/>
        <w:tabs>
          <w:tab w:val="left" w:pos="360"/>
          <w:tab w:val="left" w:pos="720"/>
          <w:tab w:val="left" w:pos="1080"/>
        </w:tabs>
        <w:rPr>
          <w:rFonts w:ascii="Times New Roman" w:hAnsi="Times New Roman"/>
          <w:szCs w:val="24"/>
        </w:rPr>
      </w:pPr>
    </w:p>
    <w:p w:rsidR="00140127" w:rsidRPr="00CF2A4E" w:rsidP="00140127" w14:paraId="335F99B2" w14:textId="6693CDEF">
      <w:pPr>
        <w:pStyle w:val="ListParagraph"/>
        <w:widowControl w:val="0"/>
        <w:numPr>
          <w:ilvl w:val="0"/>
          <w:numId w:val="32"/>
        </w:numPr>
        <w:tabs>
          <w:tab w:val="left" w:pos="360"/>
          <w:tab w:val="left" w:pos="720"/>
          <w:tab w:val="left" w:pos="1080"/>
        </w:tabs>
        <w:rPr>
          <w:rFonts w:ascii="Times New Roman" w:hAnsi="Times New Roman"/>
          <w:b/>
          <w:bCs/>
          <w:szCs w:val="24"/>
          <w:u w:val="single"/>
        </w:rPr>
      </w:pPr>
      <w:r w:rsidRPr="00CF2A4E">
        <w:rPr>
          <w:rFonts w:ascii="Times New Roman" w:hAnsi="Times New Roman"/>
          <w:b/>
          <w:bCs/>
          <w:szCs w:val="24"/>
          <w:u w:val="single"/>
        </w:rPr>
        <w:t>Requested Permission Not to Display the Expiration Date for OMB Approval.</w:t>
      </w:r>
    </w:p>
    <w:p w:rsidR="00140127" w:rsidRPr="00140127" w:rsidP="00140127" w14:paraId="75981E59" w14:textId="51FBF0D7">
      <w:pPr>
        <w:widowControl w:val="0"/>
        <w:tabs>
          <w:tab w:val="left" w:pos="360"/>
          <w:tab w:val="left" w:pos="720"/>
          <w:tab w:val="left" w:pos="1080"/>
        </w:tabs>
        <w:ind w:left="360"/>
        <w:rPr>
          <w:rFonts w:ascii="Times New Roman" w:hAnsi="Times New Roman"/>
          <w:szCs w:val="24"/>
        </w:rPr>
      </w:pPr>
    </w:p>
    <w:p w:rsidR="00140127" w:rsidRPr="00140127" w:rsidP="00140127" w14:paraId="67D1309E" w14:textId="77777777">
      <w:pPr>
        <w:pStyle w:val="ListParagraph"/>
        <w:widowControl w:val="0"/>
        <w:tabs>
          <w:tab w:val="left" w:pos="360"/>
          <w:tab w:val="left" w:pos="720"/>
          <w:tab w:val="left" w:pos="1080"/>
        </w:tabs>
        <w:rPr>
          <w:rFonts w:ascii="Times New Roman" w:hAnsi="Times New Roman"/>
          <w:szCs w:val="24"/>
        </w:rPr>
      </w:pPr>
      <w:r w:rsidRPr="00140127">
        <w:rPr>
          <w:rFonts w:ascii="Times New Roman" w:hAnsi="Times New Roman"/>
          <w:szCs w:val="24"/>
        </w:rPr>
        <w:t xml:space="preserve">Not applicable. </w:t>
      </w:r>
    </w:p>
    <w:p w:rsidR="00140127" w:rsidRPr="00140127" w:rsidP="00140127" w14:paraId="2C4974D4" w14:textId="77777777">
      <w:pPr>
        <w:widowControl w:val="0"/>
        <w:tabs>
          <w:tab w:val="left" w:pos="360"/>
          <w:tab w:val="left" w:pos="720"/>
          <w:tab w:val="left" w:pos="1080"/>
        </w:tabs>
        <w:rPr>
          <w:rFonts w:ascii="Times New Roman" w:hAnsi="Times New Roman"/>
          <w:szCs w:val="24"/>
        </w:rPr>
      </w:pPr>
    </w:p>
    <w:p w:rsidR="00140127" w:rsidRPr="00CF2A4E" w:rsidP="00140127" w14:paraId="1913A20A" w14:textId="35543BB7">
      <w:pPr>
        <w:widowControl w:val="0"/>
        <w:tabs>
          <w:tab w:val="left" w:pos="360"/>
          <w:tab w:val="left" w:pos="720"/>
          <w:tab w:val="left" w:pos="1080"/>
        </w:tabs>
        <w:ind w:left="360"/>
        <w:rPr>
          <w:rFonts w:ascii="Times New Roman" w:hAnsi="Times New Roman"/>
          <w:b/>
          <w:bCs/>
          <w:szCs w:val="24"/>
        </w:rPr>
      </w:pPr>
      <w:r w:rsidRPr="00140127">
        <w:rPr>
          <w:rFonts w:ascii="Times New Roman" w:hAnsi="Times New Roman"/>
          <w:szCs w:val="24"/>
        </w:rPr>
        <w:t>18.</w:t>
      </w:r>
      <w:r w:rsidRPr="00140127">
        <w:rPr>
          <w:rFonts w:ascii="Times New Roman" w:hAnsi="Times New Roman"/>
          <w:szCs w:val="24"/>
        </w:rPr>
        <w:tab/>
      </w:r>
      <w:r w:rsidRPr="00CF2A4E">
        <w:rPr>
          <w:rFonts w:ascii="Times New Roman" w:hAnsi="Times New Roman"/>
          <w:b/>
          <w:bCs/>
          <w:szCs w:val="24"/>
          <w:u w:val="single"/>
        </w:rPr>
        <w:t>Exceptions to the “Certification for Paperwork Reduction Act Submissions”</w:t>
      </w:r>
      <w:r w:rsidRPr="00CF2A4E">
        <w:rPr>
          <w:rFonts w:ascii="Times New Roman" w:hAnsi="Times New Roman"/>
          <w:b/>
          <w:bCs/>
          <w:szCs w:val="24"/>
        </w:rPr>
        <w:t>.</w:t>
      </w:r>
    </w:p>
    <w:p w:rsidR="00140127" w:rsidRPr="00140127" w:rsidP="00140127" w14:paraId="213C15E1" w14:textId="77777777">
      <w:pPr>
        <w:widowControl w:val="0"/>
        <w:tabs>
          <w:tab w:val="left" w:pos="360"/>
          <w:tab w:val="left" w:pos="720"/>
          <w:tab w:val="left" w:pos="1080"/>
        </w:tabs>
        <w:rPr>
          <w:rFonts w:ascii="Times New Roman" w:hAnsi="Times New Roman"/>
          <w:szCs w:val="24"/>
        </w:rPr>
      </w:pPr>
    </w:p>
    <w:p w:rsidR="00140127" w:rsidRPr="00A92CD3" w:rsidP="00140127" w14:paraId="218B2229" w14:textId="19200DB7">
      <w:pPr>
        <w:pStyle w:val="ListParagraph"/>
        <w:widowControl w:val="0"/>
        <w:tabs>
          <w:tab w:val="left" w:pos="360"/>
          <w:tab w:val="left" w:pos="720"/>
          <w:tab w:val="left" w:pos="1080"/>
        </w:tabs>
        <w:rPr>
          <w:rFonts w:ascii="Times New Roman" w:hAnsi="Times New Roman"/>
          <w:szCs w:val="24"/>
        </w:rPr>
      </w:pPr>
      <w:r w:rsidRPr="00140127">
        <w:rPr>
          <w:rFonts w:ascii="Times New Roman" w:hAnsi="Times New Roman"/>
          <w:szCs w:val="24"/>
        </w:rPr>
        <w:t>Not applicable.</w:t>
      </w:r>
    </w:p>
    <w:p w:rsidR="002C3CE5" w:rsidRPr="00E7756D" w:rsidP="00A92CD3" w14:paraId="1C5F2E24" w14:textId="799A9641">
      <w:pPr>
        <w:pStyle w:val="ListParagraph"/>
        <w:widowControl w:val="0"/>
        <w:tabs>
          <w:tab w:val="left" w:pos="360"/>
          <w:tab w:val="left" w:pos="720"/>
          <w:tab w:val="left" w:pos="1080"/>
        </w:tabs>
        <w:ind w:left="0"/>
        <w:rPr>
          <w:rFonts w:ascii="Times New Roman" w:hAnsi="Times New Roman"/>
          <w:szCs w:val="24"/>
        </w:rPr>
      </w:pPr>
    </w:p>
    <w:sectPr w:rsidSect="00090BD1">
      <w:type w:val="continuous"/>
      <w:pgSz w:w="12240" w:h="15840"/>
      <w:pgMar w:top="1440" w:right="1440" w:bottom="1440" w:left="1440" w:header="720" w:footer="720" w:gutter="0"/>
      <w:paperSrc w:first="15" w:other="15"/>
      <w:cols w:space="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E759E" w14:paraId="07197DA9" w14:textId="77777777">
      <w:r>
        <w:separator/>
      </w:r>
    </w:p>
  </w:footnote>
  <w:footnote w:type="continuationSeparator" w:id="1">
    <w:p w:rsidR="00CE759E" w14:paraId="45EEFB82" w14:textId="77777777">
      <w:r>
        <w:continuationSeparator/>
      </w:r>
    </w:p>
  </w:footnote>
  <w:footnote w:id="2">
    <w:p w:rsidR="006D02D3" w14:paraId="3CDFC358" w14:textId="6C506F05">
      <w:pPr>
        <w:pStyle w:val="FootnoteText"/>
      </w:pPr>
      <w:r>
        <w:rPr>
          <w:rStyle w:val="FootnoteReference"/>
        </w:rPr>
        <w:footnoteRef/>
      </w:r>
      <w:r>
        <w:t xml:space="preserve"> </w:t>
      </w:r>
      <w:r w:rsidRPr="006D02D3" w:rsidR="00EF1E30">
        <w:t>The Number of Firms and Establishments,</w:t>
      </w:r>
      <w:r w:rsidR="00EF1E30">
        <w:t xml:space="preserve"> </w:t>
      </w:r>
      <w:r w:rsidRPr="006D02D3" w:rsidR="00EF1E30">
        <w:t>Employment, and Annual Payroll by State,</w:t>
      </w:r>
      <w:r w:rsidR="00EF1E30">
        <w:t xml:space="preserve"> </w:t>
      </w:r>
      <w:r w:rsidRPr="006D02D3" w:rsidR="00EF1E30">
        <w:t>Industry, and Enterprise</w:t>
      </w:r>
      <w:r w:rsidR="00EF1E30">
        <w:t xml:space="preserve"> </w:t>
      </w:r>
      <w:r w:rsidRPr="006D02D3" w:rsidR="00EF1E30">
        <w:t>Employment Size: 2022,</w:t>
      </w:r>
      <w:r w:rsidR="00EF1E30">
        <w:t xml:space="preserve"> </w:t>
      </w:r>
      <w:r w:rsidRPr="006D02D3" w:rsidR="00EF1E30">
        <w:t xml:space="preserve">release date: 4/10/2025, </w:t>
      </w:r>
      <w:r w:rsidRPr="006D02D3" w:rsidR="00EF1E30">
        <w:rPr>
          <w:i/>
          <w:iCs/>
        </w:rPr>
        <w:t>available at</w:t>
      </w:r>
      <w:r w:rsidR="00EF1E30">
        <w:rPr>
          <w:i/>
          <w:iCs/>
        </w:rPr>
        <w:t xml:space="preserve"> </w:t>
      </w:r>
      <w:r w:rsidRPr="00374012" w:rsidR="00374012">
        <w:rPr>
          <w:i/>
          <w:iCs/>
        </w:rPr>
        <w:t>https://www.census.gov/data/tables/2022/econ/susb/2022-susb-annual.html</w:t>
      </w:r>
      <w:r w:rsidR="00EF1E30">
        <w:rPr>
          <w:i/>
          <w:iCs/>
        </w:rPr>
        <w:t>.</w:t>
      </w:r>
    </w:p>
  </w:footnote>
  <w:footnote w:id="3">
    <w:p w:rsidR="006D02D3" w:rsidP="00EF1E30" w14:paraId="21D89A14" w14:textId="57B3AD1D">
      <w:pPr>
        <w:pStyle w:val="FootnoteText"/>
      </w:pPr>
      <w:r>
        <w:rPr>
          <w:rStyle w:val="FootnoteReference"/>
        </w:rPr>
        <w:footnoteRef/>
      </w:r>
      <w:r>
        <w:t xml:space="preserve"> </w:t>
      </w:r>
      <w:r w:rsidRPr="00EF1E30" w:rsidR="00EF1E30">
        <w:t>The 2023 estimate was that 27,094</w:t>
      </w:r>
      <w:r w:rsidR="00EF1E30">
        <w:t xml:space="preserve"> </w:t>
      </w:r>
      <w:r w:rsidRPr="00EF1E30" w:rsidR="00EF1E30">
        <w:t>manufacturers were subject to the Rule.</w:t>
      </w:r>
    </w:p>
  </w:footnote>
  <w:footnote w:id="4">
    <w:p w:rsidR="006D02D3" w:rsidP="00EF1E30" w14:paraId="66F3FBB7" w14:textId="1AE3ED8B">
      <w:pPr>
        <w:pStyle w:val="FootnoteText"/>
      </w:pPr>
      <w:r>
        <w:rPr>
          <w:rStyle w:val="FootnoteReference"/>
        </w:rPr>
        <w:footnoteRef/>
      </w:r>
      <w:r>
        <w:t xml:space="preserve"> </w:t>
      </w:r>
      <w:r w:rsidR="00EF1E30">
        <w:t xml:space="preserve">Retail Trade: Summary Statistics for the U.S., States, and Selected Geographies: 2022 </w:t>
      </w:r>
      <w:r w:rsidRPr="00EF1E30" w:rsidR="00EF1E30">
        <w:t xml:space="preserve">(EC2244BASIC), available at </w:t>
      </w:r>
      <w:r w:rsidRPr="00EF1E30" w:rsidR="00EF1E30">
        <w:rPr>
          <w:i/>
          <w:iCs/>
        </w:rPr>
        <w:t>https://data.census.gov/table/ECNBASIC2022.EC2244BASIC?q=EC2244BASIC.</w:t>
      </w:r>
    </w:p>
  </w:footnote>
  <w:footnote w:id="5">
    <w:p w:rsidR="006D02D3" w:rsidP="00EF1E30" w14:paraId="168D93C9" w14:textId="7BA68858">
      <w:pPr>
        <w:pStyle w:val="FootnoteText"/>
      </w:pPr>
      <w:r>
        <w:rPr>
          <w:rStyle w:val="FootnoteReference"/>
        </w:rPr>
        <w:footnoteRef/>
      </w:r>
      <w:r>
        <w:t xml:space="preserve"> </w:t>
      </w:r>
      <w:r w:rsidRPr="00EF1E30" w:rsidR="00EF1E30">
        <w:t>The 2023 estimate was that 523,164 retailers</w:t>
      </w:r>
      <w:r w:rsidR="00EF1E30">
        <w:t xml:space="preserve"> </w:t>
      </w:r>
      <w:r w:rsidRPr="00EF1E30" w:rsidR="00EF1E30">
        <w:t>were subject to the Rule.</w:t>
      </w:r>
    </w:p>
  </w:footnote>
  <w:footnote w:id="6">
    <w:p w:rsidR="00AD0B3F" w:rsidRPr="008279ED" w:rsidP="00AD0B3F" w14:paraId="1E2024CA" w14:textId="7BC81F41">
      <w:pPr>
        <w:pStyle w:val="FootnoteText"/>
        <w:rPr>
          <w:sz w:val="21"/>
          <w:szCs w:val="21"/>
        </w:rPr>
      </w:pPr>
      <w:r>
        <w:rPr>
          <w:rStyle w:val="FootnoteReference"/>
        </w:rPr>
        <w:footnoteRef/>
      </w:r>
      <w:r>
        <w:t xml:space="preserve"> </w:t>
      </w:r>
      <w:r w:rsidRPr="008279ED">
        <w:rPr>
          <w:sz w:val="21"/>
          <w:szCs w:val="21"/>
        </w:rPr>
        <w:t>This estimate is updated from the prior estimate of $</w:t>
      </w:r>
      <w:r w:rsidRPr="00016CDD">
        <w:rPr>
          <w:sz w:val="21"/>
          <w:szCs w:val="21"/>
        </w:rPr>
        <w:t>73,131,128</w:t>
      </w:r>
      <w:r>
        <w:rPr>
          <w:sz w:val="21"/>
          <w:szCs w:val="21"/>
        </w:rPr>
        <w:t xml:space="preserve"> </w:t>
      </w:r>
      <w:r w:rsidRPr="008279ED">
        <w:rPr>
          <w:sz w:val="21"/>
          <w:szCs w:val="21"/>
        </w:rPr>
        <w:t xml:space="preserve">that was included in the 60-Day Federal Register notice and is based on more current information from the Bureau of Labor Statistics.  </w:t>
      </w:r>
      <w:r w:rsidRPr="008279ED">
        <w:rPr>
          <w:i/>
          <w:iCs/>
          <w:sz w:val="21"/>
          <w:szCs w:val="21"/>
        </w:rPr>
        <w:t>See</w:t>
      </w:r>
      <w:r w:rsidRPr="008279ED">
        <w:rPr>
          <w:sz w:val="21"/>
          <w:szCs w:val="21"/>
        </w:rPr>
        <w:t xml:space="preserve"> Table 1. National employment and wage data from the Occupational Employment Statistics survey by occupation, May 202</w:t>
      </w:r>
      <w:r>
        <w:rPr>
          <w:sz w:val="21"/>
          <w:szCs w:val="21"/>
        </w:rPr>
        <w:t>5</w:t>
      </w:r>
      <w:r w:rsidRPr="008279ED">
        <w:rPr>
          <w:sz w:val="21"/>
          <w:szCs w:val="21"/>
        </w:rPr>
        <w:t xml:space="preserve">, at </w:t>
      </w:r>
      <w:hyperlink r:id="rId1" w:history="1">
        <w:r w:rsidRPr="00DF5FE1" w:rsidR="008229F7">
          <w:rPr>
            <w:rStyle w:val="Hyperlink"/>
            <w:sz w:val="21"/>
            <w:szCs w:val="21"/>
          </w:rPr>
          <w:t>https://www.bls.gov/news.release/ocwage.t01.htm</w:t>
        </w:r>
      </w:hyperlink>
      <w:r w:rsidR="008229F7">
        <w:rPr>
          <w:sz w:val="21"/>
          <w:szCs w:val="21"/>
        </w:rPr>
        <w:t>,</w:t>
      </w:r>
      <w:r w:rsidRPr="008279ED">
        <w:rPr>
          <w:sz w:val="21"/>
          <w:szCs w:val="21"/>
        </w:rPr>
        <w:t xml:space="preserve"> which was made publicly available on</w:t>
      </w:r>
      <w:r>
        <w:rPr>
          <w:sz w:val="21"/>
          <w:szCs w:val="21"/>
        </w:rPr>
        <w:t xml:space="preserve"> May 15</w:t>
      </w:r>
      <w:r w:rsidRPr="008279ED">
        <w:rPr>
          <w:sz w:val="21"/>
          <w:szCs w:val="21"/>
        </w:rPr>
        <w:t xml:space="preserve">, </w:t>
      </w:r>
      <w:r>
        <w:rPr>
          <w:sz w:val="21"/>
          <w:szCs w:val="21"/>
        </w:rPr>
        <w:t>2026</w:t>
      </w:r>
      <w:r w:rsidRPr="008279ED">
        <w:rPr>
          <w:sz w:val="21"/>
          <w:szCs w:val="21"/>
        </w:rPr>
        <w:t>.</w:t>
      </w:r>
    </w:p>
    <w:p w:rsidR="00AD0B3F" w:rsidP="00AD0B3F" w14:paraId="523027FB"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558FE"/>
    <w:multiLevelType w:val="hybridMultilevel"/>
    <w:tmpl w:val="416EAA3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1E777B"/>
    <w:multiLevelType w:val="hybridMultilevel"/>
    <w:tmpl w:val="10FA9D9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13550F"/>
    <w:multiLevelType w:val="hybridMultilevel"/>
    <w:tmpl w:val="F9ACF6CE"/>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6533E8A"/>
    <w:multiLevelType w:val="hybridMultilevel"/>
    <w:tmpl w:val="C5723E4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233763"/>
    <w:multiLevelType w:val="hybridMultilevel"/>
    <w:tmpl w:val="AB74264A"/>
    <w:lvl w:ilvl="0">
      <w:start w:val="1"/>
      <w:numFmt w:val="lowerLetter"/>
      <w:lvlText w:val="%1."/>
      <w:lvlJc w:val="left"/>
      <w:pPr>
        <w:ind w:left="0" w:firstLine="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7B65D2"/>
    <w:multiLevelType w:val="hybridMultilevel"/>
    <w:tmpl w:val="78BAD7E8"/>
    <w:lvl w:ilvl="0">
      <w:start w:val="1"/>
      <w:numFmt w:val="lowerLetter"/>
      <w:lvlText w:val="%1."/>
      <w:lvlJc w:val="left"/>
      <w:pPr>
        <w:ind w:left="720" w:hanging="360"/>
      </w:pPr>
      <w:rPr>
        <w:rFonts w:ascii="Calibri" w:eastAsia="Times New Roman" w:hAnsi="Calibri" w:cs="Calibri"/>
      </w:rPr>
    </w:lvl>
    <w:lvl w:ilvl="1">
      <w:start w:val="1"/>
      <w:numFmt w:val="lowerRoman"/>
      <w:lvlText w:val="%2."/>
      <w:lvlJc w:val="left"/>
      <w:pPr>
        <w:tabs>
          <w:tab w:val="num" w:pos="1440"/>
        </w:tabs>
        <w:ind w:left="1440" w:hanging="360"/>
      </w:pPr>
      <w:rPr>
        <w:rFonts w:ascii="Calibri" w:eastAsia="Times New Roman" w:hAnsi="Calibri" w:cs="Calibri"/>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E947905"/>
    <w:multiLevelType w:val="hybridMultilevel"/>
    <w:tmpl w:val="475CFA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F31E78"/>
    <w:multiLevelType w:val="hybridMultilevel"/>
    <w:tmpl w:val="C3EE1A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00E0D93"/>
    <w:multiLevelType w:val="hybridMultilevel"/>
    <w:tmpl w:val="F9D29E5A"/>
    <w:lvl w:ilvl="0">
      <w:start w:val="1"/>
      <w:numFmt w:val="decimal"/>
      <w:lvlText w:val="%1."/>
      <w:lvlJc w:val="left"/>
      <w:pPr>
        <w:ind w:left="460" w:hanging="360"/>
      </w:pPr>
      <w:rPr>
        <w:rFonts w:ascii="Times New Roman" w:eastAsia="Times New Roman" w:hAnsi="Times New Roman" w:cs="Times New Roman" w:hint="default"/>
        <w:spacing w:val="-6"/>
        <w:w w:val="99"/>
        <w:sz w:val="24"/>
        <w:szCs w:val="24"/>
        <w:lang w:val="en-US" w:eastAsia="en-US" w:bidi="en-US"/>
      </w:rPr>
    </w:lvl>
    <w:lvl w:ilvl="1">
      <w:start w:val="0"/>
      <w:numFmt w:val="bullet"/>
      <w:lvlText w:val=""/>
      <w:lvlJc w:val="left"/>
      <w:pPr>
        <w:ind w:left="820" w:hanging="360"/>
      </w:pPr>
      <w:rPr>
        <w:rFonts w:ascii="Symbol" w:eastAsia="Symbol" w:hAnsi="Symbol" w:cs="Symbol" w:hint="default"/>
        <w:w w:val="100"/>
        <w:sz w:val="24"/>
        <w:szCs w:val="24"/>
        <w:lang w:val="en-US" w:eastAsia="en-US" w:bidi="en-US"/>
      </w:rPr>
    </w:lvl>
    <w:lvl w:ilvl="2">
      <w:start w:val="0"/>
      <w:numFmt w:val="bullet"/>
      <w:lvlText w:val="•"/>
      <w:lvlJc w:val="left"/>
      <w:pPr>
        <w:ind w:left="1791" w:hanging="360"/>
      </w:pPr>
      <w:rPr>
        <w:rFonts w:hint="default"/>
        <w:lang w:val="en-US" w:eastAsia="en-US" w:bidi="en-US"/>
      </w:rPr>
    </w:lvl>
    <w:lvl w:ilvl="3">
      <w:start w:val="0"/>
      <w:numFmt w:val="bullet"/>
      <w:lvlText w:val="•"/>
      <w:lvlJc w:val="left"/>
      <w:pPr>
        <w:ind w:left="2762" w:hanging="360"/>
      </w:pPr>
      <w:rPr>
        <w:rFonts w:hint="default"/>
        <w:lang w:val="en-US" w:eastAsia="en-US" w:bidi="en-US"/>
      </w:rPr>
    </w:lvl>
    <w:lvl w:ilvl="4">
      <w:start w:val="0"/>
      <w:numFmt w:val="bullet"/>
      <w:lvlText w:val="•"/>
      <w:lvlJc w:val="left"/>
      <w:pPr>
        <w:ind w:left="3733" w:hanging="360"/>
      </w:pPr>
      <w:rPr>
        <w:rFonts w:hint="default"/>
        <w:lang w:val="en-US" w:eastAsia="en-US" w:bidi="en-US"/>
      </w:rPr>
    </w:lvl>
    <w:lvl w:ilvl="5">
      <w:start w:val="0"/>
      <w:numFmt w:val="bullet"/>
      <w:lvlText w:val="•"/>
      <w:lvlJc w:val="left"/>
      <w:pPr>
        <w:ind w:left="4704" w:hanging="360"/>
      </w:pPr>
      <w:rPr>
        <w:rFonts w:hint="default"/>
        <w:lang w:val="en-US" w:eastAsia="en-US" w:bidi="en-US"/>
      </w:rPr>
    </w:lvl>
    <w:lvl w:ilvl="6">
      <w:start w:val="0"/>
      <w:numFmt w:val="bullet"/>
      <w:lvlText w:val="•"/>
      <w:lvlJc w:val="left"/>
      <w:pPr>
        <w:ind w:left="5675" w:hanging="360"/>
      </w:pPr>
      <w:rPr>
        <w:rFonts w:hint="default"/>
        <w:lang w:val="en-US" w:eastAsia="en-US" w:bidi="en-US"/>
      </w:rPr>
    </w:lvl>
    <w:lvl w:ilvl="7">
      <w:start w:val="0"/>
      <w:numFmt w:val="bullet"/>
      <w:lvlText w:val="•"/>
      <w:lvlJc w:val="left"/>
      <w:pPr>
        <w:ind w:left="6646" w:hanging="360"/>
      </w:pPr>
      <w:rPr>
        <w:rFonts w:hint="default"/>
        <w:lang w:val="en-US" w:eastAsia="en-US" w:bidi="en-US"/>
      </w:rPr>
    </w:lvl>
    <w:lvl w:ilvl="8">
      <w:start w:val="0"/>
      <w:numFmt w:val="bullet"/>
      <w:lvlText w:val="•"/>
      <w:lvlJc w:val="left"/>
      <w:pPr>
        <w:ind w:left="7617" w:hanging="360"/>
      </w:pPr>
      <w:rPr>
        <w:rFonts w:hint="default"/>
        <w:lang w:val="en-US" w:eastAsia="en-US" w:bidi="en-US"/>
      </w:rPr>
    </w:lvl>
  </w:abstractNum>
  <w:abstractNum w:abstractNumId="9">
    <w:nsid w:val="103C123E"/>
    <w:multiLevelType w:val="hybridMultilevel"/>
    <w:tmpl w:val="196EDA9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07505EA"/>
    <w:multiLevelType w:val="hybridMultilevel"/>
    <w:tmpl w:val="ABC2C25A"/>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31F37C9"/>
    <w:multiLevelType w:val="hybridMultilevel"/>
    <w:tmpl w:val="553C723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9120861"/>
    <w:multiLevelType w:val="hybridMultilevel"/>
    <w:tmpl w:val="1660CC98"/>
    <w:lvl w:ilvl="0">
      <w:start w:val="1"/>
      <w:numFmt w:val="lowerLetter"/>
      <w:lvlText w:val="(%1)"/>
      <w:lvlJc w:val="left"/>
      <w:pPr>
        <w:ind w:left="720" w:hanging="360"/>
      </w:pPr>
      <w:rPr>
        <w:rFonts w:ascii="Times New Roman" w:eastAsia="Times New Roman" w:hAnsi="Times New Roman"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0D71EA3"/>
    <w:multiLevelType w:val="hybridMultilevel"/>
    <w:tmpl w:val="ACBE6D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2BA6C92"/>
    <w:multiLevelType w:val="hybridMultilevel"/>
    <w:tmpl w:val="B1FEDAB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A900C5A"/>
    <w:multiLevelType w:val="hybridMultilevel"/>
    <w:tmpl w:val="2C7E59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B447B4B"/>
    <w:multiLevelType w:val="hybridMultilevel"/>
    <w:tmpl w:val="84E2653C"/>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BC67CDD"/>
    <w:multiLevelType w:val="hybridMultilevel"/>
    <w:tmpl w:val="83BAE738"/>
    <w:lvl w:ilvl="0">
      <w:start w:val="1"/>
      <w:numFmt w:val="decimal"/>
      <w:lvlText w:val="%1."/>
      <w:lvlJc w:val="left"/>
      <w:pPr>
        <w:ind w:left="720" w:hanging="360"/>
      </w:pPr>
      <w:rPr>
        <w:rFonts w:ascii="Times New Roman" w:hAnsi="Times New Roman" w:hint="default"/>
        <w:u w:val="no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D8C0EB4"/>
    <w:multiLevelType w:val="hybridMultilevel"/>
    <w:tmpl w:val="812CE3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684268A"/>
    <w:multiLevelType w:val="hybridMultilevel"/>
    <w:tmpl w:val="6B4264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82E7F21"/>
    <w:multiLevelType w:val="hybridMultilevel"/>
    <w:tmpl w:val="C2F4AEA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F195501"/>
    <w:multiLevelType w:val="hybridMultilevel"/>
    <w:tmpl w:val="BD584E8E"/>
    <w:lvl w:ilvl="0">
      <w:start w:val="2"/>
      <w:numFmt w:val="upperLetter"/>
      <w:lvlText w:val="%1."/>
      <w:lvlJc w:val="left"/>
      <w:pPr>
        <w:tabs>
          <w:tab w:val="num" w:pos="945"/>
        </w:tabs>
        <w:ind w:left="945" w:hanging="58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37E0CA0"/>
    <w:multiLevelType w:val="hybridMultilevel"/>
    <w:tmpl w:val="1DE68B4C"/>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43D91EDB"/>
    <w:multiLevelType w:val="hybridMultilevel"/>
    <w:tmpl w:val="F60A6E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7FD7981"/>
    <w:multiLevelType w:val="hybridMultilevel"/>
    <w:tmpl w:val="86444C64"/>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F220AFD"/>
    <w:multiLevelType w:val="hybridMultilevel"/>
    <w:tmpl w:val="DABE6846"/>
    <w:lvl w:ilvl="0">
      <w:start w:val="1"/>
      <w:numFmt w:val="decimal"/>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50121981"/>
    <w:multiLevelType w:val="hybridMultilevel"/>
    <w:tmpl w:val="351025B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18030C6"/>
    <w:multiLevelType w:val="hybridMultilevel"/>
    <w:tmpl w:val="3558D58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26463DB"/>
    <w:multiLevelType w:val="hybridMultilevel"/>
    <w:tmpl w:val="BFB8A4A2"/>
    <w:lvl w:ilvl="0">
      <w:start w:val="1"/>
      <w:numFmt w:val="decimal"/>
      <w:lvlText w:val="%1."/>
      <w:lvlJc w:val="left"/>
      <w:pPr>
        <w:ind w:left="720" w:hanging="360"/>
      </w:pPr>
      <w:rPr>
        <w:rFonts w:ascii="Times New Roman" w:hAnsi="Times New Roman" w:hint="default"/>
        <w:strike w:val="0"/>
        <w:u w:val="no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7492314"/>
    <w:multiLevelType w:val="hybridMultilevel"/>
    <w:tmpl w:val="D3A88A3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D023037"/>
    <w:multiLevelType w:val="hybridMultilevel"/>
    <w:tmpl w:val="B4C69A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765D2A81"/>
    <w:multiLevelType w:val="hybridMultilevel"/>
    <w:tmpl w:val="C1FC830C"/>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71C3FF1"/>
    <w:multiLevelType w:val="hybridMultilevel"/>
    <w:tmpl w:val="6BC037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7623F51"/>
    <w:multiLevelType w:val="hybridMultilevel"/>
    <w:tmpl w:val="9A38ECE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98947162">
    <w:abstractNumId w:val="21"/>
  </w:num>
  <w:num w:numId="2" w16cid:durableId="891842196">
    <w:abstractNumId w:val="9"/>
  </w:num>
  <w:num w:numId="3" w16cid:durableId="712854004">
    <w:abstractNumId w:val="13"/>
  </w:num>
  <w:num w:numId="4" w16cid:durableId="637802963">
    <w:abstractNumId w:val="1"/>
  </w:num>
  <w:num w:numId="5" w16cid:durableId="987438587">
    <w:abstractNumId w:val="29"/>
  </w:num>
  <w:num w:numId="6" w16cid:durableId="429620232">
    <w:abstractNumId w:val="33"/>
  </w:num>
  <w:num w:numId="7" w16cid:durableId="412434608">
    <w:abstractNumId w:val="26"/>
  </w:num>
  <w:num w:numId="8" w16cid:durableId="831918705">
    <w:abstractNumId w:val="19"/>
  </w:num>
  <w:num w:numId="9" w16cid:durableId="283731572">
    <w:abstractNumId w:val="0"/>
  </w:num>
  <w:num w:numId="10" w16cid:durableId="747966156">
    <w:abstractNumId w:val="12"/>
  </w:num>
  <w:num w:numId="11" w16cid:durableId="1018777215">
    <w:abstractNumId w:val="10"/>
  </w:num>
  <w:num w:numId="12" w16cid:durableId="1163008254">
    <w:abstractNumId w:val="22"/>
  </w:num>
  <w:num w:numId="13" w16cid:durableId="699669344">
    <w:abstractNumId w:val="7"/>
  </w:num>
  <w:num w:numId="14" w16cid:durableId="36011232">
    <w:abstractNumId w:val="14"/>
  </w:num>
  <w:num w:numId="15" w16cid:durableId="706444518">
    <w:abstractNumId w:val="4"/>
  </w:num>
  <w:num w:numId="16" w16cid:durableId="1078673590">
    <w:abstractNumId w:val="31"/>
  </w:num>
  <w:num w:numId="17" w16cid:durableId="261496942">
    <w:abstractNumId w:val="16"/>
  </w:num>
  <w:num w:numId="18" w16cid:durableId="1383168377">
    <w:abstractNumId w:val="32"/>
  </w:num>
  <w:num w:numId="19" w16cid:durableId="1079863490">
    <w:abstractNumId w:val="25"/>
  </w:num>
  <w:num w:numId="20" w16cid:durableId="636691958">
    <w:abstractNumId w:val="8"/>
  </w:num>
  <w:num w:numId="21" w16cid:durableId="1915507843">
    <w:abstractNumId w:val="30"/>
  </w:num>
  <w:num w:numId="22" w16cid:durableId="1648971656">
    <w:abstractNumId w:val="2"/>
  </w:num>
  <w:num w:numId="23" w16cid:durableId="1557888263">
    <w:abstractNumId w:val="15"/>
  </w:num>
  <w:num w:numId="24" w16cid:durableId="1502310705">
    <w:abstractNumId w:val="3"/>
  </w:num>
  <w:num w:numId="25" w16cid:durableId="956569243">
    <w:abstractNumId w:val="27"/>
  </w:num>
  <w:num w:numId="26" w16cid:durableId="258219930">
    <w:abstractNumId w:val="6"/>
  </w:num>
  <w:num w:numId="27" w16cid:durableId="1862040308">
    <w:abstractNumId w:val="18"/>
  </w:num>
  <w:num w:numId="28" w16cid:durableId="1188520977">
    <w:abstractNumId w:val="5"/>
  </w:num>
  <w:num w:numId="29" w16cid:durableId="10881609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419669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88428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5619192">
    <w:abstractNumId w:val="28"/>
  </w:num>
  <w:num w:numId="33" w16cid:durableId="2033875170">
    <w:abstractNumId w:val="17"/>
  </w:num>
  <w:num w:numId="34" w16cid:durableId="844709216">
    <w:abstractNumId w:val="11"/>
  </w:num>
  <w:num w:numId="35" w16cid:durableId="1089886852">
    <w:abstractNumId w:val="23"/>
  </w:num>
  <w:num w:numId="36" w16cid:durableId="118921837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0C1"/>
    <w:rsid w:val="00001364"/>
    <w:rsid w:val="00002E6B"/>
    <w:rsid w:val="000041A4"/>
    <w:rsid w:val="0000491F"/>
    <w:rsid w:val="00005518"/>
    <w:rsid w:val="000140C3"/>
    <w:rsid w:val="000149AE"/>
    <w:rsid w:val="00016CDD"/>
    <w:rsid w:val="00016E21"/>
    <w:rsid w:val="00023965"/>
    <w:rsid w:val="0002498E"/>
    <w:rsid w:val="00026F3E"/>
    <w:rsid w:val="00030AC1"/>
    <w:rsid w:val="0003126D"/>
    <w:rsid w:val="0003220D"/>
    <w:rsid w:val="0003501C"/>
    <w:rsid w:val="00036235"/>
    <w:rsid w:val="00042FAC"/>
    <w:rsid w:val="0004462F"/>
    <w:rsid w:val="000462C2"/>
    <w:rsid w:val="00046E87"/>
    <w:rsid w:val="00050816"/>
    <w:rsid w:val="00053D0A"/>
    <w:rsid w:val="000542EE"/>
    <w:rsid w:val="0005507F"/>
    <w:rsid w:val="00060C91"/>
    <w:rsid w:val="000625F2"/>
    <w:rsid w:val="000678B0"/>
    <w:rsid w:val="0007581A"/>
    <w:rsid w:val="00081C38"/>
    <w:rsid w:val="00081C3A"/>
    <w:rsid w:val="00084787"/>
    <w:rsid w:val="000849EC"/>
    <w:rsid w:val="000851CA"/>
    <w:rsid w:val="00090BD1"/>
    <w:rsid w:val="00091301"/>
    <w:rsid w:val="00092540"/>
    <w:rsid w:val="0009357D"/>
    <w:rsid w:val="00093C96"/>
    <w:rsid w:val="000971FC"/>
    <w:rsid w:val="00097374"/>
    <w:rsid w:val="00097623"/>
    <w:rsid w:val="000A5E65"/>
    <w:rsid w:val="000B09B0"/>
    <w:rsid w:val="000B3903"/>
    <w:rsid w:val="000B7F24"/>
    <w:rsid w:val="000C020F"/>
    <w:rsid w:val="000C351A"/>
    <w:rsid w:val="000C5E8A"/>
    <w:rsid w:val="000C60C1"/>
    <w:rsid w:val="000C6C83"/>
    <w:rsid w:val="000D1A23"/>
    <w:rsid w:val="000D3375"/>
    <w:rsid w:val="000D4A96"/>
    <w:rsid w:val="000E0C51"/>
    <w:rsid w:val="000E2F3F"/>
    <w:rsid w:val="000E5530"/>
    <w:rsid w:val="000F0C87"/>
    <w:rsid w:val="000F1640"/>
    <w:rsid w:val="00103A0C"/>
    <w:rsid w:val="00103C07"/>
    <w:rsid w:val="001053FE"/>
    <w:rsid w:val="001072DD"/>
    <w:rsid w:val="00107633"/>
    <w:rsid w:val="001116E7"/>
    <w:rsid w:val="00113ADB"/>
    <w:rsid w:val="0012094F"/>
    <w:rsid w:val="00120ADD"/>
    <w:rsid w:val="00127394"/>
    <w:rsid w:val="0013256A"/>
    <w:rsid w:val="001334C0"/>
    <w:rsid w:val="00140127"/>
    <w:rsid w:val="001426A8"/>
    <w:rsid w:val="00151AEA"/>
    <w:rsid w:val="00151BC8"/>
    <w:rsid w:val="00151F5F"/>
    <w:rsid w:val="001520A7"/>
    <w:rsid w:val="00153FF6"/>
    <w:rsid w:val="0016369C"/>
    <w:rsid w:val="00171CAF"/>
    <w:rsid w:val="00181BC4"/>
    <w:rsid w:val="0018679A"/>
    <w:rsid w:val="00194F35"/>
    <w:rsid w:val="00195658"/>
    <w:rsid w:val="00196DA7"/>
    <w:rsid w:val="0019725C"/>
    <w:rsid w:val="001A213E"/>
    <w:rsid w:val="001A7320"/>
    <w:rsid w:val="001B03E7"/>
    <w:rsid w:val="001B3193"/>
    <w:rsid w:val="001B4976"/>
    <w:rsid w:val="001B5D2C"/>
    <w:rsid w:val="001C7F3D"/>
    <w:rsid w:val="001D7A5E"/>
    <w:rsid w:val="001E1B8B"/>
    <w:rsid w:val="001E3298"/>
    <w:rsid w:val="001E3368"/>
    <w:rsid w:val="001F1F35"/>
    <w:rsid w:val="001F4540"/>
    <w:rsid w:val="001F4BB1"/>
    <w:rsid w:val="001F5174"/>
    <w:rsid w:val="00206121"/>
    <w:rsid w:val="00206D73"/>
    <w:rsid w:val="002105EC"/>
    <w:rsid w:val="00211744"/>
    <w:rsid w:val="00211C5C"/>
    <w:rsid w:val="00220C6C"/>
    <w:rsid w:val="0022212E"/>
    <w:rsid w:val="002230BA"/>
    <w:rsid w:val="00226AD3"/>
    <w:rsid w:val="00226E24"/>
    <w:rsid w:val="002319A5"/>
    <w:rsid w:val="00235CEA"/>
    <w:rsid w:val="00244F01"/>
    <w:rsid w:val="0025004D"/>
    <w:rsid w:val="00254DEF"/>
    <w:rsid w:val="00255E54"/>
    <w:rsid w:val="0025713B"/>
    <w:rsid w:val="002623BD"/>
    <w:rsid w:val="00270D13"/>
    <w:rsid w:val="00280620"/>
    <w:rsid w:val="00280DC7"/>
    <w:rsid w:val="00283E87"/>
    <w:rsid w:val="00284099"/>
    <w:rsid w:val="00292FF0"/>
    <w:rsid w:val="00296040"/>
    <w:rsid w:val="002A1F4F"/>
    <w:rsid w:val="002A3308"/>
    <w:rsid w:val="002A4151"/>
    <w:rsid w:val="002A6787"/>
    <w:rsid w:val="002B46A3"/>
    <w:rsid w:val="002B6BA9"/>
    <w:rsid w:val="002C3C07"/>
    <w:rsid w:val="002C3CE5"/>
    <w:rsid w:val="002C7FF3"/>
    <w:rsid w:val="002D1020"/>
    <w:rsid w:val="002D5D7F"/>
    <w:rsid w:val="002D650A"/>
    <w:rsid w:val="002D7409"/>
    <w:rsid w:val="002F14E6"/>
    <w:rsid w:val="002F3296"/>
    <w:rsid w:val="002F58A0"/>
    <w:rsid w:val="002F65C0"/>
    <w:rsid w:val="002F71C1"/>
    <w:rsid w:val="00301237"/>
    <w:rsid w:val="00302147"/>
    <w:rsid w:val="003027CB"/>
    <w:rsid w:val="00321071"/>
    <w:rsid w:val="00321966"/>
    <w:rsid w:val="003249C8"/>
    <w:rsid w:val="00324B3C"/>
    <w:rsid w:val="003326C3"/>
    <w:rsid w:val="00334CB5"/>
    <w:rsid w:val="00335B06"/>
    <w:rsid w:val="00344385"/>
    <w:rsid w:val="00361CBE"/>
    <w:rsid w:val="003622F2"/>
    <w:rsid w:val="00366678"/>
    <w:rsid w:val="00366EE4"/>
    <w:rsid w:val="0036703A"/>
    <w:rsid w:val="00367F88"/>
    <w:rsid w:val="0037038A"/>
    <w:rsid w:val="00370492"/>
    <w:rsid w:val="003730AE"/>
    <w:rsid w:val="00373A29"/>
    <w:rsid w:val="00374012"/>
    <w:rsid w:val="00376161"/>
    <w:rsid w:val="003810DC"/>
    <w:rsid w:val="0038144F"/>
    <w:rsid w:val="00382CAF"/>
    <w:rsid w:val="0038345C"/>
    <w:rsid w:val="00390F87"/>
    <w:rsid w:val="003915B2"/>
    <w:rsid w:val="003937BC"/>
    <w:rsid w:val="00393E71"/>
    <w:rsid w:val="0039632D"/>
    <w:rsid w:val="003A0D2B"/>
    <w:rsid w:val="003A73AE"/>
    <w:rsid w:val="003B082E"/>
    <w:rsid w:val="003B0E85"/>
    <w:rsid w:val="003B3CFA"/>
    <w:rsid w:val="003B6500"/>
    <w:rsid w:val="003C1BED"/>
    <w:rsid w:val="003D04B4"/>
    <w:rsid w:val="003D56AC"/>
    <w:rsid w:val="003D57B0"/>
    <w:rsid w:val="003D7CD7"/>
    <w:rsid w:val="003E0518"/>
    <w:rsid w:val="003E64D2"/>
    <w:rsid w:val="004120DB"/>
    <w:rsid w:val="004165AA"/>
    <w:rsid w:val="00417CA0"/>
    <w:rsid w:val="00420004"/>
    <w:rsid w:val="00424068"/>
    <w:rsid w:val="00432B3C"/>
    <w:rsid w:val="00436A3E"/>
    <w:rsid w:val="00436E5C"/>
    <w:rsid w:val="00440401"/>
    <w:rsid w:val="00442CC0"/>
    <w:rsid w:val="00442E2C"/>
    <w:rsid w:val="004457DA"/>
    <w:rsid w:val="00452AF9"/>
    <w:rsid w:val="004531D2"/>
    <w:rsid w:val="0045417A"/>
    <w:rsid w:val="0045707D"/>
    <w:rsid w:val="00467A7A"/>
    <w:rsid w:val="004761FB"/>
    <w:rsid w:val="00482B73"/>
    <w:rsid w:val="004856A6"/>
    <w:rsid w:val="00496B38"/>
    <w:rsid w:val="00497C2F"/>
    <w:rsid w:val="004A42A6"/>
    <w:rsid w:val="004A465F"/>
    <w:rsid w:val="004A7CA5"/>
    <w:rsid w:val="004C0139"/>
    <w:rsid w:val="004C0BFC"/>
    <w:rsid w:val="004C2E87"/>
    <w:rsid w:val="004C593E"/>
    <w:rsid w:val="004E5A3D"/>
    <w:rsid w:val="004E5E82"/>
    <w:rsid w:val="004F1C4C"/>
    <w:rsid w:val="004F26A1"/>
    <w:rsid w:val="004F3DF0"/>
    <w:rsid w:val="004F51B8"/>
    <w:rsid w:val="00500D46"/>
    <w:rsid w:val="00503B9A"/>
    <w:rsid w:val="00503CED"/>
    <w:rsid w:val="00505E03"/>
    <w:rsid w:val="00507AD2"/>
    <w:rsid w:val="00510B5A"/>
    <w:rsid w:val="00510E83"/>
    <w:rsid w:val="00513C2B"/>
    <w:rsid w:val="005177C0"/>
    <w:rsid w:val="005179D8"/>
    <w:rsid w:val="00520EBC"/>
    <w:rsid w:val="005271A4"/>
    <w:rsid w:val="0053064C"/>
    <w:rsid w:val="0053089F"/>
    <w:rsid w:val="00532889"/>
    <w:rsid w:val="00552665"/>
    <w:rsid w:val="00555E16"/>
    <w:rsid w:val="005571CD"/>
    <w:rsid w:val="00557BFF"/>
    <w:rsid w:val="00576DBC"/>
    <w:rsid w:val="0058055E"/>
    <w:rsid w:val="00581D52"/>
    <w:rsid w:val="00582FF2"/>
    <w:rsid w:val="00584E82"/>
    <w:rsid w:val="005879B5"/>
    <w:rsid w:val="00590F0B"/>
    <w:rsid w:val="00591A47"/>
    <w:rsid w:val="00591B88"/>
    <w:rsid w:val="005924BE"/>
    <w:rsid w:val="00592CC8"/>
    <w:rsid w:val="005A674B"/>
    <w:rsid w:val="005A7224"/>
    <w:rsid w:val="005A74BD"/>
    <w:rsid w:val="005B0276"/>
    <w:rsid w:val="005B352A"/>
    <w:rsid w:val="005B35C0"/>
    <w:rsid w:val="005B38E9"/>
    <w:rsid w:val="005B4333"/>
    <w:rsid w:val="005B5B26"/>
    <w:rsid w:val="005C0503"/>
    <w:rsid w:val="005C480E"/>
    <w:rsid w:val="005C6EC9"/>
    <w:rsid w:val="005D0B5E"/>
    <w:rsid w:val="005D2AB9"/>
    <w:rsid w:val="005D2F31"/>
    <w:rsid w:val="005D367A"/>
    <w:rsid w:val="005D705D"/>
    <w:rsid w:val="005D7326"/>
    <w:rsid w:val="005E1E94"/>
    <w:rsid w:val="005E436B"/>
    <w:rsid w:val="005E65F7"/>
    <w:rsid w:val="005F28B2"/>
    <w:rsid w:val="00603A99"/>
    <w:rsid w:val="00606059"/>
    <w:rsid w:val="00606E0D"/>
    <w:rsid w:val="00607E59"/>
    <w:rsid w:val="00610950"/>
    <w:rsid w:val="00613491"/>
    <w:rsid w:val="00616B3E"/>
    <w:rsid w:val="00630750"/>
    <w:rsid w:val="006353FF"/>
    <w:rsid w:val="00640C71"/>
    <w:rsid w:val="006505E8"/>
    <w:rsid w:val="00656E18"/>
    <w:rsid w:val="006624E7"/>
    <w:rsid w:val="00663CD8"/>
    <w:rsid w:val="006652C4"/>
    <w:rsid w:val="00665349"/>
    <w:rsid w:val="00672D99"/>
    <w:rsid w:val="006735F6"/>
    <w:rsid w:val="00680B8E"/>
    <w:rsid w:val="00681D3E"/>
    <w:rsid w:val="00683A02"/>
    <w:rsid w:val="00683F7A"/>
    <w:rsid w:val="00691EBA"/>
    <w:rsid w:val="00692D47"/>
    <w:rsid w:val="00693FCC"/>
    <w:rsid w:val="00697A50"/>
    <w:rsid w:val="006A2042"/>
    <w:rsid w:val="006A5BDB"/>
    <w:rsid w:val="006C102B"/>
    <w:rsid w:val="006C4D02"/>
    <w:rsid w:val="006D02D3"/>
    <w:rsid w:val="006D2D21"/>
    <w:rsid w:val="006D2E55"/>
    <w:rsid w:val="006D3366"/>
    <w:rsid w:val="006D5C48"/>
    <w:rsid w:val="006E15CA"/>
    <w:rsid w:val="006E200C"/>
    <w:rsid w:val="006E3DA6"/>
    <w:rsid w:val="006F073C"/>
    <w:rsid w:val="006F6A21"/>
    <w:rsid w:val="006F7E35"/>
    <w:rsid w:val="00700A54"/>
    <w:rsid w:val="007102AF"/>
    <w:rsid w:val="00715050"/>
    <w:rsid w:val="0071552E"/>
    <w:rsid w:val="0071578D"/>
    <w:rsid w:val="00716B3B"/>
    <w:rsid w:val="00720548"/>
    <w:rsid w:val="007205C9"/>
    <w:rsid w:val="00723403"/>
    <w:rsid w:val="00730C41"/>
    <w:rsid w:val="007316DC"/>
    <w:rsid w:val="0073249E"/>
    <w:rsid w:val="007354CE"/>
    <w:rsid w:val="007371AC"/>
    <w:rsid w:val="007426BC"/>
    <w:rsid w:val="00746CC2"/>
    <w:rsid w:val="00746D63"/>
    <w:rsid w:val="00754148"/>
    <w:rsid w:val="007605C9"/>
    <w:rsid w:val="00760837"/>
    <w:rsid w:val="00760B66"/>
    <w:rsid w:val="007637D8"/>
    <w:rsid w:val="00763B21"/>
    <w:rsid w:val="007757BD"/>
    <w:rsid w:val="00777A0A"/>
    <w:rsid w:val="00782026"/>
    <w:rsid w:val="007859FD"/>
    <w:rsid w:val="00785ED8"/>
    <w:rsid w:val="00790021"/>
    <w:rsid w:val="00793D27"/>
    <w:rsid w:val="007A47C4"/>
    <w:rsid w:val="007A4AFE"/>
    <w:rsid w:val="007A595B"/>
    <w:rsid w:val="007A6C07"/>
    <w:rsid w:val="007A7294"/>
    <w:rsid w:val="007A76E9"/>
    <w:rsid w:val="007A7FBD"/>
    <w:rsid w:val="007B1629"/>
    <w:rsid w:val="007B5B42"/>
    <w:rsid w:val="007B7E52"/>
    <w:rsid w:val="007C1471"/>
    <w:rsid w:val="007C15B9"/>
    <w:rsid w:val="007C1B81"/>
    <w:rsid w:val="007C29F2"/>
    <w:rsid w:val="007C7E2E"/>
    <w:rsid w:val="007D0B7D"/>
    <w:rsid w:val="007D6AF8"/>
    <w:rsid w:val="007E01E4"/>
    <w:rsid w:val="007E2520"/>
    <w:rsid w:val="007E560E"/>
    <w:rsid w:val="007F09C2"/>
    <w:rsid w:val="007F4B93"/>
    <w:rsid w:val="007F58DB"/>
    <w:rsid w:val="00814982"/>
    <w:rsid w:val="008229F7"/>
    <w:rsid w:val="0082543F"/>
    <w:rsid w:val="008279ED"/>
    <w:rsid w:val="00836AC5"/>
    <w:rsid w:val="00840E47"/>
    <w:rsid w:val="00842061"/>
    <w:rsid w:val="00842DC8"/>
    <w:rsid w:val="00854472"/>
    <w:rsid w:val="0085449C"/>
    <w:rsid w:val="008546E6"/>
    <w:rsid w:val="00855E0B"/>
    <w:rsid w:val="00856834"/>
    <w:rsid w:val="0085782E"/>
    <w:rsid w:val="008651E9"/>
    <w:rsid w:val="008770AF"/>
    <w:rsid w:val="00887030"/>
    <w:rsid w:val="008873DA"/>
    <w:rsid w:val="00895C6B"/>
    <w:rsid w:val="008A1C7F"/>
    <w:rsid w:val="008B06F0"/>
    <w:rsid w:val="008B52EE"/>
    <w:rsid w:val="008B5F1F"/>
    <w:rsid w:val="008B71E6"/>
    <w:rsid w:val="008C08DC"/>
    <w:rsid w:val="008C4487"/>
    <w:rsid w:val="008C4C50"/>
    <w:rsid w:val="008D043B"/>
    <w:rsid w:val="008D301E"/>
    <w:rsid w:val="008D5990"/>
    <w:rsid w:val="008E263E"/>
    <w:rsid w:val="008E7A5E"/>
    <w:rsid w:val="008F1CB1"/>
    <w:rsid w:val="008F2CFC"/>
    <w:rsid w:val="008F57CC"/>
    <w:rsid w:val="00905BDB"/>
    <w:rsid w:val="0090629C"/>
    <w:rsid w:val="00910696"/>
    <w:rsid w:val="00915D3E"/>
    <w:rsid w:val="009227B0"/>
    <w:rsid w:val="00923687"/>
    <w:rsid w:val="009277BA"/>
    <w:rsid w:val="00936BBB"/>
    <w:rsid w:val="00944404"/>
    <w:rsid w:val="00952ECE"/>
    <w:rsid w:val="00960321"/>
    <w:rsid w:val="00961571"/>
    <w:rsid w:val="009632A5"/>
    <w:rsid w:val="009634B0"/>
    <w:rsid w:val="00964080"/>
    <w:rsid w:val="009643BA"/>
    <w:rsid w:val="00967E64"/>
    <w:rsid w:val="00971EE7"/>
    <w:rsid w:val="0098049A"/>
    <w:rsid w:val="0098365F"/>
    <w:rsid w:val="0099028E"/>
    <w:rsid w:val="00993A71"/>
    <w:rsid w:val="00997350"/>
    <w:rsid w:val="009A7C54"/>
    <w:rsid w:val="009B355C"/>
    <w:rsid w:val="009B4F6D"/>
    <w:rsid w:val="009B6591"/>
    <w:rsid w:val="009B67FC"/>
    <w:rsid w:val="009C0002"/>
    <w:rsid w:val="009C0672"/>
    <w:rsid w:val="009C4E2F"/>
    <w:rsid w:val="009C52FF"/>
    <w:rsid w:val="009C5B83"/>
    <w:rsid w:val="009C683B"/>
    <w:rsid w:val="009D0CEA"/>
    <w:rsid w:val="009F0481"/>
    <w:rsid w:val="009F0B8E"/>
    <w:rsid w:val="009F111F"/>
    <w:rsid w:val="009F3865"/>
    <w:rsid w:val="009F47DA"/>
    <w:rsid w:val="009F5DCE"/>
    <w:rsid w:val="00A006F2"/>
    <w:rsid w:val="00A059FD"/>
    <w:rsid w:val="00A10ED1"/>
    <w:rsid w:val="00A11002"/>
    <w:rsid w:val="00A157D1"/>
    <w:rsid w:val="00A22035"/>
    <w:rsid w:val="00A2402D"/>
    <w:rsid w:val="00A25543"/>
    <w:rsid w:val="00A3022D"/>
    <w:rsid w:val="00A326A0"/>
    <w:rsid w:val="00A340B2"/>
    <w:rsid w:val="00A40B87"/>
    <w:rsid w:val="00A44858"/>
    <w:rsid w:val="00A45EB0"/>
    <w:rsid w:val="00A50EA7"/>
    <w:rsid w:val="00A54F08"/>
    <w:rsid w:val="00A64E67"/>
    <w:rsid w:val="00A65FB8"/>
    <w:rsid w:val="00A70D8C"/>
    <w:rsid w:val="00A71034"/>
    <w:rsid w:val="00A72BEE"/>
    <w:rsid w:val="00A7690A"/>
    <w:rsid w:val="00A77674"/>
    <w:rsid w:val="00A81AEA"/>
    <w:rsid w:val="00A81D89"/>
    <w:rsid w:val="00A8771F"/>
    <w:rsid w:val="00A92CD3"/>
    <w:rsid w:val="00A94286"/>
    <w:rsid w:val="00A9765C"/>
    <w:rsid w:val="00AA3C9E"/>
    <w:rsid w:val="00AA496B"/>
    <w:rsid w:val="00AB4777"/>
    <w:rsid w:val="00AC35FF"/>
    <w:rsid w:val="00AD0B3F"/>
    <w:rsid w:val="00AD394C"/>
    <w:rsid w:val="00AD68BF"/>
    <w:rsid w:val="00AD78A9"/>
    <w:rsid w:val="00AE0BDD"/>
    <w:rsid w:val="00AE1895"/>
    <w:rsid w:val="00AE4C7F"/>
    <w:rsid w:val="00AF35E3"/>
    <w:rsid w:val="00B00F95"/>
    <w:rsid w:val="00B06859"/>
    <w:rsid w:val="00B10484"/>
    <w:rsid w:val="00B10E69"/>
    <w:rsid w:val="00B12552"/>
    <w:rsid w:val="00B12715"/>
    <w:rsid w:val="00B16F6D"/>
    <w:rsid w:val="00B20EE7"/>
    <w:rsid w:val="00B20F59"/>
    <w:rsid w:val="00B2115E"/>
    <w:rsid w:val="00B220B6"/>
    <w:rsid w:val="00B30452"/>
    <w:rsid w:val="00B31F69"/>
    <w:rsid w:val="00B32538"/>
    <w:rsid w:val="00B36A3E"/>
    <w:rsid w:val="00B37E54"/>
    <w:rsid w:val="00B42B74"/>
    <w:rsid w:val="00B440C0"/>
    <w:rsid w:val="00B460D3"/>
    <w:rsid w:val="00B5138A"/>
    <w:rsid w:val="00B53D0A"/>
    <w:rsid w:val="00B55352"/>
    <w:rsid w:val="00B562F6"/>
    <w:rsid w:val="00B577A0"/>
    <w:rsid w:val="00B611AD"/>
    <w:rsid w:val="00B616C0"/>
    <w:rsid w:val="00B63F60"/>
    <w:rsid w:val="00B661A4"/>
    <w:rsid w:val="00B66FE9"/>
    <w:rsid w:val="00B704A5"/>
    <w:rsid w:val="00B7390C"/>
    <w:rsid w:val="00B74378"/>
    <w:rsid w:val="00B747BF"/>
    <w:rsid w:val="00B75FBC"/>
    <w:rsid w:val="00B76572"/>
    <w:rsid w:val="00B844AC"/>
    <w:rsid w:val="00B87726"/>
    <w:rsid w:val="00B87B7E"/>
    <w:rsid w:val="00B90BB3"/>
    <w:rsid w:val="00B951FC"/>
    <w:rsid w:val="00B96394"/>
    <w:rsid w:val="00BA2538"/>
    <w:rsid w:val="00BA3037"/>
    <w:rsid w:val="00BA5530"/>
    <w:rsid w:val="00BA62C2"/>
    <w:rsid w:val="00BA6ED5"/>
    <w:rsid w:val="00BA78B7"/>
    <w:rsid w:val="00BB5AB7"/>
    <w:rsid w:val="00BB6839"/>
    <w:rsid w:val="00BC4451"/>
    <w:rsid w:val="00BC47D6"/>
    <w:rsid w:val="00BC7077"/>
    <w:rsid w:val="00BD19EE"/>
    <w:rsid w:val="00BD2761"/>
    <w:rsid w:val="00BD37B8"/>
    <w:rsid w:val="00BD525D"/>
    <w:rsid w:val="00BD6FD9"/>
    <w:rsid w:val="00BE000E"/>
    <w:rsid w:val="00BE075A"/>
    <w:rsid w:val="00BE1B96"/>
    <w:rsid w:val="00BE5649"/>
    <w:rsid w:val="00BE696E"/>
    <w:rsid w:val="00BE73C7"/>
    <w:rsid w:val="00BF088B"/>
    <w:rsid w:val="00BF2D2E"/>
    <w:rsid w:val="00BF4167"/>
    <w:rsid w:val="00C04391"/>
    <w:rsid w:val="00C046F9"/>
    <w:rsid w:val="00C1151F"/>
    <w:rsid w:val="00C14965"/>
    <w:rsid w:val="00C14F7D"/>
    <w:rsid w:val="00C165AD"/>
    <w:rsid w:val="00C16B77"/>
    <w:rsid w:val="00C22A24"/>
    <w:rsid w:val="00C25523"/>
    <w:rsid w:val="00C25996"/>
    <w:rsid w:val="00C3314C"/>
    <w:rsid w:val="00C344CC"/>
    <w:rsid w:val="00C4082C"/>
    <w:rsid w:val="00C40D4A"/>
    <w:rsid w:val="00C411C5"/>
    <w:rsid w:val="00C425FB"/>
    <w:rsid w:val="00C43C67"/>
    <w:rsid w:val="00C4532D"/>
    <w:rsid w:val="00C57D92"/>
    <w:rsid w:val="00C60CD5"/>
    <w:rsid w:val="00C66FFD"/>
    <w:rsid w:val="00C73294"/>
    <w:rsid w:val="00C8284A"/>
    <w:rsid w:val="00C84FE6"/>
    <w:rsid w:val="00C858D7"/>
    <w:rsid w:val="00C861F3"/>
    <w:rsid w:val="00C91CF6"/>
    <w:rsid w:val="00C9324A"/>
    <w:rsid w:val="00C95E19"/>
    <w:rsid w:val="00CA06FC"/>
    <w:rsid w:val="00CA239F"/>
    <w:rsid w:val="00CA27B5"/>
    <w:rsid w:val="00CA2879"/>
    <w:rsid w:val="00CA39E9"/>
    <w:rsid w:val="00CA4531"/>
    <w:rsid w:val="00CA5FA3"/>
    <w:rsid w:val="00CB07D9"/>
    <w:rsid w:val="00CB0981"/>
    <w:rsid w:val="00CB46F1"/>
    <w:rsid w:val="00CC59BC"/>
    <w:rsid w:val="00CC716E"/>
    <w:rsid w:val="00CC7BE2"/>
    <w:rsid w:val="00CD0019"/>
    <w:rsid w:val="00CE1B59"/>
    <w:rsid w:val="00CE4C81"/>
    <w:rsid w:val="00CE759E"/>
    <w:rsid w:val="00CF2A4E"/>
    <w:rsid w:val="00CF2C1A"/>
    <w:rsid w:val="00D115B2"/>
    <w:rsid w:val="00D11A49"/>
    <w:rsid w:val="00D15FA5"/>
    <w:rsid w:val="00D21623"/>
    <w:rsid w:val="00D22A96"/>
    <w:rsid w:val="00D249F1"/>
    <w:rsid w:val="00D25DD9"/>
    <w:rsid w:val="00D3254D"/>
    <w:rsid w:val="00D3303B"/>
    <w:rsid w:val="00D34672"/>
    <w:rsid w:val="00D34D42"/>
    <w:rsid w:val="00D37F82"/>
    <w:rsid w:val="00D479C8"/>
    <w:rsid w:val="00D5107E"/>
    <w:rsid w:val="00D558AA"/>
    <w:rsid w:val="00D64982"/>
    <w:rsid w:val="00D64DF9"/>
    <w:rsid w:val="00D65A12"/>
    <w:rsid w:val="00D65DA2"/>
    <w:rsid w:val="00D67EAB"/>
    <w:rsid w:val="00D7133F"/>
    <w:rsid w:val="00D71FF2"/>
    <w:rsid w:val="00DA126C"/>
    <w:rsid w:val="00DA6A36"/>
    <w:rsid w:val="00DB6E44"/>
    <w:rsid w:val="00DC0F26"/>
    <w:rsid w:val="00DC16B4"/>
    <w:rsid w:val="00DD030E"/>
    <w:rsid w:val="00DD25D7"/>
    <w:rsid w:val="00DD367A"/>
    <w:rsid w:val="00DD5060"/>
    <w:rsid w:val="00DD6CEA"/>
    <w:rsid w:val="00DD73BF"/>
    <w:rsid w:val="00DE78BB"/>
    <w:rsid w:val="00DF5FE1"/>
    <w:rsid w:val="00DF6EA9"/>
    <w:rsid w:val="00DF7938"/>
    <w:rsid w:val="00E01572"/>
    <w:rsid w:val="00E22479"/>
    <w:rsid w:val="00E2477E"/>
    <w:rsid w:val="00E24AFB"/>
    <w:rsid w:val="00E2573D"/>
    <w:rsid w:val="00E25DF5"/>
    <w:rsid w:val="00E27749"/>
    <w:rsid w:val="00E27D1B"/>
    <w:rsid w:val="00E311F3"/>
    <w:rsid w:val="00E35CAC"/>
    <w:rsid w:val="00E36282"/>
    <w:rsid w:val="00E41AF6"/>
    <w:rsid w:val="00E45964"/>
    <w:rsid w:val="00E46A9F"/>
    <w:rsid w:val="00E605A4"/>
    <w:rsid w:val="00E60A59"/>
    <w:rsid w:val="00E70A33"/>
    <w:rsid w:val="00E71EDB"/>
    <w:rsid w:val="00E749F2"/>
    <w:rsid w:val="00E756B7"/>
    <w:rsid w:val="00E7756D"/>
    <w:rsid w:val="00E776F1"/>
    <w:rsid w:val="00E77C9D"/>
    <w:rsid w:val="00E84E4B"/>
    <w:rsid w:val="00E85DF8"/>
    <w:rsid w:val="00E9165D"/>
    <w:rsid w:val="00E93E1D"/>
    <w:rsid w:val="00E9438C"/>
    <w:rsid w:val="00E97A3C"/>
    <w:rsid w:val="00EB0703"/>
    <w:rsid w:val="00EB2C5D"/>
    <w:rsid w:val="00EB2E61"/>
    <w:rsid w:val="00EC26EB"/>
    <w:rsid w:val="00EC5036"/>
    <w:rsid w:val="00EC6070"/>
    <w:rsid w:val="00EC7291"/>
    <w:rsid w:val="00ED2834"/>
    <w:rsid w:val="00EE38A0"/>
    <w:rsid w:val="00EE4CE8"/>
    <w:rsid w:val="00EE6C34"/>
    <w:rsid w:val="00EF1E30"/>
    <w:rsid w:val="00F00D3E"/>
    <w:rsid w:val="00F02924"/>
    <w:rsid w:val="00F03A28"/>
    <w:rsid w:val="00F0437E"/>
    <w:rsid w:val="00F045A4"/>
    <w:rsid w:val="00F05A25"/>
    <w:rsid w:val="00F07B96"/>
    <w:rsid w:val="00F11369"/>
    <w:rsid w:val="00F12F45"/>
    <w:rsid w:val="00F143E8"/>
    <w:rsid w:val="00F15F70"/>
    <w:rsid w:val="00F16967"/>
    <w:rsid w:val="00F24554"/>
    <w:rsid w:val="00F2456E"/>
    <w:rsid w:val="00F26199"/>
    <w:rsid w:val="00F27C12"/>
    <w:rsid w:val="00F31048"/>
    <w:rsid w:val="00F315A2"/>
    <w:rsid w:val="00F328BE"/>
    <w:rsid w:val="00F35397"/>
    <w:rsid w:val="00F359F8"/>
    <w:rsid w:val="00F35E15"/>
    <w:rsid w:val="00F40485"/>
    <w:rsid w:val="00F4285C"/>
    <w:rsid w:val="00F440BA"/>
    <w:rsid w:val="00F45C98"/>
    <w:rsid w:val="00F47206"/>
    <w:rsid w:val="00F56608"/>
    <w:rsid w:val="00F567E6"/>
    <w:rsid w:val="00F605B7"/>
    <w:rsid w:val="00F63DCD"/>
    <w:rsid w:val="00F70641"/>
    <w:rsid w:val="00F75152"/>
    <w:rsid w:val="00F86152"/>
    <w:rsid w:val="00F87073"/>
    <w:rsid w:val="00F928D5"/>
    <w:rsid w:val="00F92988"/>
    <w:rsid w:val="00F95AB4"/>
    <w:rsid w:val="00F969CF"/>
    <w:rsid w:val="00FA133D"/>
    <w:rsid w:val="00FA229C"/>
    <w:rsid w:val="00FA38ED"/>
    <w:rsid w:val="00FA43D5"/>
    <w:rsid w:val="00FA6821"/>
    <w:rsid w:val="00FA79AB"/>
    <w:rsid w:val="00FB205B"/>
    <w:rsid w:val="00FB4255"/>
    <w:rsid w:val="00FB50C4"/>
    <w:rsid w:val="00FB591B"/>
    <w:rsid w:val="00FB5A10"/>
    <w:rsid w:val="00FB7D5B"/>
    <w:rsid w:val="00FC15AE"/>
    <w:rsid w:val="00FC6330"/>
    <w:rsid w:val="00FC654E"/>
    <w:rsid w:val="00FD1242"/>
    <w:rsid w:val="00FD2BB1"/>
    <w:rsid w:val="00FD3291"/>
    <w:rsid w:val="00FD37C4"/>
    <w:rsid w:val="00FD5692"/>
    <w:rsid w:val="00FE15B9"/>
    <w:rsid w:val="00FE1E6C"/>
    <w:rsid w:val="00FF2221"/>
    <w:rsid w:val="00FF4440"/>
    <w:rsid w:val="00FF6B8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741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7409"/>
    <w:pPr>
      <w:overflowPunct w:val="0"/>
      <w:autoSpaceDE w:val="0"/>
      <w:autoSpaceDN w:val="0"/>
      <w:adjustRightInd w:val="0"/>
      <w:textAlignment w:val="baseline"/>
    </w:pPr>
    <w:rPr>
      <w:rFonts w:ascii="Tms Rmn" w:hAnsi="Tms Rm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43F"/>
    <w:pPr>
      <w:tabs>
        <w:tab w:val="center" w:pos="4320"/>
        <w:tab w:val="right" w:pos="8640"/>
      </w:tabs>
    </w:pPr>
  </w:style>
  <w:style w:type="paragraph" w:styleId="Footer">
    <w:name w:val="footer"/>
    <w:basedOn w:val="Normal"/>
    <w:rsid w:val="0082543F"/>
    <w:pPr>
      <w:tabs>
        <w:tab w:val="center" w:pos="4320"/>
        <w:tab w:val="right" w:pos="8640"/>
      </w:tabs>
    </w:pPr>
  </w:style>
  <w:style w:type="paragraph" w:styleId="FootnoteText">
    <w:name w:val="footnote text"/>
    <w:aliases w:val="Brief_Footnote_Text"/>
    <w:basedOn w:val="Normal"/>
    <w:link w:val="FootnoteTextChar"/>
    <w:uiPriority w:val="99"/>
    <w:qFormat/>
    <w:rsid w:val="0082543F"/>
    <w:rPr>
      <w:sz w:val="20"/>
    </w:rPr>
  </w:style>
  <w:style w:type="character" w:styleId="FootnoteReference">
    <w:name w:val="footnote reference"/>
    <w:basedOn w:val="DefaultParagraphFont"/>
    <w:uiPriority w:val="99"/>
    <w:rsid w:val="0082543F"/>
    <w:rPr>
      <w:vertAlign w:val="superscript"/>
    </w:rPr>
  </w:style>
  <w:style w:type="paragraph" w:styleId="BalloonText">
    <w:name w:val="Balloon Text"/>
    <w:basedOn w:val="Normal"/>
    <w:semiHidden/>
    <w:rsid w:val="00720548"/>
    <w:rPr>
      <w:rFonts w:ascii="Tahoma" w:hAnsi="Tahoma" w:cs="Tahoma"/>
      <w:sz w:val="16"/>
      <w:szCs w:val="16"/>
    </w:rPr>
  </w:style>
  <w:style w:type="character" w:styleId="PageNumber">
    <w:name w:val="page number"/>
    <w:basedOn w:val="DefaultParagraphFont"/>
    <w:rsid w:val="00691EBA"/>
  </w:style>
  <w:style w:type="paragraph" w:styleId="EndnoteText">
    <w:name w:val="endnote text"/>
    <w:basedOn w:val="Normal"/>
    <w:link w:val="EndnoteTextChar"/>
    <w:rsid w:val="00030AC1"/>
    <w:rPr>
      <w:sz w:val="20"/>
    </w:rPr>
  </w:style>
  <w:style w:type="character" w:customStyle="1" w:styleId="EndnoteTextChar">
    <w:name w:val="Endnote Text Char"/>
    <w:basedOn w:val="DefaultParagraphFont"/>
    <w:link w:val="EndnoteText"/>
    <w:rsid w:val="00030AC1"/>
    <w:rPr>
      <w:rFonts w:ascii="Tms Rmn" w:hAnsi="Tms Rmn"/>
    </w:rPr>
  </w:style>
  <w:style w:type="character" w:styleId="EndnoteReference">
    <w:name w:val="endnote reference"/>
    <w:basedOn w:val="DefaultParagraphFont"/>
    <w:rsid w:val="00030AC1"/>
    <w:rPr>
      <w:vertAlign w:val="superscript"/>
    </w:rPr>
  </w:style>
  <w:style w:type="paragraph" w:customStyle="1" w:styleId="p3">
    <w:name w:val="p3"/>
    <w:basedOn w:val="Normal"/>
    <w:rsid w:val="006505E8"/>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6505E8"/>
    <w:pPr>
      <w:widowControl w:val="0"/>
      <w:tabs>
        <w:tab w:val="left" w:pos="680"/>
      </w:tabs>
      <w:overflowPunct/>
      <w:textAlignment w:val="auto"/>
    </w:pPr>
    <w:rPr>
      <w:rFonts w:ascii="Times New Roman" w:hAnsi="Times New Roman"/>
      <w:szCs w:val="24"/>
    </w:rPr>
  </w:style>
  <w:style w:type="paragraph" w:styleId="ListParagraph">
    <w:name w:val="List Paragraph"/>
    <w:basedOn w:val="Normal"/>
    <w:uiPriority w:val="34"/>
    <w:qFormat/>
    <w:rsid w:val="009C52FF"/>
    <w:pPr>
      <w:ind w:left="720"/>
      <w:contextualSpacing/>
    </w:pPr>
  </w:style>
  <w:style w:type="paragraph" w:customStyle="1" w:styleId="c2">
    <w:name w:val="c2"/>
    <w:basedOn w:val="Normal"/>
    <w:rsid w:val="003249C8"/>
    <w:pPr>
      <w:widowControl w:val="0"/>
      <w:overflowPunct/>
      <w:jc w:val="center"/>
      <w:textAlignment w:val="auto"/>
    </w:pPr>
    <w:rPr>
      <w:rFonts w:ascii="Times New Roman" w:hAnsi="Times New Roman"/>
      <w:szCs w:val="24"/>
    </w:rPr>
  </w:style>
  <w:style w:type="paragraph" w:styleId="NormalWeb">
    <w:name w:val="Normal (Web)"/>
    <w:basedOn w:val="Normal"/>
    <w:rsid w:val="000851CA"/>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6E15CA"/>
    <w:rPr>
      <w:color w:val="0000FF"/>
      <w:u w:val="single"/>
    </w:rPr>
  </w:style>
  <w:style w:type="character" w:styleId="CommentReference">
    <w:name w:val="annotation reference"/>
    <w:basedOn w:val="DefaultParagraphFont"/>
    <w:semiHidden/>
    <w:unhideWhenUsed/>
    <w:rsid w:val="008C4C50"/>
    <w:rPr>
      <w:sz w:val="16"/>
      <w:szCs w:val="16"/>
    </w:rPr>
  </w:style>
  <w:style w:type="paragraph" w:styleId="CommentText">
    <w:name w:val="annotation text"/>
    <w:basedOn w:val="Normal"/>
    <w:link w:val="CommentTextChar"/>
    <w:unhideWhenUsed/>
    <w:rsid w:val="008C4C50"/>
    <w:rPr>
      <w:sz w:val="20"/>
    </w:rPr>
  </w:style>
  <w:style w:type="character" w:customStyle="1" w:styleId="CommentTextChar">
    <w:name w:val="Comment Text Char"/>
    <w:basedOn w:val="DefaultParagraphFont"/>
    <w:link w:val="CommentText"/>
    <w:rsid w:val="008C4C50"/>
    <w:rPr>
      <w:rFonts w:ascii="Tms Rmn" w:hAnsi="Tms Rmn"/>
    </w:rPr>
  </w:style>
  <w:style w:type="paragraph" w:styleId="CommentSubject">
    <w:name w:val="annotation subject"/>
    <w:basedOn w:val="CommentText"/>
    <w:next w:val="CommentText"/>
    <w:link w:val="CommentSubjectChar"/>
    <w:semiHidden/>
    <w:unhideWhenUsed/>
    <w:rsid w:val="008C4C50"/>
    <w:rPr>
      <w:b/>
      <w:bCs/>
    </w:rPr>
  </w:style>
  <w:style w:type="character" w:customStyle="1" w:styleId="CommentSubjectChar">
    <w:name w:val="Comment Subject Char"/>
    <w:basedOn w:val="CommentTextChar"/>
    <w:link w:val="CommentSubject"/>
    <w:semiHidden/>
    <w:rsid w:val="008C4C50"/>
    <w:rPr>
      <w:rFonts w:ascii="Tms Rmn" w:hAnsi="Tms Rmn"/>
      <w:b/>
      <w:bCs/>
    </w:rPr>
  </w:style>
  <w:style w:type="paragraph" w:styleId="BodyText">
    <w:name w:val="Body Text"/>
    <w:basedOn w:val="Normal"/>
    <w:link w:val="BodyTextChar"/>
    <w:uiPriority w:val="1"/>
    <w:qFormat/>
    <w:rsid w:val="008F1CB1"/>
    <w:pPr>
      <w:widowControl w:val="0"/>
      <w:overflowPunct/>
      <w:adjustRightInd/>
      <w:spacing w:before="161"/>
      <w:ind w:left="460" w:hanging="360"/>
      <w:textAlignment w:val="auto"/>
    </w:pPr>
    <w:rPr>
      <w:rFonts w:ascii="Times New Roman" w:hAnsi="Times New Roman"/>
      <w:szCs w:val="24"/>
      <w:lang w:bidi="en-US"/>
    </w:rPr>
  </w:style>
  <w:style w:type="character" w:customStyle="1" w:styleId="BodyTextChar">
    <w:name w:val="Body Text Char"/>
    <w:basedOn w:val="DefaultParagraphFont"/>
    <w:link w:val="BodyText"/>
    <w:uiPriority w:val="1"/>
    <w:rsid w:val="008F1CB1"/>
    <w:rPr>
      <w:sz w:val="24"/>
      <w:szCs w:val="24"/>
      <w:lang w:bidi="en-US"/>
    </w:rPr>
  </w:style>
  <w:style w:type="paragraph" w:customStyle="1" w:styleId="Default">
    <w:name w:val="Default"/>
    <w:basedOn w:val="Normal"/>
    <w:rsid w:val="00CB0981"/>
    <w:pPr>
      <w:overflowPunct/>
      <w:adjustRightInd/>
      <w:textAlignment w:val="auto"/>
    </w:pPr>
    <w:rPr>
      <w:rFonts w:ascii="Calibri" w:eastAsia="Calibri" w:hAnsi="Calibri"/>
      <w:color w:val="000000"/>
      <w:szCs w:val="24"/>
    </w:rPr>
  </w:style>
  <w:style w:type="paragraph" w:styleId="Revision">
    <w:name w:val="Revision"/>
    <w:hidden/>
    <w:uiPriority w:val="99"/>
    <w:semiHidden/>
    <w:rsid w:val="00E97A3C"/>
    <w:rPr>
      <w:rFonts w:ascii="Tms Rmn" w:hAnsi="Tms Rmn"/>
      <w:sz w:val="24"/>
    </w:rPr>
  </w:style>
  <w:style w:type="character" w:customStyle="1" w:styleId="FootnoteTextChar">
    <w:name w:val="Footnote Text Char"/>
    <w:aliases w:val="Brief_Footnote_Text Char"/>
    <w:basedOn w:val="DefaultParagraphFont"/>
    <w:link w:val="FootnoteText"/>
    <w:uiPriority w:val="99"/>
    <w:rsid w:val="00AD0B3F"/>
    <w:rPr>
      <w:rFonts w:ascii="Tms Rmn" w:hAnsi="Tms Rmn"/>
    </w:rPr>
  </w:style>
  <w:style w:type="character" w:styleId="UnresolvedMention">
    <w:name w:val="Unresolved Mention"/>
    <w:basedOn w:val="DefaultParagraphFont"/>
    <w:uiPriority w:val="99"/>
    <w:semiHidden/>
    <w:unhideWhenUsed/>
    <w:rsid w:val="008229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ocwage.t0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0FDFE-995D-40AC-AAD8-BA1D30840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1948</Words>
  <Characters>11109</Characters>
  <Application>Microsoft Office Word</Application>
  <DocSecurity>0</DocSecurity>
  <Lines>92</Lines>
  <Paragraphs>26</Paragraphs>
  <ScaleCrop>false</ScaleCrop>
  <Company/>
  <LinksUpToDate>false</LinksUpToDate>
  <CharactersWithSpaces>13031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2026-06-22T21:07:00Z</dcterms:created>
  <dcterms:modified xsi:type="dcterms:W3CDTF">2026-06-22T21:07:00Z</dcterms:modified>
</cp:coreProperties>
</file>