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72B1" w:rsidRPr="00732197" w:rsidP="000A2B1B" w14:paraId="0EBD3563" w14:textId="1131F204">
      <w:pPr>
        <w:pStyle w:val="BodyText"/>
        <w:ind w:left="2440" w:right="2398"/>
        <w:jc w:val="center"/>
        <w:rPr>
          <w:b/>
          <w:bCs/>
        </w:rPr>
      </w:pPr>
    </w:p>
    <w:p w:rsidR="00F272B1" w:rsidRPr="00732197" w:rsidP="000A2B1B" w14:paraId="0A55ABB8" w14:textId="67513463">
      <w:pPr>
        <w:pStyle w:val="BodyText"/>
        <w:ind w:left="2440" w:right="2398"/>
        <w:jc w:val="center"/>
        <w:rPr>
          <w:b/>
          <w:bCs/>
        </w:rPr>
      </w:pPr>
      <w:bookmarkStart w:id="0" w:name="_Hlk155258340"/>
      <w:r w:rsidRPr="00732197">
        <w:rPr>
          <w:b/>
          <w:bCs/>
        </w:rPr>
        <w:t>Federal Trade Commission</w:t>
      </w:r>
    </w:p>
    <w:p w:rsidR="00F12524" w:rsidRPr="00732197" w:rsidP="000A2B1B" w14:paraId="3153B5D3" w14:textId="77777777">
      <w:pPr>
        <w:pStyle w:val="BodyText"/>
        <w:ind w:left="2440" w:right="2398"/>
        <w:jc w:val="center"/>
        <w:rPr>
          <w:b/>
          <w:bCs/>
        </w:rPr>
      </w:pPr>
    </w:p>
    <w:p w:rsidR="001F28FD" w:rsidRPr="00732197" w:rsidP="00732197" w14:paraId="54D5F05F" w14:textId="2F4529D3">
      <w:pPr>
        <w:tabs>
          <w:tab w:val="center" w:pos="4680"/>
        </w:tabs>
        <w:jc w:val="center"/>
        <w:rPr>
          <w:rFonts w:ascii="Times New Roman" w:hAnsi="Times New Roman"/>
          <w:b/>
          <w:bCs/>
        </w:rPr>
      </w:pPr>
      <w:r w:rsidRPr="00732197">
        <w:rPr>
          <w:rFonts w:ascii="Times New Roman" w:hAnsi="Times New Roman"/>
          <w:b/>
          <w:bCs/>
        </w:rPr>
        <w:t>Generic Clearance for Information Collection Using Voluntary Surveys for Studies Conducted by the Federal Trade Commission Bureau of Economics to Support the FTC’s Missions to Protect Consumers and Competition</w:t>
      </w:r>
    </w:p>
    <w:p w:rsidR="001F28FD" w:rsidRPr="00732197" w:rsidP="001F28FD" w14:paraId="2E7350EB" w14:textId="7862B538">
      <w:pPr>
        <w:tabs>
          <w:tab w:val="center" w:pos="4680"/>
        </w:tabs>
        <w:jc w:val="center"/>
        <w:rPr>
          <w:rFonts w:ascii="Times New Roman" w:hAnsi="Times New Roman"/>
          <w:b/>
          <w:bCs/>
        </w:rPr>
      </w:pPr>
      <w:r w:rsidRPr="00732197">
        <w:rPr>
          <w:rFonts w:ascii="Times New Roman" w:hAnsi="Times New Roman"/>
          <w:b/>
          <w:bCs/>
        </w:rPr>
        <w:t xml:space="preserve">OMB Control No. </w:t>
      </w:r>
      <w:r w:rsidRPr="00732197" w:rsidR="007F0289">
        <w:rPr>
          <w:rFonts w:ascii="Times New Roman" w:hAnsi="Times New Roman"/>
          <w:b/>
          <w:bCs/>
        </w:rPr>
        <w:t>3084</w:t>
      </w:r>
      <w:r w:rsidRPr="00732197" w:rsidR="00F12524">
        <w:rPr>
          <w:rFonts w:ascii="Times New Roman" w:hAnsi="Times New Roman"/>
          <w:b/>
          <w:bCs/>
        </w:rPr>
        <w:t>-####</w:t>
      </w:r>
    </w:p>
    <w:bookmarkEnd w:id="0"/>
    <w:p w:rsidR="00732197" w:rsidP="00F762E0" w14:paraId="7A817EE0" w14:textId="77777777">
      <w:pPr>
        <w:rPr>
          <w:rFonts w:ascii="Times New Roman" w:hAnsi="Times New Roman"/>
          <w:b/>
        </w:rPr>
      </w:pPr>
    </w:p>
    <w:p w:rsidR="008752E5" w:rsidRPr="00816BA8" w:rsidP="001555E8" w14:paraId="41C38F4C" w14:textId="53623B15">
      <w:pPr>
        <w:jc w:val="center"/>
        <w:rPr>
          <w:rFonts w:ascii="Times New Roman" w:hAnsi="Times New Roman"/>
          <w:b/>
        </w:rPr>
      </w:pPr>
      <w:r w:rsidRPr="00816BA8">
        <w:rPr>
          <w:rFonts w:ascii="Times New Roman" w:hAnsi="Times New Roman"/>
          <w:b/>
        </w:rPr>
        <w:t>SUPPORTING STATEMENT</w:t>
      </w:r>
      <w:r w:rsidRPr="00816BA8" w:rsidR="002029DE">
        <w:rPr>
          <w:rFonts w:ascii="Times New Roman" w:hAnsi="Times New Roman"/>
          <w:b/>
        </w:rPr>
        <w:t xml:space="preserve"> – Part A: Justification</w:t>
      </w:r>
    </w:p>
    <w:p w:rsidR="008752E5" w:rsidRPr="00816BA8" w:rsidP="008752E5" w14:paraId="065D3D91" w14:textId="77777777">
      <w:pPr>
        <w:jc w:val="center"/>
        <w:rPr>
          <w:rFonts w:ascii="Times New Roman" w:hAnsi="Times New Roman"/>
          <w:b/>
        </w:rPr>
      </w:pPr>
    </w:p>
    <w:p w:rsidR="008752E5" w:rsidRPr="00816BA8" w:rsidP="008752E5" w14:paraId="420F86D1" w14:textId="378A0D99">
      <w:pPr>
        <w:rPr>
          <w:rFonts w:ascii="Times New Roman" w:hAnsi="Times New Roman"/>
        </w:rPr>
      </w:pPr>
    </w:p>
    <w:p w:rsidR="00785B45" w:rsidP="00785B45" w14:paraId="4DF1D681" w14:textId="5257EC5D">
      <w:pPr>
        <w:overflowPunct w:val="0"/>
        <w:autoSpaceDE w:val="0"/>
        <w:autoSpaceDN w:val="0"/>
        <w:adjustRightInd w:val="0"/>
        <w:jc w:val="center"/>
        <w:textAlignment w:val="baseline"/>
        <w:rPr>
          <w:rFonts w:ascii="Times New Roman" w:hAnsi="Times New Roman"/>
          <w:snapToGrid/>
        </w:rPr>
      </w:pPr>
      <w:r w:rsidRPr="00785B45">
        <w:rPr>
          <w:rFonts w:ascii="Times New Roman" w:hAnsi="Times New Roman"/>
          <w:snapToGrid/>
        </w:rPr>
        <w:t xml:space="preserve">Overview of Information Collection </w:t>
      </w:r>
    </w:p>
    <w:p w:rsidR="0005413B" w:rsidRPr="00785B45" w:rsidP="00785B45" w14:paraId="653DA89D" w14:textId="77777777">
      <w:pPr>
        <w:overflowPunct w:val="0"/>
        <w:autoSpaceDE w:val="0"/>
        <w:autoSpaceDN w:val="0"/>
        <w:adjustRightInd w:val="0"/>
        <w:jc w:val="center"/>
        <w:textAlignment w:val="baseline"/>
        <w:rPr>
          <w:rFonts w:ascii="Times New Roman" w:hAnsi="Times New Roman"/>
          <w:snapToGrid/>
        </w:rPr>
      </w:pPr>
    </w:p>
    <w:p w:rsidR="00785B45" w:rsidRPr="008D41D1" w:rsidP="001555E8" w14:paraId="4ECA23F5" w14:textId="3E5B5E8B">
      <w:pPr>
        <w:ind w:left="360"/>
        <w:rPr>
          <w:rFonts w:ascii="Times New Roman" w:hAnsi="Times New Roman"/>
        </w:rPr>
      </w:pPr>
      <w:r w:rsidRPr="001555E8">
        <w:rPr>
          <w:rFonts w:ascii="Times New Roman" w:hAnsi="Times New Roman"/>
          <w:snapToGrid/>
          <w:szCs w:val="22"/>
        </w:rPr>
        <w:t xml:space="preserve">The Federal Trade Commission </w:t>
      </w:r>
      <w:r w:rsidRPr="001555E8" w:rsidR="008750AB">
        <w:rPr>
          <w:rFonts w:ascii="Times New Roman" w:hAnsi="Times New Roman"/>
          <w:snapToGrid/>
          <w:szCs w:val="22"/>
        </w:rPr>
        <w:t xml:space="preserve">(FTC or Commission) </w:t>
      </w:r>
      <w:r w:rsidRPr="001555E8">
        <w:rPr>
          <w:rFonts w:ascii="Times New Roman" w:hAnsi="Times New Roman"/>
          <w:snapToGrid/>
          <w:szCs w:val="22"/>
        </w:rPr>
        <w:t xml:space="preserve">is seeking </w:t>
      </w:r>
      <w:r w:rsidRPr="001555E8" w:rsidR="008750AB">
        <w:rPr>
          <w:rFonts w:ascii="Times New Roman" w:hAnsi="Times New Roman"/>
          <w:snapToGrid/>
          <w:szCs w:val="22"/>
        </w:rPr>
        <w:t>approval from the</w:t>
      </w:r>
      <w:r w:rsidRPr="001555E8">
        <w:rPr>
          <w:rFonts w:ascii="Times New Roman" w:hAnsi="Times New Roman"/>
          <w:snapToGrid/>
          <w:szCs w:val="22"/>
        </w:rPr>
        <w:t xml:space="preserve"> Office of Management and Budget (OMB) </w:t>
      </w:r>
      <w:r w:rsidRPr="001555E8" w:rsidR="008750AB">
        <w:rPr>
          <w:rFonts w:ascii="Times New Roman" w:hAnsi="Times New Roman"/>
          <w:snapToGrid/>
          <w:szCs w:val="22"/>
        </w:rPr>
        <w:t xml:space="preserve">for </w:t>
      </w:r>
      <w:r w:rsidRPr="001555E8">
        <w:rPr>
          <w:rFonts w:ascii="Times New Roman" w:hAnsi="Times New Roman"/>
          <w:snapToGrid/>
          <w:szCs w:val="22"/>
        </w:rPr>
        <w:t xml:space="preserve">generic clearance for information collection under the Paperwork Reduction Act (PRA) to allow the </w:t>
      </w:r>
      <w:r w:rsidRPr="001555E8" w:rsidR="0005413B">
        <w:rPr>
          <w:rFonts w:ascii="Times New Roman" w:hAnsi="Times New Roman"/>
          <w:snapToGrid/>
          <w:szCs w:val="22"/>
        </w:rPr>
        <w:t xml:space="preserve">FTC’s </w:t>
      </w:r>
      <w:r w:rsidRPr="001555E8">
        <w:rPr>
          <w:rFonts w:ascii="Times New Roman" w:hAnsi="Times New Roman"/>
          <w:snapToGrid/>
          <w:szCs w:val="22"/>
        </w:rPr>
        <w:t>Bureau of Economics to conduct voluntary survey studies of consumer behavior as it relates to competition and consumer protection laws.</w:t>
      </w:r>
      <w:r w:rsidRPr="001555E8" w:rsidR="0005413B">
        <w:rPr>
          <w:rFonts w:ascii="Times New Roman" w:hAnsi="Times New Roman"/>
          <w:snapToGrid/>
          <w:szCs w:val="22"/>
        </w:rPr>
        <w:t xml:space="preserve">  This is a new collection.</w:t>
      </w:r>
    </w:p>
    <w:p w:rsidR="007A5EAB" w:rsidP="007A5EAB" w14:paraId="1BD0F36B" w14:textId="77777777">
      <w:pPr>
        <w:widowControl/>
        <w:rPr>
          <w:rFonts w:ascii="Times New Roman" w:hAnsi="Times New Roman"/>
        </w:rPr>
      </w:pPr>
    </w:p>
    <w:p w:rsidR="008752E5" w:rsidRPr="00E6207C" w:rsidP="00E6207C" w14:paraId="57CCD954" w14:textId="7AEC1A00">
      <w:pPr>
        <w:widowControl/>
        <w:rPr>
          <w:rFonts w:ascii="Times New Roman" w:hAnsi="Times New Roman"/>
          <w:snapToGrid/>
          <w:szCs w:val="24"/>
          <w:u w:val="single"/>
        </w:rPr>
      </w:pPr>
      <w:r w:rsidRPr="00E6207C">
        <w:rPr>
          <w:rFonts w:ascii="Times New Roman" w:hAnsi="Times New Roman"/>
        </w:rPr>
        <w:t xml:space="preserve">1.   </w:t>
      </w:r>
      <w:r w:rsidRPr="00E6207C" w:rsidR="001E0577">
        <w:rPr>
          <w:rFonts w:ascii="Times New Roman" w:hAnsi="Times New Roman"/>
          <w:u w:val="single"/>
        </w:rPr>
        <w:t>Necessity for Collecting the Information</w:t>
      </w:r>
    </w:p>
    <w:p w:rsidR="00D11280" w:rsidRPr="00816BA8" w:rsidP="00D11280" w14:paraId="326D1145" w14:textId="77777777">
      <w:pPr>
        <w:widowControl/>
        <w:ind w:left="720"/>
        <w:rPr>
          <w:rFonts w:ascii="Times New Roman" w:hAnsi="Times New Roman"/>
          <w:snapToGrid/>
          <w:szCs w:val="24"/>
        </w:rPr>
      </w:pPr>
    </w:p>
    <w:p w:rsidR="00D11280" w:rsidRPr="00816BA8" w:rsidP="2FD726C9" w14:paraId="1C3C1C54" w14:textId="31D8A337">
      <w:pPr>
        <w:widowControl/>
        <w:ind w:left="360"/>
        <w:rPr>
          <w:rFonts w:ascii="Times New Roman" w:hAnsi="Times New Roman"/>
          <w:snapToGrid/>
        </w:rPr>
      </w:pPr>
      <w:r w:rsidRPr="2FD726C9">
        <w:rPr>
          <w:rFonts w:ascii="Times New Roman" w:hAnsi="Times New Roman"/>
          <w:snapToGrid/>
        </w:rPr>
        <w:t xml:space="preserve">This information collection is intended to support research conducted by the </w:t>
      </w:r>
      <w:r w:rsidRPr="2FD726C9" w:rsidR="00F12524">
        <w:rPr>
          <w:rFonts w:ascii="Times New Roman" w:hAnsi="Times New Roman"/>
          <w:snapToGrid/>
        </w:rPr>
        <w:t>Federal Trade Commission, Bureau of Economics</w:t>
      </w:r>
      <w:r w:rsidRPr="2FD726C9">
        <w:rPr>
          <w:rFonts w:ascii="Times New Roman" w:hAnsi="Times New Roman"/>
          <w:snapToGrid/>
        </w:rPr>
        <w:t xml:space="preserve">.  </w:t>
      </w:r>
      <w:r w:rsidRPr="2FD726C9" w:rsidR="003F72A1">
        <w:rPr>
          <w:rFonts w:ascii="Times New Roman" w:hAnsi="Times New Roman"/>
          <w:snapToGrid/>
        </w:rPr>
        <w:t>Understanding consumers</w:t>
      </w:r>
      <w:r w:rsidRPr="1871EFDC" w:rsidR="4A8E8C4F">
        <w:rPr>
          <w:rFonts w:ascii="Times New Roman" w:hAnsi="Times New Roman"/>
        </w:rPr>
        <w:t>’</w:t>
      </w:r>
      <w:r w:rsidRPr="2FD726C9" w:rsidR="003F72A1">
        <w:rPr>
          <w:rFonts w:ascii="Times New Roman" w:hAnsi="Times New Roman"/>
          <w:snapToGrid/>
        </w:rPr>
        <w:t xml:space="preserve"> perceptions and behaviors plays an important role in improving FTC law enforcement by better understanding potentially harmful and anticompetitive business practices and enabling efficient new methods to compute consumer injury. </w:t>
      </w:r>
      <w:r w:rsidRPr="2FD726C9">
        <w:rPr>
          <w:rFonts w:ascii="Times New Roman" w:hAnsi="Times New Roman"/>
          <w:snapToGrid/>
        </w:rPr>
        <w:t>T</w:t>
      </w:r>
      <w:r w:rsidRPr="2FD726C9" w:rsidR="003F72A1">
        <w:rPr>
          <w:rFonts w:ascii="Times New Roman" w:hAnsi="Times New Roman"/>
          <w:snapToGrid/>
        </w:rPr>
        <w:t>o help with determining the issues and mechanisms underlying consumer behavior in response to unfair or deceptive business practices and to inform the FTC about how best to protect consumers in light of these practices</w:t>
      </w:r>
      <w:r w:rsidRPr="2FD726C9">
        <w:rPr>
          <w:rFonts w:ascii="Times New Roman" w:hAnsi="Times New Roman"/>
          <w:snapToGrid/>
        </w:rPr>
        <w:t xml:space="preserve">, </w:t>
      </w:r>
      <w:r w:rsidRPr="2FD726C9" w:rsidR="003F72A1">
        <w:rPr>
          <w:rFonts w:ascii="Times New Roman" w:hAnsi="Times New Roman"/>
          <w:snapToGrid/>
        </w:rPr>
        <w:t xml:space="preserve">the </w:t>
      </w:r>
      <w:r w:rsidRPr="2FD726C9">
        <w:rPr>
          <w:rFonts w:ascii="Times New Roman" w:hAnsi="Times New Roman"/>
          <w:snapToGrid/>
        </w:rPr>
        <w:t>F</w:t>
      </w:r>
      <w:r w:rsidRPr="2FD726C9" w:rsidR="00F12524">
        <w:rPr>
          <w:rFonts w:ascii="Times New Roman" w:hAnsi="Times New Roman"/>
          <w:snapToGrid/>
        </w:rPr>
        <w:t>TC</w:t>
      </w:r>
      <w:r w:rsidRPr="2FD726C9">
        <w:rPr>
          <w:rFonts w:ascii="Times New Roman" w:hAnsi="Times New Roman"/>
          <w:snapToGrid/>
        </w:rPr>
        <w:t xml:space="preserve"> is requesting approval of this generic information collection request.</w:t>
      </w:r>
    </w:p>
    <w:p w:rsidR="00D11280" w:rsidRPr="00816BA8" w:rsidP="00D11280" w14:paraId="49178713" w14:textId="77777777">
      <w:pPr>
        <w:widowControl/>
        <w:ind w:left="360"/>
        <w:rPr>
          <w:rFonts w:ascii="Times New Roman" w:hAnsi="Times New Roman"/>
          <w:snapToGrid/>
          <w:szCs w:val="24"/>
        </w:rPr>
      </w:pPr>
    </w:p>
    <w:p w:rsidR="00D11280" w:rsidRPr="00816BA8" w:rsidP="35AA97DF" w14:paraId="26A5C576" w14:textId="205AD07F">
      <w:pPr>
        <w:widowControl/>
        <w:ind w:left="360"/>
        <w:rPr>
          <w:rFonts w:ascii="Times New Roman" w:hAnsi="Times New Roman"/>
          <w:snapToGrid/>
        </w:rPr>
      </w:pPr>
      <w:r w:rsidRPr="7CBB9CE1">
        <w:rPr>
          <w:rFonts w:ascii="Times New Roman" w:hAnsi="Times New Roman"/>
        </w:rPr>
        <w:t>The Commission is charged</w:t>
      </w:r>
      <w:r w:rsidRPr="2FD726C9">
        <w:rPr>
          <w:rFonts w:ascii="Times New Roman" w:hAnsi="Times New Roman"/>
          <w:snapToGrid/>
        </w:rPr>
        <w:t xml:space="preserve"> </w:t>
      </w:r>
      <w:r w:rsidRPr="7CBB9CE1" w:rsidR="7A690E39">
        <w:rPr>
          <w:rFonts w:ascii="Times New Roman" w:hAnsi="Times New Roman"/>
        </w:rPr>
        <w:t>by section 6(a) of the Federal Trade Commission Act (the Act</w:t>
      </w:r>
      <w:r w:rsidRPr="7CBB9CE1" w:rsidR="7A690E39">
        <w:rPr>
          <w:rFonts w:ascii="Times New Roman" w:hAnsi="Times New Roman"/>
        </w:rPr>
        <w:t xml:space="preserve">) </w:t>
      </w:r>
      <w:r w:rsidRPr="2FD726C9">
        <w:rPr>
          <w:rFonts w:ascii="Times New Roman" w:hAnsi="Times New Roman"/>
          <w:snapToGrid/>
        </w:rPr>
        <w:t xml:space="preserve"> with</w:t>
      </w:r>
      <w:r w:rsidRPr="2FD726C9">
        <w:rPr>
          <w:rFonts w:ascii="Times New Roman" w:hAnsi="Times New Roman"/>
          <w:snapToGrid/>
        </w:rPr>
        <w:t xml:space="preserve"> </w:t>
      </w:r>
      <w:r w:rsidRPr="2FD726C9" w:rsidR="003A6E72">
        <w:rPr>
          <w:rFonts w:ascii="Times New Roman" w:hAnsi="Times New Roman"/>
          <w:snapToGrid/>
        </w:rPr>
        <w:t>conducting research and gathering information on issues related to consumer protection and competition</w:t>
      </w:r>
      <w:r w:rsidRPr="2FD726C9">
        <w:rPr>
          <w:rFonts w:ascii="Times New Roman" w:hAnsi="Times New Roman"/>
          <w:snapToGrid/>
        </w:rPr>
        <w:t xml:space="preserve">. </w:t>
      </w:r>
      <w:r w:rsidRPr="7CBB9CE1" w:rsidR="5A79852E">
        <w:rPr>
          <w:rFonts w:ascii="Times New Roman" w:hAnsi="Times New Roman"/>
        </w:rPr>
        <w:t xml:space="preserve">That section </w:t>
      </w:r>
      <w:r w:rsidRPr="2FD726C9">
        <w:rPr>
          <w:rFonts w:ascii="Times New Roman" w:hAnsi="Times New Roman"/>
          <w:snapToGrid/>
        </w:rPr>
        <w:t xml:space="preserve">provides that the Commission </w:t>
      </w:r>
      <w:r w:rsidRPr="2FD726C9" w:rsidR="003A6E72">
        <w:rPr>
          <w:rFonts w:ascii="Times New Roman" w:hAnsi="Times New Roman"/>
          <w:snapToGrid/>
        </w:rPr>
        <w:t>shall have power to</w:t>
      </w:r>
      <w:r w:rsidRPr="35AA97DF">
        <w:rPr>
          <w:rFonts w:ascii="Times New Roman" w:hAnsi="Times New Roman"/>
          <w:snapToGrid/>
        </w:rPr>
        <w:t xml:space="preserve"> “</w:t>
      </w:r>
      <w:r w:rsidRPr="7CBB9CE1" w:rsidR="003A6E72">
        <w:rPr>
          <w:rFonts w:ascii="Times New Roman" w:hAnsi="Times New Roman"/>
          <w:i/>
          <w:iCs/>
          <w:snapToGrid/>
        </w:rPr>
        <w:t>to gather and compile information concerning, and to investigate from time to time the organization, business, conduct, practices, and management of any person, partnership, or corporation engaged in or whose business affects commerce</w:t>
      </w:r>
      <w:r w:rsidRPr="7CBB9CE1">
        <w:rPr>
          <w:rFonts w:ascii="Times New Roman" w:hAnsi="Times New Roman"/>
          <w:i/>
          <w:iCs/>
          <w:snapToGrid/>
        </w:rPr>
        <w:t>.”</w:t>
      </w:r>
      <w:r w:rsidRPr="2FD726C9">
        <w:rPr>
          <w:rFonts w:ascii="Times New Roman" w:hAnsi="Times New Roman"/>
          <w:snapToGrid/>
        </w:rPr>
        <w:t xml:space="preserve"> Accordingly, </w:t>
      </w:r>
      <w:r w:rsidRPr="7CBB9CE1" w:rsidR="06BFAA85">
        <w:rPr>
          <w:rFonts w:ascii="Times New Roman" w:hAnsi="Times New Roman"/>
        </w:rPr>
        <w:t>the Commission</w:t>
      </w:r>
      <w:r w:rsidRPr="2FD726C9">
        <w:rPr>
          <w:rFonts w:ascii="Times New Roman" w:hAnsi="Times New Roman"/>
          <w:snapToGrid/>
        </w:rPr>
        <w:t xml:space="preserve"> is seeking to conduct research consisting of </w:t>
      </w:r>
      <w:r w:rsidRPr="2FD726C9" w:rsidR="00716C8A">
        <w:rPr>
          <w:rFonts w:ascii="Times New Roman" w:hAnsi="Times New Roman"/>
          <w:snapToGrid/>
        </w:rPr>
        <w:t xml:space="preserve">voluntary </w:t>
      </w:r>
      <w:r w:rsidRPr="2FD726C9">
        <w:rPr>
          <w:rFonts w:ascii="Times New Roman" w:hAnsi="Times New Roman"/>
          <w:snapToGrid/>
        </w:rPr>
        <w:t>focus groups, interviews, surveys</w:t>
      </w:r>
      <w:r w:rsidRPr="2FD726C9" w:rsidR="003A6E72">
        <w:rPr>
          <w:rFonts w:ascii="Times New Roman" w:hAnsi="Times New Roman"/>
          <w:snapToGrid/>
        </w:rPr>
        <w:t>, and experiments</w:t>
      </w:r>
      <w:r w:rsidRPr="2FD726C9">
        <w:rPr>
          <w:rFonts w:ascii="Times New Roman" w:hAnsi="Times New Roman"/>
          <w:snapToGrid/>
        </w:rPr>
        <w:t xml:space="preserve"> relating to</w:t>
      </w:r>
      <w:r w:rsidRPr="2FD726C9" w:rsidR="003A6E72">
        <w:rPr>
          <w:rFonts w:ascii="Times New Roman" w:hAnsi="Times New Roman"/>
          <w:snapToGrid/>
        </w:rPr>
        <w:t xml:space="preserve"> consumers’ perceptions of industry and business practices, and their behavior as it pertains to their relationship with these practices</w:t>
      </w:r>
      <w:r w:rsidRPr="35AA97DF">
        <w:rPr>
          <w:rFonts w:ascii="Times New Roman" w:hAnsi="Times New Roman"/>
        </w:rPr>
        <w:t>.</w:t>
      </w:r>
    </w:p>
    <w:p w:rsidR="00D11280" w:rsidRPr="00816BA8" w:rsidP="00D11280" w14:paraId="40950660" w14:textId="77777777">
      <w:pPr>
        <w:widowControl/>
        <w:ind w:left="360"/>
        <w:rPr>
          <w:rFonts w:ascii="Times New Roman" w:hAnsi="Times New Roman"/>
          <w:snapToGrid/>
          <w:szCs w:val="24"/>
        </w:rPr>
      </w:pPr>
    </w:p>
    <w:p w:rsidR="000533EB" w:rsidRPr="00816BA8" w:rsidP="001D0CE0" w14:paraId="1B710642" w14:textId="6EA52C24">
      <w:pPr>
        <w:widowControl/>
        <w:ind w:left="360"/>
        <w:rPr>
          <w:rFonts w:ascii="Times New Roman" w:hAnsi="Times New Roman"/>
          <w:snapToGrid/>
          <w:szCs w:val="24"/>
        </w:rPr>
      </w:pPr>
      <w:r w:rsidRPr="00816BA8">
        <w:rPr>
          <w:rFonts w:ascii="Times New Roman" w:hAnsi="Times New Roman"/>
          <w:snapToGrid/>
          <w:szCs w:val="24"/>
        </w:rPr>
        <w:t xml:space="preserve">The qualitative and quantitative research anticipated by </w:t>
      </w:r>
      <w:r w:rsidR="009968B4">
        <w:rPr>
          <w:rFonts w:ascii="Times New Roman" w:hAnsi="Times New Roman"/>
          <w:snapToGrid/>
          <w:szCs w:val="24"/>
        </w:rPr>
        <w:t xml:space="preserve">the </w:t>
      </w:r>
      <w:r w:rsidRPr="00816BA8">
        <w:rPr>
          <w:rFonts w:ascii="Times New Roman" w:hAnsi="Times New Roman"/>
          <w:snapToGrid/>
          <w:szCs w:val="24"/>
        </w:rPr>
        <w:t>F</w:t>
      </w:r>
      <w:r w:rsidRPr="00816BA8" w:rsidR="001D0CE0">
        <w:rPr>
          <w:rFonts w:ascii="Times New Roman" w:hAnsi="Times New Roman"/>
          <w:snapToGrid/>
          <w:szCs w:val="24"/>
        </w:rPr>
        <w:t>TC</w:t>
      </w:r>
      <w:r w:rsidRPr="00816BA8">
        <w:rPr>
          <w:rFonts w:ascii="Times New Roman" w:hAnsi="Times New Roman"/>
          <w:snapToGrid/>
          <w:szCs w:val="24"/>
        </w:rPr>
        <w:t xml:space="preserve"> aligns with </w:t>
      </w:r>
      <w:r w:rsidR="00027FFD">
        <w:rPr>
          <w:rFonts w:ascii="Times New Roman" w:hAnsi="Times New Roman"/>
          <w:snapToGrid/>
          <w:szCs w:val="24"/>
        </w:rPr>
        <w:t>a</w:t>
      </w:r>
      <w:r w:rsidRPr="00816BA8">
        <w:rPr>
          <w:rFonts w:ascii="Times New Roman" w:hAnsi="Times New Roman"/>
          <w:snapToGrid/>
          <w:szCs w:val="24"/>
        </w:rPr>
        <w:t xml:space="preserve">gency objectives. </w:t>
      </w:r>
      <w:r w:rsidRPr="00816BA8" w:rsidR="001D0CE0">
        <w:rPr>
          <w:rFonts w:ascii="Times New Roman" w:hAnsi="Times New Roman"/>
          <w:snapToGrid/>
          <w:szCs w:val="24"/>
        </w:rPr>
        <w:t xml:space="preserve">As an objective, the Bureau of Economics “conducts economic studies, supports antitrust and consumer protection investigations and litigation, analyzes existing and proposed consumer protection rules, and studies the competitive impact of regulations for the </w:t>
      </w:r>
      <w:r w:rsidRPr="00816BA8" w:rsidR="001D0CE0">
        <w:rPr>
          <w:rFonts w:ascii="Times New Roman" w:hAnsi="Times New Roman"/>
          <w:snapToGrid/>
          <w:szCs w:val="24"/>
        </w:rPr>
        <w:t>Commission</w:t>
      </w:r>
      <w:r w:rsidR="005D3BA6">
        <w:rPr>
          <w:rFonts w:ascii="Times New Roman" w:hAnsi="Times New Roman"/>
          <w:snapToGrid/>
          <w:szCs w:val="24"/>
        </w:rPr>
        <w:t>.”</w:t>
      </w:r>
      <w:r>
        <w:rPr>
          <w:rStyle w:val="FootnoteReference"/>
          <w:rFonts w:ascii="Times New Roman" w:eastAsia="Calibri" w:hAnsi="Times New Roman"/>
          <w:snapToGrid/>
          <w:color w:val="000000"/>
          <w:szCs w:val="24"/>
          <w:vertAlign w:val="superscript"/>
        </w:rPr>
        <w:footnoteReference w:id="2"/>
      </w:r>
      <w:r w:rsidRPr="00816BA8" w:rsidR="001D0CE0">
        <w:rPr>
          <w:rFonts w:ascii="Times New Roman" w:hAnsi="Times New Roman"/>
          <w:snapToGrid/>
          <w:szCs w:val="24"/>
        </w:rPr>
        <w:t xml:space="preserve"> The research covered under this generic clearance aligns with these objectives in studying consumer behavior in ways that increase our understanding of the economic effects of regulation as well as ways in which business</w:t>
      </w:r>
      <w:r w:rsidRPr="00816BA8" w:rsidR="00201D9F">
        <w:rPr>
          <w:rFonts w:ascii="Times New Roman" w:hAnsi="Times New Roman"/>
          <w:snapToGrid/>
          <w:szCs w:val="24"/>
        </w:rPr>
        <w:t xml:space="preserve"> practices</w:t>
      </w:r>
      <w:r w:rsidRPr="00816BA8" w:rsidR="001D0CE0">
        <w:rPr>
          <w:rFonts w:ascii="Times New Roman" w:hAnsi="Times New Roman"/>
          <w:snapToGrid/>
          <w:szCs w:val="24"/>
        </w:rPr>
        <w:t xml:space="preserve"> may be currently</w:t>
      </w:r>
      <w:r w:rsidRPr="00816BA8" w:rsidR="00201D9F">
        <w:rPr>
          <w:rFonts w:ascii="Times New Roman" w:hAnsi="Times New Roman"/>
          <w:snapToGrid/>
          <w:szCs w:val="24"/>
        </w:rPr>
        <w:t>, or have the potential to be, inflicting harm on consumers.</w:t>
      </w:r>
    </w:p>
    <w:p w:rsidR="00201D9F" w:rsidRPr="00816BA8" w:rsidP="001D0CE0" w14:paraId="1A6F6AFC" w14:textId="77777777">
      <w:pPr>
        <w:widowControl/>
        <w:ind w:left="360"/>
        <w:rPr>
          <w:rFonts w:ascii="Times New Roman" w:eastAsia="Calibri" w:hAnsi="Times New Roman"/>
          <w:snapToGrid/>
          <w:color w:val="000000"/>
          <w:szCs w:val="24"/>
        </w:rPr>
      </w:pPr>
    </w:p>
    <w:p w:rsidR="008752E5" w:rsidRPr="00E6207C" w:rsidP="00E6207C" w14:paraId="693FB812" w14:textId="7DF0BBF3">
      <w:pPr>
        <w:widowControl/>
        <w:rPr>
          <w:rFonts w:ascii="Times New Roman" w:hAnsi="Times New Roman"/>
          <w:snapToGrid/>
          <w:u w:val="single"/>
        </w:rPr>
      </w:pPr>
      <w:r w:rsidRPr="0097186E">
        <w:rPr>
          <w:rFonts w:ascii="Times New Roman" w:hAnsi="Times New Roman"/>
        </w:rPr>
        <w:t xml:space="preserve">2.   </w:t>
      </w:r>
      <w:r w:rsidRPr="00E6207C">
        <w:rPr>
          <w:rFonts w:ascii="Times New Roman" w:hAnsi="Times New Roman"/>
          <w:u w:val="single"/>
        </w:rPr>
        <w:t>Us</w:t>
      </w:r>
      <w:r w:rsidRPr="00E6207C" w:rsidR="00935A56">
        <w:rPr>
          <w:rFonts w:ascii="Times New Roman" w:hAnsi="Times New Roman"/>
          <w:u w:val="single"/>
        </w:rPr>
        <w:t xml:space="preserve">e of </w:t>
      </w:r>
      <w:r w:rsidRPr="00E6207C" w:rsidR="00935A56">
        <w:rPr>
          <w:rFonts w:ascii="Times New Roman" w:hAnsi="Times New Roman"/>
          <w:u w:val="single"/>
        </w:rPr>
        <w:t>the Information</w:t>
      </w:r>
    </w:p>
    <w:p w:rsidR="00935A56" w:rsidRPr="00816BA8" w:rsidP="00935A56" w14:paraId="6181AE68" w14:textId="77777777">
      <w:pPr>
        <w:widowControl/>
        <w:ind w:left="720"/>
        <w:rPr>
          <w:rFonts w:ascii="Times New Roman" w:hAnsi="Times New Roman"/>
          <w:snapToGrid/>
        </w:rPr>
      </w:pPr>
    </w:p>
    <w:p w:rsidR="009369DC" w:rsidP="35AA97DF" w14:paraId="58A3BC56" w14:textId="72D19CCE">
      <w:pPr>
        <w:widowControl/>
        <w:ind w:left="360"/>
        <w:rPr>
          <w:rFonts w:ascii="Times New Roman" w:hAnsi="Times New Roman"/>
        </w:rPr>
      </w:pPr>
      <w:r w:rsidRPr="35AA97DF">
        <w:rPr>
          <w:rFonts w:ascii="Times New Roman" w:hAnsi="Times New Roman"/>
        </w:rPr>
        <w:t xml:space="preserve">The FTC requests approval from the Office of Management and Budget (OMB) for a generic information collection plan clearance that will allow the FTC to collect data to </w:t>
      </w:r>
      <w:r w:rsidRPr="35AA97DF" w:rsidR="7A31B3B0">
        <w:rPr>
          <w:rFonts w:ascii="Times New Roman" w:hAnsi="Times New Roman"/>
        </w:rPr>
        <w:t>expand agency knowledge</w:t>
      </w:r>
      <w:r w:rsidRPr="35AA97DF">
        <w:rPr>
          <w:rFonts w:ascii="Times New Roman" w:hAnsi="Times New Roman"/>
        </w:rPr>
        <w:t xml:space="preserve"> on specific topic</w:t>
      </w:r>
      <w:r w:rsidRPr="35AA97DF" w:rsidR="04113F3E">
        <w:rPr>
          <w:rFonts w:ascii="Times New Roman" w:hAnsi="Times New Roman"/>
        </w:rPr>
        <w:t>s</w:t>
      </w:r>
      <w:r w:rsidRPr="35AA97DF">
        <w:rPr>
          <w:rFonts w:ascii="Times New Roman" w:hAnsi="Times New Roman"/>
        </w:rPr>
        <w:t xml:space="preserve"> and to use as qualitative and quantitative research tools. Uses under the proposed generic clearance would serve two major purposes:</w:t>
      </w:r>
    </w:p>
    <w:p w:rsidR="009369DC" w:rsidRPr="009369DC" w:rsidP="009369DC" w14:paraId="7E8BBA65" w14:textId="77777777">
      <w:pPr>
        <w:widowControl/>
        <w:ind w:left="360"/>
        <w:rPr>
          <w:rFonts w:ascii="Times New Roman" w:hAnsi="Times New Roman"/>
          <w:szCs w:val="24"/>
        </w:rPr>
      </w:pPr>
    </w:p>
    <w:p w:rsidR="009369DC" w:rsidRPr="009369DC" w:rsidP="35AA97DF" w14:paraId="1C7D0603" w14:textId="5C4A602F">
      <w:pPr>
        <w:widowControl/>
        <w:ind w:left="720"/>
        <w:rPr>
          <w:rFonts w:ascii="Times New Roman" w:hAnsi="Times New Roman"/>
        </w:rPr>
      </w:pPr>
      <w:r w:rsidRPr="35AA97DF">
        <w:rPr>
          <w:rFonts w:ascii="Times New Roman" w:hAnsi="Times New Roman"/>
        </w:rPr>
        <w:t xml:space="preserve">1. </w:t>
      </w:r>
      <w:r w:rsidR="0015345A">
        <w:rPr>
          <w:rFonts w:ascii="Times New Roman" w:hAnsi="Times New Roman"/>
        </w:rPr>
        <w:t>To i</w:t>
      </w:r>
      <w:r w:rsidRPr="35AA97DF" w:rsidR="0015345A">
        <w:rPr>
          <w:rFonts w:ascii="Times New Roman" w:hAnsi="Times New Roman"/>
        </w:rPr>
        <w:t xml:space="preserve">ncrease </w:t>
      </w:r>
      <w:r w:rsidRPr="35AA97DF">
        <w:rPr>
          <w:rFonts w:ascii="Times New Roman" w:hAnsi="Times New Roman"/>
        </w:rPr>
        <w:t>understanding of consumers</w:t>
      </w:r>
      <w:r w:rsidRPr="35AA97DF" w:rsidR="3BD1D280">
        <w:rPr>
          <w:rFonts w:ascii="Times New Roman" w:hAnsi="Times New Roman"/>
        </w:rPr>
        <w:t>’</w:t>
      </w:r>
      <w:r w:rsidRPr="35AA97DF">
        <w:rPr>
          <w:rFonts w:ascii="Times New Roman" w:hAnsi="Times New Roman"/>
        </w:rPr>
        <w:t xml:space="preserve"> perceptions and behavioral responses to potentially harmful business practices.</w:t>
      </w:r>
    </w:p>
    <w:p w:rsidR="009369DC" w:rsidP="009369DC" w14:paraId="035C619B" w14:textId="77777777">
      <w:pPr>
        <w:widowControl/>
        <w:ind w:left="720"/>
        <w:rPr>
          <w:rFonts w:ascii="Times New Roman" w:hAnsi="Times New Roman"/>
          <w:szCs w:val="24"/>
        </w:rPr>
      </w:pPr>
      <w:r w:rsidRPr="009369DC">
        <w:rPr>
          <w:rFonts w:ascii="Times New Roman" w:hAnsi="Times New Roman"/>
          <w:szCs w:val="24"/>
        </w:rPr>
        <w:t>2. To stay current on the latest trends in consumer experience with deceptive, unfair, or anticompetitive practices in the marketplace.</w:t>
      </w:r>
    </w:p>
    <w:p w:rsidR="009369DC" w:rsidRPr="009369DC" w:rsidP="009369DC" w14:paraId="1625CEFD" w14:textId="77777777">
      <w:pPr>
        <w:widowControl/>
        <w:ind w:left="720"/>
        <w:rPr>
          <w:rFonts w:ascii="Times New Roman" w:hAnsi="Times New Roman"/>
          <w:szCs w:val="24"/>
        </w:rPr>
      </w:pPr>
    </w:p>
    <w:p w:rsidR="00436843" w:rsidP="35AA97DF" w14:paraId="51C53264" w14:textId="0E28FDFA">
      <w:pPr>
        <w:widowControl/>
        <w:ind w:left="360"/>
        <w:rPr>
          <w:rFonts w:ascii="Times New Roman" w:hAnsi="Times New Roman"/>
        </w:rPr>
      </w:pPr>
      <w:r w:rsidRPr="35AA97DF">
        <w:rPr>
          <w:rFonts w:ascii="Times New Roman" w:hAnsi="Times New Roman"/>
        </w:rPr>
        <w:t>The research conducted under this voluntary information collection falls primarily under the Bureau of Economics within the FTC. However, other Bureaus or Offices within the FTC may offer advice and input into the research conducted. The research would not be used specifically for the purposes of making policy or regulatory decisions. Rather, the findings would help expand the agency</w:t>
      </w:r>
      <w:r w:rsidR="00F075C8">
        <w:rPr>
          <w:rFonts w:ascii="Times New Roman" w:hAnsi="Times New Roman"/>
        </w:rPr>
        <w:t>’</w:t>
      </w:r>
      <w:r w:rsidRPr="35AA97DF">
        <w:rPr>
          <w:rFonts w:ascii="Times New Roman" w:hAnsi="Times New Roman"/>
        </w:rPr>
        <w:t xml:space="preserve">s knowledge and understanding of consumer issues prevalent in its law-enforcement investigations. </w:t>
      </w:r>
      <w:r w:rsidRPr="35AA97DF" w:rsidR="00F951F0">
        <w:rPr>
          <w:rFonts w:ascii="Times New Roman" w:hAnsi="Times New Roman"/>
        </w:rPr>
        <w:t xml:space="preserve">The FTC will use this information to better understand where to dedicate resources </w:t>
      </w:r>
      <w:r w:rsidRPr="35AA97DF" w:rsidR="00F951F0">
        <w:rPr>
          <w:rFonts w:ascii="Times New Roman" w:hAnsi="Times New Roman"/>
        </w:rPr>
        <w:t>in</w:t>
      </w:r>
      <w:r w:rsidRPr="35AA97DF" w:rsidR="00F951F0">
        <w:rPr>
          <w:rFonts w:ascii="Times New Roman" w:hAnsi="Times New Roman"/>
        </w:rPr>
        <w:t xml:space="preserve"> investigation</w:t>
      </w:r>
      <w:r w:rsidR="00F951F0">
        <w:rPr>
          <w:rFonts w:ascii="Times New Roman" w:hAnsi="Times New Roman"/>
        </w:rPr>
        <w:t>s</w:t>
      </w:r>
      <w:r w:rsidRPr="35AA97DF" w:rsidR="00F951F0">
        <w:rPr>
          <w:rFonts w:ascii="Times New Roman" w:hAnsi="Times New Roman"/>
        </w:rPr>
        <w:t xml:space="preserve"> and enforcement</w:t>
      </w:r>
      <w:r w:rsidR="00F951F0">
        <w:rPr>
          <w:rFonts w:ascii="Times New Roman" w:hAnsi="Times New Roman"/>
        </w:rPr>
        <w:t xml:space="preserve"> matters</w:t>
      </w:r>
      <w:r w:rsidRPr="35AA97DF" w:rsidR="00F951F0">
        <w:rPr>
          <w:rFonts w:ascii="Times New Roman" w:hAnsi="Times New Roman"/>
        </w:rPr>
        <w:t>, as well as to improve methods for assessing consumer harm and demand estimation.</w:t>
      </w:r>
    </w:p>
    <w:p w:rsidR="00436843" w:rsidP="35AA97DF" w14:paraId="5D2CAA33" w14:textId="77777777">
      <w:pPr>
        <w:widowControl/>
        <w:ind w:left="360"/>
        <w:rPr>
          <w:rFonts w:ascii="Times New Roman" w:hAnsi="Times New Roman"/>
        </w:rPr>
      </w:pPr>
    </w:p>
    <w:p w:rsidR="009369DC" w:rsidRPr="009369DC" w:rsidP="35AA97DF" w14:paraId="0A1939D9" w14:textId="0755099A">
      <w:pPr>
        <w:widowControl/>
        <w:ind w:left="360"/>
        <w:rPr>
          <w:rFonts w:ascii="Times New Roman" w:hAnsi="Times New Roman"/>
        </w:rPr>
      </w:pPr>
      <w:r w:rsidRPr="35AA97DF">
        <w:rPr>
          <w:rFonts w:ascii="Times New Roman" w:hAnsi="Times New Roman"/>
        </w:rPr>
        <w:t>The FTC</w:t>
      </w:r>
      <w:r w:rsidRPr="35AA97DF" w:rsidR="4A3BBBB5">
        <w:rPr>
          <w:rFonts w:ascii="Times New Roman" w:hAnsi="Times New Roman"/>
        </w:rPr>
        <w:t>’</w:t>
      </w:r>
      <w:r w:rsidRPr="35AA97DF">
        <w:rPr>
          <w:rFonts w:ascii="Times New Roman" w:hAnsi="Times New Roman"/>
        </w:rPr>
        <w:t>s Bureau of Economics will use this voluntary information collection to test communications and social and behavioral methods about consumer behavior and beliefs in ways that increase our understanding of consumer experiences as well as ways in which business practices may be</w:t>
      </w:r>
      <w:r w:rsidR="0015345A">
        <w:rPr>
          <w:rFonts w:ascii="Times New Roman" w:hAnsi="Times New Roman"/>
        </w:rPr>
        <w:t>,</w:t>
      </w:r>
      <w:r w:rsidRPr="35AA97DF">
        <w:rPr>
          <w:rFonts w:ascii="Times New Roman" w:hAnsi="Times New Roman"/>
        </w:rPr>
        <w:t xml:space="preserve"> or have the potential to be, inflicting harm on consumers. </w:t>
      </w:r>
      <w:r w:rsidR="00A10247">
        <w:rPr>
          <w:rFonts w:ascii="Times New Roman" w:hAnsi="Times New Roman"/>
        </w:rPr>
        <w:t>As</w:t>
      </w:r>
      <w:r w:rsidRPr="35AA97DF">
        <w:rPr>
          <w:rFonts w:ascii="Times New Roman" w:hAnsi="Times New Roman"/>
        </w:rPr>
        <w:t xml:space="preserve"> one example, the FTC intends to use this information collection to conduct a voluntary survey of American consumers about their experiences of fraud in the marketplace.</w:t>
      </w:r>
    </w:p>
    <w:p w:rsidR="00EA0924" w:rsidRPr="00816BA8" w:rsidP="00D52FAB" w14:paraId="5DF31BA9" w14:textId="77777777">
      <w:pPr>
        <w:widowControl/>
        <w:ind w:left="360"/>
        <w:rPr>
          <w:rFonts w:ascii="Times New Roman" w:hAnsi="Times New Roman"/>
        </w:rPr>
      </w:pPr>
    </w:p>
    <w:p w:rsidR="002029DE" w:rsidRPr="00816BA8" w:rsidP="0097186E" w14:paraId="55848570" w14:textId="6CE6A2B4">
      <w:pPr>
        <w:widowControl/>
        <w:rPr>
          <w:rFonts w:ascii="Times New Roman" w:hAnsi="Times New Roman"/>
          <w:snapToGrid/>
          <w:u w:val="single"/>
        </w:rPr>
      </w:pPr>
      <w:r w:rsidRPr="0097186E">
        <w:rPr>
          <w:rFonts w:ascii="Times New Roman" w:hAnsi="Times New Roman"/>
        </w:rPr>
        <w:t xml:space="preserve">3.   </w:t>
      </w:r>
      <w:r w:rsidRPr="00816BA8" w:rsidR="008752E5">
        <w:rPr>
          <w:rFonts w:ascii="Times New Roman" w:hAnsi="Times New Roman"/>
          <w:u w:val="single"/>
        </w:rPr>
        <w:t xml:space="preserve">Use of Information </w:t>
      </w:r>
      <w:r w:rsidRPr="00816BA8" w:rsidR="007F11E3">
        <w:rPr>
          <w:rFonts w:ascii="Times New Roman" w:hAnsi="Times New Roman"/>
          <w:u w:val="single"/>
        </w:rPr>
        <w:t>Technology</w:t>
      </w:r>
    </w:p>
    <w:p w:rsidR="002029DE" w:rsidRPr="00816BA8" w:rsidP="00F762E0" w14:paraId="0DDD5D01" w14:textId="77777777">
      <w:pPr>
        <w:pStyle w:val="BodyText"/>
        <w:ind w:left="360" w:right="187"/>
      </w:pPr>
    </w:p>
    <w:p w:rsidR="00EA0924" w:rsidRPr="00816BA8" w:rsidP="001555E8" w14:paraId="43687551" w14:textId="769DD865">
      <w:pPr>
        <w:pStyle w:val="BodyText"/>
        <w:spacing w:before="69"/>
        <w:ind w:left="360" w:right="187"/>
      </w:pPr>
      <w:r>
        <w:t xml:space="preserve">The information will be collected from voluntary participants through one-on-one telephone, internet, or in-person interviews, online focus groups, self-administered (online) surveys, or (online or in-person) economics experiments, depending upon the target audience, expectations about whether the information will be evaluated in an individual or group context, and the need to present educational or interventional materials. </w:t>
      </w:r>
      <w:r>
        <w:t xml:space="preserve">Because </w:t>
      </w:r>
      <w:r w:rsidR="3FF20C51">
        <w:t>the Commission</w:t>
      </w:r>
      <w:r>
        <w:t xml:space="preserve"> </w:t>
      </w:r>
      <w:r w:rsidR="56631A44">
        <w:t xml:space="preserve">has found </w:t>
      </w:r>
      <w:r>
        <w:t xml:space="preserve">that using computer-assisted information technology methods to administer data collection helps minimize burden on respondents, </w:t>
      </w:r>
      <w:r w:rsidR="62444115">
        <w:t>the agency</w:t>
      </w:r>
      <w:r>
        <w:t xml:space="preserve"> </w:t>
      </w:r>
      <w:r w:rsidR="07E51985">
        <w:t>plans to</w:t>
      </w:r>
      <w:r>
        <w:t xml:space="preserve"> use </w:t>
      </w:r>
      <w:r>
        <w:t>web-based data collection methods, including data collected through mobile devices</w:t>
      </w:r>
      <w:r w:rsidR="073CA9B6">
        <w:t xml:space="preserve"> wherever possible</w:t>
      </w:r>
      <w:r>
        <w:t>.</w:t>
      </w:r>
    </w:p>
    <w:p w:rsidR="00EA0924" w:rsidRPr="00816BA8" w:rsidP="00EA0924" w14:paraId="60D330B8" w14:textId="77777777">
      <w:pPr>
        <w:pStyle w:val="BodyText"/>
        <w:spacing w:before="69"/>
        <w:ind w:left="360" w:right="186"/>
      </w:pPr>
    </w:p>
    <w:p w:rsidR="008752E5" w:rsidP="0097186E" w14:paraId="52A25321" w14:textId="2F10DAA7">
      <w:pPr>
        <w:widowControl/>
        <w:rPr>
          <w:rFonts w:ascii="Times New Roman" w:hAnsi="Times New Roman"/>
          <w:u w:val="single"/>
        </w:rPr>
      </w:pPr>
      <w:r w:rsidRPr="00EC5028">
        <w:rPr>
          <w:rFonts w:ascii="Times New Roman" w:hAnsi="Times New Roman"/>
        </w:rPr>
        <w:t xml:space="preserve">4. </w:t>
      </w:r>
      <w:r w:rsidRPr="00EC5028" w:rsidR="0097186E">
        <w:rPr>
          <w:rFonts w:ascii="Times New Roman" w:hAnsi="Times New Roman"/>
        </w:rPr>
        <w:t xml:space="preserve"> </w:t>
      </w:r>
      <w:r w:rsidRPr="00EC5028">
        <w:rPr>
          <w:rFonts w:ascii="Times New Roman" w:hAnsi="Times New Roman"/>
        </w:rPr>
        <w:t xml:space="preserve"> </w:t>
      </w:r>
      <w:r w:rsidR="00E10C83">
        <w:rPr>
          <w:rFonts w:ascii="Times New Roman" w:hAnsi="Times New Roman"/>
          <w:u w:val="single"/>
        </w:rPr>
        <w:t>Non-</w:t>
      </w:r>
      <w:r w:rsidRPr="00816BA8">
        <w:rPr>
          <w:rFonts w:ascii="Times New Roman" w:hAnsi="Times New Roman"/>
          <w:u w:val="single"/>
        </w:rPr>
        <w:t>Duplication</w:t>
      </w:r>
    </w:p>
    <w:p w:rsidR="00EC5028" w:rsidRPr="0097186E" w:rsidP="0097186E" w14:paraId="1FD4937B" w14:textId="77777777">
      <w:pPr>
        <w:widowControl/>
        <w:rPr>
          <w:rFonts w:ascii="Times New Roman" w:hAnsi="Times New Roman"/>
          <w:snapToGrid/>
          <w:u w:val="single"/>
        </w:rPr>
      </w:pPr>
    </w:p>
    <w:p w:rsidR="00E138F2" w:rsidRPr="00816BA8" w:rsidP="35AA97DF" w14:paraId="116C873F" w14:textId="515A02B1">
      <w:pPr>
        <w:widowControl/>
        <w:autoSpaceDE w:val="0"/>
        <w:autoSpaceDN w:val="0"/>
        <w:adjustRightInd w:val="0"/>
        <w:ind w:left="360"/>
        <w:rPr>
          <w:rFonts w:ascii="Times New Roman" w:hAnsi="Times New Roman" w:eastAsiaTheme="minorEastAsia"/>
        </w:rPr>
      </w:pPr>
      <w:r w:rsidRPr="35AA97DF">
        <w:rPr>
          <w:rFonts w:ascii="Times New Roman" w:hAnsi="Times New Roman" w:eastAsiaTheme="minorEastAsia"/>
          <w:snapToGrid/>
        </w:rPr>
        <w:t xml:space="preserve">We are unaware of </w:t>
      </w:r>
      <w:r w:rsidRPr="35AA97DF" w:rsidR="7F4AD4E8">
        <w:rPr>
          <w:rFonts w:ascii="Times New Roman" w:hAnsi="Times New Roman" w:eastAsiaTheme="minorEastAsia"/>
          <w:snapToGrid/>
        </w:rPr>
        <w:t xml:space="preserve">any </w:t>
      </w:r>
      <w:r w:rsidRPr="35AA97DF">
        <w:rPr>
          <w:rFonts w:ascii="Times New Roman" w:hAnsi="Times New Roman" w:eastAsiaTheme="minorEastAsia"/>
          <w:snapToGrid/>
        </w:rPr>
        <w:t xml:space="preserve">similar data collection.  As each new research study is developed, </w:t>
      </w:r>
      <w:r w:rsidRPr="35AA97DF" w:rsidR="7FD5B117">
        <w:rPr>
          <w:rFonts w:ascii="Times New Roman" w:hAnsi="Times New Roman" w:eastAsiaTheme="minorEastAsia"/>
          <w:snapToGrid/>
        </w:rPr>
        <w:t xml:space="preserve">the </w:t>
      </w:r>
      <w:r w:rsidRPr="35AA97DF">
        <w:rPr>
          <w:rFonts w:ascii="Times New Roman" w:hAnsi="Times New Roman" w:eastAsiaTheme="minorEastAsia"/>
          <w:snapToGrid/>
        </w:rPr>
        <w:t>F</w:t>
      </w:r>
      <w:r w:rsidRPr="35AA97DF" w:rsidR="00E77310">
        <w:rPr>
          <w:rFonts w:ascii="Times New Roman" w:hAnsi="Times New Roman" w:eastAsiaTheme="minorEastAsia"/>
          <w:snapToGrid/>
        </w:rPr>
        <w:t>TC</w:t>
      </w:r>
      <w:r w:rsidRPr="35AA97DF">
        <w:rPr>
          <w:rFonts w:ascii="Times New Roman" w:hAnsi="Times New Roman" w:eastAsiaTheme="minorEastAsia"/>
          <w:snapToGrid/>
        </w:rPr>
        <w:t xml:space="preserve"> will review existing literature and databases</w:t>
      </w:r>
      <w:r w:rsidRPr="35AA97DF" w:rsidR="00E77310">
        <w:rPr>
          <w:rFonts w:ascii="Times New Roman" w:hAnsi="Times New Roman" w:eastAsiaTheme="minorEastAsia"/>
          <w:snapToGrid/>
        </w:rPr>
        <w:t xml:space="preserve">. </w:t>
      </w:r>
      <w:r w:rsidRPr="35AA97DF">
        <w:rPr>
          <w:rFonts w:ascii="Times New Roman" w:hAnsi="Times New Roman" w:eastAsiaTheme="minorEastAsia"/>
          <w:snapToGrid/>
        </w:rPr>
        <w:t xml:space="preserve">Also, on an ongoing basis we engage with other </w:t>
      </w:r>
      <w:r w:rsidR="001903D1">
        <w:rPr>
          <w:rFonts w:ascii="Times New Roman" w:hAnsi="Times New Roman" w:eastAsiaTheme="minorEastAsia"/>
          <w:snapToGrid/>
        </w:rPr>
        <w:t>a</w:t>
      </w:r>
      <w:r w:rsidRPr="35AA97DF">
        <w:rPr>
          <w:rFonts w:ascii="Times New Roman" w:hAnsi="Times New Roman" w:eastAsiaTheme="minorEastAsia"/>
          <w:snapToGrid/>
        </w:rPr>
        <w:t xml:space="preserve">gencies </w:t>
      </w:r>
      <w:r w:rsidRPr="35AA97DF" w:rsidR="00E77310">
        <w:rPr>
          <w:rFonts w:ascii="Times New Roman" w:hAnsi="Times New Roman" w:eastAsiaTheme="minorEastAsia"/>
          <w:snapToGrid/>
        </w:rPr>
        <w:t>(</w:t>
      </w:r>
      <w:r w:rsidR="001903D1">
        <w:rPr>
          <w:rFonts w:ascii="Times New Roman" w:hAnsi="Times New Roman" w:eastAsiaTheme="minorEastAsia"/>
          <w:snapToGrid/>
        </w:rPr>
        <w:t>for example,</w:t>
      </w:r>
      <w:r w:rsidRPr="35AA97DF" w:rsidR="00E77310">
        <w:rPr>
          <w:rFonts w:ascii="Times New Roman" w:hAnsi="Times New Roman" w:eastAsiaTheme="minorEastAsia"/>
          <w:snapToGrid/>
        </w:rPr>
        <w:t xml:space="preserve"> the Consumer Financial Protection Bureau, the Department of Justice, and the Securities and Exchange Commission) </w:t>
      </w:r>
      <w:r w:rsidRPr="35AA97DF">
        <w:rPr>
          <w:rFonts w:ascii="Times New Roman" w:hAnsi="Times New Roman" w:eastAsiaTheme="minorEastAsia"/>
          <w:snapToGrid/>
        </w:rPr>
        <w:t>to determine whether existing research may be coordinated to avoid duplicative data collection.</w:t>
      </w:r>
    </w:p>
    <w:p w:rsidR="00E138F2" w:rsidRPr="00816BA8" w:rsidP="0088353E" w14:paraId="5F12FC2E" w14:textId="77777777">
      <w:pPr>
        <w:widowControl/>
        <w:ind w:right="-1440"/>
        <w:rPr>
          <w:rFonts w:ascii="Times New Roman" w:hAnsi="Times New Roman"/>
          <w:szCs w:val="24"/>
        </w:rPr>
      </w:pPr>
    </w:p>
    <w:p w:rsidR="008752E5" w:rsidRPr="00816BA8" w:rsidP="00EC5028" w14:paraId="1F31C3D0" w14:textId="233794E2">
      <w:pPr>
        <w:widowControl/>
        <w:rPr>
          <w:rFonts w:ascii="Times New Roman" w:hAnsi="Times New Roman"/>
          <w:snapToGrid/>
          <w:u w:val="single"/>
        </w:rPr>
      </w:pPr>
      <w:r w:rsidRPr="00EC5028">
        <w:rPr>
          <w:rFonts w:ascii="Times New Roman" w:hAnsi="Times New Roman"/>
        </w:rPr>
        <w:t xml:space="preserve">5.   </w:t>
      </w:r>
      <w:r w:rsidR="00A126B3">
        <w:rPr>
          <w:rFonts w:ascii="Times New Roman" w:hAnsi="Times New Roman"/>
          <w:u w:val="single"/>
        </w:rPr>
        <w:t>Burden</w:t>
      </w:r>
      <w:r w:rsidRPr="00816BA8">
        <w:rPr>
          <w:rFonts w:ascii="Times New Roman" w:hAnsi="Times New Roman"/>
          <w:u w:val="single"/>
        </w:rPr>
        <w:t xml:space="preserve"> on Small Businesses</w:t>
      </w:r>
    </w:p>
    <w:p w:rsidR="008752E5" w:rsidRPr="00816BA8" w:rsidP="008752E5" w14:paraId="5331C16D" w14:textId="77777777">
      <w:pPr>
        <w:widowControl/>
        <w:rPr>
          <w:rFonts w:ascii="Times New Roman" w:hAnsi="Times New Roman"/>
          <w:snapToGrid/>
          <w:u w:val="single"/>
        </w:rPr>
      </w:pPr>
    </w:p>
    <w:p w:rsidR="00E53900" w:rsidRPr="00816BA8" w:rsidP="001555E8" w14:paraId="6254F931" w14:textId="71432529">
      <w:pPr>
        <w:pStyle w:val="BodyText"/>
        <w:spacing w:before="69"/>
        <w:ind w:left="360" w:right="2"/>
      </w:pPr>
      <w:r>
        <w:t xml:space="preserve">Information would be collected </w:t>
      </w:r>
      <w:r w:rsidR="001F1E0D">
        <w:t xml:space="preserve">through voluntary surveys for studies.  As such, </w:t>
      </w:r>
      <w:r w:rsidR="001903D1">
        <w:t>the</w:t>
      </w:r>
      <w:r w:rsidR="001F1E0D">
        <w:t xml:space="preserve"> </w:t>
      </w:r>
      <w:r w:rsidR="00EA0924">
        <w:t>F</w:t>
      </w:r>
      <w:r w:rsidR="00E77310">
        <w:t>TC</w:t>
      </w:r>
      <w:r w:rsidR="00EA0924">
        <w:t xml:space="preserve"> expects most respondents will be private individuals</w:t>
      </w:r>
      <w:r w:rsidR="00E77310">
        <w:t xml:space="preserve"> working in their </w:t>
      </w:r>
      <w:r w:rsidR="17457B1A">
        <w:t>personal</w:t>
      </w:r>
      <w:r w:rsidR="00E77310">
        <w:t xml:space="preserve"> capacity, and thus we expect negligible, if any, impact on small businesses or other small entities.</w:t>
      </w:r>
    </w:p>
    <w:p w:rsidR="00F762E0" w:rsidRPr="00816BA8" w:rsidP="008752E5" w14:paraId="27E9F4D1" w14:textId="77777777">
      <w:pPr>
        <w:tabs>
          <w:tab w:val="left" w:leader="dot" w:pos="4320"/>
          <w:tab w:val="left" w:pos="4680"/>
          <w:tab w:val="left" w:pos="5040"/>
          <w:tab w:val="left" w:pos="5400"/>
          <w:tab w:val="left" w:pos="6480"/>
          <w:tab w:val="left" w:pos="6840"/>
        </w:tabs>
        <w:rPr>
          <w:rFonts w:ascii="Times New Roman" w:hAnsi="Times New Roman"/>
          <w:szCs w:val="24"/>
        </w:rPr>
      </w:pPr>
    </w:p>
    <w:p w:rsidR="00EC22EA" w:rsidRPr="00816BA8" w:rsidP="00EC5028" w14:paraId="43EB389E" w14:textId="4C1EC44D">
      <w:pPr>
        <w:widowControl/>
        <w:rPr>
          <w:rFonts w:ascii="Times New Roman" w:hAnsi="Times New Roman"/>
          <w:snapToGrid/>
          <w:u w:val="single"/>
        </w:rPr>
      </w:pPr>
      <w:r w:rsidRPr="00EC5028">
        <w:rPr>
          <w:rFonts w:ascii="Times New Roman" w:hAnsi="Times New Roman"/>
        </w:rPr>
        <w:t xml:space="preserve">6.   </w:t>
      </w:r>
      <w:r w:rsidRPr="00816BA8">
        <w:rPr>
          <w:rFonts w:ascii="Times New Roman" w:hAnsi="Times New Roman"/>
          <w:u w:val="single"/>
        </w:rPr>
        <w:t>Less Frequent</w:t>
      </w:r>
      <w:r w:rsidR="00981006">
        <w:rPr>
          <w:rFonts w:ascii="Times New Roman" w:hAnsi="Times New Roman"/>
          <w:u w:val="single"/>
        </w:rPr>
        <w:t xml:space="preserve"> Collection</w:t>
      </w:r>
    </w:p>
    <w:p w:rsidR="00F762E0" w:rsidRPr="00816BA8" w:rsidP="003C4697" w14:paraId="1F8CDC01" w14:textId="77777777">
      <w:pPr>
        <w:pStyle w:val="BodyText"/>
        <w:spacing w:before="69"/>
        <w:ind w:left="360" w:right="2"/>
      </w:pPr>
    </w:p>
    <w:p w:rsidR="00EA0924" w:rsidRPr="00816BA8" w:rsidP="003C4697" w14:paraId="0DFE2D00" w14:textId="3B465E70">
      <w:pPr>
        <w:pStyle w:val="BodyText"/>
        <w:spacing w:before="69"/>
        <w:ind w:left="360" w:right="2"/>
      </w:pPr>
      <w:r>
        <w:t xml:space="preserve">The </w:t>
      </w:r>
      <w:r w:rsidR="00E77310">
        <w:t xml:space="preserve">FTC engages in a variety of rulemaking and enforcement activities </w:t>
      </w:r>
      <w:r w:rsidR="1A8CBA95">
        <w:t>for</w:t>
      </w:r>
      <w:r w:rsidR="00E77310">
        <w:t xml:space="preserve"> which it is important to </w:t>
      </w:r>
      <w:r w:rsidR="00B907A3">
        <w:t xml:space="preserve">understand the economic effects of deceptive or unfair business practices. As business practices adapt and evolve, it is important </w:t>
      </w:r>
      <w:r w:rsidR="52533A7B">
        <w:t>in</w:t>
      </w:r>
      <w:r w:rsidR="00B907A3">
        <w:t xml:space="preserve"> </w:t>
      </w:r>
      <w:r w:rsidR="59CC63DB">
        <w:t xml:space="preserve">fulfilling the agency’s statutory mission to </w:t>
      </w:r>
      <w:r w:rsidR="00B907A3">
        <w:t xml:space="preserve">keep an up-to-date understanding of these effects. </w:t>
      </w:r>
      <w:r>
        <w:t xml:space="preserve">Without ongoing </w:t>
      </w:r>
      <w:r w:rsidR="00B907A3">
        <w:t>studies</w:t>
      </w:r>
      <w:r>
        <w:t xml:space="preserve"> and data collections, </w:t>
      </w:r>
      <w:r w:rsidR="0037513F">
        <w:t xml:space="preserve">the </w:t>
      </w:r>
      <w:r w:rsidR="007B64D7">
        <w:t>F</w:t>
      </w:r>
      <w:r w:rsidR="00B907A3">
        <w:t>TC</w:t>
      </w:r>
      <w:r>
        <w:t xml:space="preserve"> would remain at a disadvantage </w:t>
      </w:r>
      <w:r w:rsidR="00B13791">
        <w:t>as new threats to consumer protection emerge, risking the allocation of limited resources to enforcement and rulemaking efforts that may not optimally safeguard consumer welfare</w:t>
      </w:r>
      <w:r w:rsidR="00B907A3">
        <w:t>.</w:t>
      </w:r>
    </w:p>
    <w:p w:rsidR="00935A56" w:rsidRPr="00816BA8" w:rsidP="00935A56" w14:paraId="3426D0AF" w14:textId="77777777">
      <w:pPr>
        <w:tabs>
          <w:tab w:val="left" w:leader="dot" w:pos="4320"/>
          <w:tab w:val="left" w:pos="4680"/>
          <w:tab w:val="left" w:pos="5040"/>
          <w:tab w:val="left" w:pos="5400"/>
          <w:tab w:val="left" w:pos="6480"/>
          <w:tab w:val="left" w:pos="6840"/>
        </w:tabs>
        <w:ind w:left="360"/>
        <w:rPr>
          <w:rFonts w:ascii="Times New Roman" w:hAnsi="Times New Roman"/>
          <w:szCs w:val="24"/>
        </w:rPr>
      </w:pPr>
    </w:p>
    <w:p w:rsidR="00FE3E6E" w:rsidRPr="00816BA8" w:rsidP="00EC5028" w14:paraId="347FDE8A" w14:textId="59C7B72B">
      <w:pPr>
        <w:widowControl/>
        <w:rPr>
          <w:rFonts w:ascii="Times New Roman" w:hAnsi="Times New Roman"/>
          <w:snapToGrid/>
          <w:u w:val="single"/>
        </w:rPr>
      </w:pPr>
      <w:r w:rsidRPr="00EC5028">
        <w:rPr>
          <w:rFonts w:ascii="Times New Roman" w:hAnsi="Times New Roman"/>
        </w:rPr>
        <w:t xml:space="preserve">7.   </w:t>
      </w:r>
      <w:r w:rsidR="00FA43BE">
        <w:rPr>
          <w:rFonts w:ascii="Times New Roman" w:hAnsi="Times New Roman"/>
          <w:u w:val="single"/>
        </w:rPr>
        <w:t>Paperwork Reduction Act</w:t>
      </w:r>
      <w:r w:rsidRPr="35AA97DF">
        <w:rPr>
          <w:rFonts w:ascii="Times New Roman" w:hAnsi="Times New Roman"/>
          <w:u w:val="single"/>
        </w:rPr>
        <w:t xml:space="preserve"> Guidelines</w:t>
      </w:r>
    </w:p>
    <w:p w:rsidR="002A2189" w:rsidRPr="00816BA8" w:rsidP="002A2189" w14:paraId="70F31BD7" w14:textId="77777777">
      <w:pPr>
        <w:ind w:left="360"/>
        <w:rPr>
          <w:rFonts w:ascii="Times New Roman" w:hAnsi="Times New Roman"/>
          <w:szCs w:val="24"/>
        </w:rPr>
      </w:pPr>
    </w:p>
    <w:p w:rsidR="003C4697" w:rsidRPr="00816BA8" w:rsidP="003C4697" w14:paraId="3468BEB0" w14:textId="328057D1">
      <w:pPr>
        <w:pStyle w:val="BodyText"/>
        <w:spacing w:before="69"/>
        <w:ind w:firstLine="360"/>
      </w:pPr>
      <w:r>
        <w:t>The information collection complies with the guidelines found in 5 C</w:t>
      </w:r>
      <w:r w:rsidR="02D043AE">
        <w:t>.</w:t>
      </w:r>
      <w:r>
        <w:t>F</w:t>
      </w:r>
      <w:r w:rsidR="07BAF517">
        <w:t>.</w:t>
      </w:r>
      <w:r>
        <w:t>R</w:t>
      </w:r>
      <w:r w:rsidR="31B1DBEB">
        <w:t>.</w:t>
      </w:r>
      <w:r>
        <w:t xml:space="preserve"> </w:t>
      </w:r>
      <w:r w:rsidRPr="35AA97DF" w:rsidR="7FD04166">
        <w:rPr>
          <w:szCs w:val="24"/>
        </w:rPr>
        <w:t xml:space="preserve">§ </w:t>
      </w:r>
      <w:r>
        <w:t>1320.5.</w:t>
      </w:r>
    </w:p>
    <w:p w:rsidR="003C4697" w:rsidRPr="00816BA8" w:rsidP="003C4697" w14:paraId="03BA7121" w14:textId="77777777">
      <w:pPr>
        <w:pStyle w:val="BodyText"/>
        <w:spacing w:before="69"/>
        <w:ind w:firstLine="360"/>
      </w:pPr>
    </w:p>
    <w:p w:rsidR="00FE3E6E" w:rsidRPr="00816BA8" w:rsidP="00EC5028" w14:paraId="4D4E8905" w14:textId="5D5D8FB4">
      <w:pPr>
        <w:widowControl/>
        <w:rPr>
          <w:rFonts w:ascii="Times New Roman" w:hAnsi="Times New Roman"/>
          <w:snapToGrid/>
          <w:u w:val="single"/>
        </w:rPr>
      </w:pPr>
      <w:r w:rsidRPr="00EC5028">
        <w:rPr>
          <w:rFonts w:ascii="Times New Roman" w:hAnsi="Times New Roman"/>
        </w:rPr>
        <w:t xml:space="preserve">8.   </w:t>
      </w:r>
      <w:r w:rsidR="00FE752B">
        <w:rPr>
          <w:rFonts w:ascii="Times New Roman" w:hAnsi="Times New Roman"/>
          <w:u w:val="single"/>
        </w:rPr>
        <w:t>Consultation and Public Comments</w:t>
      </w:r>
    </w:p>
    <w:p w:rsidR="00FE3E6E" w:rsidRPr="00816BA8" w:rsidP="00FE3E6E" w14:paraId="58EB6AF1" w14:textId="77777777">
      <w:pPr>
        <w:pStyle w:val="PlainText"/>
        <w:rPr>
          <w:rFonts w:ascii="Times New Roman" w:hAnsi="Times New Roman" w:cs="Times New Roman"/>
          <w:sz w:val="24"/>
          <w:szCs w:val="24"/>
        </w:rPr>
      </w:pPr>
    </w:p>
    <w:p w:rsidR="007172F5" w:rsidP="00937E1A" w14:paraId="1579F543" w14:textId="6214FC8F">
      <w:pPr>
        <w:pStyle w:val="PlainText"/>
        <w:ind w:left="360"/>
        <w:rPr>
          <w:rFonts w:ascii="Times New Roman" w:hAnsi="Times New Roman" w:cs="Times New Roman"/>
          <w:sz w:val="24"/>
          <w:szCs w:val="24"/>
        </w:rPr>
      </w:pPr>
      <w:r w:rsidRPr="35AA97DF">
        <w:rPr>
          <w:rFonts w:ascii="Times New Roman" w:hAnsi="Times New Roman" w:cs="Times New Roman"/>
          <w:sz w:val="24"/>
          <w:szCs w:val="24"/>
        </w:rPr>
        <w:t>In accordance with 5 C</w:t>
      </w:r>
      <w:r w:rsidRPr="35AA97DF" w:rsidR="7769F301">
        <w:rPr>
          <w:rFonts w:ascii="Times New Roman" w:hAnsi="Times New Roman" w:cs="Times New Roman"/>
          <w:sz w:val="24"/>
          <w:szCs w:val="24"/>
        </w:rPr>
        <w:t>.</w:t>
      </w:r>
      <w:r w:rsidRPr="35AA97DF">
        <w:rPr>
          <w:rFonts w:ascii="Times New Roman" w:hAnsi="Times New Roman" w:cs="Times New Roman"/>
          <w:sz w:val="24"/>
          <w:szCs w:val="24"/>
        </w:rPr>
        <w:t>F</w:t>
      </w:r>
      <w:r w:rsidRPr="35AA97DF" w:rsidR="1F45B83A">
        <w:rPr>
          <w:rFonts w:ascii="Times New Roman" w:hAnsi="Times New Roman" w:cs="Times New Roman"/>
          <w:sz w:val="24"/>
          <w:szCs w:val="24"/>
        </w:rPr>
        <w:t>.</w:t>
      </w:r>
      <w:r w:rsidRPr="35AA97DF">
        <w:rPr>
          <w:rFonts w:ascii="Times New Roman" w:hAnsi="Times New Roman" w:cs="Times New Roman"/>
          <w:sz w:val="24"/>
          <w:szCs w:val="24"/>
        </w:rPr>
        <w:t>R</w:t>
      </w:r>
      <w:r w:rsidRPr="35AA97DF" w:rsidR="415B6B7B">
        <w:rPr>
          <w:rFonts w:ascii="Times New Roman" w:hAnsi="Times New Roman" w:cs="Times New Roman"/>
          <w:sz w:val="24"/>
          <w:szCs w:val="24"/>
        </w:rPr>
        <w:t>.</w:t>
      </w:r>
      <w:r w:rsidRPr="35AA97DF">
        <w:rPr>
          <w:rFonts w:ascii="Times New Roman" w:hAnsi="Times New Roman" w:cs="Times New Roman"/>
          <w:sz w:val="24"/>
          <w:szCs w:val="24"/>
        </w:rPr>
        <w:t xml:space="preserve"> </w:t>
      </w:r>
      <w:r w:rsidRPr="35AA97DF" w:rsidR="24123ABE">
        <w:rPr>
          <w:rFonts w:ascii="Times New Roman" w:eastAsia="Times New Roman" w:hAnsi="Times New Roman" w:cs="Times New Roman"/>
          <w:sz w:val="24"/>
          <w:szCs w:val="24"/>
        </w:rPr>
        <w:t>§</w:t>
      </w:r>
      <w:r w:rsidRPr="35AA97DF" w:rsidR="24123ABE">
        <w:t xml:space="preserve"> </w:t>
      </w:r>
      <w:r w:rsidRPr="35AA97DF">
        <w:rPr>
          <w:rFonts w:ascii="Times New Roman" w:hAnsi="Times New Roman" w:cs="Times New Roman"/>
          <w:sz w:val="24"/>
          <w:szCs w:val="24"/>
        </w:rPr>
        <w:t xml:space="preserve">1320.8(d)(1), the FTC published a notice </w:t>
      </w:r>
      <w:r w:rsidRPr="35AA97DF" w:rsidR="7AFEBA99">
        <w:rPr>
          <w:rFonts w:ascii="Times New Roman" w:hAnsi="Times New Roman" w:cs="Times New Roman"/>
          <w:sz w:val="24"/>
          <w:szCs w:val="24"/>
        </w:rPr>
        <w:t xml:space="preserve">in the </w:t>
      </w:r>
      <w:r w:rsidRPr="35AA97DF">
        <w:rPr>
          <w:rFonts w:ascii="Times New Roman" w:hAnsi="Times New Roman" w:cs="Times New Roman"/>
          <w:sz w:val="24"/>
          <w:szCs w:val="24"/>
        </w:rPr>
        <w:t>Federal Register on July 8, 2025, at 90 F</w:t>
      </w:r>
      <w:r w:rsidRPr="35AA97DF" w:rsidR="40746080">
        <w:rPr>
          <w:rFonts w:ascii="Times New Roman" w:hAnsi="Times New Roman" w:cs="Times New Roman"/>
          <w:sz w:val="24"/>
          <w:szCs w:val="24"/>
        </w:rPr>
        <w:t xml:space="preserve">ed. </w:t>
      </w:r>
      <w:r w:rsidRPr="35AA97DF">
        <w:rPr>
          <w:rFonts w:ascii="Times New Roman" w:hAnsi="Times New Roman" w:cs="Times New Roman"/>
          <w:sz w:val="24"/>
          <w:szCs w:val="24"/>
        </w:rPr>
        <w:t>R</w:t>
      </w:r>
      <w:r w:rsidRPr="35AA97DF" w:rsidR="0C495C08">
        <w:rPr>
          <w:rFonts w:ascii="Times New Roman" w:hAnsi="Times New Roman" w:cs="Times New Roman"/>
          <w:sz w:val="24"/>
          <w:szCs w:val="24"/>
        </w:rPr>
        <w:t>eg.</w:t>
      </w:r>
      <w:r w:rsidRPr="35AA97DF">
        <w:rPr>
          <w:rFonts w:ascii="Times New Roman" w:hAnsi="Times New Roman" w:cs="Times New Roman"/>
          <w:sz w:val="24"/>
          <w:szCs w:val="24"/>
        </w:rPr>
        <w:t xml:space="preserve"> 30</w:t>
      </w:r>
      <w:r w:rsidRPr="35AA97DF" w:rsidR="113C3705">
        <w:rPr>
          <w:rFonts w:ascii="Times New Roman" w:hAnsi="Times New Roman" w:cs="Times New Roman"/>
          <w:sz w:val="24"/>
          <w:szCs w:val="24"/>
        </w:rPr>
        <w:t>,</w:t>
      </w:r>
      <w:r w:rsidRPr="35AA97DF">
        <w:rPr>
          <w:rFonts w:ascii="Times New Roman" w:hAnsi="Times New Roman" w:cs="Times New Roman"/>
          <w:sz w:val="24"/>
          <w:szCs w:val="24"/>
        </w:rPr>
        <w:t>072</w:t>
      </w:r>
      <w:r w:rsidRPr="35AA97DF" w:rsidR="0DBAE9E9">
        <w:rPr>
          <w:rFonts w:ascii="Times New Roman" w:hAnsi="Times New Roman" w:cs="Times New Roman"/>
          <w:sz w:val="24"/>
          <w:szCs w:val="24"/>
        </w:rPr>
        <w:t>,</w:t>
      </w:r>
      <w:r w:rsidRPr="35AA97DF">
        <w:rPr>
          <w:rFonts w:ascii="Times New Roman" w:hAnsi="Times New Roman" w:cs="Times New Roman"/>
          <w:sz w:val="24"/>
          <w:szCs w:val="24"/>
        </w:rPr>
        <w:t xml:space="preserve"> allowing the public 60 days to comment on this proposed new generic information collection plan. That period ended on September 8, 2025. Four comments were received in response to the notice in the Federal Register.</w:t>
      </w:r>
    </w:p>
    <w:p w:rsidR="00937E1A" w:rsidP="00937E1A" w14:paraId="37DEF0A4" w14:textId="77777777">
      <w:pPr>
        <w:pStyle w:val="PlainText"/>
        <w:ind w:left="360"/>
        <w:rPr>
          <w:rFonts w:ascii="Times New Roman" w:hAnsi="Times New Roman" w:cs="Times New Roman"/>
          <w:sz w:val="24"/>
          <w:szCs w:val="24"/>
        </w:rPr>
      </w:pPr>
    </w:p>
    <w:p w:rsidR="00937E1A" w:rsidP="00937E1A" w14:paraId="4A62D5A6" w14:textId="5A29EBFE">
      <w:pPr>
        <w:pStyle w:val="PlainText"/>
        <w:ind w:left="360"/>
        <w:rPr>
          <w:rFonts w:ascii="Times New Roman" w:hAnsi="Times New Roman" w:cs="Times New Roman"/>
          <w:sz w:val="24"/>
          <w:szCs w:val="24"/>
        </w:rPr>
      </w:pPr>
      <w:r>
        <w:rPr>
          <w:rFonts w:ascii="Times New Roman" w:hAnsi="Times New Roman" w:cs="Times New Roman"/>
          <w:sz w:val="24"/>
          <w:szCs w:val="24"/>
        </w:rPr>
        <w:t xml:space="preserve">All four comments supported the proposed generic information collection plan, while offering guidance on how the information collection can be most effective. One anonymous comment emphasized clear language instructions, which is a standard that </w:t>
      </w:r>
      <w:r w:rsidR="00C0716B">
        <w:rPr>
          <w:rFonts w:ascii="Times New Roman" w:hAnsi="Times New Roman" w:cs="Times New Roman"/>
          <w:sz w:val="24"/>
          <w:szCs w:val="24"/>
        </w:rPr>
        <w:t xml:space="preserve">the </w:t>
      </w:r>
      <w:r>
        <w:rPr>
          <w:rFonts w:ascii="Times New Roman" w:hAnsi="Times New Roman" w:cs="Times New Roman"/>
          <w:sz w:val="24"/>
          <w:szCs w:val="24"/>
        </w:rPr>
        <w:t xml:space="preserve">FTC will follow when designing </w:t>
      </w:r>
      <w:r>
        <w:rPr>
          <w:rFonts w:ascii="Times New Roman" w:hAnsi="Times New Roman" w:cs="Times New Roman"/>
          <w:sz w:val="24"/>
          <w:szCs w:val="24"/>
        </w:rPr>
        <w:t>survey</w:t>
      </w:r>
      <w:r>
        <w:rPr>
          <w:rFonts w:ascii="Times New Roman" w:hAnsi="Times New Roman" w:cs="Times New Roman"/>
          <w:sz w:val="24"/>
          <w:szCs w:val="24"/>
        </w:rPr>
        <w:t xml:space="preserve"> and </w:t>
      </w:r>
      <w:r>
        <w:rPr>
          <w:rFonts w:ascii="Times New Roman" w:hAnsi="Times New Roman" w:cs="Times New Roman"/>
          <w:sz w:val="24"/>
          <w:szCs w:val="24"/>
        </w:rPr>
        <w:t>experiment instruments</w:t>
      </w:r>
      <w:r w:rsidR="000409DF">
        <w:rPr>
          <w:rFonts w:ascii="Times New Roman" w:hAnsi="Times New Roman" w:cs="Times New Roman"/>
          <w:sz w:val="24"/>
          <w:szCs w:val="24"/>
        </w:rPr>
        <w:t xml:space="preserve"> under this </w:t>
      </w:r>
      <w:r w:rsidR="0010096E">
        <w:rPr>
          <w:rFonts w:ascii="Times New Roman" w:hAnsi="Times New Roman" w:cs="Times New Roman"/>
          <w:sz w:val="24"/>
          <w:szCs w:val="24"/>
        </w:rPr>
        <w:t>proposed information collection</w:t>
      </w:r>
      <w:r>
        <w:rPr>
          <w:rFonts w:ascii="Times New Roman" w:hAnsi="Times New Roman" w:cs="Times New Roman"/>
          <w:sz w:val="24"/>
          <w:szCs w:val="24"/>
        </w:rPr>
        <w:t xml:space="preserve">. </w:t>
      </w:r>
    </w:p>
    <w:p w:rsidR="00937E1A" w:rsidP="00937E1A" w14:paraId="59969F1F" w14:textId="77777777">
      <w:pPr>
        <w:pStyle w:val="PlainText"/>
        <w:ind w:left="360"/>
        <w:rPr>
          <w:rFonts w:ascii="Times New Roman" w:hAnsi="Times New Roman" w:cs="Times New Roman"/>
          <w:sz w:val="24"/>
          <w:szCs w:val="24"/>
        </w:rPr>
      </w:pPr>
    </w:p>
    <w:p w:rsidR="00937E1A" w:rsidP="00937E1A" w14:paraId="0C545594" w14:textId="3064670C">
      <w:pPr>
        <w:pStyle w:val="PlainText"/>
        <w:ind w:left="360"/>
        <w:rPr>
          <w:rFonts w:ascii="Times New Roman" w:hAnsi="Times New Roman" w:cs="Times New Roman"/>
          <w:sz w:val="24"/>
          <w:szCs w:val="24"/>
        </w:rPr>
      </w:pPr>
      <w:r>
        <w:rPr>
          <w:rFonts w:ascii="Times New Roman" w:hAnsi="Times New Roman" w:cs="Times New Roman"/>
          <w:sz w:val="24"/>
          <w:szCs w:val="24"/>
        </w:rPr>
        <w:t xml:space="preserve">A comment from the Cantor Institute emphasized the need for statistical performance goals and commitments that “safeguard data quality, replicability, and privacy at scale”. The Supporting Statement Part B aims to address these concerns, while the </w:t>
      </w:r>
      <w:r w:rsidR="006B7BC5">
        <w:rPr>
          <w:rFonts w:ascii="Times New Roman" w:hAnsi="Times New Roman" w:cs="Times New Roman"/>
          <w:sz w:val="24"/>
          <w:szCs w:val="24"/>
        </w:rPr>
        <w:t>Generic</w:t>
      </w:r>
      <w:r>
        <w:rPr>
          <w:rFonts w:ascii="Times New Roman" w:hAnsi="Times New Roman" w:cs="Times New Roman"/>
          <w:sz w:val="24"/>
          <w:szCs w:val="24"/>
        </w:rPr>
        <w:t xml:space="preserve"> I</w:t>
      </w:r>
      <w:r w:rsidR="006B7BC5">
        <w:rPr>
          <w:rFonts w:ascii="Times New Roman" w:hAnsi="Times New Roman" w:cs="Times New Roman"/>
          <w:sz w:val="24"/>
          <w:szCs w:val="24"/>
        </w:rPr>
        <w:t xml:space="preserve">nformation </w:t>
      </w:r>
      <w:r>
        <w:rPr>
          <w:rFonts w:ascii="Times New Roman" w:hAnsi="Times New Roman" w:cs="Times New Roman"/>
          <w:sz w:val="24"/>
          <w:szCs w:val="24"/>
        </w:rPr>
        <w:t>C</w:t>
      </w:r>
      <w:r w:rsidR="006B7BC5">
        <w:rPr>
          <w:rFonts w:ascii="Times New Roman" w:hAnsi="Times New Roman" w:cs="Times New Roman"/>
          <w:sz w:val="24"/>
          <w:szCs w:val="24"/>
        </w:rPr>
        <w:t>ollection</w:t>
      </w:r>
      <w:r>
        <w:rPr>
          <w:rFonts w:ascii="Times New Roman" w:hAnsi="Times New Roman" w:cs="Times New Roman"/>
          <w:sz w:val="24"/>
          <w:szCs w:val="24"/>
        </w:rPr>
        <w:t xml:space="preserve"> </w:t>
      </w:r>
      <w:r w:rsidR="00FD19CE">
        <w:rPr>
          <w:rFonts w:ascii="Times New Roman" w:hAnsi="Times New Roman" w:cs="Times New Roman"/>
          <w:sz w:val="24"/>
          <w:szCs w:val="24"/>
        </w:rPr>
        <w:t>T</w:t>
      </w:r>
      <w:r>
        <w:rPr>
          <w:rFonts w:ascii="Times New Roman" w:hAnsi="Times New Roman" w:cs="Times New Roman"/>
          <w:sz w:val="24"/>
          <w:szCs w:val="24"/>
        </w:rPr>
        <w:t>emplate, which will accompany any future information collection, also commits any related I</w:t>
      </w:r>
      <w:r w:rsidR="006B7BC5">
        <w:rPr>
          <w:rFonts w:ascii="Times New Roman" w:hAnsi="Times New Roman" w:cs="Times New Roman"/>
          <w:sz w:val="24"/>
          <w:szCs w:val="24"/>
        </w:rPr>
        <w:t xml:space="preserve">nformation </w:t>
      </w:r>
      <w:r>
        <w:rPr>
          <w:rFonts w:ascii="Times New Roman" w:hAnsi="Times New Roman" w:cs="Times New Roman"/>
          <w:sz w:val="24"/>
          <w:szCs w:val="24"/>
        </w:rPr>
        <w:t>C</w:t>
      </w:r>
      <w:r w:rsidR="006B7BC5">
        <w:rPr>
          <w:rFonts w:ascii="Times New Roman" w:hAnsi="Times New Roman" w:cs="Times New Roman"/>
          <w:sz w:val="24"/>
          <w:szCs w:val="24"/>
        </w:rPr>
        <w:t>ollection</w:t>
      </w:r>
      <w:r>
        <w:rPr>
          <w:rFonts w:ascii="Times New Roman" w:hAnsi="Times New Roman" w:cs="Times New Roman"/>
          <w:sz w:val="24"/>
          <w:szCs w:val="24"/>
        </w:rPr>
        <w:t xml:space="preserve"> to a high statistical standard.</w:t>
      </w:r>
      <w:r>
        <w:rPr>
          <w:rStyle w:val="FootnoteReference"/>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The Cantor Institute also argued that the initial F</w:t>
      </w:r>
      <w:r w:rsidR="0010096E">
        <w:rPr>
          <w:rFonts w:ascii="Times New Roman" w:hAnsi="Times New Roman" w:cs="Times New Roman"/>
          <w:sz w:val="24"/>
          <w:szCs w:val="24"/>
        </w:rPr>
        <w:t xml:space="preserve">ederal </w:t>
      </w:r>
      <w:r>
        <w:rPr>
          <w:rFonts w:ascii="Times New Roman" w:hAnsi="Times New Roman" w:cs="Times New Roman"/>
          <w:sz w:val="24"/>
          <w:szCs w:val="24"/>
        </w:rPr>
        <w:t>R</w:t>
      </w:r>
      <w:r w:rsidR="0010096E">
        <w:rPr>
          <w:rFonts w:ascii="Times New Roman" w:hAnsi="Times New Roman" w:cs="Times New Roman"/>
          <w:sz w:val="24"/>
          <w:szCs w:val="24"/>
        </w:rPr>
        <w:t>egister</w:t>
      </w:r>
      <w:r>
        <w:rPr>
          <w:rFonts w:ascii="Times New Roman" w:hAnsi="Times New Roman" w:cs="Times New Roman"/>
          <w:sz w:val="24"/>
          <w:szCs w:val="24"/>
        </w:rPr>
        <w:t xml:space="preserve"> </w:t>
      </w:r>
      <w:r w:rsidR="00450B0F">
        <w:rPr>
          <w:rFonts w:ascii="Times New Roman" w:hAnsi="Times New Roman" w:cs="Times New Roman"/>
          <w:sz w:val="24"/>
          <w:szCs w:val="24"/>
        </w:rPr>
        <w:t>notice</w:t>
      </w:r>
      <w:r>
        <w:rPr>
          <w:rFonts w:ascii="Times New Roman" w:hAnsi="Times New Roman" w:cs="Times New Roman"/>
          <w:sz w:val="24"/>
          <w:szCs w:val="24"/>
        </w:rPr>
        <w:t xml:space="preserve"> likely understated the burden </w:t>
      </w:r>
      <w:r>
        <w:rPr>
          <w:rFonts w:ascii="Times New Roman" w:hAnsi="Times New Roman" w:cs="Times New Roman"/>
          <w:sz w:val="24"/>
          <w:szCs w:val="24"/>
        </w:rPr>
        <w:t>to</w:t>
      </w:r>
      <w:r>
        <w:rPr>
          <w:rFonts w:ascii="Times New Roman" w:hAnsi="Times New Roman" w:cs="Times New Roman"/>
          <w:sz w:val="24"/>
          <w:szCs w:val="24"/>
        </w:rPr>
        <w:t xml:space="preserve"> respondents. The FTC politely disagrees with this argument, as the stated averages per respondent are calculated to be an average across </w:t>
      </w:r>
      <w:r w:rsidR="0016685A">
        <w:rPr>
          <w:rFonts w:ascii="Times New Roman" w:hAnsi="Times New Roman" w:cs="Times New Roman"/>
          <w:sz w:val="24"/>
          <w:szCs w:val="24"/>
        </w:rPr>
        <w:t>all respondents, including screening/partial completes.</w:t>
      </w:r>
    </w:p>
    <w:p w:rsidR="001D2F9E" w:rsidP="0016685A" w14:paraId="5D20B795" w14:textId="77777777">
      <w:pPr>
        <w:pStyle w:val="PlainText"/>
        <w:ind w:left="360"/>
        <w:rPr>
          <w:rFonts w:ascii="Times New Roman" w:hAnsi="Times New Roman" w:cs="Times New Roman"/>
          <w:sz w:val="24"/>
          <w:szCs w:val="24"/>
        </w:rPr>
      </w:pPr>
    </w:p>
    <w:p w:rsidR="0016685A" w:rsidP="0016685A" w14:paraId="2D83BB11" w14:textId="16D21014">
      <w:pPr>
        <w:pStyle w:val="PlainText"/>
        <w:ind w:left="360"/>
        <w:rPr>
          <w:rFonts w:ascii="Times New Roman" w:hAnsi="Times New Roman" w:cs="Times New Roman"/>
          <w:sz w:val="24"/>
          <w:szCs w:val="24"/>
        </w:rPr>
      </w:pPr>
      <w:r>
        <w:rPr>
          <w:rFonts w:ascii="Times New Roman" w:hAnsi="Times New Roman" w:cs="Times New Roman"/>
          <w:sz w:val="24"/>
          <w:szCs w:val="24"/>
        </w:rPr>
        <w:t>A comment from Mary Sullivan at George Washington University support</w:t>
      </w:r>
      <w:r w:rsidR="00EA0F0D">
        <w:rPr>
          <w:rFonts w:ascii="Times New Roman" w:hAnsi="Times New Roman" w:cs="Times New Roman"/>
          <w:sz w:val="24"/>
          <w:szCs w:val="24"/>
        </w:rPr>
        <w:t>ed</w:t>
      </w:r>
      <w:r>
        <w:rPr>
          <w:rFonts w:ascii="Times New Roman" w:hAnsi="Times New Roman" w:cs="Times New Roman"/>
          <w:sz w:val="24"/>
          <w:szCs w:val="24"/>
        </w:rPr>
        <w:t xml:space="preserve"> the proposed generic information collection </w:t>
      </w:r>
      <w:r w:rsidRPr="0016685A">
        <w:rPr>
          <w:rFonts w:ascii="Times New Roman" w:hAnsi="Times New Roman" w:cs="Times New Roman"/>
          <w:sz w:val="24"/>
          <w:szCs w:val="24"/>
        </w:rPr>
        <w:t xml:space="preserve">because </w:t>
      </w:r>
      <w:r>
        <w:rPr>
          <w:rFonts w:ascii="Times New Roman" w:hAnsi="Times New Roman" w:cs="Times New Roman"/>
          <w:sz w:val="24"/>
          <w:szCs w:val="24"/>
        </w:rPr>
        <w:t>“</w:t>
      </w:r>
      <w:r w:rsidRPr="0016685A">
        <w:rPr>
          <w:rFonts w:ascii="Times New Roman" w:hAnsi="Times New Roman" w:cs="Times New Roman"/>
          <w:sz w:val="24"/>
          <w:szCs w:val="24"/>
        </w:rPr>
        <w:t>when a new practice is emerging that might require FTC action, it is critical to obtain information about the practice quickly to minimize possible harm to consumers.</w:t>
      </w:r>
      <w:r>
        <w:rPr>
          <w:rFonts w:ascii="Times New Roman" w:hAnsi="Times New Roman" w:cs="Times New Roman"/>
          <w:sz w:val="24"/>
          <w:szCs w:val="24"/>
        </w:rPr>
        <w:t>” The FTC agrees with this statement.</w:t>
      </w:r>
    </w:p>
    <w:p w:rsidR="0016685A" w:rsidP="0016685A" w14:paraId="580AA1AC" w14:textId="77777777">
      <w:pPr>
        <w:pStyle w:val="PlainText"/>
        <w:ind w:left="360"/>
        <w:rPr>
          <w:rFonts w:ascii="Times New Roman" w:hAnsi="Times New Roman" w:cs="Times New Roman"/>
          <w:sz w:val="24"/>
          <w:szCs w:val="24"/>
        </w:rPr>
      </w:pPr>
    </w:p>
    <w:p w:rsidR="0016685A" w:rsidP="0016685A" w14:paraId="4E2D72C5" w14:textId="3563808F">
      <w:pPr>
        <w:pStyle w:val="PlainText"/>
        <w:ind w:left="360"/>
        <w:rPr>
          <w:rFonts w:ascii="Times New Roman" w:hAnsi="Times New Roman" w:cs="Times New Roman"/>
          <w:sz w:val="24"/>
          <w:szCs w:val="24"/>
        </w:rPr>
      </w:pPr>
      <w:r>
        <w:rPr>
          <w:rFonts w:ascii="Times New Roman" w:hAnsi="Times New Roman" w:cs="Times New Roman"/>
          <w:sz w:val="24"/>
          <w:szCs w:val="24"/>
        </w:rPr>
        <w:t>Finally, an anonymous comment recommend</w:t>
      </w:r>
      <w:r w:rsidR="00EA0F0D">
        <w:rPr>
          <w:rFonts w:ascii="Times New Roman" w:hAnsi="Times New Roman" w:cs="Times New Roman"/>
          <w:sz w:val="24"/>
          <w:szCs w:val="24"/>
        </w:rPr>
        <w:t>ed</w:t>
      </w:r>
      <w:r>
        <w:rPr>
          <w:rFonts w:ascii="Times New Roman" w:hAnsi="Times New Roman" w:cs="Times New Roman"/>
          <w:sz w:val="24"/>
          <w:szCs w:val="24"/>
        </w:rPr>
        <w:t xml:space="preserve"> increasing the number of responses from 20,000 to 250,000. In the interest of reducing the burden on the public and the strain on government resources, the FTC</w:t>
      </w:r>
      <w:r w:rsidR="00A74D50">
        <w:rPr>
          <w:rFonts w:ascii="Times New Roman" w:hAnsi="Times New Roman" w:cs="Times New Roman"/>
          <w:sz w:val="24"/>
          <w:szCs w:val="24"/>
        </w:rPr>
        <w:t xml:space="preserve"> declines to adopt this suggestion</w:t>
      </w:r>
      <w:r>
        <w:rPr>
          <w:rFonts w:ascii="Times New Roman" w:hAnsi="Times New Roman" w:cs="Times New Roman"/>
          <w:sz w:val="24"/>
          <w:szCs w:val="24"/>
        </w:rPr>
        <w:t>.</w:t>
      </w:r>
    </w:p>
    <w:p w:rsidR="00937E1A" w:rsidRPr="00816BA8" w:rsidP="00FE3E6E" w14:paraId="773C114A" w14:textId="77777777">
      <w:pPr>
        <w:pStyle w:val="PlainText"/>
        <w:rPr>
          <w:rFonts w:ascii="Times New Roman" w:hAnsi="Times New Roman" w:cs="Times New Roman"/>
          <w:sz w:val="24"/>
          <w:szCs w:val="24"/>
        </w:rPr>
      </w:pPr>
    </w:p>
    <w:p w:rsidR="007172F5" w:rsidRPr="00816BA8" w:rsidP="00EC5028" w14:paraId="000DB45F" w14:textId="6D7DA017">
      <w:pPr>
        <w:widowControl/>
        <w:rPr>
          <w:rFonts w:ascii="Times New Roman" w:hAnsi="Times New Roman"/>
          <w:snapToGrid/>
          <w:u w:val="single"/>
        </w:rPr>
      </w:pPr>
      <w:r w:rsidRPr="00EC5028">
        <w:rPr>
          <w:rFonts w:ascii="Times New Roman" w:hAnsi="Times New Roman"/>
        </w:rPr>
        <w:t xml:space="preserve">9.   </w:t>
      </w:r>
      <w:r w:rsidR="00024867">
        <w:rPr>
          <w:rFonts w:ascii="Times New Roman" w:hAnsi="Times New Roman"/>
          <w:u w:val="single"/>
        </w:rPr>
        <w:t>Gifts or Payments</w:t>
      </w:r>
    </w:p>
    <w:p w:rsidR="002D34A5" w:rsidRPr="00816BA8" w:rsidP="009A4A64" w14:paraId="38E8C1C1" w14:textId="77777777">
      <w:pPr>
        <w:pStyle w:val="BodyText"/>
      </w:pPr>
    </w:p>
    <w:p w:rsidR="003C4697" w:rsidRPr="00816BA8" w:rsidP="003C4697" w14:paraId="70E0D062" w14:textId="282369A0">
      <w:pPr>
        <w:pStyle w:val="BodyText"/>
        <w:spacing w:before="69"/>
        <w:ind w:left="360" w:right="84"/>
      </w:pPr>
      <w:r w:rsidRPr="00816BA8">
        <w:t>Where appropriate, a cash stipend or other gift may be offered to the research participants as a token of appreciation for a respondent’s time and interest in the project</w:t>
      </w:r>
      <w:r w:rsidRPr="00816BA8" w:rsidR="00186FEA">
        <w:t>.</w:t>
      </w:r>
      <w:r w:rsidRPr="00816BA8">
        <w:t xml:space="preserve">  </w:t>
      </w:r>
      <w:r w:rsidRPr="00E40F49" w:rsidR="00E40F49">
        <w:t>Incentives will be provided in accord</w:t>
      </w:r>
      <w:r w:rsidR="00E40F49">
        <w:t>ance</w:t>
      </w:r>
      <w:r w:rsidRPr="00E40F49" w:rsidR="00E40F49">
        <w:t xml:space="preserve"> with OMB Standards and Guidelines for Statistical Surveys.</w:t>
      </w:r>
      <w:r w:rsidR="00E40F49">
        <w:t xml:space="preserve">  </w:t>
      </w:r>
      <w:r w:rsidRPr="00816BA8" w:rsidR="00405DE2">
        <w:t>For data collections involving economic experiments, incentives could be based on choices made in the experiment, as is common practice in the experimental economics literature</w:t>
      </w:r>
      <w:r w:rsidR="005D3BA6">
        <w:t>.</w:t>
      </w:r>
      <w:r>
        <w:rPr>
          <w:rStyle w:val="FootnoteReference"/>
          <w:vertAlign w:val="superscript"/>
        </w:rPr>
        <w:footnoteReference w:id="4"/>
      </w:r>
      <w:r w:rsidRPr="00816BA8" w:rsidR="00405DE2">
        <w:t xml:space="preserve"> </w:t>
      </w:r>
      <w:r w:rsidRPr="00816BA8">
        <w:t xml:space="preserve">Amounts and justifications for any incentives will be determined on an individual project basis and will be supported by research indicating that incentives are useful for the </w:t>
      </w:r>
      <w:r w:rsidRPr="00816BA8" w:rsidR="00405DE2">
        <w:t>population</w:t>
      </w:r>
      <w:r w:rsidRPr="00816BA8">
        <w:t xml:space="preserve"> participating in the information collection.  This information will be included </w:t>
      </w:r>
      <w:bookmarkStart w:id="1" w:name="_Hlk214273340"/>
      <w:r w:rsidRPr="00816BA8">
        <w:t>in the</w:t>
      </w:r>
      <w:r w:rsidRPr="00816BA8" w:rsidR="1D82D705">
        <w:t xml:space="preserve"> request</w:t>
      </w:r>
      <w:r w:rsidRPr="00816BA8">
        <w:t xml:space="preserve"> statement provided to OMB </w:t>
      </w:r>
      <w:r w:rsidRPr="00816BA8" w:rsidR="64B8E697">
        <w:t xml:space="preserve">requesting authorization </w:t>
      </w:r>
      <w:r w:rsidRPr="00816BA8">
        <w:t xml:space="preserve">for each </w:t>
      </w:r>
      <w:r w:rsidRPr="00816BA8" w:rsidR="03E3EF9C">
        <w:t xml:space="preserve">specific </w:t>
      </w:r>
      <w:r w:rsidRPr="00816BA8">
        <w:t>information collection to be conducted under this generic authorization</w:t>
      </w:r>
      <w:r w:rsidRPr="00816BA8" w:rsidR="18372B2A">
        <w:t>.</w:t>
      </w:r>
      <w:r>
        <w:rPr>
          <w:rStyle w:val="FootnoteReference"/>
          <w:vertAlign w:val="superscript"/>
        </w:rPr>
        <w:footnoteReference w:id="5"/>
      </w:r>
      <w:r w:rsidR="0078488C">
        <w:t xml:space="preserve"> </w:t>
      </w:r>
    </w:p>
    <w:bookmarkEnd w:id="1"/>
    <w:p w:rsidR="003C4697" w:rsidP="003C4697" w14:paraId="57BDF0CF" w14:textId="77777777">
      <w:pPr>
        <w:pStyle w:val="BodyText"/>
        <w:spacing w:before="69"/>
        <w:ind w:left="360" w:right="84"/>
      </w:pPr>
    </w:p>
    <w:p w:rsidR="001555E8" w:rsidP="003C4697" w14:paraId="149623AF" w14:textId="77777777">
      <w:pPr>
        <w:pStyle w:val="BodyText"/>
        <w:spacing w:before="69"/>
        <w:ind w:left="360" w:right="84"/>
      </w:pPr>
    </w:p>
    <w:p w:rsidR="001555E8" w:rsidP="003C4697" w14:paraId="1F2D7488" w14:textId="77777777">
      <w:pPr>
        <w:pStyle w:val="BodyText"/>
        <w:spacing w:before="69"/>
        <w:ind w:left="360" w:right="84"/>
      </w:pPr>
    </w:p>
    <w:p w:rsidR="001555E8" w:rsidRPr="00816BA8" w:rsidP="003C4697" w14:paraId="3100E4B5" w14:textId="77777777">
      <w:pPr>
        <w:pStyle w:val="BodyText"/>
        <w:spacing w:before="69"/>
        <w:ind w:left="360" w:right="84"/>
      </w:pPr>
    </w:p>
    <w:p w:rsidR="002D34A5" w:rsidRPr="00816BA8" w:rsidP="00EC5028" w14:paraId="12388338" w14:textId="437404CE">
      <w:pPr>
        <w:widowControl/>
        <w:rPr>
          <w:rFonts w:ascii="Times New Roman" w:hAnsi="Times New Roman"/>
          <w:snapToGrid/>
          <w:szCs w:val="24"/>
        </w:rPr>
      </w:pPr>
      <w:r w:rsidRPr="00EC5028">
        <w:rPr>
          <w:rFonts w:ascii="Times New Roman" w:hAnsi="Times New Roman"/>
          <w:snapToGrid/>
          <w:szCs w:val="24"/>
        </w:rPr>
        <w:t xml:space="preserve">10. </w:t>
      </w:r>
      <w:r w:rsidR="0098149E">
        <w:rPr>
          <w:rFonts w:ascii="Times New Roman" w:hAnsi="Times New Roman"/>
          <w:snapToGrid/>
          <w:szCs w:val="24"/>
          <w:u w:val="single" w:color="000000"/>
        </w:rPr>
        <w:t>Privacy and</w:t>
      </w:r>
      <w:r w:rsidR="00EF47BB">
        <w:rPr>
          <w:rFonts w:ascii="Times New Roman" w:hAnsi="Times New Roman"/>
          <w:snapToGrid/>
          <w:szCs w:val="24"/>
          <w:u w:val="single" w:color="000000"/>
        </w:rPr>
        <w:t xml:space="preserve"> </w:t>
      </w:r>
      <w:r w:rsidRPr="00816BA8">
        <w:rPr>
          <w:rFonts w:ascii="Times New Roman" w:hAnsi="Times New Roman"/>
          <w:snapToGrid/>
          <w:szCs w:val="24"/>
          <w:u w:val="single" w:color="000000"/>
        </w:rPr>
        <w:t>Confidentiality</w:t>
      </w:r>
    </w:p>
    <w:p w:rsidR="002D34A5" w:rsidRPr="00816BA8" w:rsidP="002D34A5" w14:paraId="1D0EC108" w14:textId="77777777">
      <w:pPr>
        <w:spacing w:before="10"/>
        <w:rPr>
          <w:rFonts w:ascii="Times New Roman" w:hAnsi="Times New Roman"/>
          <w:snapToGrid/>
          <w:sz w:val="17"/>
          <w:szCs w:val="17"/>
        </w:rPr>
      </w:pPr>
    </w:p>
    <w:p w:rsidR="002D34A5" w:rsidRPr="00816BA8" w:rsidP="002D34A5" w14:paraId="5A100089" w14:textId="6FD748A2">
      <w:pPr>
        <w:pStyle w:val="BodyText"/>
        <w:spacing w:before="69"/>
        <w:ind w:left="360" w:right="84"/>
        <w:rPr>
          <w:szCs w:val="24"/>
        </w:rPr>
      </w:pPr>
      <w:r w:rsidRPr="00816BA8">
        <w:rPr>
          <w:szCs w:val="24"/>
        </w:rPr>
        <w:t xml:space="preserve">Information provided by respondents will be kept private and anonymous, except as otherwise required by law.  This will be communicated to respondents by means of introductory letters, explanatory texts on the cover pages of questionnaires, scripts read prior to focus groups or interviews, and consent forms as appropriate.  </w:t>
      </w:r>
      <w:r w:rsidR="00B15089">
        <w:rPr>
          <w:szCs w:val="24"/>
        </w:rPr>
        <w:t xml:space="preserve">To the extent the Privacy Act applies, </w:t>
      </w:r>
      <w:r w:rsidR="0098149E">
        <w:rPr>
          <w:szCs w:val="24"/>
        </w:rPr>
        <w:t>r</w:t>
      </w:r>
      <w:r w:rsidRPr="00816BA8">
        <w:rPr>
          <w:szCs w:val="24"/>
        </w:rPr>
        <w:t>espondents also will be advised of the following: the nature of the activity; the intended purpose and use of the data collected; F</w:t>
      </w:r>
      <w:r w:rsidRPr="00816BA8" w:rsidR="001F434F">
        <w:rPr>
          <w:szCs w:val="24"/>
        </w:rPr>
        <w:t>TC</w:t>
      </w:r>
      <w:r w:rsidRPr="00816BA8">
        <w:rPr>
          <w:szCs w:val="24"/>
        </w:rPr>
        <w:t xml:space="preserve"> sponsorship (when appropriate) (i</w:t>
      </w:r>
      <w:r w:rsidRPr="00816BA8">
        <w:rPr>
          <w:rFonts w:eastAsia="Calibri" w:hAnsi="Calibri"/>
          <w:szCs w:val="24"/>
        </w:rPr>
        <w:t xml:space="preserve">n some cases, </w:t>
      </w:r>
      <w:r w:rsidRPr="00816BA8" w:rsidR="001F434F">
        <w:rPr>
          <w:rFonts w:eastAsia="Calibri" w:hAnsi="Calibri"/>
          <w:szCs w:val="24"/>
        </w:rPr>
        <w:t>FTC</w:t>
      </w:r>
      <w:r w:rsidRPr="00816BA8">
        <w:rPr>
          <w:rFonts w:eastAsia="Calibri" w:hAnsi="Calibri"/>
          <w:szCs w:val="24"/>
        </w:rPr>
        <w:t xml:space="preserve"> sponsorship will not be made known to respondents prior to data collection out of concern for the potential introduction of bias to study results. In such cases, F</w:t>
      </w:r>
      <w:r w:rsidRPr="00816BA8" w:rsidR="001F434F">
        <w:rPr>
          <w:rFonts w:eastAsia="Calibri" w:hAnsi="Calibri"/>
          <w:szCs w:val="24"/>
        </w:rPr>
        <w:t>TC</w:t>
      </w:r>
      <w:r w:rsidRPr="00816BA8">
        <w:rPr>
          <w:rFonts w:eastAsia="Calibri" w:hAnsi="Calibri"/>
          <w:szCs w:val="24"/>
        </w:rPr>
        <w:t xml:space="preserve"> sponsorship will be made known after the data are collected</w:t>
      </w:r>
      <w:r w:rsidR="00062A19">
        <w:rPr>
          <w:rFonts w:eastAsia="Calibri" w:hAnsi="Calibri"/>
          <w:szCs w:val="24"/>
        </w:rPr>
        <w:t>)</w:t>
      </w:r>
      <w:r w:rsidRPr="00816BA8">
        <w:rPr>
          <w:szCs w:val="24"/>
        </w:rPr>
        <w:t>; and the fact that participation is voluntary at all times.  Because responses are voluntary, respondents will be assured that there will be no penalties if they decide not to respond, either to the information collection as a whole or to any individual questions.</w:t>
      </w:r>
    </w:p>
    <w:p w:rsidR="002D34A5" w:rsidRPr="00816BA8" w:rsidP="002D34A5" w14:paraId="32F15D30" w14:textId="77777777">
      <w:pPr>
        <w:spacing w:before="8"/>
        <w:rPr>
          <w:rFonts w:ascii="Times New Roman" w:hAnsi="Times New Roman"/>
          <w:snapToGrid/>
          <w:sz w:val="23"/>
          <w:szCs w:val="23"/>
        </w:rPr>
      </w:pPr>
    </w:p>
    <w:p w:rsidR="002D34A5" w:rsidRPr="00816BA8" w:rsidP="002D34A5" w14:paraId="7090D6F9" w14:textId="75901DA5">
      <w:pPr>
        <w:ind w:left="360" w:right="84"/>
        <w:rPr>
          <w:rFonts w:ascii="Times New Roman" w:hAnsi="Times New Roman"/>
          <w:snapToGrid/>
          <w:szCs w:val="24"/>
        </w:rPr>
      </w:pPr>
      <w:r w:rsidRPr="00816BA8">
        <w:rPr>
          <w:rFonts w:ascii="Times New Roman" w:hAnsi="Times New Roman"/>
          <w:snapToGrid/>
          <w:szCs w:val="24"/>
        </w:rPr>
        <w:t xml:space="preserve">Only </w:t>
      </w:r>
      <w:r w:rsidR="00622830">
        <w:rPr>
          <w:rFonts w:ascii="Times New Roman" w:hAnsi="Times New Roman"/>
          <w:snapToGrid/>
          <w:szCs w:val="24"/>
        </w:rPr>
        <w:t>FTC</w:t>
      </w:r>
      <w:r w:rsidRPr="00816BA8">
        <w:rPr>
          <w:rFonts w:ascii="Times New Roman" w:hAnsi="Times New Roman"/>
          <w:snapToGrid/>
          <w:szCs w:val="24"/>
        </w:rPr>
        <w:t xml:space="preserve">-sponsored personnel will have access to individual-level surveys, interviews, </w:t>
      </w:r>
      <w:r w:rsidRPr="00816BA8" w:rsidR="001F434F">
        <w:rPr>
          <w:rFonts w:ascii="Times New Roman" w:hAnsi="Times New Roman"/>
          <w:snapToGrid/>
          <w:szCs w:val="24"/>
        </w:rPr>
        <w:t xml:space="preserve">experimental, </w:t>
      </w:r>
      <w:r w:rsidRPr="00816BA8">
        <w:rPr>
          <w:rFonts w:ascii="Times New Roman" w:hAnsi="Times New Roman"/>
          <w:snapToGrid/>
          <w:szCs w:val="24"/>
        </w:rPr>
        <w:t xml:space="preserve">or focus group data. All project staff from a contractor conducting the information collection must take required measures to ensure respondent privacy and confidentiality of data. Personally identifiable data shall be limited to information that may be required in the process of respondent enrollment.  Personally identifiable information will be accessible to only those contractors who need </w:t>
      </w:r>
      <w:r w:rsidRPr="00816BA8">
        <w:rPr>
          <w:rFonts w:ascii="Times New Roman" w:hAnsi="Times New Roman"/>
          <w:snapToGrid/>
          <w:szCs w:val="24"/>
        </w:rPr>
        <w:t>them</w:t>
      </w:r>
      <w:r w:rsidRPr="00816BA8">
        <w:rPr>
          <w:rFonts w:ascii="Times New Roman" w:hAnsi="Times New Roman"/>
          <w:snapToGrid/>
          <w:szCs w:val="24"/>
        </w:rPr>
        <w:t xml:space="preserve"> and will not be linked to interview data. All personally identifiable data will be destroyed as soon as feasible following interview data collection. Neither F</w:t>
      </w:r>
      <w:r w:rsidRPr="00816BA8" w:rsidR="001F434F">
        <w:rPr>
          <w:rFonts w:ascii="Times New Roman" w:hAnsi="Times New Roman"/>
          <w:snapToGrid/>
          <w:szCs w:val="24"/>
        </w:rPr>
        <w:t>TC</w:t>
      </w:r>
      <w:r w:rsidRPr="00816BA8">
        <w:rPr>
          <w:rFonts w:ascii="Times New Roman" w:hAnsi="Times New Roman"/>
          <w:snapToGrid/>
          <w:szCs w:val="24"/>
        </w:rPr>
        <w:t xml:space="preserve"> employees nor any federal employee of any other </w:t>
      </w:r>
      <w:r w:rsidR="00622830">
        <w:rPr>
          <w:rFonts w:ascii="Times New Roman" w:hAnsi="Times New Roman"/>
          <w:snapToGrid/>
          <w:szCs w:val="24"/>
        </w:rPr>
        <w:t>a</w:t>
      </w:r>
      <w:r w:rsidRPr="00816BA8">
        <w:rPr>
          <w:rFonts w:ascii="Times New Roman" w:hAnsi="Times New Roman"/>
          <w:snapToGrid/>
          <w:szCs w:val="24"/>
        </w:rPr>
        <w:t>gency will have access to personally identifiable information.</w:t>
      </w:r>
    </w:p>
    <w:p w:rsidR="002D34A5" w:rsidRPr="00816BA8" w:rsidP="002D34A5" w14:paraId="61D711D0" w14:textId="77777777">
      <w:pPr>
        <w:spacing w:before="6"/>
        <w:rPr>
          <w:rFonts w:ascii="Times New Roman" w:hAnsi="Times New Roman"/>
          <w:snapToGrid/>
          <w:sz w:val="12"/>
          <w:szCs w:val="12"/>
        </w:rPr>
      </w:pPr>
    </w:p>
    <w:p w:rsidR="002D34A5" w:rsidRPr="00816BA8" w:rsidP="002D34A5" w14:paraId="12D33780" w14:textId="38CDDC7E">
      <w:pPr>
        <w:spacing w:before="69"/>
        <w:ind w:left="360" w:right="108"/>
        <w:rPr>
          <w:rFonts w:ascii="Times New Roman" w:hAnsi="Times New Roman"/>
          <w:snapToGrid/>
          <w:szCs w:val="24"/>
        </w:rPr>
      </w:pPr>
      <w:r w:rsidRPr="00816BA8">
        <w:rPr>
          <w:rFonts w:ascii="Times New Roman" w:hAnsi="Times New Roman"/>
          <w:snapToGrid/>
          <w:szCs w:val="24"/>
        </w:rPr>
        <w:t>All electronic and hard-copy data will be maintained securely throughout the information collection and data processing phases. While under review, electronic data will be stored in locked files on secured computers; hard-copy data will be maintained in secure building facilities in locked filing cabinets. As a further guarantee of privacy and anonymity, all presentation of data in reports will be in aggregate form, with no links to individuals preserved. Reports will be used only for research purposes</w:t>
      </w:r>
      <w:r w:rsidR="00FC40E4">
        <w:rPr>
          <w:rFonts w:ascii="Times New Roman" w:hAnsi="Times New Roman"/>
          <w:snapToGrid/>
          <w:szCs w:val="24"/>
        </w:rPr>
        <w:t xml:space="preserve"> and the development of communication messages.</w:t>
      </w:r>
    </w:p>
    <w:p w:rsidR="002D34A5" w:rsidRPr="00816BA8" w:rsidP="002D34A5" w14:paraId="1FCE9B8C" w14:textId="77777777">
      <w:pPr>
        <w:ind w:right="159" w:firstLine="360"/>
        <w:rPr>
          <w:rFonts w:ascii="Times New Roman" w:hAnsi="Times New Roman"/>
          <w:snapToGrid/>
          <w:szCs w:val="24"/>
        </w:rPr>
      </w:pPr>
    </w:p>
    <w:p w:rsidR="002D34A5" w:rsidRPr="00816BA8" w:rsidP="001555E8" w14:paraId="08110814" w14:textId="212F2F9B">
      <w:pPr>
        <w:ind w:left="360" w:right="158"/>
        <w:rPr>
          <w:rFonts w:ascii="Times New Roman" w:hAnsi="Times New Roman"/>
          <w:snapToGrid/>
          <w:szCs w:val="24"/>
        </w:rPr>
      </w:pPr>
      <w:r w:rsidRPr="35AA97DF">
        <w:rPr>
          <w:rFonts w:ascii="Times New Roman" w:hAnsi="Times New Roman"/>
          <w:snapToGrid/>
        </w:rPr>
        <w:t>Occasionally, and only as necessary</w:t>
      </w:r>
      <w:r w:rsidRPr="35AA97DF" w:rsidR="005D3BA6">
        <w:rPr>
          <w:rFonts w:ascii="Times New Roman" w:hAnsi="Times New Roman"/>
          <w:snapToGrid/>
        </w:rPr>
        <w:t>,</w:t>
      </w:r>
      <w:r>
        <w:rPr>
          <w:rStyle w:val="FootnoteReference"/>
          <w:rFonts w:ascii="Times New Roman" w:hAnsi="Times New Roman"/>
          <w:snapToGrid/>
          <w:vertAlign w:val="superscript"/>
        </w:rPr>
        <w:footnoteReference w:id="6"/>
      </w:r>
      <w:r w:rsidRPr="35AA97DF">
        <w:rPr>
          <w:rFonts w:ascii="Times New Roman" w:hAnsi="Times New Roman"/>
          <w:snapToGrid/>
        </w:rPr>
        <w:t xml:space="preserve"> data collections covered under this generic clearance will undergo an Institutional Review Board (IRB) review process. Given the FTC’s lack of an internal IRB, a third-party IRB will be utilized in such a case. As part of such a process, it may be deemed necessary to provide participants with a consent form. This consent form would contain an explanation of the study, a description of what is required of the subject (e.g., an online experiment where your incentive may depend on the subject’s choices in the experiment), an explanation of any risks or harm associated with the study, and an explanation of the benefits to subject.</w:t>
      </w:r>
    </w:p>
    <w:p w:rsidR="002D34A5" w:rsidRPr="00816BA8" w:rsidP="002D34A5" w14:paraId="106F8EAE" w14:textId="77777777">
      <w:pPr>
        <w:rPr>
          <w:rFonts w:ascii="Times New Roman" w:hAnsi="Times New Roman"/>
          <w:snapToGrid/>
          <w:szCs w:val="24"/>
        </w:rPr>
      </w:pPr>
    </w:p>
    <w:p w:rsidR="002D34A5" w:rsidRPr="00816BA8" w:rsidP="00EC5028" w14:paraId="22C17185" w14:textId="3CBABD96">
      <w:pPr>
        <w:widowControl/>
        <w:rPr>
          <w:rFonts w:ascii="Times New Roman" w:hAnsi="Times New Roman"/>
          <w:snapToGrid/>
          <w:szCs w:val="24"/>
        </w:rPr>
      </w:pPr>
      <w:r w:rsidRPr="00EC5028">
        <w:rPr>
          <w:rFonts w:ascii="Times New Roman" w:hAnsi="Times New Roman"/>
          <w:snapToGrid/>
          <w:szCs w:val="24"/>
        </w:rPr>
        <w:t xml:space="preserve">11. </w:t>
      </w:r>
      <w:r w:rsidRPr="00816BA8">
        <w:rPr>
          <w:rFonts w:ascii="Times New Roman" w:hAnsi="Times New Roman"/>
          <w:snapToGrid/>
          <w:szCs w:val="24"/>
          <w:u w:val="single" w:color="000000"/>
        </w:rPr>
        <w:t>Sensitive Questions</w:t>
      </w:r>
    </w:p>
    <w:p w:rsidR="002D34A5" w:rsidRPr="00816BA8" w:rsidP="002D34A5" w14:paraId="722CB9A7" w14:textId="77777777">
      <w:pPr>
        <w:spacing w:before="10"/>
        <w:rPr>
          <w:rFonts w:ascii="Times New Roman" w:hAnsi="Times New Roman"/>
          <w:snapToGrid/>
          <w:sz w:val="17"/>
          <w:szCs w:val="17"/>
        </w:rPr>
      </w:pPr>
    </w:p>
    <w:p w:rsidR="002D34A5" w:rsidRPr="00816BA8" w:rsidP="009A4A64" w14:paraId="38DB40AB" w14:textId="2A2CE045">
      <w:pPr>
        <w:ind w:left="360" w:right="159"/>
        <w:rPr>
          <w:rFonts w:ascii="Times New Roman" w:hAnsi="Times New Roman"/>
          <w:snapToGrid/>
          <w:szCs w:val="24"/>
        </w:rPr>
      </w:pPr>
      <w:r w:rsidRPr="00816BA8">
        <w:rPr>
          <w:rFonts w:ascii="Times New Roman" w:hAnsi="Times New Roman"/>
          <w:snapToGrid/>
          <w:szCs w:val="24"/>
        </w:rPr>
        <w:t xml:space="preserve">Some studies require the inclusion of people who match selected characteristics of a target population that </w:t>
      </w:r>
      <w:r w:rsidR="00401B37">
        <w:rPr>
          <w:rFonts w:ascii="Times New Roman" w:hAnsi="Times New Roman"/>
          <w:snapToGrid/>
          <w:szCs w:val="24"/>
        </w:rPr>
        <w:t xml:space="preserve">the </w:t>
      </w:r>
      <w:r w:rsidRPr="00816BA8">
        <w:rPr>
          <w:rFonts w:ascii="Times New Roman" w:hAnsi="Times New Roman"/>
          <w:snapToGrid/>
          <w:szCs w:val="24"/>
        </w:rPr>
        <w:t>F</w:t>
      </w:r>
      <w:r w:rsidRPr="00816BA8" w:rsidR="00F17A45">
        <w:rPr>
          <w:rFonts w:ascii="Times New Roman" w:hAnsi="Times New Roman"/>
          <w:snapToGrid/>
          <w:szCs w:val="24"/>
        </w:rPr>
        <w:t>TC</w:t>
      </w:r>
      <w:r w:rsidRPr="00816BA8">
        <w:rPr>
          <w:rFonts w:ascii="Times New Roman" w:hAnsi="Times New Roman"/>
          <w:snapToGrid/>
          <w:szCs w:val="24"/>
        </w:rPr>
        <w:t xml:space="preserve"> is trying to reach. A portion, therefore, of respondents could consider questions about race, ethnicity, </w:t>
      </w:r>
      <w:r w:rsidR="0078488C">
        <w:rPr>
          <w:rFonts w:ascii="Times New Roman" w:hAnsi="Times New Roman"/>
          <w:snapToGrid/>
          <w:szCs w:val="24"/>
        </w:rPr>
        <w:t xml:space="preserve">income, or education </w:t>
      </w:r>
      <w:r w:rsidRPr="00816BA8">
        <w:rPr>
          <w:rFonts w:ascii="Times New Roman" w:hAnsi="Times New Roman"/>
          <w:snapToGrid/>
          <w:szCs w:val="24"/>
        </w:rPr>
        <w:t>characteristics to be sensitive. Where relevant to the information collection, all information collection on race/ethnicity will comply fully with the standards of OMB Statistical Policy Directive No. 15, October 1997</w:t>
      </w:r>
      <w:r w:rsidRPr="00816BA8" w:rsidR="009A4A64">
        <w:rPr>
          <w:rFonts w:ascii="Times New Roman" w:hAnsi="Times New Roman"/>
          <w:snapToGrid/>
          <w:szCs w:val="24"/>
        </w:rPr>
        <w:t xml:space="preserve">. </w:t>
      </w:r>
      <w:r w:rsidR="00E63151">
        <w:rPr>
          <w:rFonts w:ascii="Times New Roman" w:hAnsi="Times New Roman"/>
          <w:snapToGrid/>
          <w:szCs w:val="24"/>
        </w:rPr>
        <w:t>Respondents will be notified the questions are being asked in order to verify the FTC hears the thoughts and experiences of the demographic populations for whom its messages are intended, or for whom their experience is especially relevant for the topic being studied.</w:t>
      </w:r>
      <w:r w:rsidRPr="00816BA8" w:rsidR="009A4A64">
        <w:rPr>
          <w:rFonts w:ascii="Times New Roman" w:hAnsi="Times New Roman"/>
          <w:snapToGrid/>
          <w:szCs w:val="24"/>
        </w:rPr>
        <w:t xml:space="preserve"> </w:t>
      </w:r>
    </w:p>
    <w:p w:rsidR="002D34A5" w:rsidRPr="00816BA8" w:rsidP="002D34A5" w14:paraId="711097B4" w14:textId="77777777">
      <w:pPr>
        <w:rPr>
          <w:rFonts w:ascii="Times New Roman" w:hAnsi="Times New Roman"/>
          <w:snapToGrid/>
          <w:szCs w:val="24"/>
        </w:rPr>
      </w:pPr>
    </w:p>
    <w:p w:rsidR="002D34A5" w:rsidRPr="00816BA8" w:rsidP="004738F6" w14:paraId="2498C7B5" w14:textId="69302AD7">
      <w:pPr>
        <w:ind w:left="360" w:right="158"/>
        <w:rPr>
          <w:rFonts w:ascii="Times New Roman" w:hAnsi="Times New Roman"/>
          <w:snapToGrid/>
          <w:szCs w:val="24"/>
        </w:rPr>
      </w:pPr>
      <w:r w:rsidRPr="00816BA8">
        <w:rPr>
          <w:rFonts w:ascii="Times New Roman" w:hAnsi="Times New Roman"/>
          <w:snapToGrid/>
          <w:szCs w:val="24"/>
        </w:rPr>
        <w:t>Raw</w:t>
      </w:r>
      <w:r w:rsidRPr="00816BA8">
        <w:rPr>
          <w:rFonts w:ascii="Times New Roman" w:hAnsi="Times New Roman"/>
          <w:snapToGrid/>
          <w:szCs w:val="24"/>
        </w:rPr>
        <w:t xml:space="preserve"> data from data collections that may include sensitive information (for example, screening questionnaires) will not be retained once the data have been extracted and aggregated. The information never becomes part of a system of records containing permanent identifiers that can be used for retrieval.</w:t>
      </w:r>
    </w:p>
    <w:p w:rsidR="002D34A5" w:rsidRPr="00816BA8" w:rsidP="002D34A5" w14:paraId="14323336" w14:textId="77777777">
      <w:pPr>
        <w:rPr>
          <w:rFonts w:ascii="Times New Roman" w:hAnsi="Times New Roman"/>
          <w:snapToGrid/>
          <w:szCs w:val="24"/>
        </w:rPr>
      </w:pPr>
    </w:p>
    <w:p w:rsidR="002D34A5" w:rsidRPr="00816BA8" w:rsidP="00EC5028" w14:paraId="64E36AE4" w14:textId="28CD2DAC">
      <w:pPr>
        <w:widowControl/>
        <w:rPr>
          <w:rFonts w:ascii="Times New Roman" w:hAnsi="Times New Roman"/>
          <w:snapToGrid/>
          <w:szCs w:val="24"/>
        </w:rPr>
      </w:pPr>
      <w:r w:rsidRPr="00EC5028">
        <w:rPr>
          <w:rFonts w:ascii="Times New Roman" w:hAnsi="Times New Roman"/>
          <w:snapToGrid/>
          <w:szCs w:val="24"/>
        </w:rPr>
        <w:t xml:space="preserve">12. </w:t>
      </w:r>
      <w:r w:rsidR="00D73BD6">
        <w:rPr>
          <w:rFonts w:ascii="Times New Roman" w:hAnsi="Times New Roman"/>
          <w:snapToGrid/>
          <w:szCs w:val="24"/>
          <w:u w:val="single" w:color="000000"/>
        </w:rPr>
        <w:t xml:space="preserve">Burden </w:t>
      </w:r>
      <w:r w:rsidRPr="00816BA8">
        <w:rPr>
          <w:rFonts w:ascii="Times New Roman" w:hAnsi="Times New Roman"/>
          <w:snapToGrid/>
          <w:szCs w:val="24"/>
          <w:u w:val="single" w:color="000000"/>
        </w:rPr>
        <w:t>Estimate</w:t>
      </w:r>
    </w:p>
    <w:p w:rsidR="002D34A5" w:rsidRPr="00816BA8" w:rsidP="002D34A5" w14:paraId="0388A996" w14:textId="77777777">
      <w:pPr>
        <w:spacing w:before="1"/>
        <w:rPr>
          <w:rFonts w:ascii="Times New Roman" w:hAnsi="Times New Roman"/>
          <w:snapToGrid/>
          <w:sz w:val="18"/>
          <w:szCs w:val="18"/>
        </w:rPr>
      </w:pPr>
    </w:p>
    <w:p w:rsidR="002D34A5" w:rsidRPr="00816BA8" w:rsidP="009A4A64" w14:paraId="2CDEA387" w14:textId="77777777">
      <w:pPr>
        <w:spacing w:before="69"/>
        <w:ind w:firstLine="720"/>
        <w:rPr>
          <w:rFonts w:ascii="Times New Roman" w:hAnsi="Times New Roman"/>
          <w:snapToGrid/>
          <w:szCs w:val="24"/>
        </w:rPr>
      </w:pPr>
      <w:r w:rsidRPr="00816BA8">
        <w:rPr>
          <w:rFonts w:ascii="Times New Roman" w:eastAsia="Calibri" w:hAnsi="Calibri"/>
          <w:snapToGrid/>
          <w:szCs w:val="22"/>
        </w:rPr>
        <w:t>12a.  Estimated Annualized Hourly Burden</w:t>
      </w:r>
    </w:p>
    <w:p w:rsidR="002D34A5" w:rsidRPr="00816BA8" w:rsidP="002D34A5" w14:paraId="7434492F" w14:textId="77777777">
      <w:pPr>
        <w:spacing w:before="10"/>
        <w:rPr>
          <w:rFonts w:ascii="Times New Roman" w:hAnsi="Times New Roman"/>
          <w:i/>
          <w:snapToGrid/>
          <w:sz w:val="23"/>
          <w:szCs w:val="23"/>
        </w:rPr>
      </w:pPr>
    </w:p>
    <w:p w:rsidR="002D34A5" w:rsidRPr="00816BA8" w:rsidP="001555E8" w14:paraId="34A11768" w14:textId="0CE8E28D">
      <w:pPr>
        <w:spacing w:before="3"/>
        <w:ind w:left="360"/>
        <w:rPr>
          <w:rFonts w:ascii="Times New Roman" w:hAnsi="Times New Roman"/>
          <w:snapToGrid/>
          <w:szCs w:val="24"/>
        </w:rPr>
      </w:pPr>
      <w:r>
        <w:rPr>
          <w:rFonts w:ascii="Times New Roman" w:hAnsi="Times New Roman"/>
          <w:snapToGrid/>
          <w:szCs w:val="24"/>
        </w:rPr>
        <w:t xml:space="preserve">The </w:t>
      </w:r>
      <w:r w:rsidRPr="00816BA8" w:rsidR="007B64D7">
        <w:rPr>
          <w:rFonts w:ascii="Times New Roman" w:hAnsi="Times New Roman"/>
          <w:snapToGrid/>
          <w:szCs w:val="24"/>
        </w:rPr>
        <w:t>F</w:t>
      </w:r>
      <w:r w:rsidRPr="00816BA8" w:rsidR="00F17A45">
        <w:rPr>
          <w:rFonts w:ascii="Times New Roman" w:hAnsi="Times New Roman"/>
          <w:snapToGrid/>
          <w:szCs w:val="24"/>
        </w:rPr>
        <w:t xml:space="preserve">TC </w:t>
      </w:r>
      <w:r w:rsidRPr="00816BA8">
        <w:rPr>
          <w:rFonts w:ascii="Times New Roman" w:hAnsi="Times New Roman"/>
          <w:snapToGrid/>
          <w:szCs w:val="24"/>
        </w:rPr>
        <w:t>estimate</w:t>
      </w:r>
      <w:r w:rsidRPr="00816BA8" w:rsidR="007B64D7">
        <w:rPr>
          <w:rFonts w:ascii="Times New Roman" w:hAnsi="Times New Roman"/>
          <w:snapToGrid/>
          <w:szCs w:val="24"/>
        </w:rPr>
        <w:t>s</w:t>
      </w:r>
      <w:r w:rsidRPr="00816BA8">
        <w:rPr>
          <w:rFonts w:ascii="Times New Roman" w:hAnsi="Times New Roman"/>
          <w:snapToGrid/>
          <w:szCs w:val="24"/>
        </w:rPr>
        <w:t xml:space="preserve"> the total reporting burden for the information collection to be </w:t>
      </w:r>
      <w:r w:rsidR="00611FC0">
        <w:rPr>
          <w:rFonts w:ascii="Times New Roman" w:hAnsi="Times New Roman"/>
          <w:snapToGrid/>
          <w:szCs w:val="24"/>
        </w:rPr>
        <w:t>10,000</w:t>
      </w:r>
      <w:r w:rsidRPr="00816BA8" w:rsidR="00611FC0">
        <w:rPr>
          <w:rFonts w:ascii="Times New Roman" w:hAnsi="Times New Roman"/>
          <w:snapToGrid/>
          <w:szCs w:val="24"/>
        </w:rPr>
        <w:t xml:space="preserve"> </w:t>
      </w:r>
      <w:r w:rsidRPr="00816BA8">
        <w:rPr>
          <w:rFonts w:ascii="Times New Roman" w:hAnsi="Times New Roman"/>
          <w:snapToGrid/>
          <w:szCs w:val="24"/>
        </w:rPr>
        <w:t>hours</w:t>
      </w:r>
      <w:r w:rsidR="002C0613">
        <w:rPr>
          <w:rFonts w:ascii="Times New Roman" w:hAnsi="Times New Roman"/>
          <w:snapToGrid/>
          <w:szCs w:val="24"/>
        </w:rPr>
        <w:t xml:space="preserve"> across multiple collections</w:t>
      </w:r>
      <w:r w:rsidRPr="00816BA8">
        <w:rPr>
          <w:rFonts w:ascii="Times New Roman" w:hAnsi="Times New Roman"/>
          <w:snapToGrid/>
          <w:szCs w:val="24"/>
        </w:rPr>
        <w:t>.</w:t>
      </w:r>
      <w:r w:rsidRPr="00816BA8" w:rsidR="007B64D7">
        <w:rPr>
          <w:rFonts w:ascii="Times New Roman" w:hAnsi="Times New Roman"/>
          <w:snapToGrid/>
          <w:szCs w:val="24"/>
        </w:rPr>
        <w:t xml:space="preserve">  </w:t>
      </w:r>
      <w:r w:rsidRPr="00816BA8">
        <w:rPr>
          <w:rFonts w:ascii="Times New Roman" w:hAnsi="Times New Roman"/>
          <w:snapToGrid/>
          <w:szCs w:val="24"/>
        </w:rPr>
        <w:t>Respondents to the collection are primarily private individuals</w:t>
      </w:r>
      <w:r w:rsidRPr="00816BA8" w:rsidR="00F17A45">
        <w:rPr>
          <w:rFonts w:ascii="Times New Roman" w:hAnsi="Times New Roman"/>
          <w:snapToGrid/>
          <w:szCs w:val="24"/>
        </w:rPr>
        <w:t xml:space="preserve">. </w:t>
      </w:r>
      <w:r w:rsidRPr="00816BA8">
        <w:rPr>
          <w:rFonts w:ascii="Times New Roman" w:hAnsi="Times New Roman"/>
          <w:snapToGrid/>
          <w:szCs w:val="24"/>
        </w:rPr>
        <w:t xml:space="preserve">Proposed data collection methodologies are described in more detail in </w:t>
      </w:r>
      <w:r w:rsidRPr="00816BA8" w:rsidR="00754F58">
        <w:rPr>
          <w:rFonts w:ascii="Times New Roman" w:hAnsi="Times New Roman"/>
          <w:snapToGrid/>
          <w:szCs w:val="24"/>
        </w:rPr>
        <w:t>F</w:t>
      </w:r>
      <w:r w:rsidRPr="00816BA8" w:rsidR="00F17A45">
        <w:rPr>
          <w:rFonts w:ascii="Times New Roman" w:hAnsi="Times New Roman"/>
          <w:snapToGrid/>
          <w:szCs w:val="24"/>
        </w:rPr>
        <w:t>TC</w:t>
      </w:r>
      <w:r w:rsidRPr="00816BA8" w:rsidR="00754F58">
        <w:rPr>
          <w:rFonts w:ascii="Times New Roman" w:hAnsi="Times New Roman"/>
          <w:snapToGrid/>
          <w:szCs w:val="24"/>
        </w:rPr>
        <w:t>’s</w:t>
      </w:r>
      <w:r w:rsidRPr="00816BA8">
        <w:rPr>
          <w:rFonts w:ascii="Times New Roman" w:hAnsi="Times New Roman"/>
          <w:snapToGrid/>
          <w:szCs w:val="24"/>
        </w:rPr>
        <w:t xml:space="preserve"> Supporting Statement –</w:t>
      </w:r>
      <w:r w:rsidRPr="00816BA8" w:rsidR="009F1519">
        <w:rPr>
          <w:rFonts w:ascii="Times New Roman" w:hAnsi="Times New Roman"/>
          <w:snapToGrid/>
          <w:szCs w:val="24"/>
        </w:rPr>
        <w:t xml:space="preserve"> </w:t>
      </w:r>
      <w:r w:rsidRPr="00816BA8">
        <w:rPr>
          <w:rFonts w:ascii="Times New Roman" w:hAnsi="Times New Roman"/>
          <w:snapToGrid/>
          <w:szCs w:val="24"/>
        </w:rPr>
        <w:t>Part B.</w:t>
      </w:r>
    </w:p>
    <w:p w:rsidR="002D34A5" w:rsidRPr="00816BA8" w:rsidP="001555E8" w14:paraId="230BBF75" w14:textId="77777777">
      <w:pPr>
        <w:spacing w:before="3"/>
        <w:ind w:left="360"/>
        <w:rPr>
          <w:rFonts w:ascii="Times New Roman" w:hAnsi="Times New Roman"/>
          <w:snapToGrid/>
          <w:szCs w:val="24"/>
        </w:rPr>
      </w:pPr>
    </w:p>
    <w:tbl>
      <w:tblPr>
        <w:tblW w:w="90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tblPr>
      <w:tblGrid>
        <w:gridCol w:w="1795"/>
        <w:gridCol w:w="1260"/>
        <w:gridCol w:w="1450"/>
        <w:gridCol w:w="1710"/>
        <w:gridCol w:w="1890"/>
        <w:gridCol w:w="990"/>
      </w:tblGrid>
      <w:tr w14:paraId="27536502" w14:textId="77777777" w:rsidTr="00F762E0">
        <w:tblPrEx>
          <w:tblW w:w="909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tblPrEx>
        <w:trPr>
          <w:trHeight w:hRule="exact" w:val="342"/>
          <w:jc w:val="center"/>
        </w:trPr>
        <w:tc>
          <w:tcPr>
            <w:tcW w:w="9095" w:type="dxa"/>
            <w:gridSpan w:val="6"/>
          </w:tcPr>
          <w:p w:rsidR="002D34A5" w:rsidRPr="00816BA8" w:rsidP="001555E8" w14:paraId="14BCBAB5" w14:textId="67FDFB68">
            <w:pPr>
              <w:spacing w:before="3"/>
              <w:ind w:left="360"/>
              <w:jc w:val="center"/>
              <w:rPr>
                <w:rFonts w:ascii="Times New Roman" w:hAnsi="Times New Roman"/>
                <w:snapToGrid/>
                <w:sz w:val="23"/>
                <w:szCs w:val="23"/>
              </w:rPr>
            </w:pPr>
            <w:r w:rsidRPr="00816BA8">
              <w:rPr>
                <w:rFonts w:ascii="Times New Roman" w:eastAsia="Calibri" w:hAnsi="Calibri"/>
                <w:snapToGrid/>
                <w:sz w:val="23"/>
                <w:szCs w:val="22"/>
              </w:rPr>
              <w:t>Table 1.</w:t>
            </w:r>
            <w:r w:rsidRPr="00816BA8" w:rsidR="00656D08">
              <w:rPr>
                <w:rFonts w:ascii="Times New Roman" w:eastAsia="Calibri" w:hAnsi="Calibri"/>
                <w:snapToGrid/>
                <w:sz w:val="23"/>
                <w:szCs w:val="22"/>
              </w:rPr>
              <w:t>--</w:t>
            </w:r>
            <w:r w:rsidRPr="00816BA8">
              <w:rPr>
                <w:rFonts w:ascii="Times New Roman" w:eastAsia="Calibri" w:hAnsi="Calibri"/>
                <w:snapToGrid/>
                <w:sz w:val="23"/>
                <w:szCs w:val="22"/>
              </w:rPr>
              <w:t>Estimated Annual Reporting Burden</w:t>
            </w:r>
          </w:p>
        </w:tc>
      </w:tr>
      <w:tr w14:paraId="17C8DD62" w14:textId="77777777" w:rsidTr="00F762E0">
        <w:tblPrEx>
          <w:tblW w:w="9095" w:type="dxa"/>
          <w:jc w:val="center"/>
          <w:tblLayout w:type="fixed"/>
          <w:tblCellMar>
            <w:left w:w="0" w:type="dxa"/>
            <w:right w:w="0" w:type="dxa"/>
          </w:tblCellMar>
          <w:tblLook w:val="01E0"/>
        </w:tblPrEx>
        <w:trPr>
          <w:trHeight w:hRule="exact" w:val="779"/>
          <w:jc w:val="center"/>
        </w:trPr>
        <w:tc>
          <w:tcPr>
            <w:tcW w:w="1795" w:type="dxa"/>
          </w:tcPr>
          <w:p w:rsidR="002D34A5" w:rsidRPr="00816BA8" w:rsidP="001555E8" w14:paraId="4556BA7E" w14:textId="77777777">
            <w:pPr>
              <w:spacing w:before="3" w:line="249" w:lineRule="exact"/>
              <w:ind w:left="360"/>
              <w:rPr>
                <w:rFonts w:ascii="Times New Roman" w:hAnsi="Times New Roman"/>
                <w:snapToGrid/>
                <w:sz w:val="22"/>
                <w:szCs w:val="22"/>
              </w:rPr>
            </w:pPr>
            <w:r w:rsidRPr="00816BA8">
              <w:rPr>
                <w:rFonts w:ascii="Times New Roman" w:eastAsia="Calibri" w:hAnsi="Calibri"/>
                <w:snapToGrid/>
                <w:sz w:val="22"/>
                <w:szCs w:val="22"/>
              </w:rPr>
              <w:t>Activity</w:t>
            </w:r>
          </w:p>
        </w:tc>
        <w:tc>
          <w:tcPr>
            <w:tcW w:w="1260" w:type="dxa"/>
          </w:tcPr>
          <w:p w:rsidR="002D34A5" w:rsidRPr="00816BA8" w:rsidP="001555E8" w14:paraId="2B3D5987" w14:textId="77777777">
            <w:pPr>
              <w:spacing w:before="3"/>
              <w:ind w:left="360" w:right="56"/>
              <w:jc w:val="center"/>
              <w:rPr>
                <w:rFonts w:ascii="Times New Roman" w:hAnsi="Times New Roman"/>
                <w:snapToGrid/>
                <w:sz w:val="22"/>
                <w:szCs w:val="22"/>
              </w:rPr>
            </w:pPr>
            <w:r w:rsidRPr="00816BA8">
              <w:rPr>
                <w:rFonts w:ascii="Times New Roman" w:eastAsia="Calibri" w:hAnsi="Calibri"/>
                <w:snapToGrid/>
                <w:sz w:val="22"/>
                <w:szCs w:val="22"/>
              </w:rPr>
              <w:t>No. of Respondents</w:t>
            </w:r>
          </w:p>
        </w:tc>
        <w:tc>
          <w:tcPr>
            <w:tcW w:w="1450" w:type="dxa"/>
          </w:tcPr>
          <w:p w:rsidR="002D34A5" w:rsidRPr="00816BA8" w:rsidP="001555E8" w14:paraId="6BA05D24" w14:textId="77777777">
            <w:pPr>
              <w:spacing w:before="3"/>
              <w:ind w:left="360" w:right="68"/>
              <w:jc w:val="center"/>
              <w:rPr>
                <w:rFonts w:ascii="Times New Roman" w:hAnsi="Times New Roman"/>
                <w:snapToGrid/>
                <w:sz w:val="22"/>
                <w:szCs w:val="22"/>
              </w:rPr>
            </w:pPr>
            <w:r w:rsidRPr="00816BA8">
              <w:rPr>
                <w:rFonts w:ascii="Times New Roman" w:eastAsia="Calibri" w:hAnsi="Calibri"/>
                <w:snapToGrid/>
                <w:sz w:val="22"/>
                <w:szCs w:val="22"/>
              </w:rPr>
              <w:t>No. of Responses per Respondent</w:t>
            </w:r>
          </w:p>
        </w:tc>
        <w:tc>
          <w:tcPr>
            <w:tcW w:w="1710" w:type="dxa"/>
          </w:tcPr>
          <w:p w:rsidR="002D34A5" w:rsidRPr="00816BA8" w:rsidP="001555E8" w14:paraId="02222AC3" w14:textId="77777777">
            <w:pPr>
              <w:spacing w:before="3"/>
              <w:ind w:left="360" w:right="258"/>
              <w:jc w:val="center"/>
              <w:rPr>
                <w:rFonts w:ascii="Times New Roman" w:hAnsi="Times New Roman"/>
                <w:snapToGrid/>
                <w:sz w:val="22"/>
                <w:szCs w:val="22"/>
              </w:rPr>
            </w:pPr>
            <w:r w:rsidRPr="00816BA8">
              <w:rPr>
                <w:rFonts w:ascii="Times New Roman" w:eastAsia="Calibri" w:hAnsi="Calibri"/>
                <w:snapToGrid/>
                <w:sz w:val="22"/>
                <w:szCs w:val="22"/>
              </w:rPr>
              <w:t>Total Annual Responses</w:t>
            </w:r>
          </w:p>
        </w:tc>
        <w:tc>
          <w:tcPr>
            <w:tcW w:w="1890" w:type="dxa"/>
          </w:tcPr>
          <w:p w:rsidR="002D34A5" w:rsidRPr="00816BA8" w:rsidP="001555E8" w14:paraId="6FA09A8B" w14:textId="422208BC">
            <w:pPr>
              <w:spacing w:before="3"/>
              <w:ind w:left="360" w:right="46"/>
              <w:jc w:val="center"/>
              <w:rPr>
                <w:rFonts w:ascii="Times New Roman" w:hAnsi="Times New Roman"/>
                <w:snapToGrid/>
                <w:sz w:val="22"/>
                <w:szCs w:val="22"/>
              </w:rPr>
            </w:pPr>
            <w:r w:rsidRPr="00816BA8">
              <w:rPr>
                <w:rFonts w:ascii="Times New Roman" w:eastAsia="Calibri" w:hAnsi="Calibri"/>
                <w:snapToGrid/>
                <w:sz w:val="22"/>
                <w:szCs w:val="22"/>
              </w:rPr>
              <w:t xml:space="preserve">Average </w:t>
            </w:r>
            <w:r w:rsidRPr="00816BA8" w:rsidR="00656D08">
              <w:rPr>
                <w:rFonts w:ascii="Times New Roman" w:eastAsia="Calibri" w:hAnsi="Calibri"/>
                <w:snapToGrid/>
                <w:sz w:val="22"/>
                <w:szCs w:val="22"/>
              </w:rPr>
              <w:t>B</w:t>
            </w:r>
            <w:r w:rsidRPr="00816BA8">
              <w:rPr>
                <w:rFonts w:ascii="Times New Roman" w:eastAsia="Calibri" w:hAnsi="Calibri"/>
                <w:snapToGrid/>
                <w:sz w:val="22"/>
                <w:szCs w:val="22"/>
              </w:rPr>
              <w:t xml:space="preserve">urden per </w:t>
            </w:r>
            <w:r w:rsidRPr="00816BA8" w:rsidR="00656D08">
              <w:rPr>
                <w:rFonts w:ascii="Times New Roman" w:eastAsia="Calibri" w:hAnsi="Calibri"/>
                <w:snapToGrid/>
                <w:sz w:val="22"/>
                <w:szCs w:val="22"/>
              </w:rPr>
              <w:t>R</w:t>
            </w:r>
            <w:r w:rsidRPr="00816BA8">
              <w:rPr>
                <w:rFonts w:ascii="Times New Roman" w:eastAsia="Calibri" w:hAnsi="Calibri"/>
                <w:snapToGrid/>
                <w:sz w:val="22"/>
                <w:szCs w:val="22"/>
              </w:rPr>
              <w:t>esponse</w:t>
            </w:r>
            <w:r w:rsidR="00FE43FF">
              <w:rPr>
                <w:rFonts w:ascii="Times New Roman" w:eastAsia="Calibri" w:hAnsi="Calibri"/>
                <w:snapToGrid/>
                <w:sz w:val="22"/>
                <w:szCs w:val="22"/>
              </w:rPr>
              <w:t xml:space="preserve"> (minutes)</w:t>
            </w:r>
          </w:p>
        </w:tc>
        <w:tc>
          <w:tcPr>
            <w:tcW w:w="990" w:type="dxa"/>
          </w:tcPr>
          <w:p w:rsidR="002D34A5" w:rsidRPr="00816BA8" w:rsidP="001555E8" w14:paraId="7F55C08D" w14:textId="77777777">
            <w:pPr>
              <w:spacing w:before="3"/>
              <w:ind w:left="360" w:right="213"/>
              <w:jc w:val="center"/>
              <w:rPr>
                <w:rFonts w:ascii="Times New Roman" w:hAnsi="Times New Roman"/>
                <w:snapToGrid/>
                <w:sz w:val="22"/>
                <w:szCs w:val="22"/>
              </w:rPr>
            </w:pPr>
            <w:r w:rsidRPr="00816BA8">
              <w:rPr>
                <w:rFonts w:ascii="Times New Roman" w:eastAsia="Calibri" w:hAnsi="Calibri"/>
                <w:snapToGrid/>
                <w:sz w:val="22"/>
                <w:szCs w:val="22"/>
              </w:rPr>
              <w:t>Total Hours</w:t>
            </w:r>
          </w:p>
        </w:tc>
      </w:tr>
      <w:tr w14:paraId="1C4194A8" w14:textId="77777777" w:rsidTr="00F762E0">
        <w:tblPrEx>
          <w:tblW w:w="9095" w:type="dxa"/>
          <w:jc w:val="center"/>
          <w:tblLayout w:type="fixed"/>
          <w:tblCellMar>
            <w:left w:w="0" w:type="dxa"/>
            <w:right w:w="0" w:type="dxa"/>
          </w:tblCellMar>
          <w:tblLook w:val="01E0"/>
        </w:tblPrEx>
        <w:trPr>
          <w:trHeight w:hRule="exact" w:val="335"/>
          <w:jc w:val="center"/>
        </w:trPr>
        <w:tc>
          <w:tcPr>
            <w:tcW w:w="1795" w:type="dxa"/>
          </w:tcPr>
          <w:p w:rsidR="002D34A5" w:rsidRPr="00816BA8" w:rsidP="001555E8" w14:paraId="0FE1AB55" w14:textId="77777777">
            <w:pPr>
              <w:spacing w:before="3" w:line="249" w:lineRule="exact"/>
              <w:ind w:left="360"/>
              <w:rPr>
                <w:rFonts w:ascii="Times New Roman" w:hAnsi="Times New Roman"/>
                <w:snapToGrid/>
                <w:sz w:val="22"/>
                <w:szCs w:val="22"/>
              </w:rPr>
            </w:pPr>
            <w:r w:rsidRPr="00816BA8">
              <w:rPr>
                <w:rFonts w:ascii="Times New Roman" w:eastAsia="Calibri" w:hAnsi="Calibri"/>
                <w:snapToGrid/>
                <w:sz w:val="22"/>
                <w:szCs w:val="22"/>
              </w:rPr>
              <w:t>Interviews/Surveys</w:t>
            </w:r>
          </w:p>
        </w:tc>
        <w:tc>
          <w:tcPr>
            <w:tcW w:w="1260" w:type="dxa"/>
          </w:tcPr>
          <w:p w:rsidR="002D34A5" w:rsidRPr="00816BA8" w:rsidP="001555E8" w14:paraId="5F768E3B" w14:textId="5E16B681">
            <w:pPr>
              <w:spacing w:before="3" w:line="249" w:lineRule="exact"/>
              <w:ind w:left="360"/>
              <w:jc w:val="center"/>
              <w:rPr>
                <w:rFonts w:ascii="Times New Roman" w:hAnsi="Times New Roman"/>
                <w:snapToGrid/>
                <w:sz w:val="22"/>
                <w:szCs w:val="22"/>
              </w:rPr>
            </w:pPr>
            <w:r>
              <w:rPr>
                <w:rFonts w:ascii="Times New Roman" w:eastAsia="Calibri" w:hAnsi="Calibri"/>
                <w:snapToGrid/>
                <w:sz w:val="22"/>
                <w:szCs w:val="22"/>
              </w:rPr>
              <w:t>20,000</w:t>
            </w:r>
          </w:p>
        </w:tc>
        <w:tc>
          <w:tcPr>
            <w:tcW w:w="1450" w:type="dxa"/>
          </w:tcPr>
          <w:p w:rsidR="002D34A5" w:rsidRPr="00816BA8" w:rsidP="001555E8" w14:paraId="623B49AB" w14:textId="2A414E2D">
            <w:pPr>
              <w:spacing w:before="3" w:line="249" w:lineRule="exact"/>
              <w:ind w:left="360"/>
              <w:jc w:val="center"/>
              <w:rPr>
                <w:rFonts w:ascii="Times New Roman" w:hAnsi="Times New Roman"/>
                <w:snapToGrid/>
                <w:sz w:val="22"/>
                <w:szCs w:val="22"/>
              </w:rPr>
            </w:pPr>
            <w:r>
              <w:rPr>
                <w:rFonts w:ascii="Times New Roman" w:eastAsia="Calibri" w:hAnsi="Calibri"/>
                <w:snapToGrid/>
                <w:sz w:val="22"/>
                <w:szCs w:val="22"/>
              </w:rPr>
              <w:t>1</w:t>
            </w:r>
          </w:p>
        </w:tc>
        <w:tc>
          <w:tcPr>
            <w:tcW w:w="1710" w:type="dxa"/>
          </w:tcPr>
          <w:p w:rsidR="002D34A5" w:rsidRPr="00816BA8" w:rsidP="001555E8" w14:paraId="178615F7" w14:textId="307582D3">
            <w:pPr>
              <w:spacing w:before="3" w:line="249" w:lineRule="exact"/>
              <w:ind w:left="360"/>
              <w:jc w:val="center"/>
              <w:rPr>
                <w:rFonts w:ascii="Times New Roman" w:hAnsi="Times New Roman"/>
                <w:snapToGrid/>
                <w:sz w:val="22"/>
                <w:szCs w:val="22"/>
              </w:rPr>
            </w:pPr>
            <w:r>
              <w:rPr>
                <w:rFonts w:ascii="Times New Roman" w:eastAsia="Calibri" w:hAnsi="Calibri"/>
                <w:snapToGrid/>
                <w:sz w:val="22"/>
                <w:szCs w:val="22"/>
              </w:rPr>
              <w:t>20,000</w:t>
            </w:r>
          </w:p>
        </w:tc>
        <w:tc>
          <w:tcPr>
            <w:tcW w:w="1890" w:type="dxa"/>
          </w:tcPr>
          <w:p w:rsidR="002D34A5" w:rsidRPr="00816BA8" w:rsidP="001555E8" w14:paraId="0E056D57" w14:textId="68309C1D">
            <w:pPr>
              <w:spacing w:before="3" w:line="249" w:lineRule="exact"/>
              <w:ind w:left="360"/>
              <w:jc w:val="center"/>
              <w:rPr>
                <w:rFonts w:ascii="Times New Roman" w:hAnsi="Times New Roman"/>
                <w:snapToGrid/>
                <w:sz w:val="22"/>
                <w:szCs w:val="22"/>
              </w:rPr>
            </w:pPr>
            <w:r>
              <w:rPr>
                <w:rFonts w:ascii="Times New Roman" w:eastAsia="Calibri" w:hAnsi="Calibri"/>
                <w:snapToGrid/>
                <w:sz w:val="22"/>
                <w:szCs w:val="22"/>
              </w:rPr>
              <w:t>30</w:t>
            </w:r>
          </w:p>
        </w:tc>
        <w:tc>
          <w:tcPr>
            <w:tcW w:w="990" w:type="dxa"/>
          </w:tcPr>
          <w:p w:rsidR="002D34A5" w:rsidRPr="00816BA8" w:rsidP="001555E8" w14:paraId="01405676" w14:textId="337F3E26">
            <w:pPr>
              <w:spacing w:before="3" w:line="249" w:lineRule="exact"/>
              <w:ind w:left="360"/>
              <w:jc w:val="center"/>
              <w:rPr>
                <w:rFonts w:ascii="Times New Roman" w:hAnsi="Times New Roman"/>
                <w:snapToGrid/>
                <w:sz w:val="22"/>
                <w:szCs w:val="22"/>
              </w:rPr>
            </w:pPr>
            <w:r>
              <w:rPr>
                <w:rFonts w:ascii="Times New Roman" w:eastAsia="Calibri" w:hAnsi="Calibri"/>
                <w:snapToGrid/>
                <w:sz w:val="22"/>
                <w:szCs w:val="22"/>
              </w:rPr>
              <w:t>10,000</w:t>
            </w:r>
          </w:p>
        </w:tc>
      </w:tr>
    </w:tbl>
    <w:p w:rsidR="002D34A5" w:rsidRPr="00816BA8" w:rsidP="001555E8" w14:paraId="1AF0B5D2" w14:textId="77777777">
      <w:pPr>
        <w:spacing w:before="3"/>
        <w:ind w:left="360"/>
        <w:rPr>
          <w:rFonts w:ascii="Times New Roman" w:hAnsi="Times New Roman"/>
          <w:snapToGrid/>
          <w:sz w:val="17"/>
          <w:szCs w:val="17"/>
        </w:rPr>
      </w:pPr>
    </w:p>
    <w:p w:rsidR="002D34A5" w:rsidRPr="00816BA8" w:rsidP="001555E8" w14:paraId="1F7BEE87" w14:textId="4B71CA98">
      <w:pPr>
        <w:widowControl/>
        <w:spacing w:before="3"/>
        <w:ind w:left="360" w:firstLine="720"/>
        <w:rPr>
          <w:rFonts w:ascii="Times New Roman" w:hAnsi="Times New Roman"/>
          <w:snapToGrid/>
          <w:szCs w:val="24"/>
        </w:rPr>
      </w:pPr>
      <w:r w:rsidRPr="00816BA8">
        <w:rPr>
          <w:rFonts w:ascii="Times New Roman" w:hAnsi="Times New Roman"/>
          <w:snapToGrid/>
          <w:szCs w:val="24"/>
        </w:rPr>
        <w:t>12</w:t>
      </w:r>
      <w:r w:rsidRPr="00816BA8">
        <w:rPr>
          <w:rFonts w:ascii="Times New Roman" w:hAnsi="Times New Roman"/>
          <w:snapToGrid/>
          <w:szCs w:val="24"/>
        </w:rPr>
        <w:t>b</w:t>
      </w:r>
      <w:r w:rsidRPr="00816BA8">
        <w:rPr>
          <w:rFonts w:ascii="Times New Roman" w:eastAsia="Calibri" w:hAnsi="Calibri"/>
          <w:snapToGrid/>
          <w:szCs w:val="22"/>
        </w:rPr>
        <w:t xml:space="preserve">. Estimated </w:t>
      </w:r>
      <w:r w:rsidRPr="00816BA8">
        <w:rPr>
          <w:rFonts w:ascii="Times New Roman" w:eastAsia="Calibri" w:hAnsi="Calibri"/>
          <w:caps/>
          <w:snapToGrid/>
          <w:szCs w:val="22"/>
        </w:rPr>
        <w:t>A</w:t>
      </w:r>
      <w:r w:rsidRPr="00816BA8">
        <w:rPr>
          <w:rFonts w:ascii="Times New Roman" w:eastAsia="Calibri" w:hAnsi="Calibri"/>
          <w:snapToGrid/>
          <w:szCs w:val="22"/>
        </w:rPr>
        <w:t xml:space="preserve">nnual </w:t>
      </w:r>
      <w:r w:rsidRPr="00816BA8">
        <w:rPr>
          <w:rFonts w:ascii="Times New Roman" w:eastAsia="Calibri" w:hAnsi="Calibri"/>
          <w:snapToGrid/>
          <w:szCs w:val="22"/>
        </w:rPr>
        <w:t>C</w:t>
      </w:r>
      <w:r w:rsidRPr="00816BA8">
        <w:rPr>
          <w:rFonts w:ascii="Times New Roman" w:eastAsia="Calibri" w:hAnsi="Calibri"/>
          <w:snapToGrid/>
          <w:szCs w:val="22"/>
        </w:rPr>
        <w:t xml:space="preserve">ost </w:t>
      </w:r>
      <w:r w:rsidRPr="00816BA8">
        <w:rPr>
          <w:rFonts w:ascii="Times New Roman" w:eastAsia="Calibri" w:hAnsi="Calibri"/>
          <w:snapToGrid/>
          <w:szCs w:val="22"/>
        </w:rPr>
        <w:t>B</w:t>
      </w:r>
      <w:r w:rsidRPr="00816BA8">
        <w:rPr>
          <w:rFonts w:ascii="Times New Roman" w:eastAsia="Calibri" w:hAnsi="Calibri"/>
          <w:snapToGrid/>
          <w:szCs w:val="22"/>
        </w:rPr>
        <w:t>urden</w:t>
      </w:r>
    </w:p>
    <w:p w:rsidR="002D34A5" w:rsidRPr="00816BA8" w:rsidP="001555E8" w14:paraId="707A79D5" w14:textId="77777777">
      <w:pPr>
        <w:spacing w:before="10"/>
        <w:ind w:left="360"/>
        <w:rPr>
          <w:rFonts w:ascii="Times New Roman" w:hAnsi="Times New Roman"/>
          <w:i/>
          <w:snapToGrid/>
          <w:sz w:val="23"/>
          <w:szCs w:val="23"/>
        </w:rPr>
      </w:pPr>
    </w:p>
    <w:p w:rsidR="002D34A5" w:rsidRPr="00816BA8" w:rsidP="001555E8" w14:paraId="25A0DF32" w14:textId="46E2AC96">
      <w:pPr>
        <w:ind w:left="360" w:right="238"/>
        <w:rPr>
          <w:rFonts w:ascii="Times New Roman" w:hAnsi="Times New Roman"/>
          <w:snapToGrid/>
          <w:szCs w:val="24"/>
        </w:rPr>
      </w:pPr>
      <w:r w:rsidRPr="00816BA8">
        <w:rPr>
          <w:rFonts w:ascii="Times New Roman" w:hAnsi="Times New Roman"/>
          <w:snapToGrid/>
          <w:szCs w:val="24"/>
        </w:rPr>
        <w:t xml:space="preserve">We estimate no annualized cost </w:t>
      </w:r>
      <w:r w:rsidRPr="00816BA8">
        <w:rPr>
          <w:rFonts w:ascii="Times New Roman" w:hAnsi="Times New Roman"/>
          <w:snapToGrid/>
          <w:szCs w:val="24"/>
        </w:rPr>
        <w:t>to</w:t>
      </w:r>
      <w:r w:rsidRPr="00816BA8">
        <w:rPr>
          <w:rFonts w:ascii="Times New Roman" w:hAnsi="Times New Roman"/>
          <w:snapToGrid/>
          <w:szCs w:val="24"/>
        </w:rPr>
        <w:t xml:space="preserve"> respondents for the information collection. </w:t>
      </w:r>
      <w:r w:rsidRPr="00816BA8" w:rsidR="00F17A45">
        <w:rPr>
          <w:rFonts w:ascii="Times New Roman" w:hAnsi="Times New Roman"/>
          <w:snapToGrid/>
          <w:szCs w:val="24"/>
        </w:rPr>
        <w:t>As</w:t>
      </w:r>
      <w:r w:rsidRPr="00816BA8">
        <w:rPr>
          <w:rFonts w:ascii="Times New Roman" w:hAnsi="Times New Roman"/>
          <w:snapToGrid/>
          <w:szCs w:val="24"/>
        </w:rPr>
        <w:t xml:space="preserve"> discussed more fully in Question 9 of this supporting statement, any amounts and justifications for any incentives associated with the information collection will be determined on an individual project basis and will be supported by research indicating that incentives are useful for the particular </w:t>
      </w:r>
      <w:r w:rsidRPr="00816BA8" w:rsidR="00F17A45">
        <w:rPr>
          <w:rFonts w:ascii="Times New Roman" w:hAnsi="Times New Roman"/>
          <w:snapToGrid/>
          <w:szCs w:val="24"/>
        </w:rPr>
        <w:t>data collection proposed by that individual project.</w:t>
      </w:r>
    </w:p>
    <w:p w:rsidR="002D34A5" w:rsidRPr="00816BA8" w:rsidP="001555E8" w14:paraId="279F584F" w14:textId="77777777">
      <w:pPr>
        <w:ind w:left="360"/>
        <w:rPr>
          <w:rFonts w:ascii="Times New Roman" w:hAnsi="Times New Roman"/>
          <w:snapToGrid/>
          <w:szCs w:val="24"/>
        </w:rPr>
      </w:pPr>
    </w:p>
    <w:p w:rsidR="002D34A5" w:rsidRPr="00816BA8" w:rsidP="00EC5028" w14:paraId="270B8BB1" w14:textId="464581A6">
      <w:pPr>
        <w:tabs>
          <w:tab w:val="left" w:pos="541"/>
        </w:tabs>
        <w:rPr>
          <w:rFonts w:ascii="Times New Roman" w:hAnsi="Times New Roman"/>
          <w:snapToGrid/>
          <w:szCs w:val="24"/>
        </w:rPr>
      </w:pPr>
      <w:r w:rsidRPr="00EC5028">
        <w:rPr>
          <w:rFonts w:ascii="Times New Roman" w:hAnsi="Times New Roman"/>
          <w:snapToGrid/>
          <w:szCs w:val="24"/>
        </w:rPr>
        <w:t xml:space="preserve">13. </w:t>
      </w:r>
      <w:r w:rsidRPr="00816BA8">
        <w:rPr>
          <w:rFonts w:ascii="Times New Roman" w:hAnsi="Times New Roman"/>
          <w:snapToGrid/>
          <w:szCs w:val="24"/>
          <w:u w:val="single" w:color="000000"/>
        </w:rPr>
        <w:t>Estimates of Other Total Annual Cost Burden to Respondents or Recordkeepers</w:t>
      </w:r>
    </w:p>
    <w:p w:rsidR="002D34A5" w:rsidRPr="00816BA8" w:rsidP="001555E8" w14:paraId="00FAD999" w14:textId="77777777">
      <w:pPr>
        <w:spacing w:before="11"/>
        <w:ind w:left="360"/>
        <w:rPr>
          <w:rFonts w:ascii="Times New Roman" w:hAnsi="Times New Roman"/>
          <w:snapToGrid/>
          <w:sz w:val="17"/>
          <w:szCs w:val="17"/>
        </w:rPr>
      </w:pPr>
    </w:p>
    <w:p w:rsidR="002D34A5" w:rsidRPr="00816BA8" w:rsidP="001555E8" w14:paraId="327A8352" w14:textId="77777777">
      <w:pPr>
        <w:ind w:left="360" w:right="245"/>
        <w:rPr>
          <w:rFonts w:ascii="Times New Roman" w:hAnsi="Times New Roman"/>
          <w:snapToGrid/>
          <w:szCs w:val="24"/>
        </w:rPr>
      </w:pPr>
      <w:r w:rsidRPr="00816BA8">
        <w:rPr>
          <w:rFonts w:ascii="Times New Roman" w:hAnsi="Times New Roman"/>
          <w:snapToGrid/>
          <w:szCs w:val="24"/>
        </w:rPr>
        <w:t>No capital or start-up costs will be incurred by respondents as a result of the information collection request.</w:t>
      </w:r>
    </w:p>
    <w:p w:rsidR="002D34A5" w:rsidRPr="00816BA8" w:rsidP="001555E8" w14:paraId="210CB83C" w14:textId="77777777">
      <w:pPr>
        <w:ind w:left="360"/>
        <w:rPr>
          <w:rFonts w:ascii="Times New Roman" w:hAnsi="Times New Roman"/>
          <w:snapToGrid/>
          <w:szCs w:val="24"/>
        </w:rPr>
      </w:pPr>
    </w:p>
    <w:p w:rsidR="002D34A5" w:rsidRPr="00816BA8" w:rsidP="00EC5028" w14:paraId="000493CE" w14:textId="45F70298">
      <w:pPr>
        <w:tabs>
          <w:tab w:val="left" w:pos="540"/>
        </w:tabs>
        <w:rPr>
          <w:rFonts w:ascii="Times New Roman" w:hAnsi="Times New Roman"/>
          <w:snapToGrid/>
          <w:szCs w:val="24"/>
        </w:rPr>
      </w:pPr>
      <w:r w:rsidRPr="00EC5028">
        <w:rPr>
          <w:rFonts w:ascii="Times New Roman" w:hAnsi="Times New Roman"/>
          <w:snapToGrid/>
          <w:szCs w:val="24"/>
        </w:rPr>
        <w:t xml:space="preserve">14. </w:t>
      </w:r>
      <w:r w:rsidRPr="00816BA8">
        <w:rPr>
          <w:rFonts w:ascii="Times New Roman" w:hAnsi="Times New Roman"/>
          <w:snapToGrid/>
          <w:szCs w:val="24"/>
          <w:u w:val="single" w:color="000000"/>
        </w:rPr>
        <w:t>Annualized Cost to the Federal Government</w:t>
      </w:r>
    </w:p>
    <w:p w:rsidR="002D34A5" w:rsidRPr="00816BA8" w:rsidP="001555E8" w14:paraId="4AA6F1EE" w14:textId="77777777">
      <w:pPr>
        <w:spacing w:before="11"/>
        <w:ind w:left="360"/>
        <w:rPr>
          <w:rFonts w:ascii="Times New Roman" w:hAnsi="Times New Roman"/>
          <w:snapToGrid/>
          <w:sz w:val="17"/>
          <w:szCs w:val="17"/>
        </w:rPr>
      </w:pPr>
    </w:p>
    <w:p w:rsidR="002D34A5" w:rsidRPr="00816BA8" w:rsidP="001555E8" w14:paraId="785C1654" w14:textId="371530A0">
      <w:pPr>
        <w:spacing w:before="69"/>
        <w:ind w:left="360" w:right="158"/>
        <w:rPr>
          <w:rFonts w:ascii="Times New Roman" w:hAnsi="Times New Roman"/>
          <w:snapToGrid/>
          <w:szCs w:val="24"/>
        </w:rPr>
      </w:pPr>
      <w:r>
        <w:rPr>
          <w:rFonts w:ascii="Times New Roman" w:hAnsi="Times New Roman"/>
          <w:snapToGrid/>
          <w:szCs w:val="24"/>
        </w:rPr>
        <w:t xml:space="preserve">For each data collection that falls under this generic clearance, costs to the Federal government will be estimated and reported </w:t>
      </w:r>
      <w:r w:rsidRPr="0078488C">
        <w:rPr>
          <w:rFonts w:ascii="Times New Roman" w:hAnsi="Times New Roman"/>
          <w:snapToGrid/>
          <w:szCs w:val="24"/>
        </w:rPr>
        <w:t xml:space="preserve">in the </w:t>
      </w:r>
      <w:r w:rsidR="00FD19CE">
        <w:rPr>
          <w:rFonts w:ascii="Times New Roman" w:hAnsi="Times New Roman"/>
          <w:snapToGrid/>
          <w:szCs w:val="24"/>
        </w:rPr>
        <w:t xml:space="preserve">Generic </w:t>
      </w:r>
      <w:r w:rsidR="000C745D">
        <w:rPr>
          <w:rFonts w:ascii="Times New Roman" w:hAnsi="Times New Roman"/>
          <w:snapToGrid/>
          <w:szCs w:val="24"/>
        </w:rPr>
        <w:t>I</w:t>
      </w:r>
      <w:r w:rsidR="00E10AF5">
        <w:rPr>
          <w:rFonts w:ascii="Times New Roman" w:hAnsi="Times New Roman"/>
          <w:snapToGrid/>
          <w:szCs w:val="24"/>
        </w:rPr>
        <w:t xml:space="preserve">nformation </w:t>
      </w:r>
      <w:r w:rsidR="000C745D">
        <w:rPr>
          <w:rFonts w:ascii="Times New Roman" w:hAnsi="Times New Roman"/>
          <w:snapToGrid/>
          <w:szCs w:val="24"/>
        </w:rPr>
        <w:t>C</w:t>
      </w:r>
      <w:r w:rsidR="00E10AF5">
        <w:rPr>
          <w:rFonts w:ascii="Times New Roman" w:hAnsi="Times New Roman"/>
          <w:snapToGrid/>
          <w:szCs w:val="24"/>
        </w:rPr>
        <w:t>ollection</w:t>
      </w:r>
      <w:r w:rsidRPr="0078488C" w:rsidR="003F218E">
        <w:rPr>
          <w:rFonts w:ascii="Times New Roman" w:hAnsi="Times New Roman"/>
          <w:snapToGrid/>
          <w:szCs w:val="24"/>
        </w:rPr>
        <w:t xml:space="preserve"> </w:t>
      </w:r>
      <w:r w:rsidR="000C745D">
        <w:rPr>
          <w:rFonts w:ascii="Times New Roman" w:hAnsi="Times New Roman"/>
          <w:snapToGrid/>
          <w:szCs w:val="24"/>
        </w:rPr>
        <w:t>T</w:t>
      </w:r>
      <w:r w:rsidRPr="0078488C" w:rsidR="003F218E">
        <w:rPr>
          <w:rFonts w:ascii="Times New Roman" w:hAnsi="Times New Roman"/>
          <w:snapToGrid/>
          <w:szCs w:val="24"/>
        </w:rPr>
        <w:t xml:space="preserve">emplate </w:t>
      </w:r>
      <w:r w:rsidRPr="0078488C">
        <w:rPr>
          <w:rFonts w:ascii="Times New Roman" w:hAnsi="Times New Roman"/>
          <w:snapToGrid/>
          <w:szCs w:val="24"/>
        </w:rPr>
        <w:t xml:space="preserve">statement </w:t>
      </w:r>
      <w:r w:rsidR="00E10AF5">
        <w:rPr>
          <w:rFonts w:ascii="Times New Roman" w:hAnsi="Times New Roman"/>
          <w:snapToGrid/>
          <w:szCs w:val="24"/>
        </w:rPr>
        <w:t xml:space="preserve">to be </w:t>
      </w:r>
      <w:r w:rsidRPr="0078488C">
        <w:rPr>
          <w:rFonts w:ascii="Times New Roman" w:hAnsi="Times New Roman"/>
          <w:snapToGrid/>
          <w:szCs w:val="24"/>
        </w:rPr>
        <w:t>provided to OMB for each information collection to be conducted.</w:t>
      </w:r>
    </w:p>
    <w:p w:rsidR="002D34A5" w:rsidRPr="00816BA8" w:rsidP="001555E8" w14:paraId="7FD18774" w14:textId="77777777">
      <w:pPr>
        <w:ind w:left="360"/>
        <w:rPr>
          <w:rFonts w:ascii="Times New Roman" w:hAnsi="Times New Roman"/>
          <w:snapToGrid/>
          <w:szCs w:val="24"/>
        </w:rPr>
      </w:pPr>
    </w:p>
    <w:p w:rsidR="002D34A5" w:rsidRPr="00EC5028" w:rsidP="00EC5028" w14:paraId="24465F8F" w14:textId="775386DB">
      <w:pPr>
        <w:tabs>
          <w:tab w:val="left" w:pos="541"/>
        </w:tabs>
        <w:rPr>
          <w:rFonts w:ascii="Times New Roman" w:hAnsi="Times New Roman"/>
          <w:snapToGrid/>
          <w:szCs w:val="24"/>
        </w:rPr>
      </w:pPr>
      <w:r w:rsidRPr="00EC5028">
        <w:rPr>
          <w:rFonts w:ascii="Times New Roman" w:hAnsi="Times New Roman"/>
          <w:snapToGrid/>
          <w:szCs w:val="24"/>
        </w:rPr>
        <w:t xml:space="preserve">15. </w:t>
      </w:r>
      <w:r w:rsidRPr="00EC5028">
        <w:rPr>
          <w:rFonts w:ascii="Times New Roman" w:hAnsi="Times New Roman"/>
          <w:snapToGrid/>
          <w:szCs w:val="24"/>
          <w:u w:val="single" w:color="000000"/>
        </w:rPr>
        <w:t>Explanation for Program Changes or Adjustments</w:t>
      </w:r>
    </w:p>
    <w:p w:rsidR="002D34A5" w:rsidRPr="00816BA8" w:rsidP="001555E8" w14:paraId="3ACCB283" w14:textId="77777777">
      <w:pPr>
        <w:spacing w:before="11"/>
        <w:ind w:left="360"/>
        <w:rPr>
          <w:rFonts w:ascii="Times New Roman" w:hAnsi="Times New Roman"/>
          <w:snapToGrid/>
          <w:sz w:val="17"/>
          <w:szCs w:val="17"/>
        </w:rPr>
      </w:pPr>
    </w:p>
    <w:p w:rsidR="00EA2C3F" w:rsidRPr="00816BA8" w:rsidP="001555E8" w14:paraId="413CE8FE" w14:textId="42F746E3">
      <w:pPr>
        <w:spacing w:before="69"/>
        <w:ind w:left="360" w:right="158"/>
        <w:rPr>
          <w:rFonts w:ascii="Times New Roman" w:hAnsi="Times New Roman"/>
          <w:snapToGrid/>
          <w:szCs w:val="24"/>
        </w:rPr>
      </w:pPr>
      <w:r>
        <w:rPr>
          <w:rFonts w:ascii="Times New Roman" w:hAnsi="Times New Roman"/>
          <w:snapToGrid/>
          <w:szCs w:val="24"/>
        </w:rPr>
        <w:t>This is n</w:t>
      </w:r>
      <w:r w:rsidRPr="00816BA8" w:rsidR="00F17A45">
        <w:rPr>
          <w:rFonts w:ascii="Times New Roman" w:hAnsi="Times New Roman"/>
          <w:snapToGrid/>
          <w:szCs w:val="24"/>
        </w:rPr>
        <w:t>ot applicable.</w:t>
      </w:r>
      <w:r>
        <w:rPr>
          <w:rFonts w:ascii="Times New Roman" w:hAnsi="Times New Roman"/>
          <w:snapToGrid/>
          <w:szCs w:val="24"/>
        </w:rPr>
        <w:t xml:space="preserve">  This is a newly proposed collection.</w:t>
      </w:r>
    </w:p>
    <w:p w:rsidR="002D34A5" w:rsidRPr="00816BA8" w:rsidP="001555E8" w14:paraId="5FEEE2E6" w14:textId="77777777">
      <w:pPr>
        <w:ind w:left="360"/>
        <w:rPr>
          <w:rFonts w:ascii="Times New Roman" w:hAnsi="Times New Roman"/>
          <w:snapToGrid/>
          <w:szCs w:val="24"/>
        </w:rPr>
      </w:pPr>
    </w:p>
    <w:p w:rsidR="002D34A5" w:rsidRPr="00816BA8" w:rsidP="00EC5028" w14:paraId="6A837FD9" w14:textId="06CEED07">
      <w:pPr>
        <w:tabs>
          <w:tab w:val="left" w:pos="541"/>
        </w:tabs>
        <w:rPr>
          <w:rFonts w:ascii="Times New Roman" w:hAnsi="Times New Roman"/>
          <w:snapToGrid/>
          <w:szCs w:val="24"/>
        </w:rPr>
      </w:pPr>
      <w:r w:rsidRPr="00EC5028">
        <w:rPr>
          <w:rFonts w:ascii="Times New Roman" w:hAnsi="Times New Roman"/>
          <w:snapToGrid/>
          <w:szCs w:val="24"/>
        </w:rPr>
        <w:t xml:space="preserve">16. </w:t>
      </w:r>
      <w:r w:rsidR="00B74069">
        <w:rPr>
          <w:rFonts w:ascii="Times New Roman" w:hAnsi="Times New Roman"/>
          <w:snapToGrid/>
          <w:szCs w:val="24"/>
          <w:u w:val="single" w:color="000000"/>
        </w:rPr>
        <w:t>Publicizing Results</w:t>
      </w:r>
    </w:p>
    <w:p w:rsidR="002D34A5" w:rsidRPr="00816BA8" w:rsidP="007A5EAB" w14:paraId="51CC900E" w14:textId="77777777">
      <w:pPr>
        <w:spacing w:before="11"/>
        <w:ind w:left="360"/>
        <w:rPr>
          <w:rFonts w:ascii="Times New Roman" w:hAnsi="Times New Roman"/>
          <w:snapToGrid/>
          <w:sz w:val="17"/>
          <w:szCs w:val="17"/>
        </w:rPr>
      </w:pPr>
    </w:p>
    <w:p w:rsidR="002D34A5" w:rsidRPr="00816BA8" w:rsidP="001555E8" w14:paraId="2FBF5C54" w14:textId="4C6E703A">
      <w:pPr>
        <w:spacing w:before="69"/>
        <w:ind w:left="360" w:right="30"/>
        <w:rPr>
          <w:rFonts w:ascii="Times New Roman" w:hAnsi="Times New Roman"/>
          <w:snapToGrid/>
          <w:szCs w:val="24"/>
        </w:rPr>
      </w:pPr>
      <w:r w:rsidRPr="00816BA8">
        <w:rPr>
          <w:rFonts w:ascii="Times New Roman" w:hAnsi="Times New Roman"/>
          <w:snapToGrid/>
          <w:szCs w:val="24"/>
        </w:rPr>
        <w:t xml:space="preserve">The process for developing the analytical plan for social and behavioral research is similar to that used in any formal evaluation. The staff will discuss the objectives with the </w:t>
      </w:r>
      <w:r w:rsidR="0078488C">
        <w:rPr>
          <w:rFonts w:ascii="Times New Roman" w:hAnsi="Times New Roman"/>
          <w:snapToGrid/>
          <w:szCs w:val="24"/>
        </w:rPr>
        <w:t>FTC staff</w:t>
      </w:r>
      <w:r w:rsidR="000C745D">
        <w:rPr>
          <w:rFonts w:ascii="Times New Roman" w:hAnsi="Times New Roman"/>
          <w:snapToGrid/>
          <w:szCs w:val="24"/>
        </w:rPr>
        <w:t xml:space="preserve"> or contractors</w:t>
      </w:r>
      <w:r w:rsidRPr="00816BA8">
        <w:rPr>
          <w:rFonts w:ascii="Times New Roman" w:hAnsi="Times New Roman"/>
          <w:snapToGrid/>
          <w:szCs w:val="24"/>
        </w:rPr>
        <w:t xml:space="preserve"> responsible for developing the materials, determine the analytic questions to be addressed, and then prepare the procedures, instruments, and data analysis plan. The analyses conducted for each project will be determined by the objectives, the </w:t>
      </w:r>
      <w:r w:rsidR="00E63151">
        <w:rPr>
          <w:rFonts w:ascii="Times New Roman" w:hAnsi="Times New Roman"/>
          <w:snapToGrid/>
          <w:szCs w:val="24"/>
        </w:rPr>
        <w:t xml:space="preserve">potential </w:t>
      </w:r>
      <w:r w:rsidRPr="00816BA8">
        <w:rPr>
          <w:rFonts w:ascii="Times New Roman" w:hAnsi="Times New Roman"/>
          <w:snapToGrid/>
          <w:szCs w:val="24"/>
        </w:rPr>
        <w:t>messages being tested</w:t>
      </w:r>
      <w:r w:rsidR="00E63151">
        <w:rPr>
          <w:rFonts w:ascii="Times New Roman" w:hAnsi="Times New Roman"/>
          <w:snapToGrid/>
          <w:szCs w:val="24"/>
        </w:rPr>
        <w:t xml:space="preserve"> (as well as </w:t>
      </w:r>
      <w:r w:rsidRPr="00816BA8" w:rsidR="00E63151">
        <w:rPr>
          <w:rFonts w:ascii="Times New Roman" w:hAnsi="Times New Roman"/>
          <w:snapToGrid/>
          <w:szCs w:val="24"/>
        </w:rPr>
        <w:t>the audience for the messages</w:t>
      </w:r>
      <w:r w:rsidR="00E63151">
        <w:rPr>
          <w:rFonts w:ascii="Times New Roman" w:hAnsi="Times New Roman"/>
          <w:snapToGrid/>
          <w:szCs w:val="24"/>
        </w:rPr>
        <w:t>)</w:t>
      </w:r>
      <w:r w:rsidRPr="00816BA8">
        <w:rPr>
          <w:rFonts w:ascii="Times New Roman" w:hAnsi="Times New Roman"/>
          <w:snapToGrid/>
          <w:szCs w:val="24"/>
        </w:rPr>
        <w:t xml:space="preserve"> or the questions being asked. Specifics of the analyses cannot be determined until t</w:t>
      </w:r>
      <w:r w:rsidR="00842538">
        <w:rPr>
          <w:rFonts w:ascii="Times New Roman" w:hAnsi="Times New Roman"/>
          <w:snapToGrid/>
          <w:szCs w:val="24"/>
        </w:rPr>
        <w:t>he specific instrument being deployed is designed</w:t>
      </w:r>
      <w:r w:rsidRPr="00816BA8">
        <w:rPr>
          <w:rFonts w:ascii="Times New Roman" w:hAnsi="Times New Roman"/>
          <w:snapToGrid/>
          <w:szCs w:val="24"/>
        </w:rPr>
        <w:t>.</w:t>
      </w:r>
      <w:r w:rsidR="0078488C">
        <w:rPr>
          <w:rFonts w:ascii="Times New Roman" w:hAnsi="Times New Roman"/>
          <w:snapToGrid/>
          <w:szCs w:val="24"/>
        </w:rPr>
        <w:t xml:space="preserve"> However, analyses will be specified </w:t>
      </w:r>
      <w:r w:rsidRPr="0078488C" w:rsidR="0078488C">
        <w:rPr>
          <w:rFonts w:ascii="Times New Roman" w:hAnsi="Times New Roman"/>
          <w:snapToGrid/>
          <w:szCs w:val="24"/>
        </w:rPr>
        <w:t xml:space="preserve">in the </w:t>
      </w:r>
      <w:r w:rsidR="00FD19CE">
        <w:rPr>
          <w:rFonts w:ascii="Times New Roman" w:hAnsi="Times New Roman"/>
          <w:snapToGrid/>
          <w:szCs w:val="24"/>
        </w:rPr>
        <w:t xml:space="preserve">Generic </w:t>
      </w:r>
      <w:r w:rsidRPr="0078488C" w:rsidR="000C745D">
        <w:rPr>
          <w:rFonts w:ascii="Times New Roman" w:hAnsi="Times New Roman"/>
          <w:snapToGrid/>
          <w:szCs w:val="24"/>
        </w:rPr>
        <w:t>I</w:t>
      </w:r>
      <w:r w:rsidR="000C745D">
        <w:rPr>
          <w:rFonts w:ascii="Times New Roman" w:hAnsi="Times New Roman"/>
          <w:snapToGrid/>
          <w:szCs w:val="24"/>
        </w:rPr>
        <w:t xml:space="preserve">nformation </w:t>
      </w:r>
      <w:r w:rsidRPr="0078488C" w:rsidR="000C745D">
        <w:rPr>
          <w:rFonts w:ascii="Times New Roman" w:hAnsi="Times New Roman"/>
          <w:snapToGrid/>
          <w:szCs w:val="24"/>
        </w:rPr>
        <w:t>C</w:t>
      </w:r>
      <w:r w:rsidR="000C745D">
        <w:rPr>
          <w:rFonts w:ascii="Times New Roman" w:hAnsi="Times New Roman"/>
          <w:snapToGrid/>
          <w:szCs w:val="24"/>
        </w:rPr>
        <w:t>ollection</w:t>
      </w:r>
      <w:r w:rsidR="00FD19CE">
        <w:rPr>
          <w:rFonts w:ascii="Times New Roman" w:hAnsi="Times New Roman"/>
          <w:snapToGrid/>
          <w:szCs w:val="24"/>
        </w:rPr>
        <w:t xml:space="preserve"> </w:t>
      </w:r>
      <w:r w:rsidRPr="0078488C" w:rsidR="000C745D">
        <w:rPr>
          <w:rFonts w:ascii="Times New Roman" w:hAnsi="Times New Roman"/>
          <w:snapToGrid/>
          <w:szCs w:val="24"/>
        </w:rPr>
        <w:t xml:space="preserve">Template </w:t>
      </w:r>
      <w:r w:rsidRPr="0078488C" w:rsidR="0078488C">
        <w:rPr>
          <w:rFonts w:ascii="Times New Roman" w:hAnsi="Times New Roman"/>
          <w:snapToGrid/>
          <w:szCs w:val="24"/>
        </w:rPr>
        <w:t xml:space="preserve">statement </w:t>
      </w:r>
      <w:r w:rsidR="000C745D">
        <w:rPr>
          <w:rFonts w:ascii="Times New Roman" w:hAnsi="Times New Roman"/>
          <w:snapToGrid/>
          <w:szCs w:val="24"/>
        </w:rPr>
        <w:t xml:space="preserve">to be </w:t>
      </w:r>
      <w:r w:rsidRPr="0078488C" w:rsidR="0078488C">
        <w:rPr>
          <w:rFonts w:ascii="Times New Roman" w:hAnsi="Times New Roman"/>
          <w:snapToGrid/>
          <w:szCs w:val="24"/>
        </w:rPr>
        <w:t xml:space="preserve">provided to OMB for each information collection </w:t>
      </w:r>
      <w:r w:rsidR="000C745D">
        <w:rPr>
          <w:rFonts w:ascii="Times New Roman" w:hAnsi="Times New Roman"/>
          <w:snapToGrid/>
          <w:szCs w:val="24"/>
        </w:rPr>
        <w:t xml:space="preserve">that will </w:t>
      </w:r>
      <w:r w:rsidR="00C64E25">
        <w:rPr>
          <w:rFonts w:ascii="Times New Roman" w:hAnsi="Times New Roman"/>
          <w:snapToGrid/>
          <w:szCs w:val="24"/>
        </w:rPr>
        <w:t>be</w:t>
      </w:r>
      <w:r w:rsidRPr="0078488C" w:rsidR="0078488C">
        <w:rPr>
          <w:rFonts w:ascii="Times New Roman" w:hAnsi="Times New Roman"/>
          <w:snapToGrid/>
          <w:szCs w:val="24"/>
        </w:rPr>
        <w:t xml:space="preserve"> conducted under this generic authorization.</w:t>
      </w:r>
    </w:p>
    <w:p w:rsidR="002D34A5" w:rsidRPr="00816BA8" w:rsidP="001555E8" w14:paraId="5B45C3ED" w14:textId="77777777">
      <w:pPr>
        <w:ind w:left="360"/>
        <w:rPr>
          <w:rFonts w:ascii="Times New Roman" w:hAnsi="Times New Roman"/>
          <w:snapToGrid/>
          <w:szCs w:val="24"/>
        </w:rPr>
      </w:pPr>
    </w:p>
    <w:p w:rsidR="002D34A5" w:rsidP="001555E8" w14:paraId="1E7A4AE5" w14:textId="35A3654E">
      <w:pPr>
        <w:ind w:left="360" w:right="224"/>
        <w:rPr>
          <w:rFonts w:ascii="Times New Roman" w:hAnsi="Times New Roman"/>
          <w:snapToGrid/>
          <w:szCs w:val="24"/>
        </w:rPr>
      </w:pPr>
      <w:r w:rsidRPr="00816BA8">
        <w:rPr>
          <w:rFonts w:ascii="Times New Roman" w:hAnsi="Times New Roman"/>
          <w:snapToGrid/>
          <w:szCs w:val="24"/>
        </w:rPr>
        <w:t>Techniques include primarily qualitative analyses (for example, content analysis for in-depth interviews), although some results, such as those from self-administered surveys, are summarized quantitatively using descriptive statistics. In cases where quantitative data is collected, descriptive statistics—including percentages, cross tabulations, and averages</w:t>
      </w:r>
      <w:r w:rsidRPr="00816BA8" w:rsidR="009A4A64">
        <w:rPr>
          <w:rFonts w:ascii="Times New Roman" w:hAnsi="Times New Roman"/>
          <w:snapToGrid/>
          <w:szCs w:val="24"/>
        </w:rPr>
        <w:t>--</w:t>
      </w:r>
      <w:r w:rsidRPr="00816BA8">
        <w:rPr>
          <w:rFonts w:ascii="Times New Roman" w:hAnsi="Times New Roman"/>
          <w:snapToGrid/>
          <w:szCs w:val="24"/>
        </w:rPr>
        <w:t>will be calculated and presented, along with demographic descriptions of study respondents.</w:t>
      </w:r>
    </w:p>
    <w:p w:rsidR="007A5EAB" w:rsidRPr="00816BA8" w:rsidP="001555E8" w14:paraId="105F0944" w14:textId="77777777">
      <w:pPr>
        <w:ind w:left="360" w:right="224"/>
        <w:rPr>
          <w:rFonts w:ascii="Times New Roman" w:hAnsi="Times New Roman"/>
          <w:snapToGrid/>
          <w:szCs w:val="24"/>
        </w:rPr>
      </w:pPr>
    </w:p>
    <w:p w:rsidR="002D34A5" w:rsidRPr="00816BA8" w:rsidP="001555E8" w14:paraId="5497E6F7" w14:textId="77777777">
      <w:pPr>
        <w:ind w:left="360" w:right="185"/>
        <w:rPr>
          <w:rFonts w:ascii="Times New Roman" w:hAnsi="Times New Roman"/>
          <w:snapToGrid/>
          <w:szCs w:val="24"/>
        </w:rPr>
      </w:pPr>
      <w:r w:rsidRPr="00816BA8">
        <w:rPr>
          <w:rFonts w:ascii="Times New Roman" w:hAnsi="Times New Roman"/>
          <w:snapToGrid/>
          <w:szCs w:val="24"/>
        </w:rPr>
        <w:t>Information collected from study participants may be subjected to subgroup analyses to uncover potential differences among key groups (defined by gender, age, race/ethnicity, etc.). Statistical analyses may be conducted using cross-tabulation procedures with categorical variables (e.g., chi-square) and between-group procedures with continuous variables (e.g., ANOVA and t tests). Parametric statistical tests will be used in the case of sufficient sample sizes, normal distributions, and continuous or interval data; non-parametric procedures will be used otherwise. All of the analyses will be done in the context of understanding the limitations of the sampling and data collection methods.</w:t>
      </w:r>
    </w:p>
    <w:p w:rsidR="00F762E0" w:rsidRPr="00816BA8" w:rsidP="001555E8" w14:paraId="7B5D8FCD" w14:textId="77777777">
      <w:pPr>
        <w:ind w:left="360"/>
        <w:rPr>
          <w:rFonts w:ascii="Times New Roman" w:hAnsi="Times New Roman"/>
          <w:snapToGrid/>
          <w:szCs w:val="24"/>
        </w:rPr>
      </w:pPr>
    </w:p>
    <w:p w:rsidR="002D34A5" w:rsidRPr="00816BA8" w:rsidP="007A5EAB" w14:paraId="10138FB4" w14:textId="1C1C5D61">
      <w:pPr>
        <w:ind w:left="360" w:right="230"/>
        <w:rPr>
          <w:rFonts w:ascii="Times New Roman" w:hAnsi="Times New Roman"/>
          <w:snapToGrid/>
          <w:szCs w:val="24"/>
        </w:rPr>
      </w:pPr>
      <w:r w:rsidRPr="00816BA8">
        <w:rPr>
          <w:rFonts w:ascii="Times New Roman" w:hAnsi="Times New Roman"/>
          <w:snapToGrid/>
          <w:szCs w:val="24"/>
        </w:rPr>
        <w:t xml:space="preserve">While the primary purpose of this data collection is to gather information on </w:t>
      </w:r>
      <w:r w:rsidRPr="00816BA8" w:rsidR="00F17A45">
        <w:rPr>
          <w:rFonts w:ascii="Times New Roman" w:hAnsi="Times New Roman"/>
          <w:snapToGrid/>
          <w:szCs w:val="24"/>
        </w:rPr>
        <w:t>consumer behavior</w:t>
      </w:r>
      <w:r w:rsidRPr="00816BA8">
        <w:rPr>
          <w:rFonts w:ascii="Times New Roman" w:hAnsi="Times New Roman"/>
          <w:snapToGrid/>
          <w:szCs w:val="24"/>
        </w:rPr>
        <w:t xml:space="preserve"> via social and behavioral research to support </w:t>
      </w:r>
      <w:r w:rsidRPr="00816BA8" w:rsidR="00F17A45">
        <w:rPr>
          <w:rFonts w:ascii="Times New Roman" w:hAnsi="Times New Roman"/>
          <w:snapToGrid/>
          <w:szCs w:val="24"/>
        </w:rPr>
        <w:t>FTC enforcement</w:t>
      </w:r>
      <w:r w:rsidR="00842538">
        <w:rPr>
          <w:rFonts w:ascii="Times New Roman" w:hAnsi="Times New Roman"/>
          <w:snapToGrid/>
          <w:szCs w:val="24"/>
        </w:rPr>
        <w:t xml:space="preserve">, </w:t>
      </w:r>
      <w:r w:rsidRPr="00816BA8" w:rsidR="00F17A45">
        <w:rPr>
          <w:rFonts w:ascii="Times New Roman" w:hAnsi="Times New Roman"/>
          <w:snapToGrid/>
          <w:szCs w:val="24"/>
        </w:rPr>
        <w:t>rulemaking</w:t>
      </w:r>
      <w:r w:rsidR="00842538">
        <w:rPr>
          <w:rFonts w:ascii="Times New Roman" w:hAnsi="Times New Roman"/>
          <w:snapToGrid/>
          <w:szCs w:val="24"/>
        </w:rPr>
        <w:t>, and messaging initiatives</w:t>
      </w:r>
      <w:r w:rsidRPr="00816BA8">
        <w:rPr>
          <w:rFonts w:ascii="Times New Roman" w:hAnsi="Times New Roman"/>
          <w:snapToGrid/>
          <w:szCs w:val="24"/>
        </w:rPr>
        <w:t xml:space="preserve">, </w:t>
      </w:r>
      <w:r w:rsidR="000C65A3">
        <w:rPr>
          <w:rFonts w:ascii="Times New Roman" w:hAnsi="Times New Roman"/>
          <w:snapToGrid/>
          <w:szCs w:val="24"/>
        </w:rPr>
        <w:t xml:space="preserve">the </w:t>
      </w:r>
      <w:r w:rsidRPr="00816BA8">
        <w:rPr>
          <w:rFonts w:ascii="Times New Roman" w:hAnsi="Times New Roman"/>
          <w:snapToGrid/>
          <w:szCs w:val="24"/>
        </w:rPr>
        <w:t>F</w:t>
      </w:r>
      <w:r w:rsidRPr="00816BA8" w:rsidR="00F17A45">
        <w:rPr>
          <w:rFonts w:ascii="Times New Roman" w:hAnsi="Times New Roman"/>
          <w:snapToGrid/>
          <w:szCs w:val="24"/>
        </w:rPr>
        <w:t>TC</w:t>
      </w:r>
      <w:r w:rsidRPr="00816BA8">
        <w:rPr>
          <w:rFonts w:ascii="Times New Roman" w:hAnsi="Times New Roman"/>
          <w:snapToGrid/>
          <w:szCs w:val="24"/>
        </w:rPr>
        <w:t xml:space="preserve"> will make results available to </w:t>
      </w:r>
      <w:r w:rsidRPr="00816BA8" w:rsidR="00F17A45">
        <w:rPr>
          <w:rFonts w:ascii="Times New Roman" w:hAnsi="Times New Roman"/>
          <w:snapToGrid/>
          <w:szCs w:val="24"/>
        </w:rPr>
        <w:t>economists and other associated individuals</w:t>
      </w:r>
      <w:r w:rsidRPr="00816BA8">
        <w:rPr>
          <w:rFonts w:ascii="Times New Roman" w:hAnsi="Times New Roman"/>
          <w:snapToGrid/>
          <w:szCs w:val="24"/>
        </w:rPr>
        <w:t xml:space="preserve"> at </w:t>
      </w:r>
      <w:r w:rsidR="000C65A3">
        <w:rPr>
          <w:rFonts w:ascii="Times New Roman" w:hAnsi="Times New Roman"/>
          <w:snapToGrid/>
          <w:szCs w:val="24"/>
        </w:rPr>
        <w:t>g</w:t>
      </w:r>
      <w:r w:rsidRPr="00816BA8">
        <w:rPr>
          <w:rFonts w:ascii="Times New Roman" w:hAnsi="Times New Roman"/>
          <w:snapToGrid/>
          <w:szCs w:val="24"/>
        </w:rPr>
        <w:t xml:space="preserve">overnment agencies, voluntary organizations, </w:t>
      </w:r>
      <w:r w:rsidRPr="00816BA8" w:rsidR="00F17A45">
        <w:rPr>
          <w:rFonts w:ascii="Times New Roman" w:hAnsi="Times New Roman"/>
          <w:snapToGrid/>
          <w:szCs w:val="24"/>
        </w:rPr>
        <w:t>think tanks, and academic institutions</w:t>
      </w:r>
      <w:r w:rsidRPr="00816BA8">
        <w:rPr>
          <w:rFonts w:ascii="Times New Roman" w:hAnsi="Times New Roman"/>
          <w:snapToGrid/>
          <w:szCs w:val="24"/>
        </w:rPr>
        <w:t>. In addition, F</w:t>
      </w:r>
      <w:r w:rsidRPr="00816BA8" w:rsidR="00F17A45">
        <w:rPr>
          <w:rFonts w:ascii="Times New Roman" w:hAnsi="Times New Roman"/>
          <w:snapToGrid/>
          <w:szCs w:val="24"/>
        </w:rPr>
        <w:t>TC</w:t>
      </w:r>
      <w:r w:rsidRPr="00816BA8">
        <w:rPr>
          <w:rFonts w:ascii="Times New Roman" w:hAnsi="Times New Roman"/>
          <w:snapToGrid/>
          <w:szCs w:val="24"/>
        </w:rPr>
        <w:t xml:space="preserve"> </w:t>
      </w:r>
      <w:r w:rsidR="00917BDE">
        <w:rPr>
          <w:rFonts w:ascii="Times New Roman" w:hAnsi="Times New Roman"/>
          <w:snapToGrid/>
          <w:szCs w:val="24"/>
        </w:rPr>
        <w:t xml:space="preserve">staff </w:t>
      </w:r>
      <w:r w:rsidRPr="00816BA8">
        <w:rPr>
          <w:rFonts w:ascii="Times New Roman" w:hAnsi="Times New Roman"/>
          <w:snapToGrid/>
          <w:szCs w:val="24"/>
        </w:rPr>
        <w:t>and contractors may present the findings at relevant professional association meetings or publish results in professional journals</w:t>
      </w:r>
      <w:r w:rsidR="003312A3">
        <w:rPr>
          <w:rFonts w:ascii="Times New Roman" w:hAnsi="Times New Roman"/>
          <w:snapToGrid/>
          <w:szCs w:val="24"/>
        </w:rPr>
        <w:t>.</w:t>
      </w:r>
      <w:r w:rsidRPr="00816BA8">
        <w:rPr>
          <w:rFonts w:ascii="Times New Roman" w:hAnsi="Times New Roman"/>
          <w:snapToGrid/>
          <w:szCs w:val="24"/>
        </w:rPr>
        <w:t xml:space="preserve"> In </w:t>
      </w:r>
      <w:r w:rsidRPr="00816BA8">
        <w:rPr>
          <w:rFonts w:ascii="Times New Roman" w:hAnsi="Times New Roman"/>
          <w:snapToGrid/>
          <w:szCs w:val="24"/>
        </w:rPr>
        <w:t xml:space="preserve">any findings presented at professional association meetings or in professional journals, </w:t>
      </w:r>
      <w:r w:rsidR="00917BDE">
        <w:rPr>
          <w:rFonts w:ascii="Times New Roman" w:hAnsi="Times New Roman"/>
          <w:snapToGrid/>
          <w:szCs w:val="24"/>
        </w:rPr>
        <w:t xml:space="preserve">the </w:t>
      </w:r>
      <w:r w:rsidRPr="00816BA8">
        <w:rPr>
          <w:rFonts w:ascii="Times New Roman" w:hAnsi="Times New Roman"/>
          <w:snapToGrid/>
          <w:szCs w:val="24"/>
        </w:rPr>
        <w:t>F</w:t>
      </w:r>
      <w:r w:rsidRPr="00816BA8" w:rsidR="00864F3A">
        <w:rPr>
          <w:rFonts w:ascii="Times New Roman" w:hAnsi="Times New Roman"/>
          <w:snapToGrid/>
          <w:szCs w:val="24"/>
        </w:rPr>
        <w:t>TC</w:t>
      </w:r>
      <w:r w:rsidRPr="00816BA8">
        <w:rPr>
          <w:rFonts w:ascii="Times New Roman" w:hAnsi="Times New Roman"/>
          <w:snapToGrid/>
          <w:szCs w:val="24"/>
        </w:rPr>
        <w:t xml:space="preserve"> will state the limitations of the data based on the sampling and data collection methods used.</w:t>
      </w:r>
    </w:p>
    <w:p w:rsidR="002D34A5" w:rsidRPr="00816BA8" w:rsidP="002D34A5" w14:paraId="597C95C0" w14:textId="77777777">
      <w:pPr>
        <w:rPr>
          <w:rFonts w:ascii="Times New Roman" w:hAnsi="Times New Roman"/>
          <w:snapToGrid/>
          <w:szCs w:val="24"/>
        </w:rPr>
      </w:pPr>
    </w:p>
    <w:p w:rsidR="002D34A5" w:rsidRPr="00816BA8" w:rsidP="001555E8" w14:paraId="103520F1" w14:textId="4B67D38C">
      <w:pPr>
        <w:spacing w:before="11"/>
        <w:rPr>
          <w:rFonts w:ascii="Times New Roman" w:hAnsi="Times New Roman"/>
          <w:snapToGrid/>
          <w:sz w:val="17"/>
          <w:szCs w:val="17"/>
        </w:rPr>
      </w:pPr>
      <w:r w:rsidRPr="001555E8">
        <w:rPr>
          <w:rFonts w:ascii="Times New Roman" w:hAnsi="Times New Roman"/>
          <w:snapToGrid/>
          <w:szCs w:val="24"/>
        </w:rPr>
        <w:t xml:space="preserve">17. </w:t>
      </w:r>
      <w:r w:rsidRPr="00336FD7" w:rsidR="00336FD7">
        <w:rPr>
          <w:rFonts w:ascii="Times New Roman" w:hAnsi="Times New Roman"/>
          <w:snapToGrid/>
          <w:szCs w:val="24"/>
          <w:u w:val="single" w:color="000000"/>
        </w:rPr>
        <w:t>Display of the Expiration Date for OMB Approval</w:t>
      </w:r>
    </w:p>
    <w:p w:rsidR="007A5EAB" w:rsidP="007A5EAB" w14:paraId="52BDBE68" w14:textId="77777777">
      <w:pPr>
        <w:spacing w:before="11"/>
        <w:rPr>
          <w:rFonts w:ascii="Times New Roman" w:hAnsi="Times New Roman"/>
          <w:snapToGrid/>
          <w:szCs w:val="24"/>
        </w:rPr>
      </w:pPr>
    </w:p>
    <w:p w:rsidR="002D34A5" w:rsidRPr="00816BA8" w:rsidP="007A5EAB" w14:paraId="613D7F90" w14:textId="6A9434E2">
      <w:pPr>
        <w:spacing w:before="11"/>
        <w:ind w:left="360"/>
        <w:rPr>
          <w:rFonts w:ascii="Times New Roman" w:hAnsi="Times New Roman"/>
          <w:snapToGrid/>
          <w:szCs w:val="24"/>
        </w:rPr>
      </w:pPr>
      <w:r w:rsidRPr="00816BA8">
        <w:rPr>
          <w:rFonts w:ascii="Times New Roman" w:hAnsi="Times New Roman"/>
          <w:snapToGrid/>
          <w:szCs w:val="24"/>
        </w:rPr>
        <w:t>The OMB expiration date will be displayed on the collection instruments.</w:t>
      </w:r>
    </w:p>
    <w:p w:rsidR="002C2734" w:rsidRPr="00816BA8" w:rsidP="001555E8" w14:paraId="1B8B5B75" w14:textId="3EFF3A10">
      <w:pPr>
        <w:spacing w:before="69"/>
        <w:ind w:left="360" w:firstLine="120"/>
        <w:rPr>
          <w:rFonts w:ascii="Times New Roman" w:hAnsi="Times New Roman"/>
          <w:snapToGrid/>
          <w:szCs w:val="24"/>
        </w:rPr>
      </w:pPr>
    </w:p>
    <w:p w:rsidR="00595DE3" w:rsidRPr="00816BA8" w:rsidP="001555E8" w14:paraId="3362F2B0" w14:textId="692B8FED">
      <w:pPr>
        <w:spacing w:before="69"/>
        <w:rPr>
          <w:rFonts w:ascii="Times New Roman" w:hAnsi="Times New Roman"/>
          <w:snapToGrid/>
          <w:szCs w:val="24"/>
        </w:rPr>
      </w:pPr>
      <w:r w:rsidRPr="00816BA8">
        <w:rPr>
          <w:rFonts w:ascii="Times New Roman" w:hAnsi="Times New Roman"/>
          <w:snapToGrid/>
          <w:szCs w:val="24"/>
        </w:rPr>
        <w:t xml:space="preserve">18. </w:t>
      </w:r>
      <w:r w:rsidRPr="00816BA8">
        <w:rPr>
          <w:rFonts w:ascii="Times New Roman" w:hAnsi="Times New Roman"/>
          <w:snapToGrid/>
          <w:szCs w:val="24"/>
          <w:u w:val="single"/>
        </w:rPr>
        <w:t>Exceptions to Certification for Paperwork Reduction Act Submission</w:t>
      </w:r>
    </w:p>
    <w:p w:rsidR="00595DE3" w:rsidRPr="00816BA8" w:rsidP="001555E8" w14:paraId="477561F1" w14:textId="241CB6C3">
      <w:pPr>
        <w:spacing w:before="69"/>
        <w:ind w:left="360"/>
        <w:rPr>
          <w:rFonts w:ascii="Times New Roman" w:hAnsi="Times New Roman"/>
          <w:snapToGrid/>
          <w:szCs w:val="24"/>
        </w:rPr>
      </w:pPr>
    </w:p>
    <w:p w:rsidR="00595DE3" w:rsidRPr="00816BA8" w:rsidP="007A5EAB" w14:paraId="0C0E854E" w14:textId="125B8B4F">
      <w:pPr>
        <w:spacing w:before="69"/>
        <w:ind w:left="360"/>
        <w:rPr>
          <w:rFonts w:ascii="Times New Roman" w:hAnsi="Times New Roman"/>
          <w:snapToGrid/>
        </w:rPr>
      </w:pPr>
      <w:r w:rsidRPr="00816BA8">
        <w:rPr>
          <w:rFonts w:ascii="Times New Roman" w:hAnsi="Times New Roman"/>
          <w:snapToGrid/>
        </w:rPr>
        <w:t>There are no exceptions to the certification.</w:t>
      </w:r>
    </w:p>
    <w:p w:rsidR="00405DE2" w:rsidRPr="00816BA8" w:rsidP="00595DE3" w14:paraId="4804CD9E" w14:textId="7B50F4EC">
      <w:pPr>
        <w:spacing w:before="69"/>
        <w:rPr>
          <w:rFonts w:ascii="Times New Roman" w:hAnsi="Times New Roman"/>
          <w:snapToGrid/>
        </w:rPr>
      </w:pPr>
    </w:p>
    <w:p w:rsidR="00405DE2" w:rsidRPr="00816BA8" w:rsidP="0078488C" w14:paraId="6BD0E95C" w14:textId="4FC2E074">
      <w:pPr>
        <w:spacing w:before="69"/>
        <w:jc w:val="center"/>
        <w:rPr>
          <w:rFonts w:ascii="Times New Roman" w:hAnsi="Times New Roman"/>
          <w:snapToGrid/>
        </w:rPr>
      </w:pPr>
      <w:r w:rsidRPr="00816BA8">
        <w:rPr>
          <w:rFonts w:ascii="Times New Roman" w:hAnsi="Times New Roman"/>
          <w:snapToGrid/>
        </w:rPr>
        <w:t>References</w:t>
      </w:r>
    </w:p>
    <w:p w:rsidR="00405DE2" w:rsidRPr="00816BA8" w:rsidP="00405DE2" w14:paraId="2CFB730A" w14:textId="4579057F">
      <w:pPr>
        <w:spacing w:before="69"/>
        <w:ind w:left="720" w:hanging="720"/>
        <w:rPr>
          <w:rFonts w:ascii="Times New Roman" w:hAnsi="Times New Roman"/>
          <w:snapToGrid/>
        </w:rPr>
      </w:pPr>
      <w:r w:rsidRPr="00816BA8">
        <w:rPr>
          <w:rFonts w:ascii="Times New Roman" w:hAnsi="Times New Roman"/>
          <w:snapToGrid/>
        </w:rPr>
        <w:t>Camerer, C. F., &amp; Hogarth, R. M. (1999). The effects of financial incentives in experiments: A review and capital-labor-production framework. Journal of risk and uncertainty, 19(1-3), 7-42.</w:t>
      </w:r>
    </w:p>
    <w:p w:rsidR="00405DE2" w:rsidRPr="00816BA8" w:rsidP="00405DE2" w14:paraId="65CCC279" w14:textId="584D6A7F">
      <w:pPr>
        <w:spacing w:before="69"/>
        <w:ind w:left="720" w:hanging="720"/>
        <w:rPr>
          <w:rFonts w:ascii="Times New Roman" w:hAnsi="Times New Roman"/>
          <w:snapToGrid/>
        </w:rPr>
      </w:pPr>
      <w:r w:rsidRPr="00816BA8">
        <w:rPr>
          <w:rFonts w:ascii="Times New Roman" w:hAnsi="Times New Roman"/>
          <w:snapToGrid/>
        </w:rPr>
        <w:t>Harrison, G. W., &amp; Rutström, E. E. (2008). Experimental evidence on the existence of hypothetical bias in value elicitation methods. Handbook of experimental economics results, 1, 752-767.</w:t>
      </w:r>
    </w:p>
    <w:p w:rsidR="00405DE2" w:rsidRPr="00816BA8" w:rsidP="00405DE2" w14:paraId="7B4D7C63" w14:textId="77777777">
      <w:pPr>
        <w:spacing w:before="69"/>
        <w:ind w:left="720" w:hanging="720"/>
        <w:rPr>
          <w:rFonts w:ascii="Times New Roman" w:hAnsi="Times New Roman"/>
          <w:snapToGrid/>
        </w:rPr>
      </w:pPr>
      <w:r w:rsidRPr="00816BA8">
        <w:rPr>
          <w:rFonts w:ascii="Times New Roman" w:hAnsi="Times New Roman"/>
          <w:snapToGrid/>
        </w:rPr>
        <w:t>Holt, Charles A., and Susan K. Laury. "Risk aversion and incentive effects." American economic review 92, no. 5 (2002): 1644-1655.</w:t>
      </w:r>
    </w:p>
    <w:p w:rsidR="00405DE2" w:rsidRPr="00F762E0" w:rsidP="00405DE2" w14:paraId="0229B54F" w14:textId="66A9D966">
      <w:pPr>
        <w:spacing w:before="69"/>
        <w:ind w:left="720" w:hanging="720"/>
        <w:rPr>
          <w:rFonts w:ascii="Times New Roman" w:hAnsi="Times New Roman"/>
          <w:snapToGrid/>
        </w:rPr>
      </w:pPr>
      <w:r w:rsidRPr="00816BA8">
        <w:rPr>
          <w:rFonts w:ascii="Times New Roman" w:hAnsi="Times New Roman"/>
          <w:snapToGrid/>
        </w:rPr>
        <w:t>List, J. (2001). “Do Explicit Warnings Eliminate the Hypothetical Bias in Elicitation Procedures?  Evidence from Field Auctions for Sportscards,” American Economic Review, 91(5): 1498-1507.</w:t>
      </w:r>
    </w:p>
    <w:sectPr>
      <w:footerReference w:type="default" r:id="rId9"/>
      <w:endnotePr>
        <w:numFmt w:val="decimal"/>
      </w:endnotePr>
      <w:pgSz w:w="12240" w:h="15840"/>
      <w:pgMar w:top="1440" w:right="1440" w:bottom="108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4A5" w14:paraId="489B0199" w14:textId="77777777">
    <w:pPr>
      <w:spacing w:line="240" w:lineRule="exact"/>
    </w:pPr>
  </w:p>
  <w:p w:rsidR="002D34A5" w:rsidRPr="00A235C7" w14:paraId="7D99393F" w14:textId="3C56B00F">
    <w:pPr>
      <w:framePr w:w="9361" w:wrap="notBeside" w:vAnchor="text" w:hAnchor="text" w:x="1" w:y="1"/>
      <w:jc w:val="center"/>
      <w:rPr>
        <w:rFonts w:ascii="Times New Roman" w:hAnsi="Times New Roman"/>
      </w:rPr>
    </w:pPr>
    <w:r w:rsidRPr="00A235C7">
      <w:rPr>
        <w:rFonts w:ascii="Times New Roman" w:hAnsi="Times New Roman"/>
      </w:rPr>
      <w:fldChar w:fldCharType="begin"/>
    </w:r>
    <w:r w:rsidRPr="00A235C7">
      <w:rPr>
        <w:rFonts w:ascii="Times New Roman" w:hAnsi="Times New Roman"/>
      </w:rPr>
      <w:instrText xml:space="preserve">PAGE </w:instrText>
    </w:r>
    <w:r w:rsidRPr="00A235C7">
      <w:rPr>
        <w:rFonts w:ascii="Times New Roman" w:hAnsi="Times New Roman"/>
      </w:rPr>
      <w:fldChar w:fldCharType="separate"/>
    </w:r>
    <w:r w:rsidR="008E1C8F">
      <w:rPr>
        <w:rFonts w:ascii="Times New Roman" w:hAnsi="Times New Roman"/>
        <w:noProof/>
      </w:rPr>
      <w:t>1</w:t>
    </w:r>
    <w:r w:rsidRPr="00A235C7">
      <w:rPr>
        <w:rFonts w:ascii="Times New Roman" w:hAnsi="Times New Roman"/>
      </w:rPr>
      <w:fldChar w:fldCharType="end"/>
    </w:r>
  </w:p>
  <w:p w:rsidR="002D34A5" w14:paraId="7A3630F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6DA1" w14:paraId="79A8AE5F" w14:textId="77777777">
      <w:r>
        <w:separator/>
      </w:r>
    </w:p>
  </w:footnote>
  <w:footnote w:type="continuationSeparator" w:id="1">
    <w:p w:rsidR="00DE6DA1" w14:paraId="5D323B5E" w14:textId="77777777">
      <w:r>
        <w:continuationSeparator/>
      </w:r>
    </w:p>
  </w:footnote>
  <w:footnote w:id="2">
    <w:p w:rsidR="001D0CE0" w14:paraId="59A1F593" w14:textId="29D39778">
      <w:pPr>
        <w:pStyle w:val="FootnoteText"/>
      </w:pPr>
      <w:r w:rsidRPr="00732197">
        <w:rPr>
          <w:rStyle w:val="FootnoteReference"/>
          <w:vertAlign w:val="superscript"/>
        </w:rPr>
        <w:footnoteRef/>
      </w:r>
      <w:r>
        <w:t xml:space="preserve"> </w:t>
      </w:r>
      <w:hyperlink r:id="rId1" w:history="1">
        <w:r>
          <w:rPr>
            <w:rStyle w:val="Hyperlink"/>
          </w:rPr>
          <w:t>Research in the Bureau of Economics | Federal Trade Commission (ftc.gov)</w:t>
        </w:r>
      </w:hyperlink>
    </w:p>
  </w:footnote>
  <w:footnote w:id="3">
    <w:p w:rsidR="006B7BC5" w:rsidRPr="001E2536" w:rsidP="00732197" w14:paraId="0F5ACF87" w14:textId="5A87BA42">
      <w:r w:rsidRPr="00732197">
        <w:rPr>
          <w:rStyle w:val="FootnoteReference"/>
          <w:rFonts w:ascii="Times New Roman" w:hAnsi="Times New Roman"/>
          <w:sz w:val="20"/>
          <w:vertAlign w:val="superscript"/>
        </w:rPr>
        <w:footnoteRef/>
      </w:r>
      <w:r>
        <w:t xml:space="preserve"> </w:t>
      </w:r>
      <w:r w:rsidRPr="00D075C5" w:rsidR="00D075C5">
        <w:rPr>
          <w:rFonts w:ascii="Times New Roman" w:hAnsi="Times New Roman"/>
          <w:snapToGrid/>
          <w:sz w:val="20"/>
        </w:rPr>
        <w:t xml:space="preserve">Once OMB approves the overall generic clearance for this proposed collection, the FTC thereafter </w:t>
      </w:r>
      <w:r w:rsidR="009E15FC">
        <w:rPr>
          <w:rFonts w:ascii="Times New Roman" w:hAnsi="Times New Roman"/>
          <w:snapToGrid/>
          <w:sz w:val="20"/>
        </w:rPr>
        <w:t xml:space="preserve">will </w:t>
      </w:r>
      <w:r w:rsidRPr="00D075C5" w:rsidR="00D075C5">
        <w:rPr>
          <w:rFonts w:ascii="Times New Roman" w:hAnsi="Times New Roman"/>
          <w:snapToGrid/>
          <w:sz w:val="20"/>
        </w:rPr>
        <w:t xml:space="preserve">submit a short </w:t>
      </w:r>
      <w:r w:rsidR="00FD19CE">
        <w:rPr>
          <w:rFonts w:ascii="Times New Roman" w:hAnsi="Times New Roman"/>
          <w:snapToGrid/>
          <w:sz w:val="20"/>
        </w:rPr>
        <w:t>Generic I</w:t>
      </w:r>
      <w:r w:rsidRPr="00D075C5" w:rsidR="00D075C5">
        <w:rPr>
          <w:rFonts w:ascii="Times New Roman" w:hAnsi="Times New Roman"/>
          <w:snapToGrid/>
          <w:sz w:val="20"/>
        </w:rPr>
        <w:t xml:space="preserve">nformation </w:t>
      </w:r>
      <w:r w:rsidR="00FD19CE">
        <w:rPr>
          <w:rFonts w:ascii="Times New Roman" w:hAnsi="Times New Roman"/>
          <w:snapToGrid/>
          <w:sz w:val="20"/>
        </w:rPr>
        <w:t>C</w:t>
      </w:r>
      <w:r w:rsidRPr="00D075C5" w:rsidR="00D075C5">
        <w:rPr>
          <w:rFonts w:ascii="Times New Roman" w:hAnsi="Times New Roman"/>
          <w:snapToGrid/>
          <w:sz w:val="20"/>
        </w:rPr>
        <w:t xml:space="preserve">ollection </w:t>
      </w:r>
      <w:r w:rsidR="00FD19CE">
        <w:rPr>
          <w:rFonts w:ascii="Times New Roman" w:hAnsi="Times New Roman"/>
          <w:snapToGrid/>
          <w:sz w:val="20"/>
        </w:rPr>
        <w:t>T</w:t>
      </w:r>
      <w:r w:rsidRPr="00D075C5" w:rsidR="00D075C5">
        <w:rPr>
          <w:rFonts w:ascii="Times New Roman" w:hAnsi="Times New Roman"/>
          <w:snapToGrid/>
          <w:sz w:val="20"/>
        </w:rPr>
        <w:t>emplate for each specific information collection request to be conducted under that generic clearance. If OMB does not have concerns about the specific collection,</w:t>
      </w:r>
      <w:r w:rsidR="008817D3">
        <w:rPr>
          <w:rFonts w:ascii="Times New Roman" w:hAnsi="Times New Roman"/>
          <w:snapToGrid/>
          <w:sz w:val="20"/>
        </w:rPr>
        <w:t xml:space="preserve"> the</w:t>
      </w:r>
      <w:r w:rsidR="00166F78">
        <w:rPr>
          <w:rFonts w:ascii="Times New Roman" w:hAnsi="Times New Roman"/>
          <w:snapToGrid/>
          <w:sz w:val="20"/>
        </w:rPr>
        <w:t xml:space="preserve"> FTC’s</w:t>
      </w:r>
      <w:r w:rsidR="008817D3">
        <w:rPr>
          <w:rFonts w:ascii="Times New Roman" w:hAnsi="Times New Roman"/>
          <w:snapToGrid/>
          <w:sz w:val="20"/>
        </w:rPr>
        <w:t xml:space="preserve"> understanding is that </w:t>
      </w:r>
      <w:r w:rsidRPr="00D075C5" w:rsidR="00D075C5">
        <w:rPr>
          <w:rFonts w:ascii="Times New Roman" w:hAnsi="Times New Roman"/>
          <w:snapToGrid/>
          <w:sz w:val="20"/>
        </w:rPr>
        <w:t>OMB will typically notify agencies within a few weeks or a month that the proposed specific collection is approved.</w:t>
      </w:r>
    </w:p>
  </w:footnote>
  <w:footnote w:id="4">
    <w:p w:rsidR="00405DE2" w14:paraId="05F2A460" w14:textId="68D72E0E">
      <w:pPr>
        <w:pStyle w:val="FootnoteText"/>
      </w:pPr>
      <w:r w:rsidRPr="00732197">
        <w:rPr>
          <w:rStyle w:val="FootnoteReference"/>
          <w:vertAlign w:val="superscript"/>
        </w:rPr>
        <w:footnoteRef/>
      </w:r>
      <w:r>
        <w:t xml:space="preserve"> In experiments, incentivized choice experiments have been shown to ensure that hypothetical choices made in an experiment align with actual choices that the respondents would make in a real-world setting. See </w:t>
      </w:r>
      <w:r w:rsidRPr="00405DE2">
        <w:t>Camerer and Hogarth, 1999; List, 2001; Holt and Laury, 2002; Harrison and Rutstrom, 2008</w:t>
      </w:r>
      <w:r>
        <w:t>.</w:t>
      </w:r>
      <w:r w:rsidR="00636054">
        <w:t xml:space="preserve"> </w:t>
      </w:r>
    </w:p>
  </w:footnote>
  <w:footnote w:id="5">
    <w:p w:rsidR="35AA97DF" w:rsidP="00F3111B" w14:paraId="0BA5F024" w14:textId="31511D19">
      <w:pPr>
        <w:pStyle w:val="FootnoteText"/>
      </w:pPr>
      <w:r w:rsidRPr="00E07752">
        <w:rPr>
          <w:rStyle w:val="FootnoteReference"/>
          <w:vertAlign w:val="superscript"/>
        </w:rPr>
        <w:footnoteRef/>
      </w:r>
      <w:r>
        <w:t xml:space="preserve"> This will be the completed </w:t>
      </w:r>
      <w:r w:rsidR="00FD19CE">
        <w:t xml:space="preserve">Generic </w:t>
      </w:r>
      <w:r w:rsidR="000C745D">
        <w:t>I</w:t>
      </w:r>
      <w:r>
        <w:t xml:space="preserve">nformation </w:t>
      </w:r>
      <w:r w:rsidR="000C745D">
        <w:t>C</w:t>
      </w:r>
      <w:r>
        <w:t xml:space="preserve">ollection </w:t>
      </w:r>
      <w:r w:rsidR="00FD19CE">
        <w:t>T</w:t>
      </w:r>
      <w:r>
        <w:t>emplate that is required for each specific information collection.</w:t>
      </w:r>
    </w:p>
  </w:footnote>
  <w:footnote w:id="6">
    <w:p w:rsidR="001F434F" w14:paraId="1891877D" w14:textId="6EE81C4C">
      <w:pPr>
        <w:pStyle w:val="FootnoteText"/>
      </w:pPr>
      <w:r w:rsidRPr="00E07752">
        <w:rPr>
          <w:rStyle w:val="FootnoteReference"/>
          <w:vertAlign w:val="superscript"/>
        </w:rPr>
        <w:footnoteRef/>
      </w:r>
      <w:r>
        <w:t xml:space="preserve"> Reasons why Institutional Review Board approval may be necessary include if the research product produced is intended for submission to a journal in which such approval is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373F1"/>
    <w:multiLevelType w:val="singleLevel"/>
    <w:tmpl w:val="B0EA73A0"/>
    <w:lvl w:ilvl="0">
      <w:start w:val="1"/>
      <w:numFmt w:val="bullet"/>
      <w:pStyle w:val="BodyTextIndent"/>
      <w:lvlText w:val=""/>
      <w:lvlJc w:val="left"/>
      <w:pPr>
        <w:tabs>
          <w:tab w:val="num" w:pos="720"/>
        </w:tabs>
        <w:ind w:left="720" w:hanging="720"/>
      </w:pPr>
      <w:rPr>
        <w:rFonts w:ascii="Symbol" w:hAnsi="Symbol" w:hint="default"/>
      </w:rPr>
    </w:lvl>
  </w:abstractNum>
  <w:abstractNum w:abstractNumId="1">
    <w:nsid w:val="0D9F452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90332F"/>
    <w:multiLevelType w:val="hybridMultilevel"/>
    <w:tmpl w:val="8F960BB2"/>
    <w:lvl w:ilvl="0">
      <w:start w:val="1"/>
      <w:numFmt w:val="upperLetter"/>
      <w:lvlText w:val="%1."/>
      <w:lvlJc w:val="left"/>
      <w:pPr>
        <w:ind w:left="36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E72AC9"/>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7603C1"/>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EB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FD26702"/>
    <w:multiLevelType w:val="hybridMultilevel"/>
    <w:tmpl w:val="8F960BB2"/>
    <w:lvl w:ilvl="0">
      <w:start w:val="1"/>
      <w:numFmt w:val="upperLetter"/>
      <w:lvlText w:val="%1."/>
      <w:lvlJc w:val="left"/>
      <w:pPr>
        <w:ind w:left="36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D588A"/>
    <w:multiLevelType w:val="multilevel"/>
    <w:tmpl w:val="2CFAFB22"/>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0"/>
      <w:numFmt w:val="decimal"/>
      <w:lvlJc w:val="left"/>
      <w:pPr>
        <w:tabs>
          <w:tab w:val="num" w:pos="0"/>
        </w:tabs>
        <w:ind w:left="0" w:firstLine="0"/>
      </w:pPr>
    </w:lvl>
  </w:abstractNum>
  <w:abstractNum w:abstractNumId="8">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88298D"/>
    <w:multiLevelType w:val="hybridMultilevel"/>
    <w:tmpl w:val="75F816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CC678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D45430"/>
    <w:multiLevelType w:val="multilevel"/>
    <w:tmpl w:val="5C48BC76"/>
    <w:lvl w:ilvl="0">
      <w:start w:val="1"/>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9A7286"/>
    <w:multiLevelType w:val="hybridMultilevel"/>
    <w:tmpl w:val="2684EE2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C76802"/>
    <w:multiLevelType w:val="hybridMultilevel"/>
    <w:tmpl w:val="BB9845AC"/>
    <w:lvl w:ilvl="0">
      <w:start w:val="1"/>
      <w:numFmt w:val="decimal"/>
      <w:lvlText w:val="%1."/>
      <w:lvlJc w:val="left"/>
      <w:pPr>
        <w:ind w:left="420" w:hanging="301"/>
      </w:pPr>
      <w:rPr>
        <w:rFonts w:ascii="Times New Roman" w:eastAsia="Times New Roman" w:hAnsi="Times New Roman" w:hint="default"/>
        <w:sz w:val="24"/>
        <w:szCs w:val="24"/>
      </w:rPr>
    </w:lvl>
    <w:lvl w:ilvl="1">
      <w:start w:val="1"/>
      <w:numFmt w:val="bullet"/>
      <w:lvlText w:val="•"/>
      <w:lvlJc w:val="left"/>
      <w:pPr>
        <w:ind w:left="1334" w:hanging="301"/>
      </w:pPr>
      <w:rPr>
        <w:rFonts w:hint="default"/>
      </w:rPr>
    </w:lvl>
    <w:lvl w:ilvl="2">
      <w:start w:val="1"/>
      <w:numFmt w:val="bullet"/>
      <w:lvlText w:val="•"/>
      <w:lvlJc w:val="left"/>
      <w:pPr>
        <w:ind w:left="2248" w:hanging="301"/>
      </w:pPr>
      <w:rPr>
        <w:rFonts w:hint="default"/>
      </w:rPr>
    </w:lvl>
    <w:lvl w:ilvl="3">
      <w:start w:val="1"/>
      <w:numFmt w:val="bullet"/>
      <w:lvlText w:val="•"/>
      <w:lvlJc w:val="left"/>
      <w:pPr>
        <w:ind w:left="3162" w:hanging="301"/>
      </w:pPr>
      <w:rPr>
        <w:rFonts w:hint="default"/>
      </w:rPr>
    </w:lvl>
    <w:lvl w:ilvl="4">
      <w:start w:val="1"/>
      <w:numFmt w:val="bullet"/>
      <w:lvlText w:val="•"/>
      <w:lvlJc w:val="left"/>
      <w:pPr>
        <w:ind w:left="4076" w:hanging="301"/>
      </w:pPr>
      <w:rPr>
        <w:rFonts w:hint="default"/>
      </w:rPr>
    </w:lvl>
    <w:lvl w:ilvl="5">
      <w:start w:val="1"/>
      <w:numFmt w:val="bullet"/>
      <w:lvlText w:val="•"/>
      <w:lvlJc w:val="left"/>
      <w:pPr>
        <w:ind w:left="4990" w:hanging="301"/>
      </w:pPr>
      <w:rPr>
        <w:rFonts w:hint="default"/>
      </w:rPr>
    </w:lvl>
    <w:lvl w:ilvl="6">
      <w:start w:val="1"/>
      <w:numFmt w:val="bullet"/>
      <w:lvlText w:val="•"/>
      <w:lvlJc w:val="left"/>
      <w:pPr>
        <w:ind w:left="5904" w:hanging="301"/>
      </w:pPr>
      <w:rPr>
        <w:rFonts w:hint="default"/>
      </w:rPr>
    </w:lvl>
    <w:lvl w:ilvl="7">
      <w:start w:val="1"/>
      <w:numFmt w:val="bullet"/>
      <w:lvlText w:val="•"/>
      <w:lvlJc w:val="left"/>
      <w:pPr>
        <w:ind w:left="6818" w:hanging="301"/>
      </w:pPr>
      <w:rPr>
        <w:rFonts w:hint="default"/>
      </w:rPr>
    </w:lvl>
    <w:lvl w:ilvl="8">
      <w:start w:val="1"/>
      <w:numFmt w:val="bullet"/>
      <w:lvlText w:val="•"/>
      <w:lvlJc w:val="left"/>
      <w:pPr>
        <w:ind w:left="7732" w:hanging="301"/>
      </w:pPr>
      <w:rPr>
        <w:rFonts w:hint="default"/>
      </w:rPr>
    </w:lvl>
  </w:abstractNum>
  <w:abstractNum w:abstractNumId="14">
    <w:nsid w:val="2F811B0B"/>
    <w:multiLevelType w:val="hybridMultilevel"/>
    <w:tmpl w:val="406612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C946E3"/>
    <w:multiLevelType w:val="hybridMultilevel"/>
    <w:tmpl w:val="1D161E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9D09AB"/>
    <w:multiLevelType w:val="multilevel"/>
    <w:tmpl w:val="2478635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7">
    <w:nsid w:val="3AA50687"/>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C536D92"/>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C745D3A"/>
    <w:multiLevelType w:val="hybridMultilevel"/>
    <w:tmpl w:val="6B344220"/>
    <w:lvl w:ilvl="0">
      <w:start w:val="15"/>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1C68B4"/>
    <w:multiLevelType w:val="hybridMultilevel"/>
    <w:tmpl w:val="53D238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CE293C"/>
    <w:multiLevelType w:val="multilevel"/>
    <w:tmpl w:val="5440AD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6206E8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84B19B8"/>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D0D22B4"/>
    <w:multiLevelType w:val="hybridMultilevel"/>
    <w:tmpl w:val="E53238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4B7F98"/>
    <w:multiLevelType w:val="hybridMultilevel"/>
    <w:tmpl w:val="0E1CA9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2C92D6B"/>
    <w:multiLevelType w:val="singleLevel"/>
    <w:tmpl w:val="2BB29B26"/>
    <w:lvl w:ilvl="0">
      <w:start w:val="7"/>
      <w:numFmt w:val="decimal"/>
      <w:lvlText w:val="%1."/>
      <w:lvlJc w:val="left"/>
      <w:pPr>
        <w:tabs>
          <w:tab w:val="num" w:pos="720"/>
        </w:tabs>
        <w:ind w:left="720" w:hanging="360"/>
      </w:pPr>
      <w:rPr>
        <w:rFonts w:hint="default"/>
      </w:rPr>
    </w:lvl>
  </w:abstractNum>
  <w:abstractNum w:abstractNumId="28">
    <w:nsid w:val="587B1C55"/>
    <w:multiLevelType w:val="hybridMultilevel"/>
    <w:tmpl w:val="FEB05E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C5C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0">
    <w:nsid w:val="5DBE7C01"/>
    <w:multiLevelType w:val="hybridMultilevel"/>
    <w:tmpl w:val="27069F86"/>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202B7D"/>
    <w:multiLevelType w:val="multilevel"/>
    <w:tmpl w:val="3112DC14"/>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2">
    <w:nsid w:val="71A214BA"/>
    <w:multiLevelType w:val="multilevel"/>
    <w:tmpl w:val="9BB86D78"/>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8F05CD3"/>
    <w:multiLevelType w:val="multilevel"/>
    <w:tmpl w:val="B15ED8D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3600"/>
        </w:tabs>
        <w:ind w:left="3600" w:hanging="360"/>
      </w:pPr>
      <w:rPr>
        <w:b w:val="0"/>
        <w:i w:val="0"/>
      </w:r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0"/>
      <w:numFmt w:val="decimal"/>
      <w:lvlJc w:val="left"/>
      <w:pPr>
        <w:tabs>
          <w:tab w:val="num" w:pos="0"/>
        </w:tabs>
        <w:ind w:left="0" w:firstLine="0"/>
      </w:pPr>
    </w:lvl>
  </w:abstractNum>
  <w:abstractNum w:abstractNumId="35">
    <w:nsid w:val="7CC2708A"/>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174783">
    <w:abstractNumId w:val="29"/>
  </w:num>
  <w:num w:numId="2" w16cid:durableId="110058513">
    <w:abstractNumId w:val="0"/>
  </w:num>
  <w:num w:numId="3" w16cid:durableId="2006660476">
    <w:abstractNumId w:val="5"/>
  </w:num>
  <w:num w:numId="4" w16cid:durableId="539510748">
    <w:abstractNumId w:val="7"/>
  </w:num>
  <w:num w:numId="5" w16cid:durableId="1319070728">
    <w:abstractNumId w:val="34"/>
  </w:num>
  <w:num w:numId="6" w16cid:durableId="740565448">
    <w:abstractNumId w:val="27"/>
  </w:num>
  <w:num w:numId="7" w16cid:durableId="1143086739">
    <w:abstractNumId w:val="11"/>
  </w:num>
  <w:num w:numId="8" w16cid:durableId="1000933898">
    <w:abstractNumId w:val="21"/>
  </w:num>
  <w:num w:numId="9" w16cid:durableId="1126387109">
    <w:abstractNumId w:val="32"/>
  </w:num>
  <w:num w:numId="10" w16cid:durableId="1159233216">
    <w:abstractNumId w:val="31"/>
  </w:num>
  <w:num w:numId="11" w16cid:durableId="1655910362">
    <w:abstractNumId w:val="8"/>
  </w:num>
  <w:num w:numId="12" w16cid:durableId="2055496205">
    <w:abstractNumId w:val="24"/>
  </w:num>
  <w:num w:numId="13" w16cid:durableId="636574315">
    <w:abstractNumId w:val="33"/>
  </w:num>
  <w:num w:numId="14" w16cid:durableId="791435428">
    <w:abstractNumId w:val="28"/>
  </w:num>
  <w:num w:numId="15" w16cid:durableId="365255506">
    <w:abstractNumId w:val="9"/>
  </w:num>
  <w:num w:numId="16" w16cid:durableId="1957132423">
    <w:abstractNumId w:val="14"/>
  </w:num>
  <w:num w:numId="17" w16cid:durableId="1987395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2194801">
    <w:abstractNumId w:val="3"/>
  </w:num>
  <w:num w:numId="19" w16cid:durableId="1495562922">
    <w:abstractNumId w:val="4"/>
  </w:num>
  <w:num w:numId="20" w16cid:durableId="297879470">
    <w:abstractNumId w:val="22"/>
  </w:num>
  <w:num w:numId="21" w16cid:durableId="6712399">
    <w:abstractNumId w:val="18"/>
  </w:num>
  <w:num w:numId="22" w16cid:durableId="211310531">
    <w:abstractNumId w:val="1"/>
  </w:num>
  <w:num w:numId="23" w16cid:durableId="232661462">
    <w:abstractNumId w:val="10"/>
  </w:num>
  <w:num w:numId="24" w16cid:durableId="104346568">
    <w:abstractNumId w:val="35"/>
  </w:num>
  <w:num w:numId="25" w16cid:durableId="301927869">
    <w:abstractNumId w:val="23"/>
  </w:num>
  <w:num w:numId="26" w16cid:durableId="573052671">
    <w:abstractNumId w:val="17"/>
  </w:num>
  <w:num w:numId="27" w16cid:durableId="1774326863">
    <w:abstractNumId w:val="6"/>
  </w:num>
  <w:num w:numId="28" w16cid:durableId="776756153">
    <w:abstractNumId w:val="2"/>
  </w:num>
  <w:num w:numId="29" w16cid:durableId="1673754937">
    <w:abstractNumId w:val="13"/>
  </w:num>
  <w:num w:numId="30" w16cid:durableId="1594630633">
    <w:abstractNumId w:val="26"/>
  </w:num>
  <w:num w:numId="31" w16cid:durableId="984166395">
    <w:abstractNumId w:val="25"/>
  </w:num>
  <w:num w:numId="32" w16cid:durableId="1525094498">
    <w:abstractNumId w:val="12"/>
  </w:num>
  <w:num w:numId="33" w16cid:durableId="369382136">
    <w:abstractNumId w:val="20"/>
  </w:num>
  <w:num w:numId="34" w16cid:durableId="2119984254">
    <w:abstractNumId w:val="15"/>
  </w:num>
  <w:num w:numId="35" w16cid:durableId="1260212767">
    <w:abstractNumId w:val="30"/>
  </w:num>
  <w:num w:numId="36" w16cid:durableId="748385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E5"/>
    <w:rsid w:val="00020342"/>
    <w:rsid w:val="000225BC"/>
    <w:rsid w:val="00024867"/>
    <w:rsid w:val="00027FFD"/>
    <w:rsid w:val="00034722"/>
    <w:rsid w:val="000409DF"/>
    <w:rsid w:val="00044CE5"/>
    <w:rsid w:val="000533EB"/>
    <w:rsid w:val="0005413B"/>
    <w:rsid w:val="000620F7"/>
    <w:rsid w:val="00062A19"/>
    <w:rsid w:val="0007275D"/>
    <w:rsid w:val="0009279E"/>
    <w:rsid w:val="00093B9A"/>
    <w:rsid w:val="000A03BD"/>
    <w:rsid w:val="000A0CE1"/>
    <w:rsid w:val="000A2B1B"/>
    <w:rsid w:val="000A6C82"/>
    <w:rsid w:val="000C381C"/>
    <w:rsid w:val="000C65A3"/>
    <w:rsid w:val="000C745D"/>
    <w:rsid w:val="000C7CD7"/>
    <w:rsid w:val="000D74C7"/>
    <w:rsid w:val="000E06A6"/>
    <w:rsid w:val="000E57C1"/>
    <w:rsid w:val="000E7BEF"/>
    <w:rsid w:val="0010096E"/>
    <w:rsid w:val="001039F3"/>
    <w:rsid w:val="00106760"/>
    <w:rsid w:val="001432DF"/>
    <w:rsid w:val="0015345A"/>
    <w:rsid w:val="001555E8"/>
    <w:rsid w:val="0016685A"/>
    <w:rsid w:val="00166F78"/>
    <w:rsid w:val="001775AE"/>
    <w:rsid w:val="00186FEA"/>
    <w:rsid w:val="001903D1"/>
    <w:rsid w:val="001922C0"/>
    <w:rsid w:val="00193516"/>
    <w:rsid w:val="001A11DA"/>
    <w:rsid w:val="001A2FC2"/>
    <w:rsid w:val="001A449E"/>
    <w:rsid w:val="001D0CE0"/>
    <w:rsid w:val="001D2F9E"/>
    <w:rsid w:val="001E0577"/>
    <w:rsid w:val="001E2536"/>
    <w:rsid w:val="001E39D0"/>
    <w:rsid w:val="001F1E0D"/>
    <w:rsid w:val="001F28FD"/>
    <w:rsid w:val="001F434F"/>
    <w:rsid w:val="00201D9F"/>
    <w:rsid w:val="002029DE"/>
    <w:rsid w:val="00203EB3"/>
    <w:rsid w:val="0020441F"/>
    <w:rsid w:val="002109E6"/>
    <w:rsid w:val="00210CDE"/>
    <w:rsid w:val="00213D95"/>
    <w:rsid w:val="002333C2"/>
    <w:rsid w:val="00235633"/>
    <w:rsid w:val="0024199E"/>
    <w:rsid w:val="002450E4"/>
    <w:rsid w:val="00264371"/>
    <w:rsid w:val="0027445C"/>
    <w:rsid w:val="0028310A"/>
    <w:rsid w:val="00291C70"/>
    <w:rsid w:val="002A0718"/>
    <w:rsid w:val="002A2189"/>
    <w:rsid w:val="002A34F7"/>
    <w:rsid w:val="002A51DF"/>
    <w:rsid w:val="002B3DA3"/>
    <w:rsid w:val="002B6DE3"/>
    <w:rsid w:val="002C0613"/>
    <w:rsid w:val="002C2734"/>
    <w:rsid w:val="002D34A5"/>
    <w:rsid w:val="002D668A"/>
    <w:rsid w:val="002E7C7C"/>
    <w:rsid w:val="002F4475"/>
    <w:rsid w:val="00303976"/>
    <w:rsid w:val="0030651C"/>
    <w:rsid w:val="003175F6"/>
    <w:rsid w:val="003300AF"/>
    <w:rsid w:val="003300D3"/>
    <w:rsid w:val="003312A3"/>
    <w:rsid w:val="00336FD7"/>
    <w:rsid w:val="00343ECC"/>
    <w:rsid w:val="00366AA4"/>
    <w:rsid w:val="0037513F"/>
    <w:rsid w:val="003A38A1"/>
    <w:rsid w:val="003A6E72"/>
    <w:rsid w:val="003B6F3C"/>
    <w:rsid w:val="003C18C1"/>
    <w:rsid w:val="003C4697"/>
    <w:rsid w:val="003F218E"/>
    <w:rsid w:val="003F72A1"/>
    <w:rsid w:val="003F7F89"/>
    <w:rsid w:val="00400EC8"/>
    <w:rsid w:val="00401B37"/>
    <w:rsid w:val="00405DE2"/>
    <w:rsid w:val="00415DEB"/>
    <w:rsid w:val="00424F1A"/>
    <w:rsid w:val="004334D6"/>
    <w:rsid w:val="00436843"/>
    <w:rsid w:val="0043739E"/>
    <w:rsid w:val="00450B0F"/>
    <w:rsid w:val="004519EF"/>
    <w:rsid w:val="00454BBE"/>
    <w:rsid w:val="00470454"/>
    <w:rsid w:val="0047352B"/>
    <w:rsid w:val="004738F6"/>
    <w:rsid w:val="0048749F"/>
    <w:rsid w:val="004930FE"/>
    <w:rsid w:val="00495F74"/>
    <w:rsid w:val="004A0881"/>
    <w:rsid w:val="004B0853"/>
    <w:rsid w:val="004D1128"/>
    <w:rsid w:val="004E07B7"/>
    <w:rsid w:val="004E4F04"/>
    <w:rsid w:val="00500E3A"/>
    <w:rsid w:val="005038AA"/>
    <w:rsid w:val="00504DED"/>
    <w:rsid w:val="00514C7A"/>
    <w:rsid w:val="00562C98"/>
    <w:rsid w:val="005639E0"/>
    <w:rsid w:val="0057240F"/>
    <w:rsid w:val="005828DA"/>
    <w:rsid w:val="00590036"/>
    <w:rsid w:val="00590A5A"/>
    <w:rsid w:val="00595DE3"/>
    <w:rsid w:val="005A32BE"/>
    <w:rsid w:val="005C1768"/>
    <w:rsid w:val="005D3BA6"/>
    <w:rsid w:val="005D68B2"/>
    <w:rsid w:val="005E0F37"/>
    <w:rsid w:val="005E1F80"/>
    <w:rsid w:val="005F2766"/>
    <w:rsid w:val="00603174"/>
    <w:rsid w:val="006038A5"/>
    <w:rsid w:val="00611FC0"/>
    <w:rsid w:val="00615396"/>
    <w:rsid w:val="00622830"/>
    <w:rsid w:val="00636054"/>
    <w:rsid w:val="00637039"/>
    <w:rsid w:val="00641190"/>
    <w:rsid w:val="00644A11"/>
    <w:rsid w:val="00656D08"/>
    <w:rsid w:val="006576D0"/>
    <w:rsid w:val="00662B9D"/>
    <w:rsid w:val="00676BE2"/>
    <w:rsid w:val="006770D5"/>
    <w:rsid w:val="00695193"/>
    <w:rsid w:val="00695F16"/>
    <w:rsid w:val="006A0093"/>
    <w:rsid w:val="006A0C7E"/>
    <w:rsid w:val="006A4520"/>
    <w:rsid w:val="006A47E4"/>
    <w:rsid w:val="006A4B97"/>
    <w:rsid w:val="006B0F49"/>
    <w:rsid w:val="006B72E3"/>
    <w:rsid w:val="006B7BC5"/>
    <w:rsid w:val="006C671A"/>
    <w:rsid w:val="006D7B9F"/>
    <w:rsid w:val="006D7BBA"/>
    <w:rsid w:val="00703960"/>
    <w:rsid w:val="00705329"/>
    <w:rsid w:val="00716C8A"/>
    <w:rsid w:val="007172F5"/>
    <w:rsid w:val="007177D7"/>
    <w:rsid w:val="00724A35"/>
    <w:rsid w:val="00732197"/>
    <w:rsid w:val="00732D7A"/>
    <w:rsid w:val="00733A09"/>
    <w:rsid w:val="00740F07"/>
    <w:rsid w:val="00741336"/>
    <w:rsid w:val="007479F3"/>
    <w:rsid w:val="00754F58"/>
    <w:rsid w:val="0076303E"/>
    <w:rsid w:val="00773E3E"/>
    <w:rsid w:val="00775324"/>
    <w:rsid w:val="0078488C"/>
    <w:rsid w:val="00785B45"/>
    <w:rsid w:val="00787BB5"/>
    <w:rsid w:val="00790E43"/>
    <w:rsid w:val="007A5EAB"/>
    <w:rsid w:val="007B1AAC"/>
    <w:rsid w:val="007B64D7"/>
    <w:rsid w:val="007C329D"/>
    <w:rsid w:val="007D2E7E"/>
    <w:rsid w:val="007D4FBE"/>
    <w:rsid w:val="007E0945"/>
    <w:rsid w:val="007E0FF5"/>
    <w:rsid w:val="007F0289"/>
    <w:rsid w:val="007F11E3"/>
    <w:rsid w:val="007F21B4"/>
    <w:rsid w:val="00816BA8"/>
    <w:rsid w:val="008205D7"/>
    <w:rsid w:val="00830253"/>
    <w:rsid w:val="00834A56"/>
    <w:rsid w:val="008376A2"/>
    <w:rsid w:val="00842538"/>
    <w:rsid w:val="008560CA"/>
    <w:rsid w:val="00864F3A"/>
    <w:rsid w:val="008750AB"/>
    <w:rsid w:val="008752E5"/>
    <w:rsid w:val="00875F7F"/>
    <w:rsid w:val="008817D3"/>
    <w:rsid w:val="00882F95"/>
    <w:rsid w:val="0088353E"/>
    <w:rsid w:val="008961FC"/>
    <w:rsid w:val="008B3961"/>
    <w:rsid w:val="008B7204"/>
    <w:rsid w:val="008C342A"/>
    <w:rsid w:val="008C50E3"/>
    <w:rsid w:val="008C7381"/>
    <w:rsid w:val="008D09DA"/>
    <w:rsid w:val="008D0BC0"/>
    <w:rsid w:val="008D41D1"/>
    <w:rsid w:val="008E1C8F"/>
    <w:rsid w:val="008F7E01"/>
    <w:rsid w:val="009136A7"/>
    <w:rsid w:val="009137C5"/>
    <w:rsid w:val="00917BDE"/>
    <w:rsid w:val="00935A56"/>
    <w:rsid w:val="009369DC"/>
    <w:rsid w:val="00937E1A"/>
    <w:rsid w:val="00947B20"/>
    <w:rsid w:val="0095174F"/>
    <w:rsid w:val="00963907"/>
    <w:rsid w:val="0097186E"/>
    <w:rsid w:val="0097500F"/>
    <w:rsid w:val="00981006"/>
    <w:rsid w:val="0098149E"/>
    <w:rsid w:val="0099150E"/>
    <w:rsid w:val="009968B4"/>
    <w:rsid w:val="009970B8"/>
    <w:rsid w:val="009A185A"/>
    <w:rsid w:val="009A4A64"/>
    <w:rsid w:val="009A76D7"/>
    <w:rsid w:val="009E0ACA"/>
    <w:rsid w:val="009E15FC"/>
    <w:rsid w:val="009E1B0C"/>
    <w:rsid w:val="009F1519"/>
    <w:rsid w:val="009F20BE"/>
    <w:rsid w:val="009F2218"/>
    <w:rsid w:val="00A02138"/>
    <w:rsid w:val="00A10247"/>
    <w:rsid w:val="00A126B3"/>
    <w:rsid w:val="00A235C7"/>
    <w:rsid w:val="00A34CF4"/>
    <w:rsid w:val="00A41DAD"/>
    <w:rsid w:val="00A44251"/>
    <w:rsid w:val="00A44D7B"/>
    <w:rsid w:val="00A460F7"/>
    <w:rsid w:val="00A47E8E"/>
    <w:rsid w:val="00A74D50"/>
    <w:rsid w:val="00A83E12"/>
    <w:rsid w:val="00A87F42"/>
    <w:rsid w:val="00A90F8F"/>
    <w:rsid w:val="00A9534A"/>
    <w:rsid w:val="00A96047"/>
    <w:rsid w:val="00AB479F"/>
    <w:rsid w:val="00AB7FF1"/>
    <w:rsid w:val="00AC2BAF"/>
    <w:rsid w:val="00AD3AFE"/>
    <w:rsid w:val="00AD7037"/>
    <w:rsid w:val="00AE04FC"/>
    <w:rsid w:val="00AE4200"/>
    <w:rsid w:val="00AF2051"/>
    <w:rsid w:val="00AF36D4"/>
    <w:rsid w:val="00B10154"/>
    <w:rsid w:val="00B13791"/>
    <w:rsid w:val="00B15089"/>
    <w:rsid w:val="00B221DB"/>
    <w:rsid w:val="00B32F6C"/>
    <w:rsid w:val="00B3682C"/>
    <w:rsid w:val="00B42665"/>
    <w:rsid w:val="00B42772"/>
    <w:rsid w:val="00B42D00"/>
    <w:rsid w:val="00B44ADD"/>
    <w:rsid w:val="00B51397"/>
    <w:rsid w:val="00B539DA"/>
    <w:rsid w:val="00B634DC"/>
    <w:rsid w:val="00B63D2C"/>
    <w:rsid w:val="00B70B46"/>
    <w:rsid w:val="00B74069"/>
    <w:rsid w:val="00B907A3"/>
    <w:rsid w:val="00B92960"/>
    <w:rsid w:val="00B94533"/>
    <w:rsid w:val="00BA07C1"/>
    <w:rsid w:val="00BC0DE5"/>
    <w:rsid w:val="00BC12B3"/>
    <w:rsid w:val="00BC3853"/>
    <w:rsid w:val="00BC4D99"/>
    <w:rsid w:val="00BF0C3F"/>
    <w:rsid w:val="00BF4DBD"/>
    <w:rsid w:val="00C0716B"/>
    <w:rsid w:val="00C23124"/>
    <w:rsid w:val="00C26915"/>
    <w:rsid w:val="00C3622F"/>
    <w:rsid w:val="00C4113B"/>
    <w:rsid w:val="00C56371"/>
    <w:rsid w:val="00C64E25"/>
    <w:rsid w:val="00C87A44"/>
    <w:rsid w:val="00C932C9"/>
    <w:rsid w:val="00CC5707"/>
    <w:rsid w:val="00CD4B75"/>
    <w:rsid w:val="00CE1102"/>
    <w:rsid w:val="00CE1574"/>
    <w:rsid w:val="00CE5068"/>
    <w:rsid w:val="00CE52C8"/>
    <w:rsid w:val="00CE56EB"/>
    <w:rsid w:val="00CF659D"/>
    <w:rsid w:val="00D011D0"/>
    <w:rsid w:val="00D014B4"/>
    <w:rsid w:val="00D03239"/>
    <w:rsid w:val="00D075C5"/>
    <w:rsid w:val="00D11280"/>
    <w:rsid w:val="00D13E7A"/>
    <w:rsid w:val="00D227DF"/>
    <w:rsid w:val="00D256CE"/>
    <w:rsid w:val="00D32A13"/>
    <w:rsid w:val="00D33C58"/>
    <w:rsid w:val="00D42D68"/>
    <w:rsid w:val="00D50082"/>
    <w:rsid w:val="00D52927"/>
    <w:rsid w:val="00D52FAB"/>
    <w:rsid w:val="00D60B76"/>
    <w:rsid w:val="00D70308"/>
    <w:rsid w:val="00D73BD6"/>
    <w:rsid w:val="00D91562"/>
    <w:rsid w:val="00DD4F54"/>
    <w:rsid w:val="00DE6DA1"/>
    <w:rsid w:val="00E04862"/>
    <w:rsid w:val="00E07752"/>
    <w:rsid w:val="00E10AF5"/>
    <w:rsid w:val="00E10C83"/>
    <w:rsid w:val="00E138F2"/>
    <w:rsid w:val="00E15D55"/>
    <w:rsid w:val="00E20505"/>
    <w:rsid w:val="00E34710"/>
    <w:rsid w:val="00E367A1"/>
    <w:rsid w:val="00E36AA2"/>
    <w:rsid w:val="00E40F49"/>
    <w:rsid w:val="00E4370C"/>
    <w:rsid w:val="00E51DD7"/>
    <w:rsid w:val="00E53900"/>
    <w:rsid w:val="00E569F4"/>
    <w:rsid w:val="00E6207C"/>
    <w:rsid w:val="00E63151"/>
    <w:rsid w:val="00E71729"/>
    <w:rsid w:val="00E77310"/>
    <w:rsid w:val="00E80B0B"/>
    <w:rsid w:val="00E96CF7"/>
    <w:rsid w:val="00EA0924"/>
    <w:rsid w:val="00EA0F0D"/>
    <w:rsid w:val="00EA2C3F"/>
    <w:rsid w:val="00EC0947"/>
    <w:rsid w:val="00EC22EA"/>
    <w:rsid w:val="00EC5028"/>
    <w:rsid w:val="00ED2EC7"/>
    <w:rsid w:val="00ED2F4B"/>
    <w:rsid w:val="00ED32E6"/>
    <w:rsid w:val="00EE2048"/>
    <w:rsid w:val="00EE35AE"/>
    <w:rsid w:val="00EF3ADD"/>
    <w:rsid w:val="00EF477C"/>
    <w:rsid w:val="00EF47BB"/>
    <w:rsid w:val="00F03311"/>
    <w:rsid w:val="00F075C8"/>
    <w:rsid w:val="00F12524"/>
    <w:rsid w:val="00F17A45"/>
    <w:rsid w:val="00F233F7"/>
    <w:rsid w:val="00F26508"/>
    <w:rsid w:val="00F26A4C"/>
    <w:rsid w:val="00F272B1"/>
    <w:rsid w:val="00F3111B"/>
    <w:rsid w:val="00F44FBB"/>
    <w:rsid w:val="00F60258"/>
    <w:rsid w:val="00F66FB9"/>
    <w:rsid w:val="00F700C2"/>
    <w:rsid w:val="00F71F21"/>
    <w:rsid w:val="00F752BC"/>
    <w:rsid w:val="00F762E0"/>
    <w:rsid w:val="00F951F0"/>
    <w:rsid w:val="00FA43BE"/>
    <w:rsid w:val="00FA5BA4"/>
    <w:rsid w:val="00FB4D88"/>
    <w:rsid w:val="00FC40E4"/>
    <w:rsid w:val="00FD19CE"/>
    <w:rsid w:val="00FE3E6E"/>
    <w:rsid w:val="00FE43FF"/>
    <w:rsid w:val="00FE752B"/>
    <w:rsid w:val="00FF224C"/>
    <w:rsid w:val="00FF472D"/>
    <w:rsid w:val="01B50A73"/>
    <w:rsid w:val="02D043AE"/>
    <w:rsid w:val="0302E49E"/>
    <w:rsid w:val="03E3EF9C"/>
    <w:rsid w:val="04104F05"/>
    <w:rsid w:val="04113F3E"/>
    <w:rsid w:val="053A0458"/>
    <w:rsid w:val="06BFAA85"/>
    <w:rsid w:val="073CA9B6"/>
    <w:rsid w:val="07BAF517"/>
    <w:rsid w:val="07E51985"/>
    <w:rsid w:val="092E8442"/>
    <w:rsid w:val="093A9B1C"/>
    <w:rsid w:val="0B5895FA"/>
    <w:rsid w:val="0BBCC09A"/>
    <w:rsid w:val="0C495C08"/>
    <w:rsid w:val="0CA64E99"/>
    <w:rsid w:val="0DBAE9E9"/>
    <w:rsid w:val="0F0F5113"/>
    <w:rsid w:val="113C3705"/>
    <w:rsid w:val="17457B1A"/>
    <w:rsid w:val="18372B2A"/>
    <w:rsid w:val="1871EFDC"/>
    <w:rsid w:val="1873DE8D"/>
    <w:rsid w:val="1A8CBA95"/>
    <w:rsid w:val="1D82D705"/>
    <w:rsid w:val="1F45B83A"/>
    <w:rsid w:val="225C9CD2"/>
    <w:rsid w:val="22B25B7E"/>
    <w:rsid w:val="24123ABE"/>
    <w:rsid w:val="2600C850"/>
    <w:rsid w:val="2FD726C9"/>
    <w:rsid w:val="31B1DBEB"/>
    <w:rsid w:val="31B6963E"/>
    <w:rsid w:val="33833431"/>
    <w:rsid w:val="33FD7C14"/>
    <w:rsid w:val="35AA97DF"/>
    <w:rsid w:val="3BD1D280"/>
    <w:rsid w:val="3E1A676E"/>
    <w:rsid w:val="3E332E39"/>
    <w:rsid w:val="3E87ECD0"/>
    <w:rsid w:val="3FF20C51"/>
    <w:rsid w:val="40746080"/>
    <w:rsid w:val="40BE4ED2"/>
    <w:rsid w:val="415B6B7B"/>
    <w:rsid w:val="4472BA81"/>
    <w:rsid w:val="48C6B231"/>
    <w:rsid w:val="4A3BBBB5"/>
    <w:rsid w:val="4A8E8C4F"/>
    <w:rsid w:val="4B525B80"/>
    <w:rsid w:val="4DF42426"/>
    <w:rsid w:val="4FB2804C"/>
    <w:rsid w:val="52533A7B"/>
    <w:rsid w:val="52C0146A"/>
    <w:rsid w:val="533145EE"/>
    <w:rsid w:val="53DB8A01"/>
    <w:rsid w:val="54D6D825"/>
    <w:rsid w:val="54EB1A34"/>
    <w:rsid w:val="56631A44"/>
    <w:rsid w:val="57699591"/>
    <w:rsid w:val="5878F3D7"/>
    <w:rsid w:val="587F65AF"/>
    <w:rsid w:val="59CC63DB"/>
    <w:rsid w:val="59F52295"/>
    <w:rsid w:val="5A79852E"/>
    <w:rsid w:val="5D0BA930"/>
    <w:rsid w:val="5ED94B52"/>
    <w:rsid w:val="62444115"/>
    <w:rsid w:val="64B8E697"/>
    <w:rsid w:val="6C06685F"/>
    <w:rsid w:val="6C94DB1F"/>
    <w:rsid w:val="6E1455D3"/>
    <w:rsid w:val="6E332D3C"/>
    <w:rsid w:val="7769F301"/>
    <w:rsid w:val="795CDB6E"/>
    <w:rsid w:val="79D65A3A"/>
    <w:rsid w:val="7A31B3B0"/>
    <w:rsid w:val="7A690E39"/>
    <w:rsid w:val="7AFEBA99"/>
    <w:rsid w:val="7CBB9CE1"/>
    <w:rsid w:val="7E4863C2"/>
    <w:rsid w:val="7F4AD4E8"/>
    <w:rsid w:val="7FD04166"/>
    <w:rsid w:val="7FD5B1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D0EDF"/>
  <w15:docId w15:val="{F9AF4E2E-C7D6-4CB9-A3AF-91B8384F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2E5"/>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8752E5"/>
    <w:pPr>
      <w:keepNext/>
      <w:widowControl/>
      <w:outlineLvl w:val="0"/>
    </w:pPr>
    <w:rPr>
      <w:rFonts w:ascii="Times New Roman" w:hAnsi="Times New Roman"/>
      <w:snapToGrid/>
      <w:sz w:val="18"/>
      <w:u w:val="single"/>
    </w:rPr>
  </w:style>
  <w:style w:type="paragraph" w:styleId="Heading2">
    <w:name w:val="heading 2"/>
    <w:basedOn w:val="Normal"/>
    <w:next w:val="Normal"/>
    <w:link w:val="Heading2Char"/>
    <w:qFormat/>
    <w:rsid w:val="008752E5"/>
    <w:pPr>
      <w:keepNext/>
      <w:widowControl/>
      <w:outlineLvl w:val="1"/>
    </w:pPr>
    <w:rPr>
      <w:rFonts w:ascii="Times New Roman" w:hAnsi="Times New Roman"/>
      <w:b/>
      <w:snapToGrid/>
    </w:rPr>
  </w:style>
  <w:style w:type="paragraph" w:styleId="Heading3">
    <w:name w:val="heading 3"/>
    <w:basedOn w:val="Normal"/>
    <w:next w:val="Normal"/>
    <w:link w:val="Heading3Char"/>
    <w:qFormat/>
    <w:rsid w:val="008752E5"/>
    <w:pPr>
      <w:keepNext/>
      <w:widowControl/>
      <w:outlineLvl w:val="2"/>
    </w:pPr>
    <w:rPr>
      <w:rFonts w:ascii="Times New Roman" w:hAnsi="Times New Roman"/>
      <w:b/>
      <w:snapToGrid/>
      <w:sz w:val="20"/>
    </w:rPr>
  </w:style>
  <w:style w:type="paragraph" w:styleId="Heading4">
    <w:name w:val="heading 4"/>
    <w:basedOn w:val="Normal"/>
    <w:next w:val="Normal"/>
    <w:link w:val="Heading4Char"/>
    <w:qFormat/>
    <w:rsid w:val="008752E5"/>
    <w:pPr>
      <w:keepNext/>
      <w:widowControl/>
      <w:outlineLvl w:val="3"/>
    </w:pPr>
    <w:rPr>
      <w:rFonts w:ascii="Times New Roman" w:hAnsi="Times New Roman"/>
      <w:b/>
      <w:snapToGrid/>
      <w:sz w:val="20"/>
      <w:u w:val="single"/>
    </w:rPr>
  </w:style>
  <w:style w:type="paragraph" w:styleId="Heading5">
    <w:name w:val="heading 5"/>
    <w:basedOn w:val="Normal"/>
    <w:next w:val="Normal"/>
    <w:link w:val="Heading5Char"/>
    <w:qFormat/>
    <w:rsid w:val="008752E5"/>
    <w:pPr>
      <w:keepNext/>
      <w:widowControl/>
      <w:outlineLvl w:val="4"/>
    </w:pPr>
    <w:rPr>
      <w:rFonts w:ascii="Times New Roman" w:hAnsi="Times New Roman"/>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2E5"/>
    <w:rPr>
      <w:rFonts w:ascii="Times New Roman" w:eastAsia="Times New Roman" w:hAnsi="Times New Roman" w:cs="Times New Roman"/>
      <w:sz w:val="18"/>
      <w:szCs w:val="20"/>
      <w:u w:val="single"/>
    </w:rPr>
  </w:style>
  <w:style w:type="character" w:customStyle="1" w:styleId="Heading2Char">
    <w:name w:val="Heading 2 Char"/>
    <w:basedOn w:val="DefaultParagraphFont"/>
    <w:link w:val="Heading2"/>
    <w:rsid w:val="008752E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8752E5"/>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8752E5"/>
    <w:rPr>
      <w:rFonts w:ascii="Times New Roman" w:eastAsia="Times New Roman" w:hAnsi="Times New Roman" w:cs="Times New Roman"/>
      <w:b/>
      <w:sz w:val="20"/>
      <w:szCs w:val="20"/>
      <w:u w:val="single"/>
    </w:rPr>
  </w:style>
  <w:style w:type="character" w:customStyle="1" w:styleId="Heading5Char">
    <w:name w:val="Heading 5 Char"/>
    <w:basedOn w:val="DefaultParagraphFont"/>
    <w:link w:val="Heading5"/>
    <w:rsid w:val="008752E5"/>
    <w:rPr>
      <w:rFonts w:ascii="Times New Roman" w:eastAsia="Times New Roman" w:hAnsi="Times New Roman" w:cs="Times New Roman"/>
      <w:b/>
      <w:sz w:val="24"/>
      <w:szCs w:val="20"/>
      <w:u w:val="single"/>
    </w:rPr>
  </w:style>
  <w:style w:type="character" w:styleId="FootnoteReference">
    <w:name w:val="footnote reference"/>
    <w:semiHidden/>
    <w:rsid w:val="008752E5"/>
  </w:style>
  <w:style w:type="paragraph" w:styleId="BodyTextIndent2">
    <w:name w:val="Body Text Indent 2"/>
    <w:basedOn w:val="Normal"/>
    <w:link w:val="BodyTextIndent2Char"/>
    <w:rsid w:val="008752E5"/>
    <w:pPr>
      <w:tabs>
        <w:tab w:val="left" w:leader="dot" w:pos="4320"/>
        <w:tab w:val="left" w:pos="4680"/>
        <w:tab w:val="left" w:pos="5040"/>
        <w:tab w:val="left" w:pos="5400"/>
      </w:tabs>
      <w:ind w:left="4320" w:hanging="4320"/>
    </w:pPr>
  </w:style>
  <w:style w:type="character" w:customStyle="1" w:styleId="BodyTextIndent2Char">
    <w:name w:val="Body Text Indent 2 Char"/>
    <w:basedOn w:val="DefaultParagraphFont"/>
    <w:link w:val="BodyTextIndent2"/>
    <w:rsid w:val="008752E5"/>
    <w:rPr>
      <w:rFonts w:ascii="Courier" w:eastAsia="Times New Roman" w:hAnsi="Courier" w:cs="Times New Roman"/>
      <w:snapToGrid w:val="0"/>
      <w:sz w:val="24"/>
      <w:szCs w:val="20"/>
    </w:rPr>
  </w:style>
  <w:style w:type="paragraph" w:styleId="BodyTextIndent">
    <w:name w:val="Body Text Indent"/>
    <w:basedOn w:val="Normal"/>
    <w:link w:val="BodyTextIndentChar"/>
    <w:rsid w:val="008752E5"/>
    <w:pPr>
      <w:widowControl/>
      <w:numPr>
        <w:numId w:val="2"/>
      </w:numPr>
      <w:spacing w:after="120"/>
    </w:pPr>
    <w:rPr>
      <w:rFonts w:ascii="Times New Roman" w:hAnsi="Times New Roman"/>
      <w:snapToGrid/>
      <w:sz w:val="20"/>
    </w:rPr>
  </w:style>
  <w:style w:type="character" w:customStyle="1" w:styleId="BodyTextIndentChar">
    <w:name w:val="Body Text Indent Char"/>
    <w:basedOn w:val="DefaultParagraphFont"/>
    <w:link w:val="BodyTextIndent"/>
    <w:rsid w:val="008752E5"/>
    <w:rPr>
      <w:rFonts w:ascii="Times New Roman" w:eastAsia="Times New Roman" w:hAnsi="Times New Roman" w:cs="Times New Roman"/>
      <w:sz w:val="20"/>
      <w:szCs w:val="20"/>
    </w:rPr>
  </w:style>
  <w:style w:type="paragraph" w:styleId="BodyText">
    <w:name w:val="Body Text"/>
    <w:basedOn w:val="Normal"/>
    <w:link w:val="BodyTextChar"/>
    <w:uiPriority w:val="1"/>
    <w:qFormat/>
    <w:rsid w:val="008752E5"/>
    <w:pPr>
      <w:widowControl/>
    </w:pPr>
    <w:rPr>
      <w:rFonts w:ascii="Times New Roman" w:hAnsi="Times New Roman"/>
      <w:snapToGrid/>
    </w:rPr>
  </w:style>
  <w:style w:type="character" w:customStyle="1" w:styleId="BodyTextChar">
    <w:name w:val="Body Text Char"/>
    <w:basedOn w:val="DefaultParagraphFont"/>
    <w:link w:val="BodyText"/>
    <w:uiPriority w:val="1"/>
    <w:rsid w:val="008752E5"/>
    <w:rPr>
      <w:rFonts w:ascii="Times New Roman" w:eastAsia="Times New Roman" w:hAnsi="Times New Roman" w:cs="Times New Roman"/>
      <w:sz w:val="24"/>
      <w:szCs w:val="20"/>
    </w:rPr>
  </w:style>
  <w:style w:type="paragraph" w:styleId="Header">
    <w:name w:val="header"/>
    <w:basedOn w:val="Normal"/>
    <w:link w:val="HeaderChar"/>
    <w:rsid w:val="008752E5"/>
    <w:pPr>
      <w:widowControl/>
      <w:tabs>
        <w:tab w:val="center" w:pos="4320"/>
        <w:tab w:val="right" w:pos="8640"/>
      </w:tabs>
    </w:pPr>
    <w:rPr>
      <w:rFonts w:ascii="Times New Roman" w:hAnsi="Times New Roman"/>
      <w:snapToGrid/>
    </w:rPr>
  </w:style>
  <w:style w:type="character" w:customStyle="1" w:styleId="HeaderChar">
    <w:name w:val="Header Char"/>
    <w:basedOn w:val="DefaultParagraphFont"/>
    <w:link w:val="Header"/>
    <w:rsid w:val="008752E5"/>
    <w:rPr>
      <w:rFonts w:ascii="Times New Roman" w:eastAsia="Times New Roman" w:hAnsi="Times New Roman" w:cs="Times New Roman"/>
      <w:sz w:val="24"/>
      <w:szCs w:val="20"/>
    </w:rPr>
  </w:style>
  <w:style w:type="paragraph" w:styleId="FootnoteText">
    <w:name w:val="footnote text"/>
    <w:basedOn w:val="Normal"/>
    <w:link w:val="FootnoteTextChar"/>
    <w:semiHidden/>
    <w:rsid w:val="008752E5"/>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8752E5"/>
    <w:rPr>
      <w:rFonts w:ascii="Times New Roman" w:eastAsia="Times New Roman" w:hAnsi="Times New Roman" w:cs="Times New Roman"/>
      <w:sz w:val="20"/>
      <w:szCs w:val="20"/>
    </w:rPr>
  </w:style>
  <w:style w:type="character" w:styleId="Hyperlink">
    <w:name w:val="Hyperlink"/>
    <w:rsid w:val="008752E5"/>
    <w:rPr>
      <w:color w:val="0000FF"/>
      <w:u w:val="single"/>
    </w:rPr>
  </w:style>
  <w:style w:type="paragraph" w:customStyle="1" w:styleId="Title3">
    <w:name w:val="Title 3"/>
    <w:basedOn w:val="BodyText2"/>
    <w:next w:val="BodyText"/>
    <w:autoRedefine/>
    <w:rsid w:val="008752E5"/>
    <w:pPr>
      <w:widowControl/>
      <w:overflowPunct w:val="0"/>
      <w:autoSpaceDE w:val="0"/>
      <w:autoSpaceDN w:val="0"/>
      <w:adjustRightInd w:val="0"/>
      <w:spacing w:after="0" w:line="240" w:lineRule="auto"/>
      <w:jc w:val="center"/>
      <w:textAlignment w:val="baseline"/>
    </w:pPr>
    <w:rPr>
      <w:rFonts w:ascii="Times New Roman" w:hAnsi="Times New Roman"/>
      <w:b/>
      <w:bCs/>
      <w:iCs/>
      <w:noProof/>
      <w:snapToGrid/>
      <w:color w:val="000000"/>
    </w:rPr>
  </w:style>
  <w:style w:type="paragraph" w:styleId="BodyText2">
    <w:name w:val="Body Text 2"/>
    <w:basedOn w:val="Normal"/>
    <w:link w:val="BodyText2Char"/>
    <w:rsid w:val="008752E5"/>
    <w:pPr>
      <w:spacing w:after="120" w:line="480" w:lineRule="auto"/>
    </w:pPr>
  </w:style>
  <w:style w:type="character" w:customStyle="1" w:styleId="BodyText2Char">
    <w:name w:val="Body Text 2 Char"/>
    <w:basedOn w:val="DefaultParagraphFont"/>
    <w:link w:val="BodyText2"/>
    <w:rsid w:val="008752E5"/>
    <w:rPr>
      <w:rFonts w:ascii="Courier" w:eastAsia="Times New Roman" w:hAnsi="Courier" w:cs="Times New Roman"/>
      <w:snapToGrid w:val="0"/>
      <w:sz w:val="24"/>
      <w:szCs w:val="20"/>
    </w:rPr>
  </w:style>
  <w:style w:type="table" w:styleId="TableGrid">
    <w:name w:val="Table Grid"/>
    <w:basedOn w:val="TableNormal"/>
    <w:rsid w:val="008752E5"/>
    <w:pPr>
      <w:widowControl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8752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8752E5"/>
    <w:rPr>
      <w:rFonts w:ascii="Courier New" w:eastAsia="Times New Roman" w:hAnsi="Courier New" w:cs="Courier New"/>
      <w:sz w:val="20"/>
      <w:szCs w:val="20"/>
    </w:rPr>
  </w:style>
  <w:style w:type="paragraph" w:styleId="NormalWeb">
    <w:name w:val="Normal (Web)"/>
    <w:basedOn w:val="Normal"/>
    <w:uiPriority w:val="99"/>
    <w:unhideWhenUsed/>
    <w:rsid w:val="008752E5"/>
    <w:pPr>
      <w:widowControl/>
      <w:spacing w:before="100" w:beforeAutospacing="1" w:after="100" w:afterAutospacing="1"/>
    </w:pPr>
    <w:rPr>
      <w:rFonts w:ascii="Times New Roman" w:hAnsi="Times New Roman"/>
      <w:snapToGrid/>
      <w:szCs w:val="24"/>
    </w:rPr>
  </w:style>
  <w:style w:type="character" w:customStyle="1" w:styleId="printedpage">
    <w:name w:val="printed_page"/>
    <w:rsid w:val="008752E5"/>
  </w:style>
  <w:style w:type="character" w:customStyle="1" w:styleId="e-04">
    <w:name w:val="e-04"/>
    <w:rsid w:val="008752E5"/>
  </w:style>
  <w:style w:type="paragraph" w:styleId="BalloonText">
    <w:name w:val="Balloon Text"/>
    <w:basedOn w:val="Normal"/>
    <w:link w:val="BalloonTextChar"/>
    <w:rsid w:val="008752E5"/>
    <w:rPr>
      <w:rFonts w:ascii="Tahoma" w:hAnsi="Tahoma" w:cs="Tahoma"/>
      <w:sz w:val="16"/>
      <w:szCs w:val="16"/>
    </w:rPr>
  </w:style>
  <w:style w:type="character" w:customStyle="1" w:styleId="BalloonTextChar">
    <w:name w:val="Balloon Text Char"/>
    <w:basedOn w:val="DefaultParagraphFont"/>
    <w:link w:val="BalloonText"/>
    <w:rsid w:val="008752E5"/>
    <w:rPr>
      <w:rFonts w:ascii="Tahoma" w:eastAsia="Times New Roman" w:hAnsi="Tahoma" w:cs="Tahoma"/>
      <w:snapToGrid w:val="0"/>
      <w:sz w:val="16"/>
      <w:szCs w:val="16"/>
    </w:rPr>
  </w:style>
  <w:style w:type="character" w:styleId="CommentReference">
    <w:name w:val="annotation reference"/>
    <w:rsid w:val="008752E5"/>
    <w:rPr>
      <w:sz w:val="16"/>
      <w:szCs w:val="16"/>
    </w:rPr>
  </w:style>
  <w:style w:type="paragraph" w:styleId="CommentText">
    <w:name w:val="annotation text"/>
    <w:basedOn w:val="Normal"/>
    <w:link w:val="CommentTextChar"/>
    <w:rsid w:val="008752E5"/>
    <w:rPr>
      <w:rFonts w:ascii="Times New Roman" w:hAnsi="Times New Roman"/>
      <w:sz w:val="20"/>
    </w:rPr>
  </w:style>
  <w:style w:type="character" w:customStyle="1" w:styleId="CommentTextChar">
    <w:name w:val="Comment Text Char"/>
    <w:basedOn w:val="DefaultParagraphFont"/>
    <w:link w:val="CommentText"/>
    <w:rsid w:val="008752E5"/>
    <w:rPr>
      <w:rFonts w:ascii="Times New Roman" w:eastAsia="Times New Roman" w:hAnsi="Times New Roman" w:cs="Times New Roman"/>
      <w:snapToGrid w:val="0"/>
      <w:sz w:val="20"/>
      <w:szCs w:val="20"/>
    </w:rPr>
  </w:style>
  <w:style w:type="paragraph" w:styleId="Footer">
    <w:name w:val="footer"/>
    <w:basedOn w:val="Normal"/>
    <w:link w:val="FooterChar"/>
    <w:uiPriority w:val="99"/>
    <w:rsid w:val="008752E5"/>
    <w:pPr>
      <w:tabs>
        <w:tab w:val="center" w:pos="4680"/>
        <w:tab w:val="right" w:pos="9360"/>
      </w:tabs>
    </w:pPr>
  </w:style>
  <w:style w:type="character" w:customStyle="1" w:styleId="FooterChar">
    <w:name w:val="Footer Char"/>
    <w:basedOn w:val="DefaultParagraphFont"/>
    <w:link w:val="Footer"/>
    <w:uiPriority w:val="99"/>
    <w:rsid w:val="008752E5"/>
    <w:rPr>
      <w:rFonts w:ascii="Courier" w:eastAsia="Times New Roman" w:hAnsi="Courier" w:cs="Times New Roman"/>
      <w:snapToGrid w:val="0"/>
      <w:sz w:val="24"/>
      <w:szCs w:val="20"/>
    </w:rPr>
  </w:style>
  <w:style w:type="paragraph" w:styleId="CommentSubject">
    <w:name w:val="annotation subject"/>
    <w:basedOn w:val="CommentText"/>
    <w:next w:val="CommentText"/>
    <w:link w:val="CommentSubjectChar"/>
    <w:rsid w:val="008752E5"/>
    <w:rPr>
      <w:rFonts w:ascii="Courier" w:hAnsi="Courier"/>
      <w:b/>
      <w:bCs/>
    </w:rPr>
  </w:style>
  <w:style w:type="character" w:customStyle="1" w:styleId="CommentSubjectChar">
    <w:name w:val="Comment Subject Char"/>
    <w:basedOn w:val="CommentTextChar"/>
    <w:link w:val="CommentSubject"/>
    <w:rsid w:val="008752E5"/>
    <w:rPr>
      <w:rFonts w:ascii="Courier" w:eastAsia="Times New Roman" w:hAnsi="Courier" w:cs="Times New Roman"/>
      <w:b/>
      <w:bCs/>
      <w:snapToGrid w:val="0"/>
      <w:sz w:val="20"/>
      <w:szCs w:val="20"/>
    </w:rPr>
  </w:style>
  <w:style w:type="paragraph" w:styleId="PlainText">
    <w:name w:val="Plain Text"/>
    <w:basedOn w:val="Normal"/>
    <w:link w:val="PlainTextChar"/>
    <w:uiPriority w:val="99"/>
    <w:unhideWhenUsed/>
    <w:rsid w:val="008752E5"/>
    <w:pPr>
      <w:widowControl/>
    </w:pPr>
    <w:rPr>
      <w:rFonts w:ascii="Calibri" w:eastAsia="Calibri" w:hAnsi="Calibri" w:cs="Consolas"/>
      <w:snapToGrid/>
      <w:sz w:val="22"/>
      <w:szCs w:val="21"/>
    </w:rPr>
  </w:style>
  <w:style w:type="character" w:customStyle="1" w:styleId="PlainTextChar">
    <w:name w:val="Plain Text Char"/>
    <w:basedOn w:val="DefaultParagraphFont"/>
    <w:link w:val="PlainText"/>
    <w:uiPriority w:val="99"/>
    <w:rsid w:val="008752E5"/>
    <w:rPr>
      <w:rFonts w:ascii="Calibri" w:eastAsia="Calibri" w:hAnsi="Calibri" w:cs="Consolas"/>
      <w:szCs w:val="21"/>
    </w:rPr>
  </w:style>
  <w:style w:type="character" w:styleId="FollowedHyperlink">
    <w:name w:val="FollowedHyperlink"/>
    <w:basedOn w:val="DefaultParagraphFont"/>
    <w:rsid w:val="008752E5"/>
    <w:rPr>
      <w:color w:val="800080" w:themeColor="followedHyperlink"/>
      <w:u w:val="single"/>
    </w:rPr>
  </w:style>
  <w:style w:type="paragraph" w:styleId="ListParagraph">
    <w:name w:val="List Paragraph"/>
    <w:basedOn w:val="Normal"/>
    <w:uiPriority w:val="1"/>
    <w:qFormat/>
    <w:rsid w:val="00FE3E6E"/>
    <w:pPr>
      <w:ind w:left="720"/>
      <w:contextualSpacing/>
    </w:pPr>
  </w:style>
  <w:style w:type="paragraph" w:customStyle="1" w:styleId="Default">
    <w:name w:val="Default"/>
    <w:rsid w:val="002333C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495F74"/>
    <w:rPr>
      <w:rFonts w:asciiTheme="minorHAnsi" w:eastAsiaTheme="minorHAnsi" w:hAnsiTheme="minorHAnsi" w:cstheme="minorBidi"/>
      <w:snapToGrid/>
      <w:sz w:val="22"/>
      <w:szCs w:val="22"/>
    </w:rPr>
  </w:style>
  <w:style w:type="character" w:customStyle="1" w:styleId="UnresolvedMention1">
    <w:name w:val="Unresolved Mention1"/>
    <w:basedOn w:val="DefaultParagraphFont"/>
    <w:uiPriority w:val="99"/>
    <w:semiHidden/>
    <w:unhideWhenUsed/>
    <w:rsid w:val="00CE52C8"/>
    <w:rPr>
      <w:color w:val="808080"/>
      <w:shd w:val="clear" w:color="auto" w:fill="E6E6E6"/>
    </w:rPr>
  </w:style>
  <w:style w:type="numbering" w:customStyle="1" w:styleId="NoList1">
    <w:name w:val="No List1"/>
    <w:next w:val="NoList"/>
    <w:uiPriority w:val="99"/>
    <w:semiHidden/>
    <w:unhideWhenUsed/>
    <w:rsid w:val="002D34A5"/>
  </w:style>
  <w:style w:type="paragraph" w:styleId="Revision">
    <w:name w:val="Revision"/>
    <w:hidden/>
    <w:uiPriority w:val="99"/>
    <w:semiHidden/>
    <w:rsid w:val="003312A3"/>
    <w:pPr>
      <w:spacing w:after="0" w:line="240" w:lineRule="auto"/>
    </w:pPr>
    <w:rPr>
      <w:rFonts w:ascii="Courier" w:eastAsia="Times New Roman" w:hAnsi="Courier" w:cs="Times New Roman"/>
      <w:snapToGrid w:val="0"/>
      <w:sz w:val="24"/>
      <w:szCs w:val="20"/>
    </w:rPr>
  </w:style>
  <w:style w:type="character" w:styleId="Mention">
    <w:name w:val="Mention"/>
    <w:basedOn w:val="DefaultParagraphFont"/>
    <w:uiPriority w:val="99"/>
    <w:unhideWhenUsed/>
    <w:rsid w:val="007F21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tc.gov/about-ftc/bureaus-offices/bureau-economics/research-bureau-econom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361491E3B8B408644810613A999C8" ma:contentTypeVersion="3" ma:contentTypeDescription="Create a new document." ma:contentTypeScope="" ma:versionID="0c8c2d43605ff50c806f42bb3dfe616e">
  <xsd:schema xmlns:xsd="http://www.w3.org/2001/XMLSchema" xmlns:xs="http://www.w3.org/2001/XMLSchema" xmlns:p="http://schemas.microsoft.com/office/2006/metadata/properties" xmlns:ns2="032cce45-1863-4694-bd50-499c97438621" targetNamespace="http://schemas.microsoft.com/office/2006/metadata/properties" ma:root="true" ma:fieldsID="8e176f4128b7bb23f6940a1e3f5cdb0d" ns2:_="">
    <xsd:import namespace="032cce45-1863-4694-bd50-499c9743862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cce45-1863-4694-bd50-499c97438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2A22-F780-4ACD-A335-C89CA3D0AB40}">
  <ds:schemaRefs>
    <ds:schemaRef ds:uri="http://schemas.microsoft.com/sharepoint/v3/contenttype/forms"/>
  </ds:schemaRefs>
</ds:datastoreItem>
</file>

<file path=customXml/itemProps2.xml><?xml version="1.0" encoding="utf-8"?>
<ds:datastoreItem xmlns:ds="http://schemas.openxmlformats.org/officeDocument/2006/customXml" ds:itemID="{E598B892-E9CB-456C-9BCF-61AE98B097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50B48B-2F13-4C91-8089-06B6B085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cce45-1863-4694-bd50-499c97438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BF225C-D6F6-4EC6-8D75-4E9D7A5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Reese, Syzette</dc:creator>
  <cp:lastModifiedBy>Gold, Richard</cp:lastModifiedBy>
  <cp:revision>2</cp:revision>
  <cp:lastPrinted>2026-05-08T22:16:00Z</cp:lastPrinted>
  <dcterms:created xsi:type="dcterms:W3CDTF">2026-06-22T21:58:00Z</dcterms:created>
  <dcterms:modified xsi:type="dcterms:W3CDTF">2026-06-22T21:58:00Z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0x01010031C361491E3B8B408644810613A999C8</vt:lpwstr>
  </property>
  <property fmtid="{D5CDD505-2E9C-101B-9397-08002B2CF9AE}" pid="3" name="docLang">
    <vt:lpwstr>en</vt:lpwstr>
  </property>
</Properties>
</file>