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25AB" w:rsidRPr="000E25AB" w:rsidP="000E25AB" w14:paraId="7E6D6A5B" w14:textId="77777777">
      <w:pPr>
        <w:tabs>
          <w:tab w:val="left" w:pos="720"/>
        </w:tabs>
        <w:jc w:val="center"/>
        <w:rPr>
          <w:sz w:val="24"/>
          <w:szCs w:val="24"/>
        </w:rPr>
      </w:pPr>
      <w:r w:rsidRPr="000E25AB">
        <w:rPr>
          <w:sz w:val="24"/>
          <w:szCs w:val="24"/>
        </w:rPr>
        <w:t>National Credit Union Administration</w:t>
      </w:r>
    </w:p>
    <w:p w:rsidR="003A7EE0" w:rsidP="00B775D2" w14:paraId="46962868" w14:textId="77777777">
      <w:pPr>
        <w:tabs>
          <w:tab w:val="left" w:pos="720"/>
        </w:tabs>
        <w:jc w:val="center"/>
        <w:rPr>
          <w:b/>
          <w:sz w:val="24"/>
          <w:szCs w:val="24"/>
        </w:rPr>
      </w:pPr>
      <w:r>
        <w:rPr>
          <w:b/>
          <w:sz w:val="24"/>
          <w:szCs w:val="24"/>
        </w:rPr>
        <w:t>SUPPORTING STATEMENT</w:t>
      </w:r>
    </w:p>
    <w:p w:rsidR="00277DA6" w:rsidRPr="00B775D2" w:rsidP="00B775D2" w14:paraId="099907A9" w14:textId="77777777">
      <w:pPr>
        <w:tabs>
          <w:tab w:val="left" w:pos="720"/>
        </w:tabs>
        <w:jc w:val="center"/>
        <w:rPr>
          <w:b/>
          <w:sz w:val="24"/>
          <w:szCs w:val="24"/>
        </w:rPr>
      </w:pPr>
    </w:p>
    <w:p w:rsidR="003A7EE0" w:rsidRPr="006A32C6" w:rsidP="00B775D2" w14:paraId="4EC784C2" w14:textId="77777777">
      <w:pPr>
        <w:tabs>
          <w:tab w:val="left" w:pos="720"/>
        </w:tabs>
        <w:jc w:val="center"/>
        <w:rPr>
          <w:bCs/>
          <w:sz w:val="24"/>
          <w:szCs w:val="24"/>
        </w:rPr>
      </w:pPr>
      <w:r w:rsidRPr="006A32C6">
        <w:rPr>
          <w:bCs/>
          <w:sz w:val="24"/>
          <w:szCs w:val="24"/>
        </w:rPr>
        <w:t>Supervisory Committee Audits and Verifications</w:t>
      </w:r>
      <w:r w:rsidRPr="006A32C6" w:rsidR="00B775D2">
        <w:rPr>
          <w:bCs/>
          <w:sz w:val="24"/>
          <w:szCs w:val="24"/>
        </w:rPr>
        <w:t>, 12 CFR 715</w:t>
      </w:r>
    </w:p>
    <w:p w:rsidR="00B775D2" w:rsidRPr="00B775D2" w:rsidP="00B775D2" w14:paraId="573CE051" w14:textId="77777777">
      <w:pPr>
        <w:tabs>
          <w:tab w:val="left" w:pos="720"/>
        </w:tabs>
        <w:jc w:val="center"/>
        <w:rPr>
          <w:b/>
          <w:sz w:val="24"/>
          <w:szCs w:val="24"/>
        </w:rPr>
      </w:pPr>
      <w:r>
        <w:rPr>
          <w:b/>
          <w:sz w:val="24"/>
          <w:szCs w:val="24"/>
        </w:rPr>
        <w:t>OMB No. 3133-0059</w:t>
      </w:r>
    </w:p>
    <w:p w:rsidR="003A7EE0" w:rsidP="00B775D2" w14:paraId="55765519" w14:textId="77777777">
      <w:pPr>
        <w:tabs>
          <w:tab w:val="left" w:pos="720"/>
        </w:tabs>
        <w:rPr>
          <w:sz w:val="24"/>
          <w:szCs w:val="24"/>
        </w:rPr>
      </w:pPr>
    </w:p>
    <w:p w:rsidR="00B775D2" w:rsidP="00B775D2" w14:paraId="37AB7979" w14:textId="77777777">
      <w:pPr>
        <w:tabs>
          <w:tab w:val="left" w:pos="720"/>
        </w:tabs>
        <w:rPr>
          <w:sz w:val="24"/>
          <w:szCs w:val="24"/>
        </w:rPr>
      </w:pPr>
    </w:p>
    <w:p w:rsidR="00B775D2" w:rsidRPr="006F7E68" w:rsidP="00B775D2" w14:paraId="485FE52F" w14:textId="77777777">
      <w:pPr>
        <w:numPr>
          <w:ilvl w:val="0"/>
          <w:numId w:val="2"/>
        </w:numPr>
        <w:tabs>
          <w:tab w:val="left" w:pos="720"/>
        </w:tabs>
        <w:ind w:hanging="720"/>
        <w:rPr>
          <w:b/>
          <w:sz w:val="24"/>
          <w:szCs w:val="24"/>
        </w:rPr>
      </w:pPr>
      <w:r w:rsidRPr="006F7E68">
        <w:rPr>
          <w:b/>
          <w:sz w:val="24"/>
          <w:szCs w:val="24"/>
        </w:rPr>
        <w:t>JUSTIFICATION</w:t>
      </w:r>
    </w:p>
    <w:p w:rsidR="003A7EE0" w:rsidRPr="00B775D2" w:rsidP="00B775D2" w14:paraId="21E807D4" w14:textId="77777777">
      <w:pPr>
        <w:tabs>
          <w:tab w:val="left" w:pos="720"/>
        </w:tabs>
        <w:rPr>
          <w:sz w:val="24"/>
          <w:szCs w:val="24"/>
        </w:rPr>
      </w:pPr>
    </w:p>
    <w:p w:rsidR="003A7EE0" w:rsidP="00B775D2" w14:paraId="5D811BFE" w14:textId="77777777">
      <w:pPr>
        <w:tabs>
          <w:tab w:val="left" w:pos="720"/>
        </w:tabs>
        <w:ind w:left="720" w:hanging="720"/>
        <w:rPr>
          <w:b/>
          <w:sz w:val="24"/>
          <w:szCs w:val="24"/>
        </w:rPr>
      </w:pPr>
      <w:r w:rsidRPr="00F03C26">
        <w:rPr>
          <w:b/>
          <w:sz w:val="24"/>
          <w:szCs w:val="24"/>
        </w:rPr>
        <w:t>1.</w:t>
      </w:r>
      <w:r w:rsidRPr="00F03C26">
        <w:rPr>
          <w:b/>
          <w:sz w:val="24"/>
          <w:szCs w:val="24"/>
        </w:rPr>
        <w:tab/>
      </w:r>
      <w:r w:rsidR="00660BF3">
        <w:rPr>
          <w:b/>
          <w:sz w:val="24"/>
          <w:szCs w:val="24"/>
        </w:rPr>
        <w:t>Circumstances that make the collection of information necessary</w:t>
      </w:r>
      <w:r w:rsidRPr="00F03C26">
        <w:rPr>
          <w:b/>
          <w:sz w:val="24"/>
          <w:szCs w:val="24"/>
        </w:rPr>
        <w:t xml:space="preserve">.  </w:t>
      </w:r>
    </w:p>
    <w:p w:rsidR="003A7EE0" w:rsidRPr="00B775D2" w:rsidP="00B775D2" w14:paraId="3D1BC028" w14:textId="77777777">
      <w:pPr>
        <w:tabs>
          <w:tab w:val="left" w:pos="720"/>
        </w:tabs>
        <w:rPr>
          <w:sz w:val="24"/>
          <w:szCs w:val="24"/>
        </w:rPr>
      </w:pPr>
    </w:p>
    <w:p w:rsidR="003A7EE0" w:rsidRPr="00B775D2" w:rsidP="00B775D2" w14:paraId="6CA7930C" w14:textId="77777777">
      <w:pPr>
        <w:tabs>
          <w:tab w:val="left" w:pos="720"/>
        </w:tabs>
        <w:ind w:left="720" w:hanging="720"/>
        <w:rPr>
          <w:sz w:val="24"/>
          <w:szCs w:val="24"/>
        </w:rPr>
      </w:pPr>
      <w:r>
        <w:rPr>
          <w:sz w:val="24"/>
          <w:szCs w:val="24"/>
        </w:rPr>
        <w:tab/>
      </w:r>
      <w:r w:rsidR="006F7E68">
        <w:rPr>
          <w:sz w:val="24"/>
          <w:szCs w:val="24"/>
        </w:rPr>
        <w:t xml:space="preserve">Title </w:t>
      </w:r>
      <w:r w:rsidRPr="00B775D2">
        <w:rPr>
          <w:sz w:val="24"/>
          <w:szCs w:val="24"/>
        </w:rPr>
        <w:t xml:space="preserve">12 CFR </w:t>
      </w:r>
      <w:r w:rsidR="006F7E68">
        <w:rPr>
          <w:sz w:val="24"/>
          <w:szCs w:val="24"/>
        </w:rPr>
        <w:t xml:space="preserve">part </w:t>
      </w:r>
      <w:r w:rsidRPr="00B775D2">
        <w:rPr>
          <w:sz w:val="24"/>
          <w:szCs w:val="24"/>
        </w:rPr>
        <w:t xml:space="preserve">715 </w:t>
      </w:r>
      <w:r w:rsidR="00B700BC">
        <w:rPr>
          <w:sz w:val="24"/>
          <w:szCs w:val="24"/>
        </w:rPr>
        <w:t xml:space="preserve">prescribes the responsibilities </w:t>
      </w:r>
      <w:r w:rsidR="00845AE7">
        <w:rPr>
          <w:sz w:val="24"/>
          <w:szCs w:val="24"/>
        </w:rPr>
        <w:t xml:space="preserve">of </w:t>
      </w:r>
      <w:r w:rsidRPr="00B775D2">
        <w:rPr>
          <w:sz w:val="24"/>
          <w:szCs w:val="24"/>
        </w:rPr>
        <w:t xml:space="preserve">the </w:t>
      </w:r>
      <w:r w:rsidR="00415A6F">
        <w:rPr>
          <w:sz w:val="24"/>
          <w:szCs w:val="24"/>
        </w:rPr>
        <w:t>s</w:t>
      </w:r>
      <w:r w:rsidRPr="00B775D2">
        <w:rPr>
          <w:sz w:val="24"/>
          <w:szCs w:val="24"/>
        </w:rPr>
        <w:t xml:space="preserve">upervisory </w:t>
      </w:r>
      <w:r w:rsidR="00415A6F">
        <w:rPr>
          <w:sz w:val="24"/>
          <w:szCs w:val="24"/>
        </w:rPr>
        <w:t>c</w:t>
      </w:r>
      <w:r w:rsidRPr="00B775D2">
        <w:rPr>
          <w:sz w:val="24"/>
          <w:szCs w:val="24"/>
        </w:rPr>
        <w:t xml:space="preserve">ommittee </w:t>
      </w:r>
      <w:r w:rsidR="00B700BC">
        <w:rPr>
          <w:sz w:val="24"/>
          <w:szCs w:val="24"/>
        </w:rPr>
        <w:t xml:space="preserve">to obtain an </w:t>
      </w:r>
      <w:r w:rsidRPr="00B775D2">
        <w:rPr>
          <w:sz w:val="24"/>
          <w:szCs w:val="24"/>
        </w:rPr>
        <w:t>audit</w:t>
      </w:r>
      <w:r w:rsidR="00B700BC">
        <w:rPr>
          <w:sz w:val="24"/>
          <w:szCs w:val="24"/>
        </w:rPr>
        <w:t xml:space="preserve"> of the credit union</w:t>
      </w:r>
      <w:r w:rsidRPr="00B775D2">
        <w:rPr>
          <w:sz w:val="24"/>
          <w:szCs w:val="24"/>
        </w:rPr>
        <w:t xml:space="preserve"> and verification</w:t>
      </w:r>
      <w:r w:rsidR="00B700BC">
        <w:rPr>
          <w:sz w:val="24"/>
          <w:szCs w:val="24"/>
        </w:rPr>
        <w:t xml:space="preserve"> of member accounts as outlined in</w:t>
      </w:r>
      <w:r w:rsidRPr="00B775D2">
        <w:rPr>
          <w:sz w:val="24"/>
          <w:szCs w:val="24"/>
        </w:rPr>
        <w:t xml:space="preserve"> Section 115 of the Federal Credit Union Act, 12 U.S.C. </w:t>
      </w:r>
      <w:r>
        <w:rPr>
          <w:sz w:val="24"/>
          <w:szCs w:val="24"/>
        </w:rPr>
        <w:t>§</w:t>
      </w:r>
      <w:r w:rsidRPr="00B775D2" w:rsidR="00DA480B">
        <w:rPr>
          <w:sz w:val="24"/>
          <w:szCs w:val="24"/>
        </w:rPr>
        <w:t>1761d.</w:t>
      </w:r>
      <w:r w:rsidRPr="00B775D2">
        <w:rPr>
          <w:sz w:val="24"/>
          <w:szCs w:val="24"/>
        </w:rPr>
        <w:t xml:space="preserve">  A supervisory committee audit is required at least once every calendar year covering the period since the last audit</w:t>
      </w:r>
      <w:r w:rsidR="003338CD">
        <w:rPr>
          <w:sz w:val="24"/>
          <w:szCs w:val="24"/>
        </w:rPr>
        <w:t xml:space="preserve"> and to conduct</w:t>
      </w:r>
      <w:r w:rsidRPr="00B775D2">
        <w:rPr>
          <w:sz w:val="24"/>
          <w:szCs w:val="24"/>
        </w:rPr>
        <w:t xml:space="preserve"> </w:t>
      </w:r>
      <w:r w:rsidRPr="00B775D2">
        <w:rPr>
          <w:sz w:val="24"/>
          <w:szCs w:val="24"/>
        </w:rPr>
        <w:t>a verification</w:t>
      </w:r>
      <w:r w:rsidRPr="00B775D2">
        <w:rPr>
          <w:sz w:val="24"/>
          <w:szCs w:val="24"/>
        </w:rPr>
        <w:t xml:space="preserve"> of members’ accounts</w:t>
      </w:r>
      <w:r w:rsidR="00415A6F">
        <w:rPr>
          <w:sz w:val="24"/>
          <w:szCs w:val="24"/>
        </w:rPr>
        <w:t xml:space="preserve"> not less frequently than once every two years</w:t>
      </w:r>
      <w:r w:rsidRPr="00B775D2">
        <w:rPr>
          <w:sz w:val="24"/>
          <w:szCs w:val="24"/>
        </w:rPr>
        <w:t xml:space="preserve">. </w:t>
      </w:r>
    </w:p>
    <w:p w:rsidR="003A7EE0" w:rsidRPr="00B775D2" w:rsidP="00B775D2" w14:paraId="73C12F5D" w14:textId="77777777">
      <w:pPr>
        <w:tabs>
          <w:tab w:val="left" w:pos="720"/>
        </w:tabs>
        <w:ind w:left="720" w:hanging="720"/>
        <w:rPr>
          <w:sz w:val="24"/>
          <w:szCs w:val="24"/>
        </w:rPr>
      </w:pPr>
    </w:p>
    <w:p w:rsidR="003A7EE0" w:rsidRPr="00B775D2" w:rsidP="00B775D2" w14:paraId="5542F44D" w14:textId="77777777">
      <w:pPr>
        <w:tabs>
          <w:tab w:val="left" w:pos="720"/>
        </w:tabs>
        <w:ind w:left="720" w:hanging="720"/>
        <w:rPr>
          <w:sz w:val="24"/>
          <w:szCs w:val="24"/>
        </w:rPr>
      </w:pPr>
      <w:r>
        <w:rPr>
          <w:sz w:val="24"/>
          <w:szCs w:val="24"/>
        </w:rPr>
        <w:tab/>
      </w:r>
      <w:r w:rsidRPr="00B775D2">
        <w:rPr>
          <w:sz w:val="24"/>
          <w:szCs w:val="24"/>
        </w:rPr>
        <w:t xml:space="preserve">The Credit Union Membership Access Act </w:t>
      </w:r>
      <w:r w:rsidRPr="00B775D2" w:rsidR="00A5409F">
        <w:rPr>
          <w:sz w:val="24"/>
          <w:szCs w:val="24"/>
        </w:rPr>
        <w:t>of 1998 (CUMAA)</w:t>
      </w:r>
      <w:r w:rsidR="006F7E68">
        <w:rPr>
          <w:sz w:val="24"/>
          <w:szCs w:val="24"/>
        </w:rPr>
        <w:t xml:space="preserve">, </w:t>
      </w:r>
      <w:r w:rsidR="006F7E68">
        <w:rPr>
          <w:sz w:val="24"/>
          <w:szCs w:val="24"/>
        </w:rPr>
        <w:t>Pub.L</w:t>
      </w:r>
      <w:r w:rsidR="006F7E68">
        <w:rPr>
          <w:sz w:val="24"/>
          <w:szCs w:val="24"/>
        </w:rPr>
        <w:t>. 105-219, 112 Stat. 918,</w:t>
      </w:r>
      <w:r w:rsidRPr="00B775D2" w:rsidR="00A5409F">
        <w:rPr>
          <w:sz w:val="24"/>
          <w:szCs w:val="24"/>
        </w:rPr>
        <w:t xml:space="preserve"> </w:t>
      </w:r>
      <w:r w:rsidRPr="00B775D2">
        <w:rPr>
          <w:sz w:val="24"/>
          <w:szCs w:val="24"/>
        </w:rPr>
        <w:t>amended certain audit and financial reporting requirements of the Federal Credit Union Act</w:t>
      </w:r>
      <w:r w:rsidRPr="00B775D2" w:rsidR="001C7E45">
        <w:rPr>
          <w:sz w:val="24"/>
          <w:szCs w:val="24"/>
        </w:rPr>
        <w:t xml:space="preserve"> (FCUA)</w:t>
      </w:r>
      <w:r w:rsidRPr="00B775D2">
        <w:rPr>
          <w:sz w:val="24"/>
          <w:szCs w:val="24"/>
        </w:rPr>
        <w:t xml:space="preserve">.  </w:t>
      </w:r>
      <w:r w:rsidRPr="00B775D2" w:rsidR="00A5409F">
        <w:rPr>
          <w:sz w:val="24"/>
          <w:szCs w:val="24"/>
        </w:rPr>
        <w:t>F</w:t>
      </w:r>
      <w:r w:rsidRPr="00B775D2">
        <w:rPr>
          <w:sz w:val="24"/>
          <w:szCs w:val="24"/>
        </w:rPr>
        <w:t xml:space="preserve">inal amendments </w:t>
      </w:r>
      <w:r w:rsidRPr="00B775D2" w:rsidR="001C7E45">
        <w:rPr>
          <w:sz w:val="24"/>
          <w:szCs w:val="24"/>
        </w:rPr>
        <w:t>to the FCUA</w:t>
      </w:r>
      <w:r w:rsidRPr="00B775D2" w:rsidR="00A5409F">
        <w:rPr>
          <w:sz w:val="24"/>
          <w:szCs w:val="24"/>
        </w:rPr>
        <w:t xml:space="preserve"> </w:t>
      </w:r>
      <w:r w:rsidRPr="00B775D2">
        <w:rPr>
          <w:sz w:val="24"/>
          <w:szCs w:val="24"/>
        </w:rPr>
        <w:t xml:space="preserve">specify the minimum annual audit a credit union is required to obtain according to its charter type and asset size, the licensing authority required of </w:t>
      </w:r>
      <w:r w:rsidRPr="00B775D2">
        <w:rPr>
          <w:sz w:val="24"/>
          <w:szCs w:val="24"/>
        </w:rPr>
        <w:t>persons</w:t>
      </w:r>
      <w:r w:rsidRPr="00B775D2">
        <w:rPr>
          <w:sz w:val="24"/>
          <w:szCs w:val="24"/>
        </w:rPr>
        <w:t xml:space="preserve"> performing certain audits, the auditing principles which apply to certain audits, and the accounting principles which must be foll</w:t>
      </w:r>
      <w:r w:rsidRPr="00B775D2" w:rsidR="0031777B">
        <w:rPr>
          <w:sz w:val="24"/>
          <w:szCs w:val="24"/>
        </w:rPr>
        <w:t xml:space="preserve">owed in reports filed with the </w:t>
      </w:r>
      <w:r w:rsidRPr="00B775D2">
        <w:rPr>
          <w:sz w:val="24"/>
          <w:szCs w:val="24"/>
        </w:rPr>
        <w:t xml:space="preserve">NCUA Board. </w:t>
      </w:r>
    </w:p>
    <w:p w:rsidR="0042472B" w:rsidRPr="00B775D2" w:rsidP="00B775D2" w14:paraId="04A30F02" w14:textId="77777777">
      <w:pPr>
        <w:tabs>
          <w:tab w:val="left" w:pos="720"/>
        </w:tabs>
        <w:ind w:left="720" w:hanging="720"/>
        <w:rPr>
          <w:sz w:val="24"/>
          <w:szCs w:val="24"/>
        </w:rPr>
      </w:pPr>
    </w:p>
    <w:p w:rsidR="003A7EE0" w:rsidP="00B775D2" w14:paraId="7E837BD1" w14:textId="77777777">
      <w:pPr>
        <w:tabs>
          <w:tab w:val="left" w:pos="720"/>
        </w:tabs>
        <w:ind w:left="720" w:hanging="720"/>
        <w:rPr>
          <w:b/>
          <w:sz w:val="24"/>
          <w:szCs w:val="24"/>
        </w:rPr>
      </w:pPr>
      <w:r w:rsidRPr="00F03C26">
        <w:rPr>
          <w:b/>
          <w:sz w:val="24"/>
          <w:szCs w:val="24"/>
        </w:rPr>
        <w:t>2.</w:t>
      </w:r>
      <w:r w:rsidRPr="00F03C26">
        <w:rPr>
          <w:b/>
          <w:sz w:val="24"/>
          <w:szCs w:val="24"/>
        </w:rPr>
        <w:tab/>
      </w:r>
      <w:r w:rsidRPr="00F03C26" w:rsidR="00B775D2">
        <w:rPr>
          <w:b/>
          <w:sz w:val="24"/>
          <w:szCs w:val="24"/>
        </w:rPr>
        <w:t>Purpose and use of the information collection</w:t>
      </w:r>
      <w:r w:rsidRPr="00F03C26">
        <w:rPr>
          <w:b/>
          <w:sz w:val="24"/>
          <w:szCs w:val="24"/>
        </w:rPr>
        <w:t>.</w:t>
      </w:r>
    </w:p>
    <w:p w:rsidR="003A7EE0" w:rsidRPr="00B775D2" w:rsidP="00B775D2" w14:paraId="1531F4B1" w14:textId="77777777">
      <w:pPr>
        <w:tabs>
          <w:tab w:val="left" w:pos="720"/>
        </w:tabs>
        <w:ind w:left="720" w:hanging="720"/>
        <w:rPr>
          <w:sz w:val="24"/>
          <w:szCs w:val="24"/>
        </w:rPr>
      </w:pPr>
    </w:p>
    <w:p w:rsidR="003A7EE0" w:rsidRPr="00B775D2" w:rsidP="00B775D2" w14:paraId="3884F634" w14:textId="77777777">
      <w:pPr>
        <w:tabs>
          <w:tab w:val="left" w:pos="720"/>
        </w:tabs>
        <w:ind w:left="720" w:hanging="720"/>
        <w:rPr>
          <w:sz w:val="24"/>
          <w:szCs w:val="24"/>
        </w:rPr>
      </w:pPr>
      <w:r>
        <w:rPr>
          <w:sz w:val="24"/>
          <w:szCs w:val="24"/>
        </w:rPr>
        <w:tab/>
      </w:r>
      <w:r w:rsidRPr="00B775D2">
        <w:rPr>
          <w:sz w:val="24"/>
          <w:szCs w:val="24"/>
        </w:rPr>
        <w:t xml:space="preserve">The information is collected by the credit union’s supervisory committee or its designated representative, through a supervisory committee audit which is required at least once every calendar year covering the period since the last audit.  </w:t>
      </w:r>
      <w:r w:rsidRPr="00726A4D">
        <w:rPr>
          <w:sz w:val="24"/>
          <w:szCs w:val="24"/>
        </w:rPr>
        <w:t>The information is used by both the credit union and the NCUA to ensure through audit testing that the credit union’s assets, liabilities, equity, income, and expenses exist, are properly valued, controlled and meet ownership, disclosure and classification requirements of sound financial reporting.  A written report on the audit must be made to the board of directors and, if requested,</w:t>
      </w:r>
      <w:r w:rsidRPr="00B775D2">
        <w:rPr>
          <w:sz w:val="24"/>
          <w:szCs w:val="24"/>
        </w:rPr>
        <w:t xml:space="preserve"> NCUA.  Working papers must be maintained and made available to NCUA.  Independence requirements must be met; standards governing </w:t>
      </w:r>
      <w:r w:rsidRPr="00B775D2">
        <w:rPr>
          <w:sz w:val="24"/>
          <w:szCs w:val="24"/>
        </w:rPr>
        <w:t>verifications</w:t>
      </w:r>
      <w:r w:rsidRPr="00B775D2">
        <w:rPr>
          <w:sz w:val="24"/>
          <w:szCs w:val="24"/>
        </w:rPr>
        <w:t xml:space="preserve"> </w:t>
      </w:r>
      <w:r w:rsidR="003D28D2">
        <w:rPr>
          <w:sz w:val="24"/>
          <w:szCs w:val="24"/>
        </w:rPr>
        <w:t xml:space="preserve">and the methods used to verify member’s passbooks and accounts </w:t>
      </w:r>
      <w:r w:rsidRPr="00B775D2" w:rsidR="0031777B">
        <w:rPr>
          <w:sz w:val="24"/>
          <w:szCs w:val="24"/>
        </w:rPr>
        <w:t>are set forth</w:t>
      </w:r>
      <w:r w:rsidRPr="00B775D2">
        <w:rPr>
          <w:sz w:val="24"/>
          <w:szCs w:val="24"/>
        </w:rPr>
        <w:t xml:space="preserve">.  </w:t>
      </w:r>
      <w:r w:rsidR="003338CD">
        <w:rPr>
          <w:sz w:val="24"/>
          <w:szCs w:val="24"/>
        </w:rPr>
        <w:t xml:space="preserve">Section </w:t>
      </w:r>
      <w:r w:rsidRPr="00B775D2">
        <w:rPr>
          <w:sz w:val="24"/>
          <w:szCs w:val="24"/>
        </w:rPr>
        <w:t>741.</w:t>
      </w:r>
      <w:r w:rsidR="002F6C15">
        <w:rPr>
          <w:sz w:val="24"/>
          <w:szCs w:val="24"/>
        </w:rPr>
        <w:t>202</w:t>
      </w:r>
      <w:r w:rsidRPr="00B775D2">
        <w:rPr>
          <w:sz w:val="24"/>
          <w:szCs w:val="24"/>
        </w:rPr>
        <w:t xml:space="preserve"> makes these requirements applicable to federally insured state-chartered credit unions.</w:t>
      </w:r>
    </w:p>
    <w:p w:rsidR="003A7EE0" w:rsidRPr="00B775D2" w:rsidP="00B775D2" w14:paraId="5FE602CE" w14:textId="77777777">
      <w:pPr>
        <w:tabs>
          <w:tab w:val="left" w:pos="720"/>
        </w:tabs>
        <w:ind w:left="720" w:hanging="720"/>
        <w:rPr>
          <w:sz w:val="24"/>
          <w:szCs w:val="24"/>
        </w:rPr>
      </w:pPr>
    </w:p>
    <w:p w:rsidR="003A7EE0" w:rsidRPr="00B775D2" w:rsidP="00B775D2" w14:paraId="1606717B" w14:textId="77777777">
      <w:pPr>
        <w:tabs>
          <w:tab w:val="left" w:pos="720"/>
        </w:tabs>
        <w:ind w:left="720" w:hanging="720"/>
        <w:rPr>
          <w:sz w:val="24"/>
          <w:szCs w:val="24"/>
        </w:rPr>
      </w:pPr>
      <w:r>
        <w:rPr>
          <w:sz w:val="24"/>
          <w:szCs w:val="24"/>
        </w:rPr>
        <w:tab/>
      </w:r>
      <w:r w:rsidRPr="00B775D2">
        <w:rPr>
          <w:sz w:val="24"/>
          <w:szCs w:val="24"/>
        </w:rPr>
        <w:t>Audits can be preventative and contribute substantially to the safety and soundness of the credit union system.  Audits have been used by the agency as a third</w:t>
      </w:r>
      <w:r w:rsidR="0035136E">
        <w:rPr>
          <w:sz w:val="24"/>
          <w:szCs w:val="24"/>
        </w:rPr>
        <w:t>-</w:t>
      </w:r>
      <w:r w:rsidRPr="00B775D2">
        <w:rPr>
          <w:sz w:val="24"/>
          <w:szCs w:val="24"/>
        </w:rPr>
        <w:t>party attestation of the fair presentation of financial statements in all material respect; as “value-added” in the detection of errors and irregularities; and as a means of identifying internal control reportable conditions in advance of the occurrence of material misstatement or errors and irregularities.</w:t>
      </w:r>
    </w:p>
    <w:p w:rsidR="003A7EE0" w:rsidRPr="00B775D2" w:rsidP="00B775D2" w14:paraId="103C2A98" w14:textId="77777777">
      <w:pPr>
        <w:tabs>
          <w:tab w:val="left" w:pos="720"/>
        </w:tabs>
        <w:ind w:left="720" w:hanging="720"/>
        <w:rPr>
          <w:sz w:val="24"/>
          <w:szCs w:val="24"/>
        </w:rPr>
      </w:pPr>
    </w:p>
    <w:p w:rsidR="003A7EE0" w:rsidP="00B775D2" w14:paraId="6F3AB174" w14:textId="77777777">
      <w:pPr>
        <w:tabs>
          <w:tab w:val="left" w:pos="720"/>
        </w:tabs>
        <w:ind w:left="720" w:hanging="720"/>
        <w:rPr>
          <w:b/>
          <w:sz w:val="24"/>
          <w:szCs w:val="24"/>
        </w:rPr>
      </w:pPr>
      <w:r w:rsidRPr="00F03C26">
        <w:rPr>
          <w:b/>
          <w:sz w:val="24"/>
          <w:szCs w:val="24"/>
        </w:rPr>
        <w:t>3.</w:t>
      </w:r>
      <w:r w:rsidRPr="00F03C26">
        <w:rPr>
          <w:b/>
          <w:sz w:val="24"/>
          <w:szCs w:val="24"/>
        </w:rPr>
        <w:tab/>
      </w:r>
      <w:r w:rsidR="00660BF3">
        <w:rPr>
          <w:b/>
          <w:sz w:val="24"/>
          <w:szCs w:val="24"/>
        </w:rPr>
        <w:t>Use of</w:t>
      </w:r>
      <w:r w:rsidR="00F03C26">
        <w:rPr>
          <w:b/>
          <w:sz w:val="24"/>
          <w:szCs w:val="24"/>
        </w:rPr>
        <w:t xml:space="preserve"> information t</w:t>
      </w:r>
      <w:r w:rsidRPr="00F03C26" w:rsidR="00F03C26">
        <w:rPr>
          <w:b/>
          <w:sz w:val="24"/>
          <w:szCs w:val="24"/>
        </w:rPr>
        <w:t>echnology</w:t>
      </w:r>
    </w:p>
    <w:p w:rsidR="003A7EE0" w:rsidRPr="00B775D2" w:rsidP="00B775D2" w14:paraId="39B69DBC" w14:textId="77777777">
      <w:pPr>
        <w:tabs>
          <w:tab w:val="left" w:pos="720"/>
        </w:tabs>
        <w:ind w:left="720" w:hanging="720"/>
        <w:rPr>
          <w:sz w:val="24"/>
          <w:szCs w:val="24"/>
        </w:rPr>
      </w:pPr>
    </w:p>
    <w:p w:rsidR="003A7EE0" w:rsidRPr="00B775D2" w:rsidP="00B775D2" w14:paraId="2DCE1309" w14:textId="7DADD481">
      <w:pPr>
        <w:tabs>
          <w:tab w:val="left" w:pos="720"/>
        </w:tabs>
        <w:ind w:left="720" w:hanging="720"/>
        <w:rPr>
          <w:sz w:val="24"/>
          <w:szCs w:val="24"/>
        </w:rPr>
      </w:pPr>
      <w:r>
        <w:rPr>
          <w:sz w:val="24"/>
          <w:szCs w:val="24"/>
        </w:rPr>
        <w:tab/>
      </w:r>
      <w:r w:rsidRPr="00B775D2" w:rsidR="00A5409F">
        <w:rPr>
          <w:sz w:val="24"/>
          <w:szCs w:val="24"/>
        </w:rPr>
        <w:t>In recent years</w:t>
      </w:r>
      <w:r w:rsidRPr="00B775D2">
        <w:rPr>
          <w:sz w:val="24"/>
          <w:szCs w:val="24"/>
        </w:rPr>
        <w:t xml:space="preserve">, this information </w:t>
      </w:r>
      <w:r w:rsidRPr="00B775D2" w:rsidR="00A5409F">
        <w:rPr>
          <w:sz w:val="24"/>
          <w:szCs w:val="24"/>
        </w:rPr>
        <w:t>has migrated to</w:t>
      </w:r>
      <w:r w:rsidRPr="00B775D2">
        <w:rPr>
          <w:sz w:val="24"/>
          <w:szCs w:val="24"/>
        </w:rPr>
        <w:t xml:space="preserve"> </w:t>
      </w:r>
      <w:r w:rsidRPr="00B775D2" w:rsidR="00A5409F">
        <w:rPr>
          <w:sz w:val="24"/>
          <w:szCs w:val="24"/>
        </w:rPr>
        <w:t xml:space="preserve">scanned, </w:t>
      </w:r>
      <w:r w:rsidRPr="00B775D2">
        <w:rPr>
          <w:sz w:val="24"/>
          <w:szCs w:val="24"/>
        </w:rPr>
        <w:t>automated, electronic, mechanical or other technological collection means.  Generally</w:t>
      </w:r>
      <w:r w:rsidR="001B7BFB">
        <w:rPr>
          <w:sz w:val="24"/>
          <w:szCs w:val="24"/>
        </w:rPr>
        <w:t>,</w:t>
      </w:r>
      <w:r w:rsidRPr="00B775D2">
        <w:rPr>
          <w:sz w:val="24"/>
          <w:szCs w:val="24"/>
        </w:rPr>
        <w:t xml:space="preserve"> the engagement letter, the working papers and the audit report(s) are generated initially in </w:t>
      </w:r>
      <w:r w:rsidRPr="00B775D2" w:rsidR="00BE5740">
        <w:rPr>
          <w:sz w:val="24"/>
          <w:szCs w:val="24"/>
        </w:rPr>
        <w:t>electronic form and printed in</w:t>
      </w:r>
      <w:r w:rsidRPr="00B775D2">
        <w:rPr>
          <w:sz w:val="24"/>
          <w:szCs w:val="24"/>
        </w:rPr>
        <w:t xml:space="preserve"> hardcopy paper form.  The form of subsequent storage and retention is a decision of the credit union.  </w:t>
      </w:r>
      <w:r w:rsidR="007526DA">
        <w:rPr>
          <w:sz w:val="24"/>
          <w:szCs w:val="24"/>
        </w:rPr>
        <w:t>A</w:t>
      </w:r>
      <w:r w:rsidRPr="00B775D2">
        <w:rPr>
          <w:sz w:val="24"/>
          <w:szCs w:val="24"/>
        </w:rPr>
        <w:t xml:space="preserve"> credit union </w:t>
      </w:r>
      <w:r w:rsidR="007526DA">
        <w:rPr>
          <w:sz w:val="24"/>
          <w:szCs w:val="24"/>
        </w:rPr>
        <w:t>may</w:t>
      </w:r>
      <w:r w:rsidRPr="00B775D2" w:rsidR="007526DA">
        <w:rPr>
          <w:sz w:val="24"/>
          <w:szCs w:val="24"/>
        </w:rPr>
        <w:t xml:space="preserve"> </w:t>
      </w:r>
      <w:r w:rsidRPr="00B775D2">
        <w:rPr>
          <w:sz w:val="24"/>
          <w:szCs w:val="24"/>
        </w:rPr>
        <w:t xml:space="preserve">choose to store the information through any reasonable means which would permit </w:t>
      </w:r>
      <w:r w:rsidR="007526DA">
        <w:rPr>
          <w:sz w:val="24"/>
          <w:szCs w:val="24"/>
        </w:rPr>
        <w:t xml:space="preserve">an </w:t>
      </w:r>
      <w:r w:rsidRPr="00B775D2">
        <w:rPr>
          <w:sz w:val="24"/>
          <w:szCs w:val="24"/>
        </w:rPr>
        <w:t xml:space="preserve">NCUA examination, e.g., optical scanning, microfiche, </w:t>
      </w:r>
      <w:r w:rsidRPr="00B775D2" w:rsidR="00BE5740">
        <w:rPr>
          <w:sz w:val="24"/>
          <w:szCs w:val="24"/>
        </w:rPr>
        <w:t xml:space="preserve">Microsoft, Adobe, </w:t>
      </w:r>
      <w:r w:rsidRPr="00B775D2">
        <w:rPr>
          <w:sz w:val="24"/>
          <w:szCs w:val="24"/>
        </w:rPr>
        <w:t>etc.  Credit unions are not precluded from using information technology to collect this information</w:t>
      </w:r>
      <w:r w:rsidRPr="00B775D2" w:rsidR="00A5409F">
        <w:rPr>
          <w:sz w:val="24"/>
          <w:szCs w:val="24"/>
        </w:rPr>
        <w:t>.</w:t>
      </w:r>
    </w:p>
    <w:p w:rsidR="003A7EE0" w:rsidRPr="00B775D2" w:rsidP="00B775D2" w14:paraId="55BCFCA9" w14:textId="77777777">
      <w:pPr>
        <w:tabs>
          <w:tab w:val="left" w:pos="720"/>
        </w:tabs>
        <w:ind w:left="720" w:hanging="720"/>
        <w:rPr>
          <w:sz w:val="24"/>
          <w:szCs w:val="24"/>
        </w:rPr>
      </w:pPr>
    </w:p>
    <w:p w:rsidR="003A7EE0" w:rsidP="00B775D2" w14:paraId="4E35C8AB" w14:textId="77777777">
      <w:pPr>
        <w:tabs>
          <w:tab w:val="left" w:pos="720"/>
        </w:tabs>
        <w:ind w:left="720" w:hanging="720"/>
        <w:rPr>
          <w:b/>
          <w:sz w:val="24"/>
          <w:szCs w:val="24"/>
        </w:rPr>
      </w:pPr>
      <w:r w:rsidRPr="00F03C26">
        <w:rPr>
          <w:b/>
          <w:sz w:val="24"/>
          <w:szCs w:val="24"/>
        </w:rPr>
        <w:t>4.</w:t>
      </w:r>
      <w:r w:rsidRPr="00F03C26">
        <w:rPr>
          <w:b/>
          <w:sz w:val="24"/>
          <w:szCs w:val="24"/>
        </w:rPr>
        <w:tab/>
      </w:r>
      <w:r w:rsidRPr="00F03C26" w:rsidR="00F03C26">
        <w:rPr>
          <w:b/>
          <w:sz w:val="24"/>
          <w:szCs w:val="24"/>
        </w:rPr>
        <w:t>Duplication</w:t>
      </w:r>
      <w:r w:rsidR="00660BF3">
        <w:rPr>
          <w:b/>
          <w:sz w:val="24"/>
          <w:szCs w:val="24"/>
        </w:rPr>
        <w:t xml:space="preserve"> of information</w:t>
      </w:r>
      <w:r w:rsidRPr="00F03C26" w:rsidR="00F03C26">
        <w:rPr>
          <w:b/>
          <w:sz w:val="24"/>
          <w:szCs w:val="24"/>
        </w:rPr>
        <w:t>.</w:t>
      </w:r>
    </w:p>
    <w:p w:rsidR="00F03C26" w:rsidP="00B775D2" w14:paraId="006029D5" w14:textId="77777777">
      <w:pPr>
        <w:tabs>
          <w:tab w:val="left" w:pos="720"/>
        </w:tabs>
        <w:ind w:left="720" w:hanging="720"/>
        <w:rPr>
          <w:sz w:val="24"/>
          <w:szCs w:val="24"/>
        </w:rPr>
      </w:pPr>
    </w:p>
    <w:p w:rsidR="003A7EE0" w:rsidRPr="00B775D2" w:rsidP="00B775D2" w14:paraId="04317E77" w14:textId="77777777">
      <w:pPr>
        <w:tabs>
          <w:tab w:val="left" w:pos="720"/>
        </w:tabs>
        <w:ind w:left="720" w:hanging="720"/>
        <w:rPr>
          <w:sz w:val="24"/>
          <w:szCs w:val="24"/>
        </w:rPr>
      </w:pPr>
      <w:r>
        <w:rPr>
          <w:sz w:val="24"/>
          <w:szCs w:val="24"/>
        </w:rPr>
        <w:tab/>
      </w:r>
      <w:r w:rsidRPr="00B775D2">
        <w:rPr>
          <w:sz w:val="24"/>
          <w:szCs w:val="24"/>
        </w:rPr>
        <w:t>Section 115 of the FCU</w:t>
      </w:r>
      <w:r w:rsidR="005A1B8C">
        <w:rPr>
          <w:sz w:val="24"/>
          <w:szCs w:val="24"/>
        </w:rPr>
        <w:t>A</w:t>
      </w:r>
      <w:r w:rsidRPr="00B775D2">
        <w:rPr>
          <w:sz w:val="24"/>
          <w:szCs w:val="24"/>
        </w:rPr>
        <w:t xml:space="preserve"> requires audit and verification for all FCUs.  </w:t>
      </w:r>
      <w:r w:rsidR="007526DA">
        <w:rPr>
          <w:sz w:val="24"/>
          <w:szCs w:val="24"/>
        </w:rPr>
        <w:t xml:space="preserve">Part </w:t>
      </w:r>
      <w:r w:rsidRPr="00B775D2">
        <w:rPr>
          <w:sz w:val="24"/>
          <w:szCs w:val="24"/>
        </w:rPr>
        <w:t xml:space="preserve">715 are </w:t>
      </w:r>
      <w:r w:rsidR="007526DA">
        <w:rPr>
          <w:sz w:val="24"/>
          <w:szCs w:val="24"/>
        </w:rPr>
        <w:t xml:space="preserve">the </w:t>
      </w:r>
      <w:r w:rsidRPr="00B775D2">
        <w:rPr>
          <w:sz w:val="24"/>
          <w:szCs w:val="24"/>
        </w:rPr>
        <w:t xml:space="preserve">implementing regulations for </w:t>
      </w:r>
      <w:r w:rsidRPr="00B775D2">
        <w:rPr>
          <w:sz w:val="24"/>
          <w:szCs w:val="24"/>
        </w:rPr>
        <w:t>FCUs</w:t>
      </w:r>
      <w:r w:rsidRPr="00B775D2">
        <w:rPr>
          <w:sz w:val="24"/>
          <w:szCs w:val="24"/>
        </w:rPr>
        <w:t xml:space="preserve"> and federally-insured state credit unions required to comply by insurance agreement and part 741 of NCUA regulations.  Other NCUA efforts to collect similar information, e.g., through the </w:t>
      </w:r>
      <w:r w:rsidRPr="00B775D2" w:rsidR="00A5409F">
        <w:rPr>
          <w:sz w:val="24"/>
          <w:szCs w:val="24"/>
        </w:rPr>
        <w:t xml:space="preserve">Call Report </w:t>
      </w:r>
      <w:r w:rsidRPr="00B775D2">
        <w:rPr>
          <w:sz w:val="24"/>
          <w:szCs w:val="24"/>
        </w:rPr>
        <w:t>and through the examination process, do not include the independent tests of controls and substantive testing on which to ensure sound financial reporting.</w:t>
      </w:r>
    </w:p>
    <w:p w:rsidR="003A7EE0" w:rsidRPr="00B775D2" w:rsidP="00B775D2" w14:paraId="79CD438A" w14:textId="77777777">
      <w:pPr>
        <w:tabs>
          <w:tab w:val="left" w:pos="720"/>
        </w:tabs>
        <w:ind w:left="720" w:hanging="720"/>
        <w:rPr>
          <w:sz w:val="24"/>
          <w:szCs w:val="24"/>
        </w:rPr>
      </w:pPr>
    </w:p>
    <w:p w:rsidR="003A7EE0" w:rsidP="00B775D2" w14:paraId="52A50911" w14:textId="77777777">
      <w:pPr>
        <w:tabs>
          <w:tab w:val="left" w:pos="720"/>
        </w:tabs>
        <w:ind w:left="720" w:hanging="720"/>
        <w:rPr>
          <w:b/>
          <w:sz w:val="24"/>
          <w:szCs w:val="24"/>
        </w:rPr>
      </w:pPr>
      <w:r w:rsidRPr="00F03C26">
        <w:rPr>
          <w:b/>
          <w:sz w:val="24"/>
          <w:szCs w:val="24"/>
        </w:rPr>
        <w:t>5.</w:t>
      </w:r>
      <w:r w:rsidRPr="00F03C26">
        <w:rPr>
          <w:b/>
          <w:sz w:val="24"/>
          <w:szCs w:val="24"/>
        </w:rPr>
        <w:tab/>
      </w:r>
      <w:r w:rsidR="00660BF3">
        <w:rPr>
          <w:b/>
          <w:sz w:val="24"/>
          <w:szCs w:val="24"/>
        </w:rPr>
        <w:t>Efforts to reduce burden</w:t>
      </w:r>
      <w:r w:rsidR="00F03C26">
        <w:rPr>
          <w:b/>
          <w:sz w:val="24"/>
          <w:szCs w:val="24"/>
        </w:rPr>
        <w:t xml:space="preserve"> on small e</w:t>
      </w:r>
      <w:r w:rsidRPr="00F03C26" w:rsidR="00F03C26">
        <w:rPr>
          <w:b/>
          <w:sz w:val="24"/>
          <w:szCs w:val="24"/>
        </w:rPr>
        <w:t>ntities</w:t>
      </w:r>
      <w:r w:rsidR="00F03C26">
        <w:rPr>
          <w:b/>
          <w:sz w:val="24"/>
          <w:szCs w:val="24"/>
        </w:rPr>
        <w:t>.</w:t>
      </w:r>
    </w:p>
    <w:p w:rsidR="00F03C26" w:rsidRPr="00F03C26" w:rsidP="007433A7" w14:paraId="2059B582" w14:textId="77777777">
      <w:pPr>
        <w:tabs>
          <w:tab w:val="left" w:pos="720"/>
        </w:tabs>
        <w:rPr>
          <w:sz w:val="24"/>
          <w:szCs w:val="24"/>
        </w:rPr>
      </w:pPr>
    </w:p>
    <w:p w:rsidR="003A7EE0" w:rsidRPr="00B775D2" w:rsidP="00B775D2" w14:paraId="2C94F805" w14:textId="77777777">
      <w:pPr>
        <w:tabs>
          <w:tab w:val="left" w:pos="720"/>
        </w:tabs>
        <w:ind w:left="720" w:hanging="720"/>
        <w:rPr>
          <w:sz w:val="24"/>
          <w:szCs w:val="24"/>
        </w:rPr>
      </w:pPr>
      <w:r>
        <w:rPr>
          <w:sz w:val="24"/>
          <w:szCs w:val="24"/>
        </w:rPr>
        <w:tab/>
      </w:r>
      <w:r w:rsidRPr="00B775D2">
        <w:rPr>
          <w:sz w:val="24"/>
          <w:szCs w:val="24"/>
        </w:rPr>
        <w:t>The majority of</w:t>
      </w:r>
      <w:r w:rsidRPr="00B775D2">
        <w:rPr>
          <w:sz w:val="24"/>
          <w:szCs w:val="24"/>
        </w:rPr>
        <w:t xml:space="preserve"> requirements are not applicable to smaller credit unions.  If the supervisory committee or an uncompensated designated representative will be performing the supervisory committee audit, many of the provisions of this part </w:t>
      </w:r>
      <w:r w:rsidRPr="00B775D2" w:rsidR="00BE5740">
        <w:rPr>
          <w:sz w:val="24"/>
          <w:szCs w:val="24"/>
        </w:rPr>
        <w:t>are less complex</w:t>
      </w:r>
      <w:r w:rsidRPr="00B775D2">
        <w:rPr>
          <w:sz w:val="24"/>
          <w:szCs w:val="24"/>
        </w:rPr>
        <w:t>.  These exemptions were added to minimize the burden on small credit unions.</w:t>
      </w:r>
    </w:p>
    <w:p w:rsidR="003A7EE0" w:rsidRPr="00B775D2" w:rsidP="00B775D2" w14:paraId="69FBAFB4" w14:textId="77777777">
      <w:pPr>
        <w:tabs>
          <w:tab w:val="left" w:pos="720"/>
        </w:tabs>
        <w:ind w:left="720" w:hanging="720"/>
        <w:rPr>
          <w:sz w:val="24"/>
          <w:szCs w:val="24"/>
        </w:rPr>
      </w:pPr>
    </w:p>
    <w:p w:rsidR="003A7EE0" w:rsidP="00B775D2" w14:paraId="77908F10" w14:textId="77777777">
      <w:pPr>
        <w:tabs>
          <w:tab w:val="left" w:pos="720"/>
        </w:tabs>
        <w:ind w:left="720" w:hanging="720"/>
        <w:rPr>
          <w:b/>
          <w:sz w:val="24"/>
          <w:szCs w:val="24"/>
        </w:rPr>
      </w:pPr>
      <w:r w:rsidRPr="00F03C26">
        <w:rPr>
          <w:b/>
          <w:sz w:val="24"/>
          <w:szCs w:val="24"/>
        </w:rPr>
        <w:t>6.</w:t>
      </w:r>
      <w:r w:rsidRPr="00F03C26">
        <w:rPr>
          <w:b/>
          <w:sz w:val="24"/>
          <w:szCs w:val="24"/>
        </w:rPr>
        <w:tab/>
      </w:r>
      <w:r w:rsidRPr="00F03C26" w:rsidR="00F03C26">
        <w:rPr>
          <w:b/>
          <w:sz w:val="24"/>
          <w:szCs w:val="24"/>
        </w:rPr>
        <w:t>Consequences of not conducting the collection.</w:t>
      </w:r>
    </w:p>
    <w:p w:rsidR="003A7EE0" w:rsidRPr="00F03C26" w:rsidP="00B775D2" w14:paraId="7FCD509F" w14:textId="77777777">
      <w:pPr>
        <w:tabs>
          <w:tab w:val="left" w:pos="720"/>
        </w:tabs>
        <w:ind w:left="720" w:hanging="720"/>
        <w:rPr>
          <w:b/>
          <w:sz w:val="24"/>
          <w:szCs w:val="24"/>
        </w:rPr>
      </w:pPr>
    </w:p>
    <w:p w:rsidR="003A7EE0" w:rsidRPr="00B775D2" w:rsidP="00B775D2" w14:paraId="029ACEB0" w14:textId="77777777">
      <w:pPr>
        <w:tabs>
          <w:tab w:val="left" w:pos="720"/>
        </w:tabs>
        <w:ind w:left="720" w:hanging="720"/>
        <w:rPr>
          <w:sz w:val="24"/>
          <w:szCs w:val="24"/>
        </w:rPr>
      </w:pPr>
      <w:r>
        <w:rPr>
          <w:sz w:val="24"/>
          <w:szCs w:val="24"/>
        </w:rPr>
        <w:tab/>
      </w:r>
      <w:r w:rsidRPr="00B775D2">
        <w:rPr>
          <w:sz w:val="24"/>
          <w:szCs w:val="24"/>
        </w:rPr>
        <w:t xml:space="preserve">Statute requires an annual audit and a report to the members at the annual meeting.   </w:t>
      </w:r>
      <w:r w:rsidR="00E86BE3">
        <w:rPr>
          <w:sz w:val="24"/>
          <w:szCs w:val="24"/>
        </w:rPr>
        <w:t xml:space="preserve">There would be substantial </w:t>
      </w:r>
      <w:r w:rsidRPr="00B775D2">
        <w:rPr>
          <w:sz w:val="24"/>
          <w:szCs w:val="24"/>
        </w:rPr>
        <w:t>risk to the credit union members and to the National Credit Union Share Insurance Fund which insures members’ deposits in credit unions</w:t>
      </w:r>
      <w:r w:rsidR="00E86BE3">
        <w:rPr>
          <w:sz w:val="24"/>
          <w:szCs w:val="24"/>
        </w:rPr>
        <w:t>, if the collection of information were not conducted</w:t>
      </w:r>
    </w:p>
    <w:p w:rsidR="003A7EE0" w:rsidRPr="00B775D2" w:rsidP="00B775D2" w14:paraId="07F7F136" w14:textId="77777777">
      <w:pPr>
        <w:tabs>
          <w:tab w:val="left" w:pos="720"/>
        </w:tabs>
        <w:ind w:left="720" w:hanging="720"/>
        <w:rPr>
          <w:sz w:val="24"/>
          <w:szCs w:val="24"/>
        </w:rPr>
      </w:pPr>
    </w:p>
    <w:p w:rsidR="00F03C26" w:rsidP="00F03C26" w14:paraId="4DED4BBB" w14:textId="77777777">
      <w:pPr>
        <w:pStyle w:val="ListParagraph"/>
        <w:tabs>
          <w:tab w:val="left" w:pos="720"/>
        </w:tabs>
        <w:ind w:left="0"/>
        <w:rPr>
          <w:b/>
        </w:rPr>
      </w:pPr>
      <w:r>
        <w:rPr>
          <w:b/>
        </w:rPr>
        <w:t>7.</w:t>
      </w:r>
      <w:r>
        <w:rPr>
          <w:b/>
        </w:rPr>
        <w:tab/>
        <w:t>Inconsistencies with guidelines in 5 CFR 1320.5(d)(2).</w:t>
      </w:r>
    </w:p>
    <w:p w:rsidR="00F03C26" w:rsidP="00A05927" w14:paraId="237F2EBA" w14:textId="77777777">
      <w:pPr>
        <w:numPr>
          <w:ilvl w:val="12"/>
          <w:numId w:val="0"/>
        </w:numPr>
        <w:rPr>
          <w:sz w:val="24"/>
          <w:szCs w:val="24"/>
        </w:rPr>
      </w:pPr>
    </w:p>
    <w:p w:rsidR="003A7EE0" w:rsidRPr="00B775D2" w:rsidP="00B775D2" w14:paraId="61304C0B" w14:textId="77777777">
      <w:pPr>
        <w:numPr>
          <w:ilvl w:val="12"/>
          <w:numId w:val="0"/>
        </w:numPr>
        <w:tabs>
          <w:tab w:val="left" w:pos="720"/>
        </w:tabs>
        <w:ind w:left="720" w:hanging="720"/>
        <w:rPr>
          <w:sz w:val="24"/>
          <w:szCs w:val="24"/>
        </w:rPr>
      </w:pPr>
      <w:r>
        <w:rPr>
          <w:sz w:val="24"/>
          <w:szCs w:val="24"/>
        </w:rPr>
        <w:tab/>
      </w:r>
      <w:r w:rsidRPr="00A05927" w:rsidR="00A05927">
        <w:rPr>
          <w:sz w:val="24"/>
          <w:szCs w:val="24"/>
        </w:rPr>
        <w:t>There are no special circumstances.  This collection is consistent with the guidelines in 5 CFR 1320.5(d)(2).</w:t>
      </w:r>
    </w:p>
    <w:p w:rsidR="000E25AB" w:rsidP="00F03C26" w14:paraId="14E21DDC" w14:textId="77777777">
      <w:pPr>
        <w:pStyle w:val="ListParagraph"/>
        <w:tabs>
          <w:tab w:val="left" w:pos="720"/>
        </w:tabs>
        <w:ind w:left="0"/>
        <w:rPr>
          <w:b/>
        </w:rPr>
      </w:pPr>
    </w:p>
    <w:p w:rsidR="00F03C26" w:rsidP="00F03C26" w14:paraId="41A04EEC" w14:textId="77777777">
      <w:pPr>
        <w:pStyle w:val="ListParagraph"/>
        <w:tabs>
          <w:tab w:val="left" w:pos="720"/>
        </w:tabs>
        <w:ind w:left="0"/>
        <w:rPr>
          <w:b/>
        </w:rPr>
      </w:pPr>
      <w:r w:rsidRPr="00F03C26">
        <w:rPr>
          <w:b/>
        </w:rPr>
        <w:t>8.</w:t>
      </w:r>
      <w:r w:rsidRPr="00F03C26">
        <w:rPr>
          <w:b/>
        </w:rPr>
        <w:tab/>
      </w:r>
      <w:r w:rsidR="00660BF3">
        <w:rPr>
          <w:b/>
        </w:rPr>
        <w:t xml:space="preserve">Efforts to consult with </w:t>
      </w:r>
      <w:r w:rsidR="00660BF3">
        <w:rPr>
          <w:b/>
        </w:rPr>
        <w:t>persons</w:t>
      </w:r>
      <w:r w:rsidR="00660BF3">
        <w:rPr>
          <w:b/>
        </w:rPr>
        <w:t xml:space="preserve"> outside the agency</w:t>
      </w:r>
      <w:r>
        <w:rPr>
          <w:b/>
        </w:rPr>
        <w:t>.</w:t>
      </w:r>
    </w:p>
    <w:p w:rsidR="00F03C26" w:rsidRPr="00A05927" w:rsidP="00B775D2" w14:paraId="3E0090F2" w14:textId="77777777">
      <w:pPr>
        <w:numPr>
          <w:ilvl w:val="12"/>
          <w:numId w:val="0"/>
        </w:numPr>
        <w:tabs>
          <w:tab w:val="left" w:pos="720"/>
        </w:tabs>
        <w:ind w:left="720" w:hanging="720"/>
        <w:rPr>
          <w:iCs/>
          <w:sz w:val="24"/>
          <w:szCs w:val="24"/>
        </w:rPr>
      </w:pPr>
    </w:p>
    <w:p w:rsidR="00885971" w:rsidRPr="00885971" w:rsidP="00885971" w14:paraId="797B3AC3" w14:textId="026E4118">
      <w:pPr>
        <w:numPr>
          <w:ilvl w:val="12"/>
          <w:numId w:val="0"/>
        </w:numPr>
        <w:tabs>
          <w:tab w:val="left" w:pos="720"/>
        </w:tabs>
        <w:ind w:left="720" w:hanging="720"/>
        <w:rPr>
          <w:sz w:val="24"/>
          <w:szCs w:val="24"/>
        </w:rPr>
      </w:pPr>
      <w:r>
        <w:rPr>
          <w:sz w:val="24"/>
          <w:szCs w:val="24"/>
        </w:rPr>
        <w:tab/>
      </w:r>
      <w:r w:rsidRPr="00885971">
        <w:rPr>
          <w:sz w:val="24"/>
          <w:szCs w:val="24"/>
        </w:rPr>
        <w:t xml:space="preserve">A 60-day notice for this information collection was published in the </w:t>
      </w:r>
      <w:r w:rsidRPr="00885971">
        <w:rPr>
          <w:i/>
          <w:iCs/>
          <w:sz w:val="24"/>
          <w:szCs w:val="24"/>
        </w:rPr>
        <w:t xml:space="preserve">Federal Register </w:t>
      </w:r>
      <w:r w:rsidRPr="00885971">
        <w:rPr>
          <w:sz w:val="24"/>
          <w:szCs w:val="24"/>
        </w:rPr>
        <w:t>on December 12, 2025, at 90 FR 57781, soliciting comments from the public. No public comments were received in response to this notice.</w:t>
      </w:r>
    </w:p>
    <w:p w:rsidR="003A7EE0" w:rsidRPr="00B775D2" w:rsidP="00B775D2" w14:paraId="36C56C41" w14:textId="078A48CC">
      <w:pPr>
        <w:numPr>
          <w:ilvl w:val="12"/>
          <w:numId w:val="0"/>
        </w:numPr>
        <w:tabs>
          <w:tab w:val="left" w:pos="720"/>
        </w:tabs>
        <w:ind w:left="720" w:hanging="720"/>
        <w:rPr>
          <w:sz w:val="24"/>
          <w:szCs w:val="24"/>
        </w:rPr>
      </w:pPr>
    </w:p>
    <w:p w:rsidR="0042472B" w:rsidRPr="00B775D2" w:rsidP="00B775D2" w14:paraId="4ED6D95F" w14:textId="77777777">
      <w:pPr>
        <w:numPr>
          <w:ilvl w:val="12"/>
          <w:numId w:val="0"/>
        </w:numPr>
        <w:tabs>
          <w:tab w:val="left" w:pos="720"/>
        </w:tabs>
        <w:ind w:left="720" w:hanging="720"/>
        <w:rPr>
          <w:sz w:val="24"/>
          <w:szCs w:val="24"/>
        </w:rPr>
      </w:pPr>
    </w:p>
    <w:p w:rsidR="00F03C26" w:rsidP="00F03C26" w14:paraId="235DF099" w14:textId="77777777">
      <w:pPr>
        <w:pStyle w:val="ListParagraph"/>
        <w:tabs>
          <w:tab w:val="left" w:pos="720"/>
        </w:tabs>
        <w:ind w:left="0"/>
        <w:rPr>
          <w:b/>
        </w:rPr>
      </w:pPr>
      <w:r w:rsidRPr="00F03C26">
        <w:rPr>
          <w:b/>
        </w:rPr>
        <w:t>9.</w:t>
      </w:r>
      <w:r w:rsidRPr="00F03C26">
        <w:rPr>
          <w:b/>
        </w:rPr>
        <w:tab/>
      </w:r>
      <w:r>
        <w:rPr>
          <w:b/>
        </w:rPr>
        <w:t>Payment or g</w:t>
      </w:r>
      <w:r w:rsidRPr="00F03C26">
        <w:rPr>
          <w:b/>
        </w:rPr>
        <w:t>ift</w:t>
      </w:r>
      <w:r>
        <w:rPr>
          <w:b/>
        </w:rPr>
        <w:t>s</w:t>
      </w:r>
      <w:r w:rsidR="00660BF3">
        <w:rPr>
          <w:b/>
        </w:rPr>
        <w:t xml:space="preserve"> to respondents</w:t>
      </w:r>
      <w:r>
        <w:rPr>
          <w:b/>
        </w:rPr>
        <w:t>.</w:t>
      </w:r>
    </w:p>
    <w:p w:rsidR="00A05927" w:rsidP="00B775D2" w14:paraId="65E3E450" w14:textId="77777777">
      <w:pPr>
        <w:numPr>
          <w:ilvl w:val="12"/>
          <w:numId w:val="0"/>
        </w:numPr>
        <w:tabs>
          <w:tab w:val="left" w:pos="720"/>
        </w:tabs>
        <w:ind w:left="720" w:hanging="720"/>
        <w:rPr>
          <w:sz w:val="24"/>
          <w:szCs w:val="24"/>
        </w:rPr>
      </w:pPr>
    </w:p>
    <w:p w:rsidR="003A7EE0" w:rsidRPr="0030431C" w:rsidP="00B775D2" w14:paraId="72BABCE2" w14:textId="77777777">
      <w:pPr>
        <w:numPr>
          <w:ilvl w:val="12"/>
          <w:numId w:val="0"/>
        </w:numPr>
        <w:tabs>
          <w:tab w:val="left" w:pos="720"/>
        </w:tabs>
        <w:ind w:left="720" w:hanging="720"/>
        <w:rPr>
          <w:sz w:val="24"/>
          <w:szCs w:val="24"/>
        </w:rPr>
      </w:pPr>
      <w:r>
        <w:rPr>
          <w:sz w:val="24"/>
          <w:szCs w:val="24"/>
        </w:rPr>
        <w:tab/>
      </w:r>
      <w:r w:rsidRPr="0030431C">
        <w:rPr>
          <w:sz w:val="24"/>
          <w:szCs w:val="24"/>
        </w:rPr>
        <w:t xml:space="preserve">No </w:t>
      </w:r>
      <w:r w:rsidRPr="0030431C" w:rsidR="005A1B8C">
        <w:rPr>
          <w:sz w:val="24"/>
          <w:szCs w:val="24"/>
        </w:rPr>
        <w:t>payments or gifts are offered</w:t>
      </w:r>
      <w:r w:rsidRPr="0030431C">
        <w:rPr>
          <w:sz w:val="24"/>
          <w:szCs w:val="24"/>
        </w:rPr>
        <w:t>.</w:t>
      </w:r>
    </w:p>
    <w:p w:rsidR="003A7EE0" w:rsidRPr="00B775D2" w:rsidP="00B775D2" w14:paraId="00ED128E" w14:textId="77777777">
      <w:pPr>
        <w:numPr>
          <w:ilvl w:val="12"/>
          <w:numId w:val="0"/>
        </w:numPr>
        <w:tabs>
          <w:tab w:val="left" w:pos="720"/>
        </w:tabs>
        <w:ind w:left="720" w:hanging="720"/>
        <w:rPr>
          <w:sz w:val="24"/>
          <w:szCs w:val="24"/>
        </w:rPr>
      </w:pPr>
    </w:p>
    <w:p w:rsidR="003A7EE0" w:rsidP="00B775D2" w14:paraId="21ED8D28" w14:textId="77777777">
      <w:pPr>
        <w:numPr>
          <w:ilvl w:val="12"/>
          <w:numId w:val="0"/>
        </w:numPr>
        <w:tabs>
          <w:tab w:val="left" w:pos="720"/>
        </w:tabs>
        <w:ind w:left="720" w:hanging="720"/>
        <w:rPr>
          <w:b/>
          <w:sz w:val="24"/>
          <w:szCs w:val="24"/>
        </w:rPr>
      </w:pPr>
      <w:r w:rsidRPr="00F03C26">
        <w:rPr>
          <w:b/>
          <w:sz w:val="24"/>
          <w:szCs w:val="24"/>
        </w:rPr>
        <w:t>10.</w:t>
      </w:r>
      <w:r w:rsidRPr="00F03C26">
        <w:rPr>
          <w:b/>
          <w:sz w:val="24"/>
          <w:szCs w:val="24"/>
        </w:rPr>
        <w:tab/>
      </w:r>
      <w:r w:rsidR="00660BF3">
        <w:rPr>
          <w:b/>
          <w:sz w:val="24"/>
          <w:szCs w:val="24"/>
        </w:rPr>
        <w:t>Assurance of c</w:t>
      </w:r>
      <w:r w:rsidR="00F03C26">
        <w:rPr>
          <w:b/>
          <w:sz w:val="24"/>
          <w:szCs w:val="24"/>
        </w:rPr>
        <w:t>onfidentiality</w:t>
      </w:r>
      <w:r w:rsidRPr="00F03C26">
        <w:rPr>
          <w:b/>
          <w:sz w:val="24"/>
          <w:szCs w:val="24"/>
        </w:rPr>
        <w:t>.</w:t>
      </w:r>
    </w:p>
    <w:p w:rsidR="003A7EE0" w:rsidRPr="00B775D2" w:rsidP="004D7F87" w14:paraId="314CFA85" w14:textId="77777777">
      <w:pPr>
        <w:numPr>
          <w:ilvl w:val="12"/>
          <w:numId w:val="0"/>
        </w:numPr>
        <w:tabs>
          <w:tab w:val="left" w:pos="720"/>
        </w:tabs>
        <w:rPr>
          <w:sz w:val="24"/>
          <w:szCs w:val="24"/>
        </w:rPr>
      </w:pPr>
    </w:p>
    <w:p w:rsidR="003A7EE0" w:rsidRPr="00B775D2" w:rsidP="00B775D2" w14:paraId="71338E20" w14:textId="77777777">
      <w:pPr>
        <w:numPr>
          <w:ilvl w:val="12"/>
          <w:numId w:val="0"/>
        </w:numPr>
        <w:tabs>
          <w:tab w:val="left" w:pos="720"/>
        </w:tabs>
        <w:ind w:left="720" w:hanging="720"/>
        <w:rPr>
          <w:sz w:val="24"/>
          <w:szCs w:val="24"/>
        </w:rPr>
      </w:pPr>
      <w:r>
        <w:rPr>
          <w:sz w:val="24"/>
          <w:szCs w:val="24"/>
        </w:rPr>
        <w:tab/>
      </w:r>
      <w:r w:rsidRPr="00B775D2">
        <w:rPr>
          <w:sz w:val="24"/>
          <w:szCs w:val="24"/>
        </w:rPr>
        <w:t xml:space="preserve">Some of the information the supervisory committee or its designated representative may gain </w:t>
      </w:r>
      <w:r w:rsidRPr="00B775D2">
        <w:rPr>
          <w:sz w:val="24"/>
          <w:szCs w:val="24"/>
        </w:rPr>
        <w:t>in the course of</w:t>
      </w:r>
      <w:r w:rsidRPr="00B775D2">
        <w:rPr>
          <w:sz w:val="24"/>
          <w:szCs w:val="24"/>
        </w:rPr>
        <w:t xml:space="preserve"> its </w:t>
      </w:r>
      <w:r w:rsidRPr="00B775D2">
        <w:rPr>
          <w:sz w:val="24"/>
          <w:szCs w:val="24"/>
        </w:rPr>
        <w:t>audit,</w:t>
      </w:r>
      <w:r w:rsidRPr="00B775D2">
        <w:rPr>
          <w:sz w:val="24"/>
          <w:szCs w:val="24"/>
        </w:rPr>
        <w:t xml:space="preserve"> may contain </w:t>
      </w:r>
      <w:r w:rsidRPr="00B775D2">
        <w:rPr>
          <w:sz w:val="24"/>
          <w:szCs w:val="24"/>
        </w:rPr>
        <w:t>some information</w:t>
      </w:r>
      <w:r w:rsidRPr="00B775D2">
        <w:rPr>
          <w:sz w:val="24"/>
          <w:szCs w:val="24"/>
        </w:rPr>
        <w:t xml:space="preserve"> of a confidential nature, e.g., transactions of a member.  </w:t>
      </w:r>
      <w:r w:rsidR="000C6D63">
        <w:rPr>
          <w:sz w:val="24"/>
          <w:szCs w:val="24"/>
        </w:rPr>
        <w:t xml:space="preserve">Section 748 </w:t>
      </w:r>
      <w:r w:rsidRPr="00B775D2">
        <w:rPr>
          <w:sz w:val="24"/>
          <w:szCs w:val="24"/>
        </w:rPr>
        <w:t>require</w:t>
      </w:r>
      <w:r w:rsidR="000C6D63">
        <w:rPr>
          <w:sz w:val="24"/>
          <w:szCs w:val="24"/>
        </w:rPr>
        <w:t>s</w:t>
      </w:r>
      <w:r w:rsidRPr="00B775D2">
        <w:rPr>
          <w:sz w:val="24"/>
          <w:szCs w:val="24"/>
        </w:rPr>
        <w:t xml:space="preserve"> credit union officials to hold such transactions in confidence.  NCUA, too, is bound to ensure the confidentiality of information obtained by the supervisory committee in the normal course of an audit or verification.</w:t>
      </w:r>
    </w:p>
    <w:p w:rsidR="003A7EE0" w:rsidRPr="00B775D2" w:rsidP="00B775D2" w14:paraId="61E066F5" w14:textId="77777777">
      <w:pPr>
        <w:numPr>
          <w:ilvl w:val="12"/>
          <w:numId w:val="0"/>
        </w:numPr>
        <w:tabs>
          <w:tab w:val="left" w:pos="720"/>
        </w:tabs>
        <w:ind w:left="720" w:hanging="720"/>
        <w:rPr>
          <w:sz w:val="24"/>
          <w:szCs w:val="24"/>
        </w:rPr>
      </w:pPr>
    </w:p>
    <w:p w:rsidR="003E31C9" w:rsidP="003E31C9" w14:paraId="78DABADD" w14:textId="77777777">
      <w:pPr>
        <w:numPr>
          <w:ilvl w:val="12"/>
          <w:numId w:val="0"/>
        </w:numPr>
        <w:ind w:left="720" w:hanging="720"/>
        <w:rPr>
          <w:b/>
          <w:sz w:val="24"/>
          <w:szCs w:val="24"/>
        </w:rPr>
      </w:pPr>
      <w:r w:rsidRPr="000E1025">
        <w:rPr>
          <w:b/>
          <w:sz w:val="24"/>
          <w:szCs w:val="24"/>
        </w:rPr>
        <w:t>11.</w:t>
      </w:r>
      <w:r w:rsidRPr="000E1025">
        <w:rPr>
          <w:b/>
          <w:sz w:val="24"/>
          <w:szCs w:val="24"/>
        </w:rPr>
        <w:tab/>
        <w:t>Questions of a sensitive nature.</w:t>
      </w:r>
    </w:p>
    <w:p w:rsidR="000E1025" w:rsidP="003E31C9" w14:paraId="7A3FA5C5" w14:textId="77777777">
      <w:pPr>
        <w:numPr>
          <w:ilvl w:val="12"/>
          <w:numId w:val="0"/>
        </w:numPr>
        <w:ind w:left="720" w:hanging="720"/>
        <w:rPr>
          <w:sz w:val="24"/>
          <w:szCs w:val="24"/>
        </w:rPr>
      </w:pPr>
    </w:p>
    <w:p w:rsidR="000E1025" w:rsidP="003E31C9" w14:paraId="76C76F93" w14:textId="4DB0A19E">
      <w:pPr>
        <w:numPr>
          <w:ilvl w:val="12"/>
          <w:numId w:val="0"/>
        </w:numPr>
        <w:ind w:left="720" w:hanging="720"/>
        <w:rPr>
          <w:sz w:val="24"/>
          <w:szCs w:val="24"/>
        </w:rPr>
      </w:pPr>
      <w:r>
        <w:rPr>
          <w:sz w:val="24"/>
          <w:szCs w:val="24"/>
        </w:rPr>
        <w:tab/>
        <w:t>No personally identifiable information (PII) is collected.</w:t>
      </w:r>
    </w:p>
    <w:p w:rsidR="004D7F87" w:rsidP="003E31C9" w14:paraId="5C1041BA" w14:textId="77777777">
      <w:pPr>
        <w:numPr>
          <w:ilvl w:val="12"/>
          <w:numId w:val="0"/>
        </w:numPr>
        <w:ind w:left="720" w:hanging="720"/>
        <w:rPr>
          <w:sz w:val="24"/>
          <w:szCs w:val="24"/>
        </w:rPr>
      </w:pPr>
    </w:p>
    <w:p w:rsidR="003A7EE0" w:rsidP="003E31C9" w14:paraId="76B668FD" w14:textId="77777777">
      <w:pPr>
        <w:numPr>
          <w:ilvl w:val="12"/>
          <w:numId w:val="0"/>
        </w:numPr>
        <w:ind w:left="720" w:hanging="720"/>
        <w:rPr>
          <w:b/>
          <w:sz w:val="24"/>
          <w:szCs w:val="24"/>
        </w:rPr>
      </w:pPr>
      <w:r w:rsidRPr="00F03C26">
        <w:rPr>
          <w:b/>
          <w:sz w:val="24"/>
          <w:szCs w:val="24"/>
        </w:rPr>
        <w:t>12.</w:t>
      </w:r>
      <w:r w:rsidRPr="00F03C26">
        <w:rPr>
          <w:b/>
          <w:sz w:val="24"/>
          <w:szCs w:val="24"/>
        </w:rPr>
        <w:tab/>
      </w:r>
      <w:r w:rsidR="00F03C26">
        <w:rPr>
          <w:b/>
          <w:sz w:val="24"/>
          <w:szCs w:val="24"/>
        </w:rPr>
        <w:t>Burden of information collection.</w:t>
      </w:r>
    </w:p>
    <w:p w:rsidR="003A7EE0" w:rsidRPr="00B775D2" w:rsidP="007433A7" w14:paraId="4EE6ABBE" w14:textId="77777777">
      <w:pPr>
        <w:numPr>
          <w:ilvl w:val="12"/>
          <w:numId w:val="0"/>
        </w:numPr>
        <w:tabs>
          <w:tab w:val="left" w:pos="720"/>
        </w:tabs>
        <w:rPr>
          <w:sz w:val="24"/>
          <w:szCs w:val="24"/>
        </w:rPr>
      </w:pPr>
    </w:p>
    <w:p w:rsidR="003A7EE0" w:rsidP="00B775D2" w14:paraId="02577F5B" w14:textId="77777777">
      <w:pPr>
        <w:numPr>
          <w:ilvl w:val="12"/>
          <w:numId w:val="0"/>
        </w:numPr>
        <w:tabs>
          <w:tab w:val="left" w:pos="720"/>
        </w:tabs>
        <w:ind w:left="720" w:hanging="720"/>
        <w:rPr>
          <w:sz w:val="24"/>
          <w:szCs w:val="24"/>
        </w:rPr>
      </w:pPr>
      <w:r>
        <w:rPr>
          <w:sz w:val="24"/>
          <w:szCs w:val="24"/>
        </w:rPr>
        <w:tab/>
      </w:r>
      <w:r w:rsidRPr="00B775D2">
        <w:rPr>
          <w:sz w:val="24"/>
          <w:szCs w:val="24"/>
        </w:rPr>
        <w:t>The obtaining of an annual audit by a financial institution is a customar</w:t>
      </w:r>
      <w:r w:rsidR="004D7F87">
        <w:rPr>
          <w:sz w:val="24"/>
          <w:szCs w:val="24"/>
        </w:rPr>
        <w:t xml:space="preserve">y and usual business practice. </w:t>
      </w:r>
      <w:r w:rsidRPr="00B775D2">
        <w:rPr>
          <w:sz w:val="24"/>
          <w:szCs w:val="24"/>
        </w:rPr>
        <w:t xml:space="preserve">Nonetheless, we provide the following </w:t>
      </w:r>
      <w:r w:rsidRPr="00B775D2" w:rsidR="005655E1">
        <w:rPr>
          <w:sz w:val="24"/>
          <w:szCs w:val="24"/>
        </w:rPr>
        <w:t xml:space="preserve">annual hour burden </w:t>
      </w:r>
      <w:r w:rsidRPr="00B775D2">
        <w:rPr>
          <w:sz w:val="24"/>
          <w:szCs w:val="24"/>
        </w:rPr>
        <w:t>estimates:</w:t>
      </w:r>
    </w:p>
    <w:p w:rsidR="007433A7" w:rsidP="00B775D2" w14:paraId="71BD65AD" w14:textId="77777777">
      <w:pPr>
        <w:numPr>
          <w:ilvl w:val="12"/>
          <w:numId w:val="0"/>
        </w:numPr>
        <w:tabs>
          <w:tab w:val="left" w:pos="720"/>
        </w:tabs>
        <w:ind w:left="720" w:hanging="720"/>
        <w:rPr>
          <w:sz w:val="24"/>
          <w:szCs w:val="24"/>
        </w:rPr>
      </w:pPr>
    </w:p>
    <w:tbl>
      <w:tblPr>
        <w:tblW w:w="5406" w:type="pct"/>
        <w:tblInd w:w="-342" w:type="dxa"/>
        <w:tblLayout w:type="fixed"/>
        <w:tblLook w:val="04A0"/>
      </w:tblPr>
      <w:tblGrid>
        <w:gridCol w:w="293"/>
        <w:gridCol w:w="968"/>
        <w:gridCol w:w="3387"/>
        <w:gridCol w:w="887"/>
        <w:gridCol w:w="1012"/>
        <w:gridCol w:w="932"/>
        <w:gridCol w:w="877"/>
        <w:gridCol w:w="877"/>
        <w:gridCol w:w="871"/>
      </w:tblGrid>
      <w:tr w14:paraId="19528035" w14:textId="77777777" w:rsidTr="00597C25">
        <w:tblPrEx>
          <w:tblW w:w="5406" w:type="pct"/>
          <w:tblInd w:w="-342" w:type="dxa"/>
          <w:tblLayout w:type="fixed"/>
          <w:tblLook w:val="04A0"/>
        </w:tblPrEx>
        <w:trPr>
          <w:trHeight w:val="780"/>
        </w:trPr>
        <w:tc>
          <w:tcPr>
            <w:tcW w:w="145" w:type="pct"/>
            <w:tcBorders>
              <w:top w:val="single" w:sz="4" w:space="0" w:color="auto"/>
              <w:left w:val="single" w:sz="4" w:space="0" w:color="auto"/>
              <w:bottom w:val="single" w:sz="8" w:space="0" w:color="auto"/>
              <w:right w:val="single" w:sz="4" w:space="0" w:color="auto"/>
            </w:tcBorders>
            <w:shd w:val="clear" w:color="000000" w:fill="D9D9D9"/>
          </w:tcPr>
          <w:p w:rsidR="006A32C6" w:rsidRPr="007433A7" w:rsidP="007433A7" w14:paraId="09F290B8" w14:textId="77777777">
            <w:pPr>
              <w:overflowPunct/>
              <w:autoSpaceDE/>
              <w:autoSpaceDN/>
              <w:adjustRightInd/>
              <w:jc w:val="center"/>
              <w:textAlignment w:val="auto"/>
              <w:rPr>
                <w:rFonts w:ascii="Arial Narrow" w:hAnsi="Arial Narrow" w:cs="Calibri"/>
                <w:color w:val="000000"/>
                <w:sz w:val="18"/>
                <w:szCs w:val="18"/>
              </w:rPr>
            </w:pPr>
          </w:p>
        </w:tc>
        <w:tc>
          <w:tcPr>
            <w:tcW w:w="479"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rsidR="006A32C6" w:rsidRPr="007433A7" w:rsidP="007433A7" w14:paraId="39A6986B" w14:textId="77777777">
            <w:pPr>
              <w:overflowPunct/>
              <w:autoSpaceDE/>
              <w:autoSpaceDN/>
              <w:adjustRightInd/>
              <w:jc w:val="center"/>
              <w:textAlignment w:val="auto"/>
              <w:rPr>
                <w:rFonts w:ascii="Arial Narrow" w:hAnsi="Arial Narrow" w:cs="Calibri"/>
                <w:color w:val="000000"/>
                <w:sz w:val="18"/>
                <w:szCs w:val="18"/>
              </w:rPr>
            </w:pPr>
            <w:r w:rsidRPr="007433A7">
              <w:rPr>
                <w:rFonts w:ascii="Arial Narrow" w:hAnsi="Arial Narrow" w:cs="Calibri"/>
                <w:color w:val="000000"/>
                <w:sz w:val="18"/>
                <w:szCs w:val="18"/>
              </w:rPr>
              <w:t>12 CFR</w:t>
            </w:r>
          </w:p>
        </w:tc>
        <w:tc>
          <w:tcPr>
            <w:tcW w:w="1676" w:type="pct"/>
            <w:tcBorders>
              <w:top w:val="single" w:sz="4" w:space="0" w:color="auto"/>
              <w:left w:val="nil"/>
              <w:bottom w:val="single" w:sz="8" w:space="0" w:color="auto"/>
              <w:right w:val="single" w:sz="4" w:space="0" w:color="auto"/>
            </w:tcBorders>
            <w:shd w:val="clear" w:color="000000" w:fill="D9D9D9"/>
            <w:noWrap/>
            <w:vAlign w:val="center"/>
            <w:hideMark/>
          </w:tcPr>
          <w:p w:rsidR="006A32C6" w:rsidRPr="007433A7" w:rsidP="007433A7" w14:paraId="473215D7" w14:textId="77777777">
            <w:pPr>
              <w:overflowPunct/>
              <w:autoSpaceDE/>
              <w:autoSpaceDN/>
              <w:adjustRightInd/>
              <w:jc w:val="center"/>
              <w:textAlignment w:val="auto"/>
              <w:rPr>
                <w:rFonts w:ascii="Arial Narrow" w:hAnsi="Arial Narrow" w:cs="Calibri"/>
                <w:color w:val="000000"/>
                <w:sz w:val="16"/>
                <w:szCs w:val="16"/>
              </w:rPr>
            </w:pPr>
            <w:r w:rsidRPr="007433A7">
              <w:rPr>
                <w:rFonts w:ascii="Arial Narrow" w:hAnsi="Arial Narrow" w:cs="Calibri"/>
                <w:color w:val="000000"/>
                <w:sz w:val="16"/>
                <w:szCs w:val="16"/>
              </w:rPr>
              <w:t>Information Collection Activity</w:t>
            </w:r>
          </w:p>
        </w:tc>
        <w:tc>
          <w:tcPr>
            <w:tcW w:w="439" w:type="pct"/>
            <w:tcBorders>
              <w:top w:val="single" w:sz="4" w:space="0" w:color="auto"/>
              <w:left w:val="nil"/>
              <w:bottom w:val="single" w:sz="8" w:space="0" w:color="auto"/>
              <w:right w:val="single" w:sz="4" w:space="0" w:color="auto"/>
            </w:tcBorders>
            <w:shd w:val="clear" w:color="000000" w:fill="D9D9D9"/>
            <w:vAlign w:val="center"/>
            <w:hideMark/>
          </w:tcPr>
          <w:p w:rsidR="006A32C6" w:rsidRPr="007433A7" w:rsidP="007433A7" w14:paraId="677CB231" w14:textId="77777777">
            <w:pPr>
              <w:overflowPunct/>
              <w:autoSpaceDE/>
              <w:autoSpaceDN/>
              <w:adjustRightInd/>
              <w:jc w:val="center"/>
              <w:textAlignment w:val="auto"/>
              <w:rPr>
                <w:rFonts w:ascii="Arial Narrow" w:hAnsi="Arial Narrow" w:cs="Calibri"/>
                <w:color w:val="000000"/>
                <w:sz w:val="16"/>
                <w:szCs w:val="16"/>
              </w:rPr>
            </w:pPr>
            <w:r w:rsidRPr="007433A7">
              <w:rPr>
                <w:rFonts w:ascii="Arial Narrow" w:hAnsi="Arial Narrow" w:cs="Calibri"/>
                <w:color w:val="000000"/>
                <w:sz w:val="16"/>
                <w:szCs w:val="16"/>
              </w:rPr>
              <w:t>Type of Burden</w:t>
            </w:r>
          </w:p>
        </w:tc>
        <w:tc>
          <w:tcPr>
            <w:tcW w:w="501" w:type="pct"/>
            <w:tcBorders>
              <w:top w:val="single" w:sz="4" w:space="0" w:color="auto"/>
              <w:left w:val="nil"/>
              <w:bottom w:val="single" w:sz="8" w:space="0" w:color="auto"/>
              <w:right w:val="single" w:sz="4" w:space="0" w:color="auto"/>
            </w:tcBorders>
            <w:shd w:val="clear" w:color="000000" w:fill="D9D9D9"/>
            <w:vAlign w:val="center"/>
            <w:hideMark/>
          </w:tcPr>
          <w:p w:rsidR="006A32C6" w:rsidRPr="007433A7" w:rsidP="007433A7" w14:paraId="35CD00E1" w14:textId="77777777">
            <w:pPr>
              <w:overflowPunct/>
              <w:autoSpaceDE/>
              <w:autoSpaceDN/>
              <w:adjustRightInd/>
              <w:jc w:val="center"/>
              <w:textAlignment w:val="auto"/>
              <w:rPr>
                <w:rFonts w:ascii="Arial Narrow" w:hAnsi="Arial Narrow" w:cs="Calibri"/>
                <w:color w:val="000000"/>
                <w:sz w:val="16"/>
                <w:szCs w:val="16"/>
              </w:rPr>
            </w:pPr>
            <w:r w:rsidRPr="007433A7">
              <w:rPr>
                <w:rFonts w:ascii="Arial Narrow" w:hAnsi="Arial Narrow" w:cs="Calibri"/>
                <w:color w:val="000000"/>
                <w:sz w:val="16"/>
                <w:szCs w:val="16"/>
              </w:rPr>
              <w:t># Respondents</w:t>
            </w:r>
          </w:p>
        </w:tc>
        <w:tc>
          <w:tcPr>
            <w:tcW w:w="461" w:type="pct"/>
            <w:tcBorders>
              <w:top w:val="single" w:sz="4" w:space="0" w:color="auto"/>
              <w:left w:val="nil"/>
              <w:bottom w:val="single" w:sz="8" w:space="0" w:color="auto"/>
              <w:right w:val="single" w:sz="4" w:space="0" w:color="auto"/>
            </w:tcBorders>
            <w:shd w:val="clear" w:color="000000" w:fill="D9D9D9"/>
            <w:vAlign w:val="center"/>
            <w:hideMark/>
          </w:tcPr>
          <w:p w:rsidR="006A32C6" w:rsidRPr="007433A7" w:rsidP="007433A7" w14:paraId="14A793FA" w14:textId="77777777">
            <w:pPr>
              <w:overflowPunct/>
              <w:autoSpaceDE/>
              <w:autoSpaceDN/>
              <w:adjustRightInd/>
              <w:jc w:val="center"/>
              <w:textAlignment w:val="auto"/>
              <w:rPr>
                <w:rFonts w:ascii="Arial Narrow" w:hAnsi="Arial Narrow" w:cs="Calibri"/>
                <w:color w:val="000000"/>
                <w:sz w:val="16"/>
                <w:szCs w:val="16"/>
              </w:rPr>
            </w:pPr>
            <w:r w:rsidRPr="007433A7">
              <w:rPr>
                <w:rFonts w:ascii="Arial Narrow" w:hAnsi="Arial Narrow" w:cs="Calibri"/>
                <w:color w:val="000000"/>
                <w:sz w:val="16"/>
                <w:szCs w:val="16"/>
              </w:rPr>
              <w:t># Responses per Respondent</w:t>
            </w:r>
          </w:p>
        </w:tc>
        <w:tc>
          <w:tcPr>
            <w:tcW w:w="434" w:type="pct"/>
            <w:tcBorders>
              <w:top w:val="single" w:sz="4" w:space="0" w:color="auto"/>
              <w:left w:val="nil"/>
              <w:bottom w:val="single" w:sz="8" w:space="0" w:color="auto"/>
              <w:right w:val="single" w:sz="4" w:space="0" w:color="auto"/>
            </w:tcBorders>
            <w:shd w:val="clear" w:color="000000" w:fill="D9D9D9"/>
            <w:vAlign w:val="center"/>
            <w:hideMark/>
          </w:tcPr>
          <w:p w:rsidR="006A32C6" w:rsidRPr="007433A7" w:rsidP="007433A7" w14:paraId="7BE4A84C" w14:textId="77777777">
            <w:pPr>
              <w:overflowPunct/>
              <w:autoSpaceDE/>
              <w:autoSpaceDN/>
              <w:adjustRightInd/>
              <w:jc w:val="center"/>
              <w:textAlignment w:val="auto"/>
              <w:rPr>
                <w:rFonts w:ascii="Arial Narrow" w:hAnsi="Arial Narrow" w:cs="Calibri"/>
                <w:color w:val="000000"/>
                <w:sz w:val="16"/>
                <w:szCs w:val="16"/>
              </w:rPr>
            </w:pPr>
            <w:r w:rsidRPr="007433A7">
              <w:rPr>
                <w:rFonts w:ascii="Arial Narrow" w:hAnsi="Arial Narrow" w:cs="Calibri"/>
                <w:color w:val="000000"/>
                <w:sz w:val="16"/>
                <w:szCs w:val="16"/>
              </w:rPr>
              <w:t># Annual Response</w:t>
            </w:r>
          </w:p>
        </w:tc>
        <w:tc>
          <w:tcPr>
            <w:tcW w:w="434" w:type="pct"/>
            <w:tcBorders>
              <w:top w:val="single" w:sz="4" w:space="0" w:color="auto"/>
              <w:left w:val="nil"/>
              <w:bottom w:val="single" w:sz="8" w:space="0" w:color="auto"/>
              <w:right w:val="single" w:sz="4" w:space="0" w:color="auto"/>
            </w:tcBorders>
            <w:shd w:val="clear" w:color="000000" w:fill="D9D9D9"/>
            <w:vAlign w:val="center"/>
            <w:hideMark/>
          </w:tcPr>
          <w:p w:rsidR="006A32C6" w:rsidRPr="007433A7" w:rsidP="007433A7" w14:paraId="0E195A95" w14:textId="77777777">
            <w:pPr>
              <w:overflowPunct/>
              <w:autoSpaceDE/>
              <w:autoSpaceDN/>
              <w:adjustRightInd/>
              <w:jc w:val="center"/>
              <w:textAlignment w:val="auto"/>
              <w:rPr>
                <w:rFonts w:ascii="Arial Narrow" w:hAnsi="Arial Narrow" w:cs="Calibri"/>
                <w:color w:val="000000"/>
                <w:sz w:val="16"/>
                <w:szCs w:val="16"/>
              </w:rPr>
            </w:pPr>
            <w:r w:rsidRPr="007433A7">
              <w:rPr>
                <w:rFonts w:ascii="Arial Narrow" w:hAnsi="Arial Narrow" w:cs="Calibri"/>
                <w:color w:val="000000"/>
                <w:sz w:val="16"/>
                <w:szCs w:val="16"/>
              </w:rPr>
              <w:t>Hours per Response</w:t>
            </w:r>
          </w:p>
        </w:tc>
        <w:tc>
          <w:tcPr>
            <w:tcW w:w="431" w:type="pct"/>
            <w:tcBorders>
              <w:top w:val="single" w:sz="4" w:space="0" w:color="auto"/>
              <w:left w:val="nil"/>
              <w:bottom w:val="single" w:sz="8" w:space="0" w:color="auto"/>
              <w:right w:val="single" w:sz="8" w:space="0" w:color="auto"/>
            </w:tcBorders>
            <w:shd w:val="clear" w:color="000000" w:fill="D9D9D9"/>
            <w:vAlign w:val="center"/>
            <w:hideMark/>
          </w:tcPr>
          <w:p w:rsidR="006A32C6" w:rsidRPr="007433A7" w:rsidP="007433A7" w14:paraId="7DB4BA0D" w14:textId="77777777">
            <w:pPr>
              <w:overflowPunct/>
              <w:autoSpaceDE/>
              <w:autoSpaceDN/>
              <w:adjustRightInd/>
              <w:jc w:val="center"/>
              <w:textAlignment w:val="auto"/>
              <w:rPr>
                <w:rFonts w:ascii="Arial Narrow" w:hAnsi="Arial Narrow" w:cs="Calibri"/>
                <w:color w:val="000000"/>
                <w:sz w:val="16"/>
                <w:szCs w:val="16"/>
              </w:rPr>
            </w:pPr>
            <w:r w:rsidRPr="007433A7">
              <w:rPr>
                <w:rFonts w:ascii="Arial Narrow" w:hAnsi="Arial Narrow" w:cs="Calibri"/>
                <w:color w:val="000000"/>
                <w:sz w:val="16"/>
                <w:szCs w:val="16"/>
              </w:rPr>
              <w:t>Total Annual Burden</w:t>
            </w:r>
          </w:p>
        </w:tc>
      </w:tr>
      <w:tr w14:paraId="45BDDFA8" w14:textId="77777777" w:rsidTr="00597C25">
        <w:tblPrEx>
          <w:tblW w:w="5406" w:type="pct"/>
          <w:tblInd w:w="-342" w:type="dxa"/>
          <w:tblLayout w:type="fixed"/>
          <w:tblLook w:val="04A0"/>
        </w:tblPrEx>
        <w:trPr>
          <w:trHeight w:val="1440"/>
        </w:trPr>
        <w:tc>
          <w:tcPr>
            <w:tcW w:w="145" w:type="pct"/>
            <w:tcBorders>
              <w:top w:val="nil"/>
              <w:left w:val="single" w:sz="4" w:space="0" w:color="auto"/>
              <w:bottom w:val="nil"/>
              <w:right w:val="single" w:sz="4" w:space="0" w:color="auto"/>
            </w:tcBorders>
            <w:vAlign w:val="center"/>
          </w:tcPr>
          <w:p w:rsidR="006A32C6" w:rsidRPr="006A32C6" w:rsidP="006A32C6" w14:paraId="0D0D31EC" w14:textId="77777777">
            <w:pPr>
              <w:overflowPunct/>
              <w:autoSpaceDE/>
              <w:autoSpaceDN/>
              <w:adjustRightInd/>
              <w:jc w:val="center"/>
              <w:textAlignment w:val="auto"/>
              <w:rPr>
                <w:rFonts w:ascii="Arial" w:hAnsi="Arial" w:cs="Arial"/>
                <w:color w:val="000000"/>
                <w:sz w:val="16"/>
                <w:szCs w:val="16"/>
              </w:rPr>
            </w:pPr>
            <w:r w:rsidRPr="006A32C6">
              <w:rPr>
                <w:rFonts w:ascii="Arial" w:hAnsi="Arial" w:cs="Arial"/>
                <w:color w:val="000000"/>
                <w:sz w:val="16"/>
                <w:szCs w:val="16"/>
              </w:rPr>
              <w:t>1</w:t>
            </w:r>
          </w:p>
        </w:tc>
        <w:tc>
          <w:tcPr>
            <w:tcW w:w="479" w:type="pct"/>
            <w:tcBorders>
              <w:top w:val="nil"/>
              <w:left w:val="single" w:sz="4" w:space="0" w:color="auto"/>
              <w:bottom w:val="nil"/>
              <w:right w:val="single" w:sz="4" w:space="0" w:color="auto"/>
            </w:tcBorders>
            <w:vAlign w:val="center"/>
            <w:hideMark/>
          </w:tcPr>
          <w:p w:rsidR="006A32C6" w:rsidRPr="006A32C6" w:rsidP="007433A7" w14:paraId="4E40D4D8"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715.5(a), 715.6(a)</w:t>
            </w:r>
          </w:p>
        </w:tc>
        <w:tc>
          <w:tcPr>
            <w:tcW w:w="1676" w:type="pct"/>
            <w:tcBorders>
              <w:top w:val="nil"/>
              <w:left w:val="nil"/>
              <w:bottom w:val="dotted" w:sz="4" w:space="0" w:color="auto"/>
              <w:right w:val="single" w:sz="4" w:space="0" w:color="auto"/>
            </w:tcBorders>
            <w:vAlign w:val="center"/>
            <w:hideMark/>
          </w:tcPr>
          <w:p w:rsidR="006A32C6" w:rsidRPr="0091244C" w:rsidP="007433A7" w14:paraId="28323F75" w14:textId="77777777">
            <w:pPr>
              <w:overflowPunct/>
              <w:autoSpaceDE/>
              <w:autoSpaceDN/>
              <w:adjustRightInd/>
              <w:textAlignment w:val="auto"/>
              <w:rPr>
                <w:rFonts w:ascii="Arial" w:hAnsi="Arial" w:cs="Arial"/>
                <w:color w:val="000000"/>
                <w:sz w:val="16"/>
                <w:szCs w:val="16"/>
              </w:rPr>
            </w:pPr>
            <w:r w:rsidRPr="0091244C">
              <w:rPr>
                <w:rFonts w:ascii="Arial" w:hAnsi="Arial" w:cs="Arial"/>
                <w:b/>
                <w:bCs/>
                <w:color w:val="000000"/>
                <w:sz w:val="16"/>
                <w:szCs w:val="16"/>
              </w:rPr>
              <w:t xml:space="preserve">Financial Statement Audit Performed by State-licensed Person. </w:t>
            </w:r>
            <w:r w:rsidRPr="0091244C">
              <w:rPr>
                <w:rFonts w:ascii="Arial" w:hAnsi="Arial" w:cs="Arial"/>
                <w:color w:val="000000"/>
                <w:sz w:val="16"/>
                <w:szCs w:val="16"/>
              </w:rPr>
              <w:t>Total assets of $500 M or greater. A FCU &amp; FISCU must obtain an annual audit of its financial statements performed in accordance with GAAS by an independent person who is licensed to so do by the State or jurisdiction.</w:t>
            </w:r>
          </w:p>
        </w:tc>
        <w:tc>
          <w:tcPr>
            <w:tcW w:w="439" w:type="pct"/>
            <w:tcBorders>
              <w:top w:val="nil"/>
              <w:left w:val="nil"/>
              <w:bottom w:val="dotted" w:sz="4" w:space="0" w:color="auto"/>
              <w:right w:val="single" w:sz="4" w:space="0" w:color="auto"/>
            </w:tcBorders>
            <w:vAlign w:val="center"/>
            <w:hideMark/>
          </w:tcPr>
          <w:p w:rsidR="006A32C6" w:rsidRPr="006A32C6" w:rsidP="007433A7" w14:paraId="2AB92EF1"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Record- keeping</w:t>
            </w:r>
          </w:p>
        </w:tc>
        <w:tc>
          <w:tcPr>
            <w:tcW w:w="501" w:type="pct"/>
            <w:tcBorders>
              <w:top w:val="nil"/>
              <w:left w:val="nil"/>
              <w:bottom w:val="dotted" w:sz="4" w:space="0" w:color="auto"/>
              <w:right w:val="single" w:sz="4" w:space="0" w:color="auto"/>
            </w:tcBorders>
            <w:vAlign w:val="center"/>
            <w:hideMark/>
          </w:tcPr>
          <w:p w:rsidR="006A32C6" w:rsidRPr="006A32C6" w:rsidP="007433A7" w14:paraId="1D4A9950" w14:textId="6AB83CDE">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740</w:t>
            </w:r>
          </w:p>
        </w:tc>
        <w:tc>
          <w:tcPr>
            <w:tcW w:w="461" w:type="pct"/>
            <w:tcBorders>
              <w:top w:val="nil"/>
              <w:left w:val="nil"/>
              <w:bottom w:val="dotted" w:sz="4" w:space="0" w:color="auto"/>
              <w:right w:val="single" w:sz="4" w:space="0" w:color="auto"/>
            </w:tcBorders>
            <w:vAlign w:val="center"/>
            <w:hideMark/>
          </w:tcPr>
          <w:p w:rsidR="006A32C6" w:rsidRPr="006A32C6" w:rsidP="007433A7" w14:paraId="51E849A9"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p>
        </w:tc>
        <w:tc>
          <w:tcPr>
            <w:tcW w:w="434" w:type="pct"/>
            <w:tcBorders>
              <w:top w:val="nil"/>
              <w:left w:val="nil"/>
              <w:bottom w:val="dotted" w:sz="4" w:space="0" w:color="auto"/>
              <w:right w:val="single" w:sz="4" w:space="0" w:color="auto"/>
            </w:tcBorders>
            <w:vAlign w:val="center"/>
            <w:hideMark/>
          </w:tcPr>
          <w:p w:rsidR="006A32C6" w:rsidRPr="006A32C6" w:rsidP="007433A7" w14:paraId="575EA9B1" w14:textId="34E1078C">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740</w:t>
            </w:r>
          </w:p>
        </w:tc>
        <w:tc>
          <w:tcPr>
            <w:tcW w:w="434" w:type="pct"/>
            <w:tcBorders>
              <w:top w:val="nil"/>
              <w:left w:val="nil"/>
              <w:bottom w:val="dotted" w:sz="4" w:space="0" w:color="auto"/>
              <w:right w:val="single" w:sz="4" w:space="0" w:color="auto"/>
            </w:tcBorders>
            <w:vAlign w:val="center"/>
            <w:hideMark/>
          </w:tcPr>
          <w:p w:rsidR="006A32C6" w:rsidRPr="006A32C6" w:rsidP="007433A7" w14:paraId="65A0C836"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0.5</w:t>
            </w:r>
          </w:p>
        </w:tc>
        <w:tc>
          <w:tcPr>
            <w:tcW w:w="431" w:type="pct"/>
            <w:tcBorders>
              <w:top w:val="nil"/>
              <w:left w:val="nil"/>
              <w:bottom w:val="dotted" w:sz="4" w:space="0" w:color="auto"/>
              <w:right w:val="single" w:sz="8" w:space="0" w:color="auto"/>
            </w:tcBorders>
            <w:vAlign w:val="center"/>
            <w:hideMark/>
          </w:tcPr>
          <w:p w:rsidR="006A32C6" w:rsidRPr="006A32C6" w:rsidP="007433A7" w14:paraId="642DA272" w14:textId="19F6237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370</w:t>
            </w:r>
          </w:p>
        </w:tc>
      </w:tr>
      <w:tr w14:paraId="57293E7D" w14:textId="77777777" w:rsidTr="00597C25">
        <w:tblPrEx>
          <w:tblW w:w="5406" w:type="pct"/>
          <w:tblInd w:w="-342" w:type="dxa"/>
          <w:tblLayout w:type="fixed"/>
          <w:tblLook w:val="04A0"/>
        </w:tblPrEx>
        <w:trPr>
          <w:trHeight w:val="1826"/>
        </w:trPr>
        <w:tc>
          <w:tcPr>
            <w:tcW w:w="145" w:type="pct"/>
            <w:tcBorders>
              <w:top w:val="single" w:sz="4" w:space="0" w:color="auto"/>
              <w:left w:val="single" w:sz="4" w:space="0" w:color="auto"/>
              <w:bottom w:val="single" w:sz="4" w:space="0" w:color="auto"/>
              <w:right w:val="single" w:sz="4" w:space="0" w:color="auto"/>
            </w:tcBorders>
            <w:vAlign w:val="center"/>
          </w:tcPr>
          <w:p w:rsidR="006A32C6" w:rsidRPr="006A32C6" w:rsidP="006A32C6" w14:paraId="203A0D9E" w14:textId="77777777">
            <w:pPr>
              <w:overflowPunct/>
              <w:autoSpaceDE/>
              <w:autoSpaceDN/>
              <w:adjustRightInd/>
              <w:jc w:val="center"/>
              <w:textAlignment w:val="auto"/>
              <w:rPr>
                <w:rFonts w:ascii="Arial" w:hAnsi="Arial" w:cs="Arial"/>
                <w:color w:val="000000"/>
                <w:sz w:val="16"/>
                <w:szCs w:val="16"/>
              </w:rPr>
            </w:pPr>
            <w:r w:rsidRPr="006A32C6">
              <w:rPr>
                <w:rFonts w:ascii="Arial" w:hAnsi="Arial" w:cs="Arial"/>
                <w:color w:val="000000"/>
                <w:sz w:val="16"/>
                <w:szCs w:val="16"/>
              </w:rPr>
              <w:t>2</w:t>
            </w:r>
          </w:p>
        </w:tc>
        <w:tc>
          <w:tcPr>
            <w:tcW w:w="479" w:type="pct"/>
            <w:tcBorders>
              <w:top w:val="single" w:sz="4" w:space="0" w:color="auto"/>
              <w:left w:val="single" w:sz="4" w:space="0" w:color="auto"/>
              <w:bottom w:val="single" w:sz="4" w:space="0" w:color="auto"/>
              <w:right w:val="single" w:sz="4" w:space="0" w:color="auto"/>
            </w:tcBorders>
            <w:vAlign w:val="center"/>
            <w:hideMark/>
          </w:tcPr>
          <w:p w:rsidR="006A32C6" w:rsidRPr="006A32C6" w:rsidP="007433A7" w14:paraId="6E293B37"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715.7</w:t>
            </w:r>
          </w:p>
        </w:tc>
        <w:tc>
          <w:tcPr>
            <w:tcW w:w="1676" w:type="pct"/>
            <w:tcBorders>
              <w:top w:val="single" w:sz="4" w:space="0" w:color="auto"/>
              <w:left w:val="nil"/>
              <w:bottom w:val="single" w:sz="4" w:space="0" w:color="auto"/>
              <w:right w:val="single" w:sz="4" w:space="0" w:color="auto"/>
            </w:tcBorders>
            <w:vAlign w:val="center"/>
            <w:hideMark/>
          </w:tcPr>
          <w:p w:rsidR="006A32C6" w:rsidRPr="0091244C" w:rsidP="007433A7" w14:paraId="3ED19E7F" w14:textId="77777777">
            <w:pPr>
              <w:overflowPunct/>
              <w:autoSpaceDE/>
              <w:autoSpaceDN/>
              <w:adjustRightInd/>
              <w:textAlignment w:val="auto"/>
              <w:rPr>
                <w:rFonts w:ascii="Arial" w:hAnsi="Arial" w:cs="Arial"/>
                <w:color w:val="000000"/>
                <w:sz w:val="16"/>
                <w:szCs w:val="16"/>
              </w:rPr>
            </w:pPr>
            <w:r w:rsidRPr="0091244C">
              <w:rPr>
                <w:rFonts w:ascii="Arial" w:hAnsi="Arial" w:cs="Arial"/>
                <w:b/>
                <w:bCs/>
                <w:color w:val="000000"/>
                <w:sz w:val="16"/>
                <w:szCs w:val="16"/>
              </w:rPr>
              <w:t xml:space="preserve">Supervisory Committee audit alternatives to a financial statement audit. </w:t>
            </w:r>
            <w:r w:rsidRPr="0091244C">
              <w:rPr>
                <w:rFonts w:ascii="Arial" w:hAnsi="Arial" w:cs="Arial"/>
                <w:color w:val="000000"/>
                <w:sz w:val="16"/>
                <w:szCs w:val="16"/>
              </w:rPr>
              <w:t xml:space="preserve">Audits performed by the supervisory committee, its internal auditor, or any other qualified person (such as a certified public accountant, public accountant, league auditor, credit union auditor consultant, retired financial institutions examiner, etc.) that satisfies the minimum requirements in Appendix of this part.  </w:t>
            </w:r>
          </w:p>
        </w:tc>
        <w:tc>
          <w:tcPr>
            <w:tcW w:w="439" w:type="pct"/>
            <w:tcBorders>
              <w:top w:val="single" w:sz="4" w:space="0" w:color="auto"/>
              <w:left w:val="nil"/>
              <w:bottom w:val="single" w:sz="4" w:space="0" w:color="auto"/>
              <w:right w:val="single" w:sz="4" w:space="0" w:color="auto"/>
            </w:tcBorders>
            <w:vAlign w:val="center"/>
            <w:hideMark/>
          </w:tcPr>
          <w:p w:rsidR="006A32C6" w:rsidRPr="006A32C6" w:rsidP="007433A7" w14:paraId="0ABA4F2C"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Record- keeping</w:t>
            </w:r>
          </w:p>
        </w:tc>
        <w:tc>
          <w:tcPr>
            <w:tcW w:w="501" w:type="pct"/>
            <w:tcBorders>
              <w:top w:val="single" w:sz="4" w:space="0" w:color="auto"/>
              <w:left w:val="nil"/>
              <w:bottom w:val="single" w:sz="4" w:space="0" w:color="auto"/>
              <w:right w:val="single" w:sz="4" w:space="0" w:color="auto"/>
            </w:tcBorders>
            <w:vAlign w:val="center"/>
            <w:hideMark/>
          </w:tcPr>
          <w:p w:rsidR="006A32C6" w:rsidRPr="006A32C6" w:rsidP="007433A7" w14:paraId="287C0714" w14:textId="32818854">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3,671</w:t>
            </w:r>
          </w:p>
        </w:tc>
        <w:tc>
          <w:tcPr>
            <w:tcW w:w="461" w:type="pct"/>
            <w:tcBorders>
              <w:top w:val="single" w:sz="4" w:space="0" w:color="auto"/>
              <w:left w:val="nil"/>
              <w:bottom w:val="single" w:sz="4" w:space="0" w:color="auto"/>
              <w:right w:val="single" w:sz="4" w:space="0" w:color="auto"/>
            </w:tcBorders>
            <w:vAlign w:val="center"/>
            <w:hideMark/>
          </w:tcPr>
          <w:p w:rsidR="006A32C6" w:rsidRPr="006A32C6" w:rsidP="007433A7" w14:paraId="392857AB"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p>
        </w:tc>
        <w:tc>
          <w:tcPr>
            <w:tcW w:w="434" w:type="pct"/>
            <w:tcBorders>
              <w:top w:val="single" w:sz="4" w:space="0" w:color="auto"/>
              <w:left w:val="nil"/>
              <w:bottom w:val="single" w:sz="4" w:space="0" w:color="auto"/>
              <w:right w:val="single" w:sz="4" w:space="0" w:color="auto"/>
            </w:tcBorders>
            <w:vAlign w:val="center"/>
            <w:hideMark/>
          </w:tcPr>
          <w:p w:rsidR="006A32C6" w:rsidRPr="006A32C6" w:rsidP="007433A7" w14:paraId="5BB806F2" w14:textId="41C2EA4C">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3,671</w:t>
            </w:r>
          </w:p>
        </w:tc>
        <w:tc>
          <w:tcPr>
            <w:tcW w:w="434" w:type="pct"/>
            <w:tcBorders>
              <w:top w:val="single" w:sz="4" w:space="0" w:color="auto"/>
              <w:left w:val="nil"/>
              <w:bottom w:val="single" w:sz="4" w:space="0" w:color="auto"/>
              <w:right w:val="single" w:sz="4" w:space="0" w:color="auto"/>
            </w:tcBorders>
            <w:vAlign w:val="center"/>
            <w:hideMark/>
          </w:tcPr>
          <w:p w:rsidR="006A32C6" w:rsidRPr="006A32C6" w:rsidP="007433A7" w14:paraId="3DEF6B39"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0.5</w:t>
            </w:r>
          </w:p>
        </w:tc>
        <w:tc>
          <w:tcPr>
            <w:tcW w:w="431" w:type="pct"/>
            <w:tcBorders>
              <w:top w:val="single" w:sz="4" w:space="0" w:color="auto"/>
              <w:left w:val="nil"/>
              <w:bottom w:val="single" w:sz="4" w:space="0" w:color="auto"/>
              <w:right w:val="single" w:sz="8" w:space="0" w:color="auto"/>
            </w:tcBorders>
            <w:vAlign w:val="center"/>
            <w:hideMark/>
          </w:tcPr>
          <w:p w:rsidR="006A32C6" w:rsidRPr="006A32C6" w:rsidP="007433A7" w14:paraId="24F14678" w14:textId="4AFC9ACD">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r w:rsidR="0091244C">
              <w:rPr>
                <w:rFonts w:ascii="Arial" w:hAnsi="Arial" w:cs="Arial"/>
                <w:color w:val="000000"/>
                <w:sz w:val="16"/>
                <w:szCs w:val="16"/>
              </w:rPr>
              <w:t>836</w:t>
            </w:r>
          </w:p>
        </w:tc>
      </w:tr>
      <w:tr w14:paraId="6BCA31BD" w14:textId="77777777" w:rsidTr="00597C25">
        <w:tblPrEx>
          <w:tblW w:w="5406" w:type="pct"/>
          <w:tblInd w:w="-342" w:type="dxa"/>
          <w:tblLayout w:type="fixed"/>
          <w:tblLook w:val="04A0"/>
        </w:tblPrEx>
        <w:trPr>
          <w:trHeight w:val="1200"/>
        </w:trPr>
        <w:tc>
          <w:tcPr>
            <w:tcW w:w="145" w:type="pct"/>
            <w:tcBorders>
              <w:top w:val="nil"/>
              <w:left w:val="single" w:sz="4" w:space="0" w:color="auto"/>
              <w:bottom w:val="nil"/>
              <w:right w:val="single" w:sz="4" w:space="0" w:color="auto"/>
            </w:tcBorders>
            <w:vAlign w:val="center"/>
          </w:tcPr>
          <w:p w:rsidR="006A32C6" w:rsidRPr="006A32C6" w:rsidP="006A32C6" w14:paraId="644F1388" w14:textId="77777777">
            <w:pPr>
              <w:overflowPunct/>
              <w:autoSpaceDE/>
              <w:autoSpaceDN/>
              <w:adjustRightInd/>
              <w:jc w:val="center"/>
              <w:textAlignment w:val="auto"/>
              <w:rPr>
                <w:rFonts w:ascii="Arial" w:hAnsi="Arial" w:cs="Arial"/>
                <w:color w:val="000000"/>
                <w:sz w:val="16"/>
                <w:szCs w:val="16"/>
              </w:rPr>
            </w:pPr>
            <w:r w:rsidRPr="006A32C6">
              <w:rPr>
                <w:rFonts w:ascii="Arial" w:hAnsi="Arial" w:cs="Arial"/>
                <w:color w:val="000000"/>
                <w:sz w:val="16"/>
                <w:szCs w:val="16"/>
              </w:rPr>
              <w:t>3</w:t>
            </w:r>
          </w:p>
        </w:tc>
        <w:tc>
          <w:tcPr>
            <w:tcW w:w="479" w:type="pct"/>
            <w:tcBorders>
              <w:top w:val="nil"/>
              <w:left w:val="single" w:sz="4" w:space="0" w:color="auto"/>
              <w:bottom w:val="nil"/>
              <w:right w:val="single" w:sz="4" w:space="0" w:color="auto"/>
            </w:tcBorders>
            <w:vAlign w:val="center"/>
            <w:hideMark/>
          </w:tcPr>
          <w:p w:rsidR="006A32C6" w:rsidRPr="006A32C6" w:rsidP="007433A7" w14:paraId="48AD253E"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715.8(a)</w:t>
            </w:r>
          </w:p>
        </w:tc>
        <w:tc>
          <w:tcPr>
            <w:tcW w:w="1676" w:type="pct"/>
            <w:tcBorders>
              <w:top w:val="nil"/>
              <w:left w:val="nil"/>
              <w:bottom w:val="dotted" w:sz="4" w:space="0" w:color="auto"/>
              <w:right w:val="single" w:sz="4" w:space="0" w:color="auto"/>
            </w:tcBorders>
            <w:vAlign w:val="center"/>
            <w:hideMark/>
          </w:tcPr>
          <w:p w:rsidR="006A32C6" w:rsidRPr="006A32C6" w:rsidP="007433A7" w14:paraId="357A9763" w14:textId="77777777">
            <w:pPr>
              <w:overflowPunct/>
              <w:autoSpaceDE/>
              <w:autoSpaceDN/>
              <w:adjustRightInd/>
              <w:textAlignment w:val="auto"/>
              <w:rPr>
                <w:rFonts w:ascii="Arial" w:hAnsi="Arial" w:cs="Arial"/>
                <w:color w:val="000000"/>
                <w:sz w:val="16"/>
                <w:szCs w:val="16"/>
              </w:rPr>
            </w:pPr>
            <w:r w:rsidRPr="006A32C6">
              <w:rPr>
                <w:rFonts w:ascii="Arial" w:hAnsi="Arial" w:cs="Arial"/>
                <w:b/>
                <w:bCs/>
                <w:color w:val="000000"/>
                <w:sz w:val="16"/>
                <w:szCs w:val="16"/>
              </w:rPr>
              <w:t xml:space="preserve">Membership Verification.  </w:t>
            </w:r>
            <w:r w:rsidRPr="006A32C6">
              <w:rPr>
                <w:rFonts w:ascii="Arial" w:hAnsi="Arial" w:cs="Arial"/>
                <w:color w:val="000000"/>
                <w:sz w:val="16"/>
                <w:szCs w:val="16"/>
              </w:rPr>
              <w:t>The Supervisory Committee shall, at least once every two years, cause the passbooks and accounts of the members to be verified against the records of the treasurer of the credit union.</w:t>
            </w:r>
          </w:p>
        </w:tc>
        <w:tc>
          <w:tcPr>
            <w:tcW w:w="439" w:type="pct"/>
            <w:tcBorders>
              <w:top w:val="nil"/>
              <w:left w:val="nil"/>
              <w:bottom w:val="dotted" w:sz="4" w:space="0" w:color="auto"/>
              <w:right w:val="single" w:sz="4" w:space="0" w:color="auto"/>
            </w:tcBorders>
            <w:vAlign w:val="center"/>
            <w:hideMark/>
          </w:tcPr>
          <w:p w:rsidR="006A32C6" w:rsidRPr="006A32C6" w:rsidP="007433A7" w14:paraId="3B0E7EF7"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Record- keeping</w:t>
            </w:r>
          </w:p>
        </w:tc>
        <w:tc>
          <w:tcPr>
            <w:tcW w:w="501" w:type="pct"/>
            <w:tcBorders>
              <w:top w:val="nil"/>
              <w:left w:val="nil"/>
              <w:bottom w:val="nil"/>
              <w:right w:val="single" w:sz="4" w:space="0" w:color="auto"/>
            </w:tcBorders>
            <w:vAlign w:val="center"/>
            <w:hideMark/>
          </w:tcPr>
          <w:p w:rsidR="006A32C6" w:rsidRPr="006A32C6" w:rsidP="007433A7" w14:paraId="3629A6F1" w14:textId="15E38C24">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2,</w:t>
            </w:r>
            <w:r w:rsidR="00D02BE5">
              <w:rPr>
                <w:rFonts w:ascii="Arial" w:hAnsi="Arial" w:cs="Arial"/>
                <w:color w:val="000000"/>
                <w:sz w:val="16"/>
                <w:szCs w:val="16"/>
              </w:rPr>
              <w:t>206</w:t>
            </w:r>
          </w:p>
        </w:tc>
        <w:tc>
          <w:tcPr>
            <w:tcW w:w="461" w:type="pct"/>
            <w:tcBorders>
              <w:top w:val="nil"/>
              <w:left w:val="nil"/>
              <w:bottom w:val="dotted" w:sz="4" w:space="0" w:color="auto"/>
              <w:right w:val="single" w:sz="4" w:space="0" w:color="auto"/>
            </w:tcBorders>
            <w:vAlign w:val="center"/>
            <w:hideMark/>
          </w:tcPr>
          <w:p w:rsidR="006A32C6" w:rsidRPr="006A32C6" w:rsidP="007433A7" w14:paraId="76F643E3"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p>
        </w:tc>
        <w:tc>
          <w:tcPr>
            <w:tcW w:w="434" w:type="pct"/>
            <w:tcBorders>
              <w:top w:val="nil"/>
              <w:left w:val="nil"/>
              <w:bottom w:val="dotted" w:sz="4" w:space="0" w:color="auto"/>
              <w:right w:val="single" w:sz="4" w:space="0" w:color="auto"/>
            </w:tcBorders>
            <w:vAlign w:val="center"/>
            <w:hideMark/>
          </w:tcPr>
          <w:p w:rsidR="006A32C6" w:rsidRPr="006A32C6" w:rsidP="007433A7" w14:paraId="60976196" w14:textId="5549E844">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2,</w:t>
            </w:r>
            <w:r w:rsidR="00D02BE5">
              <w:rPr>
                <w:rFonts w:ascii="Arial" w:hAnsi="Arial" w:cs="Arial"/>
                <w:color w:val="000000"/>
                <w:sz w:val="16"/>
                <w:szCs w:val="16"/>
              </w:rPr>
              <w:t>206</w:t>
            </w:r>
          </w:p>
        </w:tc>
        <w:tc>
          <w:tcPr>
            <w:tcW w:w="434" w:type="pct"/>
            <w:tcBorders>
              <w:top w:val="nil"/>
              <w:left w:val="nil"/>
              <w:bottom w:val="dotted" w:sz="4" w:space="0" w:color="auto"/>
              <w:right w:val="single" w:sz="4" w:space="0" w:color="auto"/>
            </w:tcBorders>
            <w:vAlign w:val="center"/>
            <w:hideMark/>
          </w:tcPr>
          <w:p w:rsidR="006A32C6" w:rsidRPr="006A32C6" w:rsidP="007433A7" w14:paraId="2A8796BA"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0.5</w:t>
            </w:r>
          </w:p>
        </w:tc>
        <w:tc>
          <w:tcPr>
            <w:tcW w:w="431" w:type="pct"/>
            <w:tcBorders>
              <w:top w:val="nil"/>
              <w:left w:val="nil"/>
              <w:bottom w:val="dotted" w:sz="4" w:space="0" w:color="auto"/>
              <w:right w:val="single" w:sz="8" w:space="0" w:color="auto"/>
            </w:tcBorders>
            <w:vAlign w:val="center"/>
            <w:hideMark/>
          </w:tcPr>
          <w:p w:rsidR="006A32C6" w:rsidRPr="006A32C6" w:rsidP="007433A7" w14:paraId="2EAE323E" w14:textId="78C0F141">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r w:rsidR="00D02BE5">
              <w:rPr>
                <w:rFonts w:ascii="Arial" w:hAnsi="Arial" w:cs="Arial"/>
                <w:color w:val="000000"/>
                <w:sz w:val="16"/>
                <w:szCs w:val="16"/>
              </w:rPr>
              <w:t>103</w:t>
            </w:r>
          </w:p>
        </w:tc>
      </w:tr>
      <w:tr w14:paraId="1E98E5A3" w14:textId="77777777" w:rsidTr="00597C25">
        <w:tblPrEx>
          <w:tblW w:w="5406" w:type="pct"/>
          <w:tblInd w:w="-342" w:type="dxa"/>
          <w:tblLayout w:type="fixed"/>
          <w:tblLook w:val="04A0"/>
        </w:tblPrEx>
        <w:trPr>
          <w:trHeight w:val="2240"/>
        </w:trPr>
        <w:tc>
          <w:tcPr>
            <w:tcW w:w="145" w:type="pct"/>
            <w:tcBorders>
              <w:top w:val="single" w:sz="4" w:space="0" w:color="auto"/>
              <w:left w:val="single" w:sz="4" w:space="0" w:color="auto"/>
              <w:bottom w:val="nil"/>
              <w:right w:val="single" w:sz="4" w:space="0" w:color="auto"/>
            </w:tcBorders>
            <w:vAlign w:val="center"/>
          </w:tcPr>
          <w:p w:rsidR="006A32C6" w:rsidRPr="006A32C6" w:rsidP="006A32C6" w14:paraId="46E308DC" w14:textId="77777777">
            <w:pPr>
              <w:overflowPunct/>
              <w:autoSpaceDE/>
              <w:autoSpaceDN/>
              <w:adjustRightInd/>
              <w:jc w:val="center"/>
              <w:textAlignment w:val="auto"/>
              <w:rPr>
                <w:rFonts w:ascii="Arial" w:hAnsi="Arial" w:cs="Arial"/>
                <w:color w:val="000000"/>
                <w:sz w:val="16"/>
                <w:szCs w:val="16"/>
              </w:rPr>
            </w:pPr>
            <w:r w:rsidRPr="006A32C6">
              <w:rPr>
                <w:rFonts w:ascii="Arial" w:hAnsi="Arial" w:cs="Arial"/>
                <w:color w:val="000000"/>
                <w:sz w:val="16"/>
                <w:szCs w:val="16"/>
              </w:rPr>
              <w:t>4</w:t>
            </w:r>
          </w:p>
        </w:tc>
        <w:tc>
          <w:tcPr>
            <w:tcW w:w="479" w:type="pct"/>
            <w:tcBorders>
              <w:top w:val="single" w:sz="4" w:space="0" w:color="auto"/>
              <w:left w:val="single" w:sz="4" w:space="0" w:color="auto"/>
              <w:bottom w:val="nil"/>
              <w:right w:val="single" w:sz="4" w:space="0" w:color="auto"/>
            </w:tcBorders>
            <w:vAlign w:val="center"/>
            <w:hideMark/>
          </w:tcPr>
          <w:p w:rsidR="006A32C6" w:rsidRPr="006A32C6" w:rsidP="007433A7" w14:paraId="0ED7BAAA"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715.9(b)</w:t>
            </w:r>
          </w:p>
        </w:tc>
        <w:tc>
          <w:tcPr>
            <w:tcW w:w="1676" w:type="pct"/>
            <w:tcBorders>
              <w:top w:val="single" w:sz="4" w:space="0" w:color="auto"/>
              <w:left w:val="nil"/>
              <w:bottom w:val="dotted" w:sz="4" w:space="0" w:color="auto"/>
              <w:right w:val="single" w:sz="4" w:space="0" w:color="auto"/>
            </w:tcBorders>
            <w:vAlign w:val="center"/>
            <w:hideMark/>
          </w:tcPr>
          <w:p w:rsidR="006A32C6" w:rsidRPr="006A32C6" w:rsidP="007433A7" w14:paraId="0520BDF7" w14:textId="77777777">
            <w:pPr>
              <w:overflowPunct/>
              <w:autoSpaceDE/>
              <w:autoSpaceDN/>
              <w:adjustRightInd/>
              <w:textAlignment w:val="auto"/>
              <w:rPr>
                <w:rFonts w:ascii="Arial" w:hAnsi="Arial" w:cs="Arial"/>
                <w:b/>
                <w:bCs/>
                <w:color w:val="000000"/>
                <w:sz w:val="16"/>
                <w:szCs w:val="16"/>
              </w:rPr>
            </w:pPr>
            <w:r w:rsidRPr="006A32C6">
              <w:rPr>
                <w:rFonts w:ascii="Arial" w:hAnsi="Arial" w:cs="Arial"/>
                <w:b/>
                <w:bCs/>
                <w:color w:val="000000"/>
                <w:sz w:val="16"/>
                <w:szCs w:val="16"/>
              </w:rPr>
              <w:t xml:space="preserve">Engagement Letter. </w:t>
            </w:r>
            <w:r w:rsidRPr="006A32C6">
              <w:rPr>
                <w:rFonts w:ascii="Arial" w:hAnsi="Arial" w:cs="Arial"/>
                <w:color w:val="000000"/>
                <w:sz w:val="16"/>
                <w:szCs w:val="16"/>
              </w:rPr>
              <w:t xml:space="preserve"> The engagement of a compensated auditor to perform all or a portion of the scope of a financial statement </w:t>
            </w:r>
            <w:r w:rsidRPr="006A32C6">
              <w:rPr>
                <w:rFonts w:ascii="Arial" w:hAnsi="Arial" w:cs="Arial"/>
                <w:color w:val="000000"/>
                <w:sz w:val="16"/>
                <w:szCs w:val="16"/>
              </w:rPr>
              <w:t>audit</w:t>
            </w:r>
            <w:r w:rsidRPr="006A32C6">
              <w:rPr>
                <w:rFonts w:ascii="Arial" w:hAnsi="Arial" w:cs="Arial"/>
                <w:color w:val="000000"/>
                <w:sz w:val="16"/>
                <w:szCs w:val="16"/>
              </w:rPr>
              <w:t xml:space="preserve"> or supervisory committee audit shall be evidenced by an engagement letter. In all cases, the engagement must be contracted directly with the Supervisory Committee. The engagement letter must be signed by the compensated auditor and acknowledged therein by the Supervisory Committee prior to commencement of the engagement.</w:t>
            </w:r>
          </w:p>
        </w:tc>
        <w:tc>
          <w:tcPr>
            <w:tcW w:w="439" w:type="pct"/>
            <w:tcBorders>
              <w:top w:val="single" w:sz="4" w:space="0" w:color="auto"/>
              <w:left w:val="nil"/>
              <w:bottom w:val="dotted" w:sz="4" w:space="0" w:color="auto"/>
              <w:right w:val="single" w:sz="4" w:space="0" w:color="auto"/>
            </w:tcBorders>
            <w:vAlign w:val="center"/>
            <w:hideMark/>
          </w:tcPr>
          <w:p w:rsidR="006A32C6" w:rsidRPr="006A32C6" w:rsidP="007433A7" w14:paraId="542454AB"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Record- keeping</w:t>
            </w:r>
          </w:p>
        </w:tc>
        <w:tc>
          <w:tcPr>
            <w:tcW w:w="501" w:type="pct"/>
            <w:tcBorders>
              <w:top w:val="single" w:sz="4" w:space="0" w:color="auto"/>
              <w:left w:val="nil"/>
              <w:bottom w:val="dotted" w:sz="4" w:space="0" w:color="auto"/>
              <w:right w:val="single" w:sz="4" w:space="0" w:color="auto"/>
            </w:tcBorders>
            <w:vAlign w:val="center"/>
            <w:hideMark/>
          </w:tcPr>
          <w:p w:rsidR="006A32C6" w:rsidRPr="006A32C6" w:rsidP="007433A7" w14:paraId="10D0F6D8" w14:textId="5E23CC2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4,411</w:t>
            </w:r>
          </w:p>
        </w:tc>
        <w:tc>
          <w:tcPr>
            <w:tcW w:w="461" w:type="pct"/>
            <w:tcBorders>
              <w:top w:val="single" w:sz="4" w:space="0" w:color="auto"/>
              <w:left w:val="nil"/>
              <w:bottom w:val="dotted" w:sz="4" w:space="0" w:color="auto"/>
              <w:right w:val="single" w:sz="4" w:space="0" w:color="auto"/>
            </w:tcBorders>
            <w:vAlign w:val="center"/>
            <w:hideMark/>
          </w:tcPr>
          <w:p w:rsidR="006A32C6" w:rsidRPr="006A32C6" w:rsidP="007433A7" w14:paraId="3B9A8453"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p>
        </w:tc>
        <w:tc>
          <w:tcPr>
            <w:tcW w:w="434" w:type="pct"/>
            <w:tcBorders>
              <w:top w:val="single" w:sz="4" w:space="0" w:color="auto"/>
              <w:left w:val="nil"/>
              <w:bottom w:val="dotted" w:sz="4" w:space="0" w:color="auto"/>
              <w:right w:val="single" w:sz="4" w:space="0" w:color="auto"/>
            </w:tcBorders>
            <w:vAlign w:val="center"/>
            <w:hideMark/>
          </w:tcPr>
          <w:p w:rsidR="006A32C6" w:rsidRPr="006A32C6" w:rsidP="007433A7" w14:paraId="31D34569" w14:textId="4267FB40">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4,411</w:t>
            </w:r>
          </w:p>
        </w:tc>
        <w:tc>
          <w:tcPr>
            <w:tcW w:w="434" w:type="pct"/>
            <w:tcBorders>
              <w:top w:val="single" w:sz="4" w:space="0" w:color="auto"/>
              <w:left w:val="nil"/>
              <w:bottom w:val="dotted" w:sz="4" w:space="0" w:color="auto"/>
              <w:right w:val="single" w:sz="4" w:space="0" w:color="auto"/>
            </w:tcBorders>
            <w:vAlign w:val="center"/>
            <w:hideMark/>
          </w:tcPr>
          <w:p w:rsidR="006A32C6" w:rsidRPr="006A32C6" w:rsidP="007433A7" w14:paraId="111A9E25"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0.5</w:t>
            </w:r>
          </w:p>
        </w:tc>
        <w:tc>
          <w:tcPr>
            <w:tcW w:w="431" w:type="pct"/>
            <w:tcBorders>
              <w:top w:val="single" w:sz="4" w:space="0" w:color="auto"/>
              <w:left w:val="nil"/>
              <w:bottom w:val="dotted" w:sz="4" w:space="0" w:color="auto"/>
              <w:right w:val="single" w:sz="8" w:space="0" w:color="auto"/>
            </w:tcBorders>
            <w:vAlign w:val="center"/>
            <w:hideMark/>
          </w:tcPr>
          <w:p w:rsidR="006A32C6" w:rsidRPr="006A32C6" w:rsidP="007433A7" w14:paraId="4531B27B" w14:textId="70193BE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2.206</w:t>
            </w:r>
          </w:p>
        </w:tc>
      </w:tr>
      <w:tr w14:paraId="0AA428BF" w14:textId="77777777" w:rsidTr="00597C25">
        <w:tblPrEx>
          <w:tblW w:w="5406" w:type="pct"/>
          <w:tblInd w:w="-342" w:type="dxa"/>
          <w:tblLayout w:type="fixed"/>
          <w:tblLook w:val="04A0"/>
        </w:tblPrEx>
        <w:trPr>
          <w:trHeight w:val="1200"/>
        </w:trPr>
        <w:tc>
          <w:tcPr>
            <w:tcW w:w="145" w:type="pct"/>
            <w:tcBorders>
              <w:top w:val="single" w:sz="4" w:space="0" w:color="auto"/>
              <w:left w:val="single" w:sz="4" w:space="0" w:color="auto"/>
              <w:bottom w:val="nil"/>
              <w:right w:val="single" w:sz="4" w:space="0" w:color="auto"/>
            </w:tcBorders>
            <w:vAlign w:val="center"/>
          </w:tcPr>
          <w:p w:rsidR="003C4A37" w:rsidRPr="006A32C6" w:rsidP="003C4A37" w14:paraId="6AAE6698" w14:textId="77777777">
            <w:pPr>
              <w:overflowPunct/>
              <w:autoSpaceDE/>
              <w:autoSpaceDN/>
              <w:adjustRightInd/>
              <w:jc w:val="center"/>
              <w:textAlignment w:val="auto"/>
              <w:rPr>
                <w:rFonts w:ascii="Arial" w:hAnsi="Arial" w:cs="Arial"/>
                <w:color w:val="000000"/>
                <w:sz w:val="16"/>
                <w:szCs w:val="16"/>
              </w:rPr>
            </w:pPr>
            <w:r w:rsidRPr="006A32C6">
              <w:rPr>
                <w:rFonts w:ascii="Arial" w:hAnsi="Arial" w:cs="Arial"/>
                <w:color w:val="000000"/>
                <w:sz w:val="16"/>
                <w:szCs w:val="16"/>
              </w:rPr>
              <w:t>5</w:t>
            </w:r>
          </w:p>
        </w:tc>
        <w:tc>
          <w:tcPr>
            <w:tcW w:w="479" w:type="pct"/>
            <w:tcBorders>
              <w:top w:val="single" w:sz="4" w:space="0" w:color="auto"/>
              <w:left w:val="single" w:sz="4" w:space="0" w:color="auto"/>
              <w:bottom w:val="nil"/>
              <w:right w:val="single" w:sz="4" w:space="0" w:color="auto"/>
            </w:tcBorders>
            <w:vAlign w:val="center"/>
            <w:hideMark/>
          </w:tcPr>
          <w:p w:rsidR="003C4A37" w:rsidRPr="006A32C6" w:rsidP="003C4A37" w14:paraId="3FA2C0E4"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715.10(a)</w:t>
            </w:r>
          </w:p>
        </w:tc>
        <w:tc>
          <w:tcPr>
            <w:tcW w:w="1676" w:type="pct"/>
            <w:tcBorders>
              <w:top w:val="single" w:sz="4" w:space="0" w:color="auto"/>
              <w:left w:val="nil"/>
              <w:bottom w:val="dashed" w:sz="4" w:space="0" w:color="auto"/>
              <w:right w:val="single" w:sz="4" w:space="0" w:color="auto"/>
            </w:tcBorders>
            <w:vAlign w:val="center"/>
            <w:hideMark/>
          </w:tcPr>
          <w:p w:rsidR="003C4A37" w:rsidRPr="006A32C6" w:rsidP="003C4A37" w14:paraId="61CEC557" w14:textId="77777777">
            <w:pPr>
              <w:overflowPunct/>
              <w:autoSpaceDE/>
              <w:autoSpaceDN/>
              <w:adjustRightInd/>
              <w:textAlignment w:val="auto"/>
              <w:rPr>
                <w:rFonts w:ascii="Arial" w:hAnsi="Arial" w:cs="Arial"/>
                <w:b/>
                <w:bCs/>
                <w:color w:val="000000"/>
                <w:sz w:val="16"/>
                <w:szCs w:val="16"/>
              </w:rPr>
            </w:pPr>
            <w:r w:rsidRPr="006A32C6">
              <w:rPr>
                <w:rFonts w:ascii="Arial" w:hAnsi="Arial" w:cs="Arial"/>
                <w:b/>
                <w:bCs/>
                <w:color w:val="000000"/>
                <w:sz w:val="16"/>
                <w:szCs w:val="16"/>
              </w:rPr>
              <w:t>Audit report</w:t>
            </w:r>
            <w:r w:rsidRPr="006A32C6">
              <w:rPr>
                <w:rFonts w:ascii="Arial" w:hAnsi="Arial" w:cs="Arial"/>
                <w:color w:val="000000"/>
                <w:sz w:val="16"/>
                <w:szCs w:val="16"/>
              </w:rPr>
              <w:t xml:space="preserve">. The Supervisory Committee must submit the report(s) to the board of </w:t>
            </w:r>
            <w:r w:rsidRPr="006A32C6">
              <w:rPr>
                <w:rFonts w:ascii="Arial" w:hAnsi="Arial" w:cs="Arial"/>
                <w:color w:val="000000"/>
                <w:sz w:val="16"/>
                <w:szCs w:val="16"/>
              </w:rPr>
              <w:t>directors, and</w:t>
            </w:r>
            <w:r w:rsidRPr="006A32C6">
              <w:rPr>
                <w:rFonts w:ascii="Arial" w:hAnsi="Arial" w:cs="Arial"/>
                <w:color w:val="000000"/>
                <w:sz w:val="16"/>
                <w:szCs w:val="16"/>
              </w:rPr>
              <w:t xml:space="preserve"> </w:t>
            </w:r>
            <w:r w:rsidRPr="006A32C6">
              <w:rPr>
                <w:rFonts w:ascii="Arial" w:hAnsi="Arial" w:cs="Arial"/>
                <w:b/>
                <w:bCs/>
                <w:color w:val="000000"/>
                <w:sz w:val="16"/>
                <w:szCs w:val="16"/>
              </w:rPr>
              <w:t>provide a summary of the results of the audit to the members</w:t>
            </w:r>
            <w:r w:rsidRPr="006A32C6">
              <w:rPr>
                <w:rFonts w:ascii="Arial" w:hAnsi="Arial" w:cs="Arial"/>
                <w:color w:val="000000"/>
                <w:sz w:val="16"/>
                <w:szCs w:val="16"/>
              </w:rPr>
              <w:t xml:space="preserve"> of the credit union orally or in writing at the next annual meeting of the credit union.  </w:t>
            </w:r>
          </w:p>
        </w:tc>
        <w:tc>
          <w:tcPr>
            <w:tcW w:w="439" w:type="pct"/>
            <w:tcBorders>
              <w:top w:val="single" w:sz="4" w:space="0" w:color="auto"/>
              <w:left w:val="nil"/>
              <w:bottom w:val="dashed" w:sz="4" w:space="0" w:color="auto"/>
              <w:right w:val="single" w:sz="4" w:space="0" w:color="auto"/>
            </w:tcBorders>
            <w:vAlign w:val="center"/>
            <w:hideMark/>
          </w:tcPr>
          <w:p w:rsidR="003C4A37" w:rsidRPr="006A32C6" w:rsidP="003C4A37" w14:paraId="547584A1" w14:textId="77777777">
            <w:pPr>
              <w:overflowPunct/>
              <w:autoSpaceDE/>
              <w:autoSpaceDN/>
              <w:adjustRightInd/>
              <w:textAlignment w:val="auto"/>
              <w:rPr>
                <w:rFonts w:ascii="Arial Narrow" w:hAnsi="Arial Narrow" w:cs="Arial"/>
                <w:color w:val="000000"/>
                <w:sz w:val="16"/>
                <w:szCs w:val="16"/>
              </w:rPr>
            </w:pPr>
            <w:r w:rsidRPr="006A32C6">
              <w:rPr>
                <w:rFonts w:ascii="Arial Narrow" w:hAnsi="Arial Narrow" w:cs="Arial"/>
                <w:color w:val="000000"/>
                <w:sz w:val="16"/>
                <w:szCs w:val="16"/>
              </w:rPr>
              <w:t>Disclosure</w:t>
            </w:r>
          </w:p>
        </w:tc>
        <w:tc>
          <w:tcPr>
            <w:tcW w:w="501" w:type="pct"/>
            <w:tcBorders>
              <w:top w:val="single" w:sz="4" w:space="0" w:color="auto"/>
              <w:left w:val="nil"/>
              <w:bottom w:val="dashed" w:sz="4" w:space="0" w:color="auto"/>
              <w:right w:val="single" w:sz="4" w:space="0" w:color="auto"/>
            </w:tcBorders>
            <w:vAlign w:val="center"/>
            <w:hideMark/>
          </w:tcPr>
          <w:p w:rsidR="003C4A37" w:rsidRPr="006A32C6" w:rsidP="003C4A37" w14:paraId="3B6DEF27" w14:textId="477C9A17">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4,411</w:t>
            </w:r>
          </w:p>
        </w:tc>
        <w:tc>
          <w:tcPr>
            <w:tcW w:w="461" w:type="pct"/>
            <w:tcBorders>
              <w:top w:val="single" w:sz="4" w:space="0" w:color="auto"/>
              <w:left w:val="nil"/>
              <w:bottom w:val="dashed" w:sz="4" w:space="0" w:color="auto"/>
              <w:right w:val="single" w:sz="4" w:space="0" w:color="auto"/>
            </w:tcBorders>
            <w:vAlign w:val="center"/>
            <w:hideMark/>
          </w:tcPr>
          <w:p w:rsidR="003C4A37" w:rsidRPr="006A32C6" w:rsidP="003C4A37" w14:paraId="037C7CC5" w14:textId="5DC3AD5F">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p>
        </w:tc>
        <w:tc>
          <w:tcPr>
            <w:tcW w:w="434" w:type="pct"/>
            <w:tcBorders>
              <w:top w:val="single" w:sz="4" w:space="0" w:color="auto"/>
              <w:left w:val="nil"/>
              <w:bottom w:val="dashed" w:sz="4" w:space="0" w:color="auto"/>
              <w:right w:val="single" w:sz="4" w:space="0" w:color="auto"/>
            </w:tcBorders>
            <w:vAlign w:val="center"/>
            <w:hideMark/>
          </w:tcPr>
          <w:p w:rsidR="003C4A37" w:rsidRPr="006A32C6" w:rsidP="003C4A37" w14:paraId="59CB3D9F" w14:textId="24AA7DAD">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4,411</w:t>
            </w:r>
          </w:p>
        </w:tc>
        <w:tc>
          <w:tcPr>
            <w:tcW w:w="434" w:type="pct"/>
            <w:tcBorders>
              <w:top w:val="single" w:sz="4" w:space="0" w:color="auto"/>
              <w:left w:val="nil"/>
              <w:bottom w:val="dashed" w:sz="4" w:space="0" w:color="auto"/>
              <w:right w:val="single" w:sz="4" w:space="0" w:color="auto"/>
            </w:tcBorders>
            <w:vAlign w:val="center"/>
            <w:hideMark/>
          </w:tcPr>
          <w:p w:rsidR="003C4A37" w:rsidRPr="006A32C6" w:rsidP="003C4A37" w14:paraId="6507F578"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p>
        </w:tc>
        <w:tc>
          <w:tcPr>
            <w:tcW w:w="431" w:type="pct"/>
            <w:tcBorders>
              <w:top w:val="single" w:sz="4" w:space="0" w:color="auto"/>
              <w:left w:val="nil"/>
              <w:bottom w:val="dashed" w:sz="4" w:space="0" w:color="auto"/>
              <w:right w:val="single" w:sz="8" w:space="0" w:color="auto"/>
            </w:tcBorders>
            <w:vAlign w:val="center"/>
            <w:hideMark/>
          </w:tcPr>
          <w:p w:rsidR="003C4A37" w:rsidRPr="006A32C6" w:rsidP="003C4A37" w14:paraId="7D60EE55" w14:textId="4AF19AE6">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4,411</w:t>
            </w:r>
          </w:p>
        </w:tc>
      </w:tr>
      <w:tr w14:paraId="6B33BF3B" w14:textId="77777777" w:rsidTr="00597C25">
        <w:tblPrEx>
          <w:tblW w:w="5406" w:type="pct"/>
          <w:tblInd w:w="-342" w:type="dxa"/>
          <w:tblLayout w:type="fixed"/>
          <w:tblLook w:val="04A0"/>
        </w:tblPrEx>
        <w:trPr>
          <w:trHeight w:val="585"/>
        </w:trPr>
        <w:tc>
          <w:tcPr>
            <w:tcW w:w="145" w:type="pct"/>
            <w:tcBorders>
              <w:top w:val="single" w:sz="4" w:space="0" w:color="auto"/>
              <w:left w:val="single" w:sz="4" w:space="0" w:color="auto"/>
              <w:bottom w:val="double" w:sz="6" w:space="0" w:color="auto"/>
              <w:right w:val="single" w:sz="4" w:space="0" w:color="auto"/>
            </w:tcBorders>
            <w:vAlign w:val="center"/>
          </w:tcPr>
          <w:p w:rsidR="003C4A37" w:rsidRPr="006A32C6" w:rsidP="003C4A37" w14:paraId="56BBD039" w14:textId="77777777">
            <w:pPr>
              <w:overflowPunct/>
              <w:autoSpaceDE/>
              <w:autoSpaceDN/>
              <w:adjustRightInd/>
              <w:jc w:val="center"/>
              <w:textAlignment w:val="auto"/>
              <w:rPr>
                <w:rFonts w:ascii="Arial" w:hAnsi="Arial" w:cs="Arial"/>
                <w:color w:val="000000"/>
                <w:sz w:val="16"/>
                <w:szCs w:val="16"/>
              </w:rPr>
            </w:pPr>
            <w:r w:rsidRPr="006A32C6">
              <w:rPr>
                <w:rFonts w:ascii="Arial" w:hAnsi="Arial" w:cs="Arial"/>
                <w:color w:val="000000"/>
                <w:sz w:val="16"/>
                <w:szCs w:val="16"/>
              </w:rPr>
              <w:t>6</w:t>
            </w:r>
          </w:p>
        </w:tc>
        <w:tc>
          <w:tcPr>
            <w:tcW w:w="479" w:type="pct"/>
            <w:tcBorders>
              <w:top w:val="single" w:sz="4" w:space="0" w:color="auto"/>
              <w:left w:val="single" w:sz="4" w:space="0" w:color="auto"/>
              <w:bottom w:val="double" w:sz="6" w:space="0" w:color="auto"/>
              <w:right w:val="single" w:sz="4" w:space="0" w:color="auto"/>
            </w:tcBorders>
            <w:vAlign w:val="center"/>
            <w:hideMark/>
          </w:tcPr>
          <w:p w:rsidR="003C4A37" w:rsidRPr="006A32C6" w:rsidP="003C4A37" w14:paraId="7E2FF451"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715.10(b)</w:t>
            </w:r>
          </w:p>
        </w:tc>
        <w:tc>
          <w:tcPr>
            <w:tcW w:w="1676" w:type="pct"/>
            <w:tcBorders>
              <w:top w:val="single" w:sz="4" w:space="0" w:color="auto"/>
              <w:left w:val="nil"/>
              <w:bottom w:val="double" w:sz="6" w:space="0" w:color="auto"/>
              <w:right w:val="single" w:sz="4" w:space="0" w:color="auto"/>
            </w:tcBorders>
            <w:vAlign w:val="center"/>
            <w:hideMark/>
          </w:tcPr>
          <w:p w:rsidR="003C4A37" w:rsidRPr="006A32C6" w:rsidP="003C4A37" w14:paraId="10BCD0EC" w14:textId="77777777">
            <w:pPr>
              <w:overflowPunct/>
              <w:autoSpaceDE/>
              <w:autoSpaceDN/>
              <w:adjustRightInd/>
              <w:textAlignment w:val="auto"/>
              <w:rPr>
                <w:rFonts w:ascii="Arial" w:hAnsi="Arial" w:cs="Arial"/>
                <w:b/>
                <w:bCs/>
                <w:color w:val="000000"/>
                <w:sz w:val="16"/>
                <w:szCs w:val="16"/>
              </w:rPr>
            </w:pPr>
            <w:r w:rsidRPr="006A32C6">
              <w:rPr>
                <w:rFonts w:ascii="Arial" w:hAnsi="Arial" w:cs="Arial"/>
                <w:b/>
                <w:bCs/>
                <w:color w:val="000000"/>
                <w:sz w:val="16"/>
                <w:szCs w:val="16"/>
              </w:rPr>
              <w:t>Working Papers.</w:t>
            </w:r>
            <w:r w:rsidRPr="006A32C6">
              <w:rPr>
                <w:rFonts w:ascii="Arial" w:hAnsi="Arial" w:cs="Arial"/>
                <w:color w:val="000000"/>
                <w:sz w:val="16"/>
                <w:szCs w:val="16"/>
              </w:rPr>
              <w:t xml:space="preserve">  Complete set of working papers supporting each supervisory committee audit. </w:t>
            </w:r>
          </w:p>
        </w:tc>
        <w:tc>
          <w:tcPr>
            <w:tcW w:w="439" w:type="pct"/>
            <w:tcBorders>
              <w:top w:val="single" w:sz="4" w:space="0" w:color="auto"/>
              <w:left w:val="nil"/>
              <w:bottom w:val="double" w:sz="6" w:space="0" w:color="auto"/>
              <w:right w:val="single" w:sz="4" w:space="0" w:color="auto"/>
            </w:tcBorders>
            <w:vAlign w:val="center"/>
            <w:hideMark/>
          </w:tcPr>
          <w:p w:rsidR="003C4A37" w:rsidRPr="006A32C6" w:rsidP="003C4A37" w14:paraId="36A7AD33" w14:textId="77777777">
            <w:pPr>
              <w:overflowPunct/>
              <w:autoSpaceDE/>
              <w:autoSpaceDN/>
              <w:adjustRightInd/>
              <w:textAlignment w:val="auto"/>
              <w:rPr>
                <w:rFonts w:ascii="Arial" w:hAnsi="Arial" w:cs="Arial"/>
                <w:color w:val="000000"/>
                <w:sz w:val="16"/>
                <w:szCs w:val="16"/>
              </w:rPr>
            </w:pPr>
            <w:r w:rsidRPr="006A32C6">
              <w:rPr>
                <w:rFonts w:ascii="Arial" w:hAnsi="Arial" w:cs="Arial"/>
                <w:color w:val="000000"/>
                <w:sz w:val="16"/>
                <w:szCs w:val="16"/>
              </w:rPr>
              <w:t>Record- keeping</w:t>
            </w:r>
          </w:p>
        </w:tc>
        <w:tc>
          <w:tcPr>
            <w:tcW w:w="501" w:type="pct"/>
            <w:tcBorders>
              <w:top w:val="single" w:sz="4" w:space="0" w:color="auto"/>
              <w:left w:val="nil"/>
              <w:bottom w:val="double" w:sz="6" w:space="0" w:color="auto"/>
              <w:right w:val="single" w:sz="4" w:space="0" w:color="auto"/>
            </w:tcBorders>
            <w:vAlign w:val="center"/>
            <w:hideMark/>
          </w:tcPr>
          <w:p w:rsidR="003C4A37" w:rsidRPr="006A32C6" w:rsidP="003C4A37" w14:paraId="59AC5198" w14:textId="7C86519B">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4,411</w:t>
            </w:r>
          </w:p>
        </w:tc>
        <w:tc>
          <w:tcPr>
            <w:tcW w:w="461" w:type="pct"/>
            <w:tcBorders>
              <w:top w:val="single" w:sz="4" w:space="0" w:color="auto"/>
              <w:left w:val="nil"/>
              <w:bottom w:val="double" w:sz="6" w:space="0" w:color="auto"/>
              <w:right w:val="single" w:sz="4" w:space="0" w:color="auto"/>
            </w:tcBorders>
            <w:vAlign w:val="center"/>
            <w:hideMark/>
          </w:tcPr>
          <w:p w:rsidR="003C4A37" w:rsidRPr="006A32C6" w:rsidP="003C4A37" w14:paraId="42C32CC7" w14:textId="338A5C8C">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1</w:t>
            </w:r>
          </w:p>
        </w:tc>
        <w:tc>
          <w:tcPr>
            <w:tcW w:w="434" w:type="pct"/>
            <w:tcBorders>
              <w:top w:val="single" w:sz="4" w:space="0" w:color="auto"/>
              <w:left w:val="nil"/>
              <w:bottom w:val="double" w:sz="6" w:space="0" w:color="auto"/>
              <w:right w:val="single" w:sz="4" w:space="0" w:color="auto"/>
            </w:tcBorders>
            <w:vAlign w:val="center"/>
            <w:hideMark/>
          </w:tcPr>
          <w:p w:rsidR="003C4A37" w:rsidRPr="006A32C6" w:rsidP="003C4A37" w14:paraId="5499B219" w14:textId="39E8ADB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4,411</w:t>
            </w:r>
          </w:p>
        </w:tc>
        <w:tc>
          <w:tcPr>
            <w:tcW w:w="434" w:type="pct"/>
            <w:tcBorders>
              <w:top w:val="single" w:sz="4" w:space="0" w:color="auto"/>
              <w:left w:val="nil"/>
              <w:bottom w:val="double" w:sz="6" w:space="0" w:color="auto"/>
              <w:right w:val="single" w:sz="4" w:space="0" w:color="auto"/>
            </w:tcBorders>
            <w:vAlign w:val="center"/>
            <w:hideMark/>
          </w:tcPr>
          <w:p w:rsidR="003C4A37" w:rsidRPr="006A32C6" w:rsidP="003C4A37" w14:paraId="275240D3"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0.25</w:t>
            </w:r>
          </w:p>
        </w:tc>
        <w:tc>
          <w:tcPr>
            <w:tcW w:w="431" w:type="pct"/>
            <w:tcBorders>
              <w:top w:val="single" w:sz="4" w:space="0" w:color="auto"/>
              <w:left w:val="nil"/>
              <w:bottom w:val="double" w:sz="6" w:space="0" w:color="auto"/>
              <w:right w:val="single" w:sz="8" w:space="0" w:color="auto"/>
            </w:tcBorders>
            <w:vAlign w:val="center"/>
            <w:hideMark/>
          </w:tcPr>
          <w:p w:rsidR="003C4A37" w:rsidRPr="006A32C6" w:rsidP="003C4A37" w14:paraId="198DAD08" w14:textId="09E5D16B">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1,103</w:t>
            </w:r>
          </w:p>
        </w:tc>
      </w:tr>
      <w:tr w14:paraId="6A1EC499" w14:textId="77777777" w:rsidTr="00597C25">
        <w:tblPrEx>
          <w:tblW w:w="5406" w:type="pct"/>
          <w:tblInd w:w="-342" w:type="dxa"/>
          <w:tblLayout w:type="fixed"/>
          <w:tblLook w:val="04A0"/>
        </w:tblPrEx>
        <w:trPr>
          <w:trHeight w:val="423"/>
        </w:trPr>
        <w:tc>
          <w:tcPr>
            <w:tcW w:w="2739" w:type="pct"/>
            <w:gridSpan w:val="4"/>
            <w:tcBorders>
              <w:top w:val="nil"/>
              <w:left w:val="single" w:sz="4" w:space="0" w:color="auto"/>
              <w:bottom w:val="single" w:sz="4" w:space="0" w:color="auto"/>
              <w:right w:val="single" w:sz="4" w:space="0" w:color="auto"/>
            </w:tcBorders>
            <w:vAlign w:val="center"/>
          </w:tcPr>
          <w:p w:rsidR="006A32C6" w:rsidRPr="006A32C6" w:rsidP="007433A7" w14:paraId="3B3C2488" w14:textId="77777777">
            <w:pPr>
              <w:overflowPunct/>
              <w:autoSpaceDE/>
              <w:autoSpaceDN/>
              <w:adjustRightInd/>
              <w:jc w:val="right"/>
              <w:textAlignment w:val="auto"/>
              <w:rPr>
                <w:rFonts w:ascii="Arial" w:hAnsi="Arial" w:cs="Arial"/>
                <w:color w:val="000000"/>
                <w:sz w:val="16"/>
                <w:szCs w:val="16"/>
              </w:rPr>
            </w:pPr>
            <w:r w:rsidRPr="006A32C6">
              <w:rPr>
                <w:rFonts w:ascii="Arial" w:hAnsi="Arial" w:cs="Arial"/>
                <w:color w:val="000000"/>
                <w:sz w:val="16"/>
                <w:szCs w:val="16"/>
              </w:rPr>
              <w:t>TOTALS</w:t>
            </w:r>
          </w:p>
        </w:tc>
        <w:tc>
          <w:tcPr>
            <w:tcW w:w="501" w:type="pct"/>
            <w:tcBorders>
              <w:top w:val="nil"/>
              <w:left w:val="nil"/>
              <w:bottom w:val="single" w:sz="4" w:space="0" w:color="auto"/>
              <w:right w:val="single" w:sz="4" w:space="0" w:color="auto"/>
            </w:tcBorders>
            <w:noWrap/>
            <w:vAlign w:val="center"/>
            <w:hideMark/>
          </w:tcPr>
          <w:p w:rsidR="006A32C6" w:rsidRPr="006A32C6" w:rsidP="007433A7" w14:paraId="0D52570B" w14:textId="770DC0B4">
            <w:pPr>
              <w:overflowPunct/>
              <w:autoSpaceDE/>
              <w:autoSpaceDN/>
              <w:adjustRightInd/>
              <w:jc w:val="right"/>
              <w:textAlignment w:val="auto"/>
              <w:rPr>
                <w:rFonts w:ascii="Arial" w:hAnsi="Arial" w:cs="Arial"/>
                <w:b/>
                <w:bCs/>
                <w:color w:val="000000"/>
                <w:sz w:val="16"/>
                <w:szCs w:val="16"/>
              </w:rPr>
            </w:pPr>
            <w:r>
              <w:rPr>
                <w:rFonts w:ascii="Arial" w:hAnsi="Arial" w:cs="Arial"/>
                <w:b/>
                <w:bCs/>
                <w:color w:val="000000"/>
                <w:sz w:val="16"/>
                <w:szCs w:val="16"/>
              </w:rPr>
              <w:t>4,411</w:t>
            </w:r>
          </w:p>
        </w:tc>
        <w:tc>
          <w:tcPr>
            <w:tcW w:w="461" w:type="pct"/>
            <w:tcBorders>
              <w:top w:val="nil"/>
              <w:left w:val="nil"/>
              <w:bottom w:val="single" w:sz="4" w:space="0" w:color="auto"/>
              <w:right w:val="single" w:sz="4" w:space="0" w:color="auto"/>
            </w:tcBorders>
            <w:shd w:val="clear" w:color="auto" w:fill="D9D9D9"/>
            <w:noWrap/>
            <w:vAlign w:val="center"/>
            <w:hideMark/>
          </w:tcPr>
          <w:p w:rsidR="006A32C6" w:rsidRPr="006A32C6" w:rsidP="007433A7" w14:paraId="2AE1E81C" w14:textId="77777777">
            <w:pPr>
              <w:overflowPunct/>
              <w:autoSpaceDE/>
              <w:autoSpaceDN/>
              <w:adjustRightInd/>
              <w:jc w:val="right"/>
              <w:textAlignment w:val="auto"/>
              <w:rPr>
                <w:rFonts w:ascii="Arial" w:hAnsi="Arial" w:cs="Arial"/>
                <w:b/>
                <w:bCs/>
                <w:color w:val="000000"/>
                <w:sz w:val="16"/>
                <w:szCs w:val="16"/>
              </w:rPr>
            </w:pPr>
          </w:p>
        </w:tc>
        <w:tc>
          <w:tcPr>
            <w:tcW w:w="434" w:type="pct"/>
            <w:tcBorders>
              <w:top w:val="nil"/>
              <w:left w:val="nil"/>
              <w:bottom w:val="single" w:sz="4" w:space="0" w:color="auto"/>
              <w:right w:val="nil"/>
            </w:tcBorders>
            <w:noWrap/>
            <w:vAlign w:val="center"/>
            <w:hideMark/>
          </w:tcPr>
          <w:p w:rsidR="006A32C6" w:rsidRPr="006A32C6" w:rsidP="007433A7" w14:paraId="37924CF8" w14:textId="21D65552">
            <w:pPr>
              <w:overflowPunct/>
              <w:autoSpaceDE/>
              <w:autoSpaceDN/>
              <w:adjustRightInd/>
              <w:jc w:val="right"/>
              <w:textAlignment w:val="auto"/>
              <w:rPr>
                <w:rFonts w:ascii="Arial" w:hAnsi="Arial" w:cs="Arial"/>
                <w:b/>
                <w:bCs/>
                <w:color w:val="000000"/>
                <w:sz w:val="16"/>
                <w:szCs w:val="16"/>
              </w:rPr>
            </w:pPr>
            <w:r>
              <w:rPr>
                <w:rFonts w:ascii="Arial" w:hAnsi="Arial" w:cs="Arial"/>
                <w:b/>
                <w:bCs/>
                <w:color w:val="000000"/>
                <w:sz w:val="16"/>
                <w:szCs w:val="16"/>
              </w:rPr>
              <w:t>19,850</w:t>
            </w:r>
          </w:p>
        </w:tc>
        <w:tc>
          <w:tcPr>
            <w:tcW w:w="434" w:type="pct"/>
            <w:tcBorders>
              <w:top w:val="nil"/>
              <w:left w:val="single" w:sz="4" w:space="0" w:color="auto"/>
              <w:bottom w:val="single" w:sz="4" w:space="0" w:color="auto"/>
              <w:right w:val="single" w:sz="4" w:space="0" w:color="auto"/>
            </w:tcBorders>
            <w:shd w:val="clear" w:color="auto" w:fill="D9D9D9"/>
            <w:noWrap/>
            <w:vAlign w:val="center"/>
            <w:hideMark/>
          </w:tcPr>
          <w:p w:rsidR="006A32C6" w:rsidRPr="006A32C6" w:rsidP="007433A7" w14:paraId="029F94EC" w14:textId="77777777">
            <w:pPr>
              <w:overflowPunct/>
              <w:autoSpaceDE/>
              <w:autoSpaceDN/>
              <w:adjustRightInd/>
              <w:jc w:val="right"/>
              <w:textAlignment w:val="auto"/>
              <w:rPr>
                <w:rFonts w:ascii="Arial" w:hAnsi="Arial" w:cs="Arial"/>
                <w:b/>
                <w:bCs/>
                <w:color w:val="000000"/>
                <w:sz w:val="16"/>
                <w:szCs w:val="16"/>
              </w:rPr>
            </w:pPr>
          </w:p>
        </w:tc>
        <w:tc>
          <w:tcPr>
            <w:tcW w:w="431" w:type="pct"/>
            <w:tcBorders>
              <w:top w:val="nil"/>
              <w:left w:val="nil"/>
              <w:bottom w:val="single" w:sz="4" w:space="0" w:color="auto"/>
              <w:right w:val="single" w:sz="8" w:space="0" w:color="auto"/>
            </w:tcBorders>
            <w:noWrap/>
            <w:vAlign w:val="center"/>
            <w:hideMark/>
          </w:tcPr>
          <w:p w:rsidR="006A32C6" w:rsidRPr="006A32C6" w:rsidP="007433A7" w14:paraId="3F20D882" w14:textId="0EF0C483">
            <w:pPr>
              <w:overflowPunct/>
              <w:autoSpaceDE/>
              <w:autoSpaceDN/>
              <w:adjustRightInd/>
              <w:jc w:val="right"/>
              <w:textAlignment w:val="auto"/>
              <w:rPr>
                <w:rFonts w:ascii="Arial" w:hAnsi="Arial" w:cs="Arial"/>
                <w:b/>
                <w:bCs/>
                <w:color w:val="000000"/>
                <w:sz w:val="16"/>
                <w:szCs w:val="16"/>
              </w:rPr>
            </w:pPr>
            <w:r>
              <w:rPr>
                <w:rFonts w:ascii="Arial" w:hAnsi="Arial" w:cs="Arial"/>
                <w:b/>
                <w:bCs/>
                <w:color w:val="000000"/>
                <w:sz w:val="16"/>
                <w:szCs w:val="16"/>
              </w:rPr>
              <w:t>11,029</w:t>
            </w:r>
          </w:p>
        </w:tc>
      </w:tr>
    </w:tbl>
    <w:p w:rsidR="00A05927" w:rsidRPr="00A05927" w:rsidP="00A05927" w14:paraId="39691C77" w14:textId="47F32811">
      <w:pPr>
        <w:ind w:left="-90"/>
        <w:rPr>
          <w:sz w:val="16"/>
          <w:szCs w:val="16"/>
        </w:rPr>
      </w:pPr>
      <w:bookmarkStart w:id="0" w:name="_Hlk75847371"/>
      <w:r w:rsidRPr="0078690C">
        <w:rPr>
          <w:sz w:val="24"/>
          <w:szCs w:val="24"/>
        </w:rPr>
        <w:t xml:space="preserve">The cost to respondents is based on the 2025 GS-11 RUS salary table with an hourly labor rate of $39 per hour. The total annual cost to respondents is estimated to be </w:t>
      </w:r>
      <w:r w:rsidRPr="00A05927" w:rsidR="00BD0C67">
        <w:rPr>
          <w:sz w:val="24"/>
          <w:szCs w:val="24"/>
        </w:rPr>
        <w:t>$</w:t>
      </w:r>
      <w:r w:rsidR="00BD0C67">
        <w:rPr>
          <w:sz w:val="24"/>
          <w:szCs w:val="24"/>
        </w:rPr>
        <w:t>43</w:t>
      </w:r>
      <w:r w:rsidR="002E69D6">
        <w:rPr>
          <w:sz w:val="24"/>
          <w:szCs w:val="24"/>
        </w:rPr>
        <w:t>0</w:t>
      </w:r>
      <w:r w:rsidR="00BD0C67">
        <w:rPr>
          <w:sz w:val="24"/>
          <w:szCs w:val="24"/>
        </w:rPr>
        <w:t>,</w:t>
      </w:r>
      <w:r w:rsidR="002E69D6">
        <w:rPr>
          <w:sz w:val="24"/>
          <w:szCs w:val="24"/>
        </w:rPr>
        <w:t>131</w:t>
      </w:r>
      <w:r w:rsidR="0035136E">
        <w:rPr>
          <w:sz w:val="24"/>
          <w:szCs w:val="24"/>
        </w:rPr>
        <w:t>.</w:t>
      </w:r>
    </w:p>
    <w:bookmarkEnd w:id="0"/>
    <w:p w:rsidR="001B27B9" w:rsidRPr="001E2373" w:rsidP="00D50925" w14:paraId="1075D6E0" w14:textId="77777777">
      <w:pPr>
        <w:numPr>
          <w:ilvl w:val="12"/>
          <w:numId w:val="0"/>
        </w:numPr>
        <w:tabs>
          <w:tab w:val="left" w:pos="432"/>
        </w:tabs>
        <w:rPr>
          <w:sz w:val="24"/>
          <w:szCs w:val="24"/>
        </w:rPr>
      </w:pPr>
    </w:p>
    <w:p w:rsidR="00DD06E9" w:rsidRPr="00F03C26" w:rsidP="00DD06E9" w14:paraId="13C11A75" w14:textId="77777777">
      <w:pPr>
        <w:tabs>
          <w:tab w:val="left" w:pos="720"/>
        </w:tabs>
        <w:ind w:left="720"/>
        <w:rPr>
          <w:sz w:val="24"/>
          <w:szCs w:val="24"/>
        </w:rPr>
      </w:pPr>
      <w:r w:rsidRPr="001E2373">
        <w:rPr>
          <w:sz w:val="24"/>
          <w:szCs w:val="24"/>
        </w:rPr>
        <w:t>There are no costs to respondents.  The completion of audits and the related contracting through engagement letters and the preparation of working papers in support of an audit is a customary and usual business practice for a financial institution, therefore, we have not included cost burden estimates for the work paper requirements.</w:t>
      </w:r>
    </w:p>
    <w:p w:rsidR="003A7EE0" w:rsidRPr="00F03C26" w:rsidP="00F03C26" w14:paraId="7220AE20" w14:textId="77777777">
      <w:pPr>
        <w:numPr>
          <w:ilvl w:val="12"/>
          <w:numId w:val="0"/>
        </w:numPr>
        <w:tabs>
          <w:tab w:val="left" w:pos="720"/>
        </w:tabs>
        <w:ind w:left="720" w:hanging="720"/>
        <w:rPr>
          <w:sz w:val="24"/>
          <w:szCs w:val="24"/>
        </w:rPr>
      </w:pPr>
    </w:p>
    <w:p w:rsidR="00F03C26" w:rsidP="00F03C26" w14:paraId="6AC50798" w14:textId="77777777">
      <w:pPr>
        <w:pStyle w:val="ListParagraph"/>
        <w:ind w:left="0"/>
        <w:rPr>
          <w:b/>
        </w:rPr>
      </w:pPr>
      <w:r w:rsidRPr="00F03C26">
        <w:rPr>
          <w:b/>
        </w:rPr>
        <w:t>13.</w:t>
      </w:r>
      <w:r w:rsidRPr="00F03C26">
        <w:rPr>
          <w:b/>
        </w:rPr>
        <w:tab/>
      </w:r>
      <w:r>
        <w:rPr>
          <w:b/>
        </w:rPr>
        <w:t xml:space="preserve">Capital start-up </w:t>
      </w:r>
      <w:r w:rsidR="00660BF3">
        <w:rPr>
          <w:b/>
        </w:rPr>
        <w:t xml:space="preserve">or </w:t>
      </w:r>
      <w:r w:rsidR="0030431C">
        <w:rPr>
          <w:b/>
        </w:rPr>
        <w:t>on-going operation</w:t>
      </w:r>
      <w:r>
        <w:rPr>
          <w:b/>
        </w:rPr>
        <w:t xml:space="preserve"> and maintenance costs.</w:t>
      </w:r>
    </w:p>
    <w:p w:rsidR="003A7EE0" w:rsidRPr="00F03C26" w:rsidP="004D7F87" w14:paraId="23C149BB" w14:textId="77777777">
      <w:pPr>
        <w:numPr>
          <w:ilvl w:val="12"/>
          <w:numId w:val="0"/>
        </w:numPr>
        <w:tabs>
          <w:tab w:val="left" w:pos="720"/>
        </w:tabs>
        <w:rPr>
          <w:sz w:val="24"/>
          <w:szCs w:val="24"/>
        </w:rPr>
      </w:pPr>
    </w:p>
    <w:p w:rsidR="003A7EE0" w:rsidRPr="00F03C26" w:rsidP="00F03C26" w14:paraId="493659FC" w14:textId="77777777">
      <w:pPr>
        <w:tabs>
          <w:tab w:val="left" w:pos="720"/>
        </w:tabs>
        <w:ind w:left="720" w:hanging="720"/>
        <w:rPr>
          <w:sz w:val="24"/>
          <w:szCs w:val="24"/>
        </w:rPr>
      </w:pPr>
      <w:r>
        <w:rPr>
          <w:sz w:val="24"/>
          <w:szCs w:val="24"/>
        </w:rPr>
        <w:tab/>
      </w:r>
      <w:r w:rsidR="00DD06E9">
        <w:rPr>
          <w:sz w:val="24"/>
          <w:szCs w:val="24"/>
        </w:rPr>
        <w:t>There are no capital start-</w:t>
      </w:r>
      <w:r w:rsidR="00DD06E9">
        <w:rPr>
          <w:sz w:val="24"/>
          <w:szCs w:val="24"/>
        </w:rPr>
        <w:t>up</w:t>
      </w:r>
      <w:r w:rsidR="00DD06E9">
        <w:rPr>
          <w:sz w:val="24"/>
          <w:szCs w:val="24"/>
        </w:rPr>
        <w:t xml:space="preserve"> or</w:t>
      </w:r>
      <w:r w:rsidR="00087DD6">
        <w:rPr>
          <w:sz w:val="24"/>
          <w:szCs w:val="24"/>
        </w:rPr>
        <w:t xml:space="preserve"> ongoing</w:t>
      </w:r>
      <w:r w:rsidR="00DD06E9">
        <w:rPr>
          <w:sz w:val="24"/>
          <w:szCs w:val="24"/>
        </w:rPr>
        <w:t xml:space="preserve"> operation</w:t>
      </w:r>
      <w:r w:rsidR="00087DD6">
        <w:rPr>
          <w:sz w:val="24"/>
          <w:szCs w:val="24"/>
        </w:rPr>
        <w:t>s/</w:t>
      </w:r>
      <w:r w:rsidR="00DD06E9">
        <w:rPr>
          <w:sz w:val="24"/>
          <w:szCs w:val="24"/>
        </w:rPr>
        <w:t>maintenance costs</w:t>
      </w:r>
      <w:r w:rsidR="00087DD6">
        <w:rPr>
          <w:sz w:val="24"/>
          <w:szCs w:val="24"/>
        </w:rPr>
        <w:t xml:space="preserve"> associated with this information collection</w:t>
      </w:r>
      <w:r w:rsidR="00DD06E9">
        <w:rPr>
          <w:sz w:val="24"/>
          <w:szCs w:val="24"/>
        </w:rPr>
        <w:t>.</w:t>
      </w:r>
    </w:p>
    <w:p w:rsidR="003A7EE0" w:rsidRPr="00F03C26" w:rsidP="00F03C26" w14:paraId="4526E439" w14:textId="77777777">
      <w:pPr>
        <w:tabs>
          <w:tab w:val="left" w:pos="720"/>
        </w:tabs>
        <w:ind w:left="720" w:hanging="720"/>
        <w:rPr>
          <w:sz w:val="24"/>
          <w:szCs w:val="24"/>
        </w:rPr>
      </w:pPr>
    </w:p>
    <w:p w:rsidR="00F03C26" w:rsidP="00F03C26" w14:paraId="000E4A15" w14:textId="77777777">
      <w:pPr>
        <w:tabs>
          <w:tab w:val="left" w:pos="720"/>
        </w:tabs>
        <w:ind w:left="720" w:hanging="720"/>
        <w:rPr>
          <w:b/>
          <w:sz w:val="24"/>
          <w:szCs w:val="24"/>
        </w:rPr>
      </w:pPr>
      <w:r w:rsidRPr="00F03C26">
        <w:rPr>
          <w:b/>
          <w:sz w:val="24"/>
          <w:szCs w:val="24"/>
        </w:rPr>
        <w:t>14.</w:t>
      </w:r>
      <w:r w:rsidRPr="00F03C26">
        <w:rPr>
          <w:b/>
          <w:sz w:val="24"/>
          <w:szCs w:val="24"/>
        </w:rPr>
        <w:tab/>
      </w:r>
      <w:r w:rsidR="00660BF3">
        <w:rPr>
          <w:b/>
          <w:sz w:val="24"/>
          <w:szCs w:val="24"/>
        </w:rPr>
        <w:t>Annualized c</w:t>
      </w:r>
      <w:r>
        <w:rPr>
          <w:b/>
          <w:sz w:val="24"/>
          <w:szCs w:val="24"/>
        </w:rPr>
        <w:t>ost</w:t>
      </w:r>
      <w:r w:rsidR="0030431C">
        <w:rPr>
          <w:b/>
          <w:sz w:val="24"/>
          <w:szCs w:val="24"/>
        </w:rPr>
        <w:t>s</w:t>
      </w:r>
      <w:r>
        <w:rPr>
          <w:b/>
          <w:sz w:val="24"/>
          <w:szCs w:val="24"/>
        </w:rPr>
        <w:t xml:space="preserve"> to</w:t>
      </w:r>
      <w:r w:rsidR="0030431C">
        <w:rPr>
          <w:b/>
          <w:sz w:val="24"/>
          <w:szCs w:val="24"/>
        </w:rPr>
        <w:t xml:space="preserve"> </w:t>
      </w:r>
      <w:r>
        <w:rPr>
          <w:b/>
          <w:sz w:val="24"/>
          <w:szCs w:val="24"/>
        </w:rPr>
        <w:t>Federal government.</w:t>
      </w:r>
    </w:p>
    <w:p w:rsidR="003A7EE0" w:rsidRPr="00F90525" w:rsidP="00F03C26" w14:paraId="3F3CC645" w14:textId="77777777">
      <w:pPr>
        <w:tabs>
          <w:tab w:val="left" w:pos="720"/>
        </w:tabs>
        <w:ind w:left="720" w:hanging="720"/>
        <w:rPr>
          <w:iCs/>
          <w:sz w:val="24"/>
          <w:szCs w:val="24"/>
        </w:rPr>
      </w:pPr>
    </w:p>
    <w:p w:rsidR="0004346D" w:rsidRPr="00DD06E9" w:rsidP="00F03C26" w14:paraId="198F1937" w14:textId="77777777">
      <w:pPr>
        <w:tabs>
          <w:tab w:val="left" w:pos="720"/>
        </w:tabs>
        <w:ind w:left="720" w:hanging="720"/>
        <w:rPr>
          <w:sz w:val="24"/>
          <w:szCs w:val="24"/>
        </w:rPr>
      </w:pPr>
      <w:r>
        <w:rPr>
          <w:i/>
          <w:sz w:val="24"/>
          <w:szCs w:val="24"/>
        </w:rPr>
        <w:tab/>
      </w:r>
      <w:r w:rsidRPr="00DD06E9" w:rsidR="00DD06E9">
        <w:rPr>
          <w:sz w:val="24"/>
          <w:szCs w:val="24"/>
        </w:rPr>
        <w:t>There are no costs to the Federal government</w:t>
      </w:r>
      <w:r w:rsidRPr="00DD06E9">
        <w:rPr>
          <w:sz w:val="24"/>
          <w:szCs w:val="24"/>
        </w:rPr>
        <w:t xml:space="preserve">. </w:t>
      </w:r>
    </w:p>
    <w:p w:rsidR="003A7EE0" w:rsidRPr="00F03C26" w:rsidP="00F03C26" w14:paraId="21C7136C" w14:textId="77777777">
      <w:pPr>
        <w:tabs>
          <w:tab w:val="left" w:pos="720"/>
        </w:tabs>
        <w:ind w:left="720" w:hanging="720"/>
        <w:rPr>
          <w:sz w:val="24"/>
          <w:szCs w:val="24"/>
        </w:rPr>
      </w:pPr>
    </w:p>
    <w:p w:rsidR="003A7EE0" w:rsidP="00F03C26" w14:paraId="6D40D1CD" w14:textId="77777777">
      <w:pPr>
        <w:tabs>
          <w:tab w:val="left" w:pos="720"/>
        </w:tabs>
        <w:ind w:left="720" w:hanging="720"/>
        <w:rPr>
          <w:b/>
          <w:sz w:val="24"/>
          <w:szCs w:val="24"/>
        </w:rPr>
      </w:pPr>
      <w:r w:rsidRPr="00F03C26">
        <w:rPr>
          <w:b/>
          <w:sz w:val="24"/>
          <w:szCs w:val="24"/>
        </w:rPr>
        <w:t>15.</w:t>
      </w:r>
      <w:r w:rsidRPr="00F03C26">
        <w:rPr>
          <w:b/>
          <w:sz w:val="24"/>
          <w:szCs w:val="24"/>
        </w:rPr>
        <w:tab/>
      </w:r>
      <w:r w:rsidR="00660BF3">
        <w:rPr>
          <w:b/>
          <w:sz w:val="24"/>
          <w:szCs w:val="24"/>
        </w:rPr>
        <w:t>Changes in burden</w:t>
      </w:r>
      <w:r w:rsidRPr="00F03C26">
        <w:rPr>
          <w:b/>
          <w:sz w:val="24"/>
          <w:szCs w:val="24"/>
        </w:rPr>
        <w:t>.</w:t>
      </w:r>
    </w:p>
    <w:p w:rsidR="003A7EE0" w:rsidRPr="00F03C26" w:rsidP="004240F1" w14:paraId="6ABD8ED2" w14:textId="77777777">
      <w:pPr>
        <w:tabs>
          <w:tab w:val="left" w:pos="720"/>
        </w:tabs>
        <w:rPr>
          <w:sz w:val="24"/>
          <w:szCs w:val="24"/>
        </w:rPr>
      </w:pPr>
    </w:p>
    <w:p w:rsidR="0035136E" w:rsidP="00F03C26" w14:paraId="051CF71E" w14:textId="6B27A660">
      <w:pPr>
        <w:tabs>
          <w:tab w:val="left" w:pos="720"/>
        </w:tabs>
        <w:ind w:left="720" w:hanging="720"/>
        <w:rPr>
          <w:sz w:val="24"/>
          <w:szCs w:val="24"/>
        </w:rPr>
      </w:pPr>
      <w:r>
        <w:rPr>
          <w:sz w:val="24"/>
          <w:szCs w:val="24"/>
        </w:rPr>
        <w:tab/>
      </w:r>
      <w:r w:rsidR="000723B0">
        <w:rPr>
          <w:sz w:val="24"/>
          <w:szCs w:val="24"/>
        </w:rPr>
        <w:t xml:space="preserve">There was a decrease in the number of respondents which resulted in a </w:t>
      </w:r>
      <w:r w:rsidR="00844C73">
        <w:rPr>
          <w:sz w:val="24"/>
          <w:szCs w:val="24"/>
        </w:rPr>
        <w:t xml:space="preserve">decrease </w:t>
      </w:r>
      <w:r w:rsidR="00085E43">
        <w:rPr>
          <w:sz w:val="24"/>
          <w:szCs w:val="24"/>
        </w:rPr>
        <w:t xml:space="preserve">of </w:t>
      </w:r>
      <w:r w:rsidRPr="00C727B7" w:rsidR="00085E43">
        <w:rPr>
          <w:sz w:val="24"/>
          <w:szCs w:val="24"/>
        </w:rPr>
        <w:t>1,</w:t>
      </w:r>
      <w:r w:rsidRPr="00C727B7" w:rsidR="00F778B5">
        <w:rPr>
          <w:sz w:val="24"/>
          <w:szCs w:val="24"/>
        </w:rPr>
        <w:t>52</w:t>
      </w:r>
      <w:r w:rsidRPr="00C727B7" w:rsidR="00085E43">
        <w:rPr>
          <w:sz w:val="24"/>
          <w:szCs w:val="24"/>
        </w:rPr>
        <w:t>0</w:t>
      </w:r>
      <w:r w:rsidR="00844C73">
        <w:rPr>
          <w:sz w:val="24"/>
          <w:szCs w:val="24"/>
        </w:rPr>
        <w:t xml:space="preserve"> total annual burden</w:t>
      </w:r>
      <w:r w:rsidR="00085E43">
        <w:rPr>
          <w:sz w:val="24"/>
          <w:szCs w:val="24"/>
        </w:rPr>
        <w:t xml:space="preserve"> hours.</w:t>
      </w:r>
    </w:p>
    <w:p w:rsidR="0042472B" w:rsidRPr="00F03C26" w:rsidP="00475C55" w14:paraId="4340F1CC" w14:textId="77777777">
      <w:pPr>
        <w:tabs>
          <w:tab w:val="left" w:pos="720"/>
        </w:tabs>
        <w:rPr>
          <w:sz w:val="24"/>
          <w:szCs w:val="24"/>
        </w:rPr>
      </w:pPr>
    </w:p>
    <w:p w:rsidR="00766D03" w:rsidP="00766D03" w14:paraId="2D88E5EB" w14:textId="77777777">
      <w:pPr>
        <w:pStyle w:val="ListParagraph"/>
        <w:tabs>
          <w:tab w:val="left" w:pos="0"/>
          <w:tab w:val="left" w:pos="720"/>
        </w:tabs>
        <w:ind w:left="0"/>
        <w:rPr>
          <w:b/>
        </w:rPr>
      </w:pPr>
      <w:r w:rsidRPr="00766D03">
        <w:rPr>
          <w:b/>
        </w:rPr>
        <w:t>16.</w:t>
      </w:r>
      <w:r w:rsidRPr="00766D03">
        <w:rPr>
          <w:b/>
        </w:rPr>
        <w:tab/>
      </w:r>
      <w:r>
        <w:rPr>
          <w:b/>
        </w:rPr>
        <w:t>Information collection planned for statistical p</w:t>
      </w:r>
      <w:r w:rsidRPr="00766D03">
        <w:rPr>
          <w:b/>
        </w:rPr>
        <w:t>urposes</w:t>
      </w:r>
      <w:r>
        <w:rPr>
          <w:b/>
        </w:rPr>
        <w:t>.</w:t>
      </w:r>
    </w:p>
    <w:p w:rsidR="00766D03" w:rsidP="00F03C26" w14:paraId="77E934CB" w14:textId="77777777">
      <w:pPr>
        <w:tabs>
          <w:tab w:val="left" w:pos="720"/>
        </w:tabs>
        <w:ind w:left="720" w:hanging="720"/>
        <w:rPr>
          <w:sz w:val="24"/>
          <w:szCs w:val="24"/>
        </w:rPr>
      </w:pPr>
    </w:p>
    <w:p w:rsidR="003A7EE0" w:rsidRPr="00F03C26" w:rsidP="00F03C26" w14:paraId="489B5A70" w14:textId="77777777">
      <w:pPr>
        <w:tabs>
          <w:tab w:val="left" w:pos="720"/>
        </w:tabs>
        <w:ind w:left="720" w:hanging="720"/>
        <w:rPr>
          <w:sz w:val="24"/>
          <w:szCs w:val="24"/>
        </w:rPr>
      </w:pPr>
      <w:r>
        <w:rPr>
          <w:sz w:val="24"/>
          <w:szCs w:val="24"/>
        </w:rPr>
        <w:tab/>
      </w:r>
      <w:r w:rsidR="00087DD6">
        <w:rPr>
          <w:sz w:val="24"/>
          <w:szCs w:val="24"/>
        </w:rPr>
        <w:t xml:space="preserve">There are no </w:t>
      </w:r>
      <w:r w:rsidRPr="00F03C26">
        <w:rPr>
          <w:sz w:val="24"/>
          <w:szCs w:val="24"/>
        </w:rPr>
        <w:t>plans for publication.</w:t>
      </w:r>
    </w:p>
    <w:p w:rsidR="003A7EE0" w:rsidRPr="00F03C26" w:rsidP="00F03C26" w14:paraId="0AE95CEC" w14:textId="77777777">
      <w:pPr>
        <w:tabs>
          <w:tab w:val="left" w:pos="720"/>
        </w:tabs>
        <w:ind w:left="720" w:hanging="720"/>
        <w:rPr>
          <w:sz w:val="24"/>
          <w:szCs w:val="24"/>
        </w:rPr>
      </w:pPr>
    </w:p>
    <w:p w:rsidR="00766D03" w:rsidP="00F03C26" w14:paraId="359E823B" w14:textId="77777777">
      <w:pPr>
        <w:tabs>
          <w:tab w:val="left" w:pos="720"/>
        </w:tabs>
        <w:ind w:left="720" w:hanging="720"/>
        <w:rPr>
          <w:b/>
          <w:sz w:val="24"/>
          <w:szCs w:val="24"/>
        </w:rPr>
      </w:pPr>
      <w:r w:rsidRPr="00766D03">
        <w:rPr>
          <w:b/>
          <w:sz w:val="24"/>
          <w:szCs w:val="24"/>
        </w:rPr>
        <w:t>17.</w:t>
      </w:r>
      <w:r w:rsidRPr="00766D03">
        <w:rPr>
          <w:b/>
          <w:sz w:val="24"/>
          <w:szCs w:val="24"/>
        </w:rPr>
        <w:tab/>
      </w:r>
      <w:r w:rsidR="00660BF3">
        <w:rPr>
          <w:b/>
          <w:sz w:val="24"/>
          <w:szCs w:val="24"/>
        </w:rPr>
        <w:t>Request no</w:t>
      </w:r>
      <w:r w:rsidR="0030431C">
        <w:rPr>
          <w:b/>
          <w:sz w:val="24"/>
          <w:szCs w:val="24"/>
        </w:rPr>
        <w:t>n</w:t>
      </w:r>
      <w:r w:rsidR="00660BF3">
        <w:rPr>
          <w:b/>
          <w:sz w:val="24"/>
          <w:szCs w:val="24"/>
        </w:rPr>
        <w:t>-display the expiration date of the OMB control number</w:t>
      </w:r>
      <w:r w:rsidRPr="00766D03">
        <w:rPr>
          <w:b/>
          <w:sz w:val="24"/>
          <w:szCs w:val="24"/>
        </w:rPr>
        <w:t>.</w:t>
      </w:r>
    </w:p>
    <w:p w:rsidR="00F90525" w:rsidP="00EF5E4E" w14:paraId="1CF6E9A0" w14:textId="77777777">
      <w:pPr>
        <w:ind w:left="720" w:hanging="720"/>
        <w:rPr>
          <w:sz w:val="24"/>
          <w:szCs w:val="24"/>
        </w:rPr>
      </w:pPr>
    </w:p>
    <w:p w:rsidR="00EF5E4E" w:rsidP="0035136E" w14:paraId="476D70F2" w14:textId="77777777">
      <w:pPr>
        <w:ind w:left="720" w:hanging="720"/>
        <w:rPr>
          <w:spacing w:val="-1"/>
          <w:sz w:val="24"/>
          <w:szCs w:val="24"/>
        </w:rPr>
      </w:pPr>
      <w:r>
        <w:rPr>
          <w:sz w:val="24"/>
          <w:szCs w:val="24"/>
        </w:rPr>
        <w:tab/>
      </w:r>
      <w:r w:rsidR="00E14627">
        <w:rPr>
          <w:sz w:val="24"/>
          <w:szCs w:val="24"/>
        </w:rPr>
        <w:t xml:space="preserve">Non-display is requested. </w:t>
      </w:r>
      <w:r w:rsidRPr="00EF5E4E">
        <w:rPr>
          <w:spacing w:val="-1"/>
          <w:sz w:val="24"/>
          <w:szCs w:val="24"/>
        </w:rPr>
        <w:t>The OMB</w:t>
      </w:r>
      <w:r w:rsidRPr="00EF5E4E">
        <w:rPr>
          <w:sz w:val="24"/>
          <w:szCs w:val="24"/>
        </w:rPr>
        <w:t xml:space="preserve"> </w:t>
      </w:r>
      <w:r w:rsidRPr="00EF5E4E">
        <w:rPr>
          <w:spacing w:val="-1"/>
          <w:sz w:val="24"/>
          <w:szCs w:val="24"/>
        </w:rPr>
        <w:t>control</w:t>
      </w:r>
      <w:r w:rsidRPr="00EF5E4E">
        <w:rPr>
          <w:sz w:val="24"/>
          <w:szCs w:val="24"/>
        </w:rPr>
        <w:t xml:space="preserve"> number</w:t>
      </w:r>
      <w:r w:rsidRPr="00EF5E4E">
        <w:rPr>
          <w:spacing w:val="-1"/>
          <w:sz w:val="24"/>
          <w:szCs w:val="24"/>
        </w:rPr>
        <w:t xml:space="preserve"> and</w:t>
      </w:r>
      <w:r w:rsidRPr="00EF5E4E">
        <w:rPr>
          <w:sz w:val="24"/>
          <w:szCs w:val="24"/>
        </w:rPr>
        <w:t xml:space="preserve"> </w:t>
      </w:r>
      <w:r w:rsidRPr="00EF5E4E">
        <w:rPr>
          <w:spacing w:val="-1"/>
          <w:sz w:val="24"/>
          <w:szCs w:val="24"/>
        </w:rPr>
        <w:t>expiration</w:t>
      </w:r>
      <w:r w:rsidRPr="00EF5E4E">
        <w:rPr>
          <w:sz w:val="24"/>
          <w:szCs w:val="24"/>
        </w:rPr>
        <w:t xml:space="preserve"> </w:t>
      </w:r>
      <w:r w:rsidRPr="00EF5E4E">
        <w:rPr>
          <w:spacing w:val="-1"/>
          <w:sz w:val="24"/>
          <w:szCs w:val="24"/>
        </w:rPr>
        <w:t>date associated</w:t>
      </w:r>
      <w:r w:rsidRPr="00EF5E4E">
        <w:rPr>
          <w:sz w:val="24"/>
          <w:szCs w:val="24"/>
        </w:rPr>
        <w:t xml:space="preserve"> </w:t>
      </w:r>
      <w:r w:rsidRPr="00EF5E4E">
        <w:rPr>
          <w:spacing w:val="-1"/>
          <w:sz w:val="24"/>
          <w:szCs w:val="24"/>
        </w:rPr>
        <w:t>with</w:t>
      </w:r>
      <w:r w:rsidRPr="00EF5E4E">
        <w:rPr>
          <w:sz w:val="24"/>
          <w:szCs w:val="24"/>
        </w:rPr>
        <w:t xml:space="preserve"> this PRA</w:t>
      </w:r>
      <w:r w:rsidRPr="00EF5E4E">
        <w:rPr>
          <w:spacing w:val="-1"/>
          <w:sz w:val="24"/>
          <w:szCs w:val="24"/>
        </w:rPr>
        <w:t xml:space="preserve"> </w:t>
      </w:r>
      <w:r w:rsidRPr="00EF5E4E">
        <w:rPr>
          <w:sz w:val="24"/>
          <w:szCs w:val="24"/>
        </w:rPr>
        <w:t xml:space="preserve">submission </w:t>
      </w:r>
      <w:r w:rsidRPr="00EF5E4E">
        <w:rPr>
          <w:spacing w:val="-1"/>
          <w:sz w:val="24"/>
          <w:szCs w:val="24"/>
        </w:rPr>
        <w:t>will</w:t>
      </w:r>
      <w:r w:rsidR="0035136E">
        <w:rPr>
          <w:spacing w:val="77"/>
          <w:sz w:val="24"/>
          <w:szCs w:val="24"/>
        </w:rPr>
        <w:t xml:space="preserve"> </w:t>
      </w:r>
      <w:r w:rsidRPr="00EF5E4E">
        <w:rPr>
          <w:sz w:val="24"/>
          <w:szCs w:val="24"/>
        </w:rPr>
        <w:t>be</w:t>
      </w:r>
      <w:r w:rsidRPr="00EF5E4E">
        <w:rPr>
          <w:spacing w:val="-1"/>
          <w:sz w:val="24"/>
          <w:szCs w:val="24"/>
        </w:rPr>
        <w:t xml:space="preserve"> displayed</w:t>
      </w:r>
      <w:r w:rsidRPr="00EF5E4E">
        <w:rPr>
          <w:sz w:val="24"/>
          <w:szCs w:val="24"/>
        </w:rPr>
        <w:t xml:space="preserve"> on the</w:t>
      </w:r>
      <w:r w:rsidRPr="00EF5E4E">
        <w:rPr>
          <w:spacing w:val="-1"/>
          <w:sz w:val="24"/>
          <w:szCs w:val="24"/>
        </w:rPr>
        <w:t xml:space="preserve"> Federal</w:t>
      </w:r>
      <w:r w:rsidRPr="00EF5E4E">
        <w:rPr>
          <w:sz w:val="24"/>
          <w:szCs w:val="24"/>
        </w:rPr>
        <w:t xml:space="preserve"> </w:t>
      </w:r>
      <w:r w:rsidRPr="00EF5E4E">
        <w:rPr>
          <w:spacing w:val="-1"/>
          <w:sz w:val="24"/>
          <w:szCs w:val="24"/>
        </w:rPr>
        <w:t>government’s</w:t>
      </w:r>
      <w:r w:rsidRPr="00EF5E4E">
        <w:rPr>
          <w:spacing w:val="2"/>
          <w:sz w:val="24"/>
          <w:szCs w:val="24"/>
        </w:rPr>
        <w:t xml:space="preserve"> </w:t>
      </w:r>
      <w:r w:rsidRPr="00EF5E4E">
        <w:rPr>
          <w:spacing w:val="-1"/>
          <w:sz w:val="24"/>
          <w:szCs w:val="24"/>
        </w:rPr>
        <w:t xml:space="preserve">electronic </w:t>
      </w:r>
      <w:r w:rsidRPr="00EF5E4E">
        <w:rPr>
          <w:sz w:val="24"/>
          <w:szCs w:val="24"/>
        </w:rPr>
        <w:t>PRA</w:t>
      </w:r>
      <w:r w:rsidRPr="00EF5E4E">
        <w:rPr>
          <w:spacing w:val="-1"/>
          <w:sz w:val="24"/>
          <w:szCs w:val="24"/>
        </w:rPr>
        <w:t xml:space="preserve"> docket</w:t>
      </w:r>
      <w:r w:rsidRPr="00EF5E4E">
        <w:rPr>
          <w:sz w:val="24"/>
          <w:szCs w:val="24"/>
        </w:rPr>
        <w:t xml:space="preserve"> </w:t>
      </w:r>
      <w:r w:rsidR="00F90525">
        <w:rPr>
          <w:sz w:val="24"/>
          <w:szCs w:val="24"/>
        </w:rPr>
        <w:t xml:space="preserve">website </w:t>
      </w:r>
      <w:r w:rsidRPr="00EF5E4E">
        <w:rPr>
          <w:spacing w:val="-1"/>
          <w:sz w:val="24"/>
          <w:szCs w:val="24"/>
        </w:rPr>
        <w:t>at</w:t>
      </w:r>
      <w:r w:rsidRPr="00EF5E4E">
        <w:rPr>
          <w:sz w:val="24"/>
          <w:szCs w:val="24"/>
        </w:rPr>
        <w:t xml:space="preserve"> </w:t>
      </w:r>
      <w:hyperlink r:id="rId5" w:history="1">
        <w:r w:rsidRPr="005331F1">
          <w:rPr>
            <w:rStyle w:val="Hyperlink"/>
            <w:spacing w:val="-1"/>
            <w:sz w:val="24"/>
            <w:szCs w:val="24"/>
          </w:rPr>
          <w:t>www.reginfo.gov</w:t>
        </w:r>
      </w:hyperlink>
      <w:r>
        <w:rPr>
          <w:spacing w:val="-1"/>
          <w:sz w:val="24"/>
          <w:szCs w:val="24"/>
        </w:rPr>
        <w:t>.</w:t>
      </w:r>
    </w:p>
    <w:p w:rsidR="006F7E68" w:rsidP="00EF5E4E" w14:paraId="4C92DB3D" w14:textId="77777777">
      <w:pPr>
        <w:tabs>
          <w:tab w:val="left" w:pos="720"/>
        </w:tabs>
        <w:rPr>
          <w:sz w:val="24"/>
          <w:szCs w:val="24"/>
        </w:rPr>
      </w:pPr>
    </w:p>
    <w:p w:rsidR="006F7E68" w:rsidRPr="006F7E68" w:rsidP="006F7E68" w14:paraId="38F19F82" w14:textId="77777777">
      <w:pPr>
        <w:tabs>
          <w:tab w:val="left" w:pos="720"/>
        </w:tabs>
        <w:ind w:left="720" w:hanging="720"/>
        <w:rPr>
          <w:b/>
          <w:sz w:val="24"/>
          <w:szCs w:val="24"/>
        </w:rPr>
      </w:pPr>
      <w:r>
        <w:rPr>
          <w:b/>
          <w:sz w:val="24"/>
          <w:szCs w:val="24"/>
        </w:rPr>
        <w:t>18.</w:t>
      </w:r>
      <w:r w:rsidRPr="006F7E68">
        <w:rPr>
          <w:b/>
          <w:sz w:val="24"/>
          <w:szCs w:val="24"/>
        </w:rPr>
        <w:tab/>
        <w:t>Exceptions to Certification for Paperwork Reduction Act Submissions</w:t>
      </w:r>
      <w:r>
        <w:rPr>
          <w:b/>
          <w:sz w:val="24"/>
          <w:szCs w:val="24"/>
        </w:rPr>
        <w:t>.</w:t>
      </w:r>
    </w:p>
    <w:p w:rsidR="0035136E" w:rsidP="006F7E68" w14:paraId="28810ABB" w14:textId="77777777">
      <w:pPr>
        <w:suppressAutoHyphens/>
        <w:ind w:left="720" w:hanging="720"/>
        <w:rPr>
          <w:sz w:val="24"/>
          <w:szCs w:val="24"/>
        </w:rPr>
      </w:pPr>
    </w:p>
    <w:p w:rsidR="006F7E68" w:rsidRPr="006F7E68" w:rsidP="006F7E68" w14:paraId="79856CDD" w14:textId="77777777">
      <w:pPr>
        <w:suppressAutoHyphens/>
        <w:ind w:left="720" w:hanging="720"/>
        <w:rPr>
          <w:sz w:val="24"/>
          <w:szCs w:val="24"/>
        </w:rPr>
      </w:pPr>
      <w:r w:rsidRPr="006F7E68">
        <w:rPr>
          <w:sz w:val="24"/>
          <w:szCs w:val="24"/>
        </w:rPr>
        <w:tab/>
      </w:r>
      <w:r w:rsidR="00645775">
        <w:rPr>
          <w:sz w:val="24"/>
          <w:szCs w:val="24"/>
        </w:rPr>
        <w:t>There are no exceptions to the certification statement.</w:t>
      </w:r>
    </w:p>
    <w:p w:rsidR="006F7E68" w:rsidRPr="006F7E68" w:rsidP="006F7E68" w14:paraId="0EAE5EB0" w14:textId="77777777">
      <w:pPr>
        <w:tabs>
          <w:tab w:val="left" w:pos="-720"/>
          <w:tab w:val="left" w:pos="286"/>
          <w:tab w:val="left" w:pos="403"/>
          <w:tab w:val="left" w:pos="720"/>
        </w:tabs>
        <w:suppressAutoHyphens/>
        <w:ind w:left="720" w:hanging="720"/>
        <w:rPr>
          <w:sz w:val="24"/>
          <w:szCs w:val="24"/>
        </w:rPr>
      </w:pPr>
    </w:p>
    <w:p w:rsidR="006F7E68" w:rsidP="006F7E68" w14:paraId="527337EA" w14:textId="77777777">
      <w:pPr>
        <w:tabs>
          <w:tab w:val="left" w:pos="-720"/>
          <w:tab w:val="left" w:pos="286"/>
          <w:tab w:val="left" w:pos="403"/>
          <w:tab w:val="left" w:pos="720"/>
        </w:tabs>
        <w:suppressAutoHyphens/>
        <w:ind w:left="720" w:hanging="720"/>
        <w:rPr>
          <w:sz w:val="24"/>
          <w:szCs w:val="24"/>
        </w:rPr>
      </w:pPr>
    </w:p>
    <w:p w:rsidR="006F7E68" w:rsidRPr="006F7E68" w:rsidP="006F7E68" w14:paraId="2934EBC5" w14:textId="77777777">
      <w:pPr>
        <w:tabs>
          <w:tab w:val="left" w:pos="-720"/>
          <w:tab w:val="left" w:pos="286"/>
          <w:tab w:val="left" w:pos="403"/>
          <w:tab w:val="left" w:pos="720"/>
        </w:tabs>
        <w:suppressAutoHyphens/>
        <w:ind w:left="720" w:hanging="720"/>
        <w:rPr>
          <w:sz w:val="24"/>
          <w:szCs w:val="24"/>
        </w:rPr>
      </w:pPr>
    </w:p>
    <w:p w:rsidR="006F7E68" w:rsidRPr="006F7E68" w:rsidP="004240F1" w14:paraId="6E459D49" w14:textId="77777777">
      <w:pPr>
        <w:pStyle w:val="ListParagraph"/>
        <w:tabs>
          <w:tab w:val="left" w:pos="720"/>
        </w:tabs>
        <w:suppressAutoHyphens/>
        <w:ind w:left="0"/>
      </w:pPr>
      <w:r>
        <w:rPr>
          <w:b/>
          <w:caps/>
        </w:rPr>
        <w:t>B.</w:t>
      </w:r>
      <w:r>
        <w:rPr>
          <w:b/>
          <w:caps/>
        </w:rPr>
        <w:tab/>
      </w:r>
      <w:r w:rsidRPr="006F7E68">
        <w:rPr>
          <w:b/>
          <w:caps/>
        </w:rPr>
        <w:t>Collections of Information Employing Statistical Methods</w:t>
      </w:r>
    </w:p>
    <w:p w:rsidR="006F7E68" w:rsidRPr="006F7E68" w:rsidP="009D3BAA" w14:paraId="7FAFE69D" w14:textId="77777777">
      <w:pPr>
        <w:tabs>
          <w:tab w:val="left" w:pos="-8213"/>
          <w:tab w:val="left" w:pos="-7207"/>
          <w:tab w:val="left" w:pos="-7090"/>
          <w:tab w:val="left" w:pos="-3415"/>
          <w:tab w:val="left" w:pos="-3298"/>
          <w:tab w:val="left" w:pos="-2159"/>
          <w:tab w:val="left" w:pos="-2041"/>
        </w:tabs>
        <w:suppressAutoHyphens/>
        <w:rPr>
          <w:sz w:val="24"/>
          <w:szCs w:val="24"/>
        </w:rPr>
      </w:pPr>
    </w:p>
    <w:p w:rsidR="006F7E68" w:rsidRPr="006F7E68" w:rsidP="006F7E68" w14:paraId="1A2F00DC" w14:textId="77777777">
      <w:pPr>
        <w:tabs>
          <w:tab w:val="left" w:pos="-8213"/>
          <w:tab w:val="left" w:pos="-7207"/>
          <w:tab w:val="left" w:pos="-7090"/>
          <w:tab w:val="left" w:pos="-3415"/>
          <w:tab w:val="left" w:pos="-3298"/>
          <w:tab w:val="left" w:pos="-2159"/>
          <w:tab w:val="left" w:pos="-2041"/>
        </w:tabs>
        <w:suppressAutoHyphens/>
        <w:ind w:left="720" w:hanging="720"/>
        <w:rPr>
          <w:sz w:val="24"/>
          <w:szCs w:val="24"/>
        </w:rPr>
      </w:pPr>
      <w:r>
        <w:rPr>
          <w:sz w:val="24"/>
          <w:szCs w:val="24"/>
        </w:rPr>
        <w:tab/>
      </w:r>
      <w:r w:rsidRPr="006F7E68">
        <w:rPr>
          <w:sz w:val="24"/>
          <w:szCs w:val="24"/>
        </w:rPr>
        <w:t xml:space="preserve">This collection does not involve statistical methods.  </w:t>
      </w:r>
    </w:p>
    <w:p w:rsidR="006F7E68" w:rsidRPr="006F7E68" w:rsidP="006F7E68" w14:paraId="1840BA16" w14:textId="77777777">
      <w:pPr>
        <w:tabs>
          <w:tab w:val="left" w:pos="720"/>
        </w:tabs>
        <w:ind w:left="720" w:hanging="720"/>
        <w:rPr>
          <w:sz w:val="24"/>
          <w:szCs w:val="24"/>
        </w:rPr>
      </w:pPr>
    </w:p>
    <w:sectPr w:rsidSect="00660BF3">
      <w:footerReference w:type="default" r:id="rId6"/>
      <w:footerReference w:type="first" r:id="rId7"/>
      <w:pgSz w:w="12240" w:h="15840" w:code="1"/>
      <w:pgMar w:top="1440" w:right="1440" w:bottom="1440" w:left="1440"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E19" w:rsidRPr="00B775D2" w:rsidP="00B775D2" w14:paraId="7FA122A8" w14:textId="1F446B43">
    <w:pPr>
      <w:pStyle w:val="Footer"/>
      <w:tabs>
        <w:tab w:val="clear" w:pos="4320"/>
        <w:tab w:val="clear" w:pos="8640"/>
        <w:tab w:val="right" w:pos="9360"/>
      </w:tabs>
      <w:rPr>
        <w:sz w:val="24"/>
        <w:szCs w:val="24"/>
      </w:rPr>
    </w:pPr>
    <w:r w:rsidRPr="009C753E">
      <w:rPr>
        <w:i/>
      </w:rPr>
      <w:t xml:space="preserve">OMB No. </w:t>
    </w:r>
    <w:r w:rsidRPr="009C753E" w:rsidR="00B775D2">
      <w:rPr>
        <w:i/>
      </w:rPr>
      <w:t>3133-0059</w:t>
    </w:r>
    <w:r w:rsidRPr="009C753E" w:rsidR="0047723F">
      <w:rPr>
        <w:i/>
      </w:rPr>
      <w:t>;</w:t>
    </w:r>
    <w:r w:rsidRPr="009C753E" w:rsidR="009C753E">
      <w:rPr>
        <w:i/>
      </w:rPr>
      <w:t xml:space="preserve"> </w:t>
    </w:r>
    <w:r w:rsidR="001803E7">
      <w:rPr>
        <w:i/>
      </w:rPr>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5D2" w:rsidRPr="00B775D2" w:rsidP="00B775D2" w14:paraId="2D650D5B" w14:textId="77777777">
    <w:pPr>
      <w:pStyle w:val="Footer"/>
      <w:tabs>
        <w:tab w:val="clear" w:pos="4320"/>
        <w:tab w:val="clear" w:pos="8640"/>
        <w:tab w:val="right" w:pos="9360"/>
      </w:tabs>
      <w:rPr>
        <w:sz w:val="24"/>
        <w:szCs w:val="24"/>
      </w:rPr>
    </w:pPr>
    <w:r>
      <w:rPr>
        <w:sz w:val="24"/>
        <w:szCs w:val="24"/>
      </w:rPr>
      <w:t>3133-0059</w:t>
    </w:r>
    <w:r>
      <w:rPr>
        <w:sz w:val="24"/>
        <w:szCs w:val="24"/>
      </w:rPr>
      <w:tab/>
    </w:r>
    <w:r w:rsidRPr="00B775D2">
      <w:rPr>
        <w:sz w:val="24"/>
        <w:szCs w:val="24"/>
      </w:rPr>
      <w:fldChar w:fldCharType="begin"/>
    </w:r>
    <w:r w:rsidRPr="00B775D2">
      <w:rPr>
        <w:sz w:val="24"/>
        <w:szCs w:val="24"/>
      </w:rPr>
      <w:instrText xml:space="preserve"> PAGE   \* MERGEFORMAT </w:instrText>
    </w:r>
    <w:r w:rsidRPr="00B775D2">
      <w:rPr>
        <w:sz w:val="24"/>
        <w:szCs w:val="24"/>
      </w:rPr>
      <w:fldChar w:fldCharType="separate"/>
    </w:r>
    <w:r>
      <w:rPr>
        <w:noProof/>
        <w:sz w:val="24"/>
        <w:szCs w:val="24"/>
      </w:rPr>
      <w:t>1</w:t>
    </w:r>
    <w:r w:rsidRPr="00B775D2">
      <w:rPr>
        <w:noProof/>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8A8CBEE"/>
    <w:lvl w:ilvl="0">
      <w:start w:val="0"/>
      <w:numFmt w:val="bullet"/>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1D168EC"/>
    <w:multiLevelType w:val="hybridMultilevel"/>
    <w:tmpl w:val="2A5C6C66"/>
    <w:lvl w:ilvl="0">
      <w:start w:val="71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C2CCA"/>
    <w:multiLevelType w:val="hybridMultilevel"/>
    <w:tmpl w:val="AD38D6C6"/>
    <w:lvl w:ilvl="0">
      <w:start w:val="9"/>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ACB05CA"/>
    <w:multiLevelType w:val="hybridMultilevel"/>
    <w:tmpl w:val="EB4A2640"/>
    <w:lvl w:ilvl="0">
      <w:start w:val="1"/>
      <w:numFmt w:val="lowerLetter"/>
      <w:lvlText w:val="(%1)"/>
      <w:lvlJc w:val="left"/>
      <w:pPr>
        <w:ind w:left="7200" w:hanging="360"/>
      </w:pPr>
      <w:rPr>
        <w:rFonts w:hint="default"/>
      </w:rPr>
    </w:lvl>
    <w:lvl w:ilvl="1" w:tentative="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5">
    <w:nsid w:val="2299027C"/>
    <w:multiLevelType w:val="hybridMultilevel"/>
    <w:tmpl w:val="AB6AA32E"/>
    <w:lvl w:ilvl="0">
      <w:start w:val="9"/>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4A4F0487"/>
    <w:multiLevelType w:val="hybridMultilevel"/>
    <w:tmpl w:val="4078CB5A"/>
    <w:lvl w:ilvl="0">
      <w:start w:val="1"/>
      <w:numFmt w:val="upperLetter"/>
      <w:lvlText w:val="%1."/>
      <w:lvlJc w:val="left"/>
      <w:pPr>
        <w:ind w:left="360" w:hanging="360"/>
      </w:pPr>
      <w:rPr>
        <w:rFonts w:hint="default"/>
        <w:b/>
        <w:u w:val="none"/>
      </w:rPr>
    </w:lvl>
    <w:lvl w:ilvl="1">
      <w:start w:val="1"/>
      <w:numFmt w:val="lowerLetter"/>
      <w:lvlText w:val="%2."/>
      <w:lvlJc w:val="left"/>
      <w:pPr>
        <w:ind w:left="1080" w:hanging="360"/>
      </w:pPr>
    </w:lvl>
    <w:lvl w:ilvl="2">
      <w:start w:val="1"/>
      <w:numFmt w:val="low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CC217D1"/>
    <w:multiLevelType w:val="hybridMultilevel"/>
    <w:tmpl w:val="F286A03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412705"/>
    <w:multiLevelType w:val="hybrid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56C0646"/>
    <w:multiLevelType w:val="hybridMultilevel"/>
    <w:tmpl w:val="047C48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6A14AC9"/>
    <w:multiLevelType w:val="hybridMultilevel"/>
    <w:tmpl w:val="E328F4C2"/>
    <w:lvl w:ilvl="0">
      <w:start w:val="9"/>
      <w:numFmt w:val="lowerLetter"/>
      <w:lvlText w:val="(%1)"/>
      <w:lvlJc w:val="left"/>
      <w:pPr>
        <w:ind w:left="3060" w:hanging="360"/>
      </w:pPr>
      <w:rPr>
        <w:rFonts w:hint="default"/>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1">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02532298">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2" w16cid:durableId="1367368804">
    <w:abstractNumId w:val="9"/>
  </w:num>
  <w:num w:numId="3" w16cid:durableId="690381582">
    <w:abstractNumId w:val="8"/>
  </w:num>
  <w:num w:numId="4" w16cid:durableId="1465198225">
    <w:abstractNumId w:val="6"/>
  </w:num>
  <w:num w:numId="5" w16cid:durableId="114370298">
    <w:abstractNumId w:val="7"/>
  </w:num>
  <w:num w:numId="6" w16cid:durableId="1619028260">
    <w:abstractNumId w:val="2"/>
  </w:num>
  <w:num w:numId="7" w16cid:durableId="43236515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434740852">
    <w:abstractNumId w:val="11"/>
  </w:num>
  <w:num w:numId="9" w16cid:durableId="69088238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0" w16cid:durableId="1185946809">
    <w:abstractNumId w:val="4"/>
  </w:num>
  <w:num w:numId="11" w16cid:durableId="434063367">
    <w:abstractNumId w:val="10"/>
  </w:num>
  <w:num w:numId="12" w16cid:durableId="1929192995">
    <w:abstractNumId w:val="5"/>
  </w:num>
  <w:num w:numId="13" w16cid:durableId="1351377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BE"/>
    <w:rsid w:val="00001613"/>
    <w:rsid w:val="00017A49"/>
    <w:rsid w:val="000224AF"/>
    <w:rsid w:val="00042535"/>
    <w:rsid w:val="0004346D"/>
    <w:rsid w:val="000507BC"/>
    <w:rsid w:val="00062753"/>
    <w:rsid w:val="00063473"/>
    <w:rsid w:val="000723B0"/>
    <w:rsid w:val="00085E43"/>
    <w:rsid w:val="00087DD6"/>
    <w:rsid w:val="00092300"/>
    <w:rsid w:val="000B1DE6"/>
    <w:rsid w:val="000C1862"/>
    <w:rsid w:val="000C6D63"/>
    <w:rsid w:val="000D0646"/>
    <w:rsid w:val="000E1025"/>
    <w:rsid w:val="000E25AB"/>
    <w:rsid w:val="00104674"/>
    <w:rsid w:val="0012369C"/>
    <w:rsid w:val="0013061D"/>
    <w:rsid w:val="00146246"/>
    <w:rsid w:val="00152C7C"/>
    <w:rsid w:val="0016752F"/>
    <w:rsid w:val="00167F35"/>
    <w:rsid w:val="00174BBE"/>
    <w:rsid w:val="001803E7"/>
    <w:rsid w:val="00194026"/>
    <w:rsid w:val="0019647C"/>
    <w:rsid w:val="001B23CE"/>
    <w:rsid w:val="001B27B9"/>
    <w:rsid w:val="001B4890"/>
    <w:rsid w:val="001B57A3"/>
    <w:rsid w:val="001B7BFB"/>
    <w:rsid w:val="001C0866"/>
    <w:rsid w:val="001C7E45"/>
    <w:rsid w:val="001E2373"/>
    <w:rsid w:val="00200659"/>
    <w:rsid w:val="00224517"/>
    <w:rsid w:val="00260A6D"/>
    <w:rsid w:val="0026750E"/>
    <w:rsid w:val="00277DA6"/>
    <w:rsid w:val="002A12B4"/>
    <w:rsid w:val="002B03BA"/>
    <w:rsid w:val="002B215D"/>
    <w:rsid w:val="002D644D"/>
    <w:rsid w:val="002E69D6"/>
    <w:rsid w:val="002E7651"/>
    <w:rsid w:val="002F6C15"/>
    <w:rsid w:val="00302B73"/>
    <w:rsid w:val="0030431C"/>
    <w:rsid w:val="00306932"/>
    <w:rsid w:val="00317738"/>
    <w:rsid w:val="0031777B"/>
    <w:rsid w:val="003338CD"/>
    <w:rsid w:val="003377BE"/>
    <w:rsid w:val="0035136E"/>
    <w:rsid w:val="003A3533"/>
    <w:rsid w:val="003A7EE0"/>
    <w:rsid w:val="003C4A37"/>
    <w:rsid w:val="003D28D2"/>
    <w:rsid w:val="003E31C9"/>
    <w:rsid w:val="00415A6F"/>
    <w:rsid w:val="004240F1"/>
    <w:rsid w:val="0042472B"/>
    <w:rsid w:val="004400CC"/>
    <w:rsid w:val="00464AD7"/>
    <w:rsid w:val="004650AE"/>
    <w:rsid w:val="00475C55"/>
    <w:rsid w:val="0047723F"/>
    <w:rsid w:val="004B0102"/>
    <w:rsid w:val="004B2B03"/>
    <w:rsid w:val="004B5340"/>
    <w:rsid w:val="004D7BA3"/>
    <w:rsid w:val="004D7F87"/>
    <w:rsid w:val="00500CA3"/>
    <w:rsid w:val="00517A5C"/>
    <w:rsid w:val="00525C69"/>
    <w:rsid w:val="005331F1"/>
    <w:rsid w:val="005655E1"/>
    <w:rsid w:val="00566767"/>
    <w:rsid w:val="0057234A"/>
    <w:rsid w:val="00587FB4"/>
    <w:rsid w:val="00597C25"/>
    <w:rsid w:val="005A1B8C"/>
    <w:rsid w:val="005B315F"/>
    <w:rsid w:val="005B62C4"/>
    <w:rsid w:val="005C0C5D"/>
    <w:rsid w:val="005C5F24"/>
    <w:rsid w:val="00602872"/>
    <w:rsid w:val="006053E3"/>
    <w:rsid w:val="0060644E"/>
    <w:rsid w:val="006371C2"/>
    <w:rsid w:val="00645775"/>
    <w:rsid w:val="00647E5F"/>
    <w:rsid w:val="00651F19"/>
    <w:rsid w:val="0065707D"/>
    <w:rsid w:val="00660BF3"/>
    <w:rsid w:val="00676E17"/>
    <w:rsid w:val="00692ADE"/>
    <w:rsid w:val="006A32C6"/>
    <w:rsid w:val="006A64E4"/>
    <w:rsid w:val="006C09F9"/>
    <w:rsid w:val="006C786E"/>
    <w:rsid w:val="006E59BE"/>
    <w:rsid w:val="006F7E68"/>
    <w:rsid w:val="00702FAB"/>
    <w:rsid w:val="00706E8B"/>
    <w:rsid w:val="00726A4D"/>
    <w:rsid w:val="00726BF2"/>
    <w:rsid w:val="00732C64"/>
    <w:rsid w:val="007433A7"/>
    <w:rsid w:val="007526DA"/>
    <w:rsid w:val="00766D03"/>
    <w:rsid w:val="00767622"/>
    <w:rsid w:val="0078690C"/>
    <w:rsid w:val="007A2AAF"/>
    <w:rsid w:val="007F0E89"/>
    <w:rsid w:val="00822154"/>
    <w:rsid w:val="00844C73"/>
    <w:rsid w:val="00845AE7"/>
    <w:rsid w:val="0085373E"/>
    <w:rsid w:val="00856272"/>
    <w:rsid w:val="00863F94"/>
    <w:rsid w:val="00885971"/>
    <w:rsid w:val="008A6B9F"/>
    <w:rsid w:val="008C256E"/>
    <w:rsid w:val="008D4B36"/>
    <w:rsid w:val="008E4090"/>
    <w:rsid w:val="0091244C"/>
    <w:rsid w:val="00924EE4"/>
    <w:rsid w:val="0094356B"/>
    <w:rsid w:val="00971997"/>
    <w:rsid w:val="00971E19"/>
    <w:rsid w:val="00972BFC"/>
    <w:rsid w:val="00977045"/>
    <w:rsid w:val="00980D0B"/>
    <w:rsid w:val="00995822"/>
    <w:rsid w:val="009B692B"/>
    <w:rsid w:val="009C753E"/>
    <w:rsid w:val="009D0663"/>
    <w:rsid w:val="009D3675"/>
    <w:rsid w:val="009D3BAA"/>
    <w:rsid w:val="00A046BA"/>
    <w:rsid w:val="00A05927"/>
    <w:rsid w:val="00A23DDE"/>
    <w:rsid w:val="00A27DC4"/>
    <w:rsid w:val="00A521BC"/>
    <w:rsid w:val="00A5409F"/>
    <w:rsid w:val="00A87104"/>
    <w:rsid w:val="00A9091A"/>
    <w:rsid w:val="00AA2AE7"/>
    <w:rsid w:val="00AB454D"/>
    <w:rsid w:val="00AB6D12"/>
    <w:rsid w:val="00AC6758"/>
    <w:rsid w:val="00AC678E"/>
    <w:rsid w:val="00AE0C09"/>
    <w:rsid w:val="00AE5164"/>
    <w:rsid w:val="00B700BC"/>
    <w:rsid w:val="00B775D2"/>
    <w:rsid w:val="00B83794"/>
    <w:rsid w:val="00B85AB1"/>
    <w:rsid w:val="00BD0C67"/>
    <w:rsid w:val="00BD68F8"/>
    <w:rsid w:val="00BE4181"/>
    <w:rsid w:val="00BE5740"/>
    <w:rsid w:val="00C02C7E"/>
    <w:rsid w:val="00C06047"/>
    <w:rsid w:val="00C16398"/>
    <w:rsid w:val="00C20C3F"/>
    <w:rsid w:val="00C20E61"/>
    <w:rsid w:val="00C35219"/>
    <w:rsid w:val="00C47D1D"/>
    <w:rsid w:val="00C5113B"/>
    <w:rsid w:val="00C5209E"/>
    <w:rsid w:val="00C57E62"/>
    <w:rsid w:val="00C61E17"/>
    <w:rsid w:val="00C727B7"/>
    <w:rsid w:val="00C91A3A"/>
    <w:rsid w:val="00C95231"/>
    <w:rsid w:val="00CA07BC"/>
    <w:rsid w:val="00D02BE5"/>
    <w:rsid w:val="00D1279E"/>
    <w:rsid w:val="00D367C5"/>
    <w:rsid w:val="00D50925"/>
    <w:rsid w:val="00D55460"/>
    <w:rsid w:val="00D577FE"/>
    <w:rsid w:val="00D62A02"/>
    <w:rsid w:val="00D67759"/>
    <w:rsid w:val="00D72840"/>
    <w:rsid w:val="00DA448B"/>
    <w:rsid w:val="00DA480B"/>
    <w:rsid w:val="00DD06E9"/>
    <w:rsid w:val="00DD589A"/>
    <w:rsid w:val="00DD595E"/>
    <w:rsid w:val="00E0550A"/>
    <w:rsid w:val="00E14627"/>
    <w:rsid w:val="00E207FD"/>
    <w:rsid w:val="00E25A23"/>
    <w:rsid w:val="00E30322"/>
    <w:rsid w:val="00E36E6D"/>
    <w:rsid w:val="00E40FE8"/>
    <w:rsid w:val="00E462DA"/>
    <w:rsid w:val="00E630D1"/>
    <w:rsid w:val="00E74C86"/>
    <w:rsid w:val="00E86BE3"/>
    <w:rsid w:val="00EB3CC8"/>
    <w:rsid w:val="00EF0041"/>
    <w:rsid w:val="00EF5E4E"/>
    <w:rsid w:val="00F00DA5"/>
    <w:rsid w:val="00F03C26"/>
    <w:rsid w:val="00F044C1"/>
    <w:rsid w:val="00F2313F"/>
    <w:rsid w:val="00F50C25"/>
    <w:rsid w:val="00F778B5"/>
    <w:rsid w:val="00F81307"/>
    <w:rsid w:val="00F86793"/>
    <w:rsid w:val="00F90525"/>
    <w:rsid w:val="00FA0D69"/>
    <w:rsid w:val="00FA16B1"/>
    <w:rsid w:val="00FA1D72"/>
    <w:rsid w:val="00FD661E"/>
    <w:rsid w:val="00FE582B"/>
    <w:rsid w:val="00FF46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6FB760"/>
  <w15:chartTrackingRefBased/>
  <w15:docId w15:val="{FA6D63E1-999F-432F-805B-65BC784F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Header">
    <w:name w:val="header"/>
    <w:basedOn w:val="Normal"/>
    <w:semiHidden/>
    <w:pPr>
      <w:tabs>
        <w:tab w:val="center" w:pos="4320"/>
        <w:tab w:val="right" w:pos="8640"/>
      </w:tabs>
    </w:pPr>
  </w:style>
  <w:style w:type="paragraph" w:styleId="BalloonText">
    <w:name w:val="Balloon Text"/>
    <w:basedOn w:val="Normal"/>
    <w:rPr>
      <w:rFonts w:ascii="Tahoma" w:hAnsi="Tahoma"/>
      <w:sz w:val="16"/>
    </w:rPr>
  </w:style>
  <w:style w:type="character" w:styleId="CommentReference">
    <w:name w:val="annotation reference"/>
    <w:uiPriority w:val="99"/>
    <w:semiHidden/>
    <w:unhideWhenUsed/>
    <w:rsid w:val="00BE5740"/>
    <w:rPr>
      <w:sz w:val="16"/>
      <w:szCs w:val="16"/>
    </w:rPr>
  </w:style>
  <w:style w:type="paragraph" w:styleId="CommentText">
    <w:name w:val="annotation text"/>
    <w:basedOn w:val="Normal"/>
    <w:link w:val="CommentTextChar"/>
    <w:uiPriority w:val="99"/>
    <w:unhideWhenUsed/>
    <w:rsid w:val="00BE5740"/>
  </w:style>
  <w:style w:type="character" w:customStyle="1" w:styleId="CommentTextChar">
    <w:name w:val="Comment Text Char"/>
    <w:basedOn w:val="DefaultParagraphFont"/>
    <w:link w:val="CommentText"/>
    <w:uiPriority w:val="99"/>
    <w:rsid w:val="00BE5740"/>
  </w:style>
  <w:style w:type="paragraph" w:styleId="CommentSubject">
    <w:name w:val="annotation subject"/>
    <w:basedOn w:val="CommentText"/>
    <w:next w:val="CommentText"/>
    <w:link w:val="CommentSubjectChar"/>
    <w:uiPriority w:val="99"/>
    <w:semiHidden/>
    <w:unhideWhenUsed/>
    <w:rsid w:val="00BE5740"/>
    <w:rPr>
      <w:b/>
      <w:bCs/>
    </w:rPr>
  </w:style>
  <w:style w:type="character" w:customStyle="1" w:styleId="CommentSubjectChar">
    <w:name w:val="Comment Subject Char"/>
    <w:link w:val="CommentSubject"/>
    <w:uiPriority w:val="99"/>
    <w:semiHidden/>
    <w:rsid w:val="00BE5740"/>
    <w:rPr>
      <w:b/>
      <w:bCs/>
    </w:rPr>
  </w:style>
  <w:style w:type="table" w:styleId="TableGrid">
    <w:name w:val="Table Grid"/>
    <w:basedOn w:val="TableNormal"/>
    <w:uiPriority w:val="59"/>
    <w:rsid w:val="001C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71E19"/>
  </w:style>
  <w:style w:type="paragraph" w:styleId="ListParagraph">
    <w:name w:val="List Paragraph"/>
    <w:basedOn w:val="Normal"/>
    <w:uiPriority w:val="34"/>
    <w:qFormat/>
    <w:rsid w:val="00F03C26"/>
    <w:pPr>
      <w:overflowPunct/>
      <w:autoSpaceDE/>
      <w:autoSpaceDN/>
      <w:adjustRightInd/>
      <w:ind w:left="720"/>
      <w:contextualSpacing/>
      <w:textAlignment w:val="auto"/>
    </w:pPr>
    <w:rPr>
      <w:sz w:val="24"/>
      <w:szCs w:val="24"/>
    </w:rPr>
  </w:style>
  <w:style w:type="paragraph" w:styleId="Revision">
    <w:name w:val="Revision"/>
    <w:hidden/>
    <w:uiPriority w:val="99"/>
    <w:semiHidden/>
    <w:rsid w:val="00194026"/>
  </w:style>
  <w:style w:type="character" w:styleId="Hyperlink">
    <w:name w:val="Hyperlink"/>
    <w:uiPriority w:val="99"/>
    <w:unhideWhenUsed/>
    <w:rsid w:val="00EF5E4E"/>
    <w:rPr>
      <w:color w:val="0563C1"/>
      <w:u w:val="single"/>
    </w:rPr>
  </w:style>
  <w:style w:type="paragraph" w:styleId="BodyTextIndent2">
    <w:name w:val="Body Text Indent 2"/>
    <w:basedOn w:val="Normal"/>
    <w:link w:val="BodyTextIndent2Char"/>
    <w:uiPriority w:val="99"/>
    <w:unhideWhenUsed/>
    <w:rsid w:val="000E25AB"/>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link w:val="BodyTextIndent2"/>
    <w:uiPriority w:val="99"/>
    <w:rsid w:val="000E25AB"/>
    <w:rPr>
      <w:sz w:val="24"/>
      <w:szCs w:val="24"/>
    </w:rPr>
  </w:style>
  <w:style w:type="paragraph" w:customStyle="1" w:styleId="Level1">
    <w:name w:val="Level 1"/>
    <w:basedOn w:val="Normal"/>
    <w:rsid w:val="000E25AB"/>
    <w:pPr>
      <w:widowControl w:val="0"/>
      <w:numPr>
        <w:numId w:val="7"/>
      </w:numPr>
      <w:overflowPunct/>
      <w:ind w:left="474" w:hanging="186"/>
      <w:textAlignment w:val="auto"/>
      <w:outlineLvl w:val="0"/>
    </w:pPr>
    <w:rPr>
      <w:sz w:val="24"/>
      <w:szCs w:val="24"/>
    </w:rPr>
  </w:style>
  <w:style w:type="paragraph" w:customStyle="1" w:styleId="Level2">
    <w:name w:val="Level 2"/>
    <w:basedOn w:val="Normal"/>
    <w:rsid w:val="000E25AB"/>
    <w:pPr>
      <w:widowControl w:val="0"/>
      <w:overflowPunct/>
      <w:ind w:left="722" w:hanging="36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B54F5-1854-4F95-92FF-414AF1E7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1480</Words>
  <Characters>8262</Characters>
  <Application>Microsoft Office Word</Application>
  <DocSecurity>0</DocSecurity>
  <Lines>284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12</cp:revision>
  <dcterms:created xsi:type="dcterms:W3CDTF">2026-02-12T11:31:00Z</dcterms:created>
  <dcterms:modified xsi:type="dcterms:W3CDTF">2026-03-09T15:59:00Z</dcterms:modified>
</cp:coreProperties>
</file>