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B1A5B" w14:paraId="0006DA3F" w14:textId="12BA6402">
      <w:pPr>
        <w:pStyle w:val="Heading1"/>
        <w:ind w:left="0"/>
        <w:jc w:val="center"/>
      </w:pPr>
      <w:r>
        <w:t>SUPPORTING STATEMENT</w:t>
      </w:r>
    </w:p>
    <w:p w:rsidR="00AB1A5B" w14:paraId="21EF650D" w14:textId="77777777">
      <w:pPr>
        <w:spacing w:before="22" w:line="259" w:lineRule="auto"/>
        <w:ind w:firstLine="14"/>
        <w:jc w:val="center"/>
        <w:rPr>
          <w:b/>
        </w:rPr>
      </w:pPr>
      <w:r>
        <w:rPr>
          <w:b/>
        </w:rPr>
        <w:t>U.S. Department of Commerce</w:t>
      </w:r>
    </w:p>
    <w:p w:rsidR="00AB1A5B" w14:paraId="7804661B" w14:textId="77777777">
      <w:pPr>
        <w:spacing w:before="22" w:line="259" w:lineRule="auto"/>
        <w:ind w:firstLine="14"/>
        <w:jc w:val="center"/>
        <w:rPr>
          <w:b/>
        </w:rPr>
      </w:pPr>
      <w:r>
        <w:rPr>
          <w:b/>
        </w:rPr>
        <w:t>National Oceanic &amp; Atmospheric Administration</w:t>
      </w:r>
    </w:p>
    <w:p w:rsidR="001943D7" w:rsidP="001943D7" w14:paraId="41691F4F" w14:textId="77777777">
      <w:pPr>
        <w:ind w:hanging="6"/>
        <w:jc w:val="center"/>
        <w:rPr>
          <w:b/>
        </w:rPr>
      </w:pPr>
      <w:r>
        <w:rPr>
          <w:b/>
        </w:rPr>
        <w:t>Alaska License Limitation Program for Groundfish, Crab, and Scallops</w:t>
      </w:r>
    </w:p>
    <w:p w:rsidR="00AB1A5B" w14:paraId="0E7223B3" w14:textId="29152859">
      <w:pPr>
        <w:spacing w:line="259" w:lineRule="auto"/>
        <w:ind w:hanging="6"/>
        <w:jc w:val="center"/>
        <w:rPr>
          <w:b/>
        </w:rPr>
      </w:pPr>
      <w:r>
        <w:rPr>
          <w:b/>
        </w:rPr>
        <w:t>OMB Control No. 0648-</w:t>
      </w:r>
      <w:r w:rsidR="00FB65D9">
        <w:rPr>
          <w:b/>
        </w:rPr>
        <w:t>0334</w:t>
      </w:r>
    </w:p>
    <w:p w:rsidR="00AB1A5B" w14:paraId="4BD047EB" w14:textId="77777777">
      <w:pPr>
        <w:pBdr>
          <w:top w:val="nil"/>
          <w:left w:val="nil"/>
          <w:bottom w:val="nil"/>
          <w:right w:val="nil"/>
          <w:between w:val="nil"/>
        </w:pBdr>
        <w:spacing w:before="1"/>
        <w:jc w:val="center"/>
        <w:rPr>
          <w:b/>
          <w:color w:val="000000"/>
        </w:rPr>
      </w:pPr>
    </w:p>
    <w:p w:rsidR="00AB1A5B" w14:paraId="090DC34F" w14:textId="77777777">
      <w:pPr>
        <w:pStyle w:val="Heading1"/>
        <w:spacing w:before="199"/>
        <w:ind w:left="0"/>
      </w:pPr>
      <w:r>
        <w:t>Abstract</w:t>
      </w:r>
    </w:p>
    <w:p w:rsidR="00BC3107" w:rsidP="00BC3107" w14:paraId="79BE9833" w14:textId="77777777">
      <w:pPr>
        <w:widowControl/>
      </w:pPr>
    </w:p>
    <w:p w:rsidR="00394232" w:rsidP="00507375" w14:paraId="60BA4779" w14:textId="5D27D8BC">
      <w:r w:rsidRPr="00141FB0">
        <w:t xml:space="preserve">This is a request by </w:t>
      </w:r>
      <w:r>
        <w:t xml:space="preserve">the National Marine Fisheries Service (NMFS) Alaska Region for </w:t>
      </w:r>
      <w:r w:rsidR="00655B74">
        <w:t xml:space="preserve">an extension </w:t>
      </w:r>
      <w:r>
        <w:t>of this currently approved information collection, which c</w:t>
      </w:r>
      <w:r w:rsidRPr="00A302D7">
        <w:rPr>
          <w:rFonts w:eastAsia="Calibri"/>
        </w:rPr>
        <w:t xml:space="preserve">ontains requirements for transfer of </w:t>
      </w:r>
      <w:r>
        <w:rPr>
          <w:rFonts w:eastAsia="Calibri"/>
        </w:rPr>
        <w:t>License Limitation Program (</w:t>
      </w:r>
      <w:r w:rsidRPr="00A302D7">
        <w:rPr>
          <w:rFonts w:eastAsia="Calibri"/>
        </w:rPr>
        <w:t>LLP</w:t>
      </w:r>
      <w:r>
        <w:rPr>
          <w:rFonts w:eastAsia="Calibri"/>
        </w:rPr>
        <w:t>)</w:t>
      </w:r>
      <w:r w:rsidRPr="00A302D7">
        <w:rPr>
          <w:rFonts w:eastAsia="Calibri"/>
        </w:rPr>
        <w:t xml:space="preserve"> licenses for the commercial groundfish, crab, and scallop fisheries. </w:t>
      </w:r>
      <w:r>
        <w:t xml:space="preserve">The purpose of this collection is to </w:t>
      </w:r>
      <w:r w:rsidRPr="00A302D7">
        <w:rPr>
          <w:rFonts w:eastAsia="Calibri"/>
        </w:rPr>
        <w:t xml:space="preserve">determine whether a transfer is eligible and </w:t>
      </w:r>
      <w:r>
        <w:rPr>
          <w:rFonts w:eastAsia="Calibri"/>
        </w:rPr>
        <w:t xml:space="preserve">if </w:t>
      </w:r>
      <w:r w:rsidRPr="00A302D7">
        <w:rPr>
          <w:rFonts w:eastAsia="Calibri"/>
        </w:rPr>
        <w:t>endorsements meet regulatory requirements for licensing and permits. An essential feature of the LLP is the ability for participants to transfer their LLP license. Without the ability to track the movement of LLP licenses, NMFS would be unable to effectively manage the LLP</w:t>
      </w:r>
      <w:r w:rsidRPr="0096602F">
        <w:t>.</w:t>
      </w:r>
      <w:r>
        <w:t xml:space="preserve"> This collection contains the Application for the transfer of groundfish and crab LLP licenses, the Application for the transfer of scallop LLP licenses, and the Transfer appeal. </w:t>
      </w:r>
      <w:r w:rsidRPr="00AA0D68">
        <w:t>There are no changes or revisions to this collection.</w:t>
      </w:r>
    </w:p>
    <w:p w:rsidR="00655B74" w:rsidRPr="00A302D7" w:rsidP="00BC3107" w14:paraId="6A6F0F3E" w14:textId="77777777">
      <w:pPr>
        <w:widowControl/>
      </w:pPr>
    </w:p>
    <w:p w:rsidR="00AB1A5B" w14:paraId="596B2F63" w14:textId="77777777">
      <w:pPr>
        <w:pStyle w:val="Heading1"/>
        <w:spacing w:before="124"/>
        <w:ind w:left="0"/>
      </w:pPr>
      <w:r>
        <w:t>Justification</w:t>
      </w:r>
    </w:p>
    <w:p w:rsidR="00AB1A5B" w:rsidP="00277B26" w14:paraId="0005CC2D" w14:textId="1400F7A4">
      <w:pPr>
        <w:pStyle w:val="Heading2"/>
        <w:numPr>
          <w:ilvl w:val="0"/>
          <w:numId w:val="0"/>
        </w:numPr>
      </w:pPr>
      <w:r>
        <w:t xml:space="preserve">1. </w:t>
      </w:r>
      <w:r w:rsidR="00226B0D">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C3107" w:rsidP="00BC3107" w14:paraId="7037834C" w14:textId="7C78E746">
      <w:pPr>
        <w:widowControl/>
        <w:pBdr>
          <w:top w:val="nil"/>
          <w:left w:val="nil"/>
          <w:bottom w:val="nil"/>
          <w:right w:val="nil"/>
          <w:between w:val="nil"/>
        </w:pBdr>
        <w:spacing w:before="182"/>
        <w:rPr>
          <w:color w:val="000000"/>
        </w:rPr>
      </w:pPr>
      <w:r>
        <w:t xml:space="preserve">The information collection is required to manage commercial crab, groundfish, and scallop fishing under the </w:t>
      </w:r>
      <w:hyperlink r:id="rId7" w:history="1">
        <w:r w:rsidRPr="00EA2320">
          <w:rPr>
            <w:rStyle w:val="Hyperlink"/>
            <w:rFonts w:eastAsia="Calibri"/>
          </w:rPr>
          <w:t>Magnuson-Stevens Fishery Conservation and Management Act</w:t>
        </w:r>
      </w:hyperlink>
      <w:r>
        <w:rPr>
          <w:rStyle w:val="FootnoteReference"/>
          <w:rFonts w:eastAsia="Calibri"/>
          <w:color w:val="0000FF" w:themeColor="hyperlink"/>
          <w:u w:val="single"/>
        </w:rPr>
        <w:footnoteReference w:id="2"/>
      </w:r>
      <w:r>
        <w:t xml:space="preserve"> (Magnuson-Stevens Act) 16 U.S.C 1801 </w:t>
      </w:r>
      <w:r>
        <w:rPr>
          <w:i/>
        </w:rPr>
        <w:t>et seq</w:t>
      </w:r>
      <w:r>
        <w:t xml:space="preserve">., and at </w:t>
      </w:r>
      <w:r w:rsidRPr="00F22FEC">
        <w:t>50 CFR parts 679 and 680</w:t>
      </w:r>
      <w:r>
        <w:t>.</w:t>
      </w:r>
    </w:p>
    <w:p w:rsidR="00E34182" w:rsidRPr="00507375" w:rsidP="00507375" w14:paraId="2F163F0B" w14:textId="27AF4BE9">
      <w:pPr>
        <w:widowControl/>
        <w:pBdr>
          <w:top w:val="nil"/>
          <w:left w:val="nil"/>
          <w:bottom w:val="nil"/>
          <w:right w:val="nil"/>
          <w:between w:val="nil"/>
        </w:pBdr>
        <w:spacing w:before="182"/>
        <w:rPr>
          <w:color w:val="000000"/>
        </w:rPr>
      </w:pPr>
      <w:r>
        <w:rPr>
          <w:color w:val="000000"/>
        </w:rPr>
        <w:t>NMFS manages the fisheries in the</w:t>
      </w:r>
      <w:r w:rsidR="00897959">
        <w:rPr>
          <w:color w:val="000000"/>
        </w:rPr>
        <w:t xml:space="preserve"> exclusive economic zone</w:t>
      </w:r>
      <w:r>
        <w:rPr>
          <w:color w:val="000000"/>
        </w:rPr>
        <w:t xml:space="preserve"> </w:t>
      </w:r>
      <w:r w:rsidR="00897959">
        <w:rPr>
          <w:color w:val="000000"/>
        </w:rPr>
        <w:t>(</w:t>
      </w:r>
      <w:r>
        <w:t>EEZ</w:t>
      </w:r>
      <w:r w:rsidR="00897959">
        <w:t>)</w:t>
      </w:r>
      <w:r>
        <w:rPr>
          <w:color w:val="000000"/>
        </w:rPr>
        <w:t xml:space="preserve"> off the coast of Alaska under the Fishery Management Plan for Groundfish of the Gulf of Alaska (GOA FMP), the Fishery Management Plan for Groundfish of the Bering Sea and Aleutian Islands Management Area (BSAI FMP), the Fishery Management Plan for Bering Sea/Aleutian Islands King and Tanner Crabs (Crab FMP), and the Fishery Management Plan for the Scallop Fishery off Alaska (Scallop FMP). The North Pacific Fishery Management Council prepared, and NMFS approved, the FMPs under the authority of the </w:t>
      </w:r>
      <w:r w:rsidRPr="00F22FEC">
        <w:t>Magnuson-Stevens Act</w:t>
      </w:r>
      <w:r>
        <w:rPr>
          <w:color w:val="000000"/>
        </w:rPr>
        <w:t xml:space="preserve">. These FMPs are implemented by regulations at </w:t>
      </w:r>
      <w:r w:rsidRPr="00F22FEC">
        <w:t>50 CFR parts 679 and 680</w:t>
      </w:r>
      <w:r>
        <w:rPr>
          <w:color w:val="000000"/>
        </w:rPr>
        <w:t>.</w:t>
      </w:r>
    </w:p>
    <w:p w:rsidR="00897959" w:rsidP="00897959" w14:paraId="7731E069" w14:textId="77777777">
      <w:pPr>
        <w:widowControl/>
        <w:pBdr>
          <w:top w:val="nil"/>
          <w:left w:val="nil"/>
          <w:bottom w:val="nil"/>
          <w:right w:val="nil"/>
          <w:between w:val="nil"/>
        </w:pBdr>
        <w:tabs>
          <w:tab w:val="left" w:pos="360"/>
        </w:tabs>
        <w:spacing w:before="182"/>
      </w:pPr>
      <w:r w:rsidRPr="009D7F0E">
        <w:t xml:space="preserve">The </w:t>
      </w:r>
      <w:r>
        <w:t xml:space="preserve">LLP </w:t>
      </w:r>
      <w:r w:rsidRPr="009D7F0E">
        <w:t xml:space="preserve">restricts access to the commercial groundfish, crab, and scallop fisheries in the </w:t>
      </w:r>
      <w:r>
        <w:t xml:space="preserve">EEZ </w:t>
      </w:r>
      <w:r w:rsidRPr="009D7F0E">
        <w:t>off A</w:t>
      </w:r>
      <w:r>
        <w:t xml:space="preserve">laska, except for certain areas </w:t>
      </w:r>
      <w:r w:rsidRPr="009D7F0E">
        <w:t xml:space="preserve">where alternative programs exist. The intended effect of the LLP is to limit the number of participants and reduce fishing capacity in fisheries off Alaska. </w:t>
      </w:r>
      <w:r w:rsidRPr="0016522D">
        <w:t>An LLP license is required for vessels participating in directed fishing for LLP groundfish species in the Bering Sea and Aleutian Islands (BSAI) or Gulf of Alaska (GOA), or fishing in any BSAI LLP crab fisheries. An LLP license is also required for any vessel deployed in scallop fisheries in Federal waters off Alaska except for some diving operations.</w:t>
      </w:r>
    </w:p>
    <w:p w:rsidR="00897959" w:rsidP="00897959" w14:paraId="63358964" w14:textId="77777777">
      <w:pPr>
        <w:widowControl/>
        <w:pBdr>
          <w:top w:val="nil"/>
          <w:left w:val="nil"/>
          <w:bottom w:val="nil"/>
          <w:right w:val="nil"/>
          <w:between w:val="nil"/>
        </w:pBdr>
        <w:tabs>
          <w:tab w:val="left" w:pos="360"/>
        </w:tabs>
        <w:spacing w:before="182"/>
      </w:pPr>
      <w:r w:rsidRPr="000318B6">
        <w:t xml:space="preserve">This information collection is necessary to determine whether a transfer is eligible and endorsements meet regulatory requirements for licensing and permits. An essential feature of the LLP is the ability for </w:t>
      </w:r>
      <w:r w:rsidRPr="000318B6">
        <w:t>participants to transfer their LLP license. Without the ability to track the movement of LLP licenses, NMFS would be unable to effectively manage the LLP</w:t>
      </w:r>
      <w:r w:rsidRPr="00394232">
        <w:t xml:space="preserve"> </w:t>
      </w:r>
      <w:r>
        <w:t xml:space="preserve">and </w:t>
      </w:r>
      <w:r w:rsidRPr="0096602F">
        <w:t>administer the PCTC Program</w:t>
      </w:r>
      <w:r w:rsidRPr="000318B6">
        <w:t>.</w:t>
      </w:r>
    </w:p>
    <w:p w:rsidR="00507375" w:rsidP="00507375" w14:paraId="7077C0C5" w14:textId="23EACDEF">
      <w:pPr>
        <w:widowControl/>
        <w:pBdr>
          <w:top w:val="nil"/>
          <w:left w:val="nil"/>
          <w:bottom w:val="nil"/>
          <w:right w:val="nil"/>
          <w:between w:val="nil"/>
        </w:pBdr>
        <w:tabs>
          <w:tab w:val="left" w:pos="360"/>
        </w:tabs>
        <w:spacing w:before="182"/>
      </w:pPr>
      <w:r>
        <w:t xml:space="preserve">The LLP originally collected basic information so that NMFS could determine which owners of vessels were issued licenses and which were not. </w:t>
      </w:r>
      <w:r w:rsidR="00897959">
        <w:t xml:space="preserve">The </w:t>
      </w:r>
      <w:r>
        <w:t xml:space="preserve">application periods and selection process for the LLP have ended, </w:t>
      </w:r>
      <w:r w:rsidR="00897959">
        <w:t xml:space="preserve">and </w:t>
      </w:r>
      <w:r>
        <w:t xml:space="preserve">no new licenses will be issued. An LLP license may only be obtained through transfer. This collection of information currently supports transfer of LLP licenses for groundfish, crabs, and scallops. The transfer process for LLP licenses enables a license holder to request a transfer of an LLP license to a person who meets the eligibility requirements. </w:t>
      </w:r>
    </w:p>
    <w:p w:rsidR="00E34182" w:rsidP="00E34182" w14:paraId="166EAE4F" w14:textId="77777777"/>
    <w:p w:rsidR="00E34182" w:rsidP="00E34182" w14:paraId="12571FDF" w14:textId="7F97DAEB">
      <w:r>
        <w:t>V</w:t>
      </w:r>
      <w:r w:rsidRPr="007810B7">
        <w:t>essels participating in directed fishing for LLP groundfish species in the GOA or BSAI, or fishing in any BSAI LLP crab fisheries, must be named on a valid copy of the LLP license that is on board the vessel, with some exceptions. An LLP groundfish or crab license authorizes the license holder to deploy the vessel in fisheries in accordance with the specific area and species endorsements, the vessel and gear designations, the maximum length overall (MLOA) specified on the license, and any exemption from the MLOA specified on the license.</w:t>
      </w:r>
      <w:r w:rsidR="00507375">
        <w:t xml:space="preserve"> </w:t>
      </w:r>
      <w:r>
        <w:t>A</w:t>
      </w:r>
      <w:r w:rsidRPr="00AA2D97">
        <w:t xml:space="preserve">n LLP scallop license authorizes the person named on the license to catch and retain scallops in compliance with State of Alaska regulations using a vessel that does not exceed the MLOA specified on the license and the gear designation specified on the license. </w:t>
      </w:r>
      <w:r w:rsidRPr="00CE2F09">
        <w:t>Unlike the LLP groundfish license, the scallop license is not vessel specific. A valid copy of the LLP scallop license must be on board the vessel.</w:t>
      </w:r>
    </w:p>
    <w:p w:rsidR="00E34182" w:rsidP="00E34182" w14:paraId="336E5D38" w14:textId="77777777"/>
    <w:p w:rsidR="006207F5" w:rsidRPr="00507375" w:rsidP="00507375" w14:paraId="08D70B26" w14:textId="7AC55E4C">
      <w:r>
        <w:t xml:space="preserve">The applications for transfers are each filled by two respondents, the transferor and the transferee. </w:t>
      </w:r>
      <w:r w:rsidRPr="001D47E8">
        <w:t>The type of information collected includes information on the transferor, transferee</w:t>
      </w:r>
      <w:r>
        <w:t>, and the LLP license to be transferred</w:t>
      </w:r>
      <w:r w:rsidRPr="001D47E8">
        <w:t>, as well as information on the</w:t>
      </w:r>
      <w:r>
        <w:t xml:space="preserve"> quota share to be transferred, the vessel currently named on the LLP license, the vessel to be named on the LLP license, and the ownership interest and transaction data. Information is collected as needed by the respondent</w:t>
      </w:r>
      <w:r w:rsidR="007637EA">
        <w:t>s</w:t>
      </w:r>
      <w:r>
        <w:t xml:space="preserve"> and is used to determine</w:t>
      </w:r>
      <w:r w:rsidRPr="001D47E8">
        <w:t xml:space="preserve"> </w:t>
      </w:r>
      <w:r>
        <w:t>whether a transfer is eligible and if endorsements meet regulatory requirements for licensing and permits.</w:t>
      </w:r>
      <w:r w:rsidRPr="00FC5214">
        <w:t xml:space="preserve"> </w:t>
      </w:r>
      <w:r>
        <w:t xml:space="preserve">All of the forms can now be submitted electronically via email. </w:t>
      </w:r>
    </w:p>
    <w:p w:rsidR="00F909EF" w:rsidP="00BC3107" w14:paraId="35608833" w14:textId="05199B93">
      <w:pPr>
        <w:widowControl/>
        <w:pBdr>
          <w:top w:val="nil"/>
          <w:left w:val="nil"/>
          <w:bottom w:val="nil"/>
          <w:right w:val="nil"/>
          <w:between w:val="nil"/>
        </w:pBdr>
        <w:tabs>
          <w:tab w:val="left" w:pos="360"/>
        </w:tabs>
        <w:spacing w:before="182"/>
      </w:pPr>
      <w:r>
        <w:t xml:space="preserve">For program definitions refer to </w:t>
      </w:r>
      <w:hyperlink r:id="rId8" w:history="1">
        <w:r w:rsidRPr="00F22FEC">
          <w:rPr>
            <w:rStyle w:val="Hyperlink"/>
          </w:rPr>
          <w:t>50 C</w:t>
        </w:r>
        <w:r w:rsidRPr="00F22FEC">
          <w:rPr>
            <w:rStyle w:val="Hyperlink"/>
          </w:rPr>
          <w:t>F</w:t>
        </w:r>
        <w:r w:rsidRPr="00F22FEC">
          <w:rPr>
            <w:rStyle w:val="Hyperlink"/>
          </w:rPr>
          <w:t>R 679.2</w:t>
        </w:r>
      </w:hyperlink>
      <w:r>
        <w:rPr>
          <w:rStyle w:val="FootnoteReference"/>
          <w:color w:val="0000FF" w:themeColor="hyperlink"/>
          <w:u w:val="single"/>
        </w:rPr>
        <w:footnoteReference w:id="3"/>
      </w:r>
      <w:r>
        <w:t xml:space="preserve">, for permit and licensing requirements for scallop refer to </w:t>
      </w:r>
      <w:hyperlink r:id="rId9" w:anchor="p-679.4(g)" w:history="1">
        <w:r w:rsidRPr="00F22FEC">
          <w:rPr>
            <w:rStyle w:val="Hyperlink"/>
          </w:rPr>
          <w:t>50 CFR</w:t>
        </w:r>
        <w:r w:rsidRPr="00F22FEC">
          <w:rPr>
            <w:rStyle w:val="Hyperlink"/>
          </w:rPr>
          <w:t xml:space="preserve"> </w:t>
        </w:r>
        <w:r w:rsidRPr="00F22FEC">
          <w:rPr>
            <w:rStyle w:val="Hyperlink"/>
          </w:rPr>
          <w:t>679.4(g)</w:t>
        </w:r>
      </w:hyperlink>
      <w:r>
        <w:rPr>
          <w:rStyle w:val="FootnoteReference"/>
          <w:color w:val="0000FF" w:themeColor="hyperlink"/>
          <w:u w:val="single"/>
        </w:rPr>
        <w:footnoteReference w:id="4"/>
      </w:r>
      <w:r>
        <w:t xml:space="preserve">, for permit and licensing requirements for groundfish and crab refer to </w:t>
      </w:r>
      <w:hyperlink r:id="rId9" w:anchor="p-679.4(k)" w:history="1">
        <w:r w:rsidRPr="00F22FEC">
          <w:rPr>
            <w:rStyle w:val="Hyperlink"/>
          </w:rPr>
          <w:t xml:space="preserve">50 </w:t>
        </w:r>
        <w:r w:rsidRPr="00F22FEC">
          <w:rPr>
            <w:rStyle w:val="Hyperlink"/>
          </w:rPr>
          <w:t>C</w:t>
        </w:r>
        <w:r w:rsidRPr="00F22FEC">
          <w:rPr>
            <w:rStyle w:val="Hyperlink"/>
          </w:rPr>
          <w:t>FR 679.4(k)</w:t>
        </w:r>
      </w:hyperlink>
      <w:r>
        <w:rPr>
          <w:rStyle w:val="FootnoteReference"/>
          <w:color w:val="0000FF" w:themeColor="hyperlink"/>
          <w:u w:val="single"/>
        </w:rPr>
        <w:footnoteReference w:id="5"/>
      </w:r>
      <w:r>
        <w:t xml:space="preserve">, for PCTC Program refer to 50 CFR 679 subpart L, and for prohibitions refer to </w:t>
      </w:r>
      <w:hyperlink r:id="rId10" w:anchor="p-679.7(i)" w:history="1">
        <w:r w:rsidRPr="00F22FEC">
          <w:rPr>
            <w:rStyle w:val="Hyperlink"/>
          </w:rPr>
          <w:t xml:space="preserve">50 </w:t>
        </w:r>
        <w:r w:rsidRPr="00F22FEC">
          <w:rPr>
            <w:rStyle w:val="Hyperlink"/>
          </w:rPr>
          <w:t>C</w:t>
        </w:r>
        <w:r w:rsidRPr="00F22FEC">
          <w:rPr>
            <w:rStyle w:val="Hyperlink"/>
          </w:rPr>
          <w:t>FR 679.7(</w:t>
        </w:r>
        <w:r w:rsidRPr="00F22FEC">
          <w:rPr>
            <w:rStyle w:val="Hyperlink"/>
          </w:rPr>
          <w:t>i</w:t>
        </w:r>
        <w:r w:rsidRPr="00F22FEC">
          <w:rPr>
            <w:rStyle w:val="Hyperlink"/>
          </w:rPr>
          <w:t>)</w:t>
        </w:r>
      </w:hyperlink>
      <w:r>
        <w:rPr>
          <w:rStyle w:val="FootnoteReference"/>
          <w:color w:val="0000FF" w:themeColor="hyperlink"/>
          <w:u w:val="single"/>
        </w:rPr>
        <w:footnoteReference w:id="6"/>
      </w:r>
      <w:r>
        <w:t xml:space="preserve">. Additional information on the LLP can be found on the </w:t>
      </w:r>
      <w:hyperlink r:id="rId11">
        <w:r w:rsidRPr="001F7C54">
          <w:rPr>
            <w:color w:val="0000FF"/>
            <w:u w:val="single"/>
          </w:rPr>
          <w:t>NMFS Alaska Region website</w:t>
        </w:r>
      </w:hyperlink>
      <w:r>
        <w:t>.</w:t>
      </w:r>
      <w:r>
        <w:rPr>
          <w:rStyle w:val="FootnoteReference"/>
        </w:rPr>
        <w:footnoteReference w:id="7"/>
      </w:r>
      <w:r>
        <w:t xml:space="preserve"> </w:t>
      </w:r>
    </w:p>
    <w:p w:rsidR="00BC3107" w:rsidP="00BC3107" w14:paraId="31B9E79A" w14:textId="77777777">
      <w:pPr>
        <w:widowControl/>
        <w:pBdr>
          <w:top w:val="nil"/>
          <w:left w:val="nil"/>
          <w:bottom w:val="nil"/>
          <w:right w:val="nil"/>
          <w:between w:val="nil"/>
        </w:pBdr>
        <w:tabs>
          <w:tab w:val="left" w:pos="360"/>
        </w:tabs>
        <w:spacing w:before="182"/>
        <w:rPr>
          <w:b/>
        </w:rPr>
      </w:pPr>
      <w:r>
        <w:rPr>
          <w:b/>
        </w:rPr>
        <w:t>Background and Requirements of the LLP</w:t>
      </w:r>
    </w:p>
    <w:p w:rsidR="00BC3107" w:rsidP="00BC3107" w14:paraId="43F6CB5F" w14:textId="1719FE15">
      <w:pPr>
        <w:widowControl/>
        <w:pBdr>
          <w:top w:val="nil"/>
          <w:left w:val="nil"/>
          <w:bottom w:val="nil"/>
          <w:right w:val="nil"/>
          <w:between w:val="nil"/>
        </w:pBdr>
        <w:tabs>
          <w:tab w:val="left" w:pos="360"/>
        </w:tabs>
        <w:spacing w:before="182"/>
      </w:pPr>
      <w:r>
        <w:t xml:space="preserve">In 1999, NMFS implemented the groundfish and crab LLP to limit the number, size, and specific operation of vessels that may be deployed in each fishery (with the exception of sablefish which was managed through the Individual Fishing Quota Program and demersal shelf rockfish east of 140° W. longitude) in the BSAI and GOA. The LLP was established by </w:t>
      </w:r>
      <w:r w:rsidR="00C341B2">
        <w:t>a</w:t>
      </w:r>
      <w:r>
        <w:t xml:space="preserve">mendment 39 to the BSAI FMP, </w:t>
      </w:r>
      <w:r w:rsidR="00C341B2">
        <w:t>a</w:t>
      </w:r>
      <w:r>
        <w:t xml:space="preserve">mendment 41 to the GOA FMP, </w:t>
      </w:r>
      <w:r w:rsidR="00C341B2">
        <w:t>a</w:t>
      </w:r>
      <w:r>
        <w:t>mendment 5 to the Crab FMP, and to necessarily address concerns that the harvesting fleets expanded beyond the size needed to efficiently harvest the optimum yield (</w:t>
      </w:r>
      <w:hyperlink r:id="rId12" w:history="1">
        <w:r w:rsidRPr="00F945AD">
          <w:rPr>
            <w:rStyle w:val="Hyperlink"/>
          </w:rPr>
          <w:t>63 FR 52642</w:t>
        </w:r>
      </w:hyperlink>
      <w:r>
        <w:rPr>
          <w:rStyle w:val="FootnoteReference"/>
        </w:rPr>
        <w:footnoteReference w:id="8"/>
      </w:r>
      <w:r>
        <w:t>, October 1, 1998). The groundfish and crab LLP replaced the Vessel Moratorium Program, which imposed a temporary moratorium on the entry of new vessels into the groundfish and crab federal fisheries. The Vessel Moratorium Program expired December 31, 1999. The application period and selection process for groundfish or crab LLP licenses was from September 13, 1999, through December 17, 1999 (</w:t>
      </w:r>
      <w:hyperlink r:id="rId13" w:history="1">
        <w:r w:rsidRPr="00F945AD">
          <w:rPr>
            <w:rStyle w:val="Hyperlink"/>
          </w:rPr>
          <w:t>64 FR 49104</w:t>
        </w:r>
      </w:hyperlink>
      <w:r>
        <w:rPr>
          <w:rStyle w:val="FootnoteReference"/>
        </w:rPr>
        <w:footnoteReference w:id="9"/>
      </w:r>
      <w:r>
        <w:t xml:space="preserve">, September 10, 1999). </w:t>
      </w:r>
    </w:p>
    <w:p w:rsidR="00BC3107" w:rsidP="00BC3107" w14:paraId="6DE4DFD7" w14:textId="77777777">
      <w:pPr>
        <w:widowControl/>
        <w:pBdr>
          <w:top w:val="nil"/>
          <w:left w:val="nil"/>
          <w:bottom w:val="nil"/>
          <w:right w:val="nil"/>
          <w:between w:val="nil"/>
        </w:pBdr>
        <w:tabs>
          <w:tab w:val="left" w:pos="360"/>
        </w:tabs>
        <w:spacing w:before="182"/>
      </w:pPr>
      <w:r>
        <w:t xml:space="preserve">Under the groundfish and crab LLP, vessels participating in directed fishing for LLP groundfish species in the GOA or BSAI or those fishing in any BSAI LLP crab fisheries must be named on a valid copy of </w:t>
      </w:r>
      <w:r>
        <w:t xml:space="preserve">the LLP license that is on board the vessel, with some exceptions. An LLP groundfish or crab license authorizes the license holder to deploy the vessel in fisheries in accordance with the specific area and species endorsements, the vessel and gear designations, the maximum length overall (MLOA) specific on the license, and any exemption from the MLOA specific on the license. </w:t>
      </w:r>
    </w:p>
    <w:p w:rsidR="00BC3107" w:rsidP="00BC3107" w14:paraId="006C1D44" w14:textId="0EE83B28">
      <w:pPr>
        <w:widowControl/>
        <w:pBdr>
          <w:top w:val="nil"/>
          <w:left w:val="nil"/>
          <w:bottom w:val="nil"/>
          <w:right w:val="nil"/>
          <w:between w:val="nil"/>
        </w:pBdr>
        <w:tabs>
          <w:tab w:val="left" w:pos="360"/>
        </w:tabs>
        <w:spacing w:before="182"/>
      </w:pPr>
      <w:r>
        <w:t xml:space="preserve">In 2001, NMFS implemented the scallop LLP to limit the number of participants and reduce fishing capacity in the fishery. The scallop LLP was established by </w:t>
      </w:r>
      <w:r w:rsidR="00C341B2">
        <w:t>a</w:t>
      </w:r>
      <w:r>
        <w:t>mendment 4 to the Scallop FMP and to necessarily address concerns about excessive fishing capacity and exploitation in the scallop fishery, particularly if latent moratorium permits were activated (</w:t>
      </w:r>
      <w:hyperlink r:id="rId14" w:history="1">
        <w:r w:rsidRPr="00F945AD">
          <w:rPr>
            <w:rStyle w:val="Hyperlink"/>
          </w:rPr>
          <w:t>65 FR 78110</w:t>
        </w:r>
      </w:hyperlink>
      <w:r>
        <w:rPr>
          <w:rStyle w:val="FootnoteReference"/>
        </w:rPr>
        <w:footnoteReference w:id="10"/>
      </w:r>
      <w:r>
        <w:t xml:space="preserve">, December 14, 2000). The scallop LLP replaced the federal moratorium program on the entry of new vessels to the scallop fishery, which expired June 30, 2000. The application period process for scallop LLP licenses was from January 16, 2001, to February 12, 2001. </w:t>
      </w:r>
    </w:p>
    <w:p w:rsidR="002A478A" w:rsidP="002A478A" w14:paraId="66ACC7EB" w14:textId="6D26D7E4">
      <w:pPr>
        <w:widowControl/>
        <w:pBdr>
          <w:top w:val="nil"/>
          <w:left w:val="nil"/>
          <w:bottom w:val="nil"/>
          <w:right w:val="nil"/>
          <w:between w:val="nil"/>
        </w:pBdr>
        <w:tabs>
          <w:tab w:val="left" w:pos="360"/>
        </w:tabs>
        <w:spacing w:before="182"/>
      </w:pPr>
      <w:r>
        <w:t xml:space="preserve">Under the scallop LLP, an LLP license is required for vessels deployed in scallop fisheries in </w:t>
      </w:r>
      <w:r w:rsidR="003F7D49">
        <w:t>F</w:t>
      </w:r>
      <w:r>
        <w:t xml:space="preserve">ederal waters off Alaska, with the exception of some diving operations. The license authorizes the license holder to catch and retain scallops in compliance with State of Alaska regulations, subject to gear and MLOA restrictions. The scallop license is not vessel specific; however, a copy of a valid LLP license must be onboard the vessel. </w:t>
      </w:r>
    </w:p>
    <w:p w:rsidR="00507375" w:rsidP="00BC3107" w14:paraId="3A45F41A" w14:textId="77777777">
      <w:pPr>
        <w:widowControl/>
      </w:pPr>
    </w:p>
    <w:p w:rsidR="006F330F" w:rsidP="006F330F" w14:paraId="38F7556B" w14:textId="77777777">
      <w:r>
        <w:t>For program definitions refer to 50 CFR 679.2, for permit and licensing requirements for scallop refer to 50 CFR 679.4(g), for permit and licensing requirements for groundfish and crab refer to 50 CFR 679.4(k), and for prohibitions refer to 50 CFR 679.7(</w:t>
      </w:r>
      <w:r>
        <w:t>i</w:t>
      </w:r>
      <w:r>
        <w:t xml:space="preserve">). Additional information on the LLP can be found on the </w:t>
      </w:r>
      <w:hyperlink r:id="rId11" w:anchor=":~:text=A%20federal%20Scallop%20License%20Limitation,the%20scallop%20fishery%20off%20Alaska.">
        <w:r>
          <w:rPr>
            <w:color w:val="1155CC"/>
            <w:u w:val="single"/>
          </w:rPr>
          <w:t>NMFS Alaska Region website</w:t>
        </w:r>
      </w:hyperlink>
      <w:r>
        <w:t xml:space="preserve">. </w:t>
      </w:r>
    </w:p>
    <w:p w:rsidR="006F330F" w:rsidP="00BC3107" w14:paraId="04458D11" w14:textId="77777777">
      <w:pPr>
        <w:widowControl/>
      </w:pPr>
    </w:p>
    <w:p w:rsidR="00BC3107" w:rsidP="00C341B2" w14:paraId="2BB0123E" w14:textId="77777777">
      <w:pPr>
        <w:widowControl/>
        <w:rPr>
          <w:b/>
          <w:color w:val="000000"/>
        </w:rPr>
      </w:pPr>
    </w:p>
    <w:p w:rsidR="00F909EF" w:rsidP="00AB7746" w14:paraId="7ED4227F" w14:textId="1CCBF566">
      <w:pPr>
        <w:pStyle w:val="Heading2"/>
        <w:numPr>
          <w:ilvl w:val="0"/>
          <w:numId w:val="0"/>
        </w:numPr>
      </w:pPr>
      <w:r>
        <w:t xml:space="preserve">2. </w:t>
      </w:r>
      <w:r w:rsidR="00226B0D">
        <w:t>Indicate how, by whom, and for what purpose the information is to be used. Except for a new collection, indicate the actual use the agency has made of the information received from the current collection.</w:t>
      </w:r>
    </w:p>
    <w:p w:rsidR="00BC3107" w:rsidP="00BC3107" w14:paraId="4A19C16B" w14:textId="77777777">
      <w:pPr>
        <w:keepNext/>
        <w:keepLines/>
        <w:widowControl/>
        <w:tabs>
          <w:tab w:val="left" w:pos="360"/>
        </w:tabs>
      </w:pPr>
    </w:p>
    <w:p w:rsidR="00BC3107" w:rsidRPr="007D1A5C" w:rsidP="00BC3107" w14:paraId="591E0268" w14:textId="77777777">
      <w:pPr>
        <w:keepNext/>
        <w:keepLines/>
        <w:widowControl/>
        <w:tabs>
          <w:tab w:val="left" w:pos="360"/>
        </w:tabs>
        <w:rPr>
          <w:b/>
          <w:bCs/>
          <w:sz w:val="20"/>
          <w:szCs w:val="20"/>
        </w:rPr>
      </w:pPr>
      <w:r w:rsidRPr="007D1A5C">
        <w:rPr>
          <w:b/>
          <w:bCs/>
        </w:rPr>
        <w:t>Respondents, Submission Method, and Frequency of Collection</w:t>
      </w:r>
    </w:p>
    <w:tbl>
      <w:tblPr>
        <w:tblStyle w:val="aa"/>
        <w:tblW w:w="101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446"/>
        <w:gridCol w:w="2077"/>
        <w:gridCol w:w="2373"/>
        <w:gridCol w:w="1385"/>
        <w:gridCol w:w="1835"/>
      </w:tblGrid>
      <w:tr w14:paraId="734A36C8" w14:textId="77777777" w:rsidTr="00042AFB">
        <w:tblPrEx>
          <w:tblW w:w="101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1306"/>
          <w:jc w:val="center"/>
        </w:trPr>
        <w:tc>
          <w:tcPr>
            <w:tcW w:w="2446" w:type="dxa"/>
            <w:shd w:val="clear" w:color="auto" w:fill="DEEAF6"/>
            <w:tcMar>
              <w:top w:w="100" w:type="dxa"/>
              <w:left w:w="100" w:type="dxa"/>
              <w:bottom w:w="100" w:type="dxa"/>
              <w:right w:w="100" w:type="dxa"/>
            </w:tcMar>
            <w:vAlign w:val="center"/>
          </w:tcPr>
          <w:p w:rsidR="00BC3107" w:rsidRPr="004E55D2" w:rsidP="00042AFB" w14:paraId="6F4F3621" w14:textId="77777777">
            <w:pPr>
              <w:keepNext/>
              <w:keepLines/>
              <w:widowControl/>
              <w:pBdr>
                <w:top w:val="nil"/>
                <w:left w:val="nil"/>
                <w:bottom w:val="nil"/>
                <w:right w:val="nil"/>
                <w:between w:val="nil"/>
              </w:pBdr>
              <w:jc w:val="center"/>
              <w:rPr>
                <w:rFonts w:ascii="Calibri" w:eastAsia="Calibri" w:hAnsi="Calibri" w:cs="Calibri"/>
                <w:b/>
                <w:sz w:val="18"/>
                <w:szCs w:val="18"/>
              </w:rPr>
            </w:pPr>
            <w:r w:rsidRPr="004E55D2">
              <w:rPr>
                <w:rFonts w:ascii="Calibri" w:eastAsia="Calibri" w:hAnsi="Calibri" w:cs="Calibri"/>
                <w:b/>
                <w:sz w:val="18"/>
                <w:szCs w:val="18"/>
              </w:rPr>
              <w:t>Requirement</w:t>
            </w:r>
          </w:p>
        </w:tc>
        <w:tc>
          <w:tcPr>
            <w:tcW w:w="2077" w:type="dxa"/>
            <w:shd w:val="clear" w:color="auto" w:fill="DEEAF6"/>
            <w:tcMar>
              <w:top w:w="100" w:type="dxa"/>
              <w:left w:w="100" w:type="dxa"/>
              <w:bottom w:w="100" w:type="dxa"/>
              <w:right w:w="100" w:type="dxa"/>
            </w:tcMar>
            <w:vAlign w:val="center"/>
          </w:tcPr>
          <w:p w:rsidR="00BC3107" w:rsidRPr="004E55D2" w:rsidP="00042AFB" w14:paraId="4CDC94D6" w14:textId="77777777">
            <w:pPr>
              <w:keepNext/>
              <w:keepLines/>
              <w:widowControl/>
              <w:pBdr>
                <w:top w:val="nil"/>
                <w:left w:val="nil"/>
                <w:bottom w:val="nil"/>
                <w:right w:val="nil"/>
                <w:between w:val="nil"/>
              </w:pBdr>
              <w:jc w:val="center"/>
              <w:rPr>
                <w:rFonts w:ascii="Calibri" w:eastAsia="Calibri" w:hAnsi="Calibri" w:cs="Calibri"/>
                <w:b/>
                <w:sz w:val="18"/>
                <w:szCs w:val="18"/>
              </w:rPr>
            </w:pPr>
            <w:r w:rsidRPr="004E55D2">
              <w:rPr>
                <w:rFonts w:ascii="Calibri" w:eastAsia="Calibri" w:hAnsi="Calibri" w:cs="Calibri"/>
                <w:b/>
                <w:sz w:val="18"/>
                <w:szCs w:val="18"/>
              </w:rPr>
              <w:t>From whom will the information be collected?</w:t>
            </w:r>
          </w:p>
        </w:tc>
        <w:tc>
          <w:tcPr>
            <w:tcW w:w="2373" w:type="dxa"/>
            <w:shd w:val="clear" w:color="auto" w:fill="DEEAF6"/>
            <w:tcMar>
              <w:top w:w="100" w:type="dxa"/>
              <w:left w:w="100" w:type="dxa"/>
              <w:bottom w:w="100" w:type="dxa"/>
              <w:right w:w="100" w:type="dxa"/>
            </w:tcMar>
            <w:vAlign w:val="center"/>
          </w:tcPr>
          <w:p w:rsidR="00BC3107" w:rsidRPr="004E55D2" w:rsidP="00042AFB" w14:paraId="4546B188" w14:textId="77777777">
            <w:pPr>
              <w:keepNext/>
              <w:keepLines/>
              <w:widowControl/>
              <w:pBdr>
                <w:top w:val="nil"/>
                <w:left w:val="nil"/>
                <w:bottom w:val="nil"/>
                <w:right w:val="nil"/>
                <w:between w:val="nil"/>
              </w:pBdr>
              <w:jc w:val="center"/>
              <w:rPr>
                <w:rFonts w:ascii="Calibri" w:eastAsia="Calibri" w:hAnsi="Calibri" w:cs="Calibri"/>
                <w:b/>
                <w:sz w:val="18"/>
                <w:szCs w:val="18"/>
              </w:rPr>
            </w:pPr>
            <w:r w:rsidRPr="004E55D2">
              <w:rPr>
                <w:rFonts w:ascii="Calibri" w:eastAsia="Calibri" w:hAnsi="Calibri" w:cs="Calibri"/>
                <w:b/>
                <w:sz w:val="18"/>
                <w:szCs w:val="18"/>
              </w:rPr>
              <w:t>Form?</w:t>
            </w:r>
            <w:r w:rsidRPr="004E55D2">
              <w:rPr>
                <w:rFonts w:ascii="Calibri" w:eastAsia="Calibri" w:hAnsi="Calibri" w:cs="Calibri"/>
                <w:b/>
                <w:sz w:val="18"/>
                <w:szCs w:val="18"/>
                <w:vertAlign w:val="superscript"/>
              </w:rPr>
              <w:t>1</w:t>
            </w:r>
          </w:p>
        </w:tc>
        <w:tc>
          <w:tcPr>
            <w:tcW w:w="1385" w:type="dxa"/>
            <w:shd w:val="clear" w:color="auto" w:fill="DEEAF6"/>
            <w:tcMar>
              <w:top w:w="100" w:type="dxa"/>
              <w:left w:w="100" w:type="dxa"/>
              <w:bottom w:w="100" w:type="dxa"/>
              <w:right w:w="100" w:type="dxa"/>
            </w:tcMar>
            <w:vAlign w:val="center"/>
          </w:tcPr>
          <w:p w:rsidR="00BC3107" w:rsidRPr="004E55D2" w:rsidP="00042AFB" w14:paraId="44157570" w14:textId="77777777">
            <w:pPr>
              <w:keepNext/>
              <w:keepLines/>
              <w:widowControl/>
              <w:pBdr>
                <w:top w:val="nil"/>
                <w:left w:val="nil"/>
                <w:bottom w:val="nil"/>
                <w:right w:val="nil"/>
                <w:between w:val="nil"/>
              </w:pBdr>
              <w:jc w:val="center"/>
              <w:rPr>
                <w:rFonts w:ascii="Calibri" w:eastAsia="Calibri" w:hAnsi="Calibri" w:cs="Calibri"/>
                <w:b/>
                <w:sz w:val="18"/>
                <w:szCs w:val="18"/>
              </w:rPr>
            </w:pPr>
            <w:r w:rsidRPr="004E55D2">
              <w:rPr>
                <w:rFonts w:ascii="Calibri" w:eastAsia="Calibri" w:hAnsi="Calibri" w:cs="Calibri"/>
                <w:b/>
                <w:sz w:val="18"/>
                <w:szCs w:val="18"/>
              </w:rPr>
              <w:t>Submission Method</w:t>
            </w:r>
            <w:r w:rsidRPr="004E55D2">
              <w:rPr>
                <w:rFonts w:ascii="Calibri" w:eastAsia="Calibri" w:hAnsi="Calibri" w:cs="Calibri"/>
                <w:b/>
                <w:sz w:val="18"/>
                <w:szCs w:val="18"/>
                <w:vertAlign w:val="superscript"/>
              </w:rPr>
              <w:t>2, 3</w:t>
            </w:r>
          </w:p>
        </w:tc>
        <w:tc>
          <w:tcPr>
            <w:tcW w:w="1835" w:type="dxa"/>
            <w:shd w:val="clear" w:color="auto" w:fill="DEEAF6"/>
            <w:tcMar>
              <w:top w:w="100" w:type="dxa"/>
              <w:left w:w="100" w:type="dxa"/>
              <w:bottom w:w="100" w:type="dxa"/>
              <w:right w:w="100" w:type="dxa"/>
            </w:tcMar>
            <w:vAlign w:val="center"/>
          </w:tcPr>
          <w:p w:rsidR="00BC3107" w:rsidRPr="004E55D2" w:rsidP="00042AFB" w14:paraId="06472B06" w14:textId="77777777">
            <w:pPr>
              <w:keepNext/>
              <w:keepLines/>
              <w:widowControl/>
              <w:pBdr>
                <w:top w:val="nil"/>
                <w:left w:val="nil"/>
                <w:bottom w:val="nil"/>
                <w:right w:val="nil"/>
                <w:between w:val="nil"/>
              </w:pBdr>
              <w:jc w:val="center"/>
              <w:rPr>
                <w:rFonts w:ascii="Calibri" w:eastAsia="Calibri" w:hAnsi="Calibri" w:cs="Calibri"/>
                <w:b/>
                <w:sz w:val="18"/>
                <w:szCs w:val="18"/>
              </w:rPr>
            </w:pPr>
            <w:r w:rsidRPr="004E55D2">
              <w:rPr>
                <w:rFonts w:ascii="Calibri" w:eastAsia="Calibri" w:hAnsi="Calibri" w:cs="Calibri"/>
                <w:b/>
                <w:sz w:val="18"/>
                <w:szCs w:val="18"/>
              </w:rPr>
              <w:t>How frequently will the information be collected?</w:t>
            </w:r>
          </w:p>
        </w:tc>
      </w:tr>
      <w:tr w14:paraId="6358D752" w14:textId="77777777" w:rsidTr="00042AFB">
        <w:tblPrEx>
          <w:tblW w:w="10116" w:type="dxa"/>
          <w:jc w:val="center"/>
          <w:tblLayout w:type="fixed"/>
          <w:tblLook w:val="0600"/>
        </w:tblPrEx>
        <w:trPr>
          <w:trHeight w:val="916"/>
          <w:jc w:val="center"/>
        </w:trPr>
        <w:tc>
          <w:tcPr>
            <w:tcW w:w="2446" w:type="dxa"/>
            <w:tcMar>
              <w:top w:w="100" w:type="dxa"/>
              <w:left w:w="100" w:type="dxa"/>
              <w:bottom w:w="100" w:type="dxa"/>
              <w:right w:w="100" w:type="dxa"/>
            </w:tcMar>
            <w:vAlign w:val="center"/>
          </w:tcPr>
          <w:p w:rsidR="00BC3107" w:rsidRPr="00DF7517" w:rsidP="00042AFB" w14:paraId="012479F1" w14:textId="77777777">
            <w:pPr>
              <w:widowControl/>
              <w:pBdr>
                <w:top w:val="nil"/>
                <w:left w:val="nil"/>
                <w:bottom w:val="nil"/>
                <w:right w:val="nil"/>
                <w:between w:val="nil"/>
              </w:pBdr>
              <w:rPr>
                <w:rFonts w:ascii="Calibri" w:eastAsia="Calibri" w:hAnsi="Calibri" w:cs="Calibri"/>
                <w:sz w:val="18"/>
                <w:szCs w:val="18"/>
              </w:rPr>
            </w:pPr>
            <w:r w:rsidRPr="00DF7517">
              <w:rPr>
                <w:rFonts w:ascii="Calibri" w:eastAsia="Calibri" w:hAnsi="Calibri" w:cs="Calibri"/>
                <w:sz w:val="18"/>
                <w:szCs w:val="18"/>
              </w:rPr>
              <w:t>Application for the transfer of groundfish and crab LLP licenses</w:t>
            </w:r>
          </w:p>
        </w:tc>
        <w:tc>
          <w:tcPr>
            <w:tcW w:w="2077" w:type="dxa"/>
            <w:tcMar>
              <w:top w:w="100" w:type="dxa"/>
              <w:left w:w="100" w:type="dxa"/>
              <w:bottom w:w="100" w:type="dxa"/>
              <w:right w:w="100" w:type="dxa"/>
            </w:tcMar>
            <w:vAlign w:val="center"/>
          </w:tcPr>
          <w:p w:rsidR="00BC3107" w:rsidRPr="00DF7517" w:rsidP="00042AFB" w14:paraId="6F66B996" w14:textId="77777777">
            <w:pPr>
              <w:widowControl/>
              <w:pBdr>
                <w:top w:val="nil"/>
                <w:left w:val="nil"/>
                <w:bottom w:val="nil"/>
                <w:right w:val="nil"/>
                <w:between w:val="nil"/>
              </w:pBdr>
              <w:rPr>
                <w:rFonts w:ascii="Calibri" w:eastAsia="Calibri" w:hAnsi="Calibri" w:cs="Calibri"/>
                <w:sz w:val="18"/>
                <w:szCs w:val="18"/>
              </w:rPr>
            </w:pPr>
            <w:r w:rsidRPr="00DF7517">
              <w:rPr>
                <w:rFonts w:ascii="Calibri" w:eastAsia="Calibri" w:hAnsi="Calibri" w:cs="Calibri"/>
                <w:sz w:val="18"/>
                <w:szCs w:val="18"/>
              </w:rPr>
              <w:t xml:space="preserve">Transferee and Transferor of an LLP license </w:t>
            </w:r>
          </w:p>
        </w:tc>
        <w:tc>
          <w:tcPr>
            <w:tcW w:w="2373" w:type="dxa"/>
            <w:tcMar>
              <w:top w:w="100" w:type="dxa"/>
              <w:left w:w="100" w:type="dxa"/>
              <w:bottom w:w="100" w:type="dxa"/>
              <w:right w:w="100" w:type="dxa"/>
            </w:tcMar>
            <w:vAlign w:val="center"/>
          </w:tcPr>
          <w:p w:rsidR="00BC3107" w:rsidRPr="00DF7517" w:rsidP="00042AFB" w14:paraId="52EAA1AF" w14:textId="77777777">
            <w:pPr>
              <w:widowControl/>
              <w:pBdr>
                <w:top w:val="nil"/>
                <w:left w:val="nil"/>
                <w:bottom w:val="nil"/>
                <w:right w:val="nil"/>
                <w:between w:val="nil"/>
              </w:pBdr>
              <w:rPr>
                <w:rFonts w:ascii="Calibri" w:eastAsia="Calibri" w:hAnsi="Calibri" w:cs="Calibri"/>
                <w:sz w:val="18"/>
                <w:szCs w:val="18"/>
              </w:rPr>
            </w:pPr>
            <w:r w:rsidRPr="00DF7517">
              <w:rPr>
                <w:rFonts w:ascii="Calibri" w:eastAsia="Calibri" w:hAnsi="Calibri" w:cs="Calibri"/>
                <w:sz w:val="18"/>
                <w:szCs w:val="18"/>
              </w:rPr>
              <w:t>Application for Transfer License Limitation Program Groundfish/Crab License</w:t>
            </w:r>
          </w:p>
        </w:tc>
        <w:tc>
          <w:tcPr>
            <w:tcW w:w="1385" w:type="dxa"/>
            <w:tcMar>
              <w:top w:w="100" w:type="dxa"/>
              <w:left w:w="100" w:type="dxa"/>
              <w:bottom w:w="100" w:type="dxa"/>
              <w:right w:w="100" w:type="dxa"/>
            </w:tcMar>
            <w:vAlign w:val="center"/>
          </w:tcPr>
          <w:p w:rsidR="00BC3107" w:rsidRPr="00DF7517" w:rsidP="00042AFB" w14:paraId="0E499510" w14:textId="5D1E4FE8">
            <w:pPr>
              <w:widowControl/>
              <w:pBdr>
                <w:top w:val="nil"/>
                <w:left w:val="nil"/>
                <w:bottom w:val="nil"/>
                <w:right w:val="nil"/>
                <w:between w:val="nil"/>
              </w:pBdr>
              <w:rPr>
                <w:rFonts w:ascii="Calibri" w:eastAsia="Calibri" w:hAnsi="Calibri" w:cs="Calibri"/>
                <w:sz w:val="18"/>
                <w:szCs w:val="18"/>
              </w:rPr>
            </w:pPr>
            <w:r w:rsidRPr="00DF7517">
              <w:rPr>
                <w:rFonts w:ascii="Calibri" w:eastAsia="Calibri" w:hAnsi="Calibri" w:cs="Calibri"/>
                <w:sz w:val="18"/>
                <w:szCs w:val="18"/>
              </w:rPr>
              <w:t>Mail</w:t>
            </w:r>
            <w:r>
              <w:rPr>
                <w:rFonts w:ascii="Calibri" w:eastAsia="Calibri" w:hAnsi="Calibri" w:cs="Calibri"/>
                <w:sz w:val="18"/>
                <w:szCs w:val="18"/>
              </w:rPr>
              <w:t>,</w:t>
            </w:r>
            <w:r w:rsidRPr="00DF7517">
              <w:rPr>
                <w:rFonts w:ascii="Calibri" w:eastAsia="Calibri" w:hAnsi="Calibri" w:cs="Calibri"/>
                <w:sz w:val="18"/>
                <w:szCs w:val="18"/>
              </w:rPr>
              <w:t xml:space="preserve"> delivery</w:t>
            </w:r>
            <w:r>
              <w:rPr>
                <w:rFonts w:ascii="Calibri" w:eastAsia="Calibri" w:hAnsi="Calibri" w:cs="Calibri"/>
                <w:sz w:val="18"/>
                <w:szCs w:val="18"/>
              </w:rPr>
              <w:t>, fax</w:t>
            </w:r>
            <w:r w:rsidR="00BC73D1">
              <w:rPr>
                <w:rFonts w:ascii="Calibri" w:eastAsia="Calibri" w:hAnsi="Calibri" w:cs="Calibri"/>
                <w:sz w:val="18"/>
                <w:szCs w:val="18"/>
              </w:rPr>
              <w:t xml:space="preserve">, </w:t>
            </w:r>
            <w:r w:rsidR="007D1A5C">
              <w:rPr>
                <w:rFonts w:ascii="Calibri" w:eastAsia="Calibri" w:hAnsi="Calibri" w:cs="Calibri"/>
                <w:sz w:val="18"/>
                <w:szCs w:val="18"/>
              </w:rPr>
              <w:t>email</w:t>
            </w:r>
          </w:p>
        </w:tc>
        <w:tc>
          <w:tcPr>
            <w:tcW w:w="1835" w:type="dxa"/>
            <w:tcMar>
              <w:top w:w="100" w:type="dxa"/>
              <w:left w:w="100" w:type="dxa"/>
              <w:bottom w:w="100" w:type="dxa"/>
              <w:right w:w="100" w:type="dxa"/>
            </w:tcMar>
            <w:vAlign w:val="center"/>
          </w:tcPr>
          <w:p w:rsidR="00BC3107" w:rsidRPr="00DF7517" w:rsidP="00042AFB" w14:paraId="37E83C2A" w14:textId="77777777">
            <w:pPr>
              <w:widowControl/>
              <w:rPr>
                <w:rFonts w:ascii="Calibri" w:eastAsia="Calibri" w:hAnsi="Calibri" w:cs="Calibri"/>
                <w:sz w:val="18"/>
                <w:szCs w:val="18"/>
              </w:rPr>
            </w:pPr>
            <w:r w:rsidRPr="00DF7517">
              <w:rPr>
                <w:rFonts w:ascii="Calibri" w:eastAsia="Calibri" w:hAnsi="Calibri" w:cs="Calibri"/>
                <w:sz w:val="18"/>
                <w:szCs w:val="18"/>
              </w:rPr>
              <w:t>As needed by the respondent</w:t>
            </w:r>
          </w:p>
        </w:tc>
      </w:tr>
      <w:tr w14:paraId="6D81AE8D" w14:textId="77777777" w:rsidTr="00042AFB">
        <w:tblPrEx>
          <w:tblW w:w="10116" w:type="dxa"/>
          <w:jc w:val="center"/>
          <w:tblLayout w:type="fixed"/>
          <w:tblLook w:val="0600"/>
        </w:tblPrEx>
        <w:trPr>
          <w:trHeight w:val="780"/>
          <w:jc w:val="center"/>
        </w:trPr>
        <w:tc>
          <w:tcPr>
            <w:tcW w:w="2446" w:type="dxa"/>
            <w:tcMar>
              <w:top w:w="100" w:type="dxa"/>
              <w:left w:w="100" w:type="dxa"/>
              <w:bottom w:w="100" w:type="dxa"/>
              <w:right w:w="100" w:type="dxa"/>
            </w:tcMar>
            <w:vAlign w:val="center"/>
          </w:tcPr>
          <w:p w:rsidR="00BC3107" w:rsidRPr="00DF7517" w:rsidP="00042AFB" w14:paraId="62494A3D" w14:textId="77777777">
            <w:pPr>
              <w:widowControl/>
              <w:pBdr>
                <w:top w:val="nil"/>
                <w:left w:val="nil"/>
                <w:bottom w:val="nil"/>
                <w:right w:val="nil"/>
                <w:between w:val="nil"/>
              </w:pBdr>
              <w:rPr>
                <w:rFonts w:ascii="Calibri" w:eastAsia="Calibri" w:hAnsi="Calibri" w:cs="Calibri"/>
                <w:sz w:val="18"/>
                <w:szCs w:val="18"/>
              </w:rPr>
            </w:pPr>
            <w:r w:rsidRPr="00DF7517">
              <w:rPr>
                <w:rFonts w:ascii="Calibri" w:eastAsia="Calibri" w:hAnsi="Calibri" w:cs="Calibri"/>
                <w:sz w:val="18"/>
                <w:szCs w:val="18"/>
              </w:rPr>
              <w:t xml:space="preserve">Application for the transfer of scallop LLP licenses </w:t>
            </w:r>
          </w:p>
        </w:tc>
        <w:tc>
          <w:tcPr>
            <w:tcW w:w="2077" w:type="dxa"/>
            <w:tcMar>
              <w:top w:w="100" w:type="dxa"/>
              <w:left w:w="100" w:type="dxa"/>
              <w:bottom w:w="100" w:type="dxa"/>
              <w:right w:w="100" w:type="dxa"/>
            </w:tcMar>
            <w:vAlign w:val="center"/>
          </w:tcPr>
          <w:p w:rsidR="00BC3107" w:rsidRPr="00DF7517" w:rsidP="00042AFB" w14:paraId="30B2041E" w14:textId="77777777">
            <w:pPr>
              <w:widowControl/>
              <w:rPr>
                <w:rFonts w:ascii="Calibri" w:eastAsia="Calibri" w:hAnsi="Calibri" w:cs="Calibri"/>
                <w:sz w:val="18"/>
                <w:szCs w:val="18"/>
              </w:rPr>
            </w:pPr>
            <w:r w:rsidRPr="00DF7517">
              <w:rPr>
                <w:rFonts w:ascii="Calibri" w:eastAsia="Calibri" w:hAnsi="Calibri" w:cs="Calibri"/>
                <w:sz w:val="18"/>
                <w:szCs w:val="18"/>
              </w:rPr>
              <w:t xml:space="preserve">Transferee and Transferor of an LLP license </w:t>
            </w:r>
          </w:p>
        </w:tc>
        <w:tc>
          <w:tcPr>
            <w:tcW w:w="2373" w:type="dxa"/>
            <w:tcMar>
              <w:top w:w="100" w:type="dxa"/>
              <w:left w:w="100" w:type="dxa"/>
              <w:bottom w:w="100" w:type="dxa"/>
              <w:right w:w="100" w:type="dxa"/>
            </w:tcMar>
            <w:vAlign w:val="center"/>
          </w:tcPr>
          <w:p w:rsidR="00BC3107" w:rsidRPr="00DF7517" w:rsidP="00042AFB" w14:paraId="3854B356" w14:textId="77777777">
            <w:pPr>
              <w:widowControl/>
              <w:pBdr>
                <w:top w:val="nil"/>
                <w:left w:val="nil"/>
                <w:bottom w:val="nil"/>
                <w:right w:val="nil"/>
                <w:between w:val="nil"/>
              </w:pBdr>
              <w:rPr>
                <w:rFonts w:ascii="Calibri" w:eastAsia="Calibri" w:hAnsi="Calibri" w:cs="Calibri"/>
                <w:sz w:val="18"/>
                <w:szCs w:val="18"/>
              </w:rPr>
            </w:pPr>
            <w:r w:rsidRPr="00DF7517">
              <w:rPr>
                <w:rFonts w:ascii="Calibri" w:eastAsia="Calibri" w:hAnsi="Calibri" w:cs="Calibri"/>
                <w:sz w:val="18"/>
                <w:szCs w:val="18"/>
              </w:rPr>
              <w:t>Application for Transfer of Scallop LLP License</w:t>
            </w:r>
          </w:p>
        </w:tc>
        <w:tc>
          <w:tcPr>
            <w:tcW w:w="1385" w:type="dxa"/>
            <w:tcMar>
              <w:top w:w="100" w:type="dxa"/>
              <w:left w:w="100" w:type="dxa"/>
              <w:bottom w:w="100" w:type="dxa"/>
              <w:right w:w="100" w:type="dxa"/>
            </w:tcMar>
            <w:vAlign w:val="center"/>
          </w:tcPr>
          <w:p w:rsidR="00BC3107" w:rsidRPr="00DF7517" w:rsidP="00042AFB" w14:paraId="2470CC2D" w14:textId="2B5A5C46">
            <w:pPr>
              <w:widowControl/>
              <w:rPr>
                <w:rFonts w:ascii="Calibri" w:eastAsia="Calibri" w:hAnsi="Calibri" w:cs="Calibri"/>
                <w:sz w:val="18"/>
                <w:szCs w:val="18"/>
              </w:rPr>
            </w:pPr>
            <w:r w:rsidRPr="00DF7517">
              <w:rPr>
                <w:rFonts w:ascii="Calibri" w:eastAsia="Calibri" w:hAnsi="Calibri" w:cs="Calibri"/>
                <w:sz w:val="18"/>
                <w:szCs w:val="18"/>
              </w:rPr>
              <w:t>Mail, delivery, fax</w:t>
            </w:r>
            <w:r w:rsidR="00BC73D1">
              <w:rPr>
                <w:rFonts w:ascii="Calibri" w:eastAsia="Calibri" w:hAnsi="Calibri" w:cs="Calibri"/>
                <w:sz w:val="18"/>
                <w:szCs w:val="18"/>
              </w:rPr>
              <w:t xml:space="preserve">, </w:t>
            </w:r>
            <w:r w:rsidR="00144056">
              <w:rPr>
                <w:rFonts w:ascii="Calibri" w:eastAsia="Calibri" w:hAnsi="Calibri" w:cs="Calibri"/>
                <w:sz w:val="18"/>
                <w:szCs w:val="18"/>
              </w:rPr>
              <w:t>email</w:t>
            </w:r>
          </w:p>
        </w:tc>
        <w:tc>
          <w:tcPr>
            <w:tcW w:w="1835" w:type="dxa"/>
            <w:tcMar>
              <w:top w:w="100" w:type="dxa"/>
              <w:left w:w="100" w:type="dxa"/>
              <w:bottom w:w="100" w:type="dxa"/>
              <w:right w:w="100" w:type="dxa"/>
            </w:tcMar>
            <w:vAlign w:val="center"/>
          </w:tcPr>
          <w:p w:rsidR="00BC3107" w:rsidRPr="00DF7517" w:rsidP="00042AFB" w14:paraId="16559D56" w14:textId="77777777">
            <w:pPr>
              <w:widowControl/>
              <w:rPr>
                <w:rFonts w:ascii="Calibri" w:eastAsia="Calibri" w:hAnsi="Calibri" w:cs="Calibri"/>
                <w:sz w:val="18"/>
                <w:szCs w:val="18"/>
              </w:rPr>
            </w:pPr>
            <w:r w:rsidRPr="00DF7517">
              <w:rPr>
                <w:rFonts w:ascii="Calibri" w:eastAsia="Calibri" w:hAnsi="Calibri" w:cs="Calibri"/>
                <w:sz w:val="18"/>
                <w:szCs w:val="18"/>
              </w:rPr>
              <w:t>As needed by the respondent</w:t>
            </w:r>
          </w:p>
        </w:tc>
      </w:tr>
      <w:tr w14:paraId="7BE5BFCB" w14:textId="77777777" w:rsidTr="00C341B2">
        <w:tblPrEx>
          <w:tblW w:w="10116" w:type="dxa"/>
          <w:jc w:val="center"/>
          <w:tblLayout w:type="fixed"/>
          <w:tblLook w:val="0600"/>
        </w:tblPrEx>
        <w:trPr>
          <w:trHeight w:val="356"/>
          <w:jc w:val="center"/>
        </w:trPr>
        <w:tc>
          <w:tcPr>
            <w:tcW w:w="2446" w:type="dxa"/>
            <w:tcMar>
              <w:top w:w="100" w:type="dxa"/>
              <w:left w:w="100" w:type="dxa"/>
              <w:bottom w:w="100" w:type="dxa"/>
              <w:right w:w="100" w:type="dxa"/>
            </w:tcMar>
            <w:vAlign w:val="center"/>
          </w:tcPr>
          <w:p w:rsidR="00BC3107" w:rsidRPr="00DF7517" w:rsidP="00042AFB" w14:paraId="23124DE9" w14:textId="77777777">
            <w:pPr>
              <w:widowControl/>
              <w:pBdr>
                <w:top w:val="nil"/>
                <w:left w:val="nil"/>
                <w:bottom w:val="nil"/>
                <w:right w:val="nil"/>
                <w:between w:val="nil"/>
              </w:pBdr>
              <w:rPr>
                <w:rFonts w:ascii="Calibri" w:eastAsia="Calibri" w:hAnsi="Calibri" w:cs="Calibri"/>
                <w:sz w:val="18"/>
                <w:szCs w:val="18"/>
              </w:rPr>
            </w:pPr>
            <w:r w:rsidRPr="00DF7517">
              <w:rPr>
                <w:rFonts w:ascii="Calibri" w:eastAsia="Calibri" w:hAnsi="Calibri" w:cs="Calibri"/>
                <w:sz w:val="18"/>
                <w:szCs w:val="18"/>
              </w:rPr>
              <w:t>Transfer appeal</w:t>
            </w:r>
          </w:p>
        </w:tc>
        <w:tc>
          <w:tcPr>
            <w:tcW w:w="2077" w:type="dxa"/>
            <w:tcMar>
              <w:top w:w="100" w:type="dxa"/>
              <w:left w:w="100" w:type="dxa"/>
              <w:bottom w:w="100" w:type="dxa"/>
              <w:right w:w="100" w:type="dxa"/>
            </w:tcMar>
            <w:vAlign w:val="center"/>
          </w:tcPr>
          <w:p w:rsidR="00BC3107" w:rsidRPr="00DF7517" w:rsidP="00042AFB" w14:paraId="1043B2B2" w14:textId="77777777">
            <w:pPr>
              <w:widowControl/>
              <w:rPr>
                <w:rFonts w:ascii="Calibri" w:eastAsia="Calibri" w:hAnsi="Calibri" w:cs="Calibri"/>
                <w:sz w:val="18"/>
                <w:szCs w:val="18"/>
              </w:rPr>
            </w:pPr>
            <w:r w:rsidRPr="00DF7517">
              <w:rPr>
                <w:rFonts w:ascii="Calibri" w:eastAsia="Calibri" w:hAnsi="Calibri" w:cs="Calibri"/>
                <w:sz w:val="18"/>
                <w:szCs w:val="18"/>
              </w:rPr>
              <w:t>Transfer Applicant</w:t>
            </w:r>
          </w:p>
        </w:tc>
        <w:tc>
          <w:tcPr>
            <w:tcW w:w="2373" w:type="dxa"/>
            <w:tcMar>
              <w:top w:w="100" w:type="dxa"/>
              <w:left w:w="100" w:type="dxa"/>
              <w:bottom w:w="100" w:type="dxa"/>
              <w:right w:w="100" w:type="dxa"/>
            </w:tcMar>
            <w:vAlign w:val="center"/>
          </w:tcPr>
          <w:p w:rsidR="00BC3107" w:rsidRPr="00DF7517" w:rsidP="00042AFB" w14:paraId="102B2258" w14:textId="77777777">
            <w:pPr>
              <w:widowControl/>
              <w:pBdr>
                <w:top w:val="nil"/>
                <w:left w:val="nil"/>
                <w:bottom w:val="nil"/>
                <w:right w:val="nil"/>
                <w:between w:val="nil"/>
              </w:pBdr>
              <w:jc w:val="center"/>
              <w:rPr>
                <w:rFonts w:ascii="Calibri" w:eastAsia="Calibri" w:hAnsi="Calibri" w:cs="Calibri"/>
                <w:sz w:val="18"/>
                <w:szCs w:val="18"/>
              </w:rPr>
            </w:pPr>
            <w:r w:rsidRPr="00DF7517">
              <w:rPr>
                <w:rFonts w:ascii="Calibri" w:eastAsia="Calibri" w:hAnsi="Calibri" w:cs="Calibri"/>
                <w:sz w:val="18"/>
                <w:szCs w:val="18"/>
              </w:rPr>
              <w:t>No</w:t>
            </w:r>
          </w:p>
        </w:tc>
        <w:tc>
          <w:tcPr>
            <w:tcW w:w="1385" w:type="dxa"/>
            <w:tcMar>
              <w:top w:w="100" w:type="dxa"/>
              <w:left w:w="100" w:type="dxa"/>
              <w:bottom w:w="100" w:type="dxa"/>
              <w:right w:w="100" w:type="dxa"/>
            </w:tcMar>
            <w:vAlign w:val="center"/>
          </w:tcPr>
          <w:p w:rsidR="00BC3107" w:rsidRPr="00DF7517" w:rsidP="00042AFB" w14:paraId="61D14EFA" w14:textId="68EFBF31">
            <w:pPr>
              <w:widowControl/>
              <w:rPr>
                <w:rFonts w:ascii="Calibri" w:eastAsia="Calibri" w:hAnsi="Calibri" w:cs="Calibri"/>
                <w:sz w:val="18"/>
                <w:szCs w:val="18"/>
              </w:rPr>
            </w:pPr>
            <w:r w:rsidRPr="00DF7517">
              <w:rPr>
                <w:rFonts w:ascii="Calibri" w:eastAsia="Calibri" w:hAnsi="Calibri" w:cs="Calibri"/>
                <w:sz w:val="18"/>
                <w:szCs w:val="18"/>
              </w:rPr>
              <w:t>Mail, delivery, fax</w:t>
            </w:r>
            <w:r w:rsidR="00BC73D1">
              <w:rPr>
                <w:rFonts w:ascii="Calibri" w:eastAsia="Calibri" w:hAnsi="Calibri" w:cs="Calibri"/>
                <w:sz w:val="18"/>
                <w:szCs w:val="18"/>
              </w:rPr>
              <w:t xml:space="preserve">, </w:t>
            </w:r>
            <w:r w:rsidR="00144056">
              <w:rPr>
                <w:rFonts w:ascii="Calibri" w:eastAsia="Calibri" w:hAnsi="Calibri" w:cs="Calibri"/>
                <w:sz w:val="18"/>
                <w:szCs w:val="18"/>
              </w:rPr>
              <w:t>email</w:t>
            </w:r>
          </w:p>
        </w:tc>
        <w:tc>
          <w:tcPr>
            <w:tcW w:w="1835" w:type="dxa"/>
            <w:tcMar>
              <w:top w:w="100" w:type="dxa"/>
              <w:left w:w="100" w:type="dxa"/>
              <w:bottom w:w="100" w:type="dxa"/>
              <w:right w:w="100" w:type="dxa"/>
            </w:tcMar>
            <w:vAlign w:val="center"/>
          </w:tcPr>
          <w:p w:rsidR="00BC3107" w:rsidRPr="00DF7517" w:rsidP="00042AFB" w14:paraId="35CFB1D3" w14:textId="77777777">
            <w:pPr>
              <w:widowControl/>
              <w:pBdr>
                <w:top w:val="nil"/>
                <w:left w:val="nil"/>
                <w:bottom w:val="nil"/>
                <w:right w:val="nil"/>
                <w:between w:val="nil"/>
              </w:pBdr>
              <w:rPr>
                <w:rFonts w:ascii="Calibri" w:eastAsia="Calibri" w:hAnsi="Calibri" w:cs="Calibri"/>
                <w:sz w:val="18"/>
                <w:szCs w:val="18"/>
              </w:rPr>
            </w:pPr>
            <w:r w:rsidRPr="00DF7517">
              <w:rPr>
                <w:rFonts w:ascii="Calibri" w:eastAsia="Calibri" w:hAnsi="Calibri" w:cs="Calibri"/>
                <w:sz w:val="18"/>
                <w:szCs w:val="18"/>
              </w:rPr>
              <w:t>As needed by the respondent</w:t>
            </w:r>
          </w:p>
        </w:tc>
      </w:tr>
    </w:tbl>
    <w:p w:rsidR="00BC3107" w:rsidP="00BC3107" w14:paraId="37FBCE46" w14:textId="77777777">
      <w:pPr>
        <w:widowControl/>
        <w:spacing w:before="60"/>
        <w:ind w:left="144" w:hanging="144"/>
        <w:rPr>
          <w:rFonts w:ascii="Calibri" w:eastAsia="Calibri" w:hAnsi="Calibri" w:cs="Calibri"/>
          <w:sz w:val="20"/>
          <w:szCs w:val="20"/>
        </w:rPr>
      </w:pPr>
      <w:r w:rsidRPr="004E55D2">
        <w:rPr>
          <w:rFonts w:ascii="Calibri" w:eastAsia="Calibri" w:hAnsi="Calibri" w:cs="Calibri"/>
          <w:sz w:val="20"/>
          <w:szCs w:val="20"/>
          <w:vertAlign w:val="superscript"/>
        </w:rPr>
        <w:t>1</w:t>
      </w:r>
      <w:r>
        <w:rPr>
          <w:rFonts w:ascii="Calibri" w:eastAsia="Calibri" w:hAnsi="Calibri" w:cs="Calibri"/>
          <w:sz w:val="20"/>
          <w:szCs w:val="20"/>
        </w:rPr>
        <w:t xml:space="preserve"> The forms to transfer a </w:t>
      </w:r>
      <w:hyperlink r:id="rId15">
        <w:r>
          <w:rPr>
            <w:rFonts w:ascii="Calibri" w:eastAsia="Calibri" w:hAnsi="Calibri" w:cs="Calibri"/>
            <w:color w:val="1155CC"/>
            <w:sz w:val="20"/>
            <w:szCs w:val="20"/>
            <w:u w:val="single"/>
          </w:rPr>
          <w:t>scallop LLP license</w:t>
        </w:r>
      </w:hyperlink>
      <w:r>
        <w:rPr>
          <w:rFonts w:ascii="Calibri" w:eastAsia="Calibri" w:hAnsi="Calibri" w:cs="Calibri"/>
          <w:sz w:val="20"/>
          <w:szCs w:val="20"/>
        </w:rPr>
        <w:t xml:space="preserve"> and a </w:t>
      </w:r>
      <w:hyperlink r:id="rId16">
        <w:r>
          <w:rPr>
            <w:rFonts w:ascii="Calibri" w:eastAsia="Calibri" w:hAnsi="Calibri" w:cs="Calibri"/>
            <w:color w:val="1155CC"/>
            <w:sz w:val="20"/>
            <w:szCs w:val="20"/>
            <w:u w:val="single"/>
          </w:rPr>
          <w:t>groundfish or crab LLP license</w:t>
        </w:r>
      </w:hyperlink>
      <w:r>
        <w:rPr>
          <w:rFonts w:ascii="Calibri" w:eastAsia="Calibri" w:hAnsi="Calibri" w:cs="Calibri"/>
          <w:color w:val="1155CC"/>
          <w:sz w:val="20"/>
          <w:szCs w:val="20"/>
          <w:u w:val="single"/>
        </w:rPr>
        <w:t xml:space="preserve"> </w:t>
      </w:r>
      <w:r>
        <w:rPr>
          <w:rFonts w:ascii="Calibri" w:eastAsia="Calibri" w:hAnsi="Calibri" w:cs="Calibri"/>
          <w:sz w:val="20"/>
          <w:szCs w:val="20"/>
        </w:rPr>
        <w:t>are available as fillable pdfs on the NMFS Alaska Region website.</w:t>
      </w:r>
    </w:p>
    <w:p w:rsidR="00BC3107" w:rsidP="00BC3107" w14:paraId="52253343" w14:textId="62C4EF72">
      <w:pPr>
        <w:widowControl/>
        <w:tabs>
          <w:tab w:val="left" w:pos="360"/>
        </w:tabs>
        <w:spacing w:before="60"/>
        <w:ind w:left="144" w:hanging="144"/>
        <w:rPr>
          <w:rFonts w:ascii="Calibri" w:eastAsia="Calibri" w:hAnsi="Calibri" w:cs="Calibri"/>
          <w:b/>
          <w:sz w:val="20"/>
          <w:szCs w:val="20"/>
        </w:rPr>
      </w:pPr>
      <w:r w:rsidRPr="004E55D2">
        <w:rPr>
          <w:rFonts w:ascii="Calibri" w:eastAsia="Calibri" w:hAnsi="Calibri" w:cs="Calibri"/>
          <w:color w:val="000000"/>
          <w:sz w:val="20"/>
          <w:szCs w:val="20"/>
          <w:vertAlign w:val="superscript"/>
        </w:rPr>
        <w:t>2</w:t>
      </w:r>
      <w:r>
        <w:rPr>
          <w:rFonts w:ascii="Calibri" w:eastAsia="Calibri" w:hAnsi="Calibri" w:cs="Calibri"/>
          <w:b/>
          <w:color w:val="000000"/>
          <w:sz w:val="20"/>
          <w:szCs w:val="20"/>
        </w:rPr>
        <w:t xml:space="preserve"> </w:t>
      </w:r>
      <w:r>
        <w:rPr>
          <w:rFonts w:ascii="Calibri" w:eastAsia="Calibri" w:hAnsi="Calibri" w:cs="Calibri"/>
          <w:color w:val="000000"/>
          <w:sz w:val="20"/>
          <w:szCs w:val="20"/>
        </w:rPr>
        <w:t>Transfer applications—</w:t>
      </w:r>
      <w:r>
        <w:rPr>
          <w:rFonts w:ascii="Calibri" w:eastAsia="Calibri" w:hAnsi="Calibri" w:cs="Calibri"/>
          <w:b/>
          <w:color w:val="000000"/>
          <w:sz w:val="20"/>
          <w:szCs w:val="20"/>
        </w:rPr>
        <w:t>Mail</w:t>
      </w:r>
      <w:r>
        <w:rPr>
          <w:rFonts w:ascii="Calibri" w:eastAsia="Calibri" w:hAnsi="Calibri" w:cs="Calibri"/>
          <w:color w:val="000000"/>
          <w:sz w:val="20"/>
          <w:szCs w:val="20"/>
        </w:rPr>
        <w:t xml:space="preserve">: NMFS Alaska Region, Restricted Access Management, P.O. Box 21668, Juneau, AK 99802-1668; </w:t>
      </w:r>
      <w:r>
        <w:rPr>
          <w:rFonts w:ascii="Calibri" w:eastAsia="Calibri" w:hAnsi="Calibri" w:cs="Calibri"/>
          <w:b/>
          <w:color w:val="000000"/>
          <w:sz w:val="20"/>
          <w:szCs w:val="20"/>
        </w:rPr>
        <w:t>Delivery</w:t>
      </w:r>
      <w:r>
        <w:rPr>
          <w:rFonts w:ascii="Calibri" w:eastAsia="Calibri" w:hAnsi="Calibri" w:cs="Calibri"/>
          <w:color w:val="000000"/>
          <w:sz w:val="20"/>
          <w:szCs w:val="20"/>
        </w:rPr>
        <w:t>: 709 West 9</w:t>
      </w:r>
      <w:r>
        <w:rPr>
          <w:rFonts w:ascii="Calibri" w:eastAsia="Calibri" w:hAnsi="Calibri" w:cs="Calibri"/>
          <w:color w:val="000000"/>
          <w:sz w:val="20"/>
          <w:szCs w:val="20"/>
          <w:vertAlign w:val="superscript"/>
        </w:rPr>
        <w:t>th</w:t>
      </w:r>
      <w:r>
        <w:rPr>
          <w:rFonts w:ascii="Calibri" w:eastAsia="Calibri" w:hAnsi="Calibri" w:cs="Calibri"/>
          <w:color w:val="000000"/>
          <w:sz w:val="20"/>
          <w:szCs w:val="20"/>
        </w:rPr>
        <w:t xml:space="preserve"> Street, Room 713, Juneau, AK, 99801; </w:t>
      </w:r>
      <w:r>
        <w:rPr>
          <w:rFonts w:ascii="Calibri" w:eastAsia="Calibri" w:hAnsi="Calibri" w:cs="Calibri"/>
          <w:b/>
          <w:color w:val="000000"/>
          <w:sz w:val="20"/>
          <w:szCs w:val="20"/>
        </w:rPr>
        <w:t>Fax</w:t>
      </w:r>
      <w:r>
        <w:rPr>
          <w:rFonts w:ascii="Calibri" w:eastAsia="Calibri" w:hAnsi="Calibri" w:cs="Calibri"/>
          <w:color w:val="000000"/>
          <w:sz w:val="20"/>
          <w:szCs w:val="20"/>
        </w:rPr>
        <w:t>: (907) 586-7354</w:t>
      </w:r>
      <w:r w:rsidR="00BC73D1">
        <w:rPr>
          <w:rFonts w:ascii="Calibri" w:eastAsia="Calibri" w:hAnsi="Calibri" w:cs="Calibri"/>
          <w:color w:val="000000"/>
          <w:sz w:val="20"/>
          <w:szCs w:val="20"/>
        </w:rPr>
        <w:t xml:space="preserve">; </w:t>
      </w:r>
      <w:r w:rsidRPr="007D1A5C" w:rsidR="00BC73D1">
        <w:rPr>
          <w:rFonts w:ascii="Calibri" w:eastAsia="Calibri" w:hAnsi="Calibri" w:cs="Calibri"/>
          <w:b/>
          <w:bCs/>
          <w:color w:val="000000"/>
          <w:sz w:val="20"/>
          <w:szCs w:val="20"/>
        </w:rPr>
        <w:t>Email</w:t>
      </w:r>
      <w:r w:rsidR="00BC73D1">
        <w:rPr>
          <w:rFonts w:ascii="Calibri" w:eastAsia="Calibri" w:hAnsi="Calibri" w:cs="Calibri"/>
          <w:color w:val="000000"/>
          <w:sz w:val="20"/>
          <w:szCs w:val="20"/>
        </w:rPr>
        <w:t xml:space="preserve">: </w:t>
      </w:r>
      <w:r w:rsidRPr="007D1A5C" w:rsidR="007D1A5C">
        <w:rPr>
          <w:rFonts w:ascii="Calibri" w:eastAsia="Calibri" w:hAnsi="Calibri" w:cs="Calibri"/>
          <w:color w:val="000000"/>
          <w:sz w:val="20"/>
          <w:szCs w:val="20"/>
        </w:rPr>
        <w:t>RAM.alaska@noaa.gov</w:t>
      </w:r>
      <w:r w:rsidR="007D1A5C">
        <w:rPr>
          <w:rFonts w:ascii="Calibri" w:eastAsia="Calibri" w:hAnsi="Calibri" w:cs="Calibri"/>
          <w:color w:val="000000"/>
          <w:sz w:val="20"/>
          <w:szCs w:val="20"/>
        </w:rPr>
        <w:t>.</w:t>
      </w:r>
    </w:p>
    <w:p w:rsidR="00BC3107" w:rsidP="00BC3107" w14:paraId="782C7764" w14:textId="2F0E9E68">
      <w:pPr>
        <w:widowControl/>
        <w:tabs>
          <w:tab w:val="left" w:pos="360"/>
        </w:tabs>
        <w:spacing w:before="60" w:after="360"/>
        <w:ind w:left="144" w:hanging="144"/>
        <w:rPr>
          <w:rFonts w:ascii="Calibri" w:eastAsia="Calibri" w:hAnsi="Calibri" w:cs="Calibri"/>
          <w:sz w:val="20"/>
          <w:szCs w:val="20"/>
        </w:rPr>
      </w:pPr>
      <w:r w:rsidRPr="004E55D2">
        <w:rPr>
          <w:rFonts w:ascii="Calibri" w:eastAsia="Calibri" w:hAnsi="Calibri" w:cs="Calibri"/>
          <w:sz w:val="20"/>
          <w:szCs w:val="20"/>
          <w:vertAlign w:val="superscript"/>
        </w:rPr>
        <w:t>3</w:t>
      </w:r>
      <w:r>
        <w:rPr>
          <w:rFonts w:ascii="Calibri" w:eastAsia="Calibri" w:hAnsi="Calibri" w:cs="Calibri"/>
          <w:b/>
          <w:sz w:val="20"/>
          <w:szCs w:val="20"/>
        </w:rPr>
        <w:t xml:space="preserve"> </w:t>
      </w:r>
      <w:r>
        <w:rPr>
          <w:rFonts w:ascii="Calibri" w:eastAsia="Calibri" w:hAnsi="Calibri" w:cs="Calibri"/>
          <w:sz w:val="20"/>
          <w:szCs w:val="20"/>
        </w:rPr>
        <w:t>Transfer appeal—</w:t>
      </w:r>
      <w:r>
        <w:rPr>
          <w:rFonts w:ascii="Calibri" w:eastAsia="Calibri" w:hAnsi="Calibri" w:cs="Calibri"/>
          <w:b/>
          <w:sz w:val="20"/>
          <w:szCs w:val="20"/>
        </w:rPr>
        <w:t>Mail or delivery</w:t>
      </w:r>
      <w:r>
        <w:rPr>
          <w:rFonts w:ascii="Calibri" w:eastAsia="Calibri" w:hAnsi="Calibri" w:cs="Calibri"/>
          <w:sz w:val="20"/>
          <w:szCs w:val="20"/>
        </w:rPr>
        <w:t xml:space="preserve">: National Appeals Office, 1315 East-West Highway, Silver Spring, MD 20910; </w:t>
      </w:r>
      <w:r>
        <w:rPr>
          <w:rFonts w:ascii="Calibri" w:eastAsia="Calibri" w:hAnsi="Calibri" w:cs="Calibri"/>
          <w:b/>
          <w:sz w:val="20"/>
          <w:szCs w:val="20"/>
        </w:rPr>
        <w:t>Fax</w:t>
      </w:r>
      <w:r>
        <w:rPr>
          <w:rFonts w:ascii="Calibri" w:eastAsia="Calibri" w:hAnsi="Calibri" w:cs="Calibri"/>
          <w:sz w:val="20"/>
          <w:szCs w:val="20"/>
        </w:rPr>
        <w:t>: (307) 713-2384</w:t>
      </w:r>
      <w:r w:rsidR="00BC73D1">
        <w:rPr>
          <w:rFonts w:ascii="Calibri" w:eastAsia="Calibri" w:hAnsi="Calibri" w:cs="Calibri"/>
          <w:sz w:val="20"/>
          <w:szCs w:val="20"/>
        </w:rPr>
        <w:t xml:space="preserve">; </w:t>
      </w:r>
      <w:r w:rsidRPr="007D1A5C" w:rsidR="00BC73D1">
        <w:rPr>
          <w:rFonts w:ascii="Calibri" w:eastAsia="Calibri" w:hAnsi="Calibri" w:cs="Calibri"/>
          <w:b/>
          <w:bCs/>
          <w:sz w:val="20"/>
          <w:szCs w:val="20"/>
        </w:rPr>
        <w:t>Email</w:t>
      </w:r>
      <w:r w:rsidR="00BC73D1">
        <w:rPr>
          <w:rFonts w:ascii="Calibri" w:eastAsia="Calibri" w:hAnsi="Calibri" w:cs="Calibri"/>
          <w:sz w:val="20"/>
          <w:szCs w:val="20"/>
        </w:rPr>
        <w:t>:</w:t>
      </w:r>
      <w:r w:rsidR="007D1A5C">
        <w:rPr>
          <w:rFonts w:ascii="Calibri" w:eastAsia="Calibri" w:hAnsi="Calibri" w:cs="Calibri"/>
          <w:sz w:val="20"/>
          <w:szCs w:val="20"/>
        </w:rPr>
        <w:t xml:space="preserve"> </w:t>
      </w:r>
      <w:r w:rsidRPr="007D1A5C" w:rsidR="007D1A5C">
        <w:rPr>
          <w:rFonts w:ascii="Calibri" w:eastAsia="Calibri" w:hAnsi="Calibri" w:cs="Calibri"/>
          <w:sz w:val="20"/>
          <w:szCs w:val="20"/>
        </w:rPr>
        <w:t>RAM.alaska@noaa.gov</w:t>
      </w:r>
      <w:r w:rsidR="007D1A5C">
        <w:rPr>
          <w:rFonts w:ascii="Calibri" w:eastAsia="Calibri" w:hAnsi="Calibri" w:cs="Calibri"/>
          <w:sz w:val="20"/>
          <w:szCs w:val="20"/>
        </w:rPr>
        <w:t>.</w:t>
      </w:r>
    </w:p>
    <w:p w:rsidR="007D1A5C" w:rsidRPr="00285A47" w:rsidP="007D1A5C" w14:paraId="06A81470" w14:textId="31E5D057">
      <w:pPr>
        <w:widowControl/>
        <w:rPr>
          <w:strike/>
        </w:rPr>
      </w:pPr>
      <w:r>
        <w:t xml:space="preserve">The table above has been updated to show that all information collection instruments can also be submitted electronically via email. </w:t>
      </w:r>
    </w:p>
    <w:p w:rsidR="00BC3107" w:rsidP="00BC3107" w14:paraId="3AFEF028" w14:textId="77777777">
      <w:pPr>
        <w:widowControl/>
      </w:pPr>
    </w:p>
    <w:p w:rsidR="00BC3107" w:rsidP="00655B74" w14:paraId="614FF171" w14:textId="38777441">
      <w:pPr>
        <w:rPr>
          <w:b/>
        </w:rPr>
      </w:pPr>
      <w:bookmarkStart w:id="0" w:name="_heading=h.d68xieivbmlx" w:colFirst="0" w:colLast="0"/>
      <w:bookmarkEnd w:id="0"/>
      <w:r>
        <w:t>The following sections provide additional information on transfer applications and appeals</w:t>
      </w:r>
      <w:r w:rsidR="007D1A5C">
        <w:t>:</w:t>
      </w:r>
    </w:p>
    <w:p w:rsidR="00BC3107" w:rsidP="00BC3107" w14:paraId="52EE5DC2" w14:textId="77777777">
      <w:pPr>
        <w:widowControl/>
      </w:pPr>
    </w:p>
    <w:p w:rsidR="007D1A5C" w:rsidRPr="007D1A5C" w:rsidP="007D1A5C" w14:paraId="23A82CC2" w14:textId="77777777">
      <w:pPr>
        <w:rPr>
          <w:b/>
          <w:bCs/>
        </w:rPr>
      </w:pPr>
      <w:r w:rsidRPr="007D1A5C">
        <w:rPr>
          <w:b/>
          <w:bCs/>
        </w:rPr>
        <w:t>Application for the transfer of LLP licenses</w:t>
      </w:r>
    </w:p>
    <w:p w:rsidR="007D1A5C" w:rsidP="007D1A5C" w14:paraId="295BE838" w14:textId="77777777"/>
    <w:p w:rsidR="00BC3107" w:rsidP="007D1A5C" w14:paraId="21FE5A43" w14:textId="05C9CA20">
      <w:r>
        <w:t xml:space="preserve">LLP license holders use the transfer applications to request transfer of an LLP license to an eligible receiver. Each transfer request must include a completed transfer application and a copy of the sale or transfer agreement. The information collected on the groundfish and crab transfer application includes the type of license to be transferred (crab license, groundfish license, Aleutian Islands less than 60-ft trawl endorsement); LLP number; identification of rockfish quota share, if applicable; identification of transferor and transferee (name, business contact information); vessel identification; ownership documentation; method and mode of payment, including financing; and certification of transferor and transferee. The information collected on the scallop transfer application includes license identification; identification of transferor and transferee (name, business contact information, NMFS Person ID); and certification of transferor and transferee.      </w:t>
      </w:r>
    </w:p>
    <w:p w:rsidR="00BC3107" w:rsidP="00BC3107" w14:paraId="35D97BCE" w14:textId="77777777">
      <w:pPr>
        <w:widowControl/>
      </w:pPr>
    </w:p>
    <w:p w:rsidR="00BC3107" w:rsidP="00BC3107" w14:paraId="736F61E7" w14:textId="77777777">
      <w:pPr>
        <w:widowControl/>
      </w:pPr>
      <w:r>
        <w:t>The information collected is necessary for NMFS to determine the eligibility of the transfer to occur and transfer the license to the transferee. From the copy of the transfer contract or Bill of Sale for LLP licenses, NMFS can look up much of the same financial information if needed. The financial information requested on the applications is primarily used for research and program evaluation.</w:t>
      </w:r>
    </w:p>
    <w:p w:rsidR="00BC3107" w:rsidP="00BC3107" w14:paraId="130BD37B" w14:textId="77777777">
      <w:pPr>
        <w:widowControl/>
      </w:pPr>
    </w:p>
    <w:p w:rsidR="00BC3107" w:rsidP="00BC3107" w14:paraId="47BCD333" w14:textId="05292D2F">
      <w:pPr>
        <w:widowControl/>
      </w:pPr>
      <w:r>
        <w:t>NMFS will approve transfer of a groundfish LLP license, an A</w:t>
      </w:r>
      <w:r w:rsidR="00C341B2">
        <w:t xml:space="preserve">I </w:t>
      </w:r>
      <w:r>
        <w:t>area endorsement, or crab LLP license if the transfer meets the provisions of 50 CFR 679.4(k)(7). NMFS will approve the transfer of a scallop LLP license if the transfer meets the provisions of 50 CFR 679.4(g)(5).</w:t>
      </w:r>
    </w:p>
    <w:p w:rsidR="00BC3107" w:rsidP="00BC3107" w14:paraId="31FF2A3D" w14:textId="77777777">
      <w:pPr>
        <w:widowControl/>
      </w:pPr>
    </w:p>
    <w:p w:rsidR="00BC3107" w:rsidRPr="007D1A5C" w:rsidP="00655B74" w14:paraId="2504306B" w14:textId="77777777">
      <w:pPr>
        <w:rPr>
          <w:b/>
          <w:bCs/>
        </w:rPr>
      </w:pPr>
      <w:bookmarkStart w:id="1" w:name="_heading=h.2xffcmc25uq6" w:colFirst="0" w:colLast="0"/>
      <w:bookmarkEnd w:id="1"/>
      <w:r w:rsidRPr="007D1A5C">
        <w:rPr>
          <w:b/>
          <w:bCs/>
        </w:rPr>
        <w:t>Transfer Appeal</w:t>
      </w:r>
    </w:p>
    <w:p w:rsidR="00BC3107" w:rsidP="00BC3107" w14:paraId="2CC22C93" w14:textId="77777777">
      <w:pPr>
        <w:widowControl/>
      </w:pPr>
    </w:p>
    <w:p w:rsidR="00BC3107" w:rsidP="00BC3107" w14:paraId="3034C39E" w14:textId="77777777">
      <w:pPr>
        <w:widowControl/>
      </w:pPr>
      <w:r>
        <w:t xml:space="preserve">If the Regional Administrator evaluates a transfer application and determines the application is incomplete or deficient, the application will be returned to the applicant. Any applicant who fails to submit the information specified in the application will be provided a reasonable opportunity to submit the information or a revised application. If the application is not revised appropriately, the Regional Administrator will prepare and send an Initial Administrative Decision (IAD) to the applicant. </w:t>
      </w:r>
      <w:r w:rsidRPr="00B41BD3">
        <w:t>A person who receives</w:t>
      </w:r>
      <w:r>
        <w:t xml:space="preserve"> an IAD may appeal pursuant to 50 CFR </w:t>
      </w:r>
      <w:r w:rsidRPr="00B41BD3">
        <w:t xml:space="preserve">679.43. </w:t>
      </w:r>
      <w:r>
        <w:t>To apply for a transfer appeal, the applicant must provide a written statement in support of the appeal and show why the IAD should be reversed. The information submitted in the transfer appeal is used by NMFS to assess information provided by the appellee in relation to an application denial.</w:t>
      </w:r>
    </w:p>
    <w:p w:rsidR="00BC3107" w:rsidP="00BC3107" w14:paraId="7341516C" w14:textId="77777777">
      <w:pPr>
        <w:widowControl/>
      </w:pPr>
    </w:p>
    <w:p w:rsidR="00F909EF" w:rsidP="00BC3107" w14:paraId="75D96B04" w14:textId="4186EC92">
      <w:pPr>
        <w:widowControl/>
      </w:pPr>
      <w:r>
        <w:t xml:space="preserve">Administrative appeals must be submitted to the National Appeals Office (NAO), which is a division of NMFS Office of Management and Budget within NOAA and operates out of NMFS headquarters in Silver Spring, MD. The NAO adjudicates appeals by providing due process and consistency to NMFS administrative decisions. The procedure for appealing an IAD through the NAO is at 15 CFR part 906. </w:t>
      </w:r>
    </w:p>
    <w:p w:rsidR="00AB1A5B" w:rsidP="00C341B2" w14:paraId="135A12C8" w14:textId="77777777">
      <w:pPr>
        <w:widowControl/>
        <w:rPr>
          <w:b/>
        </w:rPr>
      </w:pPr>
    </w:p>
    <w:p w:rsidR="00AB1A5B" w:rsidP="00277B26" w14:paraId="018F3024" w14:textId="71B0F6DC">
      <w:pPr>
        <w:pStyle w:val="Heading2"/>
        <w:numPr>
          <w:ilvl w:val="0"/>
          <w:numId w:val="0"/>
        </w:numPr>
      </w:pPr>
      <w:r>
        <w:t xml:space="preserve">3. </w:t>
      </w:r>
      <w:r w:rsidR="00226B0D">
        <w:t xml:space="preserve">Describe whether, and to what extent, the collection of information involves the use of automated, </w:t>
      </w:r>
      <w:r w:rsidRPr="00BC1678" w:rsidR="00226B0D">
        <w:t>electronic</w:t>
      </w:r>
      <w:r w:rsidR="00226B0D">
        <w:t>,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909EF" w:rsidP="00BC3107" w14:paraId="5224F1F0" w14:textId="77777777">
      <w:pPr>
        <w:widowControl/>
      </w:pPr>
    </w:p>
    <w:p w:rsidR="00BC3107" w:rsidP="00BC3107" w14:paraId="34E90DCC" w14:textId="726D3949">
      <w:pPr>
        <w:widowControl/>
        <w:rPr>
          <w:color w:val="2F5496"/>
        </w:rPr>
      </w:pPr>
      <w:r>
        <w:t>The transfer applications may be accessed on the NMFS Alaska Region website, completed electronically, then downloaded, printed, and submitted.</w:t>
      </w:r>
      <w:r>
        <w:rPr>
          <w:rStyle w:val="FootnoteReference"/>
        </w:rPr>
        <w:footnoteReference w:id="11"/>
      </w:r>
      <w:r>
        <w:t xml:space="preserve"> The transfer applications </w:t>
      </w:r>
      <w:r w:rsidR="007D1A5C">
        <w:t xml:space="preserve">and transfer appeal </w:t>
      </w:r>
      <w:r>
        <w:t xml:space="preserve">may be submitted by </w:t>
      </w:r>
      <w:r w:rsidR="007D1A5C">
        <w:t>mail, delivery, fax, or email</w:t>
      </w:r>
      <w:r>
        <w:t>. NMFS is working toward a method whereby all of the information will be entered online and submitted directly and automatically into a database.</w:t>
      </w:r>
    </w:p>
    <w:p w:rsidR="00BC3107" w14:paraId="58B50E0E" w14:textId="77777777">
      <w:pPr>
        <w:spacing w:before="161"/>
        <w:rPr>
          <w:b/>
        </w:rPr>
      </w:pPr>
    </w:p>
    <w:p w:rsidR="00AB1A5B" w:rsidP="00277B26" w14:paraId="79C16CE3" w14:textId="1BEDE86D">
      <w:pPr>
        <w:pStyle w:val="Heading2"/>
        <w:numPr>
          <w:ilvl w:val="0"/>
          <w:numId w:val="0"/>
        </w:numPr>
      </w:pPr>
      <w:r>
        <w:t xml:space="preserve">4. </w:t>
      </w:r>
      <w:r w:rsidR="00226B0D">
        <w:t>Describe efforts to identify duplication. Show specifically why any similar information already available cannot be used or modified for use for the purposes described in Question 2</w:t>
      </w:r>
    </w:p>
    <w:p w:rsidR="00F909EF" w:rsidP="00BC3107" w14:paraId="05096104" w14:textId="77777777">
      <w:pPr>
        <w:keepNext/>
        <w:widowControl/>
      </w:pPr>
    </w:p>
    <w:p w:rsidR="00BC3107" w:rsidP="00BC3107" w14:paraId="59127284" w14:textId="4A143A32">
      <w:pPr>
        <w:keepNext/>
        <w:widowControl/>
        <w:rPr>
          <w:color w:val="2F5496"/>
        </w:rPr>
      </w:pPr>
      <w:r>
        <w:t xml:space="preserve">None of the information collected as part of this information collection duplicates other collections. </w:t>
      </w:r>
      <w:r w:rsidRPr="004917D9">
        <w:rPr>
          <w:color w:val="000000"/>
        </w:rPr>
        <w:t>In general, Alaska Region information collections are prepared and reviewed by staff familiar with all of the information collection requirements for the region. Staff work together to develop information collection requirements for new programs. In addition, NMFS staff work closely with the staff of the Alaska Department of Fish and Game and the International Pacific Halibut Commission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w:t>
      </w:r>
    </w:p>
    <w:p w:rsidR="00BC3107" w14:paraId="5833DF82" w14:textId="77777777">
      <w:pPr>
        <w:pBdr>
          <w:top w:val="nil"/>
          <w:left w:val="nil"/>
          <w:bottom w:val="nil"/>
          <w:right w:val="nil"/>
          <w:between w:val="nil"/>
        </w:pBdr>
        <w:spacing w:before="161"/>
        <w:rPr>
          <w:color w:val="1F497D"/>
        </w:rPr>
      </w:pPr>
    </w:p>
    <w:p w:rsidR="00AB1A5B" w:rsidP="00277B26" w14:paraId="6F333474" w14:textId="1A91E597">
      <w:pPr>
        <w:pStyle w:val="Heading2"/>
        <w:numPr>
          <w:ilvl w:val="0"/>
          <w:numId w:val="0"/>
        </w:numPr>
      </w:pPr>
      <w:r>
        <w:t xml:space="preserve">5. </w:t>
      </w:r>
      <w:r w:rsidR="00226B0D">
        <w:t>If the collection of information impacts small businesses or other small entities, describe any methods used to minimize burden.</w:t>
      </w:r>
    </w:p>
    <w:p w:rsidR="003C041A" w:rsidP="00BC3107" w14:paraId="046850A6" w14:textId="77777777">
      <w:pPr>
        <w:keepNext/>
        <w:widowControl/>
        <w:rPr>
          <w:color w:val="2F5496"/>
        </w:rPr>
      </w:pPr>
    </w:p>
    <w:p w:rsidR="00BC3107" w:rsidP="00BC3107" w14:paraId="32ACD780" w14:textId="1E282035">
      <w:pPr>
        <w:keepNext/>
        <w:widowControl/>
        <w:rPr>
          <w:highlight w:val="white"/>
        </w:rPr>
      </w:pPr>
      <w:r>
        <w:rPr>
          <w:highlight w:val="white"/>
        </w:rPr>
        <w:t xml:space="preserve">This information collection impacts some small entities. NMFS attempts to minimize the burden of this information collection on all respondents by collecting only information necessary to manage the LLP. </w:t>
      </w:r>
    </w:p>
    <w:p w:rsidR="00BC3107" w:rsidP="00BC3107" w14:paraId="2BD41242" w14:textId="77777777">
      <w:pPr>
        <w:widowControl/>
        <w:rPr>
          <w:highlight w:val="white"/>
        </w:rPr>
      </w:pPr>
    </w:p>
    <w:p w:rsidR="00BC3107" w:rsidP="00BC3107" w14:paraId="01CD2FC5" w14:textId="27B232D8">
      <w:pPr>
        <w:widowControl/>
        <w:rPr>
          <w:highlight w:val="white"/>
        </w:rPr>
      </w:pPr>
      <w:r>
        <w:t xml:space="preserve">In 2021, NMFS reduced the burden by removing the requirement to obtain and submit a notary certification for the </w:t>
      </w:r>
      <w:r w:rsidRPr="00285A47">
        <w:t xml:space="preserve">Application for Transfer License Limitation Program Groundfish/Crab License </w:t>
      </w:r>
      <w:r>
        <w:t>(</w:t>
      </w:r>
      <w:hyperlink r:id="rId17" w:history="1">
        <w:r w:rsidRPr="00002E5E">
          <w:rPr>
            <w:rStyle w:val="Hyperlink"/>
          </w:rPr>
          <w:t>86 FR 70751; Decemb</w:t>
        </w:r>
        <w:r w:rsidRPr="00002E5E">
          <w:rPr>
            <w:rStyle w:val="Hyperlink"/>
          </w:rPr>
          <w:t>e</w:t>
        </w:r>
        <w:r w:rsidRPr="00002E5E">
          <w:rPr>
            <w:rStyle w:val="Hyperlink"/>
          </w:rPr>
          <w:t>r 13, 2021</w:t>
        </w:r>
      </w:hyperlink>
      <w:r>
        <w:t>). This decreased</w:t>
      </w:r>
      <w:r w:rsidRPr="00285A47">
        <w:t xml:space="preserve"> the cost of submitting this application to NMFS by removing</w:t>
      </w:r>
      <w:r>
        <w:t xml:space="preserve"> the fee for a notary’s service and allowed this application to be submitted by fax. Now all of the transfer applications in this collection may be submitted by fax</w:t>
      </w:r>
      <w:r w:rsidR="00940598">
        <w:t xml:space="preserve"> or email</w:t>
      </w:r>
      <w:r>
        <w:t>.</w:t>
      </w:r>
    </w:p>
    <w:p w:rsidR="00BC3107" w:rsidP="00BC3107" w14:paraId="37AE381D" w14:textId="77777777">
      <w:pPr>
        <w:widowControl/>
        <w:rPr>
          <w:highlight w:val="white"/>
        </w:rPr>
      </w:pPr>
    </w:p>
    <w:p w:rsidR="00BC3107" w:rsidP="00BC3107" w14:paraId="31AB7612" w14:textId="77777777">
      <w:pPr>
        <w:widowControl/>
        <w:rPr>
          <w:color w:val="2F5496"/>
        </w:rPr>
      </w:pPr>
      <w:r>
        <w:rPr>
          <w:highlight w:val="white"/>
        </w:rPr>
        <w:t xml:space="preserve">The transfer applications are available online as fillable pdfs. A toll-free phone number is available for participants to contact Restricted Access Management staff for help or information.  </w:t>
      </w:r>
    </w:p>
    <w:p w:rsidR="00BC3107" w14:paraId="1E22A8A7" w14:textId="77777777">
      <w:pPr>
        <w:pBdr>
          <w:top w:val="nil"/>
          <w:left w:val="nil"/>
          <w:bottom w:val="nil"/>
          <w:right w:val="nil"/>
          <w:between w:val="nil"/>
        </w:pBdr>
        <w:spacing w:before="160"/>
        <w:rPr>
          <w:color w:val="000000"/>
        </w:rPr>
      </w:pPr>
    </w:p>
    <w:p w:rsidR="00AB1A5B" w:rsidP="00277B26" w14:paraId="5C5C3CEC" w14:textId="6F04435E">
      <w:pPr>
        <w:pStyle w:val="Heading2"/>
        <w:numPr>
          <w:ilvl w:val="0"/>
          <w:numId w:val="0"/>
        </w:numPr>
      </w:pPr>
      <w:r>
        <w:t xml:space="preserve">6. </w:t>
      </w:r>
      <w:r w:rsidR="00226B0D">
        <w:t>Describe the consequence to Federal program or policy activities if the collection is not conducted or is conducted less frequently, as well as any technical or legal obstacles to reducing burden.</w:t>
      </w:r>
    </w:p>
    <w:p w:rsidR="00BC3107" w14:paraId="1256C8A2" w14:textId="265BBC1B">
      <w:pPr>
        <w:pBdr>
          <w:top w:val="nil"/>
          <w:left w:val="nil"/>
          <w:bottom w:val="nil"/>
          <w:right w:val="nil"/>
          <w:between w:val="nil"/>
        </w:pBdr>
        <w:spacing w:before="115"/>
        <w:rPr>
          <w:color w:val="2F5496"/>
        </w:rPr>
      </w:pPr>
    </w:p>
    <w:p w:rsidR="00B11806" w:rsidP="00655B74" w14:paraId="7EA3155A" w14:textId="77777777">
      <w:pPr>
        <w:rPr>
          <w:b/>
        </w:rPr>
      </w:pPr>
      <w:r>
        <w:t xml:space="preserve">This information collection is required to manage commercial crab, groundfish, and scallop fishing under the Magnuson-Stevens Act, 16 U.S.C 1801 </w:t>
      </w:r>
      <w:r>
        <w:rPr>
          <w:i/>
        </w:rPr>
        <w:t>et seq</w:t>
      </w:r>
      <w:r>
        <w:t xml:space="preserve">., and under 50 CFR parts 679 </w:t>
      </w:r>
      <w:r w:rsidRPr="00534AFE">
        <w:t>and 680</w:t>
      </w:r>
      <w:r>
        <w:t xml:space="preserve">. </w:t>
      </w:r>
      <w:r w:rsidRPr="00031985">
        <w:t xml:space="preserve">The information collected is required to manage commercial fishing efforts under 50 CFR part 679 and under section 402(a) of the Magnuson-Stevens Act (16 U.S.C. 1801, </w:t>
      </w:r>
      <w:r w:rsidRPr="003C09A2">
        <w:rPr>
          <w:i/>
        </w:rPr>
        <w:t>et seq</w:t>
      </w:r>
      <w:r w:rsidRPr="00031985">
        <w:t>.).</w:t>
      </w:r>
      <w:bookmarkStart w:id="2" w:name="_heading=h.bnebahakgxe1" w:colFirst="0" w:colLast="0"/>
      <w:bookmarkStart w:id="3" w:name="_heading=h.qgp43ecer20h" w:colFirst="0" w:colLast="0"/>
      <w:bookmarkEnd w:id="2"/>
      <w:bookmarkEnd w:id="3"/>
    </w:p>
    <w:p w:rsidR="00B11806" w:rsidP="00655B74" w14:paraId="5F72ACF1" w14:textId="77777777">
      <w:pPr>
        <w:rPr>
          <w:b/>
        </w:rPr>
      </w:pPr>
    </w:p>
    <w:p w:rsidR="00BC3107" w:rsidRPr="00B11806" w:rsidP="00655B74" w14:paraId="0C150837" w14:textId="51770E76">
      <w:pPr>
        <w:rPr>
          <w:b/>
        </w:rPr>
      </w:pPr>
      <w:r>
        <w:t>An essential feature of the LLP is the ability for participants to transfer their LLP license. License transfers are not mandated nor do they contain a cycle of completion. Transfers are done when the participants deem it necessary. Without the ability to track the movement of LLP licenses, NMFS would be unable to effectively manage the LLP.</w:t>
      </w:r>
    </w:p>
    <w:p w:rsidR="00BC3107" w14:paraId="284C15B3" w14:textId="77777777">
      <w:pPr>
        <w:pBdr>
          <w:top w:val="nil"/>
          <w:left w:val="nil"/>
          <w:bottom w:val="nil"/>
          <w:right w:val="nil"/>
          <w:between w:val="nil"/>
        </w:pBdr>
        <w:spacing w:before="115"/>
        <w:rPr>
          <w:color w:val="000000"/>
        </w:rPr>
      </w:pPr>
    </w:p>
    <w:p w:rsidR="00AB1A5B" w:rsidP="00277B26" w14:paraId="095ED857" w14:textId="50F38A3E">
      <w:pPr>
        <w:pStyle w:val="Heading2"/>
        <w:numPr>
          <w:ilvl w:val="0"/>
          <w:numId w:val="0"/>
        </w:numPr>
      </w:pPr>
      <w:r>
        <w:t xml:space="preserve">7. </w:t>
      </w:r>
      <w:r w:rsidR="00226B0D">
        <w:t>Explain any special circumstances that would cause an information collection to be conducted in a manner inconsistent with OMB guidelines.</w:t>
      </w:r>
    </w:p>
    <w:p w:rsidR="00AB7746" w:rsidP="00BC3107" w14:paraId="0DD596B0" w14:textId="77777777">
      <w:pPr>
        <w:keepNext/>
        <w:widowControl/>
        <w:pBdr>
          <w:top w:val="nil"/>
          <w:left w:val="nil"/>
          <w:bottom w:val="nil"/>
          <w:right w:val="nil"/>
          <w:between w:val="nil"/>
        </w:pBdr>
        <w:spacing w:after="120"/>
        <w:rPr>
          <w:b/>
          <w:color w:val="1F497D"/>
        </w:rPr>
      </w:pPr>
    </w:p>
    <w:p w:rsidR="00BC3107" w:rsidP="00BC3107" w14:paraId="192B3A75" w14:textId="599A41A7">
      <w:pPr>
        <w:keepNext/>
        <w:widowControl/>
        <w:pBdr>
          <w:top w:val="nil"/>
          <w:left w:val="nil"/>
          <w:bottom w:val="nil"/>
          <w:right w:val="nil"/>
          <w:between w:val="nil"/>
        </w:pBdr>
        <w:spacing w:after="120"/>
      </w:pPr>
      <w:r>
        <w:t>This collection will be conducted in a manner consistent with OMB guidelines.</w:t>
      </w:r>
    </w:p>
    <w:p w:rsidR="00BC3107" w14:paraId="30A0856C" w14:textId="77777777">
      <w:pPr>
        <w:pBdr>
          <w:top w:val="nil"/>
          <w:left w:val="nil"/>
          <w:bottom w:val="nil"/>
          <w:right w:val="nil"/>
          <w:between w:val="nil"/>
        </w:pBdr>
        <w:spacing w:before="80"/>
        <w:rPr>
          <w:color w:val="000000"/>
        </w:rPr>
      </w:pPr>
    </w:p>
    <w:p w:rsidR="00AB1A5B" w:rsidP="00277B26" w14:paraId="7CDEC7D4" w14:textId="7243C65C">
      <w:pPr>
        <w:pStyle w:val="Heading2"/>
        <w:numPr>
          <w:ilvl w:val="0"/>
          <w:numId w:val="0"/>
        </w:numPr>
      </w:pPr>
      <w:r>
        <w:t xml:space="preserve">8. </w:t>
      </w:r>
      <w:r w:rsidR="00226B0D">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C3107" w14:paraId="551C0BB4" w14:textId="77777777">
      <w:pPr>
        <w:pBdr>
          <w:top w:val="nil"/>
          <w:left w:val="nil"/>
          <w:bottom w:val="nil"/>
          <w:right w:val="nil"/>
          <w:between w:val="nil"/>
        </w:pBdr>
        <w:spacing w:before="160"/>
        <w:rPr>
          <w:color w:val="000000"/>
        </w:rPr>
      </w:pPr>
    </w:p>
    <w:p w:rsidR="00784F6F" w:rsidP="00BC73D1" w14:paraId="5B69AAB8" w14:textId="77777777">
      <w:pPr>
        <w:pBdr>
          <w:top w:val="nil"/>
          <w:left w:val="nil"/>
          <w:bottom w:val="nil"/>
          <w:right w:val="nil"/>
          <w:between w:val="nil"/>
        </w:pBdr>
        <w:spacing w:before="161"/>
        <w:rPr>
          <w:color w:val="000000" w:themeColor="text1"/>
        </w:rPr>
      </w:pPr>
      <w:r w:rsidRPr="00910922">
        <w:rPr>
          <w:color w:val="000000" w:themeColor="text1"/>
        </w:rPr>
        <w:t>A Federal Register Notice published on December 30, 2025 (</w:t>
      </w:r>
      <w:hyperlink r:id="rId18" w:history="1">
        <w:r w:rsidRPr="00AB7746" w:rsidR="00AB7746">
          <w:rPr>
            <w:rStyle w:val="Hyperlink"/>
            <w:color w:val="1F497D" w:themeColor="text2"/>
            <w:u w:val="none"/>
          </w:rPr>
          <w:t>90 FR 61</w:t>
        </w:r>
        <w:r w:rsidRPr="00AB7746" w:rsidR="00AB7746">
          <w:rPr>
            <w:rStyle w:val="Hyperlink"/>
            <w:color w:val="1F497D" w:themeColor="text2"/>
            <w:u w:val="none"/>
          </w:rPr>
          <w:t>1</w:t>
        </w:r>
        <w:r w:rsidRPr="00AB7746" w:rsidR="00AB7746">
          <w:rPr>
            <w:rStyle w:val="Hyperlink"/>
            <w:color w:val="1F497D" w:themeColor="text2"/>
            <w:u w:val="none"/>
          </w:rPr>
          <w:t>25</w:t>
        </w:r>
      </w:hyperlink>
      <w:r w:rsidRPr="00910922">
        <w:rPr>
          <w:color w:val="000000" w:themeColor="text1"/>
        </w:rPr>
        <w:t>) solicit</w:t>
      </w:r>
      <w:r w:rsidR="00910922">
        <w:rPr>
          <w:color w:val="000000" w:themeColor="text1"/>
        </w:rPr>
        <w:t>ing</w:t>
      </w:r>
      <w:r w:rsidRPr="00910922">
        <w:rPr>
          <w:color w:val="000000" w:themeColor="text1"/>
        </w:rPr>
        <w:t xml:space="preserve"> public comment. The comment period ended on March 2, 2026. No comments were received on this information collection. </w:t>
      </w:r>
    </w:p>
    <w:p w:rsidR="00BC73D1" w:rsidRPr="00AB7746" w:rsidP="00BC73D1" w14:paraId="7FFB25D9" w14:textId="3528058C">
      <w:pPr>
        <w:pBdr>
          <w:top w:val="nil"/>
          <w:left w:val="nil"/>
          <w:bottom w:val="nil"/>
          <w:right w:val="nil"/>
          <w:between w:val="nil"/>
        </w:pBdr>
        <w:spacing w:before="161"/>
        <w:rPr>
          <w:color w:val="002060"/>
        </w:rPr>
      </w:pPr>
      <w:r w:rsidRPr="00910922">
        <w:rPr>
          <w:color w:val="000000" w:themeColor="text1"/>
        </w:rPr>
        <w:t xml:space="preserve">NOAA consulted with nine stakeholders </w:t>
      </w:r>
      <w:r w:rsidR="00910922">
        <w:rPr>
          <w:color w:val="000000" w:themeColor="text1"/>
        </w:rPr>
        <w:t xml:space="preserve">via email </w:t>
      </w:r>
      <w:r w:rsidRPr="00910922">
        <w:rPr>
          <w:color w:val="000000" w:themeColor="text1"/>
        </w:rPr>
        <w:t>to obtain their views on the need for and practical utility of the data collected, the accuracy of the burden and frequency of collection, suggestions to minimize the burden, and ways to improve the clarity of instructions and forms. No comments were received.</w:t>
      </w:r>
    </w:p>
    <w:p w:rsidR="00AB1A5B" w:rsidRPr="00507375" w14:paraId="502AD09D" w14:textId="77777777">
      <w:pPr>
        <w:pBdr>
          <w:top w:val="nil"/>
          <w:left w:val="nil"/>
          <w:bottom w:val="nil"/>
          <w:right w:val="nil"/>
          <w:between w:val="nil"/>
        </w:pBdr>
        <w:spacing w:before="159"/>
        <w:rPr>
          <w:color w:val="1F497D" w:themeColor="text2"/>
        </w:rPr>
      </w:pPr>
    </w:p>
    <w:p w:rsidR="00AB1A5B" w:rsidP="00277B26" w14:paraId="1592088E" w14:textId="5DBB1385">
      <w:pPr>
        <w:pStyle w:val="Heading2"/>
        <w:numPr>
          <w:ilvl w:val="0"/>
          <w:numId w:val="0"/>
        </w:numPr>
      </w:pPr>
      <w:r>
        <w:t xml:space="preserve">9. </w:t>
      </w:r>
      <w:r w:rsidR="00226B0D">
        <w:t>Explain any decision to provide any payment or gift to respondents, other than remuneration of contractors or grantees.</w:t>
      </w:r>
    </w:p>
    <w:p w:rsidR="00BC3107" w14:paraId="15893B50" w14:textId="4CB52B87">
      <w:pPr>
        <w:pBdr>
          <w:top w:val="nil"/>
          <w:left w:val="nil"/>
          <w:bottom w:val="nil"/>
          <w:right w:val="nil"/>
          <w:between w:val="nil"/>
        </w:pBdr>
        <w:spacing w:before="161"/>
        <w:rPr>
          <w:color w:val="2F5496"/>
        </w:rPr>
      </w:pPr>
    </w:p>
    <w:p w:rsidR="00BC3107" w:rsidP="00BC3107" w14:paraId="6E4B60BB" w14:textId="77777777">
      <w:pPr>
        <w:widowControl/>
        <w:pBdr>
          <w:top w:val="nil"/>
          <w:left w:val="nil"/>
          <w:bottom w:val="nil"/>
          <w:right w:val="nil"/>
          <w:between w:val="nil"/>
        </w:pBdr>
        <w:tabs>
          <w:tab w:val="left" w:pos="360"/>
        </w:tabs>
      </w:pPr>
      <w:r>
        <w:t xml:space="preserve">No payment or gift will be provided under this program. </w:t>
      </w:r>
    </w:p>
    <w:p w:rsidR="00BC3107" w14:paraId="5D53AE1C" w14:textId="77777777">
      <w:pPr>
        <w:pBdr>
          <w:top w:val="nil"/>
          <w:left w:val="nil"/>
          <w:bottom w:val="nil"/>
          <w:right w:val="nil"/>
          <w:between w:val="nil"/>
        </w:pBdr>
        <w:spacing w:before="161"/>
        <w:rPr>
          <w:color w:val="000000"/>
        </w:rPr>
      </w:pPr>
    </w:p>
    <w:p w:rsidR="00AB1A5B" w:rsidP="00277B26" w14:paraId="063DBBF4" w14:textId="7FC72D08">
      <w:pPr>
        <w:pStyle w:val="Heading2"/>
        <w:numPr>
          <w:ilvl w:val="0"/>
          <w:numId w:val="0"/>
        </w:numPr>
      </w:pPr>
      <w:r>
        <w:t xml:space="preserve">10. </w:t>
      </w:r>
      <w:r w:rsidR="00226B0D">
        <w:t>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00AB7746" w:rsidP="00BC3107" w14:paraId="7635B181" w14:textId="77777777">
      <w:pPr>
        <w:widowControl/>
        <w:rPr>
          <w:color w:val="2F5496"/>
        </w:rPr>
      </w:pPr>
    </w:p>
    <w:p w:rsidR="00BC3107" w:rsidP="00BC3107" w14:paraId="43D05C2A" w14:textId="3E6EC6DC">
      <w:pPr>
        <w:widowControl/>
      </w:pPr>
      <w:r w:rsidRPr="001217FA">
        <w:t xml:space="preserve">All information collections by NMFS, Alaska Region, are protected under confidentiality provisions of section 402(b) of the Magnuson-Stevens Act as amended in 2006 (16 U.S.C. 1801, </w:t>
      </w:r>
      <w:r w:rsidRPr="009847EB">
        <w:rPr>
          <w:i/>
        </w:rPr>
        <w:t>et seq</w:t>
      </w:r>
      <w:r w:rsidRPr="001217FA">
        <w:t xml:space="preserve">.) and under </w:t>
      </w:r>
      <w:hyperlink r:id="rId19" w:history="1">
        <w:r w:rsidRPr="00423182">
          <w:rPr>
            <w:rStyle w:val="Hyperlink"/>
          </w:rPr>
          <w:t>NOAA Administrative Order 216-100</w:t>
        </w:r>
      </w:hyperlink>
      <w:r>
        <w:rPr>
          <w:rStyle w:val="FootnoteReference"/>
          <w:color w:val="0000FF" w:themeColor="hyperlink"/>
          <w:u w:val="single"/>
        </w:rPr>
        <w:footnoteReference w:id="12"/>
      </w:r>
      <w:r w:rsidRPr="001217FA">
        <w:t>, which sets forth procedures to protect confidentiality of fishery statistics.</w:t>
      </w:r>
    </w:p>
    <w:p w:rsidR="00BC3107" w:rsidP="00BC3107" w14:paraId="2B6C95F8" w14:textId="77777777">
      <w:pPr>
        <w:widowControl/>
      </w:pPr>
    </w:p>
    <w:p w:rsidR="00BC3107" w:rsidP="00BC3107" w14:paraId="1AA2F66C" w14:textId="0FCDB835">
      <w:pPr>
        <w:widowControl/>
        <w:rPr>
          <w:color w:val="000000" w:themeColor="text1"/>
        </w:rPr>
      </w:pPr>
      <w:r>
        <w:t xml:space="preserve">Disclosure of this information is permitted under the Privacy Act of 1974 (5 U.S.C. Section 552a), to be shared within NMFS offices, in order to coordinate monitoring and management of sustainability of fisheries and protected resources, as well as with the applicable State or Regional Marine Fisheries Commissions and International Organizations. The System of Records Notice (SORN) that covers this information collection is </w:t>
      </w:r>
      <w:hyperlink r:id="rId20" w:history="1">
        <w:r w:rsidRPr="00476037" w:rsidR="00475787">
          <w:rPr>
            <w:rStyle w:val="Hyperlink"/>
          </w:rPr>
          <w:t>COMMERCE/NOAA-19</w:t>
        </w:r>
      </w:hyperlink>
      <w:r>
        <w:rPr>
          <w:rStyle w:val="FootnoteReference"/>
          <w:color w:val="000000" w:themeColor="text1"/>
        </w:rPr>
        <w:footnoteReference w:id="13"/>
      </w:r>
      <w:r w:rsidRPr="00475787" w:rsidR="00475787">
        <w:rPr>
          <w:color w:val="000000" w:themeColor="text1"/>
        </w:rPr>
        <w:t>, Permits and Registrations for United States Federally Regulated Fisheries</w:t>
      </w:r>
      <w:r>
        <w:t xml:space="preserve">. The Privacy Impact Assessment (PIA) that covers this information collection is </w:t>
      </w:r>
      <w:r w:rsidRPr="00475787">
        <w:rPr>
          <w:rFonts w:eastAsia="Arial"/>
          <w:color w:val="000000" w:themeColor="text1"/>
          <w:lang w:bidi="en-US"/>
        </w:rPr>
        <w:t>NOAA NMFS Alaska Region Local Area Network (NOAA4700)</w:t>
      </w:r>
      <w:r w:rsidRPr="00475787">
        <w:rPr>
          <w:color w:val="000000" w:themeColor="text1"/>
        </w:rPr>
        <w:t>.</w:t>
      </w:r>
    </w:p>
    <w:p w:rsidR="00166560" w:rsidP="00BC3107" w14:paraId="4E424F6C" w14:textId="77777777">
      <w:pPr>
        <w:widowControl/>
      </w:pPr>
    </w:p>
    <w:p w:rsidR="00166560" w14:paraId="725699E3" w14:textId="77777777">
      <w:pPr>
        <w:widowControl/>
        <w:spacing w:before="280" w:after="280"/>
        <w:rPr>
          <w:color w:val="2F5496"/>
        </w:rPr>
      </w:pPr>
    </w:p>
    <w:p w:rsidR="00AB1A5B" w:rsidP="00166560" w14:paraId="630A9F65" w14:textId="2BE2AED1">
      <w:pPr>
        <w:pStyle w:val="Heading2"/>
        <w:numPr>
          <w:ilvl w:val="0"/>
          <w:numId w:val="0"/>
        </w:numPr>
        <w:spacing w:before="240"/>
      </w:pPr>
      <w:r>
        <w:t xml:space="preserve">11. </w:t>
      </w:r>
      <w:r w:rsidR="00226B0D">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B1A5B" w14:paraId="1A71B583" w14:textId="77777777">
      <w:pPr>
        <w:spacing w:line="259" w:lineRule="auto"/>
        <w:rPr>
          <w:color w:val="2F5496"/>
        </w:rPr>
      </w:pPr>
    </w:p>
    <w:p w:rsidR="00BC3107" w:rsidP="00BC3107" w14:paraId="20AB3678" w14:textId="77777777">
      <w:pPr>
        <w:widowControl/>
      </w:pPr>
      <w:r>
        <w:t xml:space="preserve">This information collection does not involve information of a sensitive nature. </w:t>
      </w:r>
    </w:p>
    <w:p w:rsidR="00BC3107" w14:paraId="5917DFF0" w14:textId="174D29C6">
      <w:pPr>
        <w:spacing w:line="259" w:lineRule="auto"/>
        <w:rPr>
          <w:color w:val="2F5496"/>
        </w:rPr>
        <w:sectPr w:rsidSect="00F945AD">
          <w:footerReference w:type="default" r:id="rId21"/>
          <w:pgSz w:w="12240" w:h="15840"/>
          <w:pgMar w:top="990" w:right="1080" w:bottom="1200" w:left="1080" w:header="0" w:footer="714" w:gutter="0"/>
          <w:pgNumType w:start="1"/>
          <w:cols w:space="720"/>
        </w:sectPr>
      </w:pPr>
    </w:p>
    <w:p w:rsidR="00AB1A5B" w14:paraId="03F6ED22" w14:textId="77777777">
      <w:pPr>
        <w:spacing w:line="259" w:lineRule="auto"/>
        <w:rPr>
          <w:color w:val="2F5496"/>
        </w:rPr>
      </w:pPr>
    </w:p>
    <w:p w:rsidR="00AB1A5B" w:rsidRPr="00AB7746" w:rsidP="00AB7746" w14:paraId="40E97C1B" w14:textId="1A5C30C4">
      <w:pPr>
        <w:pStyle w:val="Heading2"/>
        <w:numPr>
          <w:ilvl w:val="0"/>
          <w:numId w:val="0"/>
        </w:numPr>
      </w:pPr>
      <w:r>
        <w:t xml:space="preserve">12. </w:t>
      </w:r>
      <w:r w:rsidR="00226B0D">
        <w:t>Provide estimates of the hour burden of the collection of information.</w:t>
      </w:r>
    </w:p>
    <w:p w:rsidR="00BC3107" w14:paraId="5058A5A1" w14:textId="77777777">
      <w:pPr>
        <w:spacing w:line="259" w:lineRule="auto"/>
        <w:ind w:hanging="43"/>
        <w:rPr>
          <w:b/>
          <w:highlight w:val="yellow"/>
        </w:rPr>
      </w:pPr>
    </w:p>
    <w:p w:rsidR="00BC3107" w:rsidRPr="001F55B3" w:rsidP="00BC3107" w14:paraId="07A2458C" w14:textId="5287FF65">
      <w:pPr>
        <w:widowControl/>
      </w:pPr>
      <w:r w:rsidRPr="004A036D">
        <w:t xml:space="preserve">The </w:t>
      </w:r>
      <w:r>
        <w:t xml:space="preserve">hourly wage </w:t>
      </w:r>
      <w:r w:rsidRPr="004A036D">
        <w:t xml:space="preserve">rate </w:t>
      </w:r>
      <w:r>
        <w:t>has</w:t>
      </w:r>
      <w:r w:rsidRPr="004A036D">
        <w:t xml:space="preserve"> been updated to use the most current rate available (May 202</w:t>
      </w:r>
      <w:r w:rsidR="005B158B">
        <w:t>5</w:t>
      </w:r>
      <w:r w:rsidRPr="004A036D">
        <w:t>)</w:t>
      </w:r>
      <w:r>
        <w:t xml:space="preserve"> from the</w:t>
      </w:r>
      <w:r w:rsidRPr="00134D6D">
        <w:t xml:space="preserve"> </w:t>
      </w:r>
      <w:r>
        <w:t>U. S. Bureau of Labor Statistics. The hourly wage rate estimate of $</w:t>
      </w:r>
      <w:r w:rsidR="005B158B">
        <w:t>25.67</w:t>
      </w:r>
      <w:r>
        <w:t xml:space="preserve"> is the Alaska mean </w:t>
      </w:r>
      <w:r w:rsidRPr="004C13EA">
        <w:t>hour</w:t>
      </w:r>
      <w:r>
        <w:t>ly</w:t>
      </w:r>
      <w:r w:rsidRPr="004C13EA">
        <w:t xml:space="preserve"> wage for </w:t>
      </w:r>
      <w:r w:rsidRPr="00910922">
        <w:rPr>
          <w:rStyle w:val="CommentReference"/>
          <w:sz w:val="24"/>
          <w:szCs w:val="24"/>
        </w:rPr>
        <w:t xml:space="preserve">Occupation Code 45-0000 (Farming, Fishing, and Forestry Occupations; </w:t>
      </w:r>
      <w:hyperlink r:id="rId22" w:history="1">
        <w:r>
          <w:rPr>
            <w:rStyle w:val="Hyperlink"/>
          </w:rPr>
          <w:t>https://www.bls.gov/oes/current/oes_ak.htm</w:t>
        </w:r>
      </w:hyperlink>
      <w:r w:rsidRPr="001F55B3">
        <w:rPr>
          <w:rStyle w:val="CommentReference"/>
        </w:rPr>
        <w:t>).</w:t>
      </w:r>
      <w:r w:rsidRPr="001F55B3">
        <w:t xml:space="preserve"> </w:t>
      </w:r>
    </w:p>
    <w:p w:rsidR="00BC3107" w:rsidP="00BC3107" w14:paraId="7752CD58" w14:textId="77777777">
      <w:pPr>
        <w:widowControl/>
        <w:ind w:hanging="43"/>
        <w:jc w:val="center"/>
        <w:rPr>
          <w:b/>
          <w:color w:val="FF0000"/>
        </w:rPr>
      </w:pPr>
    </w:p>
    <w:tbl>
      <w:tblPr>
        <w:tblStyle w:val="ab"/>
        <w:tblW w:w="13603" w:type="dxa"/>
        <w:jc w:val="center"/>
        <w:tblLayout w:type="fixed"/>
        <w:tblLook w:val="0400"/>
      </w:tblPr>
      <w:tblGrid>
        <w:gridCol w:w="2420"/>
        <w:gridCol w:w="1350"/>
        <w:gridCol w:w="1260"/>
        <w:gridCol w:w="1170"/>
        <w:gridCol w:w="1350"/>
        <w:gridCol w:w="1350"/>
        <w:gridCol w:w="1528"/>
        <w:gridCol w:w="1583"/>
        <w:gridCol w:w="1592"/>
      </w:tblGrid>
      <w:tr w14:paraId="5FCDFDDA" w14:textId="77777777" w:rsidTr="00042AFB">
        <w:tblPrEx>
          <w:tblW w:w="13603" w:type="dxa"/>
          <w:jc w:val="center"/>
          <w:tblLayout w:type="fixed"/>
          <w:tblLook w:val="0400"/>
        </w:tblPrEx>
        <w:trPr>
          <w:trHeight w:val="797"/>
          <w:jc w:val="center"/>
        </w:trPr>
        <w:tc>
          <w:tcPr>
            <w:tcW w:w="242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BC3107" w:rsidRPr="00303BB2" w:rsidP="00042AFB" w14:paraId="3E9C9FBB" w14:textId="77777777">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Information Collection</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BC3107" w:rsidRPr="00303BB2" w:rsidP="00042AFB" w14:paraId="19A89F07" w14:textId="77777777">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Type of Respondent (e.g., Occupational Title)</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BC3107" w:rsidRPr="00303BB2" w:rsidP="00042AFB" w14:paraId="74E99E11" w14:textId="77777777">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 of Respondents/year</w:t>
            </w:r>
            <w:r w:rsidRPr="00303BB2">
              <w:rPr>
                <w:rFonts w:ascii="Calibri" w:eastAsia="Calibri" w:hAnsi="Calibri" w:cs="Calibri"/>
                <w:b/>
                <w:color w:val="000000"/>
                <w:sz w:val="18"/>
                <w:szCs w:val="18"/>
              </w:rPr>
              <w:br/>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BC3107" w:rsidRPr="00303BB2" w:rsidP="00042AFB" w14:paraId="4161D9CD" w14:textId="77777777">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Annual # of Responses / Respondent</w:t>
            </w:r>
            <w:r w:rsidRPr="00303BB2">
              <w:rPr>
                <w:rFonts w:ascii="Calibri" w:eastAsia="Calibri" w:hAnsi="Calibri" w:cs="Calibri"/>
                <w:b/>
                <w:color w:val="000000"/>
                <w:sz w:val="18"/>
                <w:szCs w:val="18"/>
              </w:rPr>
              <w:br/>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BC3107" w:rsidRPr="00303BB2" w:rsidP="00042AFB" w14:paraId="61ED6F67" w14:textId="77777777">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 xml:space="preserve"> Total # of Annual Responses</w:t>
            </w:r>
            <w:r w:rsidRPr="00303BB2">
              <w:rPr>
                <w:rFonts w:ascii="Calibri" w:eastAsia="Calibri" w:hAnsi="Calibri" w:cs="Calibri"/>
                <w:b/>
                <w:color w:val="000000"/>
                <w:sz w:val="18"/>
                <w:szCs w:val="18"/>
              </w:rPr>
              <w:br/>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BC3107" w:rsidRPr="00303BB2" w:rsidP="00042AFB" w14:paraId="6CD7ABC4" w14:textId="77777777">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 xml:space="preserve">Burden </w:t>
            </w:r>
            <w:r w:rsidRPr="00303BB2">
              <w:rPr>
                <w:rFonts w:ascii="Calibri" w:eastAsia="Calibri" w:hAnsi="Calibri" w:cs="Calibri"/>
                <w:b/>
                <w:color w:val="000000"/>
                <w:sz w:val="18"/>
                <w:szCs w:val="18"/>
              </w:rPr>
              <w:t>Hrs</w:t>
            </w:r>
            <w:r w:rsidRPr="00303BB2">
              <w:rPr>
                <w:rFonts w:ascii="Calibri" w:eastAsia="Calibri" w:hAnsi="Calibri" w:cs="Calibri"/>
                <w:b/>
                <w:color w:val="000000"/>
                <w:sz w:val="18"/>
                <w:szCs w:val="18"/>
              </w:rPr>
              <w:t xml:space="preserve"> / Response</w:t>
            </w:r>
            <w:r w:rsidRPr="00303BB2">
              <w:rPr>
                <w:rFonts w:ascii="Calibri" w:eastAsia="Calibri" w:hAnsi="Calibri" w:cs="Calibri"/>
                <w:b/>
                <w:color w:val="000000"/>
                <w:sz w:val="18"/>
                <w:szCs w:val="18"/>
              </w:rPr>
              <w:br/>
            </w:r>
          </w:p>
        </w:tc>
        <w:tc>
          <w:tcPr>
            <w:tcW w:w="1528" w:type="dxa"/>
            <w:tcBorders>
              <w:top w:val="single" w:sz="8" w:space="0" w:color="000000"/>
              <w:left w:val="nil"/>
              <w:bottom w:val="single" w:sz="8" w:space="0" w:color="000000"/>
              <w:right w:val="single" w:sz="8" w:space="0" w:color="000000"/>
            </w:tcBorders>
            <w:shd w:val="clear" w:color="auto" w:fill="BDD7EE"/>
            <w:vAlign w:val="center"/>
          </w:tcPr>
          <w:p w:rsidR="00BC3107" w:rsidRPr="00303BB2" w:rsidP="00042AFB" w14:paraId="28E566E1" w14:textId="77777777">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 xml:space="preserve">Total Annual Burden </w:t>
            </w:r>
            <w:r w:rsidRPr="00303BB2">
              <w:rPr>
                <w:rFonts w:ascii="Calibri" w:eastAsia="Calibri" w:hAnsi="Calibri" w:cs="Calibri"/>
                <w:b/>
                <w:color w:val="000000"/>
                <w:sz w:val="18"/>
                <w:szCs w:val="18"/>
              </w:rPr>
              <w:t>Hrs</w:t>
            </w:r>
            <w:r w:rsidRPr="00303BB2">
              <w:rPr>
                <w:rFonts w:ascii="Calibri" w:eastAsia="Calibri" w:hAnsi="Calibri" w:cs="Calibri"/>
                <w:b/>
                <w:color w:val="000000"/>
                <w:sz w:val="18"/>
                <w:szCs w:val="18"/>
              </w:rPr>
              <w:br/>
            </w:r>
          </w:p>
        </w:tc>
        <w:tc>
          <w:tcPr>
            <w:tcW w:w="1583" w:type="dxa"/>
            <w:tcBorders>
              <w:top w:val="single" w:sz="8" w:space="0" w:color="000000"/>
              <w:left w:val="nil"/>
              <w:bottom w:val="single" w:sz="8" w:space="0" w:color="000000"/>
              <w:right w:val="single" w:sz="8" w:space="0" w:color="000000"/>
            </w:tcBorders>
            <w:shd w:val="clear" w:color="auto" w:fill="BDD7EE"/>
            <w:vAlign w:val="center"/>
          </w:tcPr>
          <w:p w:rsidR="00BC3107" w:rsidRPr="00303BB2" w:rsidP="00042AFB" w14:paraId="03A89624" w14:textId="77777777">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 xml:space="preserve">Hourly Wage </w:t>
            </w:r>
            <w:r w:rsidRPr="00303BB2">
              <w:rPr>
                <w:rFonts w:ascii="Calibri" w:eastAsia="Calibri" w:hAnsi="Calibri" w:cs="Calibri"/>
                <w:b/>
                <w:color w:val="000000"/>
                <w:sz w:val="18"/>
                <w:szCs w:val="18"/>
              </w:rPr>
              <w:t>Rate  (</w:t>
            </w:r>
            <w:r w:rsidRPr="00303BB2">
              <w:rPr>
                <w:rFonts w:ascii="Calibri" w:eastAsia="Calibri" w:hAnsi="Calibri" w:cs="Calibri"/>
                <w:b/>
                <w:color w:val="000000"/>
                <w:sz w:val="18"/>
                <w:szCs w:val="18"/>
              </w:rPr>
              <w:t>for Type of Respondent)</w:t>
            </w:r>
            <w:r w:rsidRPr="00303BB2">
              <w:rPr>
                <w:rFonts w:ascii="Calibri" w:eastAsia="Calibri" w:hAnsi="Calibri" w:cs="Calibri"/>
                <w:b/>
                <w:color w:val="000000"/>
                <w:sz w:val="18"/>
                <w:szCs w:val="18"/>
              </w:rPr>
              <w:br/>
            </w:r>
          </w:p>
        </w:tc>
        <w:tc>
          <w:tcPr>
            <w:tcW w:w="1592" w:type="dxa"/>
            <w:tcBorders>
              <w:top w:val="single" w:sz="8" w:space="0" w:color="000000"/>
              <w:left w:val="nil"/>
              <w:bottom w:val="single" w:sz="8" w:space="0" w:color="000000"/>
              <w:right w:val="single" w:sz="8" w:space="0" w:color="000000"/>
            </w:tcBorders>
            <w:shd w:val="clear" w:color="auto" w:fill="BDD7EE"/>
            <w:vAlign w:val="center"/>
          </w:tcPr>
          <w:p w:rsidR="00BC3107" w:rsidRPr="00303BB2" w:rsidP="00042AFB" w14:paraId="759492BB" w14:textId="77777777">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Total Annual Wage Burden Costs</w:t>
            </w:r>
            <w:r w:rsidRPr="00303BB2">
              <w:rPr>
                <w:rFonts w:ascii="Calibri" w:eastAsia="Calibri" w:hAnsi="Calibri" w:cs="Calibri"/>
                <w:b/>
                <w:color w:val="000000"/>
                <w:sz w:val="18"/>
                <w:szCs w:val="18"/>
              </w:rPr>
              <w:br/>
            </w:r>
          </w:p>
        </w:tc>
      </w:tr>
      <w:tr w14:paraId="4917F8D4" w14:textId="77777777" w:rsidTr="00042AFB">
        <w:tblPrEx>
          <w:tblW w:w="13603" w:type="dxa"/>
          <w:jc w:val="center"/>
          <w:tblLayout w:type="fixed"/>
          <w:tblLook w:val="0400"/>
        </w:tblPrEx>
        <w:trPr>
          <w:trHeight w:val="314"/>
          <w:jc w:val="center"/>
        </w:trPr>
        <w:tc>
          <w:tcPr>
            <w:tcW w:w="2420" w:type="dxa"/>
            <w:tcBorders>
              <w:top w:val="nil"/>
              <w:left w:val="single" w:sz="8" w:space="0" w:color="000000"/>
              <w:bottom w:val="single" w:sz="4" w:space="0" w:color="000000"/>
              <w:right w:val="single" w:sz="4" w:space="0" w:color="000000"/>
            </w:tcBorders>
            <w:vAlign w:val="center"/>
          </w:tcPr>
          <w:p w:rsidR="00BC3107" w:rsidP="00042AFB" w14:paraId="7C908004" w14:textId="27CF4E31">
            <w:pPr>
              <w:widowControl/>
              <w:rPr>
                <w:rFonts w:ascii="Calibri" w:eastAsia="Calibri" w:hAnsi="Calibri" w:cs="Calibri"/>
                <w:color w:val="000000"/>
                <w:sz w:val="18"/>
                <w:szCs w:val="18"/>
              </w:rPr>
            </w:pPr>
            <w:r>
              <w:rPr>
                <w:rFonts w:ascii="Calibri" w:eastAsia="Calibri" w:hAnsi="Calibri" w:cs="Calibri"/>
                <w:sz w:val="18"/>
                <w:szCs w:val="18"/>
              </w:rPr>
              <w:t>Application for transfer of groundfish and crab LLP license</w:t>
            </w:r>
          </w:p>
        </w:tc>
        <w:tc>
          <w:tcPr>
            <w:tcW w:w="1350" w:type="dxa"/>
            <w:tcBorders>
              <w:top w:val="nil"/>
              <w:left w:val="nil"/>
              <w:bottom w:val="single" w:sz="4" w:space="0" w:color="000000"/>
              <w:right w:val="single" w:sz="4" w:space="0" w:color="000000"/>
            </w:tcBorders>
            <w:vAlign w:val="center"/>
          </w:tcPr>
          <w:p w:rsidR="00BC3107" w:rsidP="00042AFB" w14:paraId="4E8C01E7"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 License holder</w:t>
            </w:r>
          </w:p>
        </w:tc>
        <w:tc>
          <w:tcPr>
            <w:tcW w:w="1260" w:type="dxa"/>
            <w:tcBorders>
              <w:top w:val="nil"/>
              <w:left w:val="nil"/>
              <w:bottom w:val="single" w:sz="4" w:space="0" w:color="000000"/>
              <w:right w:val="single" w:sz="4" w:space="0" w:color="000000"/>
            </w:tcBorders>
            <w:vAlign w:val="center"/>
          </w:tcPr>
          <w:p w:rsidR="00BC3107" w:rsidRPr="00940598" w:rsidP="00042AFB" w14:paraId="6C31DCD9" w14:textId="4F435463">
            <w:pPr>
              <w:widowControl/>
              <w:jc w:val="center"/>
              <w:rPr>
                <w:rFonts w:ascii="Calibri" w:eastAsia="Calibri" w:hAnsi="Calibri" w:cs="Calibri"/>
                <w:color w:val="000000"/>
                <w:sz w:val="18"/>
                <w:szCs w:val="18"/>
              </w:rPr>
            </w:pPr>
            <w:r w:rsidRPr="00940598">
              <w:rPr>
                <w:rFonts w:ascii="Calibri" w:eastAsia="Calibri" w:hAnsi="Calibri" w:cs="Calibri"/>
                <w:sz w:val="18"/>
                <w:szCs w:val="18"/>
              </w:rPr>
              <w:t>66</w:t>
            </w:r>
            <w:r w:rsidRPr="00940598">
              <w:rPr>
                <w:rFonts w:ascii="Calibri" w:eastAsia="Calibri" w:hAnsi="Calibri" w:cs="Calibri"/>
                <w:sz w:val="18"/>
                <w:szCs w:val="18"/>
                <w:vertAlign w:val="superscript"/>
              </w:rPr>
              <w:t>1</w:t>
            </w:r>
          </w:p>
        </w:tc>
        <w:tc>
          <w:tcPr>
            <w:tcW w:w="1170" w:type="dxa"/>
            <w:tcBorders>
              <w:top w:val="nil"/>
              <w:left w:val="nil"/>
              <w:bottom w:val="single" w:sz="4" w:space="0" w:color="000000"/>
              <w:right w:val="single" w:sz="4" w:space="0" w:color="000000"/>
            </w:tcBorders>
            <w:vAlign w:val="center"/>
          </w:tcPr>
          <w:p w:rsidR="00BC3107" w:rsidRPr="00940598" w:rsidP="00042AFB" w14:paraId="4FF25A2E" w14:textId="77777777">
            <w:pPr>
              <w:widowControl/>
              <w:jc w:val="center"/>
              <w:rPr>
                <w:rFonts w:ascii="Calibri" w:eastAsia="Calibri" w:hAnsi="Calibri" w:cs="Calibri"/>
                <w:color w:val="000000"/>
                <w:sz w:val="18"/>
                <w:szCs w:val="18"/>
              </w:rPr>
            </w:pPr>
            <w:r w:rsidRPr="00940598">
              <w:rPr>
                <w:rFonts w:ascii="Calibri" w:eastAsia="Calibri" w:hAnsi="Calibri" w:cs="Calibri"/>
                <w:sz w:val="18"/>
                <w:szCs w:val="18"/>
              </w:rPr>
              <w:t>1</w:t>
            </w:r>
          </w:p>
        </w:tc>
        <w:tc>
          <w:tcPr>
            <w:tcW w:w="1350" w:type="dxa"/>
            <w:tcBorders>
              <w:top w:val="nil"/>
              <w:left w:val="nil"/>
              <w:bottom w:val="single" w:sz="4" w:space="0" w:color="000000"/>
              <w:right w:val="single" w:sz="4" w:space="0" w:color="000000"/>
            </w:tcBorders>
            <w:vAlign w:val="center"/>
          </w:tcPr>
          <w:p w:rsidR="00BC3107" w:rsidRPr="00940598" w:rsidP="00042AFB" w14:paraId="1F7A7F8A" w14:textId="0646D0C3">
            <w:pPr>
              <w:widowControl/>
              <w:jc w:val="center"/>
              <w:rPr>
                <w:rFonts w:ascii="Calibri" w:eastAsia="Calibri" w:hAnsi="Calibri" w:cs="Calibri"/>
                <w:color w:val="000000"/>
                <w:sz w:val="18"/>
                <w:szCs w:val="18"/>
              </w:rPr>
            </w:pPr>
            <w:r w:rsidRPr="00940598">
              <w:rPr>
                <w:rFonts w:ascii="Calibri" w:eastAsia="Calibri" w:hAnsi="Calibri" w:cs="Calibri"/>
                <w:sz w:val="18"/>
                <w:szCs w:val="18"/>
              </w:rPr>
              <w:t>33</w:t>
            </w:r>
          </w:p>
        </w:tc>
        <w:tc>
          <w:tcPr>
            <w:tcW w:w="1350" w:type="dxa"/>
            <w:tcBorders>
              <w:top w:val="nil"/>
              <w:left w:val="nil"/>
              <w:bottom w:val="single" w:sz="4" w:space="0" w:color="000000"/>
              <w:right w:val="single" w:sz="4" w:space="0" w:color="000000"/>
            </w:tcBorders>
            <w:vAlign w:val="center"/>
          </w:tcPr>
          <w:p w:rsidR="00BC3107" w:rsidRPr="00940598" w:rsidP="00042AFB" w14:paraId="397B8908" w14:textId="77777777">
            <w:pPr>
              <w:widowControl/>
              <w:jc w:val="center"/>
              <w:rPr>
                <w:rFonts w:ascii="Calibri" w:eastAsia="Calibri" w:hAnsi="Calibri" w:cs="Calibri"/>
                <w:color w:val="000000"/>
                <w:sz w:val="18"/>
                <w:szCs w:val="18"/>
              </w:rPr>
            </w:pPr>
            <w:r w:rsidRPr="00940598">
              <w:rPr>
                <w:rFonts w:ascii="Calibri" w:eastAsia="Calibri" w:hAnsi="Calibri" w:cs="Calibri"/>
                <w:sz w:val="18"/>
                <w:szCs w:val="18"/>
              </w:rPr>
              <w:t>1</w:t>
            </w:r>
            <w:r w:rsidRPr="00940598">
              <w:rPr>
                <w:rFonts w:ascii="Calibri" w:eastAsia="Calibri" w:hAnsi="Calibri" w:cs="Calibri"/>
                <w:color w:val="000000"/>
                <w:sz w:val="18"/>
                <w:szCs w:val="18"/>
              </w:rPr>
              <w:t> hour</w:t>
            </w:r>
          </w:p>
        </w:tc>
        <w:tc>
          <w:tcPr>
            <w:tcW w:w="1528" w:type="dxa"/>
            <w:tcBorders>
              <w:top w:val="nil"/>
              <w:left w:val="nil"/>
              <w:bottom w:val="single" w:sz="4" w:space="0" w:color="000000"/>
              <w:right w:val="single" w:sz="4" w:space="0" w:color="000000"/>
            </w:tcBorders>
            <w:vAlign w:val="center"/>
          </w:tcPr>
          <w:p w:rsidR="00BC3107" w:rsidRPr="00940598" w:rsidP="00042AFB" w14:paraId="5344BEB6" w14:textId="154B5E24">
            <w:pPr>
              <w:widowControl/>
              <w:jc w:val="center"/>
              <w:rPr>
                <w:rFonts w:ascii="Calibri" w:eastAsia="Calibri" w:hAnsi="Calibri" w:cs="Calibri"/>
                <w:color w:val="000000"/>
                <w:sz w:val="18"/>
                <w:szCs w:val="18"/>
              </w:rPr>
            </w:pPr>
            <w:r w:rsidRPr="00940598">
              <w:rPr>
                <w:rFonts w:ascii="Calibri" w:eastAsia="Calibri" w:hAnsi="Calibri" w:cs="Calibri"/>
                <w:sz w:val="18"/>
                <w:szCs w:val="18"/>
              </w:rPr>
              <w:t>33</w:t>
            </w:r>
          </w:p>
        </w:tc>
        <w:tc>
          <w:tcPr>
            <w:tcW w:w="1583" w:type="dxa"/>
            <w:tcBorders>
              <w:top w:val="nil"/>
              <w:left w:val="nil"/>
              <w:bottom w:val="single" w:sz="4" w:space="0" w:color="000000"/>
              <w:right w:val="single" w:sz="4" w:space="0" w:color="000000"/>
            </w:tcBorders>
            <w:vAlign w:val="center"/>
          </w:tcPr>
          <w:p w:rsidR="00BC3107" w:rsidRPr="00F479A9" w:rsidP="00042AFB" w14:paraId="0F553EE9" w14:textId="3FBB2350">
            <w:pPr>
              <w:widowControl/>
              <w:jc w:val="center"/>
              <w:rPr>
                <w:rFonts w:ascii="Calibri" w:eastAsia="Calibri" w:hAnsi="Calibri" w:cs="Calibri"/>
                <w:color w:val="000000"/>
                <w:sz w:val="18"/>
                <w:szCs w:val="18"/>
              </w:rPr>
            </w:pPr>
            <w:r>
              <w:rPr>
                <w:rFonts w:ascii="Calibri" w:eastAsia="Calibri" w:hAnsi="Calibri" w:cs="Calibri"/>
                <w:color w:val="000000"/>
                <w:sz w:val="18"/>
                <w:szCs w:val="18"/>
              </w:rPr>
              <w:t>25.67</w:t>
            </w:r>
          </w:p>
        </w:tc>
        <w:tc>
          <w:tcPr>
            <w:tcW w:w="1592" w:type="dxa"/>
            <w:tcBorders>
              <w:top w:val="nil"/>
              <w:left w:val="nil"/>
              <w:bottom w:val="single" w:sz="4" w:space="0" w:color="000000"/>
              <w:right w:val="single" w:sz="8" w:space="0" w:color="000000"/>
            </w:tcBorders>
            <w:vAlign w:val="center"/>
          </w:tcPr>
          <w:p w:rsidR="00BC3107" w:rsidRPr="00940598" w:rsidP="00042AFB" w14:paraId="545B2E9C" w14:textId="4D57F7A7">
            <w:pPr>
              <w:widowControl/>
              <w:jc w:val="center"/>
              <w:rPr>
                <w:rFonts w:ascii="Calibri" w:eastAsia="Calibri" w:hAnsi="Calibri" w:cs="Calibri"/>
                <w:color w:val="000000"/>
                <w:sz w:val="18"/>
                <w:szCs w:val="18"/>
              </w:rPr>
            </w:pPr>
            <w:r w:rsidRPr="00940598">
              <w:rPr>
                <w:rFonts w:ascii="Calibri" w:eastAsia="Calibri" w:hAnsi="Calibri" w:cs="Calibri"/>
                <w:sz w:val="18"/>
                <w:szCs w:val="18"/>
              </w:rPr>
              <w:t>847.11</w:t>
            </w:r>
          </w:p>
        </w:tc>
      </w:tr>
      <w:tr w14:paraId="71134B23" w14:textId="77777777" w:rsidTr="00042AFB">
        <w:tblPrEx>
          <w:tblW w:w="13603" w:type="dxa"/>
          <w:jc w:val="center"/>
          <w:tblLayout w:type="fixed"/>
          <w:tblLook w:val="0400"/>
        </w:tblPrEx>
        <w:trPr>
          <w:trHeight w:val="314"/>
          <w:jc w:val="center"/>
        </w:trPr>
        <w:tc>
          <w:tcPr>
            <w:tcW w:w="2420" w:type="dxa"/>
            <w:tcBorders>
              <w:top w:val="nil"/>
              <w:left w:val="single" w:sz="8" w:space="0" w:color="000000"/>
              <w:bottom w:val="single" w:sz="4" w:space="0" w:color="000000"/>
              <w:right w:val="single" w:sz="4" w:space="0" w:color="000000"/>
            </w:tcBorders>
            <w:vAlign w:val="center"/>
          </w:tcPr>
          <w:p w:rsidR="00BC3107" w:rsidP="00042AFB" w14:paraId="37B1B4E8" w14:textId="187F33DB">
            <w:pPr>
              <w:widowControl/>
              <w:rPr>
                <w:rFonts w:ascii="Calibri" w:eastAsia="Calibri" w:hAnsi="Calibri" w:cs="Calibri"/>
                <w:color w:val="000000"/>
                <w:sz w:val="18"/>
                <w:szCs w:val="18"/>
              </w:rPr>
            </w:pPr>
            <w:r>
              <w:rPr>
                <w:rFonts w:ascii="Calibri" w:eastAsia="Calibri" w:hAnsi="Calibri" w:cs="Calibri"/>
                <w:sz w:val="18"/>
                <w:szCs w:val="18"/>
              </w:rPr>
              <w:t>Application for transfer of scallop LLP license</w:t>
            </w:r>
          </w:p>
        </w:tc>
        <w:tc>
          <w:tcPr>
            <w:tcW w:w="1350" w:type="dxa"/>
            <w:tcBorders>
              <w:top w:val="nil"/>
              <w:left w:val="nil"/>
              <w:bottom w:val="single" w:sz="4" w:space="0" w:color="000000"/>
              <w:right w:val="single" w:sz="4" w:space="0" w:color="000000"/>
            </w:tcBorders>
            <w:vAlign w:val="center"/>
          </w:tcPr>
          <w:p w:rsidR="00BC3107" w:rsidP="00042AFB" w14:paraId="37760498"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 Li</w:t>
            </w:r>
            <w:r>
              <w:rPr>
                <w:rFonts w:ascii="Calibri" w:eastAsia="Calibri" w:hAnsi="Calibri" w:cs="Calibri"/>
                <w:sz w:val="18"/>
                <w:szCs w:val="18"/>
              </w:rPr>
              <w:t>cense holder</w:t>
            </w:r>
          </w:p>
        </w:tc>
        <w:tc>
          <w:tcPr>
            <w:tcW w:w="1260" w:type="dxa"/>
            <w:tcBorders>
              <w:top w:val="nil"/>
              <w:left w:val="nil"/>
              <w:bottom w:val="single" w:sz="4" w:space="0" w:color="000000"/>
              <w:right w:val="single" w:sz="4" w:space="0" w:color="000000"/>
            </w:tcBorders>
            <w:vAlign w:val="center"/>
          </w:tcPr>
          <w:p w:rsidR="00BC3107" w:rsidRPr="00940598" w:rsidP="00042AFB" w14:paraId="459B0CAA" w14:textId="77777777">
            <w:pPr>
              <w:widowControl/>
              <w:jc w:val="center"/>
              <w:rPr>
                <w:rFonts w:ascii="Calibri" w:eastAsia="Calibri" w:hAnsi="Calibri" w:cs="Calibri"/>
                <w:color w:val="000000"/>
                <w:sz w:val="18"/>
                <w:szCs w:val="18"/>
              </w:rPr>
            </w:pPr>
            <w:r w:rsidRPr="00940598">
              <w:rPr>
                <w:rFonts w:ascii="Calibri" w:eastAsia="Calibri" w:hAnsi="Calibri" w:cs="Calibri"/>
                <w:sz w:val="18"/>
                <w:szCs w:val="18"/>
              </w:rPr>
              <w:t>2</w:t>
            </w:r>
            <w:r w:rsidRPr="00940598">
              <w:rPr>
                <w:rFonts w:ascii="Calibri" w:eastAsia="Calibri" w:hAnsi="Calibri" w:cs="Calibri"/>
                <w:sz w:val="18"/>
                <w:szCs w:val="18"/>
                <w:vertAlign w:val="superscript"/>
              </w:rPr>
              <w:t>1</w:t>
            </w:r>
          </w:p>
        </w:tc>
        <w:tc>
          <w:tcPr>
            <w:tcW w:w="1170" w:type="dxa"/>
            <w:tcBorders>
              <w:top w:val="nil"/>
              <w:left w:val="nil"/>
              <w:bottom w:val="single" w:sz="4" w:space="0" w:color="000000"/>
              <w:right w:val="single" w:sz="4" w:space="0" w:color="000000"/>
            </w:tcBorders>
            <w:vAlign w:val="center"/>
          </w:tcPr>
          <w:p w:rsidR="00BC3107" w:rsidRPr="00940598" w:rsidP="00042AFB" w14:paraId="6841C09A" w14:textId="77777777">
            <w:pPr>
              <w:widowControl/>
              <w:jc w:val="center"/>
              <w:rPr>
                <w:rFonts w:ascii="Calibri" w:eastAsia="Calibri" w:hAnsi="Calibri" w:cs="Calibri"/>
                <w:color w:val="000000"/>
                <w:sz w:val="18"/>
                <w:szCs w:val="18"/>
              </w:rPr>
            </w:pPr>
            <w:r w:rsidRPr="00940598">
              <w:rPr>
                <w:rFonts w:ascii="Calibri" w:eastAsia="Calibri" w:hAnsi="Calibri" w:cs="Calibri"/>
                <w:sz w:val="18"/>
                <w:szCs w:val="18"/>
              </w:rPr>
              <w:t>1</w:t>
            </w:r>
          </w:p>
        </w:tc>
        <w:tc>
          <w:tcPr>
            <w:tcW w:w="1350" w:type="dxa"/>
            <w:tcBorders>
              <w:top w:val="nil"/>
              <w:left w:val="nil"/>
              <w:bottom w:val="single" w:sz="4" w:space="0" w:color="000000"/>
              <w:right w:val="single" w:sz="4" w:space="0" w:color="000000"/>
            </w:tcBorders>
            <w:vAlign w:val="center"/>
          </w:tcPr>
          <w:p w:rsidR="00BC3107" w:rsidRPr="00940598" w:rsidP="00042AFB" w14:paraId="3D86D4E6" w14:textId="77777777">
            <w:pPr>
              <w:widowControl/>
              <w:jc w:val="center"/>
              <w:rPr>
                <w:rFonts w:ascii="Calibri" w:eastAsia="Calibri" w:hAnsi="Calibri" w:cs="Calibri"/>
                <w:color w:val="000000"/>
                <w:sz w:val="18"/>
                <w:szCs w:val="18"/>
              </w:rPr>
            </w:pPr>
            <w:r w:rsidRPr="00940598">
              <w:rPr>
                <w:rFonts w:ascii="Calibri" w:eastAsia="Calibri" w:hAnsi="Calibri" w:cs="Calibri"/>
                <w:sz w:val="18"/>
                <w:szCs w:val="18"/>
              </w:rPr>
              <w:t>1</w:t>
            </w:r>
          </w:p>
        </w:tc>
        <w:tc>
          <w:tcPr>
            <w:tcW w:w="1350" w:type="dxa"/>
            <w:tcBorders>
              <w:top w:val="nil"/>
              <w:left w:val="nil"/>
              <w:bottom w:val="single" w:sz="4" w:space="0" w:color="000000"/>
              <w:right w:val="single" w:sz="4" w:space="0" w:color="000000"/>
            </w:tcBorders>
            <w:vAlign w:val="center"/>
          </w:tcPr>
          <w:p w:rsidR="00BC3107" w:rsidRPr="00940598" w:rsidP="00042AFB" w14:paraId="78A2462E" w14:textId="77777777">
            <w:pPr>
              <w:widowControl/>
              <w:jc w:val="center"/>
              <w:rPr>
                <w:rFonts w:ascii="Calibri" w:eastAsia="Calibri" w:hAnsi="Calibri" w:cs="Calibri"/>
                <w:color w:val="000000"/>
                <w:sz w:val="18"/>
                <w:szCs w:val="18"/>
              </w:rPr>
            </w:pPr>
            <w:r w:rsidRPr="00940598">
              <w:rPr>
                <w:rFonts w:ascii="Calibri" w:eastAsia="Calibri" w:hAnsi="Calibri" w:cs="Calibri"/>
                <w:sz w:val="18"/>
                <w:szCs w:val="18"/>
              </w:rPr>
              <w:t>1 hour</w:t>
            </w:r>
          </w:p>
        </w:tc>
        <w:tc>
          <w:tcPr>
            <w:tcW w:w="1528" w:type="dxa"/>
            <w:tcBorders>
              <w:top w:val="nil"/>
              <w:left w:val="nil"/>
              <w:bottom w:val="single" w:sz="4" w:space="0" w:color="000000"/>
              <w:right w:val="single" w:sz="4" w:space="0" w:color="000000"/>
            </w:tcBorders>
            <w:vAlign w:val="center"/>
          </w:tcPr>
          <w:p w:rsidR="00BC3107" w:rsidRPr="00940598" w:rsidP="00042AFB" w14:paraId="046B4F9F" w14:textId="77777777">
            <w:pPr>
              <w:widowControl/>
              <w:jc w:val="center"/>
              <w:rPr>
                <w:rFonts w:ascii="Calibri" w:eastAsia="Calibri" w:hAnsi="Calibri" w:cs="Calibri"/>
                <w:color w:val="000000"/>
                <w:sz w:val="18"/>
                <w:szCs w:val="18"/>
              </w:rPr>
            </w:pPr>
            <w:r w:rsidRPr="00940598">
              <w:rPr>
                <w:rFonts w:ascii="Calibri" w:eastAsia="Calibri" w:hAnsi="Calibri" w:cs="Calibri"/>
                <w:sz w:val="18"/>
                <w:szCs w:val="18"/>
              </w:rPr>
              <w:t>1</w:t>
            </w:r>
          </w:p>
        </w:tc>
        <w:tc>
          <w:tcPr>
            <w:tcW w:w="1583" w:type="dxa"/>
            <w:tcBorders>
              <w:top w:val="nil"/>
              <w:left w:val="nil"/>
              <w:bottom w:val="single" w:sz="4" w:space="0" w:color="000000"/>
              <w:right w:val="single" w:sz="4" w:space="0" w:color="000000"/>
            </w:tcBorders>
            <w:vAlign w:val="center"/>
          </w:tcPr>
          <w:p w:rsidR="00BC3107" w:rsidP="00042AFB" w14:paraId="23DA3272" w14:textId="7772E3F0">
            <w:pPr>
              <w:widowControl/>
              <w:jc w:val="center"/>
              <w:rPr>
                <w:rFonts w:ascii="Calibri" w:eastAsia="Calibri" w:hAnsi="Calibri" w:cs="Calibri"/>
                <w:color w:val="000000"/>
                <w:sz w:val="18"/>
                <w:szCs w:val="18"/>
              </w:rPr>
            </w:pPr>
            <w:r>
              <w:rPr>
                <w:rFonts w:ascii="Calibri" w:eastAsia="Calibri" w:hAnsi="Calibri" w:cs="Calibri"/>
                <w:color w:val="000000"/>
                <w:sz w:val="18"/>
                <w:szCs w:val="18"/>
              </w:rPr>
              <w:t>25.67</w:t>
            </w:r>
          </w:p>
        </w:tc>
        <w:tc>
          <w:tcPr>
            <w:tcW w:w="1592" w:type="dxa"/>
            <w:tcBorders>
              <w:top w:val="nil"/>
              <w:left w:val="nil"/>
              <w:bottom w:val="single" w:sz="4" w:space="0" w:color="000000"/>
              <w:right w:val="single" w:sz="8" w:space="0" w:color="000000"/>
            </w:tcBorders>
            <w:vAlign w:val="center"/>
          </w:tcPr>
          <w:p w:rsidR="00BC3107" w:rsidRPr="00940598" w:rsidP="00042AFB" w14:paraId="04CE1549" w14:textId="2C4A8FC8">
            <w:pPr>
              <w:widowControl/>
              <w:jc w:val="center"/>
              <w:rPr>
                <w:rFonts w:ascii="Calibri" w:eastAsia="Calibri" w:hAnsi="Calibri" w:cs="Calibri"/>
                <w:color w:val="000000"/>
                <w:sz w:val="18"/>
                <w:szCs w:val="18"/>
              </w:rPr>
            </w:pPr>
            <w:r w:rsidRPr="00940598">
              <w:rPr>
                <w:rFonts w:ascii="Calibri" w:eastAsia="Calibri" w:hAnsi="Calibri" w:cs="Calibri"/>
                <w:sz w:val="18"/>
                <w:szCs w:val="18"/>
              </w:rPr>
              <w:t>25.67</w:t>
            </w:r>
          </w:p>
        </w:tc>
      </w:tr>
      <w:tr w14:paraId="1F4969EA" w14:textId="77777777" w:rsidTr="00042AFB">
        <w:tblPrEx>
          <w:tblW w:w="13603" w:type="dxa"/>
          <w:jc w:val="center"/>
          <w:tblLayout w:type="fixed"/>
          <w:tblLook w:val="0400"/>
        </w:tblPrEx>
        <w:trPr>
          <w:trHeight w:val="314"/>
          <w:jc w:val="center"/>
        </w:trPr>
        <w:tc>
          <w:tcPr>
            <w:tcW w:w="2420" w:type="dxa"/>
            <w:tcBorders>
              <w:top w:val="nil"/>
              <w:left w:val="single" w:sz="8" w:space="0" w:color="000000"/>
              <w:bottom w:val="single" w:sz="4" w:space="0" w:color="000000"/>
              <w:right w:val="single" w:sz="4" w:space="0" w:color="000000"/>
            </w:tcBorders>
            <w:vAlign w:val="center"/>
          </w:tcPr>
          <w:p w:rsidR="00BC3107" w:rsidP="00042AFB" w14:paraId="0C3671B5" w14:textId="77777777">
            <w:pPr>
              <w:widowControl/>
              <w:rPr>
                <w:rFonts w:ascii="Calibri" w:eastAsia="Calibri" w:hAnsi="Calibri" w:cs="Calibri"/>
                <w:color w:val="000000"/>
                <w:sz w:val="18"/>
                <w:szCs w:val="18"/>
              </w:rPr>
            </w:pPr>
            <w:r>
              <w:rPr>
                <w:rFonts w:ascii="Calibri" w:eastAsia="Calibri" w:hAnsi="Calibri" w:cs="Calibri"/>
                <w:sz w:val="18"/>
                <w:szCs w:val="18"/>
              </w:rPr>
              <w:t>Transfer appeal</w:t>
            </w:r>
          </w:p>
        </w:tc>
        <w:tc>
          <w:tcPr>
            <w:tcW w:w="1350" w:type="dxa"/>
            <w:tcBorders>
              <w:top w:val="nil"/>
              <w:left w:val="nil"/>
              <w:bottom w:val="single" w:sz="4" w:space="0" w:color="000000"/>
              <w:right w:val="single" w:sz="4" w:space="0" w:color="000000"/>
            </w:tcBorders>
            <w:vAlign w:val="center"/>
          </w:tcPr>
          <w:p w:rsidR="00BC3107" w:rsidP="00042AFB" w14:paraId="1FB4E720" w14:textId="77777777">
            <w:pPr>
              <w:widowControl/>
              <w:jc w:val="center"/>
              <w:rPr>
                <w:rFonts w:ascii="Calibri" w:eastAsia="Calibri" w:hAnsi="Calibri" w:cs="Calibri"/>
                <w:color w:val="000000"/>
                <w:sz w:val="18"/>
                <w:szCs w:val="18"/>
              </w:rPr>
            </w:pPr>
            <w:r>
              <w:rPr>
                <w:rFonts w:ascii="Calibri" w:eastAsia="Calibri" w:hAnsi="Calibri" w:cs="Calibri"/>
                <w:sz w:val="18"/>
                <w:szCs w:val="18"/>
              </w:rPr>
              <w:t>License holder</w:t>
            </w:r>
            <w:r>
              <w:rPr>
                <w:rFonts w:ascii="Calibri" w:eastAsia="Calibri" w:hAnsi="Calibri" w:cs="Calibri"/>
                <w:color w:val="000000"/>
                <w:sz w:val="18"/>
                <w:szCs w:val="18"/>
              </w:rPr>
              <w:t> </w:t>
            </w:r>
          </w:p>
        </w:tc>
        <w:tc>
          <w:tcPr>
            <w:tcW w:w="1260" w:type="dxa"/>
            <w:tcBorders>
              <w:top w:val="nil"/>
              <w:left w:val="nil"/>
              <w:bottom w:val="single" w:sz="4" w:space="0" w:color="000000"/>
              <w:right w:val="single" w:sz="4" w:space="0" w:color="000000"/>
            </w:tcBorders>
            <w:vAlign w:val="center"/>
          </w:tcPr>
          <w:p w:rsidR="00BC3107" w:rsidRPr="00940598" w:rsidP="00042AFB" w14:paraId="7A137D34" w14:textId="77777777">
            <w:pPr>
              <w:widowControl/>
              <w:jc w:val="center"/>
              <w:rPr>
                <w:rFonts w:ascii="Calibri" w:eastAsia="Calibri" w:hAnsi="Calibri" w:cs="Calibri"/>
                <w:color w:val="000000"/>
                <w:sz w:val="18"/>
                <w:szCs w:val="18"/>
              </w:rPr>
            </w:pPr>
            <w:r w:rsidRPr="00940598">
              <w:rPr>
                <w:rFonts w:ascii="Calibri" w:eastAsia="Calibri" w:hAnsi="Calibri" w:cs="Calibri"/>
                <w:color w:val="000000"/>
                <w:sz w:val="18"/>
                <w:szCs w:val="18"/>
              </w:rPr>
              <w:t>1</w:t>
            </w:r>
            <w:r w:rsidRPr="00940598">
              <w:rPr>
                <w:rFonts w:ascii="Calibri" w:eastAsia="Calibri" w:hAnsi="Calibri" w:cs="Calibri"/>
                <w:sz w:val="18"/>
                <w:szCs w:val="18"/>
                <w:vertAlign w:val="superscript"/>
              </w:rPr>
              <w:t>2</w:t>
            </w:r>
          </w:p>
        </w:tc>
        <w:tc>
          <w:tcPr>
            <w:tcW w:w="1170" w:type="dxa"/>
            <w:tcBorders>
              <w:top w:val="nil"/>
              <w:left w:val="nil"/>
              <w:bottom w:val="single" w:sz="4" w:space="0" w:color="000000"/>
              <w:right w:val="single" w:sz="4" w:space="0" w:color="000000"/>
            </w:tcBorders>
            <w:vAlign w:val="center"/>
          </w:tcPr>
          <w:p w:rsidR="00BC3107" w:rsidRPr="00940598" w:rsidP="00042AFB" w14:paraId="58B73823" w14:textId="77777777">
            <w:pPr>
              <w:widowControl/>
              <w:jc w:val="center"/>
              <w:rPr>
                <w:rFonts w:ascii="Calibri" w:eastAsia="Calibri" w:hAnsi="Calibri" w:cs="Calibri"/>
                <w:color w:val="000000"/>
                <w:sz w:val="18"/>
                <w:szCs w:val="18"/>
              </w:rPr>
            </w:pPr>
            <w:r w:rsidRPr="00940598">
              <w:rPr>
                <w:rFonts w:ascii="Calibri" w:eastAsia="Calibri" w:hAnsi="Calibri" w:cs="Calibri"/>
                <w:color w:val="000000"/>
                <w:sz w:val="18"/>
                <w:szCs w:val="18"/>
              </w:rPr>
              <w:t>1</w:t>
            </w:r>
          </w:p>
        </w:tc>
        <w:tc>
          <w:tcPr>
            <w:tcW w:w="1350" w:type="dxa"/>
            <w:tcBorders>
              <w:top w:val="nil"/>
              <w:left w:val="nil"/>
              <w:bottom w:val="single" w:sz="4" w:space="0" w:color="000000"/>
              <w:right w:val="single" w:sz="4" w:space="0" w:color="000000"/>
            </w:tcBorders>
            <w:vAlign w:val="center"/>
          </w:tcPr>
          <w:p w:rsidR="00BC3107" w:rsidRPr="00940598" w:rsidP="00042AFB" w14:paraId="07F1877C" w14:textId="77777777">
            <w:pPr>
              <w:widowControl/>
              <w:jc w:val="center"/>
              <w:rPr>
                <w:rFonts w:ascii="Calibri" w:eastAsia="Calibri" w:hAnsi="Calibri" w:cs="Calibri"/>
                <w:color w:val="000000"/>
                <w:sz w:val="18"/>
                <w:szCs w:val="18"/>
              </w:rPr>
            </w:pPr>
            <w:r w:rsidRPr="00940598">
              <w:rPr>
                <w:rFonts w:ascii="Calibri" w:eastAsia="Calibri" w:hAnsi="Calibri" w:cs="Calibri"/>
                <w:color w:val="000000"/>
                <w:sz w:val="18"/>
                <w:szCs w:val="18"/>
              </w:rPr>
              <w:t>1</w:t>
            </w:r>
          </w:p>
        </w:tc>
        <w:tc>
          <w:tcPr>
            <w:tcW w:w="1350" w:type="dxa"/>
            <w:tcBorders>
              <w:top w:val="nil"/>
              <w:left w:val="nil"/>
              <w:bottom w:val="single" w:sz="4" w:space="0" w:color="000000"/>
              <w:right w:val="single" w:sz="4" w:space="0" w:color="000000"/>
            </w:tcBorders>
            <w:vAlign w:val="center"/>
          </w:tcPr>
          <w:p w:rsidR="00BC3107" w:rsidRPr="00940598" w:rsidP="00042AFB" w14:paraId="57E761AF" w14:textId="77777777">
            <w:pPr>
              <w:widowControl/>
              <w:jc w:val="center"/>
              <w:rPr>
                <w:rFonts w:ascii="Calibri" w:eastAsia="Calibri" w:hAnsi="Calibri" w:cs="Calibri"/>
                <w:color w:val="000000"/>
                <w:sz w:val="18"/>
                <w:szCs w:val="18"/>
              </w:rPr>
            </w:pPr>
            <w:r w:rsidRPr="00940598">
              <w:rPr>
                <w:rFonts w:ascii="Calibri" w:eastAsia="Calibri" w:hAnsi="Calibri" w:cs="Calibri"/>
                <w:color w:val="000000"/>
                <w:sz w:val="18"/>
                <w:szCs w:val="18"/>
              </w:rPr>
              <w:t>4 hours</w:t>
            </w:r>
          </w:p>
        </w:tc>
        <w:tc>
          <w:tcPr>
            <w:tcW w:w="1528" w:type="dxa"/>
            <w:tcBorders>
              <w:top w:val="nil"/>
              <w:left w:val="nil"/>
              <w:bottom w:val="single" w:sz="4" w:space="0" w:color="000000"/>
              <w:right w:val="single" w:sz="4" w:space="0" w:color="000000"/>
            </w:tcBorders>
            <w:vAlign w:val="center"/>
          </w:tcPr>
          <w:p w:rsidR="00BC3107" w:rsidRPr="00940598" w:rsidP="00042AFB" w14:paraId="629B54E8" w14:textId="77777777">
            <w:pPr>
              <w:widowControl/>
              <w:jc w:val="center"/>
              <w:rPr>
                <w:rFonts w:ascii="Calibri" w:eastAsia="Calibri" w:hAnsi="Calibri" w:cs="Calibri"/>
                <w:color w:val="000000"/>
                <w:sz w:val="18"/>
                <w:szCs w:val="18"/>
              </w:rPr>
            </w:pPr>
            <w:r w:rsidRPr="00940598">
              <w:rPr>
                <w:rFonts w:ascii="Calibri" w:eastAsia="Calibri" w:hAnsi="Calibri" w:cs="Calibri"/>
                <w:color w:val="000000"/>
                <w:sz w:val="18"/>
                <w:szCs w:val="18"/>
              </w:rPr>
              <w:t>4</w:t>
            </w:r>
          </w:p>
        </w:tc>
        <w:tc>
          <w:tcPr>
            <w:tcW w:w="1583" w:type="dxa"/>
            <w:tcBorders>
              <w:top w:val="nil"/>
              <w:left w:val="nil"/>
              <w:bottom w:val="single" w:sz="4" w:space="0" w:color="000000"/>
              <w:right w:val="single" w:sz="4" w:space="0" w:color="000000"/>
            </w:tcBorders>
            <w:vAlign w:val="center"/>
          </w:tcPr>
          <w:p w:rsidR="00BC3107" w:rsidP="00042AFB" w14:paraId="7C153C6B" w14:textId="36949882">
            <w:pPr>
              <w:widowControl/>
              <w:jc w:val="center"/>
              <w:rPr>
                <w:rFonts w:ascii="Calibri" w:eastAsia="Calibri" w:hAnsi="Calibri" w:cs="Calibri"/>
                <w:color w:val="000000"/>
                <w:sz w:val="18"/>
                <w:szCs w:val="18"/>
              </w:rPr>
            </w:pPr>
            <w:r>
              <w:rPr>
                <w:rFonts w:ascii="Calibri" w:eastAsia="Calibri" w:hAnsi="Calibri" w:cs="Calibri"/>
                <w:color w:val="000000"/>
                <w:sz w:val="18"/>
                <w:szCs w:val="18"/>
              </w:rPr>
              <w:t>25.67</w:t>
            </w:r>
          </w:p>
        </w:tc>
        <w:tc>
          <w:tcPr>
            <w:tcW w:w="1592" w:type="dxa"/>
            <w:tcBorders>
              <w:top w:val="nil"/>
              <w:left w:val="nil"/>
              <w:bottom w:val="single" w:sz="4" w:space="0" w:color="000000"/>
              <w:right w:val="single" w:sz="8" w:space="0" w:color="000000"/>
            </w:tcBorders>
            <w:vAlign w:val="center"/>
          </w:tcPr>
          <w:p w:rsidR="00BC3107" w:rsidRPr="00940598" w:rsidP="00042AFB" w14:paraId="55BBC38A" w14:textId="0E73AEBD">
            <w:pPr>
              <w:widowControl/>
              <w:jc w:val="center"/>
              <w:rPr>
                <w:rFonts w:ascii="Calibri" w:eastAsia="Calibri" w:hAnsi="Calibri" w:cs="Calibri"/>
                <w:color w:val="000000"/>
                <w:sz w:val="18"/>
                <w:szCs w:val="18"/>
              </w:rPr>
            </w:pPr>
            <w:r w:rsidRPr="00940598">
              <w:rPr>
                <w:rFonts w:ascii="Calibri" w:eastAsia="Calibri" w:hAnsi="Calibri" w:cs="Calibri"/>
                <w:sz w:val="18"/>
                <w:szCs w:val="18"/>
              </w:rPr>
              <w:t>102.68</w:t>
            </w:r>
          </w:p>
        </w:tc>
      </w:tr>
      <w:tr w14:paraId="15025CDD" w14:textId="77777777" w:rsidTr="00042AFB">
        <w:tblPrEx>
          <w:tblW w:w="13603" w:type="dxa"/>
          <w:jc w:val="center"/>
          <w:tblLayout w:type="fixed"/>
          <w:tblLook w:val="0400"/>
        </w:tblPrEx>
        <w:trPr>
          <w:trHeight w:val="370"/>
          <w:jc w:val="center"/>
        </w:trPr>
        <w:tc>
          <w:tcPr>
            <w:tcW w:w="2420" w:type="dxa"/>
            <w:tcBorders>
              <w:top w:val="nil"/>
              <w:left w:val="single" w:sz="8" w:space="0" w:color="000000"/>
              <w:bottom w:val="single" w:sz="8" w:space="0" w:color="000000"/>
              <w:right w:val="single" w:sz="8" w:space="0" w:color="000000"/>
            </w:tcBorders>
            <w:shd w:val="clear" w:color="auto" w:fill="DDEBF7"/>
            <w:vAlign w:val="center"/>
          </w:tcPr>
          <w:p w:rsidR="00BC3107" w:rsidP="00042AFB" w14:paraId="5E70F53F" w14:textId="77777777">
            <w:pPr>
              <w:widowControl/>
              <w:rPr>
                <w:rFonts w:ascii="Calibri" w:eastAsia="Calibri" w:hAnsi="Calibri" w:cs="Calibri"/>
                <w:b/>
                <w:color w:val="000000"/>
              </w:rPr>
            </w:pPr>
            <w:r>
              <w:rPr>
                <w:rFonts w:ascii="Calibri" w:eastAsia="Calibri" w:hAnsi="Calibri" w:cs="Calibri"/>
                <w:b/>
                <w:color w:val="000000"/>
              </w:rPr>
              <w:t>Totals</w:t>
            </w:r>
          </w:p>
        </w:tc>
        <w:tc>
          <w:tcPr>
            <w:tcW w:w="1350" w:type="dxa"/>
            <w:tcBorders>
              <w:top w:val="nil"/>
              <w:left w:val="nil"/>
              <w:bottom w:val="single" w:sz="8" w:space="0" w:color="000000"/>
              <w:right w:val="single" w:sz="8" w:space="0" w:color="000000"/>
            </w:tcBorders>
            <w:shd w:val="clear" w:color="auto" w:fill="000000"/>
            <w:vAlign w:val="center"/>
          </w:tcPr>
          <w:p w:rsidR="00BC3107" w:rsidP="00042AFB" w14:paraId="2E7D576A" w14:textId="77777777">
            <w:pPr>
              <w:widowControl/>
              <w:rPr>
                <w:rFonts w:ascii="Calibri" w:eastAsia="Calibri" w:hAnsi="Calibri" w:cs="Calibri"/>
                <w:b/>
                <w:color w:val="000000"/>
              </w:rPr>
            </w:pPr>
            <w:r>
              <w:rPr>
                <w:rFonts w:ascii="Calibri" w:eastAsia="Calibri" w:hAnsi="Calibri" w:cs="Calibri"/>
                <w:b/>
                <w:color w:val="000000"/>
              </w:rPr>
              <w:t> </w:t>
            </w:r>
          </w:p>
        </w:tc>
        <w:tc>
          <w:tcPr>
            <w:tcW w:w="1260" w:type="dxa"/>
            <w:tcBorders>
              <w:top w:val="nil"/>
              <w:left w:val="nil"/>
              <w:bottom w:val="single" w:sz="8" w:space="0" w:color="000000"/>
              <w:right w:val="single" w:sz="8" w:space="0" w:color="000000"/>
            </w:tcBorders>
            <w:shd w:val="clear" w:color="auto" w:fill="000000"/>
            <w:vAlign w:val="center"/>
          </w:tcPr>
          <w:p w:rsidR="00BC3107" w:rsidP="00042AFB" w14:paraId="198F5C12" w14:textId="77777777">
            <w:pPr>
              <w:widowControl/>
              <w:jc w:val="center"/>
              <w:rPr>
                <w:rFonts w:ascii="Calibri" w:eastAsia="Calibri" w:hAnsi="Calibri" w:cs="Calibri"/>
                <w:b/>
                <w:color w:val="000000"/>
              </w:rPr>
            </w:pPr>
          </w:p>
        </w:tc>
        <w:tc>
          <w:tcPr>
            <w:tcW w:w="1170" w:type="dxa"/>
            <w:tcBorders>
              <w:top w:val="nil"/>
              <w:left w:val="nil"/>
              <w:bottom w:val="single" w:sz="8" w:space="0" w:color="000000"/>
              <w:right w:val="single" w:sz="8" w:space="0" w:color="000000"/>
            </w:tcBorders>
            <w:shd w:val="clear" w:color="auto" w:fill="000000"/>
            <w:vAlign w:val="center"/>
          </w:tcPr>
          <w:p w:rsidR="00BC3107" w:rsidP="00042AFB" w14:paraId="2BCBDADC" w14:textId="77777777">
            <w:pPr>
              <w:widowControl/>
              <w:jc w:val="center"/>
              <w:rPr>
                <w:rFonts w:ascii="Calibri" w:eastAsia="Calibri" w:hAnsi="Calibri" w:cs="Calibri"/>
                <w:b/>
                <w:color w:val="000000"/>
              </w:rPr>
            </w:pPr>
          </w:p>
        </w:tc>
        <w:tc>
          <w:tcPr>
            <w:tcW w:w="1350" w:type="dxa"/>
            <w:tcBorders>
              <w:top w:val="nil"/>
              <w:left w:val="nil"/>
              <w:bottom w:val="single" w:sz="8" w:space="0" w:color="000000"/>
              <w:right w:val="single" w:sz="8" w:space="0" w:color="000000"/>
            </w:tcBorders>
            <w:shd w:val="clear" w:color="auto" w:fill="DDEBF7"/>
            <w:vAlign w:val="center"/>
          </w:tcPr>
          <w:p w:rsidR="00BC3107" w:rsidP="00042AFB" w14:paraId="4697E5DD" w14:textId="4544A2C5">
            <w:pPr>
              <w:widowControl/>
              <w:jc w:val="center"/>
              <w:rPr>
                <w:rFonts w:ascii="Calibri" w:eastAsia="Calibri" w:hAnsi="Calibri" w:cs="Calibri"/>
                <w:b/>
                <w:color w:val="000000"/>
              </w:rPr>
            </w:pPr>
            <w:r>
              <w:rPr>
                <w:rFonts w:ascii="Calibri" w:eastAsia="Calibri" w:hAnsi="Calibri" w:cs="Calibri"/>
                <w:b/>
              </w:rPr>
              <w:t>35</w:t>
            </w:r>
          </w:p>
        </w:tc>
        <w:tc>
          <w:tcPr>
            <w:tcW w:w="1350" w:type="dxa"/>
            <w:tcBorders>
              <w:top w:val="nil"/>
              <w:left w:val="nil"/>
              <w:bottom w:val="single" w:sz="8" w:space="0" w:color="000000"/>
              <w:right w:val="single" w:sz="8" w:space="0" w:color="000000"/>
            </w:tcBorders>
            <w:shd w:val="clear" w:color="auto" w:fill="000000"/>
            <w:vAlign w:val="center"/>
          </w:tcPr>
          <w:p w:rsidR="00BC3107" w:rsidP="00042AFB" w14:paraId="4C5A351D" w14:textId="77777777">
            <w:pPr>
              <w:widowControl/>
              <w:jc w:val="center"/>
              <w:rPr>
                <w:rFonts w:ascii="Calibri" w:eastAsia="Calibri" w:hAnsi="Calibri" w:cs="Calibri"/>
                <w:b/>
                <w:color w:val="000000"/>
              </w:rPr>
            </w:pPr>
          </w:p>
        </w:tc>
        <w:tc>
          <w:tcPr>
            <w:tcW w:w="1528" w:type="dxa"/>
            <w:tcBorders>
              <w:top w:val="nil"/>
              <w:left w:val="nil"/>
              <w:bottom w:val="single" w:sz="8" w:space="0" w:color="000000"/>
              <w:right w:val="single" w:sz="8" w:space="0" w:color="000000"/>
            </w:tcBorders>
            <w:shd w:val="clear" w:color="auto" w:fill="DDEBF7"/>
            <w:vAlign w:val="center"/>
          </w:tcPr>
          <w:p w:rsidR="00BC3107" w:rsidP="00042AFB" w14:paraId="3BB46D9B" w14:textId="2811F678">
            <w:pPr>
              <w:widowControl/>
              <w:jc w:val="center"/>
              <w:rPr>
                <w:rFonts w:ascii="Calibri" w:eastAsia="Calibri" w:hAnsi="Calibri" w:cs="Calibri"/>
                <w:b/>
                <w:color w:val="000000"/>
              </w:rPr>
            </w:pPr>
            <w:r>
              <w:rPr>
                <w:rFonts w:ascii="Calibri" w:eastAsia="Calibri" w:hAnsi="Calibri" w:cs="Calibri"/>
                <w:b/>
              </w:rPr>
              <w:t>38</w:t>
            </w:r>
          </w:p>
        </w:tc>
        <w:tc>
          <w:tcPr>
            <w:tcW w:w="1583" w:type="dxa"/>
            <w:tcBorders>
              <w:top w:val="nil"/>
              <w:left w:val="nil"/>
              <w:bottom w:val="single" w:sz="8" w:space="0" w:color="000000"/>
              <w:right w:val="single" w:sz="8" w:space="0" w:color="000000"/>
            </w:tcBorders>
            <w:shd w:val="clear" w:color="auto" w:fill="000000"/>
            <w:vAlign w:val="center"/>
          </w:tcPr>
          <w:p w:rsidR="00BC3107" w:rsidP="00042AFB" w14:paraId="13DDA582" w14:textId="77777777">
            <w:pPr>
              <w:widowControl/>
              <w:jc w:val="center"/>
              <w:rPr>
                <w:rFonts w:ascii="Calibri" w:eastAsia="Calibri" w:hAnsi="Calibri" w:cs="Calibri"/>
                <w:b/>
                <w:color w:val="000000"/>
              </w:rPr>
            </w:pPr>
          </w:p>
        </w:tc>
        <w:tc>
          <w:tcPr>
            <w:tcW w:w="1592" w:type="dxa"/>
            <w:tcBorders>
              <w:top w:val="nil"/>
              <w:left w:val="nil"/>
              <w:bottom w:val="single" w:sz="8" w:space="0" w:color="000000"/>
              <w:right w:val="single" w:sz="8" w:space="0" w:color="000000"/>
            </w:tcBorders>
            <w:shd w:val="clear" w:color="auto" w:fill="DDEBF7"/>
            <w:vAlign w:val="center"/>
          </w:tcPr>
          <w:p w:rsidR="00BC3107" w:rsidRPr="00940598" w:rsidP="00042AFB" w14:paraId="392329AB" w14:textId="7C2EA8CE">
            <w:pPr>
              <w:widowControl/>
              <w:jc w:val="center"/>
              <w:rPr>
                <w:rFonts w:ascii="Calibri" w:eastAsia="Calibri" w:hAnsi="Calibri" w:cs="Calibri"/>
                <w:b/>
                <w:color w:val="000000"/>
              </w:rPr>
            </w:pPr>
            <w:r w:rsidRPr="00940598">
              <w:rPr>
                <w:rFonts w:ascii="Calibri" w:eastAsia="Calibri" w:hAnsi="Calibri" w:cs="Calibri"/>
                <w:b/>
                <w:color w:val="000000"/>
              </w:rPr>
              <w:t>$</w:t>
            </w:r>
            <w:r w:rsidRPr="00940598" w:rsidR="00940598">
              <w:rPr>
                <w:rFonts w:ascii="Calibri" w:eastAsia="Calibri" w:hAnsi="Calibri" w:cs="Calibri"/>
                <w:b/>
              </w:rPr>
              <w:t>975.46</w:t>
            </w:r>
          </w:p>
        </w:tc>
      </w:tr>
    </w:tbl>
    <w:p w:rsidR="00BC3107" w:rsidP="00BC3107" w14:paraId="16B158AA" w14:textId="0FB3BAFA">
      <w:pPr>
        <w:widowControl/>
        <w:spacing w:before="60"/>
        <w:ind w:left="144" w:hanging="144"/>
        <w:rPr>
          <w:rFonts w:ascii="Calibri" w:eastAsia="Calibri" w:hAnsi="Calibri" w:cs="Calibri"/>
          <w:sz w:val="18"/>
          <w:szCs w:val="18"/>
        </w:rPr>
      </w:pPr>
      <w:r w:rsidRPr="00C96FCA">
        <w:rPr>
          <w:rFonts w:ascii="Calibri" w:eastAsia="Calibri" w:hAnsi="Calibri" w:cs="Calibri"/>
          <w:sz w:val="18"/>
          <w:szCs w:val="18"/>
          <w:vertAlign w:val="superscript"/>
        </w:rPr>
        <w:t>1</w:t>
      </w:r>
      <w:r>
        <w:rPr>
          <w:rFonts w:ascii="Calibri" w:eastAsia="Calibri" w:hAnsi="Calibri" w:cs="Calibri"/>
          <w:sz w:val="18"/>
          <w:szCs w:val="18"/>
        </w:rPr>
        <w:t xml:space="preserve"> The number of respondents is calculated by using the average number of LLP license transfers over a 3-year period, then multiplying that by 2 because the application is completed by the transferor and transferee. For groundfish and crab, </w:t>
      </w:r>
      <w:r w:rsidRPr="00940598">
        <w:rPr>
          <w:rFonts w:ascii="Calibri" w:eastAsia="Calibri" w:hAnsi="Calibri" w:cs="Calibri"/>
          <w:sz w:val="18"/>
          <w:szCs w:val="18"/>
        </w:rPr>
        <w:t xml:space="preserve">there were </w:t>
      </w:r>
      <w:r w:rsidRPr="00940598" w:rsidR="00940598">
        <w:rPr>
          <w:rFonts w:ascii="Calibri" w:eastAsia="Calibri" w:hAnsi="Calibri" w:cs="Calibri"/>
          <w:sz w:val="18"/>
          <w:szCs w:val="18"/>
        </w:rPr>
        <w:t>22</w:t>
      </w:r>
      <w:r w:rsidRPr="00940598">
        <w:rPr>
          <w:rFonts w:ascii="Calibri" w:eastAsia="Calibri" w:hAnsi="Calibri" w:cs="Calibri"/>
          <w:sz w:val="18"/>
          <w:szCs w:val="18"/>
        </w:rPr>
        <w:t xml:space="preserve"> in </w:t>
      </w:r>
      <w:r w:rsidRPr="00940598" w:rsidR="00CB0A78">
        <w:rPr>
          <w:rFonts w:ascii="Calibri" w:eastAsia="Calibri" w:hAnsi="Calibri" w:cs="Calibri"/>
          <w:sz w:val="18"/>
          <w:szCs w:val="18"/>
        </w:rPr>
        <w:t>2023</w:t>
      </w:r>
      <w:r w:rsidRPr="00940598">
        <w:rPr>
          <w:rFonts w:ascii="Calibri" w:eastAsia="Calibri" w:hAnsi="Calibri" w:cs="Calibri"/>
          <w:sz w:val="18"/>
          <w:szCs w:val="18"/>
        </w:rPr>
        <w:t xml:space="preserve">, </w:t>
      </w:r>
      <w:r w:rsidRPr="00940598" w:rsidR="00940598">
        <w:rPr>
          <w:rFonts w:ascii="Calibri" w:eastAsia="Calibri" w:hAnsi="Calibri" w:cs="Calibri"/>
          <w:sz w:val="18"/>
          <w:szCs w:val="18"/>
        </w:rPr>
        <w:t>43</w:t>
      </w:r>
      <w:r w:rsidRPr="00940598">
        <w:rPr>
          <w:rFonts w:ascii="Calibri" w:eastAsia="Calibri" w:hAnsi="Calibri" w:cs="Calibri"/>
          <w:sz w:val="18"/>
          <w:szCs w:val="18"/>
        </w:rPr>
        <w:t xml:space="preserve"> in </w:t>
      </w:r>
      <w:r w:rsidRPr="00940598" w:rsidR="00CB0A78">
        <w:rPr>
          <w:rFonts w:ascii="Calibri" w:eastAsia="Calibri" w:hAnsi="Calibri" w:cs="Calibri"/>
          <w:sz w:val="18"/>
          <w:szCs w:val="18"/>
        </w:rPr>
        <w:t>2024</w:t>
      </w:r>
      <w:r w:rsidRPr="00940598">
        <w:rPr>
          <w:rFonts w:ascii="Calibri" w:eastAsia="Calibri" w:hAnsi="Calibri" w:cs="Calibri"/>
          <w:sz w:val="18"/>
          <w:szCs w:val="18"/>
        </w:rPr>
        <w:t xml:space="preserve">, and </w:t>
      </w:r>
      <w:r w:rsidRPr="00940598" w:rsidR="00940598">
        <w:rPr>
          <w:rFonts w:ascii="Calibri" w:eastAsia="Calibri" w:hAnsi="Calibri" w:cs="Calibri"/>
          <w:sz w:val="18"/>
          <w:szCs w:val="18"/>
        </w:rPr>
        <w:t>35</w:t>
      </w:r>
      <w:r w:rsidRPr="00940598">
        <w:rPr>
          <w:rFonts w:ascii="Calibri" w:eastAsia="Calibri" w:hAnsi="Calibri" w:cs="Calibri"/>
          <w:sz w:val="18"/>
          <w:szCs w:val="18"/>
        </w:rPr>
        <w:t xml:space="preserve"> in </w:t>
      </w:r>
      <w:r w:rsidRPr="00940598" w:rsidR="00CB0A78">
        <w:rPr>
          <w:rFonts w:ascii="Calibri" w:eastAsia="Calibri" w:hAnsi="Calibri" w:cs="Calibri"/>
          <w:sz w:val="18"/>
          <w:szCs w:val="18"/>
        </w:rPr>
        <w:t>2025</w:t>
      </w:r>
      <w:r w:rsidRPr="00940598">
        <w:rPr>
          <w:rFonts w:ascii="Calibri" w:eastAsia="Calibri" w:hAnsi="Calibri" w:cs="Calibri"/>
          <w:sz w:val="18"/>
          <w:szCs w:val="18"/>
        </w:rPr>
        <w:t xml:space="preserve"> for an average of </w:t>
      </w:r>
      <w:r w:rsidRPr="00940598" w:rsidR="00940598">
        <w:rPr>
          <w:rFonts w:ascii="Calibri" w:eastAsia="Calibri" w:hAnsi="Calibri" w:cs="Calibri"/>
          <w:sz w:val="18"/>
          <w:szCs w:val="18"/>
        </w:rPr>
        <w:t>33.33 (rounded to 33)</w:t>
      </w:r>
      <w:r w:rsidRPr="00940598">
        <w:rPr>
          <w:rFonts w:ascii="Calibri" w:eastAsia="Calibri" w:hAnsi="Calibri" w:cs="Calibri"/>
          <w:sz w:val="18"/>
          <w:szCs w:val="18"/>
        </w:rPr>
        <w:t xml:space="preserve"> transfer applications submitted annually, which equals </w:t>
      </w:r>
      <w:r w:rsidRPr="00940598" w:rsidR="00940598">
        <w:rPr>
          <w:rFonts w:ascii="Calibri" w:eastAsia="Calibri" w:hAnsi="Calibri" w:cs="Calibri"/>
          <w:sz w:val="18"/>
          <w:szCs w:val="18"/>
        </w:rPr>
        <w:t>66</w:t>
      </w:r>
      <w:r w:rsidRPr="00940598">
        <w:rPr>
          <w:rFonts w:ascii="Calibri" w:eastAsia="Calibri" w:hAnsi="Calibri" w:cs="Calibri"/>
          <w:sz w:val="18"/>
          <w:szCs w:val="18"/>
        </w:rPr>
        <w:t xml:space="preserve"> respondents per year. For scallop, there </w:t>
      </w:r>
      <w:r w:rsidRPr="00940598" w:rsidR="00940598">
        <w:rPr>
          <w:rFonts w:ascii="Calibri" w:eastAsia="Calibri" w:hAnsi="Calibri" w:cs="Calibri"/>
          <w:sz w:val="18"/>
          <w:szCs w:val="18"/>
        </w:rPr>
        <w:t>were zero transfers</w:t>
      </w:r>
      <w:r w:rsidRPr="00940598">
        <w:rPr>
          <w:rFonts w:ascii="Calibri" w:eastAsia="Calibri" w:hAnsi="Calibri" w:cs="Calibri"/>
          <w:sz w:val="18"/>
          <w:szCs w:val="18"/>
        </w:rPr>
        <w:t xml:space="preserve"> from </w:t>
      </w:r>
      <w:r w:rsidRPr="00940598" w:rsidR="00CB0A78">
        <w:rPr>
          <w:rFonts w:ascii="Calibri" w:eastAsia="Calibri" w:hAnsi="Calibri" w:cs="Calibri"/>
          <w:sz w:val="18"/>
          <w:szCs w:val="18"/>
        </w:rPr>
        <w:t>2023</w:t>
      </w:r>
      <w:r w:rsidRPr="00940598">
        <w:rPr>
          <w:rFonts w:ascii="Calibri" w:eastAsia="Calibri" w:hAnsi="Calibri" w:cs="Calibri"/>
          <w:sz w:val="18"/>
          <w:szCs w:val="18"/>
        </w:rPr>
        <w:t xml:space="preserve"> through </w:t>
      </w:r>
      <w:r w:rsidRPr="00940598" w:rsidR="00CB0A78">
        <w:rPr>
          <w:rFonts w:ascii="Calibri" w:eastAsia="Calibri" w:hAnsi="Calibri" w:cs="Calibri"/>
          <w:sz w:val="18"/>
          <w:szCs w:val="18"/>
        </w:rPr>
        <w:t>2025</w:t>
      </w:r>
      <w:r w:rsidRPr="00940598">
        <w:rPr>
          <w:rFonts w:ascii="Calibri" w:eastAsia="Calibri" w:hAnsi="Calibri" w:cs="Calibri"/>
          <w:sz w:val="18"/>
          <w:szCs w:val="18"/>
        </w:rPr>
        <w:t>. For purposes</w:t>
      </w:r>
      <w:r>
        <w:rPr>
          <w:rFonts w:ascii="Calibri" w:eastAsia="Calibri" w:hAnsi="Calibri" w:cs="Calibri"/>
          <w:sz w:val="18"/>
          <w:szCs w:val="18"/>
        </w:rPr>
        <w:t xml:space="preserve"> of this analysis, NMFS is assuming it may receive </w:t>
      </w:r>
      <w:r w:rsidR="00940598">
        <w:rPr>
          <w:rFonts w:ascii="Calibri" w:eastAsia="Calibri" w:hAnsi="Calibri" w:cs="Calibri"/>
          <w:sz w:val="18"/>
          <w:szCs w:val="18"/>
        </w:rPr>
        <w:t>1</w:t>
      </w:r>
      <w:r>
        <w:rPr>
          <w:rFonts w:ascii="Calibri" w:eastAsia="Calibri" w:hAnsi="Calibri" w:cs="Calibri"/>
          <w:sz w:val="18"/>
          <w:szCs w:val="18"/>
        </w:rPr>
        <w:t xml:space="preserve"> scallop transfer application annually, which equals 2 respondents per year. </w:t>
      </w:r>
    </w:p>
    <w:p w:rsidR="00BC3107" w:rsidP="00BC3107" w14:paraId="0D97B0B6" w14:textId="2CA32516">
      <w:pPr>
        <w:spacing w:line="259" w:lineRule="auto"/>
        <w:ind w:hanging="43"/>
        <w:rPr>
          <w:b/>
          <w:highlight w:val="yellow"/>
        </w:rPr>
        <w:sectPr>
          <w:pgSz w:w="15840" w:h="12240" w:orient="landscape"/>
          <w:pgMar w:top="640" w:right="1080" w:bottom="1200" w:left="1080" w:header="0" w:footer="714" w:gutter="0"/>
          <w:cols w:space="720"/>
        </w:sectPr>
      </w:pPr>
      <w:r w:rsidRPr="00C96FCA">
        <w:rPr>
          <w:rFonts w:ascii="Calibri" w:eastAsia="Calibri" w:hAnsi="Calibri" w:cs="Calibri"/>
          <w:sz w:val="18"/>
          <w:szCs w:val="18"/>
          <w:vertAlign w:val="superscript"/>
        </w:rPr>
        <w:t>2</w:t>
      </w:r>
      <w:r>
        <w:rPr>
          <w:rFonts w:ascii="Calibri" w:eastAsia="Calibri" w:hAnsi="Calibri" w:cs="Calibri"/>
          <w:sz w:val="18"/>
          <w:szCs w:val="18"/>
        </w:rPr>
        <w:t xml:space="preserve"> To date, no appeals have been filed. For purposes of this analysis, 1 response is used.</w:t>
      </w:r>
    </w:p>
    <w:p w:rsidR="00AB1A5B" w14:paraId="0F62E2C7" w14:textId="77777777">
      <w:pPr>
        <w:spacing w:line="259" w:lineRule="auto"/>
        <w:ind w:hanging="43"/>
        <w:rPr>
          <w:b/>
          <w:highlight w:val="yellow"/>
        </w:rPr>
      </w:pPr>
    </w:p>
    <w:p w:rsidR="00AB1A5B" w:rsidP="00277B26" w14:paraId="5FA2A9A8" w14:textId="39417540">
      <w:pPr>
        <w:pStyle w:val="Heading2"/>
        <w:numPr>
          <w:ilvl w:val="0"/>
          <w:numId w:val="0"/>
        </w:numPr>
      </w:pPr>
      <w:r>
        <w:t xml:space="preserve">13. </w:t>
      </w:r>
      <w:r w:rsidR="00226B0D">
        <w:t>Provide an estimate for the total annual cost burden to respondents or record keepers resulting from the collection of information. (Do not include the cost of any hour burden already reflected on the burden worksheet).</w:t>
      </w:r>
    </w:p>
    <w:p w:rsidR="00BC3107" w14:paraId="24AC4B9C" w14:textId="00DD577F">
      <w:pPr>
        <w:rPr>
          <w:b/>
          <w:color w:val="FF0000"/>
        </w:rPr>
      </w:pPr>
    </w:p>
    <w:p w:rsidR="00BC3107" w:rsidP="00BC3107" w14:paraId="2D4BE15F" w14:textId="77777777">
      <w:pPr>
        <w:widowControl/>
        <w:pBdr>
          <w:top w:val="nil"/>
          <w:left w:val="nil"/>
          <w:bottom w:val="nil"/>
          <w:right w:val="nil"/>
          <w:between w:val="nil"/>
        </w:pBdr>
        <w:rPr>
          <w:color w:val="000000"/>
        </w:rPr>
      </w:pPr>
      <w:r w:rsidRPr="00807C2A">
        <w:rPr>
          <w:color w:val="000000"/>
        </w:rPr>
        <w:t>Operating costs account for the typical inclusive general office services packages that include expenses for email, fax, copying, mailing, printing, and internet.</w:t>
      </w:r>
    </w:p>
    <w:p w:rsidR="00BC3107" w:rsidRPr="00807C2A" w:rsidP="00BC3107" w14:paraId="5311C291" w14:textId="77777777">
      <w:pPr>
        <w:widowControl/>
        <w:pBdr>
          <w:top w:val="nil"/>
          <w:left w:val="nil"/>
          <w:bottom w:val="nil"/>
          <w:right w:val="nil"/>
          <w:between w:val="nil"/>
        </w:pBdr>
        <w:rPr>
          <w:color w:val="000000"/>
        </w:rPr>
      </w:pPr>
    </w:p>
    <w:tbl>
      <w:tblPr>
        <w:tblStyle w:val="ac"/>
        <w:tblW w:w="9474" w:type="dxa"/>
        <w:jc w:val="center"/>
        <w:tblLayout w:type="fixed"/>
        <w:tblLook w:val="0400"/>
      </w:tblPr>
      <w:tblGrid>
        <w:gridCol w:w="2330"/>
        <w:gridCol w:w="1350"/>
        <w:gridCol w:w="1329"/>
        <w:gridCol w:w="1248"/>
        <w:gridCol w:w="1806"/>
        <w:gridCol w:w="1411"/>
      </w:tblGrid>
      <w:tr w14:paraId="1A88D289" w14:textId="77777777" w:rsidTr="00042AFB">
        <w:tblPrEx>
          <w:tblW w:w="9474" w:type="dxa"/>
          <w:jc w:val="center"/>
          <w:tblLayout w:type="fixed"/>
          <w:tblLook w:val="0400"/>
        </w:tblPrEx>
        <w:trPr>
          <w:trHeight w:val="816"/>
          <w:jc w:val="center"/>
        </w:trPr>
        <w:tc>
          <w:tcPr>
            <w:tcW w:w="233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BC3107" w:rsidRPr="00303BB2" w:rsidP="00042AFB" w14:paraId="6B621255" w14:textId="77777777">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Information Collection</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BC3107" w:rsidRPr="00303BB2" w:rsidP="00042AFB" w14:paraId="2C664908" w14:textId="77777777">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 of Respondents/year</w:t>
            </w:r>
            <w:r w:rsidRPr="00303BB2">
              <w:rPr>
                <w:rFonts w:ascii="Calibri" w:eastAsia="Calibri" w:hAnsi="Calibri" w:cs="Calibri"/>
                <w:b/>
                <w:color w:val="000000"/>
                <w:sz w:val="18"/>
                <w:szCs w:val="18"/>
              </w:rPr>
              <w:br/>
              <w:t>(a)</w:t>
            </w:r>
          </w:p>
        </w:tc>
        <w:tc>
          <w:tcPr>
            <w:tcW w:w="1329" w:type="dxa"/>
            <w:tcBorders>
              <w:top w:val="single" w:sz="8" w:space="0" w:color="000000"/>
              <w:left w:val="nil"/>
              <w:bottom w:val="single" w:sz="8" w:space="0" w:color="000000"/>
              <w:right w:val="single" w:sz="8" w:space="0" w:color="000000"/>
            </w:tcBorders>
            <w:shd w:val="clear" w:color="auto" w:fill="BDD7EE"/>
            <w:vAlign w:val="center"/>
          </w:tcPr>
          <w:p w:rsidR="00BC3107" w:rsidRPr="00303BB2" w:rsidP="00042AFB" w14:paraId="6B0C7F03" w14:textId="77777777">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Annual # of Responses / Respondent</w:t>
            </w:r>
            <w:r w:rsidRPr="00303BB2">
              <w:rPr>
                <w:rFonts w:ascii="Calibri" w:eastAsia="Calibri" w:hAnsi="Calibri" w:cs="Calibri"/>
                <w:b/>
                <w:color w:val="000000"/>
                <w:sz w:val="18"/>
                <w:szCs w:val="18"/>
              </w:rPr>
              <w:br/>
              <w:t>(b)</w:t>
            </w:r>
          </w:p>
        </w:tc>
        <w:tc>
          <w:tcPr>
            <w:tcW w:w="1248" w:type="dxa"/>
            <w:tcBorders>
              <w:top w:val="single" w:sz="8" w:space="0" w:color="000000"/>
              <w:left w:val="nil"/>
              <w:bottom w:val="single" w:sz="8" w:space="0" w:color="000000"/>
              <w:right w:val="single" w:sz="8" w:space="0" w:color="000000"/>
            </w:tcBorders>
            <w:shd w:val="clear" w:color="auto" w:fill="BDD7EE"/>
            <w:vAlign w:val="center"/>
          </w:tcPr>
          <w:p w:rsidR="00BC3107" w:rsidRPr="00303BB2" w:rsidP="00042AFB" w14:paraId="59717E64" w14:textId="77777777">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 xml:space="preserve"> Total # of Annual Responses</w:t>
            </w:r>
            <w:r w:rsidRPr="00303BB2">
              <w:rPr>
                <w:rFonts w:ascii="Calibri" w:eastAsia="Calibri" w:hAnsi="Calibri" w:cs="Calibri"/>
                <w:b/>
                <w:color w:val="000000"/>
                <w:sz w:val="18"/>
                <w:szCs w:val="18"/>
              </w:rPr>
              <w:br/>
              <w:t>(c) = (a) x (b)</w:t>
            </w:r>
          </w:p>
        </w:tc>
        <w:tc>
          <w:tcPr>
            <w:tcW w:w="1806" w:type="dxa"/>
            <w:tcBorders>
              <w:top w:val="single" w:sz="8" w:space="0" w:color="000000"/>
              <w:left w:val="nil"/>
              <w:bottom w:val="single" w:sz="8" w:space="0" w:color="000000"/>
              <w:right w:val="single" w:sz="8" w:space="0" w:color="000000"/>
            </w:tcBorders>
            <w:shd w:val="clear" w:color="auto" w:fill="BDD7EE"/>
            <w:vAlign w:val="center"/>
          </w:tcPr>
          <w:p w:rsidR="00BC3107" w:rsidRPr="00303BB2" w:rsidP="00042AFB" w14:paraId="720A962C" w14:textId="77777777">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Cost Burden / Respondent</w:t>
            </w:r>
            <w:r w:rsidRPr="00303BB2">
              <w:rPr>
                <w:rFonts w:ascii="Calibri" w:eastAsia="Calibri" w:hAnsi="Calibri" w:cs="Calibri"/>
                <w:b/>
                <w:color w:val="000000"/>
                <w:sz w:val="18"/>
                <w:szCs w:val="18"/>
              </w:rPr>
              <w:br/>
              <w:t>(h)</w:t>
            </w:r>
          </w:p>
        </w:tc>
        <w:tc>
          <w:tcPr>
            <w:tcW w:w="1411" w:type="dxa"/>
            <w:tcBorders>
              <w:top w:val="single" w:sz="8" w:space="0" w:color="000000"/>
              <w:left w:val="nil"/>
              <w:bottom w:val="single" w:sz="8" w:space="0" w:color="000000"/>
              <w:right w:val="single" w:sz="8" w:space="0" w:color="000000"/>
            </w:tcBorders>
            <w:shd w:val="clear" w:color="auto" w:fill="BDD7EE"/>
            <w:vAlign w:val="center"/>
          </w:tcPr>
          <w:p w:rsidR="00BC3107" w:rsidRPr="00303BB2" w:rsidP="00042AFB" w14:paraId="1B2FF9A4" w14:textId="77777777">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Total Annual Cost Burden</w:t>
            </w:r>
            <w:r w:rsidRPr="00303BB2">
              <w:rPr>
                <w:rFonts w:ascii="Calibri" w:eastAsia="Calibri" w:hAnsi="Calibri" w:cs="Calibri"/>
                <w:b/>
                <w:color w:val="000000"/>
                <w:sz w:val="18"/>
                <w:szCs w:val="18"/>
              </w:rPr>
              <w:br/>
              <w:t>(</w:t>
            </w:r>
            <w:r w:rsidRPr="00303BB2">
              <w:rPr>
                <w:rFonts w:ascii="Calibri" w:eastAsia="Calibri" w:hAnsi="Calibri" w:cs="Calibri"/>
                <w:b/>
                <w:color w:val="000000"/>
                <w:sz w:val="18"/>
                <w:szCs w:val="18"/>
              </w:rPr>
              <w:t>i</w:t>
            </w:r>
            <w:r w:rsidRPr="00303BB2">
              <w:rPr>
                <w:rFonts w:ascii="Calibri" w:eastAsia="Calibri" w:hAnsi="Calibri" w:cs="Calibri"/>
                <w:b/>
                <w:color w:val="000000"/>
                <w:sz w:val="18"/>
                <w:szCs w:val="18"/>
              </w:rPr>
              <w:t>) = (a) x (h)</w:t>
            </w:r>
          </w:p>
        </w:tc>
      </w:tr>
      <w:tr w14:paraId="74945139" w14:textId="77777777" w:rsidTr="00042AFB">
        <w:tblPrEx>
          <w:tblW w:w="9474" w:type="dxa"/>
          <w:jc w:val="center"/>
          <w:tblLayout w:type="fixed"/>
          <w:tblLook w:val="0400"/>
        </w:tblPrEx>
        <w:trPr>
          <w:trHeight w:val="791"/>
          <w:jc w:val="center"/>
        </w:trPr>
        <w:tc>
          <w:tcPr>
            <w:tcW w:w="2330" w:type="dxa"/>
            <w:tcBorders>
              <w:top w:val="nil"/>
              <w:left w:val="single" w:sz="8" w:space="0" w:color="000000"/>
              <w:bottom w:val="single" w:sz="4" w:space="0" w:color="000000"/>
              <w:right w:val="single" w:sz="4" w:space="0" w:color="000000"/>
            </w:tcBorders>
            <w:vAlign w:val="center"/>
          </w:tcPr>
          <w:p w:rsidR="00BC3107" w:rsidRPr="00C96FCA" w:rsidP="00042AFB" w14:paraId="0E018FF7" w14:textId="77777777">
            <w:pPr>
              <w:widowControl/>
              <w:rPr>
                <w:rFonts w:ascii="Calibri" w:eastAsia="Calibri" w:hAnsi="Calibri" w:cs="Calibri"/>
                <w:color w:val="000000"/>
                <w:sz w:val="18"/>
                <w:szCs w:val="18"/>
              </w:rPr>
            </w:pPr>
            <w:r w:rsidRPr="00C96FCA">
              <w:rPr>
                <w:rFonts w:ascii="Calibri" w:eastAsia="Calibri" w:hAnsi="Calibri" w:cs="Calibri"/>
                <w:sz w:val="18"/>
                <w:szCs w:val="18"/>
              </w:rPr>
              <w:t>Application for the transfer of groundfish and crab LLP licenses</w:t>
            </w:r>
          </w:p>
        </w:tc>
        <w:tc>
          <w:tcPr>
            <w:tcW w:w="1350" w:type="dxa"/>
            <w:tcBorders>
              <w:top w:val="nil"/>
              <w:left w:val="nil"/>
              <w:bottom w:val="single" w:sz="4" w:space="0" w:color="000000"/>
              <w:right w:val="single" w:sz="4" w:space="0" w:color="000000"/>
            </w:tcBorders>
            <w:shd w:val="clear" w:color="auto" w:fill="FFFFFF"/>
            <w:vAlign w:val="center"/>
          </w:tcPr>
          <w:p w:rsidR="00BC3107" w:rsidRPr="00464628" w:rsidP="00042AFB" w14:paraId="6CFCA110" w14:textId="5DAF7E9F">
            <w:pPr>
              <w:widowControl/>
              <w:jc w:val="center"/>
              <w:rPr>
                <w:rFonts w:ascii="Calibri" w:eastAsia="Calibri" w:hAnsi="Calibri" w:cs="Calibri"/>
                <w:color w:val="000000"/>
                <w:sz w:val="18"/>
                <w:szCs w:val="18"/>
              </w:rPr>
            </w:pPr>
            <w:r w:rsidRPr="00464628">
              <w:rPr>
                <w:rFonts w:ascii="Calibri" w:eastAsia="Calibri" w:hAnsi="Calibri" w:cs="Calibri"/>
                <w:sz w:val="18"/>
                <w:szCs w:val="18"/>
              </w:rPr>
              <w:t>66</w:t>
            </w:r>
          </w:p>
        </w:tc>
        <w:tc>
          <w:tcPr>
            <w:tcW w:w="1329" w:type="dxa"/>
            <w:tcBorders>
              <w:top w:val="nil"/>
              <w:left w:val="nil"/>
              <w:bottom w:val="single" w:sz="4" w:space="0" w:color="000000"/>
              <w:right w:val="single" w:sz="4" w:space="0" w:color="000000"/>
            </w:tcBorders>
            <w:shd w:val="clear" w:color="auto" w:fill="FFFFFF"/>
            <w:vAlign w:val="center"/>
          </w:tcPr>
          <w:p w:rsidR="00BC3107" w:rsidRPr="00464628" w:rsidP="00042AFB" w14:paraId="32BBD4B4" w14:textId="77777777">
            <w:pPr>
              <w:widowControl/>
              <w:jc w:val="center"/>
              <w:rPr>
                <w:rFonts w:ascii="Calibri" w:eastAsia="Calibri" w:hAnsi="Calibri" w:cs="Calibri"/>
                <w:color w:val="000000"/>
                <w:sz w:val="18"/>
                <w:szCs w:val="18"/>
              </w:rPr>
            </w:pPr>
            <w:r w:rsidRPr="00464628">
              <w:rPr>
                <w:rFonts w:ascii="Calibri" w:eastAsia="Calibri" w:hAnsi="Calibri" w:cs="Calibri"/>
                <w:sz w:val="18"/>
                <w:szCs w:val="18"/>
              </w:rPr>
              <w:t>1</w:t>
            </w:r>
          </w:p>
        </w:tc>
        <w:tc>
          <w:tcPr>
            <w:tcW w:w="1248" w:type="dxa"/>
            <w:tcBorders>
              <w:top w:val="nil"/>
              <w:left w:val="nil"/>
              <w:bottom w:val="single" w:sz="4" w:space="0" w:color="000000"/>
              <w:right w:val="single" w:sz="4" w:space="0" w:color="000000"/>
            </w:tcBorders>
            <w:shd w:val="clear" w:color="auto" w:fill="FFFFFF"/>
            <w:vAlign w:val="center"/>
          </w:tcPr>
          <w:p w:rsidR="00BC3107" w:rsidRPr="00464628" w:rsidP="00042AFB" w14:paraId="6ADBDAD3" w14:textId="1081E932">
            <w:pPr>
              <w:widowControl/>
              <w:jc w:val="center"/>
              <w:rPr>
                <w:rFonts w:ascii="Calibri" w:eastAsia="Calibri" w:hAnsi="Calibri" w:cs="Calibri"/>
                <w:color w:val="000000"/>
                <w:sz w:val="18"/>
                <w:szCs w:val="18"/>
              </w:rPr>
            </w:pPr>
            <w:r w:rsidRPr="00464628">
              <w:rPr>
                <w:rFonts w:ascii="Calibri" w:eastAsia="Calibri" w:hAnsi="Calibri" w:cs="Calibri"/>
                <w:sz w:val="18"/>
                <w:szCs w:val="18"/>
              </w:rPr>
              <w:t>33</w:t>
            </w:r>
          </w:p>
        </w:tc>
        <w:tc>
          <w:tcPr>
            <w:tcW w:w="1806" w:type="dxa"/>
            <w:tcBorders>
              <w:top w:val="nil"/>
              <w:left w:val="nil"/>
              <w:bottom w:val="single" w:sz="4" w:space="0" w:color="000000"/>
              <w:right w:val="single" w:sz="4" w:space="0" w:color="000000"/>
            </w:tcBorders>
            <w:shd w:val="clear" w:color="auto" w:fill="FFFFFF"/>
            <w:vAlign w:val="center"/>
          </w:tcPr>
          <w:p w:rsidR="00BC3107" w:rsidRPr="00464628" w:rsidP="00042AFB" w14:paraId="0F66BDE7" w14:textId="77777777">
            <w:pPr>
              <w:widowControl/>
              <w:jc w:val="center"/>
              <w:rPr>
                <w:rFonts w:ascii="Calibri" w:eastAsia="Calibri" w:hAnsi="Calibri" w:cs="Calibri"/>
                <w:color w:val="000000"/>
                <w:sz w:val="18"/>
                <w:szCs w:val="18"/>
              </w:rPr>
            </w:pPr>
            <w:r w:rsidRPr="00464628">
              <w:rPr>
                <w:rFonts w:ascii="Calibri" w:eastAsia="Calibri" w:hAnsi="Calibri" w:cs="Calibri"/>
                <w:color w:val="000000"/>
                <w:sz w:val="18"/>
                <w:szCs w:val="18"/>
              </w:rPr>
              <w:t>Operating costs – $5</w:t>
            </w:r>
          </w:p>
        </w:tc>
        <w:tc>
          <w:tcPr>
            <w:tcW w:w="1411" w:type="dxa"/>
            <w:tcBorders>
              <w:top w:val="nil"/>
              <w:left w:val="nil"/>
              <w:bottom w:val="single" w:sz="4" w:space="0" w:color="000000"/>
              <w:right w:val="single" w:sz="8" w:space="0" w:color="000000"/>
            </w:tcBorders>
            <w:shd w:val="clear" w:color="auto" w:fill="FFFFFF"/>
            <w:vAlign w:val="center"/>
          </w:tcPr>
          <w:p w:rsidR="00BC3107" w:rsidRPr="00464628" w:rsidP="00042AFB" w14:paraId="738FF419" w14:textId="4BF5EEE3">
            <w:pPr>
              <w:widowControl/>
              <w:jc w:val="center"/>
              <w:rPr>
                <w:rFonts w:ascii="Calibri" w:eastAsia="Calibri" w:hAnsi="Calibri" w:cs="Calibri"/>
                <w:color w:val="000000"/>
                <w:sz w:val="18"/>
                <w:szCs w:val="18"/>
              </w:rPr>
            </w:pPr>
            <w:r w:rsidRPr="00464628">
              <w:rPr>
                <w:rFonts w:ascii="Calibri" w:eastAsia="Calibri" w:hAnsi="Calibri" w:cs="Calibri"/>
                <w:sz w:val="18"/>
                <w:szCs w:val="18"/>
              </w:rPr>
              <w:t>330</w:t>
            </w:r>
          </w:p>
        </w:tc>
      </w:tr>
      <w:tr w14:paraId="25AEA983" w14:textId="77777777" w:rsidTr="00042AFB">
        <w:tblPrEx>
          <w:tblW w:w="9474" w:type="dxa"/>
          <w:jc w:val="center"/>
          <w:tblLayout w:type="fixed"/>
          <w:tblLook w:val="0400"/>
        </w:tblPrEx>
        <w:trPr>
          <w:trHeight w:val="656"/>
          <w:jc w:val="center"/>
        </w:trPr>
        <w:tc>
          <w:tcPr>
            <w:tcW w:w="2330" w:type="dxa"/>
            <w:tcBorders>
              <w:top w:val="nil"/>
              <w:left w:val="single" w:sz="8" w:space="0" w:color="000000"/>
              <w:bottom w:val="single" w:sz="4" w:space="0" w:color="000000"/>
              <w:right w:val="single" w:sz="4" w:space="0" w:color="000000"/>
            </w:tcBorders>
            <w:vAlign w:val="center"/>
          </w:tcPr>
          <w:p w:rsidR="00BC3107" w:rsidRPr="00C96FCA" w:rsidP="00042AFB" w14:paraId="78FCF881" w14:textId="77777777">
            <w:pPr>
              <w:widowControl/>
              <w:rPr>
                <w:rFonts w:ascii="Calibri" w:eastAsia="Calibri" w:hAnsi="Calibri" w:cs="Calibri"/>
                <w:color w:val="000000"/>
                <w:sz w:val="18"/>
                <w:szCs w:val="18"/>
              </w:rPr>
            </w:pPr>
            <w:r w:rsidRPr="00C96FCA">
              <w:rPr>
                <w:rFonts w:ascii="Calibri" w:eastAsia="Calibri" w:hAnsi="Calibri" w:cs="Calibri"/>
                <w:sz w:val="18"/>
                <w:szCs w:val="18"/>
              </w:rPr>
              <w:t xml:space="preserve">Application for the transfer of scallop LLP licenses </w:t>
            </w:r>
          </w:p>
        </w:tc>
        <w:tc>
          <w:tcPr>
            <w:tcW w:w="1350" w:type="dxa"/>
            <w:tcBorders>
              <w:top w:val="nil"/>
              <w:left w:val="nil"/>
              <w:bottom w:val="single" w:sz="4" w:space="0" w:color="000000"/>
              <w:right w:val="single" w:sz="4" w:space="0" w:color="000000"/>
            </w:tcBorders>
            <w:shd w:val="clear" w:color="auto" w:fill="FFFFFF"/>
            <w:vAlign w:val="center"/>
          </w:tcPr>
          <w:p w:rsidR="00BC3107" w:rsidRPr="00464628" w:rsidP="00042AFB" w14:paraId="1BD6765C" w14:textId="77777777">
            <w:pPr>
              <w:widowControl/>
              <w:jc w:val="center"/>
              <w:rPr>
                <w:rFonts w:ascii="Calibri" w:eastAsia="Calibri" w:hAnsi="Calibri" w:cs="Calibri"/>
                <w:color w:val="000000"/>
                <w:sz w:val="18"/>
                <w:szCs w:val="18"/>
              </w:rPr>
            </w:pPr>
            <w:r w:rsidRPr="00464628">
              <w:rPr>
                <w:rFonts w:ascii="Calibri" w:eastAsia="Calibri" w:hAnsi="Calibri" w:cs="Calibri"/>
                <w:sz w:val="18"/>
                <w:szCs w:val="18"/>
              </w:rPr>
              <w:t>2</w:t>
            </w:r>
          </w:p>
        </w:tc>
        <w:tc>
          <w:tcPr>
            <w:tcW w:w="1329" w:type="dxa"/>
            <w:tcBorders>
              <w:top w:val="nil"/>
              <w:left w:val="nil"/>
              <w:bottom w:val="single" w:sz="4" w:space="0" w:color="000000"/>
              <w:right w:val="single" w:sz="4" w:space="0" w:color="000000"/>
            </w:tcBorders>
            <w:shd w:val="clear" w:color="auto" w:fill="FFFFFF"/>
            <w:vAlign w:val="center"/>
          </w:tcPr>
          <w:p w:rsidR="00BC3107" w:rsidRPr="00464628" w:rsidP="00042AFB" w14:paraId="0D8766E4" w14:textId="77777777">
            <w:pPr>
              <w:widowControl/>
              <w:jc w:val="center"/>
              <w:rPr>
                <w:rFonts w:ascii="Calibri" w:eastAsia="Calibri" w:hAnsi="Calibri" w:cs="Calibri"/>
                <w:color w:val="000000"/>
                <w:sz w:val="18"/>
                <w:szCs w:val="18"/>
              </w:rPr>
            </w:pPr>
            <w:r w:rsidRPr="00464628">
              <w:rPr>
                <w:rFonts w:ascii="Calibri" w:eastAsia="Calibri" w:hAnsi="Calibri" w:cs="Calibri"/>
                <w:color w:val="000000"/>
                <w:sz w:val="18"/>
                <w:szCs w:val="18"/>
              </w:rPr>
              <w:t>1</w:t>
            </w:r>
          </w:p>
        </w:tc>
        <w:tc>
          <w:tcPr>
            <w:tcW w:w="1248" w:type="dxa"/>
            <w:tcBorders>
              <w:top w:val="nil"/>
              <w:left w:val="nil"/>
              <w:bottom w:val="single" w:sz="4" w:space="0" w:color="000000"/>
              <w:right w:val="single" w:sz="4" w:space="0" w:color="000000"/>
            </w:tcBorders>
            <w:shd w:val="clear" w:color="auto" w:fill="FFFFFF"/>
            <w:vAlign w:val="center"/>
          </w:tcPr>
          <w:p w:rsidR="00BC3107" w:rsidRPr="00464628" w:rsidP="00042AFB" w14:paraId="1E82E689" w14:textId="77777777">
            <w:pPr>
              <w:widowControl/>
              <w:jc w:val="center"/>
              <w:rPr>
                <w:rFonts w:ascii="Calibri" w:eastAsia="Calibri" w:hAnsi="Calibri" w:cs="Calibri"/>
                <w:color w:val="000000"/>
                <w:sz w:val="18"/>
                <w:szCs w:val="18"/>
              </w:rPr>
            </w:pPr>
            <w:r w:rsidRPr="00464628">
              <w:rPr>
                <w:rFonts w:ascii="Calibri" w:eastAsia="Calibri" w:hAnsi="Calibri" w:cs="Calibri"/>
                <w:sz w:val="18"/>
                <w:szCs w:val="18"/>
              </w:rPr>
              <w:t>1</w:t>
            </w:r>
          </w:p>
        </w:tc>
        <w:tc>
          <w:tcPr>
            <w:tcW w:w="1806" w:type="dxa"/>
            <w:tcBorders>
              <w:top w:val="nil"/>
              <w:left w:val="nil"/>
              <w:bottom w:val="single" w:sz="4" w:space="0" w:color="000000"/>
              <w:right w:val="single" w:sz="4" w:space="0" w:color="000000"/>
            </w:tcBorders>
            <w:shd w:val="clear" w:color="auto" w:fill="FFFFFF"/>
            <w:vAlign w:val="center"/>
          </w:tcPr>
          <w:p w:rsidR="00BC3107" w:rsidRPr="00464628" w:rsidP="00042AFB" w14:paraId="1ED2E7F8" w14:textId="77777777">
            <w:pPr>
              <w:widowControl/>
              <w:jc w:val="center"/>
              <w:rPr>
                <w:rFonts w:ascii="Calibri" w:eastAsia="Calibri" w:hAnsi="Calibri" w:cs="Calibri"/>
                <w:color w:val="000000"/>
                <w:sz w:val="18"/>
                <w:szCs w:val="18"/>
              </w:rPr>
            </w:pPr>
            <w:r w:rsidRPr="00464628">
              <w:rPr>
                <w:rFonts w:ascii="Calibri" w:eastAsia="Calibri" w:hAnsi="Calibri" w:cs="Calibri"/>
                <w:sz w:val="18"/>
                <w:szCs w:val="18"/>
              </w:rPr>
              <w:t>Operating costs – $5</w:t>
            </w:r>
          </w:p>
        </w:tc>
        <w:tc>
          <w:tcPr>
            <w:tcW w:w="1411" w:type="dxa"/>
            <w:tcBorders>
              <w:top w:val="nil"/>
              <w:left w:val="nil"/>
              <w:bottom w:val="single" w:sz="4" w:space="0" w:color="000000"/>
              <w:right w:val="single" w:sz="8" w:space="0" w:color="000000"/>
            </w:tcBorders>
            <w:shd w:val="clear" w:color="auto" w:fill="FFFFFF"/>
            <w:vAlign w:val="center"/>
          </w:tcPr>
          <w:p w:rsidR="00BC3107" w:rsidRPr="00464628" w:rsidP="00042AFB" w14:paraId="1C19D28A" w14:textId="77777777">
            <w:pPr>
              <w:widowControl/>
              <w:jc w:val="center"/>
              <w:rPr>
                <w:rFonts w:ascii="Calibri" w:eastAsia="Calibri" w:hAnsi="Calibri" w:cs="Calibri"/>
                <w:color w:val="000000"/>
                <w:sz w:val="18"/>
                <w:szCs w:val="18"/>
              </w:rPr>
            </w:pPr>
            <w:r w:rsidRPr="00464628">
              <w:rPr>
                <w:rFonts w:ascii="Calibri" w:eastAsia="Calibri" w:hAnsi="Calibri" w:cs="Calibri"/>
                <w:sz w:val="18"/>
                <w:szCs w:val="18"/>
              </w:rPr>
              <w:t>10</w:t>
            </w:r>
          </w:p>
        </w:tc>
      </w:tr>
      <w:tr w14:paraId="680F7F65" w14:textId="77777777" w:rsidTr="00042AFB">
        <w:tblPrEx>
          <w:tblW w:w="9474" w:type="dxa"/>
          <w:jc w:val="center"/>
          <w:tblLayout w:type="fixed"/>
          <w:tblLook w:val="0400"/>
        </w:tblPrEx>
        <w:trPr>
          <w:trHeight w:val="647"/>
          <w:jc w:val="center"/>
        </w:trPr>
        <w:tc>
          <w:tcPr>
            <w:tcW w:w="2330" w:type="dxa"/>
            <w:tcBorders>
              <w:top w:val="nil"/>
              <w:left w:val="single" w:sz="8" w:space="0" w:color="000000"/>
              <w:bottom w:val="single" w:sz="4" w:space="0" w:color="000000"/>
              <w:right w:val="single" w:sz="4" w:space="0" w:color="000000"/>
            </w:tcBorders>
            <w:vAlign w:val="center"/>
          </w:tcPr>
          <w:p w:rsidR="00BC3107" w:rsidRPr="00C96FCA" w:rsidP="00042AFB" w14:paraId="38A9D4F7" w14:textId="77777777">
            <w:pPr>
              <w:widowControl/>
              <w:rPr>
                <w:rFonts w:ascii="Calibri" w:eastAsia="Calibri" w:hAnsi="Calibri" w:cs="Calibri"/>
                <w:color w:val="000000"/>
                <w:sz w:val="18"/>
                <w:szCs w:val="18"/>
              </w:rPr>
            </w:pPr>
            <w:r w:rsidRPr="00C96FCA">
              <w:rPr>
                <w:rFonts w:ascii="Calibri" w:eastAsia="Calibri" w:hAnsi="Calibri" w:cs="Calibri"/>
                <w:sz w:val="18"/>
                <w:szCs w:val="18"/>
              </w:rPr>
              <w:t>Transfer appeal</w:t>
            </w:r>
          </w:p>
        </w:tc>
        <w:tc>
          <w:tcPr>
            <w:tcW w:w="1350" w:type="dxa"/>
            <w:tcBorders>
              <w:top w:val="nil"/>
              <w:left w:val="nil"/>
              <w:bottom w:val="single" w:sz="4" w:space="0" w:color="000000"/>
              <w:right w:val="single" w:sz="4" w:space="0" w:color="000000"/>
            </w:tcBorders>
            <w:shd w:val="clear" w:color="auto" w:fill="FFFFFF"/>
            <w:vAlign w:val="center"/>
          </w:tcPr>
          <w:p w:rsidR="00BC3107" w:rsidRPr="00464628" w:rsidP="00042AFB" w14:paraId="665BE16B" w14:textId="77777777">
            <w:pPr>
              <w:widowControl/>
              <w:jc w:val="center"/>
              <w:rPr>
                <w:rFonts w:ascii="Calibri" w:eastAsia="Calibri" w:hAnsi="Calibri" w:cs="Calibri"/>
                <w:color w:val="000000"/>
                <w:sz w:val="18"/>
                <w:szCs w:val="18"/>
              </w:rPr>
            </w:pPr>
            <w:r w:rsidRPr="00464628">
              <w:rPr>
                <w:rFonts w:ascii="Calibri" w:eastAsia="Calibri" w:hAnsi="Calibri" w:cs="Calibri"/>
                <w:sz w:val="18"/>
                <w:szCs w:val="18"/>
              </w:rPr>
              <w:t>1</w:t>
            </w:r>
          </w:p>
        </w:tc>
        <w:tc>
          <w:tcPr>
            <w:tcW w:w="1329" w:type="dxa"/>
            <w:tcBorders>
              <w:top w:val="nil"/>
              <w:left w:val="nil"/>
              <w:bottom w:val="single" w:sz="4" w:space="0" w:color="000000"/>
              <w:right w:val="single" w:sz="4" w:space="0" w:color="000000"/>
            </w:tcBorders>
            <w:shd w:val="clear" w:color="auto" w:fill="FFFFFF"/>
            <w:vAlign w:val="center"/>
          </w:tcPr>
          <w:p w:rsidR="00BC3107" w:rsidRPr="00464628" w:rsidP="00042AFB" w14:paraId="6DE3AFF8" w14:textId="77777777">
            <w:pPr>
              <w:widowControl/>
              <w:jc w:val="center"/>
              <w:rPr>
                <w:rFonts w:ascii="Calibri" w:eastAsia="Calibri" w:hAnsi="Calibri" w:cs="Calibri"/>
                <w:color w:val="000000"/>
                <w:sz w:val="18"/>
                <w:szCs w:val="18"/>
              </w:rPr>
            </w:pPr>
            <w:r w:rsidRPr="00464628">
              <w:rPr>
                <w:rFonts w:ascii="Calibri" w:eastAsia="Calibri" w:hAnsi="Calibri" w:cs="Calibri"/>
                <w:sz w:val="18"/>
                <w:szCs w:val="18"/>
              </w:rPr>
              <w:t>1</w:t>
            </w:r>
          </w:p>
        </w:tc>
        <w:tc>
          <w:tcPr>
            <w:tcW w:w="1248" w:type="dxa"/>
            <w:tcBorders>
              <w:top w:val="nil"/>
              <w:left w:val="nil"/>
              <w:bottom w:val="single" w:sz="4" w:space="0" w:color="000000"/>
              <w:right w:val="single" w:sz="4" w:space="0" w:color="000000"/>
            </w:tcBorders>
            <w:shd w:val="clear" w:color="auto" w:fill="FFFFFF"/>
            <w:vAlign w:val="center"/>
          </w:tcPr>
          <w:p w:rsidR="00BC3107" w:rsidRPr="00464628" w:rsidP="00042AFB" w14:paraId="52E29EB9" w14:textId="77777777">
            <w:pPr>
              <w:widowControl/>
              <w:jc w:val="center"/>
              <w:rPr>
                <w:rFonts w:ascii="Calibri" w:eastAsia="Calibri" w:hAnsi="Calibri" w:cs="Calibri"/>
                <w:color w:val="000000"/>
                <w:sz w:val="18"/>
                <w:szCs w:val="18"/>
              </w:rPr>
            </w:pPr>
            <w:r w:rsidRPr="00464628">
              <w:rPr>
                <w:rFonts w:ascii="Calibri" w:eastAsia="Calibri" w:hAnsi="Calibri" w:cs="Calibri"/>
                <w:sz w:val="18"/>
                <w:szCs w:val="18"/>
              </w:rPr>
              <w:t>1</w:t>
            </w:r>
          </w:p>
        </w:tc>
        <w:tc>
          <w:tcPr>
            <w:tcW w:w="1806" w:type="dxa"/>
            <w:tcBorders>
              <w:top w:val="nil"/>
              <w:left w:val="nil"/>
              <w:bottom w:val="single" w:sz="4" w:space="0" w:color="000000"/>
              <w:right w:val="single" w:sz="4" w:space="0" w:color="000000"/>
            </w:tcBorders>
            <w:shd w:val="clear" w:color="auto" w:fill="FFFFFF"/>
            <w:vAlign w:val="center"/>
          </w:tcPr>
          <w:p w:rsidR="00BC3107" w:rsidRPr="00464628" w:rsidP="00042AFB" w14:paraId="5AF0131F" w14:textId="77777777">
            <w:pPr>
              <w:widowControl/>
              <w:jc w:val="center"/>
              <w:rPr>
                <w:rFonts w:ascii="Calibri" w:eastAsia="Calibri" w:hAnsi="Calibri" w:cs="Calibri"/>
                <w:sz w:val="18"/>
                <w:szCs w:val="18"/>
              </w:rPr>
            </w:pPr>
            <w:r w:rsidRPr="00464628">
              <w:rPr>
                <w:rFonts w:ascii="Calibri" w:eastAsia="Calibri" w:hAnsi="Calibri" w:cs="Calibri"/>
                <w:sz w:val="18"/>
                <w:szCs w:val="18"/>
              </w:rPr>
              <w:t>Operating costs – $5</w:t>
            </w:r>
          </w:p>
          <w:p w:rsidR="00BC3107" w:rsidRPr="00464628" w:rsidP="00042AFB" w14:paraId="471A6607" w14:textId="77777777">
            <w:pPr>
              <w:widowControl/>
              <w:jc w:val="center"/>
              <w:rPr>
                <w:rFonts w:ascii="Calibri" w:eastAsia="Calibri" w:hAnsi="Calibri" w:cs="Calibri"/>
                <w:color w:val="000000"/>
                <w:sz w:val="18"/>
                <w:szCs w:val="18"/>
              </w:rPr>
            </w:pPr>
            <w:r w:rsidRPr="00464628">
              <w:rPr>
                <w:rFonts w:ascii="Calibri" w:eastAsia="Calibri" w:hAnsi="Calibri" w:cs="Calibri"/>
                <w:sz w:val="18"/>
                <w:szCs w:val="18"/>
              </w:rPr>
              <w:t>Attorney* – $500</w:t>
            </w:r>
          </w:p>
        </w:tc>
        <w:tc>
          <w:tcPr>
            <w:tcW w:w="1411" w:type="dxa"/>
            <w:tcBorders>
              <w:top w:val="nil"/>
              <w:left w:val="nil"/>
              <w:bottom w:val="single" w:sz="4" w:space="0" w:color="000000"/>
              <w:right w:val="single" w:sz="8" w:space="0" w:color="000000"/>
            </w:tcBorders>
            <w:shd w:val="clear" w:color="auto" w:fill="FFFFFF"/>
            <w:vAlign w:val="center"/>
          </w:tcPr>
          <w:p w:rsidR="00BC3107" w:rsidRPr="00464628" w:rsidP="00042AFB" w14:paraId="5AC8E53F" w14:textId="77777777">
            <w:pPr>
              <w:widowControl/>
              <w:jc w:val="center"/>
              <w:rPr>
                <w:rFonts w:ascii="Calibri" w:eastAsia="Calibri" w:hAnsi="Calibri" w:cs="Calibri"/>
                <w:color w:val="000000"/>
                <w:sz w:val="18"/>
                <w:szCs w:val="18"/>
              </w:rPr>
            </w:pPr>
            <w:r w:rsidRPr="00464628">
              <w:rPr>
                <w:rFonts w:ascii="Calibri" w:eastAsia="Calibri" w:hAnsi="Calibri" w:cs="Calibri"/>
                <w:sz w:val="18"/>
                <w:szCs w:val="18"/>
              </w:rPr>
              <w:t>505</w:t>
            </w:r>
          </w:p>
        </w:tc>
      </w:tr>
      <w:tr w14:paraId="2F63D2E6" w14:textId="77777777" w:rsidTr="00042AFB">
        <w:tblPrEx>
          <w:tblW w:w="9474" w:type="dxa"/>
          <w:jc w:val="center"/>
          <w:tblLayout w:type="fixed"/>
          <w:tblLook w:val="0400"/>
        </w:tblPrEx>
        <w:trPr>
          <w:trHeight w:val="330"/>
          <w:jc w:val="center"/>
        </w:trPr>
        <w:tc>
          <w:tcPr>
            <w:tcW w:w="2330"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BC3107" w:rsidRPr="00C96FCA" w:rsidP="00042AFB" w14:paraId="359739E8" w14:textId="77777777">
            <w:pPr>
              <w:widowControl/>
              <w:jc w:val="right"/>
              <w:rPr>
                <w:rFonts w:ascii="Calibri" w:eastAsia="Calibri" w:hAnsi="Calibri" w:cs="Calibri"/>
                <w:b/>
                <w:color w:val="000000"/>
                <w:sz w:val="18"/>
                <w:szCs w:val="18"/>
              </w:rPr>
            </w:pPr>
            <w:r w:rsidRPr="00C96FCA">
              <w:rPr>
                <w:rFonts w:ascii="Calibri" w:eastAsia="Calibri" w:hAnsi="Calibri" w:cs="Calibri"/>
                <w:b/>
                <w:color w:val="000000"/>
                <w:sz w:val="18"/>
                <w:szCs w:val="18"/>
              </w:rPr>
              <w:t>TOTALS</w:t>
            </w:r>
          </w:p>
        </w:tc>
        <w:tc>
          <w:tcPr>
            <w:tcW w:w="1350" w:type="dxa"/>
            <w:tcBorders>
              <w:top w:val="single" w:sz="8" w:space="0" w:color="000000"/>
              <w:left w:val="nil"/>
              <w:bottom w:val="single" w:sz="8" w:space="0" w:color="000000"/>
              <w:right w:val="single" w:sz="4" w:space="0" w:color="000000"/>
            </w:tcBorders>
            <w:shd w:val="clear" w:color="auto" w:fill="DDEBF7"/>
            <w:vAlign w:val="center"/>
          </w:tcPr>
          <w:p w:rsidR="00BC3107" w:rsidRPr="00464628" w:rsidP="00042AFB" w14:paraId="0595488F" w14:textId="74C65056">
            <w:pPr>
              <w:widowControl/>
              <w:jc w:val="center"/>
              <w:rPr>
                <w:rFonts w:ascii="Calibri" w:eastAsia="Calibri" w:hAnsi="Calibri" w:cs="Calibri"/>
                <w:b/>
                <w:color w:val="000000"/>
                <w:sz w:val="18"/>
                <w:szCs w:val="18"/>
              </w:rPr>
            </w:pPr>
            <w:r w:rsidRPr="00464628">
              <w:rPr>
                <w:rFonts w:ascii="Calibri" w:eastAsia="Calibri" w:hAnsi="Calibri" w:cs="Calibri"/>
                <w:b/>
                <w:sz w:val="18"/>
                <w:szCs w:val="18"/>
              </w:rPr>
              <w:t>69</w:t>
            </w:r>
          </w:p>
        </w:tc>
        <w:tc>
          <w:tcPr>
            <w:tcW w:w="1329" w:type="dxa"/>
            <w:tcBorders>
              <w:top w:val="single" w:sz="8" w:space="0" w:color="000000"/>
              <w:left w:val="nil"/>
              <w:bottom w:val="single" w:sz="8" w:space="0" w:color="000000"/>
              <w:right w:val="single" w:sz="4" w:space="0" w:color="000000"/>
            </w:tcBorders>
            <w:shd w:val="clear" w:color="auto" w:fill="000000"/>
            <w:vAlign w:val="center"/>
          </w:tcPr>
          <w:p w:rsidR="00BC3107" w:rsidRPr="00464628" w:rsidP="00042AFB" w14:paraId="4B0D502B" w14:textId="77777777">
            <w:pPr>
              <w:widowControl/>
              <w:jc w:val="center"/>
              <w:rPr>
                <w:rFonts w:ascii="Calibri" w:eastAsia="Calibri" w:hAnsi="Calibri" w:cs="Calibri"/>
                <w:b/>
                <w:color w:val="000000"/>
                <w:sz w:val="18"/>
                <w:szCs w:val="18"/>
              </w:rPr>
            </w:pPr>
          </w:p>
        </w:tc>
        <w:tc>
          <w:tcPr>
            <w:tcW w:w="1248" w:type="dxa"/>
            <w:tcBorders>
              <w:top w:val="single" w:sz="8" w:space="0" w:color="000000"/>
              <w:left w:val="nil"/>
              <w:bottom w:val="single" w:sz="8" w:space="0" w:color="000000"/>
              <w:right w:val="single" w:sz="4" w:space="0" w:color="000000"/>
            </w:tcBorders>
            <w:shd w:val="clear" w:color="auto" w:fill="DDEBF7"/>
            <w:vAlign w:val="center"/>
          </w:tcPr>
          <w:p w:rsidR="00BC3107" w:rsidRPr="00464628" w:rsidP="00042AFB" w14:paraId="58C960A1" w14:textId="62290EA7">
            <w:pPr>
              <w:widowControl/>
              <w:jc w:val="center"/>
              <w:rPr>
                <w:rFonts w:ascii="Calibri" w:eastAsia="Calibri" w:hAnsi="Calibri" w:cs="Calibri"/>
                <w:b/>
                <w:color w:val="000000"/>
                <w:sz w:val="18"/>
                <w:szCs w:val="18"/>
              </w:rPr>
            </w:pPr>
            <w:r w:rsidRPr="00464628">
              <w:rPr>
                <w:rFonts w:ascii="Calibri" w:eastAsia="Calibri" w:hAnsi="Calibri" w:cs="Calibri"/>
                <w:b/>
                <w:sz w:val="18"/>
                <w:szCs w:val="18"/>
              </w:rPr>
              <w:t>35</w:t>
            </w:r>
          </w:p>
        </w:tc>
        <w:tc>
          <w:tcPr>
            <w:tcW w:w="1806" w:type="dxa"/>
            <w:tcBorders>
              <w:top w:val="single" w:sz="8" w:space="0" w:color="000000"/>
              <w:left w:val="nil"/>
              <w:bottom w:val="single" w:sz="8" w:space="0" w:color="000000"/>
              <w:right w:val="single" w:sz="4" w:space="0" w:color="000000"/>
            </w:tcBorders>
            <w:shd w:val="clear" w:color="auto" w:fill="000000"/>
            <w:vAlign w:val="center"/>
          </w:tcPr>
          <w:p w:rsidR="00BC3107" w:rsidRPr="00464628" w:rsidP="00042AFB" w14:paraId="408CE69E" w14:textId="77777777">
            <w:pPr>
              <w:widowControl/>
              <w:jc w:val="right"/>
              <w:rPr>
                <w:rFonts w:ascii="Calibri" w:eastAsia="Calibri" w:hAnsi="Calibri" w:cs="Calibri"/>
                <w:b/>
                <w:color w:val="000000"/>
                <w:sz w:val="18"/>
                <w:szCs w:val="18"/>
              </w:rPr>
            </w:pPr>
            <w:r w:rsidRPr="00464628">
              <w:rPr>
                <w:rFonts w:ascii="Calibri" w:eastAsia="Calibri" w:hAnsi="Calibri" w:cs="Calibri"/>
                <w:b/>
                <w:color w:val="000000"/>
                <w:sz w:val="18"/>
                <w:szCs w:val="18"/>
              </w:rPr>
              <w:t> </w:t>
            </w:r>
          </w:p>
        </w:tc>
        <w:tc>
          <w:tcPr>
            <w:tcW w:w="1411" w:type="dxa"/>
            <w:tcBorders>
              <w:top w:val="single" w:sz="8" w:space="0" w:color="000000"/>
              <w:left w:val="nil"/>
              <w:bottom w:val="single" w:sz="8" w:space="0" w:color="000000"/>
              <w:right w:val="single" w:sz="8" w:space="0" w:color="000000"/>
            </w:tcBorders>
            <w:shd w:val="clear" w:color="auto" w:fill="DDEBF7"/>
            <w:vAlign w:val="center"/>
          </w:tcPr>
          <w:p w:rsidR="00BC3107" w:rsidRPr="00464628" w:rsidP="00042AFB" w14:paraId="787804FA" w14:textId="0424A7E0">
            <w:pPr>
              <w:widowControl/>
              <w:jc w:val="center"/>
              <w:rPr>
                <w:rFonts w:ascii="Calibri" w:eastAsia="Calibri" w:hAnsi="Calibri" w:cs="Calibri"/>
                <w:b/>
                <w:color w:val="000000"/>
                <w:sz w:val="18"/>
                <w:szCs w:val="18"/>
              </w:rPr>
            </w:pPr>
            <w:r w:rsidRPr="00464628">
              <w:rPr>
                <w:rFonts w:ascii="Calibri" w:eastAsia="Calibri" w:hAnsi="Calibri" w:cs="Calibri"/>
                <w:b/>
                <w:sz w:val="18"/>
                <w:szCs w:val="18"/>
              </w:rPr>
              <w:t>$</w:t>
            </w:r>
            <w:r w:rsidRPr="00464628" w:rsidR="00940598">
              <w:rPr>
                <w:rFonts w:ascii="Calibri" w:eastAsia="Calibri" w:hAnsi="Calibri" w:cs="Calibri"/>
                <w:b/>
                <w:sz w:val="18"/>
                <w:szCs w:val="18"/>
              </w:rPr>
              <w:t>845</w:t>
            </w:r>
          </w:p>
        </w:tc>
      </w:tr>
    </w:tbl>
    <w:p w:rsidR="00BC3107" w:rsidRPr="00303BB2" w:rsidP="00BC3107" w14:paraId="239E8092" w14:textId="77777777">
      <w:pPr>
        <w:widowControl/>
        <w:spacing w:before="60"/>
        <w:ind w:left="144" w:hanging="144"/>
        <w:rPr>
          <w:rFonts w:ascii="Calibri" w:eastAsia="Calibri" w:hAnsi="Calibri" w:cs="Calibri"/>
          <w:sz w:val="20"/>
          <w:szCs w:val="20"/>
        </w:rPr>
      </w:pPr>
      <w:r w:rsidRPr="00303BB2">
        <w:rPr>
          <w:rFonts w:ascii="Calibri" w:eastAsia="Calibri" w:hAnsi="Calibri" w:cs="Calibri"/>
          <w:sz w:val="20"/>
          <w:szCs w:val="20"/>
        </w:rPr>
        <w:t xml:space="preserve">*Attorney cost is included to reflect the assumption that most people would hire an attorney to prepare an appeal ($125/hour x 4 hours).  </w:t>
      </w:r>
    </w:p>
    <w:p w:rsidR="00BC3107" w14:paraId="467262FA" w14:textId="77777777">
      <w:pPr>
        <w:rPr>
          <w:b/>
        </w:rPr>
      </w:pPr>
    </w:p>
    <w:p w:rsidR="00AB1A5B" w14:paraId="1C5E6AA4" w14:textId="77777777">
      <w:pPr>
        <w:pBdr>
          <w:top w:val="nil"/>
          <w:left w:val="nil"/>
          <w:bottom w:val="nil"/>
          <w:right w:val="nil"/>
          <w:between w:val="nil"/>
        </w:pBdr>
        <w:spacing w:before="7"/>
        <w:rPr>
          <w:b/>
          <w:color w:val="000000"/>
        </w:rPr>
      </w:pPr>
    </w:p>
    <w:p w:rsidR="00AB1A5B" w:rsidP="00277B26" w14:paraId="6D2DCC33" w14:textId="4168EBA3">
      <w:pPr>
        <w:pStyle w:val="Heading2"/>
        <w:numPr>
          <w:ilvl w:val="0"/>
          <w:numId w:val="0"/>
        </w:numPr>
      </w:pPr>
      <w:r>
        <w:t xml:space="preserve">14. </w:t>
      </w:r>
      <w:r w:rsidR="00226B0D">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C3107" w14:paraId="4462DB08" w14:textId="1F798831">
      <w:pPr>
        <w:spacing w:before="9" w:after="1"/>
        <w:rPr>
          <w:b/>
        </w:rPr>
      </w:pPr>
    </w:p>
    <w:p w:rsidR="00BC3107" w:rsidRPr="003559BB" w:rsidP="00BC3107" w14:paraId="5502E360" w14:textId="4FDA9024">
      <w:pPr>
        <w:widowControl/>
      </w:pPr>
      <w:r w:rsidRPr="007961A4">
        <w:rPr>
          <w:color w:val="000000"/>
        </w:rPr>
        <w:t xml:space="preserve">Federal government costs are based on one </w:t>
      </w:r>
      <w:r w:rsidR="00400FD2">
        <w:rPr>
          <w:color w:val="000000"/>
        </w:rPr>
        <w:t>program analyst</w:t>
      </w:r>
      <w:r w:rsidRPr="007961A4">
        <w:rPr>
          <w:color w:val="000000"/>
        </w:rPr>
        <w:t xml:space="preserve"> and an appeals attorney. The fully loaded salary cost includes 52 percent of the salary to account for benefits and other overhead costs. Notes below the table provide the salary and calculations for each cost.</w:t>
      </w:r>
      <w:r>
        <w:rPr>
          <w:color w:val="000000"/>
        </w:rPr>
        <w:t xml:space="preserve"> </w:t>
      </w:r>
      <w:r>
        <w:t xml:space="preserve">The grade and step are </w:t>
      </w:r>
      <w:r w:rsidRPr="003559BB">
        <w:rPr>
          <w:rFonts w:eastAsia="Batang"/>
        </w:rPr>
        <w:t xml:space="preserve">from </w:t>
      </w:r>
      <w:r>
        <w:rPr>
          <w:rFonts w:eastAsia="Batang"/>
        </w:rPr>
        <w:t xml:space="preserve">the </w:t>
      </w:r>
      <w:r w:rsidRPr="003559BB">
        <w:rPr>
          <w:rFonts w:eastAsia="Batang"/>
        </w:rPr>
        <w:t xml:space="preserve">Department of </w:t>
      </w:r>
      <w:r w:rsidRPr="003559BB">
        <w:rPr>
          <w:rFonts w:eastAsia="Batang"/>
          <w:color w:val="212121"/>
          <w:shd w:val="clear" w:color="auto" w:fill="FFFFFF"/>
        </w:rPr>
        <w:t>Commerce Alte</w:t>
      </w:r>
      <w:r>
        <w:rPr>
          <w:rFonts w:eastAsia="Batang"/>
          <w:color w:val="212121"/>
          <w:shd w:val="clear" w:color="auto" w:fill="FFFFFF"/>
        </w:rPr>
        <w:t>rnative Personnel System (CAPS) pay t</w:t>
      </w:r>
      <w:r w:rsidRPr="003559BB">
        <w:rPr>
          <w:rFonts w:eastAsia="Batang"/>
          <w:color w:val="212121"/>
          <w:shd w:val="clear" w:color="auto" w:fill="FFFFFF"/>
        </w:rPr>
        <w:t>ables (</w:t>
      </w:r>
      <w:hyperlink r:id="rId23" w:history="1">
        <w:r w:rsidRPr="003559BB">
          <w:rPr>
            <w:rStyle w:val="Hyperlink"/>
            <w:rFonts w:eastAsia="Batang"/>
            <w:shd w:val="clear" w:color="auto" w:fill="FFFFFF"/>
          </w:rPr>
          <w:t>https://www.commerce.gov/hr/practitioners/caps/pay-administration</w:t>
        </w:r>
      </w:hyperlink>
      <w:r w:rsidRPr="003559BB">
        <w:rPr>
          <w:rFonts w:eastAsia="Batang"/>
          <w:color w:val="212121"/>
          <w:shd w:val="clear" w:color="auto" w:fill="FFFFFF"/>
        </w:rPr>
        <w:t xml:space="preserve">). </w:t>
      </w:r>
      <w:r>
        <w:rPr>
          <w:rFonts w:eastAsia="Batang"/>
          <w:color w:val="212121"/>
          <w:shd w:val="clear" w:color="auto" w:fill="FFFFFF"/>
        </w:rPr>
        <w:t>The g</w:t>
      </w:r>
      <w:r w:rsidRPr="003559BB">
        <w:rPr>
          <w:rFonts w:eastAsia="Batang"/>
          <w:color w:val="212121"/>
          <w:shd w:val="clear" w:color="auto" w:fill="FFFFFF"/>
        </w:rPr>
        <w:t xml:space="preserve">eneral schedule grade equivalent </w:t>
      </w:r>
      <w:r>
        <w:rPr>
          <w:rFonts w:eastAsia="Batang"/>
          <w:color w:val="212121"/>
          <w:shd w:val="clear" w:color="auto" w:fill="FFFFFF"/>
        </w:rPr>
        <w:t xml:space="preserve">for CAPS </w:t>
      </w:r>
      <w:r w:rsidRPr="003559BB">
        <w:rPr>
          <w:rFonts w:eastAsia="Batang"/>
          <w:color w:val="212121"/>
          <w:shd w:val="clear" w:color="auto" w:fill="FFFFFF"/>
        </w:rPr>
        <w:t>is included in parentheses.</w:t>
      </w:r>
    </w:p>
    <w:p w:rsidR="00BC3107" w:rsidRPr="00283FD1" w:rsidP="00BC3107" w14:paraId="6AD9B968" w14:textId="77777777">
      <w:pPr>
        <w:widowControl/>
        <w:pBdr>
          <w:top w:val="nil"/>
          <w:left w:val="nil"/>
          <w:bottom w:val="nil"/>
          <w:right w:val="nil"/>
          <w:between w:val="nil"/>
        </w:pBdr>
        <w:spacing w:before="9" w:after="1"/>
        <w:rPr>
          <w:color w:val="000000"/>
        </w:rPr>
      </w:pPr>
    </w:p>
    <w:tbl>
      <w:tblPr>
        <w:tblStyle w:val="ad"/>
        <w:tblW w:w="9074" w:type="dxa"/>
        <w:tblInd w:w="-25" w:type="dxa"/>
        <w:tblLayout w:type="fixed"/>
        <w:tblLook w:val="0400"/>
      </w:tblPr>
      <w:tblGrid>
        <w:gridCol w:w="2512"/>
        <w:gridCol w:w="1305"/>
        <w:gridCol w:w="1418"/>
        <w:gridCol w:w="997"/>
        <w:gridCol w:w="1410"/>
        <w:gridCol w:w="1432"/>
      </w:tblGrid>
      <w:tr w14:paraId="50354063" w14:textId="77777777" w:rsidTr="00042AFB">
        <w:tblPrEx>
          <w:tblW w:w="9074" w:type="dxa"/>
          <w:tblInd w:w="-25" w:type="dxa"/>
          <w:tblLayout w:type="fixed"/>
          <w:tblLook w:val="0400"/>
        </w:tblPrEx>
        <w:trPr>
          <w:trHeight w:val="411"/>
        </w:trPr>
        <w:tc>
          <w:tcPr>
            <w:tcW w:w="2512" w:type="dxa"/>
            <w:tcBorders>
              <w:top w:val="single" w:sz="8" w:space="0" w:color="000000"/>
              <w:left w:val="single" w:sz="8" w:space="0" w:color="000000"/>
              <w:bottom w:val="nil"/>
              <w:right w:val="single" w:sz="8" w:space="0" w:color="000000"/>
            </w:tcBorders>
            <w:shd w:val="clear" w:color="auto" w:fill="BDD7EE"/>
            <w:vAlign w:val="center"/>
          </w:tcPr>
          <w:p w:rsidR="00BC3107" w:rsidRPr="004519F4" w:rsidP="00042AFB" w14:paraId="3DAABB53" w14:textId="77777777">
            <w:pPr>
              <w:keepNext/>
              <w:keepLines/>
              <w:widowControl/>
              <w:jc w:val="center"/>
              <w:rPr>
                <w:rFonts w:ascii="Calibri" w:eastAsia="Calibri" w:hAnsi="Calibri" w:cs="Calibri"/>
                <w:b/>
                <w:color w:val="000000"/>
                <w:sz w:val="18"/>
                <w:szCs w:val="18"/>
              </w:rPr>
            </w:pPr>
            <w:r w:rsidRPr="004519F4">
              <w:rPr>
                <w:rFonts w:ascii="Calibri" w:eastAsia="Calibri" w:hAnsi="Calibri" w:cs="Calibri"/>
                <w:b/>
                <w:color w:val="000000"/>
                <w:sz w:val="18"/>
                <w:szCs w:val="18"/>
              </w:rPr>
              <w:t>Cost Descriptions</w:t>
            </w:r>
          </w:p>
        </w:tc>
        <w:tc>
          <w:tcPr>
            <w:tcW w:w="1305" w:type="dxa"/>
            <w:tcBorders>
              <w:top w:val="single" w:sz="8" w:space="0" w:color="000000"/>
              <w:left w:val="nil"/>
              <w:bottom w:val="nil"/>
              <w:right w:val="single" w:sz="8" w:space="0" w:color="000000"/>
            </w:tcBorders>
            <w:shd w:val="clear" w:color="auto" w:fill="BDD7EE"/>
            <w:vAlign w:val="center"/>
          </w:tcPr>
          <w:p w:rsidR="00BC3107" w:rsidRPr="004519F4" w:rsidP="00042AFB" w14:paraId="59E13265" w14:textId="77777777">
            <w:pPr>
              <w:keepNext/>
              <w:keepLines/>
              <w:widowControl/>
              <w:jc w:val="center"/>
              <w:rPr>
                <w:rFonts w:ascii="Calibri" w:eastAsia="Calibri" w:hAnsi="Calibri" w:cs="Calibri"/>
                <w:b/>
                <w:color w:val="000000"/>
                <w:sz w:val="18"/>
                <w:szCs w:val="18"/>
              </w:rPr>
            </w:pPr>
            <w:r w:rsidRPr="004519F4">
              <w:rPr>
                <w:rFonts w:ascii="Calibri" w:eastAsia="Calibri" w:hAnsi="Calibri" w:cs="Calibri"/>
                <w:b/>
                <w:color w:val="000000"/>
                <w:sz w:val="18"/>
                <w:szCs w:val="18"/>
              </w:rPr>
              <w:t>Grade/Step</w:t>
            </w:r>
          </w:p>
        </w:tc>
        <w:tc>
          <w:tcPr>
            <w:tcW w:w="1418" w:type="dxa"/>
            <w:tcBorders>
              <w:top w:val="single" w:sz="8" w:space="0" w:color="000000"/>
              <w:left w:val="nil"/>
              <w:bottom w:val="nil"/>
              <w:right w:val="single" w:sz="8" w:space="0" w:color="000000"/>
            </w:tcBorders>
            <w:shd w:val="clear" w:color="auto" w:fill="BDD7EE"/>
            <w:vAlign w:val="center"/>
          </w:tcPr>
          <w:p w:rsidR="00BC3107" w:rsidRPr="004519F4" w:rsidP="00042AFB" w14:paraId="2F574554" w14:textId="77777777">
            <w:pPr>
              <w:keepNext/>
              <w:keepLines/>
              <w:widowControl/>
              <w:jc w:val="center"/>
              <w:rPr>
                <w:rFonts w:ascii="Calibri" w:eastAsia="Calibri" w:hAnsi="Calibri" w:cs="Calibri"/>
                <w:b/>
                <w:color w:val="000000"/>
                <w:sz w:val="18"/>
                <w:szCs w:val="18"/>
              </w:rPr>
            </w:pPr>
            <w:r w:rsidRPr="004519F4">
              <w:rPr>
                <w:rFonts w:ascii="Calibri" w:eastAsia="Calibri" w:hAnsi="Calibri" w:cs="Calibri"/>
                <w:b/>
                <w:color w:val="000000"/>
                <w:sz w:val="18"/>
                <w:szCs w:val="18"/>
              </w:rPr>
              <w:t>Loaded Salary / Cost</w:t>
            </w:r>
          </w:p>
        </w:tc>
        <w:tc>
          <w:tcPr>
            <w:tcW w:w="997" w:type="dxa"/>
            <w:tcBorders>
              <w:top w:val="single" w:sz="8" w:space="0" w:color="000000"/>
              <w:left w:val="nil"/>
              <w:bottom w:val="nil"/>
              <w:right w:val="single" w:sz="8" w:space="0" w:color="000000"/>
            </w:tcBorders>
            <w:shd w:val="clear" w:color="auto" w:fill="BDD7EE"/>
            <w:vAlign w:val="center"/>
          </w:tcPr>
          <w:p w:rsidR="00BC3107" w:rsidRPr="004519F4" w:rsidP="00042AFB" w14:paraId="420B6BED" w14:textId="77777777">
            <w:pPr>
              <w:keepNext/>
              <w:keepLines/>
              <w:widowControl/>
              <w:jc w:val="center"/>
              <w:rPr>
                <w:rFonts w:ascii="Calibri" w:eastAsia="Calibri" w:hAnsi="Calibri" w:cs="Calibri"/>
                <w:b/>
                <w:color w:val="000000"/>
                <w:sz w:val="18"/>
                <w:szCs w:val="18"/>
              </w:rPr>
            </w:pPr>
            <w:r w:rsidRPr="004519F4">
              <w:rPr>
                <w:rFonts w:ascii="Calibri" w:eastAsia="Calibri" w:hAnsi="Calibri" w:cs="Calibri"/>
                <w:b/>
                <w:color w:val="000000"/>
                <w:sz w:val="18"/>
                <w:szCs w:val="18"/>
              </w:rPr>
              <w:t>% of Effort</w:t>
            </w:r>
          </w:p>
        </w:tc>
        <w:tc>
          <w:tcPr>
            <w:tcW w:w="1410" w:type="dxa"/>
            <w:tcBorders>
              <w:top w:val="single" w:sz="8" w:space="0" w:color="000000"/>
              <w:left w:val="nil"/>
              <w:bottom w:val="nil"/>
              <w:right w:val="single" w:sz="8" w:space="0" w:color="000000"/>
            </w:tcBorders>
            <w:shd w:val="clear" w:color="auto" w:fill="BDD7EE"/>
            <w:vAlign w:val="center"/>
          </w:tcPr>
          <w:p w:rsidR="00BC3107" w:rsidRPr="004519F4" w:rsidP="00042AFB" w14:paraId="4B3836B8" w14:textId="77777777">
            <w:pPr>
              <w:keepNext/>
              <w:keepLines/>
              <w:widowControl/>
              <w:jc w:val="center"/>
              <w:rPr>
                <w:rFonts w:ascii="Calibri" w:eastAsia="Calibri" w:hAnsi="Calibri" w:cs="Calibri"/>
                <w:b/>
                <w:color w:val="000000"/>
                <w:sz w:val="18"/>
                <w:szCs w:val="18"/>
              </w:rPr>
            </w:pPr>
            <w:r w:rsidRPr="004519F4">
              <w:rPr>
                <w:rFonts w:ascii="Calibri" w:eastAsia="Calibri" w:hAnsi="Calibri" w:cs="Calibri"/>
                <w:b/>
                <w:color w:val="000000"/>
                <w:sz w:val="18"/>
                <w:szCs w:val="18"/>
              </w:rPr>
              <w:t>Fringe (if Applicable)</w:t>
            </w:r>
          </w:p>
        </w:tc>
        <w:tc>
          <w:tcPr>
            <w:tcW w:w="1432" w:type="dxa"/>
            <w:tcBorders>
              <w:top w:val="single" w:sz="8" w:space="0" w:color="000000"/>
              <w:left w:val="nil"/>
              <w:bottom w:val="nil"/>
              <w:right w:val="single" w:sz="8" w:space="0" w:color="000000"/>
            </w:tcBorders>
            <w:shd w:val="clear" w:color="auto" w:fill="BDD7EE"/>
            <w:vAlign w:val="center"/>
          </w:tcPr>
          <w:p w:rsidR="00BC3107" w:rsidRPr="004519F4" w:rsidP="00042AFB" w14:paraId="4697FF98" w14:textId="77777777">
            <w:pPr>
              <w:keepNext/>
              <w:keepLines/>
              <w:widowControl/>
              <w:jc w:val="center"/>
              <w:rPr>
                <w:rFonts w:ascii="Calibri" w:eastAsia="Calibri" w:hAnsi="Calibri" w:cs="Calibri"/>
                <w:b/>
                <w:color w:val="000000"/>
                <w:sz w:val="18"/>
                <w:szCs w:val="18"/>
              </w:rPr>
            </w:pPr>
            <w:r w:rsidRPr="004519F4">
              <w:rPr>
                <w:rFonts w:ascii="Calibri" w:eastAsia="Calibri" w:hAnsi="Calibri" w:cs="Calibri"/>
                <w:b/>
                <w:color w:val="000000"/>
                <w:sz w:val="18"/>
                <w:szCs w:val="18"/>
              </w:rPr>
              <w:t>Total Cost to Government</w:t>
            </w:r>
          </w:p>
        </w:tc>
      </w:tr>
      <w:tr w14:paraId="6ECF4A67" w14:textId="77777777" w:rsidTr="00042AFB">
        <w:tblPrEx>
          <w:tblW w:w="9074" w:type="dxa"/>
          <w:tblInd w:w="-25" w:type="dxa"/>
          <w:tblLayout w:type="fixed"/>
          <w:tblLook w:val="0400"/>
        </w:tblPrEx>
        <w:trPr>
          <w:trHeight w:val="223"/>
        </w:trPr>
        <w:tc>
          <w:tcPr>
            <w:tcW w:w="2512" w:type="dxa"/>
            <w:tcBorders>
              <w:top w:val="single" w:sz="4" w:space="0" w:color="000000"/>
              <w:left w:val="single" w:sz="8" w:space="0" w:color="000000"/>
              <w:bottom w:val="single" w:sz="4" w:space="0" w:color="000000"/>
              <w:right w:val="single" w:sz="8" w:space="0" w:color="000000"/>
            </w:tcBorders>
            <w:vAlign w:val="center"/>
          </w:tcPr>
          <w:p w:rsidR="00BC3107" w:rsidRPr="004519F4" w:rsidP="00042AFB" w14:paraId="25F3EB76" w14:textId="77777777">
            <w:pPr>
              <w:keepNext/>
              <w:keepLines/>
              <w:widowControl/>
              <w:rPr>
                <w:rFonts w:ascii="Calibri" w:eastAsia="Calibri" w:hAnsi="Calibri" w:cs="Calibri"/>
                <w:b/>
                <w:color w:val="000000"/>
                <w:sz w:val="18"/>
                <w:szCs w:val="18"/>
              </w:rPr>
            </w:pPr>
            <w:r w:rsidRPr="004519F4">
              <w:rPr>
                <w:rFonts w:ascii="Calibri" w:eastAsia="Calibri" w:hAnsi="Calibri" w:cs="Calibri"/>
                <w:b/>
                <w:color w:val="000000"/>
                <w:sz w:val="18"/>
                <w:szCs w:val="18"/>
              </w:rPr>
              <w:t>Federal Oversight</w:t>
            </w:r>
          </w:p>
        </w:tc>
        <w:tc>
          <w:tcPr>
            <w:tcW w:w="1305" w:type="dxa"/>
            <w:tcBorders>
              <w:top w:val="single" w:sz="4" w:space="0" w:color="000000"/>
              <w:left w:val="nil"/>
              <w:bottom w:val="single" w:sz="4" w:space="0" w:color="000000"/>
              <w:right w:val="single" w:sz="4" w:space="0" w:color="000000"/>
            </w:tcBorders>
            <w:vAlign w:val="center"/>
          </w:tcPr>
          <w:p w:rsidR="00BC3107" w:rsidRPr="004519F4" w:rsidP="00042AFB" w14:paraId="199CCB03"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18" w:type="dxa"/>
            <w:tcBorders>
              <w:top w:val="single" w:sz="4" w:space="0" w:color="000000"/>
              <w:left w:val="nil"/>
              <w:bottom w:val="single" w:sz="4" w:space="0" w:color="000000"/>
              <w:right w:val="single" w:sz="4" w:space="0" w:color="000000"/>
            </w:tcBorders>
            <w:vAlign w:val="center"/>
          </w:tcPr>
          <w:p w:rsidR="00BC3107" w:rsidRPr="004519F4" w:rsidP="00042AFB" w14:paraId="2F24EDF5"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997" w:type="dxa"/>
            <w:tcBorders>
              <w:top w:val="single" w:sz="4" w:space="0" w:color="000000"/>
              <w:left w:val="nil"/>
              <w:bottom w:val="single" w:sz="4" w:space="0" w:color="000000"/>
              <w:right w:val="single" w:sz="4" w:space="0" w:color="000000"/>
            </w:tcBorders>
            <w:vAlign w:val="center"/>
          </w:tcPr>
          <w:p w:rsidR="00BC3107" w:rsidRPr="004519F4" w:rsidP="00042AFB" w14:paraId="36C9AEDD"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10" w:type="dxa"/>
            <w:tcBorders>
              <w:top w:val="single" w:sz="4" w:space="0" w:color="000000"/>
              <w:left w:val="nil"/>
              <w:bottom w:val="single" w:sz="4" w:space="0" w:color="000000"/>
              <w:right w:val="single" w:sz="4" w:space="0" w:color="000000"/>
            </w:tcBorders>
            <w:shd w:val="clear" w:color="auto" w:fill="808080"/>
            <w:vAlign w:val="center"/>
          </w:tcPr>
          <w:p w:rsidR="00BC3107" w:rsidRPr="004519F4" w:rsidP="00042AFB" w14:paraId="72462C79"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32" w:type="dxa"/>
            <w:tcBorders>
              <w:top w:val="single" w:sz="4" w:space="0" w:color="000000"/>
              <w:left w:val="nil"/>
              <w:bottom w:val="single" w:sz="4" w:space="0" w:color="000000"/>
              <w:right w:val="single" w:sz="8" w:space="0" w:color="000000"/>
            </w:tcBorders>
            <w:vAlign w:val="center"/>
          </w:tcPr>
          <w:p w:rsidR="00BC3107" w:rsidRPr="004519F4" w:rsidP="00042AFB" w14:paraId="09251625"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r>
      <w:tr w14:paraId="3740C057" w14:textId="77777777" w:rsidTr="00042AFB">
        <w:tblPrEx>
          <w:tblW w:w="9074" w:type="dxa"/>
          <w:tblInd w:w="-25" w:type="dxa"/>
          <w:tblLayout w:type="fixed"/>
          <w:tblLook w:val="0400"/>
        </w:tblPrEx>
        <w:trPr>
          <w:trHeight w:val="216"/>
        </w:trPr>
        <w:tc>
          <w:tcPr>
            <w:tcW w:w="2512" w:type="dxa"/>
            <w:tcBorders>
              <w:top w:val="nil"/>
              <w:left w:val="single" w:sz="8" w:space="0" w:color="000000"/>
              <w:bottom w:val="single" w:sz="4" w:space="0" w:color="000000"/>
              <w:right w:val="single" w:sz="8" w:space="0" w:color="000000"/>
            </w:tcBorders>
            <w:vAlign w:val="center"/>
          </w:tcPr>
          <w:p w:rsidR="00BC3107" w:rsidRPr="004519F4" w:rsidP="00042AFB" w14:paraId="21663DC4" w14:textId="20657EF6">
            <w:pPr>
              <w:keepNext/>
              <w:keepLines/>
              <w:widowControl/>
              <w:jc w:val="right"/>
              <w:rPr>
                <w:rFonts w:ascii="Calibri" w:eastAsia="Calibri" w:hAnsi="Calibri" w:cs="Calibri"/>
                <w:color w:val="000000"/>
                <w:sz w:val="18"/>
                <w:szCs w:val="18"/>
              </w:rPr>
            </w:pPr>
            <w:r>
              <w:rPr>
                <w:rFonts w:ascii="Calibri" w:eastAsia="Calibri" w:hAnsi="Calibri" w:cs="Calibri"/>
                <w:sz w:val="18"/>
                <w:szCs w:val="18"/>
              </w:rPr>
              <w:t>Program Analyst</w:t>
            </w:r>
          </w:p>
        </w:tc>
        <w:tc>
          <w:tcPr>
            <w:tcW w:w="1305" w:type="dxa"/>
            <w:tcBorders>
              <w:top w:val="nil"/>
              <w:left w:val="nil"/>
              <w:bottom w:val="single" w:sz="4" w:space="0" w:color="000000"/>
              <w:right w:val="single" w:sz="4" w:space="0" w:color="000000"/>
            </w:tcBorders>
            <w:vAlign w:val="center"/>
          </w:tcPr>
          <w:p w:rsidR="00BC3107" w:rsidRPr="00595BF8" w:rsidP="00042AFB" w14:paraId="7330286D" w14:textId="742F4095">
            <w:pPr>
              <w:keepNext/>
              <w:keepLines/>
              <w:widowControl/>
              <w:jc w:val="center"/>
              <w:rPr>
                <w:rFonts w:ascii="Calibri" w:eastAsia="Calibri" w:hAnsi="Calibri" w:cs="Calibri"/>
                <w:color w:val="000000"/>
                <w:sz w:val="18"/>
                <w:szCs w:val="18"/>
              </w:rPr>
            </w:pPr>
            <w:r w:rsidRPr="00595BF8">
              <w:rPr>
                <w:rFonts w:ascii="Calibri" w:eastAsia="Calibri" w:hAnsi="Calibri" w:cs="Calibri"/>
                <w:color w:val="000000"/>
                <w:sz w:val="18"/>
                <w:szCs w:val="18"/>
              </w:rPr>
              <w:t>ZA-3 Step 1 (GS 11-12)</w:t>
            </w:r>
          </w:p>
        </w:tc>
        <w:tc>
          <w:tcPr>
            <w:tcW w:w="1418" w:type="dxa"/>
            <w:tcBorders>
              <w:top w:val="nil"/>
              <w:left w:val="nil"/>
              <w:bottom w:val="single" w:sz="4" w:space="0" w:color="000000"/>
              <w:right w:val="single" w:sz="4" w:space="0" w:color="000000"/>
            </w:tcBorders>
            <w:vAlign w:val="center"/>
          </w:tcPr>
          <w:p w:rsidR="00BC3107" w:rsidRPr="00595BF8" w:rsidP="00042AFB" w14:paraId="198BD9C2" w14:textId="3734DA8C">
            <w:pPr>
              <w:keepNext/>
              <w:keepLines/>
              <w:widowControl/>
              <w:jc w:val="center"/>
              <w:rPr>
                <w:rFonts w:ascii="Calibri" w:eastAsia="Calibri" w:hAnsi="Calibri" w:cs="Calibri"/>
                <w:color w:val="000000"/>
                <w:sz w:val="18"/>
                <w:szCs w:val="18"/>
              </w:rPr>
            </w:pPr>
            <w:r w:rsidRPr="00595BF8">
              <w:rPr>
                <w:rFonts w:ascii="Calibri" w:eastAsia="Calibri" w:hAnsi="Calibri" w:cs="Calibri"/>
                <w:color w:val="000000"/>
                <w:sz w:val="18"/>
                <w:szCs w:val="18"/>
              </w:rPr>
              <w:t>$</w:t>
            </w:r>
            <w:r w:rsidRPr="00595BF8" w:rsidR="00595BF8">
              <w:rPr>
                <w:rFonts w:ascii="Calibri" w:eastAsia="Calibri" w:hAnsi="Calibri" w:cs="Calibri"/>
                <w:color w:val="000000"/>
                <w:sz w:val="18"/>
                <w:szCs w:val="18"/>
              </w:rPr>
              <w:t>160,188.24</w:t>
            </w:r>
          </w:p>
        </w:tc>
        <w:tc>
          <w:tcPr>
            <w:tcW w:w="997" w:type="dxa"/>
            <w:tcBorders>
              <w:top w:val="nil"/>
              <w:left w:val="nil"/>
              <w:bottom w:val="single" w:sz="4" w:space="0" w:color="000000"/>
              <w:right w:val="single" w:sz="4" w:space="0" w:color="000000"/>
            </w:tcBorders>
            <w:vAlign w:val="center"/>
          </w:tcPr>
          <w:p w:rsidR="00BC3107" w:rsidRPr="00595BF8" w:rsidP="00042AFB" w14:paraId="252D9A34" w14:textId="77777777">
            <w:pPr>
              <w:keepNext/>
              <w:keepLines/>
              <w:widowControl/>
              <w:jc w:val="center"/>
              <w:rPr>
                <w:rFonts w:ascii="Calibri" w:eastAsia="Calibri" w:hAnsi="Calibri" w:cs="Calibri"/>
                <w:color w:val="000000"/>
                <w:sz w:val="18"/>
                <w:szCs w:val="18"/>
              </w:rPr>
            </w:pPr>
            <w:r w:rsidRPr="00595BF8">
              <w:rPr>
                <w:rFonts w:ascii="Calibri" w:eastAsia="Calibri" w:hAnsi="Calibri" w:cs="Calibri"/>
                <w:color w:val="000000"/>
                <w:sz w:val="18"/>
                <w:szCs w:val="18"/>
              </w:rPr>
              <w:t>1%</w:t>
            </w:r>
          </w:p>
        </w:tc>
        <w:tc>
          <w:tcPr>
            <w:tcW w:w="1410" w:type="dxa"/>
            <w:tcBorders>
              <w:top w:val="nil"/>
              <w:left w:val="nil"/>
              <w:bottom w:val="single" w:sz="4" w:space="0" w:color="000000"/>
              <w:right w:val="single" w:sz="4" w:space="0" w:color="000000"/>
            </w:tcBorders>
            <w:shd w:val="clear" w:color="auto" w:fill="808080"/>
            <w:vAlign w:val="center"/>
          </w:tcPr>
          <w:p w:rsidR="00BC3107" w:rsidRPr="00595BF8" w:rsidP="00042AFB" w14:paraId="6181959B" w14:textId="77777777">
            <w:pPr>
              <w:keepNext/>
              <w:keepLines/>
              <w:widowControl/>
              <w:jc w:val="center"/>
              <w:rPr>
                <w:rFonts w:ascii="Calibri" w:eastAsia="Calibri" w:hAnsi="Calibri" w:cs="Calibri"/>
                <w:color w:val="000000"/>
                <w:sz w:val="18"/>
                <w:szCs w:val="18"/>
              </w:rPr>
            </w:pPr>
          </w:p>
        </w:tc>
        <w:tc>
          <w:tcPr>
            <w:tcW w:w="1432" w:type="dxa"/>
            <w:tcBorders>
              <w:top w:val="nil"/>
              <w:left w:val="nil"/>
              <w:bottom w:val="single" w:sz="4" w:space="0" w:color="000000"/>
              <w:right w:val="single" w:sz="8" w:space="0" w:color="000000"/>
            </w:tcBorders>
            <w:vAlign w:val="center"/>
          </w:tcPr>
          <w:p w:rsidR="00BC3107" w:rsidRPr="00595BF8" w:rsidP="00042AFB" w14:paraId="4355378C" w14:textId="2A05CA6E">
            <w:pPr>
              <w:keepNext/>
              <w:keepLines/>
              <w:widowControl/>
              <w:jc w:val="center"/>
              <w:rPr>
                <w:rFonts w:ascii="Calibri" w:eastAsia="Calibri" w:hAnsi="Calibri" w:cs="Calibri"/>
                <w:color w:val="000000"/>
                <w:sz w:val="18"/>
                <w:szCs w:val="18"/>
              </w:rPr>
            </w:pPr>
            <w:r w:rsidRPr="00595BF8">
              <w:rPr>
                <w:rFonts w:ascii="Calibri" w:eastAsia="Calibri" w:hAnsi="Calibri" w:cs="Calibri"/>
                <w:sz w:val="18"/>
                <w:szCs w:val="18"/>
              </w:rPr>
              <w:t>$1</w:t>
            </w:r>
            <w:r w:rsidRPr="00595BF8" w:rsidR="00595BF8">
              <w:rPr>
                <w:rFonts w:ascii="Calibri" w:eastAsia="Calibri" w:hAnsi="Calibri" w:cs="Calibri"/>
                <w:sz w:val="18"/>
                <w:szCs w:val="18"/>
              </w:rPr>
              <w:t>,</w:t>
            </w:r>
            <w:r w:rsidR="00852AE5">
              <w:rPr>
                <w:rFonts w:ascii="Calibri" w:eastAsia="Calibri" w:hAnsi="Calibri" w:cs="Calibri"/>
                <w:sz w:val="18"/>
                <w:szCs w:val="18"/>
              </w:rPr>
              <w:t>602</w:t>
            </w:r>
          </w:p>
        </w:tc>
      </w:tr>
      <w:tr w14:paraId="27D8CEA3" w14:textId="77777777" w:rsidTr="00042AFB">
        <w:tblPrEx>
          <w:tblW w:w="9074" w:type="dxa"/>
          <w:tblInd w:w="-25" w:type="dxa"/>
          <w:tblLayout w:type="fixed"/>
          <w:tblLook w:val="0400"/>
        </w:tblPrEx>
        <w:trPr>
          <w:trHeight w:val="216"/>
        </w:trPr>
        <w:tc>
          <w:tcPr>
            <w:tcW w:w="2512" w:type="dxa"/>
            <w:tcBorders>
              <w:top w:val="nil"/>
              <w:left w:val="single" w:sz="8" w:space="0" w:color="000000"/>
              <w:bottom w:val="single" w:sz="4" w:space="0" w:color="000000"/>
              <w:right w:val="single" w:sz="8" w:space="0" w:color="000000"/>
            </w:tcBorders>
            <w:vAlign w:val="center"/>
          </w:tcPr>
          <w:p w:rsidR="00BC3107" w:rsidRPr="00283FD1" w:rsidP="00042AFB" w14:paraId="4A1F9236" w14:textId="77777777">
            <w:pPr>
              <w:keepNext/>
              <w:keepLines/>
              <w:widowControl/>
              <w:jc w:val="right"/>
              <w:rPr>
                <w:rFonts w:ascii="Calibri" w:eastAsia="Calibri" w:hAnsi="Calibri" w:cs="Calibri"/>
                <w:color w:val="000000"/>
                <w:sz w:val="18"/>
                <w:szCs w:val="18"/>
              </w:rPr>
            </w:pPr>
            <w:r w:rsidRPr="00283FD1">
              <w:rPr>
                <w:rFonts w:ascii="Calibri" w:eastAsia="Calibri" w:hAnsi="Calibri" w:cs="Calibri"/>
                <w:sz w:val="18"/>
                <w:szCs w:val="18"/>
              </w:rPr>
              <w:t>Appeals Attorney</w:t>
            </w:r>
          </w:p>
        </w:tc>
        <w:tc>
          <w:tcPr>
            <w:tcW w:w="1305" w:type="dxa"/>
            <w:tcBorders>
              <w:top w:val="nil"/>
              <w:left w:val="nil"/>
              <w:bottom w:val="single" w:sz="4" w:space="0" w:color="000000"/>
              <w:right w:val="single" w:sz="4" w:space="0" w:color="000000"/>
            </w:tcBorders>
            <w:vAlign w:val="center"/>
          </w:tcPr>
          <w:p w:rsidR="00BC3107" w:rsidRPr="001F6BFC" w:rsidP="00042AFB" w14:paraId="3838FBD5" w14:textId="77777777">
            <w:pPr>
              <w:keepNext/>
              <w:keepLines/>
              <w:widowControl/>
              <w:jc w:val="center"/>
              <w:rPr>
                <w:rFonts w:ascii="Calibri" w:eastAsia="Calibri" w:hAnsi="Calibri" w:cs="Calibri"/>
                <w:color w:val="000000"/>
                <w:sz w:val="18"/>
                <w:szCs w:val="18"/>
              </w:rPr>
            </w:pPr>
            <w:r w:rsidRPr="001F6BFC">
              <w:rPr>
                <w:rFonts w:ascii="Calibri" w:eastAsia="Calibri" w:hAnsi="Calibri" w:cs="Calibri"/>
                <w:color w:val="000000"/>
                <w:sz w:val="18"/>
                <w:szCs w:val="18"/>
              </w:rPr>
              <w:t>GS 14</w:t>
            </w:r>
          </w:p>
        </w:tc>
        <w:tc>
          <w:tcPr>
            <w:tcW w:w="1418" w:type="dxa"/>
            <w:tcBorders>
              <w:top w:val="nil"/>
              <w:left w:val="nil"/>
              <w:bottom w:val="single" w:sz="4" w:space="0" w:color="000000"/>
              <w:right w:val="single" w:sz="4" w:space="0" w:color="000000"/>
            </w:tcBorders>
            <w:vAlign w:val="center"/>
          </w:tcPr>
          <w:p w:rsidR="00BC3107" w:rsidRPr="001F6BFC" w:rsidP="00042AFB" w14:paraId="7D21E887" w14:textId="4605A051">
            <w:pPr>
              <w:keepNext/>
              <w:keepLines/>
              <w:widowControl/>
              <w:jc w:val="center"/>
              <w:rPr>
                <w:rFonts w:ascii="Calibri" w:eastAsia="Calibri" w:hAnsi="Calibri" w:cs="Calibri"/>
                <w:color w:val="000000"/>
                <w:sz w:val="18"/>
                <w:szCs w:val="18"/>
              </w:rPr>
            </w:pPr>
            <w:r w:rsidRPr="001F6BFC">
              <w:rPr>
                <w:rFonts w:ascii="Calibri" w:eastAsia="Calibri" w:hAnsi="Calibri" w:cs="Calibri"/>
                <w:color w:val="000000"/>
                <w:sz w:val="18"/>
                <w:szCs w:val="18"/>
              </w:rPr>
              <w:t>$</w:t>
            </w:r>
            <w:r w:rsidRPr="001F6BFC" w:rsidR="001F6BFC">
              <w:rPr>
                <w:rFonts w:ascii="Calibri" w:eastAsia="Calibri" w:hAnsi="Calibri" w:cs="Calibri"/>
                <w:color w:val="000000"/>
                <w:sz w:val="18"/>
                <w:szCs w:val="18"/>
              </w:rPr>
              <w:t>284,381.36</w:t>
            </w:r>
          </w:p>
        </w:tc>
        <w:tc>
          <w:tcPr>
            <w:tcW w:w="997" w:type="dxa"/>
            <w:tcBorders>
              <w:top w:val="nil"/>
              <w:left w:val="nil"/>
              <w:bottom w:val="single" w:sz="4" w:space="0" w:color="000000"/>
              <w:right w:val="single" w:sz="4" w:space="0" w:color="000000"/>
            </w:tcBorders>
            <w:vAlign w:val="center"/>
          </w:tcPr>
          <w:p w:rsidR="00BC3107" w:rsidRPr="001F6BFC" w:rsidP="00042AFB" w14:paraId="18E26E31" w14:textId="77777777">
            <w:pPr>
              <w:keepNext/>
              <w:keepLines/>
              <w:widowControl/>
              <w:jc w:val="center"/>
              <w:rPr>
                <w:rFonts w:ascii="Calibri" w:eastAsia="Calibri" w:hAnsi="Calibri" w:cs="Calibri"/>
                <w:color w:val="000000"/>
                <w:sz w:val="18"/>
                <w:szCs w:val="18"/>
              </w:rPr>
            </w:pPr>
            <w:r w:rsidRPr="001F6BFC">
              <w:rPr>
                <w:rFonts w:ascii="Calibri" w:eastAsia="Calibri" w:hAnsi="Calibri" w:cs="Calibri"/>
                <w:color w:val="000000"/>
                <w:sz w:val="18"/>
                <w:szCs w:val="18"/>
              </w:rPr>
              <w:t>0.2%</w:t>
            </w:r>
          </w:p>
        </w:tc>
        <w:tc>
          <w:tcPr>
            <w:tcW w:w="1410" w:type="dxa"/>
            <w:tcBorders>
              <w:top w:val="nil"/>
              <w:left w:val="nil"/>
              <w:bottom w:val="single" w:sz="4" w:space="0" w:color="000000"/>
              <w:right w:val="single" w:sz="4" w:space="0" w:color="000000"/>
            </w:tcBorders>
            <w:shd w:val="clear" w:color="auto" w:fill="808080"/>
            <w:vAlign w:val="center"/>
          </w:tcPr>
          <w:p w:rsidR="00BC3107" w:rsidRPr="001F6BFC" w:rsidP="00042AFB" w14:paraId="41AA1E0D" w14:textId="77777777">
            <w:pPr>
              <w:keepNext/>
              <w:keepLines/>
              <w:widowControl/>
              <w:jc w:val="center"/>
              <w:rPr>
                <w:rFonts w:ascii="Calibri" w:eastAsia="Calibri" w:hAnsi="Calibri" w:cs="Calibri"/>
                <w:color w:val="000000"/>
                <w:sz w:val="18"/>
                <w:szCs w:val="18"/>
              </w:rPr>
            </w:pPr>
          </w:p>
        </w:tc>
        <w:tc>
          <w:tcPr>
            <w:tcW w:w="1432" w:type="dxa"/>
            <w:tcBorders>
              <w:top w:val="nil"/>
              <w:left w:val="nil"/>
              <w:bottom w:val="single" w:sz="4" w:space="0" w:color="000000"/>
              <w:right w:val="single" w:sz="8" w:space="0" w:color="000000"/>
            </w:tcBorders>
            <w:vAlign w:val="center"/>
          </w:tcPr>
          <w:p w:rsidR="00BC3107" w:rsidRPr="001F6BFC" w:rsidP="00042AFB" w14:paraId="364FA0CE" w14:textId="45CCFF6F">
            <w:pPr>
              <w:keepNext/>
              <w:keepLines/>
              <w:widowControl/>
              <w:jc w:val="center"/>
              <w:rPr>
                <w:rFonts w:ascii="Calibri" w:eastAsia="Calibri" w:hAnsi="Calibri" w:cs="Calibri"/>
                <w:color w:val="000000"/>
                <w:sz w:val="18"/>
                <w:szCs w:val="18"/>
              </w:rPr>
            </w:pPr>
            <w:r w:rsidRPr="001F6BFC">
              <w:rPr>
                <w:rFonts w:ascii="Calibri" w:eastAsia="Calibri" w:hAnsi="Calibri" w:cs="Calibri"/>
                <w:color w:val="000000"/>
                <w:sz w:val="18"/>
                <w:szCs w:val="18"/>
              </w:rPr>
              <w:t>$</w:t>
            </w:r>
            <w:r w:rsidR="00852AE5">
              <w:rPr>
                <w:rFonts w:ascii="Calibri" w:eastAsia="Calibri" w:hAnsi="Calibri" w:cs="Calibri"/>
                <w:color w:val="000000"/>
                <w:sz w:val="18"/>
                <w:szCs w:val="18"/>
              </w:rPr>
              <w:t>569</w:t>
            </w:r>
          </w:p>
        </w:tc>
      </w:tr>
      <w:tr w14:paraId="39293CCB" w14:textId="77777777" w:rsidTr="00042AFB">
        <w:tblPrEx>
          <w:tblW w:w="9074" w:type="dxa"/>
          <w:tblInd w:w="-25" w:type="dxa"/>
          <w:tblLayout w:type="fixed"/>
          <w:tblLook w:val="0400"/>
        </w:tblPrEx>
        <w:trPr>
          <w:trHeight w:val="216"/>
        </w:trPr>
        <w:tc>
          <w:tcPr>
            <w:tcW w:w="2512" w:type="dxa"/>
            <w:tcBorders>
              <w:top w:val="nil"/>
              <w:left w:val="single" w:sz="8" w:space="0" w:color="000000"/>
              <w:bottom w:val="single" w:sz="4" w:space="0" w:color="000000"/>
              <w:right w:val="single" w:sz="8" w:space="0" w:color="000000"/>
            </w:tcBorders>
            <w:vAlign w:val="center"/>
          </w:tcPr>
          <w:p w:rsidR="00BC3107" w:rsidRPr="004519F4" w:rsidP="00042AFB" w14:paraId="437C07D9" w14:textId="77777777">
            <w:pPr>
              <w:keepNext/>
              <w:keepLines/>
              <w:widowControl/>
              <w:rPr>
                <w:rFonts w:ascii="Calibri" w:eastAsia="Calibri" w:hAnsi="Calibri" w:cs="Calibri"/>
                <w:b/>
                <w:color w:val="000000"/>
                <w:sz w:val="18"/>
                <w:szCs w:val="18"/>
              </w:rPr>
            </w:pPr>
            <w:r w:rsidRPr="004519F4">
              <w:rPr>
                <w:rFonts w:ascii="Calibri" w:eastAsia="Calibri" w:hAnsi="Calibri" w:cs="Calibri"/>
                <w:b/>
                <w:color w:val="000000"/>
                <w:sz w:val="18"/>
                <w:szCs w:val="18"/>
              </w:rPr>
              <w:t>Contractor Cost</w:t>
            </w:r>
          </w:p>
        </w:tc>
        <w:tc>
          <w:tcPr>
            <w:tcW w:w="1305" w:type="dxa"/>
            <w:tcBorders>
              <w:top w:val="nil"/>
              <w:left w:val="nil"/>
              <w:bottom w:val="single" w:sz="4" w:space="0" w:color="000000"/>
              <w:right w:val="single" w:sz="4" w:space="0" w:color="000000"/>
            </w:tcBorders>
            <w:shd w:val="clear" w:color="auto" w:fill="808080"/>
            <w:vAlign w:val="center"/>
          </w:tcPr>
          <w:p w:rsidR="00BC3107" w:rsidRPr="004519F4" w:rsidP="00042AFB" w14:paraId="0845F85C"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18" w:type="dxa"/>
            <w:tcBorders>
              <w:top w:val="nil"/>
              <w:left w:val="nil"/>
              <w:bottom w:val="single" w:sz="4" w:space="0" w:color="000000"/>
              <w:right w:val="single" w:sz="4" w:space="0" w:color="000000"/>
            </w:tcBorders>
            <w:vAlign w:val="center"/>
          </w:tcPr>
          <w:p w:rsidR="00BC3107" w:rsidRPr="004519F4" w:rsidP="00042AFB" w14:paraId="7F55A3CE"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997" w:type="dxa"/>
            <w:tcBorders>
              <w:top w:val="nil"/>
              <w:left w:val="nil"/>
              <w:bottom w:val="single" w:sz="4" w:space="0" w:color="000000"/>
              <w:right w:val="single" w:sz="4" w:space="0" w:color="000000"/>
            </w:tcBorders>
            <w:vAlign w:val="center"/>
          </w:tcPr>
          <w:p w:rsidR="00BC3107" w:rsidRPr="004519F4" w:rsidP="00042AFB" w14:paraId="137A137E"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10" w:type="dxa"/>
            <w:tcBorders>
              <w:top w:val="nil"/>
              <w:left w:val="nil"/>
              <w:bottom w:val="single" w:sz="4" w:space="0" w:color="000000"/>
              <w:right w:val="single" w:sz="4" w:space="0" w:color="000000"/>
            </w:tcBorders>
            <w:vAlign w:val="center"/>
          </w:tcPr>
          <w:p w:rsidR="00BC3107" w:rsidRPr="004519F4" w:rsidP="00042AFB" w14:paraId="4D4A93C7"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32" w:type="dxa"/>
            <w:tcBorders>
              <w:top w:val="nil"/>
              <w:left w:val="nil"/>
              <w:bottom w:val="single" w:sz="4" w:space="0" w:color="000000"/>
              <w:right w:val="single" w:sz="8" w:space="0" w:color="000000"/>
            </w:tcBorders>
            <w:vAlign w:val="center"/>
          </w:tcPr>
          <w:p w:rsidR="00BC3107" w:rsidRPr="004519F4" w:rsidP="00042AFB" w14:paraId="41140C50" w14:textId="77777777">
            <w:pPr>
              <w:keepNext/>
              <w:keepLines/>
              <w:widowControl/>
              <w:jc w:val="right"/>
              <w:rPr>
                <w:rFonts w:ascii="Calibri" w:eastAsia="Calibri" w:hAnsi="Calibri" w:cs="Calibri"/>
                <w:color w:val="000000"/>
                <w:sz w:val="18"/>
                <w:szCs w:val="18"/>
              </w:rPr>
            </w:pPr>
            <w:r w:rsidRPr="004519F4">
              <w:rPr>
                <w:rFonts w:ascii="Calibri" w:eastAsia="Calibri" w:hAnsi="Calibri" w:cs="Calibri"/>
                <w:color w:val="000000"/>
                <w:sz w:val="18"/>
                <w:szCs w:val="18"/>
              </w:rPr>
              <w:t> </w:t>
            </w:r>
          </w:p>
        </w:tc>
      </w:tr>
      <w:tr w14:paraId="7188F4C6" w14:textId="77777777" w:rsidTr="00042AFB">
        <w:tblPrEx>
          <w:tblW w:w="9074" w:type="dxa"/>
          <w:tblInd w:w="-25" w:type="dxa"/>
          <w:tblLayout w:type="fixed"/>
          <w:tblLook w:val="0400"/>
        </w:tblPrEx>
        <w:trPr>
          <w:trHeight w:val="216"/>
        </w:trPr>
        <w:tc>
          <w:tcPr>
            <w:tcW w:w="2512" w:type="dxa"/>
            <w:tcBorders>
              <w:top w:val="nil"/>
              <w:left w:val="single" w:sz="8" w:space="0" w:color="000000"/>
              <w:bottom w:val="single" w:sz="4" w:space="0" w:color="000000"/>
              <w:right w:val="single" w:sz="8" w:space="0" w:color="000000"/>
            </w:tcBorders>
            <w:vAlign w:val="center"/>
          </w:tcPr>
          <w:p w:rsidR="00BC3107" w:rsidRPr="004519F4" w:rsidP="00042AFB" w14:paraId="7E0E0884" w14:textId="77777777">
            <w:pPr>
              <w:keepNext/>
              <w:keepLines/>
              <w:widowControl/>
              <w:rPr>
                <w:rFonts w:ascii="Calibri" w:eastAsia="Calibri" w:hAnsi="Calibri" w:cs="Calibri"/>
                <w:b/>
                <w:color w:val="000000"/>
                <w:sz w:val="18"/>
                <w:szCs w:val="18"/>
              </w:rPr>
            </w:pPr>
            <w:r w:rsidRPr="004519F4">
              <w:rPr>
                <w:rFonts w:ascii="Calibri" w:eastAsia="Calibri" w:hAnsi="Calibri" w:cs="Calibri"/>
                <w:b/>
                <w:color w:val="000000"/>
                <w:sz w:val="18"/>
                <w:szCs w:val="18"/>
              </w:rPr>
              <w:t>Travel</w:t>
            </w:r>
          </w:p>
        </w:tc>
        <w:tc>
          <w:tcPr>
            <w:tcW w:w="1305" w:type="dxa"/>
            <w:tcBorders>
              <w:top w:val="nil"/>
              <w:left w:val="nil"/>
              <w:bottom w:val="single" w:sz="4" w:space="0" w:color="000000"/>
              <w:right w:val="single" w:sz="4" w:space="0" w:color="000000"/>
            </w:tcBorders>
            <w:shd w:val="clear" w:color="auto" w:fill="808080"/>
            <w:vAlign w:val="center"/>
          </w:tcPr>
          <w:p w:rsidR="00BC3107" w:rsidRPr="004519F4" w:rsidP="00042AFB" w14:paraId="7B69A8CF"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18" w:type="dxa"/>
            <w:tcBorders>
              <w:top w:val="nil"/>
              <w:left w:val="nil"/>
              <w:bottom w:val="single" w:sz="4" w:space="0" w:color="000000"/>
              <w:right w:val="single" w:sz="4" w:space="0" w:color="000000"/>
            </w:tcBorders>
            <w:shd w:val="clear" w:color="auto" w:fill="808080"/>
            <w:vAlign w:val="center"/>
          </w:tcPr>
          <w:p w:rsidR="00BC3107" w:rsidRPr="004519F4" w:rsidP="00042AFB" w14:paraId="1F7E0CF4"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997" w:type="dxa"/>
            <w:tcBorders>
              <w:top w:val="nil"/>
              <w:left w:val="nil"/>
              <w:bottom w:val="single" w:sz="4" w:space="0" w:color="000000"/>
              <w:right w:val="single" w:sz="4" w:space="0" w:color="000000"/>
            </w:tcBorders>
            <w:shd w:val="clear" w:color="auto" w:fill="808080"/>
            <w:vAlign w:val="center"/>
          </w:tcPr>
          <w:p w:rsidR="00BC3107" w:rsidRPr="004519F4" w:rsidP="00042AFB" w14:paraId="41C3BAF1"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10" w:type="dxa"/>
            <w:tcBorders>
              <w:top w:val="nil"/>
              <w:left w:val="nil"/>
              <w:bottom w:val="single" w:sz="4" w:space="0" w:color="000000"/>
              <w:right w:val="single" w:sz="4" w:space="0" w:color="000000"/>
            </w:tcBorders>
            <w:shd w:val="clear" w:color="auto" w:fill="808080"/>
            <w:vAlign w:val="center"/>
          </w:tcPr>
          <w:p w:rsidR="00BC3107" w:rsidRPr="004519F4" w:rsidP="00042AFB" w14:paraId="0CE78246"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32" w:type="dxa"/>
            <w:tcBorders>
              <w:top w:val="nil"/>
              <w:left w:val="nil"/>
              <w:bottom w:val="single" w:sz="4" w:space="0" w:color="000000"/>
              <w:right w:val="single" w:sz="8" w:space="0" w:color="000000"/>
            </w:tcBorders>
            <w:vAlign w:val="center"/>
          </w:tcPr>
          <w:p w:rsidR="00BC3107" w:rsidRPr="004519F4" w:rsidP="00042AFB" w14:paraId="287D7F4A" w14:textId="77777777">
            <w:pPr>
              <w:keepNext/>
              <w:keepLines/>
              <w:widowControl/>
              <w:jc w:val="right"/>
              <w:rPr>
                <w:rFonts w:ascii="Calibri" w:eastAsia="Calibri" w:hAnsi="Calibri" w:cs="Calibri"/>
                <w:color w:val="000000"/>
                <w:sz w:val="18"/>
                <w:szCs w:val="18"/>
              </w:rPr>
            </w:pPr>
            <w:r w:rsidRPr="004519F4">
              <w:rPr>
                <w:rFonts w:ascii="Calibri" w:eastAsia="Calibri" w:hAnsi="Calibri" w:cs="Calibri"/>
                <w:color w:val="000000"/>
                <w:sz w:val="18"/>
                <w:szCs w:val="18"/>
              </w:rPr>
              <w:t> </w:t>
            </w:r>
          </w:p>
        </w:tc>
      </w:tr>
      <w:tr w14:paraId="24E12C40" w14:textId="77777777" w:rsidTr="00042AFB">
        <w:tblPrEx>
          <w:tblW w:w="9074" w:type="dxa"/>
          <w:tblInd w:w="-25" w:type="dxa"/>
          <w:tblLayout w:type="fixed"/>
          <w:tblLook w:val="0400"/>
        </w:tblPrEx>
        <w:trPr>
          <w:trHeight w:val="216"/>
        </w:trPr>
        <w:tc>
          <w:tcPr>
            <w:tcW w:w="2512" w:type="dxa"/>
            <w:tcBorders>
              <w:top w:val="nil"/>
              <w:left w:val="single" w:sz="8" w:space="0" w:color="000000"/>
              <w:bottom w:val="nil"/>
              <w:right w:val="single" w:sz="8" w:space="0" w:color="000000"/>
            </w:tcBorders>
            <w:vAlign w:val="center"/>
          </w:tcPr>
          <w:p w:rsidR="00BC3107" w:rsidRPr="004519F4" w:rsidP="00042AFB" w14:paraId="2E23474B" w14:textId="77777777">
            <w:pPr>
              <w:keepNext/>
              <w:keepLines/>
              <w:widowControl/>
              <w:rPr>
                <w:rFonts w:ascii="Calibri" w:eastAsia="Calibri" w:hAnsi="Calibri" w:cs="Calibri"/>
                <w:b/>
                <w:color w:val="000000"/>
                <w:sz w:val="18"/>
                <w:szCs w:val="18"/>
              </w:rPr>
            </w:pPr>
            <w:r w:rsidRPr="004519F4">
              <w:rPr>
                <w:rFonts w:ascii="Calibri" w:eastAsia="Calibri" w:hAnsi="Calibri" w:cs="Calibri"/>
                <w:b/>
                <w:color w:val="000000"/>
                <w:sz w:val="18"/>
                <w:szCs w:val="18"/>
              </w:rPr>
              <w:t xml:space="preserve">Other Costs: </w:t>
            </w:r>
          </w:p>
        </w:tc>
        <w:tc>
          <w:tcPr>
            <w:tcW w:w="1305" w:type="dxa"/>
            <w:tcBorders>
              <w:top w:val="nil"/>
              <w:left w:val="nil"/>
              <w:bottom w:val="single" w:sz="4" w:space="0" w:color="000000"/>
              <w:right w:val="single" w:sz="4" w:space="0" w:color="000000"/>
            </w:tcBorders>
            <w:shd w:val="clear" w:color="auto" w:fill="808080"/>
            <w:vAlign w:val="center"/>
          </w:tcPr>
          <w:p w:rsidR="00BC3107" w:rsidRPr="004519F4" w:rsidP="00042AFB" w14:paraId="1A72C95D"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18" w:type="dxa"/>
            <w:tcBorders>
              <w:top w:val="nil"/>
              <w:left w:val="nil"/>
              <w:bottom w:val="single" w:sz="4" w:space="0" w:color="000000"/>
              <w:right w:val="single" w:sz="4" w:space="0" w:color="000000"/>
            </w:tcBorders>
            <w:shd w:val="clear" w:color="auto" w:fill="808080"/>
            <w:vAlign w:val="center"/>
          </w:tcPr>
          <w:p w:rsidR="00BC3107" w:rsidRPr="004519F4" w:rsidP="00042AFB" w14:paraId="40A3A258"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997" w:type="dxa"/>
            <w:tcBorders>
              <w:top w:val="nil"/>
              <w:left w:val="nil"/>
              <w:bottom w:val="single" w:sz="4" w:space="0" w:color="000000"/>
              <w:right w:val="single" w:sz="4" w:space="0" w:color="000000"/>
            </w:tcBorders>
            <w:shd w:val="clear" w:color="auto" w:fill="808080"/>
            <w:vAlign w:val="center"/>
          </w:tcPr>
          <w:p w:rsidR="00BC3107" w:rsidRPr="004519F4" w:rsidP="00042AFB" w14:paraId="6097CE3A"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10" w:type="dxa"/>
            <w:tcBorders>
              <w:top w:val="nil"/>
              <w:left w:val="nil"/>
              <w:bottom w:val="single" w:sz="4" w:space="0" w:color="000000"/>
              <w:right w:val="single" w:sz="4" w:space="0" w:color="000000"/>
            </w:tcBorders>
            <w:shd w:val="clear" w:color="auto" w:fill="808080"/>
            <w:vAlign w:val="center"/>
          </w:tcPr>
          <w:p w:rsidR="00BC3107" w:rsidRPr="004519F4" w:rsidP="00042AFB" w14:paraId="3ACF731E"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32" w:type="dxa"/>
            <w:tcBorders>
              <w:top w:val="nil"/>
              <w:left w:val="nil"/>
              <w:bottom w:val="single" w:sz="4" w:space="0" w:color="000000"/>
              <w:right w:val="single" w:sz="8" w:space="0" w:color="000000"/>
            </w:tcBorders>
            <w:vAlign w:val="center"/>
          </w:tcPr>
          <w:p w:rsidR="00BC3107" w:rsidRPr="004519F4" w:rsidP="00042AFB" w14:paraId="43801CE4" w14:textId="77777777">
            <w:pPr>
              <w:keepNext/>
              <w:keepLines/>
              <w:widowControl/>
              <w:jc w:val="right"/>
              <w:rPr>
                <w:rFonts w:ascii="Calibri" w:eastAsia="Calibri" w:hAnsi="Calibri" w:cs="Calibri"/>
                <w:color w:val="000000"/>
                <w:sz w:val="18"/>
                <w:szCs w:val="18"/>
              </w:rPr>
            </w:pPr>
            <w:r w:rsidRPr="004519F4">
              <w:rPr>
                <w:rFonts w:ascii="Calibri" w:eastAsia="Calibri" w:hAnsi="Calibri" w:cs="Calibri"/>
                <w:color w:val="000000"/>
                <w:sz w:val="18"/>
                <w:szCs w:val="18"/>
              </w:rPr>
              <w:t> </w:t>
            </w:r>
          </w:p>
        </w:tc>
      </w:tr>
      <w:tr w14:paraId="5792C4B5" w14:textId="77777777" w:rsidTr="00042AFB">
        <w:tblPrEx>
          <w:tblW w:w="9074" w:type="dxa"/>
          <w:tblInd w:w="-25" w:type="dxa"/>
          <w:tblLayout w:type="fixed"/>
          <w:tblLook w:val="0400"/>
        </w:tblPrEx>
        <w:trPr>
          <w:trHeight w:val="216"/>
        </w:trPr>
        <w:tc>
          <w:tcPr>
            <w:tcW w:w="2512"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BC3107" w:rsidRPr="004519F4" w:rsidP="00042AFB" w14:paraId="6D6B496C" w14:textId="77777777">
            <w:pPr>
              <w:keepNext/>
              <w:keepLines/>
              <w:widowControl/>
              <w:rPr>
                <w:rFonts w:ascii="Calibri" w:eastAsia="Calibri" w:hAnsi="Calibri" w:cs="Calibri"/>
                <w:b/>
                <w:color w:val="000000"/>
                <w:sz w:val="18"/>
                <w:szCs w:val="18"/>
              </w:rPr>
            </w:pPr>
            <w:r w:rsidRPr="004519F4">
              <w:rPr>
                <w:rFonts w:ascii="Calibri" w:eastAsia="Calibri" w:hAnsi="Calibri" w:cs="Calibri"/>
                <w:b/>
                <w:color w:val="000000"/>
                <w:sz w:val="18"/>
                <w:szCs w:val="18"/>
              </w:rPr>
              <w:t>TOTAL</w:t>
            </w:r>
          </w:p>
        </w:tc>
        <w:tc>
          <w:tcPr>
            <w:tcW w:w="1305" w:type="dxa"/>
            <w:tcBorders>
              <w:top w:val="single" w:sz="8" w:space="0" w:color="000000"/>
              <w:left w:val="nil"/>
              <w:bottom w:val="single" w:sz="8" w:space="0" w:color="000000"/>
              <w:right w:val="single" w:sz="8" w:space="0" w:color="000000"/>
            </w:tcBorders>
            <w:shd w:val="clear" w:color="auto" w:fill="808080"/>
            <w:vAlign w:val="center"/>
          </w:tcPr>
          <w:p w:rsidR="00BC3107" w:rsidRPr="004519F4" w:rsidP="00042AFB" w14:paraId="47EC9A96"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18" w:type="dxa"/>
            <w:tcBorders>
              <w:top w:val="single" w:sz="8" w:space="0" w:color="000000"/>
              <w:left w:val="nil"/>
              <w:bottom w:val="single" w:sz="8" w:space="0" w:color="000000"/>
              <w:right w:val="single" w:sz="8" w:space="0" w:color="000000"/>
            </w:tcBorders>
            <w:shd w:val="clear" w:color="auto" w:fill="808080"/>
            <w:vAlign w:val="center"/>
          </w:tcPr>
          <w:p w:rsidR="00BC3107" w:rsidRPr="004519F4" w:rsidP="00042AFB" w14:paraId="5AF34B20"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997" w:type="dxa"/>
            <w:tcBorders>
              <w:top w:val="single" w:sz="8" w:space="0" w:color="000000"/>
              <w:left w:val="nil"/>
              <w:bottom w:val="single" w:sz="8" w:space="0" w:color="000000"/>
              <w:right w:val="single" w:sz="8" w:space="0" w:color="000000"/>
            </w:tcBorders>
            <w:shd w:val="clear" w:color="auto" w:fill="757171"/>
            <w:vAlign w:val="center"/>
          </w:tcPr>
          <w:p w:rsidR="00BC3107" w:rsidRPr="004519F4" w:rsidP="00042AFB" w14:paraId="4295F446"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10" w:type="dxa"/>
            <w:tcBorders>
              <w:top w:val="single" w:sz="8" w:space="0" w:color="000000"/>
              <w:left w:val="nil"/>
              <w:bottom w:val="single" w:sz="8" w:space="0" w:color="000000"/>
              <w:right w:val="single" w:sz="8" w:space="0" w:color="000000"/>
            </w:tcBorders>
            <w:shd w:val="clear" w:color="auto" w:fill="DDEBF7"/>
            <w:vAlign w:val="center"/>
          </w:tcPr>
          <w:p w:rsidR="00BC3107" w:rsidRPr="004519F4" w:rsidP="00042AFB" w14:paraId="0DC8FF9E"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32" w:type="dxa"/>
            <w:tcBorders>
              <w:top w:val="single" w:sz="8" w:space="0" w:color="000000"/>
              <w:left w:val="nil"/>
              <w:bottom w:val="single" w:sz="8" w:space="0" w:color="000000"/>
              <w:right w:val="single" w:sz="8" w:space="0" w:color="000000"/>
            </w:tcBorders>
            <w:shd w:val="clear" w:color="auto" w:fill="DDEBF7"/>
            <w:vAlign w:val="center"/>
          </w:tcPr>
          <w:p w:rsidR="00BC3107" w:rsidRPr="00852AE5" w:rsidP="00042AFB" w14:paraId="7303103C" w14:textId="1C320087">
            <w:pPr>
              <w:keepNext/>
              <w:keepLines/>
              <w:widowControl/>
              <w:jc w:val="right"/>
              <w:rPr>
                <w:rFonts w:ascii="Calibri" w:eastAsia="Calibri" w:hAnsi="Calibri" w:cs="Calibri"/>
                <w:b/>
                <w:bCs/>
                <w:color w:val="000000"/>
                <w:sz w:val="18"/>
                <w:szCs w:val="18"/>
              </w:rPr>
            </w:pPr>
            <w:r w:rsidRPr="00852AE5">
              <w:rPr>
                <w:rFonts w:ascii="Calibri" w:eastAsia="Calibri" w:hAnsi="Calibri" w:cs="Calibri"/>
                <w:b/>
                <w:bCs/>
                <w:color w:val="000000"/>
                <w:sz w:val="18"/>
                <w:szCs w:val="18"/>
              </w:rPr>
              <w:t> $</w:t>
            </w:r>
            <w:r w:rsidRPr="00852AE5" w:rsidR="00595BF8">
              <w:rPr>
                <w:rFonts w:ascii="Calibri" w:eastAsia="Calibri" w:hAnsi="Calibri" w:cs="Calibri"/>
                <w:b/>
                <w:bCs/>
                <w:color w:val="000000"/>
                <w:sz w:val="18"/>
                <w:szCs w:val="18"/>
              </w:rPr>
              <w:t>2,</w:t>
            </w:r>
            <w:r w:rsidRPr="00852AE5" w:rsidR="00852AE5">
              <w:rPr>
                <w:rFonts w:ascii="Calibri" w:eastAsia="Calibri" w:hAnsi="Calibri" w:cs="Calibri"/>
                <w:b/>
                <w:bCs/>
                <w:color w:val="000000"/>
                <w:sz w:val="18"/>
                <w:szCs w:val="18"/>
              </w:rPr>
              <w:t>171</w:t>
            </w:r>
          </w:p>
        </w:tc>
      </w:tr>
    </w:tbl>
    <w:p w:rsidR="00BC3107" w:rsidRPr="00950568" w:rsidP="00BC3107" w14:paraId="349137C9" w14:textId="2A2E57AF">
      <w:pPr>
        <w:widowControl/>
        <w:spacing w:before="120" w:after="120"/>
        <w:rPr>
          <w:rFonts w:asciiTheme="minorHAnsi" w:hAnsiTheme="minorHAnsi" w:cstheme="minorHAnsi"/>
          <w:sz w:val="20"/>
          <w:szCs w:val="20"/>
        </w:rPr>
      </w:pPr>
      <w:r w:rsidRPr="00950568">
        <w:rPr>
          <w:rFonts w:asciiTheme="minorHAnsi" w:hAnsiTheme="minorHAnsi" w:cstheme="minorHAnsi"/>
          <w:color w:val="000000"/>
          <w:sz w:val="20"/>
          <w:szCs w:val="20"/>
          <w:u w:val="single"/>
        </w:rPr>
        <w:t xml:space="preserve">GS </w:t>
      </w:r>
      <w:r w:rsidRPr="00950568" w:rsidR="00950568">
        <w:rPr>
          <w:rFonts w:asciiTheme="minorHAnsi" w:hAnsiTheme="minorHAnsi" w:cstheme="minorHAnsi"/>
          <w:color w:val="000000"/>
          <w:sz w:val="20"/>
          <w:szCs w:val="20"/>
          <w:u w:val="single"/>
        </w:rPr>
        <w:t>11-12</w:t>
      </w:r>
      <w:r w:rsidRPr="00950568">
        <w:rPr>
          <w:rFonts w:asciiTheme="minorHAnsi" w:hAnsiTheme="minorHAnsi" w:cstheme="minorHAnsi"/>
          <w:color w:val="000000"/>
          <w:sz w:val="20"/>
          <w:szCs w:val="20"/>
        </w:rPr>
        <w:t xml:space="preserve"> 202</w:t>
      </w:r>
      <w:r w:rsidRPr="00950568" w:rsidR="00950568">
        <w:rPr>
          <w:rFonts w:asciiTheme="minorHAnsi" w:hAnsiTheme="minorHAnsi" w:cstheme="minorHAnsi"/>
          <w:color w:val="000000"/>
          <w:sz w:val="20"/>
          <w:szCs w:val="20"/>
        </w:rPr>
        <w:t>6</w:t>
      </w:r>
      <w:r w:rsidRPr="00950568">
        <w:rPr>
          <w:rFonts w:asciiTheme="minorHAnsi" w:hAnsiTheme="minorHAnsi" w:cstheme="minorHAnsi"/>
          <w:color w:val="000000"/>
          <w:sz w:val="20"/>
          <w:szCs w:val="20"/>
        </w:rPr>
        <w:t xml:space="preserve"> salary (capped out Z</w:t>
      </w:r>
      <w:r w:rsidRPr="00950568" w:rsidR="00950568">
        <w:rPr>
          <w:rFonts w:asciiTheme="minorHAnsi" w:hAnsiTheme="minorHAnsi" w:cstheme="minorHAnsi"/>
          <w:color w:val="000000"/>
          <w:sz w:val="20"/>
          <w:szCs w:val="20"/>
        </w:rPr>
        <w:t>A-3</w:t>
      </w:r>
      <w:r w:rsidRPr="00950568">
        <w:rPr>
          <w:rFonts w:asciiTheme="minorHAnsi" w:hAnsiTheme="minorHAnsi" w:cstheme="minorHAnsi"/>
          <w:color w:val="000000"/>
          <w:sz w:val="20"/>
          <w:szCs w:val="20"/>
        </w:rPr>
        <w:t xml:space="preserve">, step </w:t>
      </w:r>
      <w:r w:rsidRPr="00950568" w:rsidR="00950568">
        <w:rPr>
          <w:rFonts w:asciiTheme="minorHAnsi" w:hAnsiTheme="minorHAnsi" w:cstheme="minorHAnsi"/>
          <w:color w:val="000000"/>
          <w:sz w:val="20"/>
          <w:szCs w:val="20"/>
        </w:rPr>
        <w:t>1</w:t>
      </w:r>
      <w:r w:rsidRPr="00950568">
        <w:rPr>
          <w:rFonts w:asciiTheme="minorHAnsi" w:hAnsiTheme="minorHAnsi" w:cstheme="minorHAnsi"/>
          <w:color w:val="000000"/>
          <w:sz w:val="20"/>
          <w:szCs w:val="20"/>
        </w:rPr>
        <w:t xml:space="preserve"> in Juneau, AK) = $</w:t>
      </w:r>
      <w:r w:rsidRPr="00950568" w:rsidR="00950568">
        <w:rPr>
          <w:rFonts w:asciiTheme="minorHAnsi" w:hAnsiTheme="minorHAnsi" w:cstheme="minorHAnsi"/>
          <w:color w:val="000000"/>
          <w:sz w:val="20"/>
          <w:szCs w:val="20"/>
        </w:rPr>
        <w:t>105,387</w:t>
      </w:r>
      <w:r w:rsidRPr="00950568">
        <w:rPr>
          <w:rFonts w:asciiTheme="minorHAnsi" w:hAnsiTheme="minorHAnsi" w:cstheme="minorHAnsi"/>
          <w:color w:val="000000"/>
          <w:sz w:val="20"/>
          <w:szCs w:val="20"/>
        </w:rPr>
        <w:t>. For loaded salary, add 52% for benefits and other overhead costs ($</w:t>
      </w:r>
      <w:r w:rsidRPr="00950568" w:rsidR="00595BF8">
        <w:rPr>
          <w:rFonts w:asciiTheme="minorHAnsi" w:hAnsiTheme="minorHAnsi" w:cstheme="minorHAnsi"/>
          <w:color w:val="000000"/>
          <w:sz w:val="20"/>
          <w:szCs w:val="20"/>
        </w:rPr>
        <w:t>105,387</w:t>
      </w:r>
      <w:r w:rsidRPr="00950568">
        <w:rPr>
          <w:rFonts w:asciiTheme="minorHAnsi" w:hAnsiTheme="minorHAnsi" w:cstheme="minorHAnsi"/>
          <w:color w:val="000000"/>
          <w:sz w:val="20"/>
          <w:szCs w:val="20"/>
        </w:rPr>
        <w:t xml:space="preserve"> * 1.52 = </w:t>
      </w:r>
      <w:r w:rsidRPr="00950568">
        <w:rPr>
          <w:rFonts w:asciiTheme="minorHAnsi" w:hAnsiTheme="minorHAnsi" w:cstheme="minorHAnsi"/>
          <w:color w:val="000000"/>
          <w:sz w:val="22"/>
          <w:szCs w:val="22"/>
        </w:rPr>
        <w:t>$</w:t>
      </w:r>
      <w:r w:rsidRPr="00950568" w:rsidR="00595BF8">
        <w:rPr>
          <w:rFonts w:ascii="Calibri" w:eastAsia="Calibri" w:hAnsi="Calibri" w:cs="Calibri"/>
          <w:color w:val="000000"/>
          <w:sz w:val="20"/>
          <w:szCs w:val="20"/>
        </w:rPr>
        <w:t>160,188.24</w:t>
      </w:r>
      <w:r w:rsidRPr="00950568">
        <w:rPr>
          <w:rFonts w:asciiTheme="minorHAnsi" w:hAnsiTheme="minorHAnsi" w:cstheme="minorHAnsi"/>
          <w:color w:val="000000"/>
          <w:sz w:val="20"/>
          <w:szCs w:val="20"/>
        </w:rPr>
        <w:t>).    </w:t>
      </w:r>
    </w:p>
    <w:p w:rsidR="00BC3107" w:rsidRPr="003F1B6D" w:rsidP="00BC3107" w14:paraId="4215E04D" w14:textId="3C8647A8">
      <w:pPr>
        <w:widowControl/>
        <w:spacing w:before="120" w:after="120"/>
        <w:rPr>
          <w:rFonts w:asciiTheme="minorHAnsi" w:hAnsiTheme="minorHAnsi" w:cstheme="minorHAnsi"/>
          <w:sz w:val="20"/>
          <w:szCs w:val="20"/>
        </w:rPr>
      </w:pPr>
      <w:r w:rsidRPr="001F6BFC">
        <w:rPr>
          <w:rFonts w:asciiTheme="minorHAnsi" w:hAnsiTheme="minorHAnsi" w:cstheme="minorHAnsi"/>
          <w:color w:val="000000"/>
          <w:sz w:val="20"/>
          <w:szCs w:val="20"/>
          <w:u w:val="single"/>
        </w:rPr>
        <w:t>GS 14 step 10</w:t>
      </w:r>
      <w:r w:rsidRPr="001F6BFC">
        <w:rPr>
          <w:rFonts w:asciiTheme="minorHAnsi" w:hAnsiTheme="minorHAnsi" w:cstheme="minorHAnsi"/>
          <w:color w:val="000000"/>
          <w:sz w:val="20"/>
          <w:szCs w:val="20"/>
        </w:rPr>
        <w:t xml:space="preserve"> 202</w:t>
      </w:r>
      <w:r w:rsidRPr="001F6BFC" w:rsidR="00400FD2">
        <w:rPr>
          <w:rFonts w:asciiTheme="minorHAnsi" w:hAnsiTheme="minorHAnsi" w:cstheme="minorHAnsi"/>
          <w:color w:val="000000"/>
          <w:sz w:val="20"/>
          <w:szCs w:val="20"/>
        </w:rPr>
        <w:t>6</w:t>
      </w:r>
      <w:r w:rsidRPr="001F6BFC">
        <w:rPr>
          <w:rFonts w:asciiTheme="minorHAnsi" w:hAnsiTheme="minorHAnsi" w:cstheme="minorHAnsi"/>
          <w:color w:val="000000"/>
          <w:sz w:val="20"/>
          <w:szCs w:val="20"/>
        </w:rPr>
        <w:t xml:space="preserve"> salary for Silver Spring = $</w:t>
      </w:r>
      <w:r w:rsidRPr="001F6BFC" w:rsidR="00400FD2">
        <w:rPr>
          <w:rFonts w:asciiTheme="minorHAnsi" w:hAnsiTheme="minorHAnsi" w:cstheme="minorHAnsi"/>
          <w:color w:val="000000"/>
          <w:sz w:val="20"/>
          <w:szCs w:val="20"/>
        </w:rPr>
        <w:t>187,093</w:t>
      </w:r>
      <w:r w:rsidRPr="001F6BFC">
        <w:rPr>
          <w:rFonts w:asciiTheme="minorHAnsi" w:hAnsiTheme="minorHAnsi" w:cstheme="minorHAnsi"/>
          <w:color w:val="000000"/>
          <w:sz w:val="20"/>
          <w:szCs w:val="20"/>
        </w:rPr>
        <w:t>. For loaded salary, add 52% for benefits and other overhead costs. ($</w:t>
      </w:r>
      <w:r w:rsidRPr="001F6BFC" w:rsidR="00400FD2">
        <w:rPr>
          <w:rFonts w:asciiTheme="minorHAnsi" w:hAnsiTheme="minorHAnsi" w:cstheme="minorHAnsi"/>
          <w:color w:val="000000"/>
          <w:sz w:val="20"/>
          <w:szCs w:val="20"/>
        </w:rPr>
        <w:t>187,093</w:t>
      </w:r>
      <w:r w:rsidRPr="001F6BFC">
        <w:rPr>
          <w:rFonts w:asciiTheme="minorHAnsi" w:hAnsiTheme="minorHAnsi" w:cstheme="minorHAnsi"/>
          <w:color w:val="000000"/>
          <w:sz w:val="20"/>
          <w:szCs w:val="20"/>
        </w:rPr>
        <w:t xml:space="preserve"> * 1.52 = $</w:t>
      </w:r>
      <w:r w:rsidRPr="001F6BFC" w:rsidR="001F6BFC">
        <w:rPr>
          <w:rFonts w:asciiTheme="minorHAnsi" w:hAnsiTheme="minorHAnsi" w:cstheme="minorHAnsi"/>
          <w:color w:val="000000"/>
          <w:sz w:val="20"/>
          <w:szCs w:val="20"/>
        </w:rPr>
        <w:t>284,381.36</w:t>
      </w:r>
      <w:r w:rsidRPr="001F6BFC">
        <w:rPr>
          <w:rFonts w:asciiTheme="minorHAnsi" w:hAnsiTheme="minorHAnsi" w:cstheme="minorHAnsi"/>
          <w:color w:val="000000"/>
          <w:sz w:val="20"/>
          <w:szCs w:val="20"/>
        </w:rPr>
        <w:t>).</w:t>
      </w:r>
      <w:r w:rsidRPr="003F1B6D">
        <w:rPr>
          <w:rFonts w:asciiTheme="minorHAnsi" w:hAnsiTheme="minorHAnsi" w:cstheme="minorHAnsi"/>
          <w:color w:val="000000"/>
          <w:sz w:val="20"/>
          <w:szCs w:val="20"/>
        </w:rPr>
        <w:t xml:space="preserve"> </w:t>
      </w:r>
    </w:p>
    <w:p w:rsidR="00BC3107" w:rsidP="00BC3107" w14:paraId="5C4AD259" w14:textId="77777777">
      <w:pPr>
        <w:widowControl/>
        <w:pBdr>
          <w:top w:val="nil"/>
          <w:left w:val="nil"/>
          <w:bottom w:val="nil"/>
          <w:right w:val="nil"/>
          <w:between w:val="nil"/>
        </w:pBdr>
        <w:spacing w:before="9" w:after="1"/>
        <w:rPr>
          <w:b/>
          <w:color w:val="000000"/>
        </w:rPr>
      </w:pPr>
    </w:p>
    <w:p w:rsidR="00BC3107" w:rsidP="00BC3107" w14:paraId="3D747B25" w14:textId="77777777">
      <w:pPr>
        <w:widowControl/>
        <w:rPr>
          <w:b/>
          <w:color w:val="000000"/>
        </w:rPr>
      </w:pPr>
      <w:r>
        <w:rPr>
          <w:b/>
          <w:color w:val="000000"/>
        </w:rPr>
        <w:br w:type="page"/>
      </w:r>
    </w:p>
    <w:p w:rsidR="00BC3107" w14:paraId="146A81D1" w14:textId="77777777">
      <w:pPr>
        <w:spacing w:before="9" w:after="1"/>
        <w:rPr>
          <w:b/>
        </w:rPr>
      </w:pPr>
    </w:p>
    <w:p w:rsidR="00AB1A5B" w:rsidP="00277B26" w14:paraId="2C4CE941" w14:textId="492D4403">
      <w:pPr>
        <w:pStyle w:val="Heading2"/>
        <w:numPr>
          <w:ilvl w:val="0"/>
          <w:numId w:val="0"/>
        </w:numPr>
      </w:pPr>
      <w:r>
        <w:t xml:space="preserve">15. </w:t>
      </w:r>
      <w:r w:rsidR="00226B0D">
        <w:t>Explain the reasons for any program changes or adjustments reported in ROCIS.</w:t>
      </w:r>
    </w:p>
    <w:p w:rsidR="00BC3107" w:rsidRPr="00F82711" w:rsidP="00BC3107" w14:paraId="0DFACF4B" w14:textId="7A2DAF37">
      <w:pPr>
        <w:widowControl/>
        <w:pBdr>
          <w:top w:val="nil"/>
          <w:left w:val="nil"/>
          <w:bottom w:val="nil"/>
          <w:right w:val="nil"/>
          <w:between w:val="nil"/>
        </w:pBdr>
        <w:spacing w:before="240" w:after="240"/>
        <w:rPr>
          <w:color w:val="000000"/>
        </w:rPr>
      </w:pPr>
      <w:r>
        <w:rPr>
          <w:color w:val="000000"/>
        </w:rPr>
        <w:t>Adjustments due to change in number of responses and updated hourly wage rates.</w:t>
      </w:r>
    </w:p>
    <w:tbl>
      <w:tblPr>
        <w:tblStyle w:val="ae"/>
        <w:tblW w:w="10537" w:type="dxa"/>
        <w:jc w:val="center"/>
        <w:tblLayout w:type="fixed"/>
        <w:tblLook w:val="0400"/>
      </w:tblPr>
      <w:tblGrid>
        <w:gridCol w:w="2240"/>
        <w:gridCol w:w="913"/>
        <w:gridCol w:w="11"/>
        <w:gridCol w:w="948"/>
        <w:gridCol w:w="958"/>
        <w:gridCol w:w="959"/>
        <w:gridCol w:w="891"/>
        <w:gridCol w:w="900"/>
        <w:gridCol w:w="2717"/>
      </w:tblGrid>
      <w:tr w14:paraId="5249EBD1" w14:textId="77777777" w:rsidTr="00042AFB">
        <w:tblPrEx>
          <w:tblW w:w="10537" w:type="dxa"/>
          <w:jc w:val="center"/>
          <w:tblLayout w:type="fixed"/>
          <w:tblLook w:val="0400"/>
        </w:tblPrEx>
        <w:trPr>
          <w:trHeight w:val="303"/>
          <w:jc w:val="center"/>
        </w:trPr>
        <w:tc>
          <w:tcPr>
            <w:tcW w:w="224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C3107" w:rsidRPr="00B22CE0" w:rsidP="00042AFB" w14:paraId="69EF28E4" w14:textId="77777777">
            <w:pPr>
              <w:widowControl/>
              <w:jc w:val="center"/>
              <w:rPr>
                <w:rFonts w:ascii="Calibri" w:eastAsia="Calibri" w:hAnsi="Calibri" w:cs="Calibri"/>
                <w:b/>
                <w:color w:val="000000"/>
                <w:sz w:val="18"/>
                <w:szCs w:val="18"/>
              </w:rPr>
            </w:pPr>
            <w:r w:rsidRPr="00B22CE0">
              <w:rPr>
                <w:rFonts w:ascii="Calibri" w:eastAsia="Calibri" w:hAnsi="Calibri" w:cs="Calibri"/>
                <w:b/>
                <w:color w:val="000000"/>
                <w:sz w:val="18"/>
                <w:szCs w:val="18"/>
              </w:rPr>
              <w:t>Information Collection</w:t>
            </w:r>
          </w:p>
        </w:tc>
        <w:tc>
          <w:tcPr>
            <w:tcW w:w="1872" w:type="dxa"/>
            <w:gridSpan w:val="3"/>
            <w:tcBorders>
              <w:top w:val="single" w:sz="8" w:space="0" w:color="000000"/>
              <w:left w:val="nil"/>
              <w:bottom w:val="single" w:sz="8" w:space="0" w:color="000000"/>
              <w:right w:val="single" w:sz="8" w:space="0" w:color="000000"/>
            </w:tcBorders>
            <w:shd w:val="clear" w:color="auto" w:fill="5B9BD5"/>
            <w:vAlign w:val="center"/>
          </w:tcPr>
          <w:p w:rsidR="00BC3107" w:rsidRPr="00B22CE0" w:rsidP="00042AFB" w14:paraId="170098F5" w14:textId="77777777">
            <w:pPr>
              <w:widowControl/>
              <w:jc w:val="center"/>
              <w:rPr>
                <w:rFonts w:ascii="Calibri" w:eastAsia="Calibri" w:hAnsi="Calibri" w:cs="Calibri"/>
                <w:b/>
                <w:color w:val="000000"/>
                <w:sz w:val="18"/>
                <w:szCs w:val="18"/>
              </w:rPr>
            </w:pPr>
            <w:r w:rsidRPr="00B22CE0">
              <w:rPr>
                <w:rFonts w:ascii="Calibri" w:eastAsia="Calibri" w:hAnsi="Calibri" w:cs="Calibri"/>
                <w:b/>
                <w:color w:val="000000"/>
                <w:sz w:val="18"/>
                <w:szCs w:val="18"/>
              </w:rPr>
              <w:t>Respondents</w:t>
            </w:r>
          </w:p>
        </w:tc>
        <w:tc>
          <w:tcPr>
            <w:tcW w:w="1917" w:type="dxa"/>
            <w:gridSpan w:val="2"/>
            <w:tcBorders>
              <w:top w:val="single" w:sz="8" w:space="0" w:color="000000"/>
              <w:left w:val="nil"/>
              <w:bottom w:val="single" w:sz="8" w:space="0" w:color="000000"/>
              <w:right w:val="single" w:sz="8" w:space="0" w:color="000000"/>
            </w:tcBorders>
            <w:shd w:val="clear" w:color="auto" w:fill="5B9BD5"/>
            <w:vAlign w:val="center"/>
          </w:tcPr>
          <w:p w:rsidR="00BC3107" w:rsidRPr="00B22CE0" w:rsidP="00042AFB" w14:paraId="0CF8B896" w14:textId="77777777">
            <w:pPr>
              <w:widowControl/>
              <w:jc w:val="center"/>
              <w:rPr>
                <w:rFonts w:ascii="Calibri" w:eastAsia="Calibri" w:hAnsi="Calibri" w:cs="Calibri"/>
                <w:b/>
                <w:color w:val="000000"/>
                <w:sz w:val="18"/>
                <w:szCs w:val="18"/>
              </w:rPr>
            </w:pPr>
            <w:r w:rsidRPr="00B22CE0">
              <w:rPr>
                <w:rFonts w:ascii="Calibri" w:eastAsia="Calibri" w:hAnsi="Calibri" w:cs="Calibri"/>
                <w:b/>
                <w:color w:val="000000"/>
                <w:sz w:val="18"/>
                <w:szCs w:val="18"/>
              </w:rPr>
              <w:t>Responses</w:t>
            </w:r>
          </w:p>
        </w:tc>
        <w:tc>
          <w:tcPr>
            <w:tcW w:w="1791" w:type="dxa"/>
            <w:gridSpan w:val="2"/>
            <w:tcBorders>
              <w:top w:val="single" w:sz="8" w:space="0" w:color="000000"/>
              <w:left w:val="nil"/>
              <w:bottom w:val="single" w:sz="8" w:space="0" w:color="000000"/>
              <w:right w:val="single" w:sz="8" w:space="0" w:color="000000"/>
            </w:tcBorders>
            <w:shd w:val="clear" w:color="auto" w:fill="5B9BD5"/>
            <w:vAlign w:val="center"/>
          </w:tcPr>
          <w:p w:rsidR="00BC3107" w:rsidRPr="00B22CE0" w:rsidP="00042AFB" w14:paraId="3CCE1434" w14:textId="77777777">
            <w:pPr>
              <w:widowControl/>
              <w:jc w:val="center"/>
              <w:rPr>
                <w:rFonts w:ascii="Calibri" w:eastAsia="Calibri" w:hAnsi="Calibri" w:cs="Calibri"/>
                <w:b/>
                <w:color w:val="000000"/>
                <w:sz w:val="18"/>
                <w:szCs w:val="18"/>
              </w:rPr>
            </w:pPr>
            <w:r w:rsidRPr="00B22CE0">
              <w:rPr>
                <w:rFonts w:ascii="Calibri" w:eastAsia="Calibri" w:hAnsi="Calibri" w:cs="Calibri"/>
                <w:b/>
                <w:color w:val="000000"/>
                <w:sz w:val="18"/>
                <w:szCs w:val="18"/>
              </w:rPr>
              <w:t>Burden Hours</w:t>
            </w:r>
          </w:p>
        </w:tc>
        <w:tc>
          <w:tcPr>
            <w:tcW w:w="2717"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C3107" w:rsidRPr="00B22CE0" w:rsidP="00042AFB" w14:paraId="48E9F432" w14:textId="77777777">
            <w:pPr>
              <w:widowControl/>
              <w:jc w:val="center"/>
              <w:rPr>
                <w:rFonts w:ascii="Calibri" w:eastAsia="Calibri" w:hAnsi="Calibri" w:cs="Calibri"/>
                <w:b/>
                <w:color w:val="000000"/>
                <w:sz w:val="18"/>
                <w:szCs w:val="18"/>
              </w:rPr>
            </w:pPr>
            <w:r w:rsidRPr="00B22CE0">
              <w:rPr>
                <w:rFonts w:ascii="Calibri" w:eastAsia="Calibri" w:hAnsi="Calibri" w:cs="Calibri"/>
                <w:b/>
                <w:color w:val="000000"/>
                <w:sz w:val="18"/>
                <w:szCs w:val="18"/>
              </w:rPr>
              <w:t>Reason for change or adjustment</w:t>
            </w:r>
          </w:p>
        </w:tc>
      </w:tr>
      <w:tr w14:paraId="114A32A2" w14:textId="77777777" w:rsidTr="00042AFB">
        <w:tblPrEx>
          <w:tblW w:w="10537" w:type="dxa"/>
          <w:jc w:val="center"/>
          <w:tblLayout w:type="fixed"/>
          <w:tblLook w:val="0400"/>
        </w:tblPrEx>
        <w:trPr>
          <w:trHeight w:val="200"/>
          <w:jc w:val="center"/>
        </w:trPr>
        <w:tc>
          <w:tcPr>
            <w:tcW w:w="224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C3107" w:rsidRPr="00B22CE0" w:rsidP="00042AFB" w14:paraId="78E89FF7" w14:textId="77777777">
            <w:pPr>
              <w:widowControl/>
              <w:pBdr>
                <w:top w:val="nil"/>
                <w:left w:val="nil"/>
                <w:bottom w:val="nil"/>
                <w:right w:val="nil"/>
                <w:between w:val="nil"/>
              </w:pBdr>
              <w:spacing w:line="276" w:lineRule="auto"/>
              <w:rPr>
                <w:rFonts w:ascii="Calibri" w:eastAsia="Calibri" w:hAnsi="Calibri" w:cs="Calibri"/>
                <w:b/>
                <w:color w:val="000000"/>
                <w:sz w:val="18"/>
                <w:szCs w:val="18"/>
              </w:rPr>
            </w:pPr>
          </w:p>
        </w:tc>
        <w:tc>
          <w:tcPr>
            <w:tcW w:w="924" w:type="dxa"/>
            <w:gridSpan w:val="2"/>
            <w:tcBorders>
              <w:top w:val="nil"/>
              <w:left w:val="nil"/>
              <w:bottom w:val="single" w:sz="8" w:space="0" w:color="000000"/>
              <w:right w:val="dashed" w:sz="8" w:space="0" w:color="000000"/>
            </w:tcBorders>
            <w:shd w:val="clear" w:color="auto" w:fill="FBE4D5"/>
            <w:vAlign w:val="center"/>
          </w:tcPr>
          <w:p w:rsidR="00BC3107" w:rsidRPr="00B22CE0" w:rsidP="00042AFB" w14:paraId="0F4DCE47" w14:textId="77777777">
            <w:pPr>
              <w:widowControl/>
              <w:jc w:val="center"/>
              <w:rPr>
                <w:rFonts w:ascii="Calibri" w:eastAsia="Calibri" w:hAnsi="Calibri" w:cs="Calibri"/>
                <w:color w:val="000000"/>
                <w:sz w:val="16"/>
                <w:szCs w:val="16"/>
              </w:rPr>
            </w:pPr>
            <w:r w:rsidRPr="00B22CE0">
              <w:rPr>
                <w:rFonts w:ascii="Calibri" w:eastAsia="Calibri" w:hAnsi="Calibri" w:cs="Calibri"/>
                <w:color w:val="000000"/>
                <w:sz w:val="16"/>
                <w:szCs w:val="16"/>
              </w:rPr>
              <w:t>Current Renewal / Revision</w:t>
            </w:r>
          </w:p>
        </w:tc>
        <w:tc>
          <w:tcPr>
            <w:tcW w:w="948" w:type="dxa"/>
            <w:tcBorders>
              <w:top w:val="nil"/>
              <w:left w:val="nil"/>
              <w:bottom w:val="single" w:sz="8" w:space="0" w:color="000000"/>
              <w:right w:val="single" w:sz="8" w:space="0" w:color="000000"/>
            </w:tcBorders>
            <w:shd w:val="clear" w:color="auto" w:fill="FBE4D5"/>
            <w:vAlign w:val="center"/>
          </w:tcPr>
          <w:p w:rsidR="00BC3107" w:rsidRPr="00B22CE0" w:rsidP="00042AFB" w14:paraId="36EF43E6" w14:textId="77777777">
            <w:pPr>
              <w:widowControl/>
              <w:jc w:val="center"/>
              <w:rPr>
                <w:rFonts w:ascii="Calibri" w:eastAsia="Calibri" w:hAnsi="Calibri" w:cs="Calibri"/>
                <w:color w:val="000000"/>
                <w:sz w:val="16"/>
                <w:szCs w:val="16"/>
              </w:rPr>
            </w:pPr>
            <w:r w:rsidRPr="00B22CE0">
              <w:rPr>
                <w:rFonts w:ascii="Calibri" w:eastAsia="Calibri" w:hAnsi="Calibri" w:cs="Calibri"/>
                <w:color w:val="000000"/>
                <w:sz w:val="16"/>
                <w:szCs w:val="16"/>
              </w:rPr>
              <w:t>Previous Renewal / Revision</w:t>
            </w:r>
          </w:p>
        </w:tc>
        <w:tc>
          <w:tcPr>
            <w:tcW w:w="958" w:type="dxa"/>
            <w:tcBorders>
              <w:top w:val="nil"/>
              <w:left w:val="nil"/>
              <w:bottom w:val="single" w:sz="8" w:space="0" w:color="000000"/>
              <w:right w:val="dashed" w:sz="8" w:space="0" w:color="000000"/>
            </w:tcBorders>
            <w:shd w:val="clear" w:color="auto" w:fill="FBE4D5"/>
            <w:vAlign w:val="center"/>
          </w:tcPr>
          <w:p w:rsidR="00BC3107" w:rsidRPr="00B22CE0" w:rsidP="00042AFB" w14:paraId="140C9AAF" w14:textId="77777777">
            <w:pPr>
              <w:widowControl/>
              <w:jc w:val="center"/>
              <w:rPr>
                <w:rFonts w:ascii="Calibri" w:eastAsia="Calibri" w:hAnsi="Calibri" w:cs="Calibri"/>
                <w:color w:val="000000"/>
                <w:sz w:val="16"/>
                <w:szCs w:val="16"/>
              </w:rPr>
            </w:pPr>
            <w:r w:rsidRPr="00B22CE0">
              <w:rPr>
                <w:rFonts w:ascii="Calibri" w:eastAsia="Calibri" w:hAnsi="Calibri" w:cs="Calibri"/>
                <w:color w:val="000000"/>
                <w:sz w:val="16"/>
                <w:szCs w:val="16"/>
              </w:rPr>
              <w:t>Current Renewal / Revision</w:t>
            </w:r>
          </w:p>
        </w:tc>
        <w:tc>
          <w:tcPr>
            <w:tcW w:w="959" w:type="dxa"/>
            <w:tcBorders>
              <w:top w:val="nil"/>
              <w:left w:val="nil"/>
              <w:bottom w:val="single" w:sz="8" w:space="0" w:color="000000"/>
              <w:right w:val="single" w:sz="8" w:space="0" w:color="000000"/>
            </w:tcBorders>
            <w:shd w:val="clear" w:color="auto" w:fill="FBE4D5"/>
            <w:vAlign w:val="center"/>
          </w:tcPr>
          <w:p w:rsidR="00BC3107" w:rsidRPr="00B22CE0" w:rsidP="00042AFB" w14:paraId="4296F408" w14:textId="77777777">
            <w:pPr>
              <w:widowControl/>
              <w:jc w:val="center"/>
              <w:rPr>
                <w:rFonts w:ascii="Calibri" w:eastAsia="Calibri" w:hAnsi="Calibri" w:cs="Calibri"/>
                <w:color w:val="000000"/>
                <w:sz w:val="16"/>
                <w:szCs w:val="16"/>
              </w:rPr>
            </w:pPr>
            <w:r w:rsidRPr="00B22CE0">
              <w:rPr>
                <w:rFonts w:ascii="Calibri" w:eastAsia="Calibri" w:hAnsi="Calibri" w:cs="Calibri"/>
                <w:color w:val="000000"/>
                <w:sz w:val="16"/>
                <w:szCs w:val="16"/>
              </w:rPr>
              <w:t>Previous Renewal / Revision</w:t>
            </w:r>
          </w:p>
        </w:tc>
        <w:tc>
          <w:tcPr>
            <w:tcW w:w="891" w:type="dxa"/>
            <w:tcBorders>
              <w:top w:val="nil"/>
              <w:left w:val="nil"/>
              <w:bottom w:val="single" w:sz="8" w:space="0" w:color="000000"/>
              <w:right w:val="dashed" w:sz="8" w:space="0" w:color="000000"/>
            </w:tcBorders>
            <w:shd w:val="clear" w:color="auto" w:fill="FBE4D5"/>
            <w:vAlign w:val="center"/>
          </w:tcPr>
          <w:p w:rsidR="00BC3107" w:rsidRPr="00B22CE0" w:rsidP="00042AFB" w14:paraId="341CA32F" w14:textId="77777777">
            <w:pPr>
              <w:widowControl/>
              <w:jc w:val="center"/>
              <w:rPr>
                <w:rFonts w:ascii="Calibri" w:eastAsia="Calibri" w:hAnsi="Calibri" w:cs="Calibri"/>
                <w:color w:val="000000"/>
                <w:sz w:val="16"/>
                <w:szCs w:val="16"/>
              </w:rPr>
            </w:pPr>
            <w:r w:rsidRPr="00B22CE0">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BC3107" w:rsidRPr="00B22CE0" w:rsidP="00042AFB" w14:paraId="49AD1877" w14:textId="77777777">
            <w:pPr>
              <w:widowControl/>
              <w:jc w:val="center"/>
              <w:rPr>
                <w:rFonts w:ascii="Calibri" w:eastAsia="Calibri" w:hAnsi="Calibri" w:cs="Calibri"/>
                <w:color w:val="000000"/>
                <w:sz w:val="16"/>
                <w:szCs w:val="16"/>
              </w:rPr>
            </w:pPr>
            <w:r w:rsidRPr="00B22CE0">
              <w:rPr>
                <w:rFonts w:ascii="Calibri" w:eastAsia="Calibri" w:hAnsi="Calibri" w:cs="Calibri"/>
                <w:color w:val="000000"/>
                <w:sz w:val="16"/>
                <w:szCs w:val="16"/>
              </w:rPr>
              <w:t>Previous Renewal / Revision</w:t>
            </w:r>
          </w:p>
        </w:tc>
        <w:tc>
          <w:tcPr>
            <w:tcW w:w="2717"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C3107" w:rsidRPr="00B22CE0" w:rsidP="00042AFB" w14:paraId="109077A2" w14:textId="77777777">
            <w:pPr>
              <w:widowControl/>
              <w:pBdr>
                <w:top w:val="nil"/>
                <w:left w:val="nil"/>
                <w:bottom w:val="nil"/>
                <w:right w:val="nil"/>
                <w:between w:val="nil"/>
              </w:pBdr>
              <w:spacing w:line="276" w:lineRule="auto"/>
              <w:rPr>
                <w:rFonts w:ascii="Calibri" w:eastAsia="Calibri" w:hAnsi="Calibri" w:cs="Calibri"/>
                <w:color w:val="000000"/>
                <w:sz w:val="18"/>
                <w:szCs w:val="18"/>
              </w:rPr>
            </w:pPr>
          </w:p>
        </w:tc>
      </w:tr>
      <w:tr w14:paraId="21B77D94" w14:textId="77777777" w:rsidTr="00042AFB">
        <w:tblPrEx>
          <w:tblW w:w="10537" w:type="dxa"/>
          <w:jc w:val="center"/>
          <w:tblLayout w:type="fixed"/>
          <w:tblLook w:val="0400"/>
        </w:tblPrEx>
        <w:trPr>
          <w:trHeight w:val="500"/>
          <w:jc w:val="center"/>
        </w:trPr>
        <w:tc>
          <w:tcPr>
            <w:tcW w:w="2240" w:type="dxa"/>
            <w:tcBorders>
              <w:top w:val="nil"/>
              <w:left w:val="single" w:sz="8" w:space="0" w:color="000000"/>
              <w:bottom w:val="single" w:sz="8" w:space="0" w:color="000000"/>
              <w:right w:val="single" w:sz="8" w:space="0" w:color="000000"/>
            </w:tcBorders>
            <w:vAlign w:val="center"/>
          </w:tcPr>
          <w:p w:rsidR="009C5BC6" w:rsidRPr="00B22CE0" w:rsidP="009C5BC6" w14:paraId="66852DD7" w14:textId="77777777">
            <w:pPr>
              <w:widowControl/>
              <w:rPr>
                <w:rFonts w:ascii="Calibri" w:eastAsia="Calibri" w:hAnsi="Calibri" w:cs="Calibri"/>
                <w:color w:val="000000"/>
                <w:sz w:val="18"/>
                <w:szCs w:val="18"/>
              </w:rPr>
            </w:pPr>
            <w:r w:rsidRPr="00B22CE0">
              <w:rPr>
                <w:rFonts w:ascii="Calibri" w:eastAsia="Calibri" w:hAnsi="Calibri" w:cs="Calibri"/>
                <w:sz w:val="18"/>
                <w:szCs w:val="18"/>
              </w:rPr>
              <w:t>Application for the transfer of groundfish and crab LLP licenses</w:t>
            </w:r>
          </w:p>
        </w:tc>
        <w:tc>
          <w:tcPr>
            <w:tcW w:w="913" w:type="dxa"/>
            <w:tcBorders>
              <w:top w:val="nil"/>
              <w:left w:val="nil"/>
              <w:bottom w:val="dotted" w:sz="4" w:space="0" w:color="000000"/>
              <w:right w:val="dashed" w:sz="8" w:space="0" w:color="000000"/>
            </w:tcBorders>
            <w:vAlign w:val="center"/>
          </w:tcPr>
          <w:p w:rsidR="009C5BC6" w:rsidRPr="007F4221" w:rsidP="009C5BC6" w14:paraId="1E3C8BC4" w14:textId="1C687188">
            <w:pPr>
              <w:widowControl/>
              <w:jc w:val="center"/>
              <w:rPr>
                <w:rFonts w:ascii="Calibri" w:eastAsia="Calibri" w:hAnsi="Calibri" w:cs="Calibri"/>
                <w:color w:val="000000"/>
                <w:sz w:val="18"/>
                <w:szCs w:val="18"/>
              </w:rPr>
            </w:pPr>
            <w:r w:rsidRPr="007F4221">
              <w:rPr>
                <w:rFonts w:ascii="Calibri" w:eastAsia="Calibri" w:hAnsi="Calibri" w:cs="Calibri"/>
                <w:color w:val="000000"/>
                <w:sz w:val="18"/>
                <w:szCs w:val="18"/>
              </w:rPr>
              <w:t>66</w:t>
            </w:r>
          </w:p>
        </w:tc>
        <w:tc>
          <w:tcPr>
            <w:tcW w:w="959" w:type="dxa"/>
            <w:gridSpan w:val="2"/>
            <w:tcBorders>
              <w:top w:val="nil"/>
              <w:left w:val="nil"/>
              <w:bottom w:val="dotted" w:sz="4" w:space="0" w:color="000000"/>
              <w:right w:val="single" w:sz="8" w:space="0" w:color="000000"/>
            </w:tcBorders>
            <w:vAlign w:val="center"/>
          </w:tcPr>
          <w:p w:rsidR="009C5BC6" w:rsidRPr="007F4221" w:rsidP="009C5BC6" w14:paraId="13CA9EF2" w14:textId="5E00FEEE">
            <w:pPr>
              <w:widowControl/>
              <w:jc w:val="center"/>
              <w:rPr>
                <w:rFonts w:ascii="Calibri" w:eastAsia="Calibri" w:hAnsi="Calibri" w:cs="Calibri"/>
                <w:color w:val="000000"/>
                <w:sz w:val="18"/>
                <w:szCs w:val="18"/>
              </w:rPr>
            </w:pPr>
            <w:r w:rsidRPr="007F4221">
              <w:rPr>
                <w:rFonts w:ascii="Calibri" w:eastAsia="Calibri" w:hAnsi="Calibri" w:cs="Calibri"/>
                <w:color w:val="000000"/>
                <w:sz w:val="18"/>
                <w:szCs w:val="18"/>
              </w:rPr>
              <w:t>112</w:t>
            </w:r>
          </w:p>
        </w:tc>
        <w:tc>
          <w:tcPr>
            <w:tcW w:w="958" w:type="dxa"/>
            <w:tcBorders>
              <w:top w:val="nil"/>
              <w:left w:val="nil"/>
              <w:bottom w:val="dotted" w:sz="4" w:space="0" w:color="000000"/>
              <w:right w:val="dashed" w:sz="8" w:space="0" w:color="000000"/>
            </w:tcBorders>
            <w:vAlign w:val="center"/>
          </w:tcPr>
          <w:p w:rsidR="009C5BC6" w:rsidRPr="007F4221" w:rsidP="009C5BC6" w14:paraId="5F405AFE" w14:textId="19AF54B9">
            <w:pPr>
              <w:widowControl/>
              <w:jc w:val="center"/>
              <w:rPr>
                <w:rFonts w:ascii="Calibri" w:eastAsia="Calibri" w:hAnsi="Calibri" w:cs="Calibri"/>
                <w:color w:val="000000"/>
                <w:sz w:val="18"/>
                <w:szCs w:val="18"/>
              </w:rPr>
            </w:pPr>
            <w:r w:rsidRPr="007F4221">
              <w:rPr>
                <w:rFonts w:ascii="Calibri" w:eastAsia="Calibri" w:hAnsi="Calibri" w:cs="Calibri"/>
                <w:color w:val="000000"/>
                <w:sz w:val="18"/>
                <w:szCs w:val="18"/>
              </w:rPr>
              <w:t>33</w:t>
            </w:r>
          </w:p>
        </w:tc>
        <w:tc>
          <w:tcPr>
            <w:tcW w:w="959" w:type="dxa"/>
            <w:tcBorders>
              <w:top w:val="nil"/>
              <w:left w:val="nil"/>
              <w:bottom w:val="dotted" w:sz="4" w:space="0" w:color="000000"/>
              <w:right w:val="single" w:sz="8" w:space="0" w:color="000000"/>
            </w:tcBorders>
            <w:vAlign w:val="center"/>
          </w:tcPr>
          <w:p w:rsidR="009C5BC6" w:rsidRPr="007F4221" w:rsidP="009C5BC6" w14:paraId="42EF9B23" w14:textId="4C50CC96">
            <w:pPr>
              <w:widowControl/>
              <w:jc w:val="center"/>
              <w:rPr>
                <w:rFonts w:ascii="Calibri" w:eastAsia="Calibri" w:hAnsi="Calibri" w:cs="Calibri"/>
                <w:color w:val="000000"/>
                <w:sz w:val="18"/>
                <w:szCs w:val="18"/>
              </w:rPr>
            </w:pPr>
            <w:r w:rsidRPr="007F4221">
              <w:rPr>
                <w:rFonts w:ascii="Calibri" w:eastAsia="Calibri" w:hAnsi="Calibri" w:cs="Calibri"/>
                <w:color w:val="000000"/>
                <w:sz w:val="18"/>
                <w:szCs w:val="18"/>
              </w:rPr>
              <w:t>56</w:t>
            </w:r>
          </w:p>
        </w:tc>
        <w:tc>
          <w:tcPr>
            <w:tcW w:w="891" w:type="dxa"/>
            <w:tcBorders>
              <w:top w:val="nil"/>
              <w:left w:val="nil"/>
              <w:bottom w:val="dotted" w:sz="4" w:space="0" w:color="000000"/>
              <w:right w:val="dashed" w:sz="8" w:space="0" w:color="000000"/>
            </w:tcBorders>
            <w:vAlign w:val="center"/>
          </w:tcPr>
          <w:p w:rsidR="009C5BC6" w:rsidRPr="007F4221" w:rsidP="009C5BC6" w14:paraId="7D1F77E3" w14:textId="4096BABB">
            <w:pPr>
              <w:widowControl/>
              <w:jc w:val="center"/>
              <w:rPr>
                <w:rFonts w:ascii="Calibri" w:eastAsia="Calibri" w:hAnsi="Calibri" w:cs="Calibri"/>
                <w:color w:val="000000"/>
                <w:sz w:val="18"/>
                <w:szCs w:val="18"/>
              </w:rPr>
            </w:pPr>
            <w:r w:rsidRPr="007F4221">
              <w:rPr>
                <w:rFonts w:ascii="Calibri" w:eastAsia="Calibri" w:hAnsi="Calibri" w:cs="Calibri"/>
                <w:color w:val="000000"/>
                <w:sz w:val="18"/>
                <w:szCs w:val="18"/>
              </w:rPr>
              <w:t>33</w:t>
            </w:r>
          </w:p>
        </w:tc>
        <w:tc>
          <w:tcPr>
            <w:tcW w:w="900" w:type="dxa"/>
            <w:tcBorders>
              <w:top w:val="nil"/>
              <w:left w:val="nil"/>
              <w:bottom w:val="dotted" w:sz="4" w:space="0" w:color="000000"/>
              <w:right w:val="single" w:sz="8" w:space="0" w:color="000000"/>
            </w:tcBorders>
            <w:vAlign w:val="center"/>
          </w:tcPr>
          <w:p w:rsidR="009C5BC6" w:rsidRPr="007F4221" w:rsidP="009C5BC6" w14:paraId="3B472811" w14:textId="766CF5F7">
            <w:pPr>
              <w:widowControl/>
              <w:jc w:val="center"/>
              <w:rPr>
                <w:rFonts w:ascii="Calibri" w:eastAsia="Calibri" w:hAnsi="Calibri" w:cs="Calibri"/>
                <w:color w:val="000000"/>
                <w:sz w:val="18"/>
                <w:szCs w:val="18"/>
              </w:rPr>
            </w:pPr>
            <w:r w:rsidRPr="007F4221">
              <w:rPr>
                <w:rFonts w:ascii="Calibri" w:eastAsia="Calibri" w:hAnsi="Calibri" w:cs="Calibri"/>
                <w:color w:val="000000"/>
                <w:sz w:val="18"/>
                <w:szCs w:val="18"/>
              </w:rPr>
              <w:t>56</w:t>
            </w:r>
          </w:p>
        </w:tc>
        <w:tc>
          <w:tcPr>
            <w:tcW w:w="2717" w:type="dxa"/>
            <w:tcBorders>
              <w:top w:val="nil"/>
              <w:left w:val="nil"/>
              <w:bottom w:val="dotted" w:sz="4" w:space="0" w:color="000000"/>
              <w:right w:val="single" w:sz="8" w:space="0" w:color="000000"/>
            </w:tcBorders>
            <w:vAlign w:val="center"/>
          </w:tcPr>
          <w:p w:rsidR="009C5BC6" w:rsidRPr="007F4221" w:rsidP="009C5BC6" w14:paraId="33D8DD88" w14:textId="6AD1F616">
            <w:pPr>
              <w:widowControl/>
              <w:rPr>
                <w:rFonts w:ascii="Calibri" w:eastAsia="Calibri" w:hAnsi="Calibri" w:cs="Calibri"/>
                <w:color w:val="000000"/>
                <w:sz w:val="18"/>
                <w:szCs w:val="18"/>
              </w:rPr>
            </w:pPr>
            <w:r w:rsidRPr="007F4221">
              <w:rPr>
                <w:rFonts w:ascii="Calibri" w:eastAsia="Calibri" w:hAnsi="Calibri" w:cs="Calibri"/>
                <w:color w:val="000000"/>
                <w:sz w:val="18"/>
                <w:szCs w:val="18"/>
              </w:rPr>
              <w:t>Adjustment due to change in number of responses</w:t>
            </w:r>
          </w:p>
        </w:tc>
      </w:tr>
      <w:tr w14:paraId="08CA3921" w14:textId="77777777" w:rsidTr="00042AFB">
        <w:tblPrEx>
          <w:tblW w:w="10537" w:type="dxa"/>
          <w:jc w:val="center"/>
          <w:tblLayout w:type="fixed"/>
          <w:tblLook w:val="0400"/>
        </w:tblPrEx>
        <w:trPr>
          <w:trHeight w:val="341"/>
          <w:jc w:val="center"/>
        </w:trPr>
        <w:tc>
          <w:tcPr>
            <w:tcW w:w="2240" w:type="dxa"/>
            <w:tcBorders>
              <w:top w:val="nil"/>
              <w:left w:val="single" w:sz="8" w:space="0" w:color="000000"/>
              <w:bottom w:val="single" w:sz="8" w:space="0" w:color="000000"/>
              <w:right w:val="single" w:sz="8" w:space="0" w:color="000000"/>
            </w:tcBorders>
            <w:vAlign w:val="center"/>
          </w:tcPr>
          <w:p w:rsidR="009C5BC6" w:rsidRPr="00B22CE0" w:rsidP="009C5BC6" w14:paraId="17596212" w14:textId="77777777">
            <w:pPr>
              <w:widowControl/>
              <w:rPr>
                <w:rFonts w:ascii="Calibri" w:eastAsia="Calibri" w:hAnsi="Calibri" w:cs="Calibri"/>
                <w:color w:val="000000"/>
                <w:sz w:val="18"/>
                <w:szCs w:val="18"/>
              </w:rPr>
            </w:pPr>
            <w:r w:rsidRPr="00B22CE0">
              <w:rPr>
                <w:rFonts w:ascii="Calibri" w:eastAsia="Calibri" w:hAnsi="Calibri" w:cs="Calibri"/>
                <w:sz w:val="18"/>
                <w:szCs w:val="18"/>
              </w:rPr>
              <w:t xml:space="preserve">Application for the transfer of scallop LLP licenses </w:t>
            </w:r>
          </w:p>
        </w:tc>
        <w:tc>
          <w:tcPr>
            <w:tcW w:w="913" w:type="dxa"/>
            <w:tcBorders>
              <w:top w:val="nil"/>
              <w:left w:val="nil"/>
              <w:bottom w:val="dotted" w:sz="4" w:space="0" w:color="000000"/>
              <w:right w:val="dashed" w:sz="8" w:space="0" w:color="000000"/>
            </w:tcBorders>
            <w:vAlign w:val="center"/>
          </w:tcPr>
          <w:p w:rsidR="009C5BC6" w:rsidRPr="007F4221" w:rsidP="009C5BC6" w14:paraId="5B141511" w14:textId="174334E3">
            <w:pPr>
              <w:widowControl/>
              <w:jc w:val="center"/>
              <w:rPr>
                <w:rFonts w:ascii="Calibri" w:eastAsia="Calibri" w:hAnsi="Calibri" w:cs="Calibri"/>
                <w:color w:val="000000"/>
                <w:sz w:val="18"/>
                <w:szCs w:val="18"/>
              </w:rPr>
            </w:pPr>
            <w:r w:rsidRPr="007F4221">
              <w:rPr>
                <w:rFonts w:ascii="Calibri" w:eastAsia="Calibri" w:hAnsi="Calibri" w:cs="Calibri"/>
                <w:color w:val="000000"/>
                <w:sz w:val="18"/>
                <w:szCs w:val="18"/>
              </w:rPr>
              <w:t>2</w:t>
            </w:r>
          </w:p>
        </w:tc>
        <w:tc>
          <w:tcPr>
            <w:tcW w:w="959" w:type="dxa"/>
            <w:gridSpan w:val="2"/>
            <w:tcBorders>
              <w:top w:val="nil"/>
              <w:left w:val="nil"/>
              <w:bottom w:val="dotted" w:sz="4" w:space="0" w:color="000000"/>
              <w:right w:val="single" w:sz="8" w:space="0" w:color="000000"/>
            </w:tcBorders>
            <w:vAlign w:val="center"/>
          </w:tcPr>
          <w:p w:rsidR="009C5BC6" w:rsidRPr="007F4221" w:rsidP="009C5BC6" w14:paraId="2C7926C9" w14:textId="56FB5986">
            <w:pPr>
              <w:widowControl/>
              <w:jc w:val="center"/>
              <w:rPr>
                <w:rFonts w:ascii="Calibri" w:eastAsia="Calibri" w:hAnsi="Calibri" w:cs="Calibri"/>
                <w:color w:val="000000"/>
                <w:sz w:val="18"/>
                <w:szCs w:val="18"/>
              </w:rPr>
            </w:pPr>
            <w:r w:rsidRPr="007F4221">
              <w:rPr>
                <w:rFonts w:ascii="Calibri" w:eastAsia="Calibri" w:hAnsi="Calibri" w:cs="Calibri"/>
                <w:color w:val="000000"/>
                <w:sz w:val="18"/>
                <w:szCs w:val="18"/>
              </w:rPr>
              <w:t>2</w:t>
            </w:r>
          </w:p>
        </w:tc>
        <w:tc>
          <w:tcPr>
            <w:tcW w:w="958" w:type="dxa"/>
            <w:tcBorders>
              <w:top w:val="nil"/>
              <w:left w:val="nil"/>
              <w:bottom w:val="dotted" w:sz="4" w:space="0" w:color="000000"/>
              <w:right w:val="dashed" w:sz="8" w:space="0" w:color="000000"/>
            </w:tcBorders>
            <w:vAlign w:val="center"/>
          </w:tcPr>
          <w:p w:rsidR="009C5BC6" w:rsidRPr="007F4221" w:rsidP="009C5BC6" w14:paraId="3ED1BF4B" w14:textId="0850AA08">
            <w:pPr>
              <w:widowControl/>
              <w:jc w:val="center"/>
              <w:rPr>
                <w:rFonts w:ascii="Calibri" w:eastAsia="Calibri" w:hAnsi="Calibri" w:cs="Calibri"/>
                <w:color w:val="000000"/>
                <w:sz w:val="18"/>
                <w:szCs w:val="18"/>
              </w:rPr>
            </w:pPr>
            <w:r w:rsidRPr="007F4221">
              <w:rPr>
                <w:rFonts w:ascii="Calibri" w:eastAsia="Calibri" w:hAnsi="Calibri" w:cs="Calibri"/>
                <w:color w:val="000000"/>
                <w:sz w:val="18"/>
                <w:szCs w:val="18"/>
              </w:rPr>
              <w:t>1</w:t>
            </w:r>
          </w:p>
        </w:tc>
        <w:tc>
          <w:tcPr>
            <w:tcW w:w="959" w:type="dxa"/>
            <w:tcBorders>
              <w:top w:val="nil"/>
              <w:left w:val="nil"/>
              <w:bottom w:val="dotted" w:sz="4" w:space="0" w:color="000000"/>
              <w:right w:val="single" w:sz="8" w:space="0" w:color="000000"/>
            </w:tcBorders>
            <w:vAlign w:val="center"/>
          </w:tcPr>
          <w:p w:rsidR="009C5BC6" w:rsidRPr="007F4221" w:rsidP="009C5BC6" w14:paraId="0FA464A9" w14:textId="0868F8CA">
            <w:pPr>
              <w:widowControl/>
              <w:jc w:val="center"/>
              <w:rPr>
                <w:rFonts w:ascii="Calibri" w:eastAsia="Calibri" w:hAnsi="Calibri" w:cs="Calibri"/>
                <w:color w:val="000000"/>
                <w:sz w:val="18"/>
                <w:szCs w:val="18"/>
              </w:rPr>
            </w:pPr>
            <w:r w:rsidRPr="007F4221">
              <w:rPr>
                <w:rFonts w:ascii="Calibri" w:eastAsia="Calibri" w:hAnsi="Calibri" w:cs="Calibri"/>
                <w:color w:val="000000"/>
                <w:sz w:val="18"/>
                <w:szCs w:val="18"/>
              </w:rPr>
              <w:t>1</w:t>
            </w:r>
          </w:p>
        </w:tc>
        <w:tc>
          <w:tcPr>
            <w:tcW w:w="891" w:type="dxa"/>
            <w:tcBorders>
              <w:top w:val="nil"/>
              <w:left w:val="nil"/>
              <w:bottom w:val="dotted" w:sz="4" w:space="0" w:color="000000"/>
              <w:right w:val="dashed" w:sz="8" w:space="0" w:color="000000"/>
            </w:tcBorders>
            <w:vAlign w:val="center"/>
          </w:tcPr>
          <w:p w:rsidR="009C5BC6" w:rsidRPr="007F4221" w:rsidP="009C5BC6" w14:paraId="30B654A7" w14:textId="69C4AD8A">
            <w:pPr>
              <w:widowControl/>
              <w:jc w:val="center"/>
              <w:rPr>
                <w:rFonts w:ascii="Calibri" w:eastAsia="Calibri" w:hAnsi="Calibri" w:cs="Calibri"/>
                <w:color w:val="000000"/>
                <w:sz w:val="18"/>
                <w:szCs w:val="18"/>
              </w:rPr>
            </w:pPr>
            <w:r w:rsidRPr="007F4221">
              <w:rPr>
                <w:rFonts w:ascii="Calibri" w:eastAsia="Calibri" w:hAnsi="Calibri" w:cs="Calibri"/>
                <w:color w:val="000000"/>
                <w:sz w:val="18"/>
                <w:szCs w:val="18"/>
              </w:rPr>
              <w:t>1</w:t>
            </w:r>
          </w:p>
        </w:tc>
        <w:tc>
          <w:tcPr>
            <w:tcW w:w="900" w:type="dxa"/>
            <w:tcBorders>
              <w:top w:val="nil"/>
              <w:left w:val="nil"/>
              <w:bottom w:val="dotted" w:sz="4" w:space="0" w:color="000000"/>
              <w:right w:val="single" w:sz="8" w:space="0" w:color="000000"/>
            </w:tcBorders>
            <w:vAlign w:val="center"/>
          </w:tcPr>
          <w:p w:rsidR="009C5BC6" w:rsidRPr="007F4221" w:rsidP="009C5BC6" w14:paraId="5DDA596B" w14:textId="2B85B238">
            <w:pPr>
              <w:widowControl/>
              <w:jc w:val="center"/>
              <w:rPr>
                <w:rFonts w:ascii="Calibri" w:eastAsia="Calibri" w:hAnsi="Calibri" w:cs="Calibri"/>
                <w:color w:val="000000"/>
                <w:sz w:val="18"/>
                <w:szCs w:val="18"/>
              </w:rPr>
            </w:pPr>
            <w:r w:rsidRPr="007F4221">
              <w:rPr>
                <w:rFonts w:ascii="Calibri" w:eastAsia="Calibri" w:hAnsi="Calibri" w:cs="Calibri"/>
                <w:color w:val="000000"/>
                <w:sz w:val="18"/>
                <w:szCs w:val="18"/>
              </w:rPr>
              <w:t>1</w:t>
            </w:r>
          </w:p>
        </w:tc>
        <w:tc>
          <w:tcPr>
            <w:tcW w:w="2717" w:type="dxa"/>
            <w:tcBorders>
              <w:top w:val="nil"/>
              <w:left w:val="nil"/>
              <w:bottom w:val="dotted" w:sz="4" w:space="0" w:color="000000"/>
              <w:right w:val="single" w:sz="8" w:space="0" w:color="000000"/>
            </w:tcBorders>
            <w:vAlign w:val="center"/>
          </w:tcPr>
          <w:p w:rsidR="009C5BC6" w:rsidRPr="007F4221" w:rsidP="009C5BC6" w14:paraId="1CA5340B" w14:textId="6F324E2C">
            <w:pPr>
              <w:widowControl/>
              <w:rPr>
                <w:rFonts w:ascii="Calibri" w:eastAsia="Calibri" w:hAnsi="Calibri" w:cs="Calibri"/>
                <w:color w:val="000000"/>
                <w:sz w:val="18"/>
                <w:szCs w:val="18"/>
              </w:rPr>
            </w:pPr>
            <w:r w:rsidRPr="007F4221">
              <w:rPr>
                <w:rFonts w:ascii="Calibri" w:eastAsia="Calibri" w:hAnsi="Calibri" w:cs="Calibri"/>
                <w:color w:val="000000"/>
                <w:sz w:val="18"/>
                <w:szCs w:val="18"/>
              </w:rPr>
              <w:t>No change</w:t>
            </w:r>
          </w:p>
        </w:tc>
      </w:tr>
      <w:tr w14:paraId="1D84DD30" w14:textId="77777777" w:rsidTr="00042AFB">
        <w:tblPrEx>
          <w:tblW w:w="10537" w:type="dxa"/>
          <w:jc w:val="center"/>
          <w:tblLayout w:type="fixed"/>
          <w:tblLook w:val="0400"/>
        </w:tblPrEx>
        <w:trPr>
          <w:trHeight w:val="213"/>
          <w:jc w:val="center"/>
        </w:trPr>
        <w:tc>
          <w:tcPr>
            <w:tcW w:w="2240" w:type="dxa"/>
            <w:tcBorders>
              <w:top w:val="nil"/>
              <w:left w:val="single" w:sz="8" w:space="0" w:color="000000"/>
              <w:bottom w:val="single" w:sz="8" w:space="0" w:color="000000"/>
              <w:right w:val="single" w:sz="8" w:space="0" w:color="000000"/>
            </w:tcBorders>
            <w:vAlign w:val="center"/>
          </w:tcPr>
          <w:p w:rsidR="009C5BC6" w:rsidRPr="00B22CE0" w:rsidP="009C5BC6" w14:paraId="50FE6421" w14:textId="77777777">
            <w:pPr>
              <w:widowControl/>
              <w:rPr>
                <w:rFonts w:ascii="Calibri" w:eastAsia="Calibri" w:hAnsi="Calibri" w:cs="Calibri"/>
                <w:color w:val="000000"/>
                <w:sz w:val="18"/>
                <w:szCs w:val="18"/>
              </w:rPr>
            </w:pPr>
            <w:r w:rsidRPr="00B22CE0">
              <w:rPr>
                <w:rFonts w:ascii="Calibri" w:eastAsia="Calibri" w:hAnsi="Calibri" w:cs="Calibri"/>
                <w:sz w:val="18"/>
                <w:szCs w:val="18"/>
              </w:rPr>
              <w:t>Transfer appeal</w:t>
            </w:r>
          </w:p>
        </w:tc>
        <w:tc>
          <w:tcPr>
            <w:tcW w:w="913" w:type="dxa"/>
            <w:tcBorders>
              <w:top w:val="nil"/>
              <w:left w:val="nil"/>
              <w:bottom w:val="single" w:sz="4" w:space="0" w:color="auto"/>
              <w:right w:val="dashed" w:sz="8" w:space="0" w:color="000000"/>
            </w:tcBorders>
            <w:vAlign w:val="center"/>
          </w:tcPr>
          <w:p w:rsidR="009C5BC6" w:rsidRPr="007F4221" w:rsidP="009C5BC6" w14:paraId="4A542838" w14:textId="2DF125C8">
            <w:pPr>
              <w:widowControl/>
              <w:jc w:val="center"/>
              <w:rPr>
                <w:rFonts w:ascii="Calibri" w:eastAsia="Calibri" w:hAnsi="Calibri" w:cs="Calibri"/>
                <w:color w:val="000000"/>
                <w:sz w:val="18"/>
                <w:szCs w:val="18"/>
              </w:rPr>
            </w:pPr>
            <w:r w:rsidRPr="007F4221">
              <w:rPr>
                <w:rFonts w:ascii="Calibri" w:eastAsia="Calibri" w:hAnsi="Calibri" w:cs="Calibri"/>
                <w:color w:val="000000"/>
                <w:sz w:val="18"/>
                <w:szCs w:val="18"/>
              </w:rPr>
              <w:t>1</w:t>
            </w:r>
          </w:p>
        </w:tc>
        <w:tc>
          <w:tcPr>
            <w:tcW w:w="959" w:type="dxa"/>
            <w:gridSpan w:val="2"/>
            <w:tcBorders>
              <w:top w:val="nil"/>
              <w:left w:val="nil"/>
              <w:bottom w:val="single" w:sz="4" w:space="0" w:color="auto"/>
              <w:right w:val="single" w:sz="8" w:space="0" w:color="000000"/>
            </w:tcBorders>
            <w:vAlign w:val="center"/>
          </w:tcPr>
          <w:p w:rsidR="009C5BC6" w:rsidRPr="007F4221" w:rsidP="009C5BC6" w14:paraId="1997CB35" w14:textId="14CECC71">
            <w:pPr>
              <w:widowControl/>
              <w:jc w:val="center"/>
              <w:rPr>
                <w:rFonts w:ascii="Calibri" w:eastAsia="Calibri" w:hAnsi="Calibri" w:cs="Calibri"/>
                <w:color w:val="000000"/>
                <w:sz w:val="18"/>
                <w:szCs w:val="18"/>
              </w:rPr>
            </w:pPr>
            <w:r w:rsidRPr="007F4221">
              <w:rPr>
                <w:rFonts w:ascii="Calibri" w:eastAsia="Calibri" w:hAnsi="Calibri" w:cs="Calibri"/>
                <w:color w:val="000000"/>
                <w:sz w:val="18"/>
                <w:szCs w:val="18"/>
              </w:rPr>
              <w:t>1</w:t>
            </w:r>
          </w:p>
        </w:tc>
        <w:tc>
          <w:tcPr>
            <w:tcW w:w="958" w:type="dxa"/>
            <w:tcBorders>
              <w:top w:val="nil"/>
              <w:left w:val="nil"/>
              <w:bottom w:val="single" w:sz="4" w:space="0" w:color="auto"/>
              <w:right w:val="dashed" w:sz="8" w:space="0" w:color="000000"/>
            </w:tcBorders>
            <w:vAlign w:val="center"/>
          </w:tcPr>
          <w:p w:rsidR="009C5BC6" w:rsidRPr="007F4221" w:rsidP="009C5BC6" w14:paraId="6F5B6214" w14:textId="1997A5E9">
            <w:pPr>
              <w:widowControl/>
              <w:jc w:val="center"/>
              <w:rPr>
                <w:rFonts w:ascii="Calibri" w:eastAsia="Calibri" w:hAnsi="Calibri" w:cs="Calibri"/>
                <w:color w:val="000000"/>
                <w:sz w:val="18"/>
                <w:szCs w:val="18"/>
              </w:rPr>
            </w:pPr>
            <w:r w:rsidRPr="007F4221">
              <w:rPr>
                <w:rFonts w:ascii="Calibri" w:eastAsia="Calibri" w:hAnsi="Calibri" w:cs="Calibri"/>
                <w:color w:val="000000"/>
                <w:sz w:val="18"/>
                <w:szCs w:val="18"/>
              </w:rPr>
              <w:t>1</w:t>
            </w:r>
          </w:p>
        </w:tc>
        <w:tc>
          <w:tcPr>
            <w:tcW w:w="959" w:type="dxa"/>
            <w:tcBorders>
              <w:top w:val="nil"/>
              <w:left w:val="nil"/>
              <w:bottom w:val="single" w:sz="4" w:space="0" w:color="auto"/>
              <w:right w:val="single" w:sz="8" w:space="0" w:color="000000"/>
            </w:tcBorders>
            <w:vAlign w:val="center"/>
          </w:tcPr>
          <w:p w:rsidR="009C5BC6" w:rsidRPr="007F4221" w:rsidP="009C5BC6" w14:paraId="1FCE9174" w14:textId="3C35E648">
            <w:pPr>
              <w:widowControl/>
              <w:jc w:val="center"/>
              <w:rPr>
                <w:rFonts w:ascii="Calibri" w:eastAsia="Calibri" w:hAnsi="Calibri" w:cs="Calibri"/>
                <w:color w:val="000000"/>
                <w:sz w:val="18"/>
                <w:szCs w:val="18"/>
              </w:rPr>
            </w:pPr>
            <w:r w:rsidRPr="007F4221">
              <w:rPr>
                <w:rFonts w:ascii="Calibri" w:eastAsia="Calibri" w:hAnsi="Calibri" w:cs="Calibri"/>
                <w:color w:val="000000"/>
                <w:sz w:val="18"/>
                <w:szCs w:val="18"/>
              </w:rPr>
              <w:t>1</w:t>
            </w:r>
          </w:p>
        </w:tc>
        <w:tc>
          <w:tcPr>
            <w:tcW w:w="891" w:type="dxa"/>
            <w:tcBorders>
              <w:top w:val="nil"/>
              <w:left w:val="nil"/>
              <w:bottom w:val="single" w:sz="4" w:space="0" w:color="auto"/>
              <w:right w:val="dashed" w:sz="8" w:space="0" w:color="000000"/>
            </w:tcBorders>
            <w:vAlign w:val="center"/>
          </w:tcPr>
          <w:p w:rsidR="009C5BC6" w:rsidRPr="007F4221" w:rsidP="009C5BC6" w14:paraId="52AED01A" w14:textId="3942756E">
            <w:pPr>
              <w:widowControl/>
              <w:jc w:val="center"/>
              <w:rPr>
                <w:rFonts w:ascii="Calibri" w:eastAsia="Calibri" w:hAnsi="Calibri" w:cs="Calibri"/>
                <w:color w:val="000000"/>
                <w:sz w:val="18"/>
                <w:szCs w:val="18"/>
              </w:rPr>
            </w:pPr>
            <w:r w:rsidRPr="007F4221">
              <w:rPr>
                <w:rFonts w:ascii="Calibri" w:eastAsia="Calibri" w:hAnsi="Calibri" w:cs="Calibri"/>
                <w:color w:val="000000"/>
                <w:sz w:val="18"/>
                <w:szCs w:val="18"/>
              </w:rPr>
              <w:t>4</w:t>
            </w:r>
          </w:p>
        </w:tc>
        <w:tc>
          <w:tcPr>
            <w:tcW w:w="900" w:type="dxa"/>
            <w:tcBorders>
              <w:top w:val="nil"/>
              <w:left w:val="nil"/>
              <w:bottom w:val="single" w:sz="4" w:space="0" w:color="auto"/>
              <w:right w:val="single" w:sz="8" w:space="0" w:color="000000"/>
            </w:tcBorders>
            <w:vAlign w:val="center"/>
          </w:tcPr>
          <w:p w:rsidR="009C5BC6" w:rsidRPr="007F4221" w:rsidP="009C5BC6" w14:paraId="177261CB" w14:textId="106D40B1">
            <w:pPr>
              <w:widowControl/>
              <w:jc w:val="center"/>
              <w:rPr>
                <w:rFonts w:ascii="Calibri" w:eastAsia="Calibri" w:hAnsi="Calibri" w:cs="Calibri"/>
                <w:color w:val="000000"/>
                <w:sz w:val="18"/>
                <w:szCs w:val="18"/>
              </w:rPr>
            </w:pPr>
            <w:r w:rsidRPr="007F4221">
              <w:rPr>
                <w:rFonts w:ascii="Calibri" w:eastAsia="Calibri" w:hAnsi="Calibri" w:cs="Calibri"/>
                <w:color w:val="000000"/>
                <w:sz w:val="18"/>
                <w:szCs w:val="18"/>
              </w:rPr>
              <w:t>4</w:t>
            </w:r>
          </w:p>
        </w:tc>
        <w:tc>
          <w:tcPr>
            <w:tcW w:w="2717" w:type="dxa"/>
            <w:tcBorders>
              <w:top w:val="nil"/>
              <w:left w:val="nil"/>
              <w:bottom w:val="dotted" w:sz="4" w:space="0" w:color="000000"/>
              <w:right w:val="single" w:sz="8" w:space="0" w:color="000000"/>
            </w:tcBorders>
            <w:vAlign w:val="center"/>
          </w:tcPr>
          <w:p w:rsidR="009C5BC6" w:rsidRPr="007F4221" w:rsidP="009C5BC6" w14:paraId="1A1E7540" w14:textId="23EFE5CA">
            <w:pPr>
              <w:widowControl/>
              <w:rPr>
                <w:rFonts w:ascii="Calibri" w:eastAsia="Calibri" w:hAnsi="Calibri" w:cs="Calibri"/>
                <w:color w:val="000000"/>
                <w:sz w:val="18"/>
                <w:szCs w:val="18"/>
              </w:rPr>
            </w:pPr>
            <w:r w:rsidRPr="007F4221">
              <w:rPr>
                <w:rFonts w:ascii="Calibri" w:eastAsia="Calibri" w:hAnsi="Calibri" w:cs="Calibri"/>
                <w:color w:val="000000"/>
                <w:sz w:val="18"/>
                <w:szCs w:val="18"/>
              </w:rPr>
              <w:t>No change</w:t>
            </w:r>
          </w:p>
        </w:tc>
      </w:tr>
      <w:tr w14:paraId="0DC3A979" w14:textId="77777777" w:rsidTr="00042AFB">
        <w:tblPrEx>
          <w:tblW w:w="10537" w:type="dxa"/>
          <w:jc w:val="center"/>
          <w:tblLayout w:type="fixed"/>
          <w:tblLook w:val="0400"/>
        </w:tblPrEx>
        <w:trPr>
          <w:trHeight w:val="183"/>
          <w:jc w:val="center"/>
        </w:trPr>
        <w:tc>
          <w:tcPr>
            <w:tcW w:w="2240" w:type="dxa"/>
            <w:tcBorders>
              <w:top w:val="nil"/>
              <w:left w:val="single" w:sz="8" w:space="0" w:color="000000"/>
              <w:bottom w:val="nil"/>
              <w:right w:val="single" w:sz="8" w:space="0" w:color="000000"/>
            </w:tcBorders>
            <w:shd w:val="clear" w:color="auto" w:fill="BDD6EE"/>
            <w:vAlign w:val="center"/>
          </w:tcPr>
          <w:p w:rsidR="009C5BC6" w:rsidRPr="00B22CE0" w:rsidP="009C5BC6" w14:paraId="0D26321D" w14:textId="77777777">
            <w:pPr>
              <w:widowControl/>
              <w:jc w:val="center"/>
              <w:rPr>
                <w:rFonts w:ascii="Calibri" w:eastAsia="Calibri" w:hAnsi="Calibri" w:cs="Calibri"/>
                <w:b/>
                <w:color w:val="000000"/>
                <w:sz w:val="18"/>
                <w:szCs w:val="18"/>
              </w:rPr>
            </w:pPr>
            <w:r w:rsidRPr="00B22CE0">
              <w:rPr>
                <w:rFonts w:ascii="Calibri" w:eastAsia="Calibri" w:hAnsi="Calibri" w:cs="Calibri"/>
                <w:b/>
                <w:color w:val="000000"/>
                <w:sz w:val="18"/>
                <w:szCs w:val="18"/>
              </w:rPr>
              <w:t>Total for Collection</w:t>
            </w:r>
          </w:p>
        </w:tc>
        <w:tc>
          <w:tcPr>
            <w:tcW w:w="913" w:type="dxa"/>
            <w:tcBorders>
              <w:top w:val="single" w:sz="4" w:space="0" w:color="auto"/>
              <w:left w:val="nil"/>
              <w:bottom w:val="nil"/>
              <w:right w:val="dashed" w:sz="8" w:space="0" w:color="000000"/>
            </w:tcBorders>
            <w:shd w:val="clear" w:color="auto" w:fill="BDD6EE"/>
            <w:vAlign w:val="center"/>
          </w:tcPr>
          <w:p w:rsidR="009C5BC6" w:rsidRPr="007F4221" w:rsidP="009C5BC6" w14:paraId="0D5D3471" w14:textId="0A8F7CE1">
            <w:pPr>
              <w:widowControl/>
              <w:jc w:val="center"/>
              <w:rPr>
                <w:rFonts w:ascii="Calibri" w:eastAsia="Calibri" w:hAnsi="Calibri" w:cs="Calibri"/>
                <w:b/>
                <w:color w:val="000000"/>
                <w:sz w:val="18"/>
                <w:szCs w:val="18"/>
              </w:rPr>
            </w:pPr>
            <w:r w:rsidRPr="007F4221">
              <w:rPr>
                <w:rFonts w:ascii="Calibri" w:eastAsia="Calibri" w:hAnsi="Calibri" w:cs="Calibri"/>
                <w:b/>
                <w:color w:val="000000"/>
                <w:sz w:val="18"/>
                <w:szCs w:val="18"/>
              </w:rPr>
              <w:t>69</w:t>
            </w:r>
          </w:p>
        </w:tc>
        <w:tc>
          <w:tcPr>
            <w:tcW w:w="959" w:type="dxa"/>
            <w:gridSpan w:val="2"/>
            <w:tcBorders>
              <w:top w:val="single" w:sz="4" w:space="0" w:color="auto"/>
              <w:left w:val="nil"/>
              <w:bottom w:val="nil"/>
              <w:right w:val="single" w:sz="8" w:space="0" w:color="000000"/>
            </w:tcBorders>
            <w:shd w:val="clear" w:color="auto" w:fill="BDD6EE"/>
            <w:vAlign w:val="center"/>
          </w:tcPr>
          <w:p w:rsidR="009C5BC6" w:rsidRPr="007F4221" w:rsidP="009C5BC6" w14:paraId="4BB1857A" w14:textId="75D6D93E">
            <w:pPr>
              <w:widowControl/>
              <w:jc w:val="center"/>
              <w:rPr>
                <w:rFonts w:ascii="Calibri" w:eastAsia="Calibri" w:hAnsi="Calibri" w:cs="Calibri"/>
                <w:b/>
                <w:color w:val="000000"/>
                <w:sz w:val="18"/>
                <w:szCs w:val="18"/>
              </w:rPr>
            </w:pPr>
            <w:r w:rsidRPr="007F4221">
              <w:rPr>
                <w:rFonts w:ascii="Calibri" w:eastAsia="Calibri" w:hAnsi="Calibri" w:cs="Calibri"/>
                <w:b/>
                <w:color w:val="000000"/>
                <w:sz w:val="18"/>
                <w:szCs w:val="18"/>
              </w:rPr>
              <w:t>115</w:t>
            </w:r>
          </w:p>
        </w:tc>
        <w:tc>
          <w:tcPr>
            <w:tcW w:w="958" w:type="dxa"/>
            <w:tcBorders>
              <w:top w:val="single" w:sz="4" w:space="0" w:color="auto"/>
              <w:left w:val="nil"/>
              <w:bottom w:val="nil"/>
              <w:right w:val="dashed" w:sz="8" w:space="0" w:color="000000"/>
            </w:tcBorders>
            <w:shd w:val="clear" w:color="auto" w:fill="BDD6EE"/>
            <w:vAlign w:val="center"/>
          </w:tcPr>
          <w:p w:rsidR="009C5BC6" w:rsidRPr="007F4221" w:rsidP="009C5BC6" w14:paraId="745A7C86" w14:textId="64B4D23A">
            <w:pPr>
              <w:widowControl/>
              <w:jc w:val="center"/>
              <w:rPr>
                <w:rFonts w:ascii="Calibri" w:eastAsia="Calibri" w:hAnsi="Calibri" w:cs="Calibri"/>
                <w:b/>
                <w:color w:val="000000"/>
                <w:sz w:val="18"/>
                <w:szCs w:val="18"/>
              </w:rPr>
            </w:pPr>
            <w:r w:rsidRPr="007F4221">
              <w:rPr>
                <w:rFonts w:ascii="Calibri" w:eastAsia="Calibri" w:hAnsi="Calibri" w:cs="Calibri"/>
                <w:b/>
                <w:color w:val="000000"/>
                <w:sz w:val="18"/>
                <w:szCs w:val="18"/>
              </w:rPr>
              <w:t>35</w:t>
            </w:r>
          </w:p>
        </w:tc>
        <w:tc>
          <w:tcPr>
            <w:tcW w:w="959" w:type="dxa"/>
            <w:tcBorders>
              <w:top w:val="single" w:sz="4" w:space="0" w:color="auto"/>
              <w:left w:val="nil"/>
              <w:bottom w:val="nil"/>
              <w:right w:val="single" w:sz="8" w:space="0" w:color="000000"/>
            </w:tcBorders>
            <w:shd w:val="clear" w:color="auto" w:fill="BDD6EE"/>
            <w:vAlign w:val="center"/>
          </w:tcPr>
          <w:p w:rsidR="009C5BC6" w:rsidRPr="007F4221" w:rsidP="009C5BC6" w14:paraId="4E680D66" w14:textId="0E287BB1">
            <w:pPr>
              <w:widowControl/>
              <w:jc w:val="center"/>
              <w:rPr>
                <w:rFonts w:ascii="Calibri" w:eastAsia="Calibri" w:hAnsi="Calibri" w:cs="Calibri"/>
                <w:b/>
                <w:color w:val="000000"/>
                <w:sz w:val="18"/>
                <w:szCs w:val="18"/>
              </w:rPr>
            </w:pPr>
            <w:r w:rsidRPr="007F4221">
              <w:rPr>
                <w:rFonts w:ascii="Calibri" w:eastAsia="Calibri" w:hAnsi="Calibri" w:cs="Calibri"/>
                <w:b/>
                <w:color w:val="000000"/>
                <w:sz w:val="18"/>
                <w:szCs w:val="18"/>
              </w:rPr>
              <w:t>58</w:t>
            </w:r>
          </w:p>
        </w:tc>
        <w:tc>
          <w:tcPr>
            <w:tcW w:w="891" w:type="dxa"/>
            <w:tcBorders>
              <w:top w:val="single" w:sz="4" w:space="0" w:color="auto"/>
              <w:left w:val="nil"/>
              <w:bottom w:val="nil"/>
              <w:right w:val="dashed" w:sz="8" w:space="0" w:color="000000"/>
            </w:tcBorders>
            <w:shd w:val="clear" w:color="auto" w:fill="BDD6EE"/>
            <w:vAlign w:val="center"/>
          </w:tcPr>
          <w:p w:rsidR="009C5BC6" w:rsidRPr="007F4221" w:rsidP="009C5BC6" w14:paraId="08D6F17A" w14:textId="029968FE">
            <w:pPr>
              <w:widowControl/>
              <w:jc w:val="center"/>
              <w:rPr>
                <w:rFonts w:ascii="Calibri" w:eastAsia="Calibri" w:hAnsi="Calibri" w:cs="Calibri"/>
                <w:b/>
                <w:color w:val="000000"/>
                <w:sz w:val="18"/>
                <w:szCs w:val="18"/>
              </w:rPr>
            </w:pPr>
            <w:r w:rsidRPr="007F4221">
              <w:rPr>
                <w:rFonts w:ascii="Calibri" w:eastAsia="Calibri" w:hAnsi="Calibri" w:cs="Calibri"/>
                <w:b/>
                <w:color w:val="000000"/>
                <w:sz w:val="18"/>
                <w:szCs w:val="18"/>
              </w:rPr>
              <w:t>38</w:t>
            </w:r>
          </w:p>
        </w:tc>
        <w:tc>
          <w:tcPr>
            <w:tcW w:w="900" w:type="dxa"/>
            <w:tcBorders>
              <w:top w:val="single" w:sz="4" w:space="0" w:color="auto"/>
              <w:left w:val="nil"/>
              <w:bottom w:val="nil"/>
              <w:right w:val="single" w:sz="8" w:space="0" w:color="000000"/>
            </w:tcBorders>
            <w:shd w:val="clear" w:color="auto" w:fill="BDD6EE"/>
            <w:vAlign w:val="center"/>
          </w:tcPr>
          <w:p w:rsidR="009C5BC6" w:rsidRPr="007F4221" w:rsidP="009C5BC6" w14:paraId="38FA8C9E" w14:textId="5CC59BC3">
            <w:pPr>
              <w:widowControl/>
              <w:jc w:val="center"/>
              <w:rPr>
                <w:rFonts w:ascii="Calibri" w:eastAsia="Calibri" w:hAnsi="Calibri" w:cs="Calibri"/>
                <w:b/>
                <w:color w:val="000000"/>
                <w:sz w:val="18"/>
                <w:szCs w:val="18"/>
              </w:rPr>
            </w:pPr>
            <w:r w:rsidRPr="007F4221">
              <w:rPr>
                <w:rFonts w:ascii="Calibri" w:eastAsia="Calibri" w:hAnsi="Calibri" w:cs="Calibri"/>
                <w:b/>
                <w:color w:val="000000"/>
                <w:sz w:val="18"/>
                <w:szCs w:val="18"/>
              </w:rPr>
              <w:t>61</w:t>
            </w:r>
          </w:p>
        </w:tc>
        <w:tc>
          <w:tcPr>
            <w:tcW w:w="2717" w:type="dxa"/>
            <w:tcBorders>
              <w:top w:val="nil"/>
              <w:left w:val="nil"/>
              <w:bottom w:val="nil"/>
              <w:right w:val="single" w:sz="8" w:space="0" w:color="000000"/>
            </w:tcBorders>
            <w:shd w:val="clear" w:color="auto" w:fill="000000"/>
            <w:vAlign w:val="center"/>
          </w:tcPr>
          <w:p w:rsidR="009C5BC6" w:rsidRPr="007F4221" w:rsidP="009C5BC6" w14:paraId="7EF1652F" w14:textId="77777777">
            <w:pPr>
              <w:widowControl/>
              <w:jc w:val="center"/>
              <w:rPr>
                <w:rFonts w:ascii="Calibri" w:eastAsia="Calibri" w:hAnsi="Calibri" w:cs="Calibri"/>
                <w:b/>
                <w:color w:val="000000"/>
                <w:sz w:val="18"/>
                <w:szCs w:val="18"/>
              </w:rPr>
            </w:pPr>
            <w:r w:rsidRPr="007F4221">
              <w:rPr>
                <w:rFonts w:ascii="Calibri" w:eastAsia="Calibri" w:hAnsi="Calibri" w:cs="Calibri"/>
                <w:b/>
                <w:color w:val="000000"/>
                <w:sz w:val="18"/>
                <w:szCs w:val="18"/>
              </w:rPr>
              <w:t> </w:t>
            </w:r>
          </w:p>
        </w:tc>
      </w:tr>
      <w:tr w14:paraId="4474B47C" w14:textId="77777777" w:rsidTr="00042AFB">
        <w:tblPrEx>
          <w:tblW w:w="10537" w:type="dxa"/>
          <w:jc w:val="center"/>
          <w:tblLayout w:type="fixed"/>
          <w:tblLook w:val="0400"/>
        </w:tblPrEx>
        <w:trPr>
          <w:trHeight w:val="202"/>
          <w:jc w:val="center"/>
        </w:trPr>
        <w:tc>
          <w:tcPr>
            <w:tcW w:w="2240" w:type="dxa"/>
            <w:tcBorders>
              <w:top w:val="single" w:sz="8" w:space="0" w:color="000000"/>
              <w:left w:val="single" w:sz="8" w:space="0" w:color="000000"/>
              <w:bottom w:val="single" w:sz="8" w:space="0" w:color="000000"/>
              <w:right w:val="nil"/>
            </w:tcBorders>
            <w:shd w:val="clear" w:color="auto" w:fill="FCE4D6"/>
            <w:vAlign w:val="bottom"/>
          </w:tcPr>
          <w:p w:rsidR="00BC3107" w:rsidRPr="00B22CE0" w:rsidP="00042AFB" w14:paraId="264941ED" w14:textId="77777777">
            <w:pPr>
              <w:widowControl/>
              <w:jc w:val="center"/>
              <w:rPr>
                <w:rFonts w:ascii="Calibri" w:eastAsia="Calibri" w:hAnsi="Calibri" w:cs="Calibri"/>
                <w:b/>
                <w:color w:val="000000"/>
                <w:sz w:val="18"/>
                <w:szCs w:val="18"/>
              </w:rPr>
            </w:pPr>
            <w:r w:rsidRPr="00B22CE0">
              <w:rPr>
                <w:rFonts w:ascii="Calibri" w:eastAsia="Calibri" w:hAnsi="Calibri" w:cs="Calibri"/>
                <w:b/>
                <w:color w:val="000000"/>
                <w:sz w:val="18"/>
                <w:szCs w:val="18"/>
              </w:rPr>
              <w:t>Difference</w:t>
            </w:r>
          </w:p>
        </w:tc>
        <w:tc>
          <w:tcPr>
            <w:tcW w:w="1872" w:type="dxa"/>
            <w:gridSpan w:val="3"/>
            <w:tcBorders>
              <w:top w:val="single" w:sz="8" w:space="0" w:color="000000"/>
              <w:left w:val="single" w:sz="8" w:space="0" w:color="000000"/>
              <w:bottom w:val="single" w:sz="8" w:space="0" w:color="000000"/>
              <w:right w:val="single" w:sz="8" w:space="0" w:color="000000"/>
            </w:tcBorders>
            <w:shd w:val="clear" w:color="auto" w:fill="FCE4D6"/>
            <w:vAlign w:val="bottom"/>
          </w:tcPr>
          <w:p w:rsidR="00BC3107" w:rsidRPr="007F4221" w:rsidP="00042AFB" w14:paraId="6372F910" w14:textId="4CBD0AEB">
            <w:pPr>
              <w:widowControl/>
              <w:jc w:val="center"/>
              <w:rPr>
                <w:rFonts w:ascii="Calibri" w:eastAsia="Calibri" w:hAnsi="Calibri" w:cs="Calibri"/>
                <w:b/>
                <w:color w:val="000000"/>
                <w:sz w:val="18"/>
                <w:szCs w:val="18"/>
              </w:rPr>
            </w:pPr>
            <w:r w:rsidRPr="007F4221">
              <w:rPr>
                <w:rFonts w:ascii="Calibri" w:eastAsia="Calibri" w:hAnsi="Calibri" w:cs="Calibri"/>
                <w:b/>
                <w:color w:val="000000"/>
                <w:sz w:val="18"/>
                <w:szCs w:val="18"/>
              </w:rPr>
              <w:t>-46</w:t>
            </w:r>
          </w:p>
        </w:tc>
        <w:tc>
          <w:tcPr>
            <w:tcW w:w="1917" w:type="dxa"/>
            <w:gridSpan w:val="2"/>
            <w:tcBorders>
              <w:top w:val="single" w:sz="8" w:space="0" w:color="000000"/>
              <w:left w:val="nil"/>
              <w:bottom w:val="single" w:sz="8" w:space="0" w:color="000000"/>
              <w:right w:val="single" w:sz="8" w:space="0" w:color="000000"/>
            </w:tcBorders>
            <w:shd w:val="clear" w:color="auto" w:fill="FCE4D6"/>
            <w:vAlign w:val="bottom"/>
          </w:tcPr>
          <w:p w:rsidR="00BC3107" w:rsidRPr="007F4221" w:rsidP="00042AFB" w14:paraId="4CC9BE18" w14:textId="48CB9A66">
            <w:pPr>
              <w:widowControl/>
              <w:jc w:val="center"/>
              <w:rPr>
                <w:rFonts w:ascii="Calibri" w:eastAsia="Calibri" w:hAnsi="Calibri" w:cs="Calibri"/>
                <w:b/>
                <w:color w:val="000000"/>
                <w:sz w:val="18"/>
                <w:szCs w:val="18"/>
              </w:rPr>
            </w:pPr>
            <w:r w:rsidRPr="007F4221">
              <w:rPr>
                <w:rFonts w:ascii="Calibri" w:eastAsia="Calibri" w:hAnsi="Calibri" w:cs="Calibri"/>
                <w:b/>
                <w:color w:val="000000"/>
                <w:sz w:val="18"/>
                <w:szCs w:val="18"/>
              </w:rPr>
              <w:t>-23</w:t>
            </w:r>
          </w:p>
        </w:tc>
        <w:tc>
          <w:tcPr>
            <w:tcW w:w="1791" w:type="dxa"/>
            <w:gridSpan w:val="2"/>
            <w:tcBorders>
              <w:top w:val="single" w:sz="8" w:space="0" w:color="000000"/>
              <w:left w:val="nil"/>
              <w:bottom w:val="single" w:sz="8" w:space="0" w:color="000000"/>
              <w:right w:val="single" w:sz="4" w:space="0" w:color="000000"/>
            </w:tcBorders>
            <w:shd w:val="clear" w:color="auto" w:fill="FCE4D6"/>
            <w:vAlign w:val="bottom"/>
          </w:tcPr>
          <w:p w:rsidR="00BC3107" w:rsidRPr="007F4221" w:rsidP="00042AFB" w14:paraId="728E6C0B" w14:textId="5C182973">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w:t>
            </w:r>
            <w:r w:rsidRPr="007F4221">
              <w:rPr>
                <w:rFonts w:ascii="Calibri" w:eastAsia="Calibri" w:hAnsi="Calibri" w:cs="Calibri"/>
                <w:b/>
                <w:color w:val="000000"/>
                <w:sz w:val="18"/>
                <w:szCs w:val="18"/>
              </w:rPr>
              <w:t>23</w:t>
            </w:r>
          </w:p>
        </w:tc>
        <w:tc>
          <w:tcPr>
            <w:tcW w:w="2717" w:type="dxa"/>
            <w:tcBorders>
              <w:top w:val="single" w:sz="8" w:space="0" w:color="000000"/>
              <w:left w:val="nil"/>
              <w:bottom w:val="single" w:sz="8" w:space="0" w:color="000000"/>
              <w:right w:val="single" w:sz="8" w:space="0" w:color="000000"/>
            </w:tcBorders>
            <w:shd w:val="clear" w:color="auto" w:fill="000000"/>
            <w:vAlign w:val="bottom"/>
          </w:tcPr>
          <w:p w:rsidR="00BC3107" w:rsidRPr="007F4221" w:rsidP="00042AFB" w14:paraId="5CD3CD38" w14:textId="77777777">
            <w:pPr>
              <w:widowControl/>
              <w:rPr>
                <w:rFonts w:ascii="Calibri" w:eastAsia="Calibri" w:hAnsi="Calibri" w:cs="Calibri"/>
                <w:color w:val="000000"/>
                <w:sz w:val="18"/>
                <w:szCs w:val="18"/>
              </w:rPr>
            </w:pPr>
            <w:r w:rsidRPr="007F4221">
              <w:rPr>
                <w:rFonts w:ascii="Calibri" w:eastAsia="Calibri" w:hAnsi="Calibri" w:cs="Calibri"/>
                <w:color w:val="000000"/>
                <w:sz w:val="18"/>
                <w:szCs w:val="18"/>
              </w:rPr>
              <w:t> </w:t>
            </w:r>
          </w:p>
        </w:tc>
      </w:tr>
    </w:tbl>
    <w:p w:rsidR="00BC3107" w:rsidP="00BC3107" w14:paraId="4C3CDC67" w14:textId="77777777">
      <w:pPr>
        <w:widowControl/>
        <w:pBdr>
          <w:top w:val="nil"/>
          <w:left w:val="nil"/>
          <w:bottom w:val="nil"/>
          <w:right w:val="nil"/>
          <w:between w:val="nil"/>
        </w:pBdr>
        <w:spacing w:before="7"/>
        <w:rPr>
          <w:b/>
          <w:color w:val="000000"/>
        </w:rPr>
      </w:pPr>
    </w:p>
    <w:tbl>
      <w:tblPr>
        <w:tblStyle w:val="af"/>
        <w:tblW w:w="8558" w:type="dxa"/>
        <w:jc w:val="center"/>
        <w:tblLayout w:type="fixed"/>
        <w:tblLook w:val="0400"/>
      </w:tblPr>
      <w:tblGrid>
        <w:gridCol w:w="2319"/>
        <w:gridCol w:w="1151"/>
        <w:gridCol w:w="1248"/>
        <w:gridCol w:w="3840"/>
      </w:tblGrid>
      <w:tr w14:paraId="008F166E" w14:textId="77777777" w:rsidTr="00852AE5">
        <w:tblPrEx>
          <w:tblW w:w="8558" w:type="dxa"/>
          <w:jc w:val="center"/>
          <w:tblLayout w:type="fixed"/>
          <w:tblLook w:val="0400"/>
        </w:tblPrEx>
        <w:trPr>
          <w:trHeight w:val="50"/>
          <w:jc w:val="center"/>
        </w:trPr>
        <w:tc>
          <w:tcPr>
            <w:tcW w:w="2319"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852AE5" w:rsidRPr="002A0F7E" w:rsidP="00042AFB" w14:paraId="55E02FB6" w14:textId="77777777">
            <w:pPr>
              <w:widowControl/>
              <w:jc w:val="center"/>
              <w:rPr>
                <w:rFonts w:ascii="Calibri" w:eastAsia="Calibri" w:hAnsi="Calibri" w:cs="Calibri"/>
                <w:b/>
                <w:color w:val="000000"/>
                <w:sz w:val="18"/>
                <w:szCs w:val="18"/>
              </w:rPr>
            </w:pPr>
            <w:r w:rsidRPr="002A0F7E">
              <w:rPr>
                <w:rFonts w:ascii="Calibri" w:eastAsia="Calibri" w:hAnsi="Calibri" w:cs="Calibri"/>
                <w:b/>
                <w:color w:val="000000"/>
                <w:sz w:val="18"/>
                <w:szCs w:val="18"/>
              </w:rPr>
              <w:t>Information Collection</w:t>
            </w:r>
          </w:p>
        </w:tc>
        <w:tc>
          <w:tcPr>
            <w:tcW w:w="2399" w:type="dxa"/>
            <w:gridSpan w:val="2"/>
            <w:tcBorders>
              <w:top w:val="single" w:sz="8" w:space="0" w:color="000000"/>
              <w:left w:val="nil"/>
              <w:bottom w:val="single" w:sz="8" w:space="0" w:color="000000"/>
              <w:right w:val="single" w:sz="8" w:space="0" w:color="000000"/>
            </w:tcBorders>
            <w:shd w:val="clear" w:color="auto" w:fill="5B9BD5"/>
            <w:vAlign w:val="center"/>
          </w:tcPr>
          <w:p w:rsidR="00852AE5" w:rsidRPr="002A0F7E" w:rsidP="00042AFB" w14:paraId="70137BC8" w14:textId="77777777">
            <w:pPr>
              <w:widowControl/>
              <w:jc w:val="center"/>
              <w:rPr>
                <w:rFonts w:ascii="Calibri" w:eastAsia="Calibri" w:hAnsi="Calibri" w:cs="Calibri"/>
                <w:b/>
                <w:color w:val="000000"/>
                <w:sz w:val="18"/>
                <w:szCs w:val="18"/>
              </w:rPr>
            </w:pPr>
            <w:r w:rsidRPr="002A0F7E">
              <w:rPr>
                <w:rFonts w:ascii="Calibri" w:eastAsia="Calibri" w:hAnsi="Calibri" w:cs="Calibri"/>
                <w:b/>
                <w:color w:val="000000"/>
                <w:sz w:val="18"/>
                <w:szCs w:val="18"/>
              </w:rPr>
              <w:t>Miscellaneous Costs</w:t>
            </w:r>
          </w:p>
        </w:tc>
        <w:tc>
          <w:tcPr>
            <w:tcW w:w="384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852AE5" w:rsidRPr="002A0F7E" w:rsidP="00042AFB" w14:paraId="3680A6E3" w14:textId="77777777">
            <w:pPr>
              <w:widowControl/>
              <w:jc w:val="center"/>
              <w:rPr>
                <w:rFonts w:ascii="Calibri" w:eastAsia="Calibri" w:hAnsi="Calibri" w:cs="Calibri"/>
                <w:b/>
                <w:color w:val="000000"/>
                <w:sz w:val="18"/>
                <w:szCs w:val="18"/>
              </w:rPr>
            </w:pPr>
            <w:r w:rsidRPr="002A0F7E">
              <w:rPr>
                <w:rFonts w:ascii="Calibri" w:eastAsia="Calibri" w:hAnsi="Calibri" w:cs="Calibri"/>
                <w:b/>
                <w:color w:val="000000"/>
                <w:sz w:val="18"/>
                <w:szCs w:val="18"/>
              </w:rPr>
              <w:t>Reason for change or adjustment</w:t>
            </w:r>
          </w:p>
        </w:tc>
      </w:tr>
      <w:tr w14:paraId="53449F4C" w14:textId="77777777" w:rsidTr="00852AE5">
        <w:tblPrEx>
          <w:tblW w:w="8558" w:type="dxa"/>
          <w:jc w:val="center"/>
          <w:tblLayout w:type="fixed"/>
          <w:tblLook w:val="0400"/>
        </w:tblPrEx>
        <w:trPr>
          <w:trHeight w:val="19"/>
          <w:jc w:val="center"/>
        </w:trPr>
        <w:tc>
          <w:tcPr>
            <w:tcW w:w="2319"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852AE5" w:rsidP="00042AFB" w14:paraId="0C5C23C6" w14:textId="77777777">
            <w:pPr>
              <w:widowControl/>
              <w:pBdr>
                <w:top w:val="nil"/>
                <w:left w:val="nil"/>
                <w:bottom w:val="nil"/>
                <w:right w:val="nil"/>
                <w:between w:val="nil"/>
              </w:pBdr>
              <w:spacing w:line="276" w:lineRule="auto"/>
              <w:rPr>
                <w:rFonts w:ascii="Calibri" w:eastAsia="Calibri" w:hAnsi="Calibri" w:cs="Calibri"/>
                <w:b/>
                <w:color w:val="000000"/>
                <w:sz w:val="16"/>
                <w:szCs w:val="16"/>
              </w:rPr>
            </w:pPr>
          </w:p>
        </w:tc>
        <w:tc>
          <w:tcPr>
            <w:tcW w:w="1151" w:type="dxa"/>
            <w:tcBorders>
              <w:top w:val="nil"/>
              <w:left w:val="nil"/>
              <w:bottom w:val="single" w:sz="8" w:space="0" w:color="000000"/>
              <w:right w:val="dashed" w:sz="8" w:space="0" w:color="000000"/>
            </w:tcBorders>
            <w:shd w:val="clear" w:color="auto" w:fill="FBE4D5"/>
            <w:vAlign w:val="center"/>
          </w:tcPr>
          <w:p w:rsidR="00852AE5" w:rsidRPr="00B22CE0" w:rsidP="00042AFB" w14:paraId="230E70BE" w14:textId="77777777">
            <w:pPr>
              <w:widowControl/>
              <w:jc w:val="center"/>
              <w:rPr>
                <w:rFonts w:ascii="Calibri" w:eastAsia="Calibri" w:hAnsi="Calibri" w:cs="Calibri"/>
                <w:color w:val="000000"/>
                <w:sz w:val="18"/>
                <w:szCs w:val="18"/>
              </w:rPr>
            </w:pPr>
            <w:r w:rsidRPr="00B22CE0">
              <w:rPr>
                <w:rFonts w:ascii="Calibri" w:eastAsia="Calibri" w:hAnsi="Calibri" w:cs="Calibri"/>
                <w:color w:val="000000"/>
                <w:sz w:val="18"/>
                <w:szCs w:val="18"/>
              </w:rPr>
              <w:t>Current</w:t>
            </w:r>
          </w:p>
        </w:tc>
        <w:tc>
          <w:tcPr>
            <w:tcW w:w="1248" w:type="dxa"/>
            <w:tcBorders>
              <w:top w:val="nil"/>
              <w:left w:val="nil"/>
              <w:bottom w:val="single" w:sz="8" w:space="0" w:color="000000"/>
              <w:right w:val="single" w:sz="8" w:space="0" w:color="000000"/>
            </w:tcBorders>
            <w:shd w:val="clear" w:color="auto" w:fill="FBE4D5"/>
            <w:vAlign w:val="center"/>
          </w:tcPr>
          <w:p w:rsidR="00852AE5" w:rsidRPr="00B22CE0" w:rsidP="00042AFB" w14:paraId="7C07FED0" w14:textId="77777777">
            <w:pPr>
              <w:widowControl/>
              <w:jc w:val="center"/>
              <w:rPr>
                <w:rFonts w:ascii="Calibri" w:eastAsia="Calibri" w:hAnsi="Calibri" w:cs="Calibri"/>
                <w:color w:val="000000"/>
                <w:sz w:val="18"/>
                <w:szCs w:val="18"/>
              </w:rPr>
            </w:pPr>
            <w:r w:rsidRPr="00B22CE0">
              <w:rPr>
                <w:rFonts w:ascii="Calibri" w:eastAsia="Calibri" w:hAnsi="Calibri" w:cs="Calibri"/>
                <w:color w:val="000000"/>
                <w:sz w:val="18"/>
                <w:szCs w:val="18"/>
              </w:rPr>
              <w:t>Previous</w:t>
            </w:r>
          </w:p>
        </w:tc>
        <w:tc>
          <w:tcPr>
            <w:tcW w:w="384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852AE5" w:rsidP="00042AFB" w14:paraId="59C770F0" w14:textId="77777777">
            <w:pPr>
              <w:widowControl/>
              <w:pBdr>
                <w:top w:val="nil"/>
                <w:left w:val="nil"/>
                <w:bottom w:val="nil"/>
                <w:right w:val="nil"/>
                <w:between w:val="nil"/>
              </w:pBdr>
              <w:spacing w:line="276" w:lineRule="auto"/>
              <w:rPr>
                <w:rFonts w:ascii="Calibri" w:eastAsia="Calibri" w:hAnsi="Calibri" w:cs="Calibri"/>
                <w:color w:val="000000"/>
                <w:sz w:val="16"/>
                <w:szCs w:val="16"/>
              </w:rPr>
            </w:pPr>
          </w:p>
        </w:tc>
      </w:tr>
      <w:tr w14:paraId="1C972BCE" w14:textId="77777777" w:rsidTr="00852AE5">
        <w:tblPrEx>
          <w:tblW w:w="8558" w:type="dxa"/>
          <w:jc w:val="center"/>
          <w:tblLayout w:type="fixed"/>
          <w:tblLook w:val="0400"/>
        </w:tblPrEx>
        <w:trPr>
          <w:trHeight w:val="745"/>
          <w:jc w:val="center"/>
        </w:trPr>
        <w:tc>
          <w:tcPr>
            <w:tcW w:w="2319" w:type="dxa"/>
            <w:tcBorders>
              <w:top w:val="nil"/>
              <w:left w:val="single" w:sz="8" w:space="0" w:color="000000"/>
              <w:bottom w:val="single" w:sz="8" w:space="0" w:color="000000"/>
              <w:right w:val="single" w:sz="8" w:space="0" w:color="000000"/>
            </w:tcBorders>
            <w:vAlign w:val="center"/>
          </w:tcPr>
          <w:p w:rsidR="00852AE5" w:rsidRPr="006C6ACA" w:rsidP="004564BA" w14:paraId="0AA006F9" w14:textId="77777777">
            <w:pPr>
              <w:widowControl/>
              <w:rPr>
                <w:rFonts w:ascii="Calibri" w:eastAsia="Calibri" w:hAnsi="Calibri" w:cs="Calibri"/>
                <w:color w:val="000000"/>
                <w:sz w:val="18"/>
                <w:szCs w:val="18"/>
              </w:rPr>
            </w:pPr>
            <w:r w:rsidRPr="006C6ACA">
              <w:rPr>
                <w:rFonts w:ascii="Calibri" w:eastAsia="Calibri" w:hAnsi="Calibri" w:cs="Calibri"/>
                <w:sz w:val="18"/>
                <w:szCs w:val="18"/>
              </w:rPr>
              <w:t>A</w:t>
            </w:r>
            <w:r>
              <w:rPr>
                <w:rFonts w:ascii="Calibri" w:eastAsia="Calibri" w:hAnsi="Calibri" w:cs="Calibri"/>
                <w:sz w:val="18"/>
                <w:szCs w:val="18"/>
              </w:rPr>
              <w:t>pplication for the transfer of groundfish and c</w:t>
            </w:r>
            <w:r w:rsidRPr="006C6ACA">
              <w:rPr>
                <w:rFonts w:ascii="Calibri" w:eastAsia="Calibri" w:hAnsi="Calibri" w:cs="Calibri"/>
                <w:sz w:val="18"/>
                <w:szCs w:val="18"/>
              </w:rPr>
              <w:t>rab LLP licenses</w:t>
            </w:r>
          </w:p>
        </w:tc>
        <w:tc>
          <w:tcPr>
            <w:tcW w:w="1151" w:type="dxa"/>
            <w:tcBorders>
              <w:top w:val="nil"/>
              <w:left w:val="nil"/>
              <w:bottom w:val="dotted" w:sz="4" w:space="0" w:color="000000"/>
              <w:right w:val="dashed" w:sz="8" w:space="0" w:color="000000"/>
            </w:tcBorders>
            <w:vAlign w:val="center"/>
          </w:tcPr>
          <w:p w:rsidR="00852AE5" w:rsidRPr="002A0F7E" w:rsidP="004564BA" w14:paraId="6D5F577C" w14:textId="24F0AC60">
            <w:pPr>
              <w:widowControl/>
              <w:jc w:val="center"/>
              <w:rPr>
                <w:rFonts w:ascii="Calibri" w:eastAsia="Calibri" w:hAnsi="Calibri" w:cs="Calibri"/>
                <w:color w:val="000000"/>
                <w:sz w:val="18"/>
                <w:szCs w:val="18"/>
              </w:rPr>
            </w:pPr>
            <w:r w:rsidRPr="00464628">
              <w:rPr>
                <w:rFonts w:ascii="Calibri" w:eastAsia="Calibri" w:hAnsi="Calibri" w:cs="Calibri"/>
                <w:sz w:val="18"/>
                <w:szCs w:val="18"/>
              </w:rPr>
              <w:t>330</w:t>
            </w:r>
          </w:p>
        </w:tc>
        <w:tc>
          <w:tcPr>
            <w:tcW w:w="1248" w:type="dxa"/>
            <w:tcBorders>
              <w:top w:val="nil"/>
              <w:left w:val="nil"/>
              <w:bottom w:val="dotted" w:sz="4" w:space="0" w:color="000000"/>
              <w:right w:val="single" w:sz="8" w:space="0" w:color="000000"/>
            </w:tcBorders>
            <w:vAlign w:val="center"/>
          </w:tcPr>
          <w:p w:rsidR="00852AE5" w:rsidRPr="002A0F7E" w:rsidP="004564BA" w14:paraId="7DAC22AF" w14:textId="35B63843">
            <w:pPr>
              <w:widowControl/>
              <w:jc w:val="center"/>
              <w:rPr>
                <w:rFonts w:eastAsia="Calibri" w:asciiTheme="minorHAnsi" w:hAnsiTheme="minorHAnsi" w:cstheme="minorHAnsi"/>
                <w:color w:val="000000"/>
                <w:sz w:val="18"/>
                <w:szCs w:val="18"/>
              </w:rPr>
            </w:pPr>
            <w:r>
              <w:rPr>
                <w:rFonts w:ascii="Calibri" w:eastAsia="Calibri" w:hAnsi="Calibri" w:cs="Calibri"/>
                <w:color w:val="000000"/>
                <w:sz w:val="18"/>
                <w:szCs w:val="18"/>
              </w:rPr>
              <w:t>560</w:t>
            </w:r>
          </w:p>
        </w:tc>
        <w:tc>
          <w:tcPr>
            <w:tcW w:w="3840" w:type="dxa"/>
            <w:tcBorders>
              <w:top w:val="nil"/>
              <w:left w:val="nil"/>
              <w:bottom w:val="dotted" w:sz="4" w:space="0" w:color="000000"/>
              <w:right w:val="single" w:sz="8" w:space="0" w:color="000000"/>
            </w:tcBorders>
            <w:vAlign w:val="center"/>
          </w:tcPr>
          <w:p w:rsidR="00852AE5" w:rsidRPr="002A0F7E" w:rsidP="004564BA" w14:paraId="69A290BA" w14:textId="17AE1D90">
            <w:pPr>
              <w:widowControl/>
              <w:rPr>
                <w:rFonts w:ascii="Calibri" w:eastAsia="Calibri" w:hAnsi="Calibri" w:cs="Calibri"/>
                <w:sz w:val="18"/>
                <w:szCs w:val="18"/>
              </w:rPr>
            </w:pPr>
            <w:r>
              <w:rPr>
                <w:rFonts w:ascii="Calibri" w:eastAsia="Calibri" w:hAnsi="Calibri" w:cs="Calibri"/>
                <w:sz w:val="18"/>
                <w:szCs w:val="18"/>
              </w:rPr>
              <w:t>The number of respondents was lower than previous years.</w:t>
            </w:r>
          </w:p>
        </w:tc>
      </w:tr>
      <w:tr w14:paraId="45633981" w14:textId="77777777" w:rsidTr="00852AE5">
        <w:tblPrEx>
          <w:tblW w:w="8558" w:type="dxa"/>
          <w:jc w:val="center"/>
          <w:tblLayout w:type="fixed"/>
          <w:tblLook w:val="0400"/>
        </w:tblPrEx>
        <w:trPr>
          <w:trHeight w:val="355"/>
          <w:jc w:val="center"/>
        </w:trPr>
        <w:tc>
          <w:tcPr>
            <w:tcW w:w="2319" w:type="dxa"/>
            <w:tcBorders>
              <w:top w:val="nil"/>
              <w:left w:val="single" w:sz="8" w:space="0" w:color="000000"/>
              <w:bottom w:val="single" w:sz="8" w:space="0" w:color="000000"/>
              <w:right w:val="single" w:sz="8" w:space="0" w:color="000000"/>
            </w:tcBorders>
            <w:vAlign w:val="center"/>
          </w:tcPr>
          <w:p w:rsidR="00852AE5" w:rsidRPr="006C6ACA" w:rsidP="004564BA" w14:paraId="6E783774" w14:textId="77777777">
            <w:pPr>
              <w:widowControl/>
              <w:rPr>
                <w:rFonts w:ascii="Calibri" w:eastAsia="Calibri" w:hAnsi="Calibri" w:cs="Calibri"/>
                <w:color w:val="000000"/>
                <w:sz w:val="18"/>
                <w:szCs w:val="18"/>
              </w:rPr>
            </w:pPr>
            <w:r w:rsidRPr="006C6ACA">
              <w:rPr>
                <w:rFonts w:ascii="Calibri" w:eastAsia="Calibri" w:hAnsi="Calibri" w:cs="Calibri"/>
                <w:sz w:val="18"/>
                <w:szCs w:val="18"/>
              </w:rPr>
              <w:t xml:space="preserve">Application for the transfer of </w:t>
            </w:r>
            <w:r>
              <w:rPr>
                <w:rFonts w:ascii="Calibri" w:eastAsia="Calibri" w:hAnsi="Calibri" w:cs="Calibri"/>
                <w:sz w:val="18"/>
                <w:szCs w:val="18"/>
              </w:rPr>
              <w:t>s</w:t>
            </w:r>
            <w:r w:rsidRPr="006C6ACA">
              <w:rPr>
                <w:rFonts w:ascii="Calibri" w:eastAsia="Calibri" w:hAnsi="Calibri" w:cs="Calibri"/>
                <w:sz w:val="18"/>
                <w:szCs w:val="18"/>
              </w:rPr>
              <w:t xml:space="preserve">callop LLP licenses </w:t>
            </w:r>
          </w:p>
        </w:tc>
        <w:tc>
          <w:tcPr>
            <w:tcW w:w="1151" w:type="dxa"/>
            <w:tcBorders>
              <w:top w:val="nil"/>
              <w:left w:val="nil"/>
              <w:bottom w:val="dotted" w:sz="4" w:space="0" w:color="000000"/>
              <w:right w:val="dashed" w:sz="8" w:space="0" w:color="000000"/>
            </w:tcBorders>
            <w:vAlign w:val="center"/>
          </w:tcPr>
          <w:p w:rsidR="00852AE5" w:rsidRPr="002A0F7E" w:rsidP="004564BA" w14:paraId="586E62CA" w14:textId="4011B305">
            <w:pPr>
              <w:widowControl/>
              <w:jc w:val="center"/>
              <w:rPr>
                <w:rFonts w:ascii="Calibri" w:eastAsia="Calibri" w:hAnsi="Calibri" w:cs="Calibri"/>
                <w:color w:val="000000"/>
                <w:sz w:val="18"/>
                <w:szCs w:val="18"/>
              </w:rPr>
            </w:pPr>
            <w:r w:rsidRPr="00464628">
              <w:rPr>
                <w:rFonts w:ascii="Calibri" w:eastAsia="Calibri" w:hAnsi="Calibri" w:cs="Calibri"/>
                <w:sz w:val="18"/>
                <w:szCs w:val="18"/>
              </w:rPr>
              <w:t>10</w:t>
            </w:r>
          </w:p>
        </w:tc>
        <w:tc>
          <w:tcPr>
            <w:tcW w:w="1248" w:type="dxa"/>
            <w:tcBorders>
              <w:top w:val="nil"/>
              <w:left w:val="nil"/>
              <w:bottom w:val="dotted" w:sz="4" w:space="0" w:color="000000"/>
              <w:right w:val="single" w:sz="8" w:space="0" w:color="000000"/>
            </w:tcBorders>
            <w:vAlign w:val="center"/>
          </w:tcPr>
          <w:p w:rsidR="00852AE5" w:rsidRPr="002A0F7E" w:rsidP="004564BA" w14:paraId="1DD0BD6C" w14:textId="62231471">
            <w:pPr>
              <w:widowControl/>
              <w:jc w:val="center"/>
              <w:rPr>
                <w:rFonts w:eastAsia="Calibri" w:asciiTheme="minorHAnsi" w:hAnsiTheme="minorHAnsi" w:cstheme="minorHAnsi"/>
                <w:color w:val="000000"/>
                <w:sz w:val="18"/>
                <w:szCs w:val="18"/>
              </w:rPr>
            </w:pPr>
            <w:r>
              <w:rPr>
                <w:rFonts w:ascii="Calibri" w:eastAsia="Calibri" w:hAnsi="Calibri" w:cs="Calibri"/>
                <w:color w:val="000000"/>
                <w:sz w:val="18"/>
                <w:szCs w:val="18"/>
              </w:rPr>
              <w:t>10</w:t>
            </w:r>
          </w:p>
        </w:tc>
        <w:tc>
          <w:tcPr>
            <w:tcW w:w="3840" w:type="dxa"/>
            <w:tcBorders>
              <w:top w:val="nil"/>
              <w:left w:val="nil"/>
              <w:bottom w:val="dotted" w:sz="4" w:space="0" w:color="000000"/>
              <w:right w:val="single" w:sz="8" w:space="0" w:color="000000"/>
            </w:tcBorders>
            <w:vAlign w:val="center"/>
          </w:tcPr>
          <w:p w:rsidR="00852AE5" w:rsidRPr="002A0F7E" w:rsidP="004564BA" w14:paraId="6BFF8A22" w14:textId="4B617BD6">
            <w:pPr>
              <w:widowControl/>
              <w:rPr>
                <w:rFonts w:ascii="Calibri" w:eastAsia="Calibri" w:hAnsi="Calibri" w:cs="Calibri"/>
                <w:sz w:val="18"/>
                <w:szCs w:val="18"/>
              </w:rPr>
            </w:pPr>
          </w:p>
        </w:tc>
      </w:tr>
      <w:tr w14:paraId="7774618E" w14:textId="77777777" w:rsidTr="00852AE5">
        <w:tblPrEx>
          <w:tblW w:w="8558" w:type="dxa"/>
          <w:jc w:val="center"/>
          <w:tblLayout w:type="fixed"/>
          <w:tblLook w:val="0400"/>
        </w:tblPrEx>
        <w:trPr>
          <w:trHeight w:val="309"/>
          <w:jc w:val="center"/>
        </w:trPr>
        <w:tc>
          <w:tcPr>
            <w:tcW w:w="2319" w:type="dxa"/>
            <w:tcBorders>
              <w:top w:val="nil"/>
              <w:left w:val="single" w:sz="8" w:space="0" w:color="000000"/>
              <w:bottom w:val="single" w:sz="8" w:space="0" w:color="000000"/>
              <w:right w:val="single" w:sz="8" w:space="0" w:color="000000"/>
            </w:tcBorders>
            <w:vAlign w:val="center"/>
          </w:tcPr>
          <w:p w:rsidR="00852AE5" w:rsidRPr="006C6ACA" w:rsidP="004564BA" w14:paraId="0AA1ED26" w14:textId="77777777">
            <w:pPr>
              <w:widowControl/>
              <w:rPr>
                <w:rFonts w:ascii="Calibri" w:eastAsia="Calibri" w:hAnsi="Calibri" w:cs="Calibri"/>
                <w:color w:val="000000"/>
                <w:sz w:val="18"/>
                <w:szCs w:val="18"/>
              </w:rPr>
            </w:pPr>
            <w:r>
              <w:rPr>
                <w:rFonts w:ascii="Calibri" w:eastAsia="Calibri" w:hAnsi="Calibri" w:cs="Calibri"/>
                <w:sz w:val="18"/>
                <w:szCs w:val="18"/>
              </w:rPr>
              <w:t>Transfer a</w:t>
            </w:r>
            <w:r w:rsidRPr="006C6ACA">
              <w:rPr>
                <w:rFonts w:ascii="Calibri" w:eastAsia="Calibri" w:hAnsi="Calibri" w:cs="Calibri"/>
                <w:sz w:val="18"/>
                <w:szCs w:val="18"/>
              </w:rPr>
              <w:t>ppeal</w:t>
            </w:r>
          </w:p>
        </w:tc>
        <w:tc>
          <w:tcPr>
            <w:tcW w:w="1151" w:type="dxa"/>
            <w:tcBorders>
              <w:top w:val="nil"/>
              <w:left w:val="nil"/>
              <w:bottom w:val="single" w:sz="4" w:space="0" w:color="auto"/>
              <w:right w:val="dashed" w:sz="8" w:space="0" w:color="000000"/>
            </w:tcBorders>
            <w:vAlign w:val="center"/>
          </w:tcPr>
          <w:p w:rsidR="00852AE5" w:rsidRPr="002A0F7E" w:rsidP="004564BA" w14:paraId="4226C7AA" w14:textId="020D9FFC">
            <w:pPr>
              <w:widowControl/>
              <w:jc w:val="center"/>
              <w:rPr>
                <w:rFonts w:ascii="Calibri" w:eastAsia="Calibri" w:hAnsi="Calibri" w:cs="Calibri"/>
                <w:color w:val="000000"/>
                <w:sz w:val="18"/>
                <w:szCs w:val="18"/>
              </w:rPr>
            </w:pPr>
            <w:r w:rsidRPr="00464628">
              <w:rPr>
                <w:rFonts w:ascii="Calibri" w:eastAsia="Calibri" w:hAnsi="Calibri" w:cs="Calibri"/>
                <w:sz w:val="18"/>
                <w:szCs w:val="18"/>
              </w:rPr>
              <w:t>505</w:t>
            </w:r>
          </w:p>
        </w:tc>
        <w:tc>
          <w:tcPr>
            <w:tcW w:w="1248" w:type="dxa"/>
            <w:tcBorders>
              <w:top w:val="nil"/>
              <w:left w:val="nil"/>
              <w:bottom w:val="single" w:sz="4" w:space="0" w:color="auto"/>
              <w:right w:val="single" w:sz="8" w:space="0" w:color="000000"/>
            </w:tcBorders>
            <w:vAlign w:val="center"/>
          </w:tcPr>
          <w:p w:rsidR="00852AE5" w:rsidRPr="002A0F7E" w:rsidP="004564BA" w14:paraId="64C6AC9B" w14:textId="2162FA4F">
            <w:pPr>
              <w:widowControl/>
              <w:jc w:val="center"/>
              <w:rPr>
                <w:rFonts w:eastAsia="Calibri" w:asciiTheme="minorHAnsi" w:hAnsiTheme="minorHAnsi" w:cstheme="minorHAnsi"/>
                <w:color w:val="000000"/>
                <w:sz w:val="18"/>
                <w:szCs w:val="18"/>
              </w:rPr>
            </w:pPr>
            <w:r>
              <w:rPr>
                <w:rFonts w:ascii="Calibri" w:eastAsia="Calibri" w:hAnsi="Calibri" w:cs="Calibri"/>
                <w:color w:val="000000"/>
                <w:sz w:val="18"/>
                <w:szCs w:val="18"/>
              </w:rPr>
              <w:t>505</w:t>
            </w:r>
          </w:p>
        </w:tc>
        <w:tc>
          <w:tcPr>
            <w:tcW w:w="3840" w:type="dxa"/>
            <w:tcBorders>
              <w:top w:val="nil"/>
              <w:left w:val="nil"/>
              <w:bottom w:val="dotted" w:sz="4" w:space="0" w:color="000000"/>
              <w:right w:val="single" w:sz="8" w:space="0" w:color="000000"/>
            </w:tcBorders>
            <w:vAlign w:val="center"/>
          </w:tcPr>
          <w:p w:rsidR="00852AE5" w:rsidRPr="002A0F7E" w:rsidP="004564BA" w14:paraId="34D8AD12" w14:textId="75D89FF9">
            <w:pPr>
              <w:widowControl/>
              <w:rPr>
                <w:rFonts w:ascii="Calibri" w:eastAsia="Calibri" w:hAnsi="Calibri" w:cs="Calibri"/>
                <w:color w:val="000000"/>
                <w:sz w:val="18"/>
                <w:szCs w:val="18"/>
              </w:rPr>
            </w:pPr>
          </w:p>
        </w:tc>
      </w:tr>
      <w:tr w14:paraId="1F8C3D31" w14:textId="77777777" w:rsidTr="00852AE5">
        <w:tblPrEx>
          <w:tblW w:w="8558" w:type="dxa"/>
          <w:jc w:val="center"/>
          <w:tblLayout w:type="fixed"/>
          <w:tblLook w:val="0400"/>
        </w:tblPrEx>
        <w:trPr>
          <w:trHeight w:val="220"/>
          <w:jc w:val="center"/>
        </w:trPr>
        <w:tc>
          <w:tcPr>
            <w:tcW w:w="2319" w:type="dxa"/>
            <w:tcBorders>
              <w:top w:val="nil"/>
              <w:left w:val="single" w:sz="8" w:space="0" w:color="000000"/>
              <w:bottom w:val="nil"/>
              <w:right w:val="single" w:sz="8" w:space="0" w:color="000000"/>
            </w:tcBorders>
            <w:shd w:val="clear" w:color="auto" w:fill="BDD6EE"/>
            <w:vAlign w:val="center"/>
          </w:tcPr>
          <w:p w:rsidR="00852AE5" w:rsidRPr="006C6ACA" w:rsidP="009C5BC6" w14:paraId="46CF7281" w14:textId="77777777">
            <w:pPr>
              <w:widowControl/>
              <w:jc w:val="center"/>
              <w:rPr>
                <w:rFonts w:ascii="Calibri" w:eastAsia="Calibri" w:hAnsi="Calibri" w:cs="Calibri"/>
                <w:b/>
                <w:color w:val="000000"/>
                <w:sz w:val="18"/>
                <w:szCs w:val="18"/>
              </w:rPr>
            </w:pPr>
            <w:r w:rsidRPr="006C6ACA">
              <w:rPr>
                <w:rFonts w:ascii="Calibri" w:eastAsia="Calibri" w:hAnsi="Calibri" w:cs="Calibri"/>
                <w:b/>
                <w:color w:val="000000"/>
                <w:sz w:val="18"/>
                <w:szCs w:val="18"/>
              </w:rPr>
              <w:t>Total for Collection</w:t>
            </w:r>
          </w:p>
        </w:tc>
        <w:tc>
          <w:tcPr>
            <w:tcW w:w="1151" w:type="dxa"/>
            <w:tcBorders>
              <w:top w:val="single" w:sz="4" w:space="0" w:color="auto"/>
              <w:left w:val="nil"/>
              <w:bottom w:val="nil"/>
              <w:right w:val="dashed" w:sz="8" w:space="0" w:color="000000"/>
            </w:tcBorders>
            <w:shd w:val="clear" w:color="auto" w:fill="BDD6EE"/>
            <w:vAlign w:val="center"/>
          </w:tcPr>
          <w:p w:rsidR="00852AE5" w:rsidRPr="00894307" w:rsidP="009C5BC6" w14:paraId="0C009BF7" w14:textId="293F335F">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$845</w:t>
            </w:r>
          </w:p>
        </w:tc>
        <w:tc>
          <w:tcPr>
            <w:tcW w:w="1248" w:type="dxa"/>
            <w:tcBorders>
              <w:top w:val="single" w:sz="4" w:space="0" w:color="auto"/>
              <w:left w:val="nil"/>
              <w:bottom w:val="nil"/>
              <w:right w:val="single" w:sz="8" w:space="0" w:color="000000"/>
            </w:tcBorders>
            <w:shd w:val="clear" w:color="auto" w:fill="BDD6EE"/>
            <w:vAlign w:val="center"/>
          </w:tcPr>
          <w:p w:rsidR="00852AE5" w:rsidRPr="001B0BAA" w:rsidP="009C5BC6" w14:paraId="0E6C07C8" w14:textId="418AC2CF">
            <w:pPr>
              <w:widowControl/>
              <w:jc w:val="center"/>
              <w:rPr>
                <w:rFonts w:eastAsia="Calibri" w:asciiTheme="minorHAnsi" w:hAnsiTheme="minorHAnsi" w:cstheme="minorHAnsi"/>
                <w:b/>
                <w:color w:val="000000"/>
                <w:sz w:val="18"/>
                <w:szCs w:val="18"/>
              </w:rPr>
            </w:pPr>
            <w:r w:rsidRPr="00894307">
              <w:rPr>
                <w:rFonts w:ascii="Calibri" w:eastAsia="Calibri" w:hAnsi="Calibri" w:cs="Calibri"/>
                <w:b/>
                <w:color w:val="000000"/>
                <w:sz w:val="18"/>
                <w:szCs w:val="18"/>
              </w:rPr>
              <w:t>$1,075</w:t>
            </w:r>
          </w:p>
        </w:tc>
        <w:tc>
          <w:tcPr>
            <w:tcW w:w="3840" w:type="dxa"/>
            <w:tcBorders>
              <w:top w:val="nil"/>
              <w:left w:val="nil"/>
              <w:bottom w:val="nil"/>
              <w:right w:val="single" w:sz="8" w:space="0" w:color="000000"/>
            </w:tcBorders>
            <w:shd w:val="clear" w:color="auto" w:fill="000000"/>
            <w:vAlign w:val="center"/>
          </w:tcPr>
          <w:p w:rsidR="00852AE5" w:rsidRPr="002A0F7E" w:rsidP="009C5BC6" w14:paraId="61734E35" w14:textId="77777777">
            <w:pPr>
              <w:widowControl/>
              <w:jc w:val="center"/>
              <w:rPr>
                <w:rFonts w:ascii="Calibri" w:eastAsia="Calibri" w:hAnsi="Calibri" w:cs="Calibri"/>
                <w:b/>
                <w:color w:val="000000"/>
                <w:sz w:val="18"/>
                <w:szCs w:val="18"/>
              </w:rPr>
            </w:pPr>
            <w:r w:rsidRPr="002A0F7E">
              <w:rPr>
                <w:rFonts w:ascii="Calibri" w:eastAsia="Calibri" w:hAnsi="Calibri" w:cs="Calibri"/>
                <w:b/>
                <w:color w:val="000000"/>
                <w:sz w:val="18"/>
                <w:szCs w:val="18"/>
              </w:rPr>
              <w:t> </w:t>
            </w:r>
          </w:p>
        </w:tc>
      </w:tr>
      <w:tr w14:paraId="1E803A24" w14:textId="77777777" w:rsidTr="00852AE5">
        <w:tblPrEx>
          <w:tblW w:w="8558" w:type="dxa"/>
          <w:jc w:val="center"/>
          <w:tblLayout w:type="fixed"/>
          <w:tblLook w:val="0400"/>
        </w:tblPrEx>
        <w:trPr>
          <w:trHeight w:val="25"/>
          <w:jc w:val="center"/>
        </w:trPr>
        <w:tc>
          <w:tcPr>
            <w:tcW w:w="2319" w:type="dxa"/>
            <w:tcBorders>
              <w:top w:val="single" w:sz="8" w:space="0" w:color="000000"/>
              <w:left w:val="single" w:sz="8" w:space="0" w:color="000000"/>
              <w:bottom w:val="single" w:sz="8" w:space="0" w:color="000000"/>
              <w:right w:val="nil"/>
            </w:tcBorders>
            <w:shd w:val="clear" w:color="auto" w:fill="FCE4D6"/>
            <w:vAlign w:val="bottom"/>
          </w:tcPr>
          <w:p w:rsidR="00852AE5" w:rsidRPr="002A0F7E" w:rsidP="00042AFB" w14:paraId="621456E4" w14:textId="77777777">
            <w:pPr>
              <w:widowControl/>
              <w:jc w:val="center"/>
              <w:rPr>
                <w:rFonts w:ascii="Calibri" w:eastAsia="Calibri" w:hAnsi="Calibri" w:cs="Calibri"/>
                <w:b/>
                <w:color w:val="000000"/>
                <w:sz w:val="18"/>
                <w:szCs w:val="18"/>
              </w:rPr>
            </w:pPr>
            <w:r w:rsidRPr="002A0F7E">
              <w:rPr>
                <w:rFonts w:ascii="Calibri" w:eastAsia="Calibri" w:hAnsi="Calibri" w:cs="Calibri"/>
                <w:b/>
                <w:color w:val="000000"/>
                <w:sz w:val="18"/>
                <w:szCs w:val="18"/>
              </w:rPr>
              <w:t>Difference</w:t>
            </w:r>
          </w:p>
        </w:tc>
        <w:tc>
          <w:tcPr>
            <w:tcW w:w="2399" w:type="dxa"/>
            <w:gridSpan w:val="2"/>
            <w:tcBorders>
              <w:top w:val="single" w:sz="8" w:space="0" w:color="000000"/>
              <w:left w:val="nil"/>
              <w:bottom w:val="single" w:sz="8" w:space="0" w:color="000000"/>
              <w:right w:val="single" w:sz="4" w:space="0" w:color="000000"/>
            </w:tcBorders>
            <w:shd w:val="clear" w:color="auto" w:fill="FCE4D6"/>
            <w:vAlign w:val="bottom"/>
          </w:tcPr>
          <w:p w:rsidR="00852AE5" w:rsidRPr="00166560" w:rsidP="00042AFB" w14:paraId="29561D1C" w14:textId="513B61AE">
            <w:pPr>
              <w:widowControl/>
              <w:jc w:val="center"/>
              <w:rPr>
                <w:rFonts w:ascii="Calibri" w:eastAsia="Calibri" w:hAnsi="Calibri" w:cs="Calibri"/>
                <w:b/>
                <w:color w:val="000000"/>
                <w:sz w:val="18"/>
                <w:szCs w:val="18"/>
                <w:highlight w:val="yellow"/>
              </w:rPr>
            </w:pPr>
            <w:r w:rsidRPr="004564BA">
              <w:rPr>
                <w:rFonts w:ascii="Calibri" w:eastAsia="Calibri" w:hAnsi="Calibri" w:cs="Calibri"/>
                <w:b/>
                <w:color w:val="000000"/>
                <w:sz w:val="18"/>
                <w:szCs w:val="18"/>
              </w:rPr>
              <w:t xml:space="preserve">-$230 </w:t>
            </w:r>
            <w:r>
              <w:rPr>
                <w:rFonts w:ascii="Calibri" w:eastAsia="Calibri" w:hAnsi="Calibri" w:cs="Calibri"/>
                <w:b/>
                <w:color w:val="000000"/>
                <w:sz w:val="18"/>
                <w:szCs w:val="18"/>
              </w:rPr>
              <w:t>adjustment</w:t>
            </w:r>
          </w:p>
        </w:tc>
        <w:tc>
          <w:tcPr>
            <w:tcW w:w="3840" w:type="dxa"/>
            <w:tcBorders>
              <w:top w:val="single" w:sz="8" w:space="0" w:color="000000"/>
              <w:left w:val="nil"/>
              <w:bottom w:val="single" w:sz="8" w:space="0" w:color="000000"/>
              <w:right w:val="single" w:sz="8" w:space="0" w:color="000000"/>
            </w:tcBorders>
            <w:shd w:val="clear" w:color="auto" w:fill="000000"/>
            <w:vAlign w:val="bottom"/>
          </w:tcPr>
          <w:p w:rsidR="00852AE5" w:rsidRPr="002A0F7E" w:rsidP="00042AFB" w14:paraId="67A776AA" w14:textId="77777777">
            <w:pPr>
              <w:widowControl/>
              <w:rPr>
                <w:rFonts w:ascii="Calibri" w:eastAsia="Calibri" w:hAnsi="Calibri" w:cs="Calibri"/>
                <w:color w:val="000000"/>
                <w:sz w:val="18"/>
                <w:szCs w:val="18"/>
              </w:rPr>
            </w:pPr>
            <w:r w:rsidRPr="002A0F7E">
              <w:rPr>
                <w:rFonts w:ascii="Calibri" w:eastAsia="Calibri" w:hAnsi="Calibri" w:cs="Calibri"/>
                <w:color w:val="000000"/>
                <w:sz w:val="18"/>
                <w:szCs w:val="18"/>
              </w:rPr>
              <w:t> </w:t>
            </w:r>
          </w:p>
        </w:tc>
      </w:tr>
    </w:tbl>
    <w:p w:rsidR="00BC3107" w:rsidP="00BC3107" w14:paraId="38433D83" w14:textId="77777777">
      <w:pPr>
        <w:widowControl/>
        <w:pBdr>
          <w:top w:val="nil"/>
          <w:left w:val="nil"/>
          <w:bottom w:val="nil"/>
          <w:right w:val="nil"/>
          <w:between w:val="nil"/>
        </w:pBdr>
        <w:spacing w:before="7"/>
        <w:rPr>
          <w:b/>
          <w:color w:val="000000"/>
        </w:rPr>
      </w:pPr>
    </w:p>
    <w:p w:rsidR="00BC3107" w:rsidP="00BC3107" w14:paraId="069B9A8B" w14:textId="77777777">
      <w:pPr>
        <w:widowControl/>
        <w:pBdr>
          <w:top w:val="nil"/>
          <w:left w:val="nil"/>
          <w:bottom w:val="nil"/>
          <w:right w:val="nil"/>
          <w:between w:val="nil"/>
        </w:pBdr>
        <w:rPr>
          <w:b/>
          <w:color w:val="000000"/>
        </w:rPr>
      </w:pPr>
    </w:p>
    <w:p w:rsidR="00AB1A5B" w14:paraId="0E7253DD" w14:textId="77777777">
      <w:pPr>
        <w:pBdr>
          <w:top w:val="nil"/>
          <w:left w:val="nil"/>
          <w:bottom w:val="nil"/>
          <w:right w:val="nil"/>
          <w:between w:val="nil"/>
        </w:pBdr>
        <w:spacing w:before="7"/>
        <w:rPr>
          <w:b/>
          <w:color w:val="000000"/>
        </w:rPr>
      </w:pPr>
    </w:p>
    <w:p w:rsidR="00AB1A5B" w:rsidP="00277B26" w14:paraId="5307FE88" w14:textId="4B5C60D7">
      <w:pPr>
        <w:pStyle w:val="Heading2"/>
        <w:numPr>
          <w:ilvl w:val="0"/>
          <w:numId w:val="0"/>
        </w:numPr>
      </w:pPr>
      <w:r>
        <w:t xml:space="preserve">16. </w:t>
      </w:r>
      <w:r w:rsidR="00226B0D">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45B95" w:rsidP="00AB7746" w14:paraId="4CF96C2B" w14:textId="7D47C141">
      <w:pPr>
        <w:widowControl/>
        <w:spacing w:before="280" w:after="280"/>
      </w:pPr>
      <w:r w:rsidRPr="00645B95">
        <w:t xml:space="preserve">It is anticipated that the information collected will be disseminated to the public or used to support publicly disseminated information. NOAA </w:t>
      </w:r>
      <w:r>
        <w:t xml:space="preserve">National Marine Fisheries Service (NMFS) </w:t>
      </w:r>
      <w:r w:rsidRPr="00645B95">
        <w:t>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BC3107" w:rsidP="00BC3107" w14:paraId="7C19D0E8" w14:textId="42F50624">
      <w:pPr>
        <w:widowControl/>
        <w:pBdr>
          <w:top w:val="nil"/>
          <w:left w:val="nil"/>
          <w:bottom w:val="nil"/>
          <w:right w:val="nil"/>
          <w:between w:val="nil"/>
        </w:pBdr>
        <w:rPr>
          <w:rFonts w:ascii="Arial" w:eastAsia="Arial" w:hAnsi="Arial" w:cs="Arial"/>
          <w:color w:val="1155CC"/>
          <w:sz w:val="22"/>
          <w:szCs w:val="22"/>
          <w:u w:val="single"/>
        </w:rPr>
      </w:pPr>
      <w:r>
        <w:t>NMFS Alaska Region posts LLP license information on its website at</w:t>
      </w:r>
      <w:r>
        <w:rPr>
          <w:color w:val="222222"/>
        </w:rPr>
        <w:t xml:space="preserve"> </w:t>
      </w:r>
      <w:hyperlink r:id="rId24" w:anchor="license-limitation-program-(llp)">
        <w:r>
          <w:rPr>
            <w:color w:val="1155CC"/>
            <w:highlight w:val="white"/>
            <w:u w:val="single"/>
          </w:rPr>
          <w:t>Permits and Licenses Issued in Alaska</w:t>
        </w:r>
      </w:hyperlink>
      <w:r>
        <w:rPr>
          <w:color w:val="222222"/>
        </w:rPr>
        <w:t>.</w:t>
      </w:r>
      <w:r>
        <w:rPr>
          <w:rStyle w:val="FootnoteReference"/>
          <w:color w:val="222222"/>
        </w:rPr>
        <w:footnoteReference w:id="14"/>
      </w:r>
      <w:r>
        <w:rPr>
          <w:color w:val="222222"/>
        </w:rPr>
        <w:t xml:space="preserve"> Spreadsheets in .csv format are posted annually for crab LLP licenses, groundfish LLP licenses, and for scallop LLP licenses. Additionally</w:t>
      </w:r>
      <w:r w:rsidR="00B11806">
        <w:rPr>
          <w:color w:val="222222"/>
        </w:rPr>
        <w:t>,</w:t>
      </w:r>
      <w:r>
        <w:rPr>
          <w:color w:val="222222"/>
        </w:rPr>
        <w:t xml:space="preserve"> a subset of LLP licenses with Pacific cod endorsements are posted. </w:t>
      </w:r>
    </w:p>
    <w:p w:rsidR="00BC3107" w:rsidP="00BC3107" w14:paraId="057056E3" w14:textId="77777777">
      <w:pPr>
        <w:widowControl/>
      </w:pPr>
    </w:p>
    <w:p w:rsidR="00BC3107" w:rsidP="00BC3107" w14:paraId="41C1E6A8" w14:textId="77777777">
      <w:pPr>
        <w:widowControl/>
      </w:pPr>
      <w:r>
        <w:t xml:space="preserve">Final administrative appeal decisions with redactions are posted on the </w:t>
      </w:r>
      <w:hyperlink r:id="rId25">
        <w:r>
          <w:rPr>
            <w:color w:val="0000FF"/>
            <w:u w:val="single"/>
          </w:rPr>
          <w:t>NMFS National Appeals Office website</w:t>
        </w:r>
      </w:hyperlink>
      <w:r>
        <w:t>.</w:t>
      </w:r>
      <w:r>
        <w:rPr>
          <w:rStyle w:val="FootnoteReference"/>
        </w:rPr>
        <w:footnoteReference w:id="15"/>
      </w:r>
      <w:r>
        <w:t xml:space="preserve"> Personally identifiable information and confidential business information submitted in an administrative appeal are not released to the public.</w:t>
      </w:r>
    </w:p>
    <w:p w:rsidR="00AB1A5B" w14:paraId="2A03D7B7" w14:textId="77777777">
      <w:pPr>
        <w:pBdr>
          <w:top w:val="nil"/>
          <w:left w:val="nil"/>
          <w:bottom w:val="nil"/>
          <w:right w:val="nil"/>
          <w:between w:val="nil"/>
        </w:pBdr>
        <w:spacing w:before="160"/>
        <w:rPr>
          <w:color w:val="2F5496"/>
        </w:rPr>
      </w:pPr>
    </w:p>
    <w:p w:rsidR="00AB1A5B" w:rsidP="00277B26" w14:paraId="70774B4A" w14:textId="4EB5994A">
      <w:pPr>
        <w:pStyle w:val="Heading2"/>
        <w:numPr>
          <w:ilvl w:val="0"/>
          <w:numId w:val="0"/>
        </w:numPr>
      </w:pPr>
      <w:r>
        <w:t xml:space="preserve">17. </w:t>
      </w:r>
      <w:r w:rsidR="00226B0D">
        <w:t>If seeking approval to not display the expiration date for OMB approval of the information collection, explain the reasons that display would be inappropriate.</w:t>
      </w:r>
    </w:p>
    <w:p w:rsidR="009C5BC6" w:rsidP="00BC3107" w14:paraId="3BD5E2CC" w14:textId="77777777">
      <w:pPr>
        <w:keepNext/>
        <w:widowControl/>
        <w:pBdr>
          <w:top w:val="nil"/>
          <w:left w:val="nil"/>
          <w:bottom w:val="nil"/>
          <w:right w:val="nil"/>
          <w:between w:val="nil"/>
        </w:pBdr>
      </w:pPr>
    </w:p>
    <w:p w:rsidR="00BC3107" w:rsidP="00BC3107" w14:paraId="6CD2E36D" w14:textId="030D99E7">
      <w:pPr>
        <w:keepNext/>
        <w:widowControl/>
        <w:pBdr>
          <w:top w:val="nil"/>
          <w:left w:val="nil"/>
          <w:bottom w:val="nil"/>
          <w:right w:val="nil"/>
          <w:between w:val="nil"/>
        </w:pBdr>
      </w:pPr>
      <w:r>
        <w:t>The agency plans to display the expiration date for OMB approval of the information collection on all instruments.</w:t>
      </w:r>
    </w:p>
    <w:p w:rsidR="00AB1A5B" w14:paraId="34537BD8" w14:textId="77777777">
      <w:pPr>
        <w:spacing w:before="161"/>
        <w:rPr>
          <w:i/>
        </w:rPr>
      </w:pPr>
    </w:p>
    <w:p w:rsidR="00AB1A5B" w:rsidP="00277B26" w14:paraId="01C2DFD2" w14:textId="66483D5B">
      <w:pPr>
        <w:pStyle w:val="Heading2"/>
        <w:numPr>
          <w:ilvl w:val="0"/>
          <w:numId w:val="0"/>
        </w:numPr>
      </w:pPr>
      <w:r>
        <w:t xml:space="preserve">18. </w:t>
      </w:r>
      <w:r w:rsidR="00226B0D">
        <w:t>Explain each exception to the certification statement identified in “Certification for Paperwork Reduction Act Submissions."</w:t>
      </w:r>
    </w:p>
    <w:p w:rsidR="00AB1A5B" w:rsidP="00852AE5" w14:paraId="0EE67BD1" w14:textId="77777777">
      <w:pPr>
        <w:spacing w:before="221" w:line="259" w:lineRule="auto"/>
      </w:pPr>
      <w:r>
        <w:t xml:space="preserve">The agency certifies compliance with </w:t>
      </w:r>
      <w:hyperlink r:id="rId26">
        <w:r>
          <w:rPr>
            <w:color w:val="0563C1"/>
            <w:u w:val="single"/>
          </w:rPr>
          <w:t>5 CFR 1320.9</w:t>
        </w:r>
      </w:hyperlink>
      <w:hyperlink r:id="rId26">
        <w:r>
          <w:rPr>
            <w:color w:val="0563C1"/>
          </w:rPr>
          <w:t xml:space="preserve"> </w:t>
        </w:r>
      </w:hyperlink>
      <w:r>
        <w:t xml:space="preserve">and the related provisions of </w:t>
      </w:r>
      <w:hyperlink r:id="rId27">
        <w:r>
          <w:rPr>
            <w:color w:val="0563C1"/>
            <w:u w:val="single"/>
          </w:rPr>
          <w:t>5 CFR</w:t>
        </w:r>
      </w:hyperlink>
      <w:r>
        <w:rPr>
          <w:color w:val="0563C1"/>
        </w:rPr>
        <w:t xml:space="preserve"> </w:t>
      </w:r>
      <w:hyperlink r:id="rId27">
        <w:r>
          <w:rPr>
            <w:color w:val="0563C1"/>
            <w:u w:val="single"/>
          </w:rPr>
          <w:t>1320.8(b)(3)</w:t>
        </w:r>
      </w:hyperlink>
      <w:r>
        <w:t>.</w:t>
      </w:r>
    </w:p>
    <w:p w:rsidR="00AB1A5B" w14:paraId="4E40F36B" w14:textId="7C6A29AC">
      <w:pPr>
        <w:spacing w:before="221" w:line="259" w:lineRule="auto"/>
        <w:jc w:val="both"/>
        <w:rPr>
          <w:color w:val="1F497D"/>
        </w:rPr>
      </w:pPr>
      <w:bookmarkStart w:id="4" w:name="_heading=h.gjdgxs" w:colFirst="0" w:colLast="0"/>
      <w:bookmarkEnd w:id="4"/>
    </w:p>
    <w:sectPr>
      <w:pgSz w:w="12240" w:h="15840"/>
      <w:pgMar w:top="640" w:right="1080" w:bottom="1200" w:left="108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A5B" w14:paraId="06BE0AEC" w14:textId="777777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30D1" w14:paraId="730B3DEA" w14:textId="77777777">
      <w:r>
        <w:separator/>
      </w:r>
    </w:p>
  </w:footnote>
  <w:footnote w:type="continuationSeparator" w:id="1">
    <w:p w:rsidR="001F30D1" w14:paraId="3ED6536B" w14:textId="77777777">
      <w:r>
        <w:continuationSeparator/>
      </w:r>
    </w:p>
  </w:footnote>
  <w:footnote w:id="2">
    <w:p w:rsidR="007637EA" w14:paraId="454D591F" w14:textId="144B9139">
      <w:pPr>
        <w:pStyle w:val="FootnoteText"/>
      </w:pPr>
      <w:r>
        <w:rPr>
          <w:rStyle w:val="FootnoteReference"/>
        </w:rPr>
        <w:footnoteRef/>
      </w:r>
      <w:r>
        <w:t xml:space="preserve"> </w:t>
      </w:r>
      <w:r w:rsidRPr="007637EA">
        <w:t>https://www.fisheries.noaa.gov/resource/document/magnuson-stevens-fishery-conservation-and-management-act</w:t>
      </w:r>
    </w:p>
  </w:footnote>
  <w:footnote w:id="3">
    <w:p w:rsidR="00F945AD" w14:paraId="186299B9" w14:textId="3F92F0B3">
      <w:pPr>
        <w:pStyle w:val="FootnoteText"/>
      </w:pPr>
      <w:r>
        <w:rPr>
          <w:rStyle w:val="FootnoteReference"/>
        </w:rPr>
        <w:footnoteRef/>
      </w:r>
      <w:r>
        <w:t xml:space="preserve"> </w:t>
      </w:r>
      <w:r w:rsidRPr="00F945AD">
        <w:t>https://www.ecfr.gov/current/title-50/chapter-VI/part-679/subpart-A/section-679.2</w:t>
      </w:r>
    </w:p>
  </w:footnote>
  <w:footnote w:id="4">
    <w:p w:rsidR="00F945AD" w14:paraId="533AB079" w14:textId="234EBD7E">
      <w:pPr>
        <w:pStyle w:val="FootnoteText"/>
      </w:pPr>
      <w:r>
        <w:rPr>
          <w:rStyle w:val="FootnoteReference"/>
        </w:rPr>
        <w:footnoteRef/>
      </w:r>
      <w:r>
        <w:t xml:space="preserve"> </w:t>
      </w:r>
      <w:r w:rsidRPr="00F945AD">
        <w:t>https://www.ecfr.gov/current/title-50/chapter-VI/part-679/subpart-A/section-679.4#p-679.4(g)</w:t>
      </w:r>
    </w:p>
  </w:footnote>
  <w:footnote w:id="5">
    <w:p w:rsidR="00F945AD" w14:paraId="04FD186C" w14:textId="3BDF6B06">
      <w:pPr>
        <w:pStyle w:val="FootnoteText"/>
      </w:pPr>
      <w:r>
        <w:rPr>
          <w:rStyle w:val="FootnoteReference"/>
        </w:rPr>
        <w:footnoteRef/>
      </w:r>
      <w:r>
        <w:t xml:space="preserve"> </w:t>
      </w:r>
      <w:r w:rsidRPr="00F945AD">
        <w:t>https://www.ecfr.gov/current/title-50/chapter-VI/part-679/subpart-A/section-679.4#p-679.4(k)</w:t>
      </w:r>
    </w:p>
  </w:footnote>
  <w:footnote w:id="6">
    <w:p w:rsidR="00F945AD" w14:paraId="42721A70" w14:textId="786618A0">
      <w:pPr>
        <w:pStyle w:val="FootnoteText"/>
      </w:pPr>
      <w:r>
        <w:rPr>
          <w:rStyle w:val="FootnoteReference"/>
        </w:rPr>
        <w:footnoteRef/>
      </w:r>
      <w:r>
        <w:t xml:space="preserve"> </w:t>
      </w:r>
      <w:r w:rsidRPr="00F945AD">
        <w:t>https://www.ecfr.gov/current/title-50/chapter-VI/part-679/subpart-A/section-679.7#p-679.7(i)</w:t>
      </w:r>
    </w:p>
  </w:footnote>
  <w:footnote w:id="7">
    <w:p w:rsidR="00F909EF" w:rsidP="00F909EF" w14:paraId="04FDC4CB" w14:textId="77777777">
      <w:pPr>
        <w:pStyle w:val="FootnoteText"/>
      </w:pPr>
      <w:r>
        <w:rPr>
          <w:rStyle w:val="FootnoteReference"/>
        </w:rPr>
        <w:footnoteRef/>
      </w:r>
      <w:r>
        <w:t xml:space="preserve"> </w:t>
      </w:r>
      <w:hyperlink r:id="rId1" w:history="1">
        <w:r w:rsidRPr="00C577D6">
          <w:rPr>
            <w:rStyle w:val="Hyperlink"/>
          </w:rPr>
          <w:t>https://www.fisheries.noaa.gov/alaska/sustainable-fisheries/license-limitation-program-alaska</w:t>
        </w:r>
      </w:hyperlink>
    </w:p>
  </w:footnote>
  <w:footnote w:id="8">
    <w:p w:rsidR="00F945AD" w14:paraId="3E71B583" w14:textId="41164C1B">
      <w:pPr>
        <w:pStyle w:val="FootnoteText"/>
      </w:pPr>
      <w:r>
        <w:rPr>
          <w:rStyle w:val="FootnoteReference"/>
        </w:rPr>
        <w:footnoteRef/>
      </w:r>
      <w:r>
        <w:t xml:space="preserve"> </w:t>
      </w:r>
      <w:r w:rsidRPr="00F945AD">
        <w:t>https://www.govinfo.gov/content/pkg/FR-1998-10-01/pdf/98-26186.pdf</w:t>
      </w:r>
    </w:p>
  </w:footnote>
  <w:footnote w:id="9">
    <w:p w:rsidR="00F945AD" w14:paraId="658B8409" w14:textId="4EBE2CEF">
      <w:pPr>
        <w:pStyle w:val="FootnoteText"/>
      </w:pPr>
      <w:r>
        <w:rPr>
          <w:rStyle w:val="FootnoteReference"/>
        </w:rPr>
        <w:footnoteRef/>
      </w:r>
      <w:r>
        <w:t xml:space="preserve"> </w:t>
      </w:r>
      <w:r w:rsidRPr="00F945AD">
        <w:t>https://www.govinfo.gov/content/pkg/FR-1999-09-10/pdf/99-23487.pdf</w:t>
      </w:r>
    </w:p>
  </w:footnote>
  <w:footnote w:id="10">
    <w:p w:rsidR="00F945AD" w14:paraId="7E322E44" w14:textId="27446189">
      <w:pPr>
        <w:pStyle w:val="FootnoteText"/>
      </w:pPr>
      <w:r>
        <w:rPr>
          <w:rStyle w:val="FootnoteReference"/>
        </w:rPr>
        <w:footnoteRef/>
      </w:r>
      <w:r>
        <w:t xml:space="preserve"> </w:t>
      </w:r>
      <w:r w:rsidRPr="00F945AD">
        <w:t>https://www.federalregister.gov/documents/2000/12/14/00-31649/fisheries-of-the-exclusive-economic-zone-off-alaska-license-limitation-program-for-the-scallop</w:t>
      </w:r>
    </w:p>
  </w:footnote>
  <w:footnote w:id="11">
    <w:p w:rsidR="00BC3107" w:rsidP="00BC3107" w14:paraId="6BC3155C" w14:textId="77777777">
      <w:pPr>
        <w:pStyle w:val="FootnoteText"/>
      </w:pPr>
      <w:r>
        <w:rPr>
          <w:rStyle w:val="FootnoteReference"/>
        </w:rPr>
        <w:footnoteRef/>
      </w:r>
      <w:r>
        <w:t xml:space="preserve"> The application to transfer a scallop LLP license is posted at </w:t>
      </w:r>
      <w:hyperlink r:id="rId2" w:history="1">
        <w:r w:rsidRPr="00FD31BC">
          <w:rPr>
            <w:rStyle w:val="Hyperlink"/>
          </w:rPr>
          <w:t>https://www.fisheries.noaa.gov/permit/alaska-scallop-license-limitation-program-application-forms</w:t>
        </w:r>
      </w:hyperlink>
      <w:r>
        <w:t xml:space="preserve">. The application to transfer a groundfish or crab LLP license is posted at </w:t>
      </w:r>
      <w:hyperlink r:id="rId3" w:history="1">
        <w:r w:rsidRPr="00423182">
          <w:rPr>
            <w:rStyle w:val="Hyperlink"/>
          </w:rPr>
          <w:t>https://www.fisheries.noaa.gov/permit/alaska-license-limitation-program-applications-groundfish-and-crab</w:t>
        </w:r>
      </w:hyperlink>
      <w:r>
        <w:t>.</w:t>
      </w:r>
    </w:p>
  </w:footnote>
  <w:footnote w:id="12">
    <w:p w:rsidR="00476037" w14:paraId="3ACFB7AB" w14:textId="101C760C">
      <w:pPr>
        <w:pStyle w:val="FootnoteText"/>
      </w:pPr>
      <w:r>
        <w:rPr>
          <w:rStyle w:val="FootnoteReference"/>
        </w:rPr>
        <w:footnoteRef/>
      </w:r>
      <w:r>
        <w:t xml:space="preserve"> </w:t>
      </w:r>
      <w:r w:rsidRPr="00476037">
        <w:t>https://www.noaa.gov/organization/administration/nao-216-100-protection-of-confidential-fisheries-statistics</w:t>
      </w:r>
    </w:p>
  </w:footnote>
  <w:footnote w:id="13">
    <w:p w:rsidR="00476037" w14:paraId="754E7F81" w14:textId="4BF0DC43">
      <w:pPr>
        <w:pStyle w:val="FootnoteText"/>
      </w:pPr>
      <w:r>
        <w:rPr>
          <w:rStyle w:val="FootnoteReference"/>
        </w:rPr>
        <w:footnoteRef/>
      </w:r>
      <w:r>
        <w:t xml:space="preserve"> </w:t>
      </w:r>
      <w:r w:rsidRPr="00476037">
        <w:t>https://www.commerce.gov/node/4991</w:t>
      </w:r>
    </w:p>
  </w:footnote>
  <w:footnote w:id="14">
    <w:p w:rsidR="00BC3107" w:rsidP="00BC3107" w14:paraId="46BA8A9B" w14:textId="77777777">
      <w:pPr>
        <w:pStyle w:val="FootnoteText"/>
      </w:pPr>
      <w:r>
        <w:rPr>
          <w:rStyle w:val="FootnoteReference"/>
        </w:rPr>
        <w:footnoteRef/>
      </w:r>
      <w:r>
        <w:t xml:space="preserve"> </w:t>
      </w:r>
      <w:hyperlink r:id="rId4" w:history="1">
        <w:r w:rsidRPr="005127A3">
          <w:rPr>
            <w:rStyle w:val="Hyperlink"/>
          </w:rPr>
          <w:t>https://www.fisheries.noaa.gov/alaska/commercial-fishing/permits-and-licenses-issued-alaska#license-limitation-program-(llp)</w:t>
        </w:r>
      </w:hyperlink>
    </w:p>
  </w:footnote>
  <w:footnote w:id="15">
    <w:p w:rsidR="00BC3107" w:rsidP="00BC3107" w14:paraId="7D643266" w14:textId="77777777">
      <w:pPr>
        <w:pStyle w:val="FootnoteText"/>
        <w:spacing w:before="60"/>
      </w:pPr>
      <w:r>
        <w:rPr>
          <w:rStyle w:val="FootnoteReference"/>
        </w:rPr>
        <w:footnoteRef/>
      </w:r>
      <w:r>
        <w:t xml:space="preserve"> </w:t>
      </w:r>
      <w:hyperlink r:id="rId5" w:history="1">
        <w:r w:rsidRPr="005127A3">
          <w:rPr>
            <w:rStyle w:val="Hyperlink"/>
          </w:rPr>
          <w:t>https://www.fisheries.noaa.gov/national/rules-and-regulations/appeals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E53BC"/>
    <w:multiLevelType w:val="multilevel"/>
    <w:tmpl w:val="512205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2411F04"/>
    <w:multiLevelType w:val="multilevel"/>
    <w:tmpl w:val="27F676D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nsid w:val="02CE4A35"/>
    <w:multiLevelType w:val="multilevel"/>
    <w:tmpl w:val="178A61C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nsid w:val="234712E5"/>
    <w:multiLevelType w:val="multilevel"/>
    <w:tmpl w:val="324CE57A"/>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4">
    <w:nsid w:val="26F95D10"/>
    <w:multiLevelType w:val="multilevel"/>
    <w:tmpl w:val="0EAE95FA"/>
    <w:lvl w:ilvl="0">
      <w:start w:val="1"/>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337C5790"/>
    <w:multiLevelType w:val="multilevel"/>
    <w:tmpl w:val="E940C5E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nsid w:val="351820FF"/>
    <w:multiLevelType w:val="multilevel"/>
    <w:tmpl w:val="0C149948"/>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7">
    <w:nsid w:val="3DBE51D9"/>
    <w:multiLevelType w:val="multilevel"/>
    <w:tmpl w:val="4CB6780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nsid w:val="450C2031"/>
    <w:multiLevelType w:val="multilevel"/>
    <w:tmpl w:val="5CF4990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nsid w:val="4ACB1FEA"/>
    <w:multiLevelType w:val="multilevel"/>
    <w:tmpl w:val="6268C7CC"/>
    <w:lvl w:ilvl="0">
      <w:start w:val="1"/>
      <w:numFmt w:val="decimal"/>
      <w:pStyle w:val="Heading2"/>
      <w:lvlText w:val="%1."/>
      <w:lvlJc w:val="left"/>
      <w:pPr>
        <w:ind w:left="400" w:hanging="269"/>
      </w:pPr>
      <w:rPr>
        <w:rFonts w:ascii="Times New Roman" w:eastAsia="Arial" w:hAnsi="Times New Roman" w:cs="Times New Roman" w:hint="default"/>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0">
    <w:nsid w:val="530E7725"/>
    <w:multiLevelType w:val="multilevel"/>
    <w:tmpl w:val="1EE6CFC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1">
    <w:nsid w:val="6ED37241"/>
    <w:multiLevelType w:val="hybridMultilevel"/>
    <w:tmpl w:val="C31C9EA0"/>
    <w:lvl w:ilvl="0">
      <w:start w:val="0"/>
      <w:numFmt w:val="bullet"/>
      <w:lvlText w:val="-"/>
      <w:lvlJc w:val="left"/>
      <w:pPr>
        <w:ind w:left="776" w:hanging="360"/>
      </w:pPr>
      <w:rPr>
        <w:rFonts w:ascii="Times New Roman" w:eastAsia="Times New Roman" w:hAnsi="Times New Roman" w:cs="Times New Roman"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12">
    <w:nsid w:val="79A92BDA"/>
    <w:multiLevelType w:val="multilevel"/>
    <w:tmpl w:val="1576C94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3">
    <w:nsid w:val="7A8A6406"/>
    <w:multiLevelType w:val="multilevel"/>
    <w:tmpl w:val="F768168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num w:numId="1" w16cid:durableId="198321275">
    <w:abstractNumId w:val="2"/>
  </w:num>
  <w:num w:numId="2" w16cid:durableId="1624269025">
    <w:abstractNumId w:val="7"/>
  </w:num>
  <w:num w:numId="3" w16cid:durableId="580725019">
    <w:abstractNumId w:val="5"/>
  </w:num>
  <w:num w:numId="4" w16cid:durableId="1399674231">
    <w:abstractNumId w:val="3"/>
  </w:num>
  <w:num w:numId="5" w16cid:durableId="1739866232">
    <w:abstractNumId w:val="1"/>
  </w:num>
  <w:num w:numId="6" w16cid:durableId="429618309">
    <w:abstractNumId w:val="6"/>
  </w:num>
  <w:num w:numId="7" w16cid:durableId="263080475">
    <w:abstractNumId w:val="13"/>
  </w:num>
  <w:num w:numId="8" w16cid:durableId="328949217">
    <w:abstractNumId w:val="10"/>
  </w:num>
  <w:num w:numId="9" w16cid:durableId="1933391672">
    <w:abstractNumId w:val="9"/>
  </w:num>
  <w:num w:numId="10" w16cid:durableId="1682657597">
    <w:abstractNumId w:val="8"/>
  </w:num>
  <w:num w:numId="11" w16cid:durableId="1572426345">
    <w:abstractNumId w:val="12"/>
  </w:num>
  <w:num w:numId="12" w16cid:durableId="597643018">
    <w:abstractNumId w:val="4"/>
  </w:num>
  <w:num w:numId="13" w16cid:durableId="284964854">
    <w:abstractNumId w:val="0"/>
  </w:num>
  <w:num w:numId="14" w16cid:durableId="18961599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A5B"/>
    <w:rsid w:val="00002E5E"/>
    <w:rsid w:val="000318B6"/>
    <w:rsid w:val="00031985"/>
    <w:rsid w:val="00042AFB"/>
    <w:rsid w:val="000703D4"/>
    <w:rsid w:val="00085BC4"/>
    <w:rsid w:val="001217FA"/>
    <w:rsid w:val="00134D6D"/>
    <w:rsid w:val="00141FB0"/>
    <w:rsid w:val="00144056"/>
    <w:rsid w:val="0016522D"/>
    <w:rsid w:val="00166560"/>
    <w:rsid w:val="00170299"/>
    <w:rsid w:val="001943D7"/>
    <w:rsid w:val="0019445B"/>
    <w:rsid w:val="001B0BAA"/>
    <w:rsid w:val="001D47E8"/>
    <w:rsid w:val="001F30D1"/>
    <w:rsid w:val="001F55B3"/>
    <w:rsid w:val="001F6BFC"/>
    <w:rsid w:val="001F7C54"/>
    <w:rsid w:val="00226B0D"/>
    <w:rsid w:val="00273DEC"/>
    <w:rsid w:val="00277B26"/>
    <w:rsid w:val="00283FD1"/>
    <w:rsid w:val="00285A47"/>
    <w:rsid w:val="002A0F7E"/>
    <w:rsid w:val="002A478A"/>
    <w:rsid w:val="00303BB2"/>
    <w:rsid w:val="003559BB"/>
    <w:rsid w:val="00394232"/>
    <w:rsid w:val="003C041A"/>
    <w:rsid w:val="003C09A2"/>
    <w:rsid w:val="003C7616"/>
    <w:rsid w:val="003F1B6D"/>
    <w:rsid w:val="003F7D49"/>
    <w:rsid w:val="00400FD2"/>
    <w:rsid w:val="00423182"/>
    <w:rsid w:val="004519F4"/>
    <w:rsid w:val="004564BA"/>
    <w:rsid w:val="00464628"/>
    <w:rsid w:val="004746AA"/>
    <w:rsid w:val="004749DA"/>
    <w:rsid w:val="00475787"/>
    <w:rsid w:val="00476037"/>
    <w:rsid w:val="004917D9"/>
    <w:rsid w:val="004A036D"/>
    <w:rsid w:val="004C13EA"/>
    <w:rsid w:val="004E55D2"/>
    <w:rsid w:val="00502D54"/>
    <w:rsid w:val="00507375"/>
    <w:rsid w:val="00507537"/>
    <w:rsid w:val="005127A3"/>
    <w:rsid w:val="0052296F"/>
    <w:rsid w:val="00534AFE"/>
    <w:rsid w:val="00595BF8"/>
    <w:rsid w:val="005B158B"/>
    <w:rsid w:val="00601F05"/>
    <w:rsid w:val="006207F5"/>
    <w:rsid w:val="00645B95"/>
    <w:rsid w:val="00655B74"/>
    <w:rsid w:val="00673A34"/>
    <w:rsid w:val="006C6ACA"/>
    <w:rsid w:val="006F330F"/>
    <w:rsid w:val="007176D1"/>
    <w:rsid w:val="00725218"/>
    <w:rsid w:val="007637EA"/>
    <w:rsid w:val="007810B7"/>
    <w:rsid w:val="00784F6F"/>
    <w:rsid w:val="007961A4"/>
    <w:rsid w:val="007D1A5C"/>
    <w:rsid w:val="007F4221"/>
    <w:rsid w:val="00807C2A"/>
    <w:rsid w:val="00852AE5"/>
    <w:rsid w:val="0085791F"/>
    <w:rsid w:val="00894307"/>
    <w:rsid w:val="00897959"/>
    <w:rsid w:val="008C0C07"/>
    <w:rsid w:val="00910922"/>
    <w:rsid w:val="0092053F"/>
    <w:rsid w:val="00940598"/>
    <w:rsid w:val="00950568"/>
    <w:rsid w:val="0096602F"/>
    <w:rsid w:val="00972D6D"/>
    <w:rsid w:val="009847EB"/>
    <w:rsid w:val="009A1D5A"/>
    <w:rsid w:val="009C5BC6"/>
    <w:rsid w:val="009D7F0E"/>
    <w:rsid w:val="00A302D7"/>
    <w:rsid w:val="00A32969"/>
    <w:rsid w:val="00A60E6F"/>
    <w:rsid w:val="00AA0D68"/>
    <w:rsid w:val="00AA2D97"/>
    <w:rsid w:val="00AB1A5B"/>
    <w:rsid w:val="00AB7746"/>
    <w:rsid w:val="00B11806"/>
    <w:rsid w:val="00B22CE0"/>
    <w:rsid w:val="00B41BD3"/>
    <w:rsid w:val="00B912B1"/>
    <w:rsid w:val="00BC1678"/>
    <w:rsid w:val="00BC3107"/>
    <w:rsid w:val="00BC73D1"/>
    <w:rsid w:val="00C341B2"/>
    <w:rsid w:val="00C577D6"/>
    <w:rsid w:val="00C941A3"/>
    <w:rsid w:val="00C9613E"/>
    <w:rsid w:val="00C96FCA"/>
    <w:rsid w:val="00CB0A78"/>
    <w:rsid w:val="00CE2F09"/>
    <w:rsid w:val="00DF7517"/>
    <w:rsid w:val="00E34182"/>
    <w:rsid w:val="00E5295D"/>
    <w:rsid w:val="00EA2320"/>
    <w:rsid w:val="00F22FEC"/>
    <w:rsid w:val="00F479A9"/>
    <w:rsid w:val="00F82711"/>
    <w:rsid w:val="00F909EF"/>
    <w:rsid w:val="00F945AD"/>
    <w:rsid w:val="00FB65D9"/>
    <w:rsid w:val="00FC5214"/>
    <w:rsid w:val="00FD31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3A7F61"/>
  <w15:docId w15:val="{49A499AE-E49A-4203-BCC4-C1FFDBB3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pPr>
      <w:spacing w:before="80"/>
      <w:ind w:left="400"/>
      <w:outlineLvl w:val="0"/>
    </w:pPr>
    <w:rPr>
      <w:b/>
      <w:bCs/>
    </w:rPr>
  </w:style>
  <w:style w:type="paragraph" w:styleId="Heading2">
    <w:name w:val="heading 2"/>
    <w:basedOn w:val="Normal"/>
    <w:next w:val="Normal"/>
    <w:uiPriority w:val="9"/>
    <w:unhideWhenUsed/>
    <w:qFormat/>
    <w:rsid w:val="00BC1678"/>
    <w:pPr>
      <w:numPr>
        <w:numId w:val="9"/>
      </w:numPr>
      <w:pBdr>
        <w:top w:val="nil"/>
        <w:left w:val="nil"/>
        <w:bottom w:val="nil"/>
        <w:right w:val="nil"/>
        <w:between w:val="nil"/>
      </w:pBdr>
      <w:tabs>
        <w:tab w:val="left" w:pos="360"/>
      </w:tabs>
      <w:spacing w:before="182" w:line="259" w:lineRule="auto"/>
      <w:ind w:left="0" w:firstLine="0"/>
      <w:outlineLvl w:val="1"/>
    </w:pPr>
    <w:rPr>
      <w:b/>
      <w:color w:val="000000"/>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BC3107"/>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BC3107"/>
    <w:rPr>
      <w:rFonts w:ascii="Arial" w:eastAsia="Arial" w:hAnsi="Arial" w:cs="Arial"/>
      <w:b/>
      <w:bCs/>
      <w:color w:val="2E5395"/>
      <w:sz w:val="20"/>
      <w:szCs w:val="20"/>
    </w:rPr>
  </w:style>
  <w:style w:type="character" w:customStyle="1" w:styleId="Heading1Char">
    <w:name w:val="Heading 1 Char"/>
    <w:basedOn w:val="DefaultParagraphFont"/>
    <w:link w:val="Heading1"/>
    <w:uiPriority w:val="1"/>
    <w:rsid w:val="00BC3107"/>
    <w:rPr>
      <w:b/>
      <w:bCs/>
    </w:rPr>
  </w:style>
  <w:style w:type="paragraph" w:styleId="FootnoteText">
    <w:name w:val="footnote text"/>
    <w:basedOn w:val="Normal"/>
    <w:link w:val="FootnoteTextChar"/>
    <w:uiPriority w:val="99"/>
    <w:semiHidden/>
    <w:unhideWhenUsed/>
    <w:rsid w:val="00BC3107"/>
    <w:rPr>
      <w:sz w:val="20"/>
      <w:szCs w:val="20"/>
    </w:rPr>
  </w:style>
  <w:style w:type="character" w:customStyle="1" w:styleId="FootnoteTextChar">
    <w:name w:val="Footnote Text Char"/>
    <w:basedOn w:val="DefaultParagraphFont"/>
    <w:link w:val="FootnoteText"/>
    <w:uiPriority w:val="99"/>
    <w:semiHidden/>
    <w:rsid w:val="00BC3107"/>
    <w:rPr>
      <w:sz w:val="20"/>
      <w:szCs w:val="20"/>
    </w:rPr>
  </w:style>
  <w:style w:type="character" w:styleId="FootnoteReference">
    <w:name w:val="footnote reference"/>
    <w:basedOn w:val="DefaultParagraphFont"/>
    <w:uiPriority w:val="99"/>
    <w:semiHidden/>
    <w:unhideWhenUsed/>
    <w:rsid w:val="00BC3107"/>
    <w:rPr>
      <w:vertAlign w:val="superscript"/>
    </w:rPr>
  </w:style>
  <w:style w:type="table" w:customStyle="1" w:styleId="aa">
    <w:name w:val="aa"/>
    <w:basedOn w:val="TableNormal"/>
    <w:rsid w:val="00BC3107"/>
    <w:tblPr>
      <w:tblStyleRowBandSize w:val="1"/>
      <w:tblStyleColBandSize w:val="1"/>
      <w:tblCellMar>
        <w:top w:w="100" w:type="dxa"/>
        <w:left w:w="115" w:type="dxa"/>
        <w:bottom w:w="100" w:type="dxa"/>
        <w:right w:w="115" w:type="dxa"/>
      </w:tblCellMar>
    </w:tblPr>
  </w:style>
  <w:style w:type="table" w:customStyle="1" w:styleId="ab">
    <w:name w:val="ab"/>
    <w:basedOn w:val="TableNormal"/>
    <w:rsid w:val="00BC3107"/>
    <w:tblPr>
      <w:tblStyleRowBandSize w:val="1"/>
      <w:tblStyleColBandSize w:val="1"/>
      <w:tblCellMar>
        <w:top w:w="100" w:type="dxa"/>
        <w:left w:w="115" w:type="dxa"/>
        <w:bottom w:w="100" w:type="dxa"/>
        <w:right w:w="115" w:type="dxa"/>
      </w:tblCellMar>
    </w:tblPr>
  </w:style>
  <w:style w:type="table" w:customStyle="1" w:styleId="ac">
    <w:name w:val="ac"/>
    <w:basedOn w:val="TableNormal"/>
    <w:rsid w:val="00BC3107"/>
    <w:tblPr>
      <w:tblStyleRowBandSize w:val="1"/>
      <w:tblStyleColBandSize w:val="1"/>
      <w:tblCellMar>
        <w:top w:w="100" w:type="dxa"/>
        <w:left w:w="115" w:type="dxa"/>
        <w:bottom w:w="100" w:type="dxa"/>
        <w:right w:w="115" w:type="dxa"/>
      </w:tblCellMar>
    </w:tblPr>
  </w:style>
  <w:style w:type="table" w:customStyle="1" w:styleId="ad">
    <w:name w:val="ad"/>
    <w:basedOn w:val="TableNormal"/>
    <w:rsid w:val="00BC3107"/>
    <w:tblPr>
      <w:tblStyleRowBandSize w:val="1"/>
      <w:tblStyleColBandSize w:val="1"/>
      <w:tblCellMar>
        <w:top w:w="100" w:type="dxa"/>
        <w:left w:w="115" w:type="dxa"/>
        <w:bottom w:w="100" w:type="dxa"/>
        <w:right w:w="115" w:type="dxa"/>
      </w:tblCellMar>
    </w:tblPr>
  </w:style>
  <w:style w:type="table" w:customStyle="1" w:styleId="ae">
    <w:name w:val="ae"/>
    <w:basedOn w:val="TableNormal"/>
    <w:rsid w:val="00BC3107"/>
    <w:tblPr>
      <w:tblStyleRowBandSize w:val="1"/>
      <w:tblStyleColBandSize w:val="1"/>
      <w:tblCellMar>
        <w:top w:w="100" w:type="dxa"/>
        <w:left w:w="115" w:type="dxa"/>
        <w:bottom w:w="100" w:type="dxa"/>
        <w:right w:w="115" w:type="dxa"/>
      </w:tblCellMar>
    </w:tblPr>
  </w:style>
  <w:style w:type="table" w:customStyle="1" w:styleId="af">
    <w:name w:val="af"/>
    <w:basedOn w:val="TableNormal"/>
    <w:rsid w:val="00BC3107"/>
    <w:tblPr>
      <w:tblStyleRowBandSize w:val="1"/>
      <w:tblStyleColBandSize w:val="1"/>
      <w:tblCellMar>
        <w:top w:w="100" w:type="dxa"/>
        <w:left w:w="115" w:type="dxa"/>
        <w:bottom w:w="100" w:type="dxa"/>
        <w:right w:w="115" w:type="dxa"/>
      </w:tblCellMar>
    </w:tblPr>
  </w:style>
  <w:style w:type="paragraph" w:styleId="NormalWeb">
    <w:name w:val="Normal (Web)"/>
    <w:basedOn w:val="Normal"/>
    <w:uiPriority w:val="99"/>
    <w:semiHidden/>
    <w:unhideWhenUsed/>
    <w:rsid w:val="004746AA"/>
    <w:pPr>
      <w:widowControl/>
      <w:spacing w:before="100" w:beforeAutospacing="1" w:after="100" w:afterAutospacing="1"/>
    </w:pPr>
  </w:style>
  <w:style w:type="paragraph" w:styleId="Revision">
    <w:name w:val="Revision"/>
    <w:hidden/>
    <w:uiPriority w:val="99"/>
    <w:semiHidden/>
    <w:rsid w:val="00F909EF"/>
    <w:pPr>
      <w:widowControl/>
    </w:pPr>
  </w:style>
  <w:style w:type="character" w:styleId="UnresolvedMention">
    <w:name w:val="Unresolved Mention"/>
    <w:basedOn w:val="DefaultParagraphFont"/>
    <w:uiPriority w:val="99"/>
    <w:semiHidden/>
    <w:unhideWhenUsed/>
    <w:rsid w:val="00BC7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50/chapter-VI/part-679/subpart-A/section-679.7" TargetMode="External" /><Relationship Id="rId11" Type="http://schemas.openxmlformats.org/officeDocument/2006/relationships/hyperlink" Target="https://www.fisheries.noaa.gov/alaska/sustainable-fisheries/license-limitation-program-alaska" TargetMode="External" /><Relationship Id="rId12" Type="http://schemas.openxmlformats.org/officeDocument/2006/relationships/hyperlink" Target="https://www.govinfo.gov/content/pkg/FR-1998-10-01/pdf/98-26186.pdf" TargetMode="External" /><Relationship Id="rId13" Type="http://schemas.openxmlformats.org/officeDocument/2006/relationships/hyperlink" Target="https://www.govinfo.gov/content/pkg/FR-1999-09-10/pdf/99-23487.pdf" TargetMode="External" /><Relationship Id="rId14" Type="http://schemas.openxmlformats.org/officeDocument/2006/relationships/hyperlink" Target="https://www.federalregister.gov/documents/2000/12/14/00-31649/fisheries-of-the-exclusive-economic-zone-off-alaska-license-limitation-program-for-the-scallop" TargetMode="External" /><Relationship Id="rId15" Type="http://schemas.openxmlformats.org/officeDocument/2006/relationships/hyperlink" Target="https://www.fisheries.noaa.gov/permit/alaska-scallop-license-limitation-program-application-forms" TargetMode="External" /><Relationship Id="rId16" Type="http://schemas.openxmlformats.org/officeDocument/2006/relationships/hyperlink" Target="https://www.fisheries.noaa.gov/permit/alaska-license-limitation-program-applications-groundfish-and-crab" TargetMode="External" /><Relationship Id="rId17" Type="http://schemas.openxmlformats.org/officeDocument/2006/relationships/hyperlink" Target="https://www.federalregister.gov/documents/2021/12/13/2021-26831/fisheries-of-the-exclusive-economic-zone-off-alaska-removal-of-goa-sablefish-ifq-pot-gear-tags-and" TargetMode="External" /><Relationship Id="rId18" Type="http://schemas.openxmlformats.org/officeDocument/2006/relationships/hyperlink" Target="https://www.federalregister.gov/documents/2025/12/30/2025-23994/agency-information-collection-activities-submission-to-the-office-of-management-and-budget-omb-for" TargetMode="External" /><Relationship Id="rId19" Type="http://schemas.openxmlformats.org/officeDocument/2006/relationships/hyperlink" Target="https://www.noaa.gov/organization/administration/nao-216-100-protection-of-confidential-fisheries-statistics" TargetMode="External" /><Relationship Id="rId2" Type="http://schemas.openxmlformats.org/officeDocument/2006/relationships/settings" Target="settings.xml" /><Relationship Id="rId20" Type="http://schemas.openxmlformats.org/officeDocument/2006/relationships/hyperlink" Target="https://www.commerce.gov/node/4991" TargetMode="External" /><Relationship Id="rId21" Type="http://schemas.openxmlformats.org/officeDocument/2006/relationships/footer" Target="footer1.xml" /><Relationship Id="rId22" Type="http://schemas.openxmlformats.org/officeDocument/2006/relationships/hyperlink" Target="https://www.bls.gov/oes/current/oes_ak.htm" TargetMode="External" /><Relationship Id="rId23" Type="http://schemas.openxmlformats.org/officeDocument/2006/relationships/hyperlink" Target="https://www.commerce.gov/hr/practitioners/caps/pay-administration" TargetMode="External" /><Relationship Id="rId24" Type="http://schemas.openxmlformats.org/officeDocument/2006/relationships/hyperlink" Target="https://www.fisheries.noaa.gov/alaska/commercial-fishing/permits-and-licenses-issued-alaska" TargetMode="External" /><Relationship Id="rId25" Type="http://schemas.openxmlformats.org/officeDocument/2006/relationships/hyperlink" Target="https://www.fisheries.noaa.gov/national/rules-and-regulations/appeals" TargetMode="External" /><Relationship Id="rId26" Type="http://schemas.openxmlformats.org/officeDocument/2006/relationships/hyperlink" Target="http://www.gpo.gov/fdsys/pkg/CFR-2014-title5-vol3/pdf/CFR-2014-title5-vol3-sec1320-9.pdf" TargetMode="External" /><Relationship Id="rId27" Type="http://schemas.openxmlformats.org/officeDocument/2006/relationships/hyperlink" Target="http://www.gpo.gov/fdsys/pkg/CFR-2014-title5-vol3/pdf/CFR-2014-title5-vol3-sec1320-8.pdf" TargetMode="Externa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webSettings" Target="webSettings.xml" /><Relationship Id="rId30"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www.fisheries.noaa.gov/resource/document/magnuson-stevens-fishery-conservation-and-management-act" TargetMode="External" /><Relationship Id="rId8" Type="http://schemas.openxmlformats.org/officeDocument/2006/relationships/hyperlink" Target="https://www.ecfr.gov/current/title-50/chapter-VI/part-679/subpart-A/section-679.2" TargetMode="External" /><Relationship Id="rId9" Type="http://schemas.openxmlformats.org/officeDocument/2006/relationships/hyperlink" Target="https://www.ecfr.gov/current/title-50/chapter-VI/part-679/subpart-A/section-679.4"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isheries.noaa.gov/alaska/sustainable-fisheries/license-limitation-program-alaska" TargetMode="External" /><Relationship Id="rId2" Type="http://schemas.openxmlformats.org/officeDocument/2006/relationships/hyperlink" Target="https://www.fisheries.noaa.gov/permit/alaska-scallop-license-limitation-program-application-forms" TargetMode="External" /><Relationship Id="rId3" Type="http://schemas.openxmlformats.org/officeDocument/2006/relationships/hyperlink" Target="https://www.fisheries.noaa.gov/permit/alaska-license-limitation-program-applications-groundfish-and-crab" TargetMode="External" /><Relationship Id="rId4" Type="http://schemas.openxmlformats.org/officeDocument/2006/relationships/hyperlink" Target="https://www.fisheries.noaa.gov/alaska/commercial-fishing/permits-and-licenses-issued-alaska%23license-limitation-program-(llp)" TargetMode="External" /><Relationship Id="rId5" Type="http://schemas.openxmlformats.org/officeDocument/2006/relationships/hyperlink" Target="https://www.fisheries.noaa.gov/national/rules-and-regulations/appea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X+Rgwo6KWsEiVmTPx4tTOz3gw==">CgMxLjAyCGguZ2pkZ3hzOAByITF2d0x5V2xXM0pkNTI3MGcxN0tHcGVUQzVyZlZhMjZnZw==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A48677-0CCE-400D-B40B-1A34B0F07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4639</Words>
  <Characters>26444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4</cp:revision>
  <dcterms:created xsi:type="dcterms:W3CDTF">2026-07-05T16:37:00Z</dcterms:created>
  <dcterms:modified xsi:type="dcterms:W3CDTF">2026-07-05T17:02:00Z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