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426C" w:rsidRPr="00B701E8" w:rsidP="0004426C" w14:paraId="07C4D4D5" w14:textId="77777777">
      <w:pPr>
        <w:spacing w:line="240" w:lineRule="auto"/>
        <w:jc w:val="center"/>
        <w:rPr>
          <w:b/>
        </w:rPr>
      </w:pPr>
      <w:r w:rsidRPr="00B701E8">
        <w:rPr>
          <w:b/>
        </w:rPr>
        <w:t>SUPPORTING STATEMENT</w:t>
      </w:r>
    </w:p>
    <w:p w:rsidR="0004426C" w:rsidRPr="00B701E8" w:rsidP="0004426C" w14:paraId="25259C90" w14:textId="77777777">
      <w:pPr>
        <w:spacing w:line="240" w:lineRule="auto"/>
        <w:jc w:val="center"/>
        <w:rPr>
          <w:b/>
        </w:rPr>
      </w:pPr>
      <w:r w:rsidRPr="00B701E8">
        <w:rPr>
          <w:b/>
        </w:rPr>
        <w:t>U.S. Department of Commerce</w:t>
      </w:r>
    </w:p>
    <w:p w:rsidR="0004426C" w:rsidRPr="00B701E8" w:rsidP="0004426C" w14:paraId="2EF40818" w14:textId="77777777">
      <w:pPr>
        <w:spacing w:line="240" w:lineRule="auto"/>
        <w:jc w:val="center"/>
        <w:rPr>
          <w:b/>
        </w:rPr>
      </w:pPr>
      <w:r w:rsidRPr="00B701E8">
        <w:rPr>
          <w:b/>
        </w:rPr>
        <w:t>National Oceanic &amp; Atmospheric Administration</w:t>
      </w:r>
    </w:p>
    <w:p w:rsidR="00E87E64" w:rsidP="00093E43" w14:paraId="306FEB14" w14:textId="77777777">
      <w:pPr>
        <w:pStyle w:val="Default"/>
        <w:jc w:val="center"/>
        <w:rPr>
          <w:b/>
        </w:rPr>
      </w:pPr>
      <w:r>
        <w:rPr>
          <w:b/>
          <w:bCs/>
        </w:rPr>
        <w:t>Marine Recreational Information Program (MRIP) Fishing Effort Survey</w:t>
      </w:r>
      <w:r w:rsidRPr="00B701E8">
        <w:rPr>
          <w:b/>
        </w:rPr>
        <w:t xml:space="preserve"> </w:t>
      </w:r>
    </w:p>
    <w:p w:rsidR="00EE4FD8" w:rsidP="00093E43" w14:paraId="1EA90BAB" w14:textId="46C937D6">
      <w:pPr>
        <w:pStyle w:val="Default"/>
        <w:jc w:val="center"/>
        <w:rPr>
          <w:color w:val="auto"/>
        </w:rPr>
      </w:pPr>
      <w:r w:rsidRPr="00B701E8">
        <w:rPr>
          <w:b/>
        </w:rPr>
        <w:t>OMB Control No. 0648-</w:t>
      </w:r>
      <w:r>
        <w:rPr>
          <w:b/>
        </w:rPr>
        <w:t>0652</w:t>
      </w:r>
    </w:p>
    <w:p w:rsidR="006850F5" w:rsidP="006850F5" w14:paraId="56316C5F" w14:textId="77777777">
      <w:pPr>
        <w:pStyle w:val="Default"/>
        <w:jc w:val="center"/>
        <w:rPr>
          <w:color w:val="auto"/>
        </w:rPr>
      </w:pPr>
    </w:p>
    <w:p w:rsidR="00AE7657" w:rsidRPr="00AE7657" w:rsidP="001F1D64" w14:paraId="6B5BB05A" w14:textId="0A20C3D8">
      <w:pPr>
        <w:pStyle w:val="Default"/>
        <w:rPr>
          <w:b/>
          <w:bCs/>
        </w:rPr>
      </w:pPr>
      <w:r w:rsidRPr="00AE7657">
        <w:rPr>
          <w:b/>
          <w:bCs/>
        </w:rPr>
        <w:t>Abstract</w:t>
      </w:r>
    </w:p>
    <w:p w:rsidR="00AE7657" w:rsidP="001F1D64" w14:paraId="29AE58B8" w14:textId="77777777">
      <w:pPr>
        <w:pStyle w:val="Default"/>
      </w:pPr>
    </w:p>
    <w:p w:rsidR="00BD450D" w:rsidP="001F1D64" w14:paraId="3C522657" w14:textId="2960637B">
      <w:pPr>
        <w:pStyle w:val="Default"/>
      </w:pPr>
      <w:r>
        <w:t xml:space="preserve">This request is for </w:t>
      </w:r>
      <w:r w:rsidR="003924E8">
        <w:t xml:space="preserve">a </w:t>
      </w:r>
      <w:r w:rsidR="009A13D0">
        <w:t>revision</w:t>
      </w:r>
      <w:r>
        <w:t xml:space="preserve"> and extension</w:t>
      </w:r>
      <w:r w:rsidR="009A13D0">
        <w:t xml:space="preserve"> of a currently approved</w:t>
      </w:r>
      <w:r w:rsidR="00E97A05">
        <w:t xml:space="preserve"> </w:t>
      </w:r>
      <w:r w:rsidR="005F2AC8">
        <w:t>information</w:t>
      </w:r>
      <w:r w:rsidR="009A13D0">
        <w:t xml:space="preserve"> collection</w:t>
      </w:r>
      <w:r w:rsidR="006225DE">
        <w:t>,</w:t>
      </w:r>
      <w:r w:rsidRPr="006225DE" w:rsidR="006225DE">
        <w:t xml:space="preserve"> to </w:t>
      </w:r>
      <w:r w:rsidR="00E97A05">
        <w:t>conduct</w:t>
      </w:r>
      <w:r w:rsidRPr="006225DE" w:rsidR="006225DE">
        <w:t xml:space="preserve"> the </w:t>
      </w:r>
      <w:r w:rsidR="0066689C">
        <w:t>Fishing Effort Survey (</w:t>
      </w:r>
      <w:r w:rsidR="006225DE">
        <w:t>FES)</w:t>
      </w:r>
      <w:r w:rsidRPr="006225DE" w:rsidR="006225DE">
        <w:t xml:space="preserve"> </w:t>
      </w:r>
      <w:r w:rsidR="00383C67">
        <w:t>in Hawaii</w:t>
      </w:r>
      <w:r w:rsidRPr="006225DE" w:rsidR="006225DE">
        <w:t xml:space="preserve"> and </w:t>
      </w:r>
      <w:r w:rsidR="00383C67">
        <w:t xml:space="preserve">the </w:t>
      </w:r>
      <w:r w:rsidRPr="006225DE" w:rsidR="006225DE">
        <w:t>states along the Atlantic</w:t>
      </w:r>
      <w:r w:rsidR="00CA4C00">
        <w:t xml:space="preserve"> </w:t>
      </w:r>
      <w:r w:rsidR="00002B14">
        <w:t>coast</w:t>
      </w:r>
      <w:r w:rsidR="00F35039">
        <w:t>.</w:t>
      </w:r>
      <w:r w:rsidR="007C15F9">
        <w:t xml:space="preserve">  </w:t>
      </w:r>
      <w:r w:rsidRPr="00F703DA" w:rsidR="007C15F9">
        <w:t xml:space="preserve">The </w:t>
      </w:r>
      <w:r w:rsidRPr="00F703DA" w:rsidR="006270E0">
        <w:t>request</w:t>
      </w:r>
      <w:r w:rsidRPr="00F703DA" w:rsidR="005E2138">
        <w:t xml:space="preserve"> </w:t>
      </w:r>
      <w:r w:rsidRPr="00F703DA" w:rsidR="006270E0">
        <w:t>includes</w:t>
      </w:r>
      <w:r w:rsidRPr="00F703DA" w:rsidR="007C15F9">
        <w:t xml:space="preserve"> </w:t>
      </w:r>
      <w:r w:rsidR="001C3B78">
        <w:t xml:space="preserve">revisions </w:t>
      </w:r>
      <w:r w:rsidR="002018A8">
        <w:t xml:space="preserve">to conduct the FES </w:t>
      </w:r>
      <w:r w:rsidR="001C4BB8">
        <w:t>monthly rather than bi-monthly</w:t>
      </w:r>
      <w:r w:rsidR="002018A8">
        <w:t xml:space="preserve">, as well as test a </w:t>
      </w:r>
      <w:r w:rsidR="00002B14">
        <w:t xml:space="preserve">sequential web-push survey design </w:t>
      </w:r>
      <w:r w:rsidR="002018A8">
        <w:t xml:space="preserve">to evaluate </w:t>
      </w:r>
      <w:r w:rsidR="00002B14">
        <w:t>data quality, timeliness of survey response</w:t>
      </w:r>
      <w:r w:rsidR="003924E8">
        <w:t>s</w:t>
      </w:r>
      <w:r w:rsidR="00002B14">
        <w:t xml:space="preserve"> and survey costs</w:t>
      </w:r>
      <w:r w:rsidR="00E87E64">
        <w:t>.</w:t>
      </w:r>
      <w:r w:rsidR="007C15F9">
        <w:t xml:space="preserve"> </w:t>
      </w:r>
      <w:r w:rsidR="00807B4F">
        <w:t xml:space="preserve"> </w:t>
      </w:r>
      <w:bookmarkStart w:id="0" w:name="_Hlk234248350"/>
      <w:r w:rsidR="00807B4F">
        <w:t>The One-Month Wave Study is being removed from this collection since the study has been completed.</w:t>
      </w:r>
      <w:bookmarkEnd w:id="0"/>
    </w:p>
    <w:p w:rsidR="00AE7657" w:rsidP="001F1D64" w14:paraId="31A51326" w14:textId="77777777">
      <w:pPr>
        <w:pStyle w:val="Default"/>
      </w:pPr>
    </w:p>
    <w:p w:rsidR="001C4BB8" w:rsidRPr="000609B8" w:rsidP="001C4BB8" w14:paraId="136A9529" w14:textId="77777777">
      <w:pPr>
        <w:spacing w:line="240" w:lineRule="auto"/>
      </w:pPr>
      <w:r w:rsidRPr="000609B8">
        <w:t>Marine recreational anglers are surveyed to collect catch and effort data, fish biology data, and angler socioeconomic characteristics.  These data are required to carry out provisions of the Magnuson-Stevens Fishery Conservation and Management Act (16 U.S.C. 1801 et seq.), as amended, regarding conservation and management of fishery resources.</w:t>
      </w:r>
    </w:p>
    <w:p w:rsidR="001C4BB8" w:rsidP="001C4BB8" w14:paraId="52908B5D" w14:textId="77777777">
      <w:pPr>
        <w:spacing w:line="240" w:lineRule="auto"/>
      </w:pPr>
    </w:p>
    <w:p w:rsidR="001C4BB8" w:rsidP="001C4BB8" w14:paraId="7AE91192" w14:textId="4572721D">
      <w:pPr>
        <w:spacing w:line="240" w:lineRule="auto"/>
      </w:pPr>
      <w:r w:rsidRPr="000609B8">
        <w:t xml:space="preserve">Marine recreational fishing catch and effort data are collected through a combination of mail surveys, telephone surveys and on-site intercept surveys with recreational anglers.  </w:t>
      </w:r>
      <w:r>
        <w:t>The Fishing Effort Survey (FES) is conducted by the NOAA Fisheries, Office of Science and Technology (OST).  The FES is a self-administered, household mail survey that samples from a residential address frame to collect data on the number of recreational anglers and the number of recreational fishing trips.  The survey estimates marine recreational fishing activity for all coastal states from Maine through Florida, as well as Hawaii.</w:t>
      </w:r>
    </w:p>
    <w:p w:rsidR="001C4BB8" w:rsidP="001F1D64" w14:paraId="5860C4CB" w14:textId="77777777">
      <w:pPr>
        <w:pStyle w:val="Default"/>
      </w:pPr>
    </w:p>
    <w:p w:rsidR="00AE7657" w:rsidP="00AE7657" w14:paraId="6AF76F5D" w14:textId="51F05FF1">
      <w:pPr>
        <w:pStyle w:val="CM23"/>
        <w:spacing w:after="0"/>
        <w:rPr>
          <w:b/>
          <w:bCs/>
        </w:rPr>
      </w:pPr>
      <w:r>
        <w:rPr>
          <w:b/>
          <w:bCs/>
        </w:rPr>
        <w:t>Justification</w:t>
      </w:r>
    </w:p>
    <w:p w:rsidR="00BD450D" w:rsidP="001F1D64" w14:paraId="3695B38B" w14:textId="77777777">
      <w:pPr>
        <w:pStyle w:val="CM23"/>
        <w:spacing w:after="0"/>
        <w:rPr>
          <w:b/>
          <w:bCs/>
        </w:rPr>
      </w:pPr>
    </w:p>
    <w:p w:rsidR="00BD450D" w:rsidP="001F1D64" w14:paraId="2815B077" w14:textId="0EE25572">
      <w:pPr>
        <w:pStyle w:val="CM23"/>
        <w:spacing w:after="0"/>
      </w:pPr>
      <w:r>
        <w:rPr>
          <w:b/>
          <w:bCs/>
        </w:rPr>
        <w:t xml:space="preserve">1. </w:t>
      </w:r>
      <w:r w:rsidRPr="001C4BB8" w:rsidR="001C4BB8">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450D" w:rsidP="001F1D64" w14:paraId="631F9E52" w14:textId="77777777">
      <w:pPr>
        <w:spacing w:line="240" w:lineRule="auto"/>
      </w:pPr>
    </w:p>
    <w:p w:rsidR="00BD450D" w:rsidP="001F1D64" w14:paraId="4F098881" w14:textId="65AE646B">
      <w:pPr>
        <w:spacing w:line="240" w:lineRule="auto"/>
      </w:pPr>
      <w:r>
        <w:t xml:space="preserve">Collection of recreational fisheries catch and effort data </w:t>
      </w:r>
      <w:r w:rsidR="00B82FC9">
        <w:t>fulfills</w:t>
      </w:r>
      <w:r>
        <w:t xml:space="preserve"> statutory requirements of Section 303 of the </w:t>
      </w:r>
      <w:hyperlink r:id="rId6" w:history="1">
        <w:r w:rsidRPr="00942F84">
          <w:rPr>
            <w:rStyle w:val="Hyperlink"/>
          </w:rPr>
          <w:t>Magnuson-Stevens Fishery Conservati</w:t>
        </w:r>
        <w:r w:rsidRPr="00942F84">
          <w:rPr>
            <w:rStyle w:val="Hyperlink"/>
          </w:rPr>
          <w:t>o</w:t>
        </w:r>
        <w:r w:rsidRPr="00942F84">
          <w:rPr>
            <w:rStyle w:val="Hyperlink"/>
          </w:rPr>
          <w:t>n and Management Act</w:t>
        </w:r>
      </w:hyperlink>
      <w:r>
        <w:rPr>
          <w:rStyle w:val="FootnoteReference"/>
          <w:color w:val="0000FF" w:themeColor="hyperlink"/>
          <w:u w:val="single"/>
        </w:rPr>
        <w:footnoteReference w:id="2"/>
      </w:r>
      <w:r>
        <w:t xml:space="preserve"> (16 U.S.C. 1852 </w:t>
      </w:r>
      <w:r>
        <w:rPr>
          <w:u w:val="single"/>
        </w:rPr>
        <w:t>et</w:t>
      </w:r>
      <w:r>
        <w:t xml:space="preserve">. </w:t>
      </w:r>
      <w:r>
        <w:rPr>
          <w:u w:val="single"/>
        </w:rPr>
        <w:t>seq</w:t>
      </w:r>
      <w:r>
        <w:t xml:space="preserve">.) and to comply with </w:t>
      </w:r>
      <w:hyperlink r:id="rId7" w:history="1">
        <w:r w:rsidRPr="00942F84">
          <w:rPr>
            <w:rStyle w:val="Hyperlink"/>
          </w:rPr>
          <w:t xml:space="preserve">Executive </w:t>
        </w:r>
        <w:r w:rsidRPr="00942F84">
          <w:rPr>
            <w:rStyle w:val="Hyperlink"/>
          </w:rPr>
          <w:t>O</w:t>
        </w:r>
        <w:r w:rsidRPr="00942F84">
          <w:rPr>
            <w:rStyle w:val="Hyperlink"/>
          </w:rPr>
          <w:t>rder 12962</w:t>
        </w:r>
      </w:hyperlink>
      <w:r>
        <w:rPr>
          <w:rStyle w:val="FootnoteReference"/>
          <w:color w:val="0000FF" w:themeColor="hyperlink"/>
          <w:u w:val="single"/>
        </w:rPr>
        <w:footnoteReference w:id="3"/>
      </w:r>
      <w:r>
        <w:t xml:space="preserve"> on Recreational Fisheries. Section 303 (a) of the Magnuson-Stevens Act specifies data and analyses to be included in Fishery Management Plans (FMPs), as well as pertinent data that shall be submitted to the Secretary of Commerce under the plan.   </w:t>
      </w:r>
    </w:p>
    <w:p w:rsidR="00453A07" w:rsidP="001F1D64" w14:paraId="3BC6991A" w14:textId="77777777">
      <w:pPr>
        <w:spacing w:line="240" w:lineRule="auto"/>
      </w:pPr>
    </w:p>
    <w:p w:rsidR="000813B4" w:rsidP="00460E5B" w14:paraId="2DF72F44" w14:textId="00536EDE">
      <w:pPr>
        <w:spacing w:line="240" w:lineRule="auto"/>
      </w:pPr>
      <w:r>
        <w:t xml:space="preserve">The </w:t>
      </w:r>
      <w:r w:rsidR="00BC086C">
        <w:t>Fishing Effort Survey (FES) is</w:t>
      </w:r>
      <w:r>
        <w:t xml:space="preserve"> a </w:t>
      </w:r>
      <w:r w:rsidR="00460E5B">
        <w:t>cross-sectional, self-administered, household mail survey.</w:t>
      </w:r>
      <w:r w:rsidRPr="00460E5B" w:rsidR="00460E5B">
        <w:t xml:space="preserve"> </w:t>
      </w:r>
      <w:r w:rsidR="00460E5B">
        <w:t>The FES utilizes address-based samples (ABS) within coastal states to collect information about recent recreational saltwater fishing activity.  The sample frame is derived from the U</w:t>
      </w:r>
      <w:r w:rsidR="00D46A75">
        <w:t xml:space="preserve">nited </w:t>
      </w:r>
      <w:r w:rsidR="00460E5B">
        <w:t>S</w:t>
      </w:r>
      <w:r w:rsidR="00D46A75">
        <w:t xml:space="preserve">tates </w:t>
      </w:r>
      <w:r w:rsidR="00460E5B">
        <w:t>P</w:t>
      </w:r>
      <w:r w:rsidR="00D46A75">
        <w:t xml:space="preserve">ostal Service </w:t>
      </w:r>
      <w:r w:rsidR="00460E5B">
        <w:t>Computerized Delivery Sequence File (CDS).  Because recreational saltwater fishing is a relatively rare activity, the ABS frame is supplemented by matching addresses on the CDS to lists of licensed saltwater anglers in each state.  Augmenting the ABS sample frame with fishing license information creates additional strata (license matched and unmatched) and allows households with and without licensed anglers to</w:t>
      </w:r>
      <w:r w:rsidR="00D46A75">
        <w:t xml:space="preserve"> be sampled at different rates.  This is an efficient and economical approach for collecting recreational fishing effort information.  </w:t>
      </w:r>
    </w:p>
    <w:p w:rsidR="000813B4" w:rsidP="00460E5B" w14:paraId="0205B19B" w14:textId="77777777">
      <w:pPr>
        <w:spacing w:line="240" w:lineRule="auto"/>
      </w:pPr>
    </w:p>
    <w:p w:rsidR="00946064" w:rsidP="001D37B1" w14:paraId="136CA070" w14:textId="7F1DB890">
      <w:pPr>
        <w:spacing w:line="240" w:lineRule="auto"/>
      </w:pPr>
      <w:r>
        <w:t>The FES has historically</w:t>
      </w:r>
      <w:r w:rsidR="000813B4">
        <w:t xml:space="preserve"> been administered bi-monthl</w:t>
      </w:r>
      <w:r>
        <w:t xml:space="preserve">y, </w:t>
      </w:r>
      <w:r w:rsidR="000813B4">
        <w:t>estimat</w:t>
      </w:r>
      <w:r>
        <w:t>ing</w:t>
      </w:r>
      <w:r w:rsidR="000813B4">
        <w:t xml:space="preserve"> fishing activity for two-month </w:t>
      </w:r>
      <w:r>
        <w:t xml:space="preserve">reference </w:t>
      </w:r>
      <w:r w:rsidR="000813B4">
        <w:t xml:space="preserve">waves.  </w:t>
      </w:r>
      <w:r w:rsidR="00910B96">
        <w:t xml:space="preserve">In 2024, NOAA Fisheries tested a revised </w:t>
      </w:r>
      <w:r>
        <w:t>survey</w:t>
      </w:r>
      <w:r w:rsidR="00910B96">
        <w:t xml:space="preserve"> design that included monthly sampling and estimation and a modified questionnaire.  The study </w:t>
      </w:r>
      <w:r>
        <w:t>concluded</w:t>
      </w:r>
      <w:r w:rsidR="00910B96">
        <w:t xml:space="preserve"> t</w:t>
      </w:r>
      <w:r>
        <w:t xml:space="preserve">hat the modified questionnaire reduces reporting error, and the revised design results in more timely and stable estimates </w:t>
      </w:r>
      <w:r w:rsidR="00C8668F">
        <w:t xml:space="preserve">of fishing activity </w:t>
      </w:r>
      <w:r>
        <w:t>(Andrews, 2025).</w:t>
      </w:r>
    </w:p>
    <w:p w:rsidR="00910B96" w:rsidP="001D37B1" w14:paraId="6050EA96" w14:textId="77777777">
      <w:pPr>
        <w:spacing w:line="240" w:lineRule="auto"/>
      </w:pPr>
    </w:p>
    <w:p w:rsidR="009C1CD0" w:rsidP="001F1D64" w14:paraId="36B0D39B" w14:textId="5BB81CBD">
      <w:pPr>
        <w:spacing w:line="240" w:lineRule="auto"/>
      </w:pPr>
      <w:r w:rsidRPr="00EB2B90">
        <w:rPr>
          <w:iCs/>
        </w:rPr>
        <w:t>This</w:t>
      </w:r>
      <w:r>
        <w:rPr>
          <w:i/>
        </w:rPr>
        <w:t xml:space="preserve"> </w:t>
      </w:r>
      <w:r w:rsidR="00453A07">
        <w:t xml:space="preserve">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w:t>
      </w:r>
      <w:r w:rsidR="00453A07">
        <w:t xml:space="preserve">further specifies that future surveys should, “target anglers registered or licensed at the State or Federal level to collect participation and effort </w:t>
      </w:r>
      <w:r w:rsidR="00212252">
        <w:t xml:space="preserve">data”.   </w:t>
      </w:r>
    </w:p>
    <w:p w:rsidR="002F6E08" w:rsidP="001F1D64" w14:paraId="6140F809" w14:textId="77777777">
      <w:pPr>
        <w:spacing w:line="240" w:lineRule="auto"/>
      </w:pPr>
    </w:p>
    <w:p w:rsidR="00BD450D" w:rsidRPr="009B21A5" w:rsidP="001F1D64" w14:paraId="38B2AF76" w14:textId="07ADC4DA">
      <w:pPr>
        <w:spacing w:line="240" w:lineRule="auto"/>
        <w:rPr>
          <w:b/>
        </w:rPr>
      </w:pPr>
      <w:r w:rsidRPr="009B21A5">
        <w:rPr>
          <w:b/>
        </w:rPr>
        <w:t xml:space="preserve">2. </w:t>
      </w:r>
      <w:r w:rsidRPr="00862489" w:rsidR="00862489">
        <w:rPr>
          <w:b/>
          <w:bCs/>
        </w:rPr>
        <w:t>Indicate how, by whom, and for what purpose the information is to be used. Except for a new collection, indicate the actual use the agency has made of the information received from the current collection.</w:t>
      </w:r>
    </w:p>
    <w:p w:rsidR="00BD450D" w:rsidRPr="008C5965" w:rsidP="00BD450D" w14:paraId="3A0206A7" w14:textId="77777777">
      <w:pPr>
        <w:pStyle w:val="Default"/>
      </w:pPr>
    </w:p>
    <w:p w:rsidR="00BD450D" w:rsidP="00862489" w14:paraId="7AC604C3" w14:textId="7D59F236">
      <w:pPr>
        <w:pStyle w:val="CM23"/>
        <w:spacing w:after="0"/>
      </w:pPr>
      <w:r>
        <w:t xml:space="preserve">The </w:t>
      </w:r>
      <w:r w:rsidR="00BF0CAA">
        <w:t>FES estimates marine recreational fishing effort</w:t>
      </w:r>
      <w:r w:rsidR="007D0B46">
        <w:t xml:space="preserve"> (i.e.</w:t>
      </w:r>
      <w:r w:rsidR="00862489">
        <w:t>,</w:t>
      </w:r>
      <w:r w:rsidR="007D0B46">
        <w:t xml:space="preserve"> number of fishing days)</w:t>
      </w:r>
      <w:r w:rsidR="00BF0CAA">
        <w:t xml:space="preserve"> for </w:t>
      </w:r>
      <w:r w:rsidR="00601B63">
        <w:t>monthly reference periods</w:t>
      </w:r>
      <w:r w:rsidR="00BF0CAA">
        <w:t xml:space="preserve">.  </w:t>
      </w:r>
      <w:r>
        <w:t xml:space="preserve">Recreational fishing catch and effort data are used on an ongoing basis by </w:t>
      </w:r>
      <w:r w:rsidR="00F01DA9">
        <w:t>NOAA Fisheries</w:t>
      </w:r>
      <w:r>
        <w:t xml:space="preserve">, regional fishery management councils, interstate marine fisheries commissions and state natural resource agencies </w:t>
      </w:r>
      <w:r w:rsidR="00986D16">
        <w:t>to develop</w:t>
      </w:r>
      <w:r>
        <w:t>, implement and monitor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catch and effort are required for the development of regional management policies and plans.</w:t>
      </w:r>
      <w:r w:rsidR="00BF0CAA">
        <w:t xml:space="preserve">  </w:t>
      </w:r>
    </w:p>
    <w:p w:rsidR="002462F5" w:rsidP="002462F5" w14:paraId="19B1B3B7" w14:textId="77777777">
      <w:pPr>
        <w:pStyle w:val="Default"/>
      </w:pPr>
    </w:p>
    <w:p w:rsidR="00EF3E40" w:rsidRPr="00EF3E40" w:rsidP="002462F5" w14:paraId="13CCE186" w14:textId="7E9B7D3B">
      <w:pPr>
        <w:pStyle w:val="Default"/>
        <w:rPr>
          <w:b/>
        </w:rPr>
      </w:pPr>
      <w:r>
        <w:rPr>
          <w:b/>
        </w:rPr>
        <w:t xml:space="preserve">FES </w:t>
      </w:r>
      <w:r w:rsidRPr="00EF3E40">
        <w:rPr>
          <w:b/>
        </w:rPr>
        <w:t xml:space="preserve">Weather and Outdoor Activity </w:t>
      </w:r>
      <w:r w:rsidRPr="00EF3E40">
        <w:rPr>
          <w:b/>
        </w:rPr>
        <w:t>Survey</w:t>
      </w:r>
      <w:r w:rsidR="00862489">
        <w:rPr>
          <w:b/>
        </w:rPr>
        <w:t xml:space="preserve">  </w:t>
      </w:r>
      <w:r w:rsidRPr="00862489" w:rsidR="00862489">
        <w:rPr>
          <w:b/>
          <w:color w:val="C00000"/>
        </w:rPr>
        <w:t>[</w:t>
      </w:r>
      <w:r w:rsidRPr="00862489" w:rsidR="00862489">
        <w:rPr>
          <w:b/>
          <w:color w:val="C00000"/>
        </w:rPr>
        <w:t>Revised]</w:t>
      </w:r>
    </w:p>
    <w:p w:rsidR="001C4BB8" w:rsidP="00BB57D1" w14:paraId="6A70378D" w14:textId="77777777">
      <w:pPr>
        <w:pStyle w:val="Default"/>
        <w:rPr>
          <w:i/>
        </w:rPr>
      </w:pPr>
      <w:r w:rsidRPr="001C4BB8">
        <w:rPr>
          <w:iCs/>
        </w:rPr>
        <w:t xml:space="preserve">This </w:t>
      </w:r>
      <w:r>
        <w:rPr>
          <w:iCs/>
        </w:rPr>
        <w:t xml:space="preserve">revision </w:t>
      </w:r>
      <w:r w:rsidRPr="001C4BB8">
        <w:rPr>
          <w:iCs/>
        </w:rPr>
        <w:t>request</w:t>
      </w:r>
      <w:r>
        <w:rPr>
          <w:iCs/>
        </w:rPr>
        <w:t>s</w:t>
      </w:r>
      <w:r w:rsidRPr="001C4BB8">
        <w:rPr>
          <w:iCs/>
        </w:rPr>
        <w:t xml:space="preserve"> </w:t>
      </w:r>
      <w:r>
        <w:rPr>
          <w:iCs/>
        </w:rPr>
        <w:t>approval to</w:t>
      </w:r>
      <w:r w:rsidRPr="001C4BB8">
        <w:rPr>
          <w:iCs/>
        </w:rPr>
        <w:t xml:space="preserve"> implement the monthly FES design in Hawaii and the states along the Atlantic coast.</w:t>
      </w:r>
      <w:r>
        <w:rPr>
          <w:i/>
        </w:rPr>
        <w:t xml:space="preserve">  </w:t>
      </w:r>
    </w:p>
    <w:p w:rsidR="001C4BB8" w:rsidP="00BB57D1" w14:paraId="7B223323" w14:textId="77777777">
      <w:pPr>
        <w:pStyle w:val="Default"/>
        <w:rPr>
          <w:i/>
        </w:rPr>
      </w:pPr>
    </w:p>
    <w:p w:rsidR="00BD450D" w:rsidP="00BB57D1" w14:paraId="35F47EDD" w14:textId="6E101C7F">
      <w:pPr>
        <w:pStyle w:val="Default"/>
      </w:pPr>
      <w:r>
        <w:t xml:space="preserve">The </w:t>
      </w:r>
      <w:r w:rsidR="00BB57D1">
        <w:t>FES utilize</w:t>
      </w:r>
      <w:r>
        <w:t>s</w:t>
      </w:r>
      <w:r w:rsidR="00BB57D1">
        <w:t xml:space="preserve"> the Weather and Outdoor Activity Survey instrument</w:t>
      </w:r>
      <w:r>
        <w:t xml:space="preserve">, </w:t>
      </w:r>
      <w:r w:rsidR="0051430E">
        <w:t xml:space="preserve">which was </w:t>
      </w:r>
      <w:r w:rsidR="00EB2B90">
        <w:t>thoroughly</w:t>
      </w:r>
      <w:r w:rsidR="0051430E">
        <w:t xml:space="preserve"> tested prior to survey implementation (Appendix 2).  A</w:t>
      </w:r>
      <w:r w:rsidR="00785291">
        <w:t>ll respondent contact materials</w:t>
      </w:r>
      <w:r w:rsidR="006A5EC8">
        <w:t xml:space="preserve"> </w:t>
      </w:r>
      <w:r w:rsidR="00785291">
        <w:t xml:space="preserve">are provided in Appendix 1.  </w:t>
      </w:r>
      <w:r>
        <w:t xml:space="preserve">Specific elements </w:t>
      </w:r>
      <w:r w:rsidR="007858B9">
        <w:t>collected</w:t>
      </w:r>
      <w:r>
        <w:t xml:space="preserve"> in </w:t>
      </w:r>
      <w:r w:rsidR="00A07C4F">
        <w:t>the</w:t>
      </w:r>
      <w:r>
        <w:t xml:space="preserve"> questionnaire include:</w:t>
      </w:r>
    </w:p>
    <w:p w:rsidR="00BD450D" w:rsidP="00BD450D" w14:paraId="7FB3AC10" w14:textId="77777777">
      <w:pPr>
        <w:pStyle w:val="Default"/>
      </w:pPr>
    </w:p>
    <w:p w:rsidR="004B002B" w:rsidP="00862489" w14:paraId="2ADCE277" w14:textId="79AD727B">
      <w:pPr>
        <w:pStyle w:val="Default"/>
        <w:numPr>
          <w:ilvl w:val="0"/>
          <w:numId w:val="9"/>
        </w:numPr>
        <w:spacing w:after="240"/>
      </w:pPr>
      <w:r>
        <w:t xml:space="preserve">Questions about </w:t>
      </w:r>
      <w:r w:rsidR="00CB0329">
        <w:t>sever</w:t>
      </w:r>
      <w:r w:rsidR="002F6E08">
        <w:t>e</w:t>
      </w:r>
      <w:r w:rsidR="00CB0329">
        <w:t xml:space="preserve"> </w:t>
      </w:r>
      <w:r>
        <w:t>weather</w:t>
      </w:r>
      <w:r w:rsidR="00CB0329">
        <w:t xml:space="preserve"> events, access to weather forecasts</w:t>
      </w:r>
      <w:r w:rsidR="007858B9">
        <w:t xml:space="preserve">, </w:t>
      </w:r>
      <w:r>
        <w:t>visitation to coastal areas</w:t>
      </w:r>
      <w:r w:rsidR="007858B9">
        <w:t xml:space="preserve"> and participation in freshwater fishing (questions 1-5, Appendix 1)</w:t>
      </w:r>
      <w:r>
        <w:t xml:space="preserve"> are </w:t>
      </w:r>
      <w:r w:rsidR="00CB0329">
        <w:t xml:space="preserve">included to engage </w:t>
      </w:r>
      <w:r w:rsidR="006A5EC8">
        <w:t xml:space="preserve">survey recipients </w:t>
      </w:r>
      <w:r w:rsidR="00CB0329">
        <w:t xml:space="preserve">and encourage response from </w:t>
      </w:r>
      <w:r w:rsidR="007858B9">
        <w:t xml:space="preserve">the household population, including both </w:t>
      </w:r>
      <w:r w:rsidR="00EE70BE">
        <w:t>fishing</w:t>
      </w:r>
      <w:r w:rsidR="007858B9">
        <w:t xml:space="preserve"> and non-</w:t>
      </w:r>
      <w:r w:rsidR="00EE70BE">
        <w:t>fishing</w:t>
      </w:r>
      <w:r w:rsidR="007858B9">
        <w:t xml:space="preserve"> households</w:t>
      </w:r>
      <w:r w:rsidR="00CB0329">
        <w:t xml:space="preserve">.  </w:t>
      </w:r>
      <w:r w:rsidR="007858B9">
        <w:t>Because t</w:t>
      </w:r>
      <w:r w:rsidR="00CB0329">
        <w:t xml:space="preserve">he FES is a household survey, </w:t>
      </w:r>
      <w:r w:rsidR="006A5EC8">
        <w:t xml:space="preserve">obtaining </w:t>
      </w:r>
      <w:r w:rsidR="00CB0329">
        <w:t>representative response</w:t>
      </w:r>
      <w:r w:rsidR="007858B9">
        <w:t>s</w:t>
      </w:r>
      <w:r w:rsidR="00CB0329">
        <w:t xml:space="preserve"> </w:t>
      </w:r>
      <w:r w:rsidR="007858B9">
        <w:t xml:space="preserve">from </w:t>
      </w:r>
      <w:r w:rsidR="00CB0329">
        <w:t xml:space="preserve">both </w:t>
      </w:r>
      <w:r w:rsidR="00BF1C77">
        <w:t>fishing</w:t>
      </w:r>
      <w:r w:rsidR="00CB0329">
        <w:t xml:space="preserve"> and non-</w:t>
      </w:r>
      <w:r w:rsidR="00BF1C77">
        <w:t xml:space="preserve">fishing </w:t>
      </w:r>
      <w:r w:rsidR="00CB0329">
        <w:t>households is essential for producing unbiased estimates</w:t>
      </w:r>
      <w:r w:rsidR="00BF1C77">
        <w:t xml:space="preserve">.  Questionnaire testing described in Appendix 2 demonstrated that </w:t>
      </w:r>
      <w:r w:rsidR="00EB2B90">
        <w:t>including these</w:t>
      </w:r>
      <w:r w:rsidR="00BF1C77">
        <w:t xml:space="preserve"> questions in the survey instrument resulted in higher response rates overall, as well as within the </w:t>
      </w:r>
      <w:r w:rsidR="001F30E9">
        <w:t xml:space="preserve">portion of the household </w:t>
      </w:r>
      <w:r w:rsidR="00BF1C77">
        <w:t>population that is less likely to participate in saltwater fishing.</w:t>
      </w:r>
      <w:r w:rsidR="00CB0329">
        <w:t xml:space="preserve"> </w:t>
      </w:r>
    </w:p>
    <w:p w:rsidR="00DB7A49" w:rsidP="00862489" w14:paraId="4136F2CC" w14:textId="77777777">
      <w:pPr>
        <w:pStyle w:val="Default"/>
        <w:numPr>
          <w:ilvl w:val="0"/>
          <w:numId w:val="9"/>
        </w:numPr>
        <w:spacing w:after="240"/>
      </w:pPr>
      <w:r>
        <w:t>Total number of household residents</w:t>
      </w:r>
      <w:r w:rsidR="00BD450D">
        <w:t>,</w:t>
      </w:r>
      <w:r w:rsidR="00CB0329">
        <w:t xml:space="preserve"> the t</w:t>
      </w:r>
      <w:r w:rsidR="00BD450D">
        <w:t>ype of househo</w:t>
      </w:r>
      <w:r w:rsidR="00CB0329">
        <w:t>ld telephone service, t</w:t>
      </w:r>
      <w:r w:rsidR="00BD450D">
        <w:t>he type of hous</w:t>
      </w:r>
      <w:r w:rsidR="00CB0329">
        <w:t>ehold unit (rented or owned), and d</w:t>
      </w:r>
      <w:r w:rsidR="00BD450D">
        <w:t>emographic information of house</w:t>
      </w:r>
      <w:r w:rsidR="007858B9">
        <w:t>hold residents, including sex</w:t>
      </w:r>
      <w:r w:rsidR="00BD450D">
        <w:t>, age</w:t>
      </w:r>
      <w:r w:rsidR="007858B9">
        <w:t>, race</w:t>
      </w:r>
      <w:r w:rsidR="00BD450D">
        <w:t xml:space="preserve"> and</w:t>
      </w:r>
      <w:r>
        <w:t>/or</w:t>
      </w:r>
      <w:r w:rsidR="00BD450D">
        <w:t xml:space="preserve"> ethnicity</w:t>
      </w:r>
      <w:r w:rsidR="007858B9">
        <w:t xml:space="preserve"> (questions 7-14, Appendix 1)</w:t>
      </w:r>
      <w:r w:rsidR="00CB0329">
        <w:t>,</w:t>
      </w:r>
      <w:r w:rsidR="002241C4">
        <w:t xml:space="preserve"> are</w:t>
      </w:r>
      <w:r w:rsidR="00BD450D">
        <w:t xml:space="preserve"> </w:t>
      </w:r>
      <w:r w:rsidR="0057177E">
        <w:t>used to</w:t>
      </w:r>
      <w:r w:rsidR="002241C4">
        <w:t xml:space="preserve"> </w:t>
      </w:r>
      <w:r w:rsidR="009C5922">
        <w:t xml:space="preserve">calculate </w:t>
      </w:r>
      <w:r w:rsidR="002241C4">
        <w:t xml:space="preserve">post-survey weighting adjustments to ensure that </w:t>
      </w:r>
      <w:r w:rsidR="009C5922">
        <w:t xml:space="preserve">weighted </w:t>
      </w:r>
      <w:r w:rsidR="002241C4">
        <w:t>samples are representative of the household population.</w:t>
      </w:r>
    </w:p>
    <w:p w:rsidR="00024F02" w:rsidP="00862489" w14:paraId="7FC2B15E" w14:textId="36F45FD4">
      <w:pPr>
        <w:pStyle w:val="Default"/>
        <w:spacing w:after="240"/>
        <w:ind w:left="810"/>
      </w:pPr>
      <w:r>
        <w:t xml:space="preserve">Research consistently demonstrates that survey response </w:t>
      </w:r>
      <w:r w:rsidR="00FF0AC2">
        <w:t xml:space="preserve">rates </w:t>
      </w:r>
      <w:r>
        <w:t>var</w:t>
      </w:r>
      <w:r w:rsidR="00FF0AC2">
        <w:t>y</w:t>
      </w:r>
      <w:r>
        <w:t xml:space="preserve"> significantly across demographic and socioeconomic groups (Fricker and Tourangeau 2010).  For example, younger individuals, residents of low-income households</w:t>
      </w:r>
      <w:r w:rsidR="00FF0AC2">
        <w:t>,</w:t>
      </w:r>
      <w:r>
        <w:t xml:space="preserve"> and non-white populations typically exhibit lower response propensities, </w:t>
      </w:r>
      <w:r w:rsidR="00FF0AC2">
        <w:t>resulting in frequent underrepresentation in survey samples</w:t>
      </w:r>
      <w:r w:rsidR="00727A16">
        <w:t>.</w:t>
      </w:r>
      <w:r w:rsidR="00FF0AC2">
        <w:t xml:space="preserve">  If these differential response propensities are not identified and corrected – typically through nonresponse weighting adjustments - survey results will suffer from nonresponse bias.  To address this, the FES includes demographic questions </w:t>
      </w:r>
      <w:r w:rsidR="00FF0AC2">
        <w:t xml:space="preserve">to identify potential nonresponse bias and adjust survey weights to mitigate the effects of bias.  </w:t>
      </w:r>
    </w:p>
    <w:p w:rsidR="00BD450D" w:rsidP="00BD450D" w14:paraId="1D928B85" w14:textId="286CA215">
      <w:pPr>
        <w:pStyle w:val="Default"/>
        <w:numPr>
          <w:ilvl w:val="0"/>
          <w:numId w:val="9"/>
        </w:numPr>
      </w:pPr>
      <w:r>
        <w:t>Questions about fishing activity in the pa</w:t>
      </w:r>
      <w:r w:rsidR="004B002B">
        <w:t>st 12 months</w:t>
      </w:r>
      <w:r>
        <w:t xml:space="preserve"> </w:t>
      </w:r>
      <w:r w:rsidR="004B002B">
        <w:t>and 2</w:t>
      </w:r>
      <w:r w:rsidR="004478B6">
        <w:t xml:space="preserve"> individual</w:t>
      </w:r>
      <w:r w:rsidR="004B002B">
        <w:t xml:space="preserve"> months </w:t>
      </w:r>
      <w:r w:rsidR="006701BC">
        <w:t>(questions 1</w:t>
      </w:r>
      <w:r w:rsidR="004939D7">
        <w:t>4-15</w:t>
      </w:r>
      <w:r w:rsidR="006701BC">
        <w:t xml:space="preserve">) </w:t>
      </w:r>
      <w:r>
        <w:t xml:space="preserve">are used to screen </w:t>
      </w:r>
      <w:r w:rsidR="004B002B">
        <w:t xml:space="preserve">for recent fishing activity, </w:t>
      </w:r>
      <w:r>
        <w:t>assist with recall,</w:t>
      </w:r>
      <w:r w:rsidR="004B002B">
        <w:t xml:space="preserve"> and estimate the number of private </w:t>
      </w:r>
      <w:r w:rsidR="00B1498D">
        <w:t>b</w:t>
      </w:r>
      <w:r w:rsidR="004B002B">
        <w:t xml:space="preserve">oat and shore </w:t>
      </w:r>
      <w:r w:rsidR="006701BC">
        <w:t xml:space="preserve">fishing </w:t>
      </w:r>
      <w:r w:rsidR="004B002B">
        <w:t xml:space="preserve">trips </w:t>
      </w:r>
      <w:r w:rsidR="006701BC">
        <w:t xml:space="preserve">taken </w:t>
      </w:r>
      <w:r w:rsidR="004B002B">
        <w:t xml:space="preserve">during </w:t>
      </w:r>
      <w:r w:rsidR="00B1498D">
        <w:t xml:space="preserve">the </w:t>
      </w:r>
      <w:r w:rsidR="006701BC">
        <w:t>reference period</w:t>
      </w:r>
      <w:r w:rsidR="00B1498D">
        <w:t>.</w:t>
      </w:r>
    </w:p>
    <w:p w:rsidR="00F450E2" w:rsidP="00F450E2" w14:paraId="1F544AC6" w14:textId="77777777">
      <w:pPr>
        <w:pStyle w:val="Default"/>
        <w:ind w:left="810"/>
      </w:pPr>
    </w:p>
    <w:p w:rsidR="00862489" w:rsidP="00F450E2" w14:paraId="6B301BDB" w14:textId="77777777">
      <w:pPr>
        <w:pStyle w:val="Default"/>
        <w:ind w:left="810"/>
      </w:pPr>
    </w:p>
    <w:p w:rsidR="00050B6B" w:rsidRPr="00F703DA" w:rsidP="00050B6B" w14:paraId="19FF1E79" w14:textId="0B33313D">
      <w:pPr>
        <w:pStyle w:val="Default"/>
        <w:rPr>
          <w:b/>
        </w:rPr>
      </w:pPr>
      <w:r w:rsidRPr="00F703DA">
        <w:rPr>
          <w:b/>
        </w:rPr>
        <w:t>FES 202</w:t>
      </w:r>
      <w:r w:rsidR="0006724F">
        <w:rPr>
          <w:b/>
        </w:rPr>
        <w:t>7</w:t>
      </w:r>
      <w:r w:rsidRPr="00F703DA">
        <w:rPr>
          <w:b/>
        </w:rPr>
        <w:t xml:space="preserve"> </w:t>
      </w:r>
      <w:r w:rsidRPr="00F703DA">
        <w:rPr>
          <w:b/>
        </w:rPr>
        <w:t>Experiment</w:t>
      </w:r>
      <w:r w:rsidR="00862489">
        <w:rPr>
          <w:b/>
        </w:rPr>
        <w:t xml:space="preserve">  </w:t>
      </w:r>
      <w:r w:rsidRPr="00862489" w:rsidR="00862489">
        <w:rPr>
          <w:b/>
          <w:color w:val="C00000"/>
        </w:rPr>
        <w:t>[</w:t>
      </w:r>
      <w:r w:rsidRPr="00862489" w:rsidR="00862489">
        <w:rPr>
          <w:b/>
          <w:color w:val="C00000"/>
        </w:rPr>
        <w:t>NEW]</w:t>
      </w:r>
    </w:p>
    <w:p w:rsidR="003D1795" w:rsidRPr="00F703DA" w:rsidP="00050B6B" w14:paraId="494BD861" w14:textId="27427394">
      <w:pPr>
        <w:pStyle w:val="Default"/>
        <w:rPr>
          <w:b/>
        </w:rPr>
      </w:pPr>
    </w:p>
    <w:p w:rsidR="003D1795" w:rsidP="00050B6B" w14:paraId="3B58AB50" w14:textId="1D1C690A">
      <w:pPr>
        <w:pStyle w:val="Default"/>
        <w:rPr>
          <w:b/>
          <w:i/>
        </w:rPr>
      </w:pPr>
      <w:r>
        <w:rPr>
          <w:b/>
          <w:i/>
        </w:rPr>
        <w:t>Web-Push</w:t>
      </w:r>
      <w:r w:rsidRPr="00F703DA" w:rsidR="00C70793">
        <w:rPr>
          <w:b/>
          <w:i/>
        </w:rPr>
        <w:t xml:space="preserve"> Study</w:t>
      </w:r>
    </w:p>
    <w:p w:rsidR="00A914D0" w:rsidP="00050B6B" w14:paraId="1C264A66" w14:textId="77777777">
      <w:pPr>
        <w:pStyle w:val="Default"/>
        <w:rPr>
          <w:b/>
          <w:i/>
        </w:rPr>
      </w:pPr>
    </w:p>
    <w:p w:rsidR="00783924" w:rsidP="00050B6B" w14:paraId="11B408B7" w14:textId="79DAF5EF">
      <w:pPr>
        <w:pStyle w:val="Default"/>
      </w:pPr>
      <w:r>
        <w:t>Online</w:t>
      </w:r>
      <w:r w:rsidR="00A914D0">
        <w:t xml:space="preserve"> data collection has the potential to significantly reduce data collection costs and </w:t>
      </w:r>
      <w:r>
        <w:t xml:space="preserve">increase the timeliness of data availability.  In addition, online survey questionnaires are extremely flexible with respect to skip patterns and can include real-time </w:t>
      </w:r>
      <w:r w:rsidR="00EE70BE">
        <w:t>data editing</w:t>
      </w:r>
      <w:r>
        <w:t>, such as logic and range ch</w:t>
      </w:r>
      <w:r w:rsidR="00EE70BE">
        <w:t>ecks</w:t>
      </w:r>
      <w:r>
        <w:t xml:space="preserve">, that improve the accuracy of survey responses.  </w:t>
      </w:r>
      <w:r w:rsidR="00A914D0">
        <w:t xml:space="preserve">NOAA Fisheries </w:t>
      </w:r>
      <w:r>
        <w:t xml:space="preserve">previously </w:t>
      </w:r>
      <w:r w:rsidR="00A914D0">
        <w:t>tested a</w:t>
      </w:r>
      <w:r w:rsidRPr="00B271F7" w:rsidR="00A914D0">
        <w:t xml:space="preserve"> “web push” design</w:t>
      </w:r>
      <w:r>
        <w:t xml:space="preserve"> in 2018-2019</w:t>
      </w:r>
      <w:r w:rsidRPr="00B271F7" w:rsidR="00A914D0">
        <w:t xml:space="preserve"> that encouraged </w:t>
      </w:r>
      <w:r>
        <w:t>a web response</w:t>
      </w:r>
      <w:r w:rsidRPr="00B271F7" w:rsidR="00A914D0">
        <w:t xml:space="preserve"> </w:t>
      </w:r>
      <w:r w:rsidR="00A914D0">
        <w:t xml:space="preserve">before providing a paper </w:t>
      </w:r>
      <w:r>
        <w:t>questionnaire</w:t>
      </w:r>
      <w:r w:rsidR="00C7166F">
        <w:t xml:space="preserve"> (Andrews, 201</w:t>
      </w:r>
      <w:r w:rsidR="00692A00">
        <w:t>8</w:t>
      </w:r>
      <w:r w:rsidR="00C7166F">
        <w:t>)</w:t>
      </w:r>
      <w:r w:rsidRPr="00B271F7" w:rsidR="00A914D0">
        <w:t xml:space="preserve">. </w:t>
      </w:r>
      <w:r w:rsidR="00C7166F">
        <w:t>In that study t</w:t>
      </w:r>
      <w:r w:rsidR="00A914D0">
        <w:t xml:space="preserve">he web-push design resulted in response rates 7-11 percentage points lower than </w:t>
      </w:r>
      <w:r w:rsidR="00C7166F">
        <w:t xml:space="preserve">the </w:t>
      </w:r>
      <w:r w:rsidR="00EE70BE">
        <w:t xml:space="preserve">traditional </w:t>
      </w:r>
      <w:r w:rsidR="00C7166F">
        <w:t>mail survey design</w:t>
      </w:r>
      <w:r w:rsidR="00A914D0">
        <w:t>.</w:t>
      </w:r>
      <w:r w:rsidR="00C7166F">
        <w:t xml:space="preserve">  </w:t>
      </w:r>
      <w:r w:rsidR="00EB2B90">
        <w:t>Despite lower response rates</w:t>
      </w:r>
      <w:r w:rsidR="00C7166F">
        <w:t xml:space="preserve">, the study demonstrated the potential cost-savings associated with web-push designs, as 70% of respondents utilized the online instrument, </w:t>
      </w:r>
      <w:r w:rsidR="00EE70BE">
        <w:t xml:space="preserve">requiring fewer survey mailings and </w:t>
      </w:r>
      <w:r w:rsidR="00C7166F">
        <w:t>resulting in an estimated cost savings of 15%.</w:t>
      </w:r>
      <w:r>
        <w:t xml:space="preserve">  </w:t>
      </w:r>
      <w:r w:rsidR="00C7166F">
        <w:t>More recent studies</w:t>
      </w:r>
      <w:r w:rsidR="003658C7">
        <w:t xml:space="preserve"> (Patrick et al. 2020, Heimel et al. 2024)</w:t>
      </w:r>
      <w:r w:rsidRPr="00C7166F" w:rsidR="00C7166F">
        <w:t xml:space="preserve"> </w:t>
      </w:r>
      <w:r w:rsidR="003658C7">
        <w:t>demonstrate</w:t>
      </w:r>
      <w:r w:rsidRPr="00C7166F" w:rsidR="00C7166F">
        <w:t xml:space="preserve"> that sequential </w:t>
      </w:r>
      <w:r w:rsidR="00C7166F">
        <w:t>web-push</w:t>
      </w:r>
      <w:r w:rsidRPr="00C7166F" w:rsidR="00C7166F">
        <w:t xml:space="preserve"> designs </w:t>
      </w:r>
      <w:r w:rsidR="003658C7">
        <w:t xml:space="preserve">have begun to outperform paper mail surveys with respect to response rates, resulting in additional gains in cost efficiency.  </w:t>
      </w:r>
    </w:p>
    <w:p w:rsidR="00783924" w:rsidP="00050B6B" w14:paraId="389AD168" w14:textId="77777777">
      <w:pPr>
        <w:pStyle w:val="Default"/>
      </w:pPr>
    </w:p>
    <w:p w:rsidR="00A914D0" w:rsidRPr="00A914D0" w:rsidP="00050B6B" w14:paraId="30C794AF" w14:textId="5B3915AA">
      <w:pPr>
        <w:pStyle w:val="Default"/>
        <w:rPr>
          <w:bCs/>
          <w:iCs/>
        </w:rPr>
      </w:pPr>
      <w:r>
        <w:t>We seek approval to complete a follow-up web-push study during the</w:t>
      </w:r>
      <w:r w:rsidR="00783924">
        <w:t xml:space="preserve"> 2027-2029 FES administration.  The study will be conducted in parallel to the FES in 3-4 states for 3 reference months with a total sample size of 25,000 addresses, resulting in an estimated 7,500 responses.  The study will utilize FES sampling and estimation procedures and the </w:t>
      </w:r>
      <w:r w:rsidR="00B40DDC">
        <w:t>survey materials</w:t>
      </w:r>
      <w:r w:rsidR="00783924">
        <w:t xml:space="preserve"> developed for the 2018-2019 </w:t>
      </w:r>
      <w:r w:rsidR="00052144">
        <w:t xml:space="preserve">web-push </w:t>
      </w:r>
      <w:r w:rsidR="00783924">
        <w:t xml:space="preserve">study (Appendix </w:t>
      </w:r>
      <w:r w:rsidR="00EB2B90">
        <w:t>3</w:t>
      </w:r>
      <w:r w:rsidR="00783924">
        <w:t xml:space="preserve">).  </w:t>
      </w:r>
      <w:r w:rsidR="005E2D75">
        <w:t xml:space="preserve">All collected data elements will be identical to the FES.  </w:t>
      </w:r>
      <w:r>
        <w:t xml:space="preserve"> </w:t>
      </w:r>
    </w:p>
    <w:p w:rsidR="000F3B48" w:rsidRPr="00F703DA" w:rsidP="00050B6B" w14:paraId="2D353519" w14:textId="1FF28497">
      <w:pPr>
        <w:pStyle w:val="Default"/>
        <w:rPr>
          <w:b/>
          <w:i/>
        </w:rPr>
      </w:pPr>
    </w:p>
    <w:p w:rsidR="00BD450D" w:rsidRPr="00093E43" w:rsidP="00BD450D" w14:paraId="7D0381A3" w14:textId="01253BD9">
      <w:pPr>
        <w:pStyle w:val="Default"/>
      </w:pPr>
    </w:p>
    <w:p w:rsidR="00BD450D" w:rsidP="006D30B7" w14:paraId="0A91330B" w14:textId="4FE6BD3D">
      <w:pPr>
        <w:pStyle w:val="CM23"/>
        <w:spacing w:after="0"/>
        <w:rPr>
          <w:b/>
          <w:bCs/>
        </w:rPr>
      </w:pPr>
      <w:r>
        <w:rPr>
          <w:b/>
          <w:bCs/>
        </w:rPr>
        <w:t xml:space="preserve">3. </w:t>
      </w:r>
      <w:r w:rsidRPr="006D30B7" w:rsidR="006D30B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rPr>
        <w:t xml:space="preserve"> </w:t>
      </w:r>
    </w:p>
    <w:p w:rsidR="00BD450D" w:rsidRPr="00093E43" w:rsidP="00BD450D" w14:paraId="7F5FE4F7" w14:textId="77777777">
      <w:pPr>
        <w:pStyle w:val="Default"/>
      </w:pPr>
    </w:p>
    <w:p w:rsidR="00BD450D" w:rsidP="006D30B7" w14:paraId="1CDFCBDF" w14:textId="10EAE37B">
      <w:pPr>
        <w:pStyle w:val="CM23"/>
        <w:spacing w:after="0"/>
      </w:pPr>
      <w:r>
        <w:t>The surveys will be conducted by</w:t>
      </w:r>
      <w:r w:rsidR="00157852">
        <w:t xml:space="preserve"> mail</w:t>
      </w:r>
      <w:r>
        <w:t>.  Survey responses will be automatically captured through optica</w:t>
      </w:r>
      <w:r w:rsidR="00B17A2C">
        <w:t>l character recognition (OCR), which</w:t>
      </w:r>
      <w:r>
        <w:t xml:space="preserve"> </w:t>
      </w:r>
      <w:r w:rsidR="004535CD">
        <w:t>ensures</w:t>
      </w:r>
      <w:r>
        <w:t xml:space="preserve"> the accuracy and efficiency of data </w:t>
      </w:r>
      <w:r>
        <w:t>collection.</w:t>
      </w:r>
    </w:p>
    <w:p w:rsidR="00B271F7" w:rsidP="00B271F7" w14:paraId="509CF277" w14:textId="77777777">
      <w:pPr>
        <w:pStyle w:val="Default"/>
      </w:pPr>
    </w:p>
    <w:p w:rsidR="00B271F7" w:rsidRPr="00B271F7" w:rsidP="00B271F7" w14:paraId="300EB1DF" w14:textId="322E60CB">
      <w:pPr>
        <w:pStyle w:val="Default"/>
      </w:pPr>
      <w:r>
        <w:t>A</w:t>
      </w:r>
      <w:r w:rsidRPr="00B271F7">
        <w:t xml:space="preserve"> “web push” design that encouraged </w:t>
      </w:r>
      <w:r>
        <w:t>response</w:t>
      </w:r>
      <w:r w:rsidRPr="00B271F7">
        <w:t xml:space="preserve"> to the FES through </w:t>
      </w:r>
      <w:r>
        <w:t>an online instrument</w:t>
      </w:r>
      <w:r w:rsidRPr="00B271F7">
        <w:t xml:space="preserve"> </w:t>
      </w:r>
      <w:r>
        <w:t xml:space="preserve">before providing a paper instrument </w:t>
      </w:r>
      <w:r w:rsidRPr="00B271F7">
        <w:t xml:space="preserve">was tested in </w:t>
      </w:r>
      <w:r>
        <w:t>2018-2019</w:t>
      </w:r>
      <w:r w:rsidRPr="00B271F7">
        <w:t xml:space="preserve">. </w:t>
      </w:r>
      <w:r w:rsidR="00B40DDC">
        <w:t xml:space="preserve"> We are requesting approval to conduct a follow-up study </w:t>
      </w:r>
      <w:r w:rsidR="00EC3B62">
        <w:t>to re-evaluate</w:t>
      </w:r>
      <w:r w:rsidR="00B40DDC">
        <w:t xml:space="preserve"> the web-push design.</w:t>
      </w:r>
    </w:p>
    <w:p w:rsidR="00BD450D" w:rsidRPr="005B45A6" w:rsidP="00BD450D" w14:paraId="3ECA8E68" w14:textId="0901016B">
      <w:pPr>
        <w:pStyle w:val="Default"/>
      </w:pPr>
    </w:p>
    <w:p w:rsidR="00BD450D" w:rsidRPr="008D16DC" w:rsidP="008D16DC" w14:paraId="7BC5EFD0" w14:textId="6E36991C">
      <w:pPr>
        <w:spacing w:line="240" w:lineRule="auto"/>
        <w:rPr>
          <w:b/>
        </w:rPr>
      </w:pPr>
      <w:r w:rsidRPr="008D16DC">
        <w:rPr>
          <w:b/>
        </w:rPr>
        <w:t xml:space="preserve">4. </w:t>
      </w:r>
      <w:r w:rsidRPr="008D16DC" w:rsidR="008D16DC">
        <w:rPr>
          <w:b/>
          <w:bCs/>
        </w:rPr>
        <w:t>Describe efforts to identify duplication. Show specifically why any similar information already available cannot be used or modified for use for the purposes described in Question 2</w:t>
      </w:r>
      <w:r w:rsidRPr="008D16DC">
        <w:rPr>
          <w:b/>
        </w:rPr>
        <w:t xml:space="preserve">. </w:t>
      </w:r>
    </w:p>
    <w:p w:rsidR="00442981" w:rsidRPr="00442981" w:rsidP="00442981" w14:paraId="738DFC11" w14:textId="77777777">
      <w:pPr>
        <w:spacing w:line="240" w:lineRule="auto"/>
        <w:rPr>
          <w:b/>
          <w:u w:val="single"/>
        </w:rPr>
      </w:pPr>
    </w:p>
    <w:p w:rsidR="00BD450D" w:rsidP="00BD450D" w14:paraId="290BFB9B" w14:textId="71F41334">
      <w:pPr>
        <w:pStyle w:val="Default"/>
      </w:pPr>
      <w:r>
        <w:t xml:space="preserve">NOAA Fisheries </w:t>
      </w:r>
      <w:r>
        <w:t>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 activities</w:t>
      </w:r>
      <w:r w:rsidR="00256C0E">
        <w:t xml:space="preserve"> and in recent years has not published state-level estimates of fishing activity</w:t>
      </w:r>
      <w:r>
        <w:t xml:space="preserve">.  That survey does not provide the spatial or temporal resolution needed by managers of fishery resources to monitor and manage recreational </w:t>
      </w:r>
      <w:r w:rsidR="00256C0E">
        <w:t>fisheries</w:t>
      </w:r>
      <w:r>
        <w:t xml:space="preserve"> landings.   </w:t>
      </w:r>
    </w:p>
    <w:p w:rsidR="00BD450D" w:rsidP="00BD450D" w14:paraId="4BC044A5" w14:textId="77777777">
      <w:pPr>
        <w:pStyle w:val="Default"/>
      </w:pPr>
    </w:p>
    <w:p w:rsidR="00BD450D" w:rsidP="00BD450D" w14:paraId="2A1657E4" w14:textId="77777777">
      <w:pPr>
        <w:pStyle w:val="CM23"/>
        <w:spacing w:after="0"/>
        <w:ind w:right="235"/>
        <w:rPr>
          <w:b/>
          <w:bCs/>
        </w:rPr>
      </w:pPr>
      <w:r>
        <w:rPr>
          <w:b/>
          <w:bCs/>
        </w:rPr>
        <w:t xml:space="preserve">5. </w:t>
      </w:r>
      <w:r w:rsidRPr="008D16DC">
        <w:rPr>
          <w:b/>
          <w:bCs/>
        </w:rPr>
        <w:t>If the collection of information involves small businesses or other small entities, describe the methods used to minimize burden</w:t>
      </w:r>
      <w:r>
        <w:rPr>
          <w:b/>
          <w:bCs/>
        </w:rPr>
        <w:t xml:space="preserve">. </w:t>
      </w:r>
    </w:p>
    <w:p w:rsidR="00BD450D" w:rsidRPr="00093E43" w:rsidP="00BD450D" w14:paraId="36369986" w14:textId="77777777">
      <w:pPr>
        <w:pStyle w:val="Default"/>
      </w:pPr>
    </w:p>
    <w:p w:rsidR="00BD450D" w:rsidP="00BD450D" w14:paraId="67AC7F65" w14:textId="77777777">
      <w:pPr>
        <w:pStyle w:val="CM22"/>
        <w:spacing w:after="0"/>
      </w:pPr>
      <w:r>
        <w:t>No small businesses will be impacted by this revision.</w:t>
      </w:r>
      <w:r w:rsidR="003500CA">
        <w:t xml:space="preserve"> Individuals or households are the respondents.</w:t>
      </w:r>
    </w:p>
    <w:p w:rsidR="00BD450D" w:rsidRPr="00093E43" w:rsidP="00BD450D" w14:paraId="5FA03E19" w14:textId="77777777">
      <w:pPr>
        <w:pStyle w:val="Default"/>
      </w:pPr>
    </w:p>
    <w:p w:rsidR="00BD450D" w:rsidP="008D16DC" w14:paraId="217B4151" w14:textId="59970480">
      <w:pPr>
        <w:pStyle w:val="CM23"/>
        <w:spacing w:after="0"/>
        <w:rPr>
          <w:b/>
          <w:bCs/>
        </w:rPr>
      </w:pPr>
      <w:r>
        <w:rPr>
          <w:b/>
          <w:bCs/>
        </w:rPr>
        <w:t xml:space="preserve">6. </w:t>
      </w:r>
      <w:r w:rsidRPr="008D16DC" w:rsidR="008D16DC">
        <w:rPr>
          <w:b/>
          <w:bCs/>
        </w:rPr>
        <w:t>Describe the consequence to Federal program or policy activities if the collection is not conducted or is conducted less frequently, as well as any technical or legal obstacles to reducing burden</w:t>
      </w:r>
      <w:r w:rsidRPr="008D16DC">
        <w:rPr>
          <w:b/>
          <w:bCs/>
        </w:rPr>
        <w:t>.</w:t>
      </w:r>
      <w:r>
        <w:rPr>
          <w:b/>
          <w:bCs/>
        </w:rPr>
        <w:t xml:space="preserve"> </w:t>
      </w:r>
    </w:p>
    <w:p w:rsidR="00BD450D" w:rsidRPr="00093E43" w:rsidP="00BD450D" w14:paraId="10857A0D" w14:textId="77777777">
      <w:pPr>
        <w:pStyle w:val="Default"/>
      </w:pPr>
    </w:p>
    <w:p w:rsidR="00BD450D" w:rsidRPr="00763DE2" w:rsidP="00442981" w14:paraId="6BA7EBFC" w14:textId="0F174ED7">
      <w:pPr>
        <w:spacing w:line="240" w:lineRule="auto"/>
      </w:pPr>
      <w:r>
        <w:t xml:space="preserve">If the survey </w:t>
      </w:r>
      <w:r w:rsidR="00DB39C7">
        <w:t xml:space="preserve">was not conducted or </w:t>
      </w:r>
      <w:r w:rsidR="00162D24">
        <w:t xml:space="preserve">was </w:t>
      </w:r>
      <w:r>
        <w:t>conducted less frequently</w:t>
      </w:r>
      <w:r w:rsidRPr="00763DE2">
        <w:t xml:space="preserve">, </w:t>
      </w:r>
      <w:r w:rsidR="001E2180">
        <w:t>NOAA Fisheries</w:t>
      </w:r>
      <w:r>
        <w:t xml:space="preserve"> and state natural resource agencies</w:t>
      </w:r>
      <w:r w:rsidRPr="00763DE2">
        <w:t xml:space="preserve"> would </w:t>
      </w:r>
      <w:r w:rsidR="004540A1">
        <w:t xml:space="preserve">be unable to </w:t>
      </w:r>
      <w:r w:rsidRPr="00763DE2">
        <w:t>meet statutory, administrative, and other obligations</w:t>
      </w:r>
      <w:r>
        <w:t xml:space="preserve"> to end overfishing of marine fishery resources</w:t>
      </w:r>
      <w:r w:rsidRPr="00763DE2">
        <w:t xml:space="preserve">.  </w:t>
      </w:r>
      <w:r>
        <w:t>An ongoing</w:t>
      </w:r>
      <w:r w:rsidRPr="00763DE2">
        <w:t xml:space="preserve"> survey of recreational anglers is </w:t>
      </w:r>
      <w:r w:rsidR="00EB0F92">
        <w:t>essential for monitoring</w:t>
      </w:r>
      <w:r w:rsidRPr="00763DE2">
        <w:t xml:space="preserve"> changing conditions in the fishery</w:t>
      </w:r>
      <w:r w:rsidR="004540A1">
        <w:t xml:space="preserve">, including </w:t>
      </w:r>
      <w:r w:rsidR="00162D24">
        <w:t>total fishing mortality</w:t>
      </w:r>
      <w:r w:rsidR="004540A1">
        <w:t>,</w:t>
      </w:r>
      <w:r w:rsidRPr="00763DE2">
        <w:t xml:space="preserve"> and support</w:t>
      </w:r>
      <w:r w:rsidR="00EB0F92">
        <w:t>ing</w:t>
      </w:r>
      <w:r w:rsidRPr="00763DE2">
        <w:t xml:space="preserve"> </w:t>
      </w:r>
      <w:r w:rsidR="00162D24">
        <w:t>the evaluation of</w:t>
      </w:r>
      <w:r w:rsidRPr="00763DE2">
        <w:t xml:space="preserve"> fish</w:t>
      </w:r>
      <w:r w:rsidR="004540A1">
        <w:t>ing</w:t>
      </w:r>
      <w:r w:rsidRPr="00763DE2">
        <w:t xml:space="preserve"> regulations </w:t>
      </w:r>
      <w:r>
        <w:t>both within fishing seasons and among</w:t>
      </w:r>
      <w:r w:rsidRPr="00763DE2">
        <w:t xml:space="preserve"> fishing year</w:t>
      </w:r>
      <w:r>
        <w:t>s</w:t>
      </w:r>
      <w:r w:rsidRPr="00763DE2">
        <w:t xml:space="preserve">.  </w:t>
      </w:r>
      <w:r w:rsidR="00162D24">
        <w:t>Additionally</w:t>
      </w:r>
      <w:r>
        <w:t>, a</w:t>
      </w:r>
      <w:r w:rsidRPr="00763DE2">
        <w:t xml:space="preserve"> continuous time series of data is </w:t>
      </w:r>
      <w:r w:rsidR="00EB0F92">
        <w:t>fundamental</w:t>
      </w:r>
      <w:r>
        <w:t xml:space="preserve"> to </w:t>
      </w:r>
      <w:r w:rsidR="00EB0F92">
        <w:t xml:space="preserve">scientifically </w:t>
      </w:r>
      <w:r>
        <w:t>assess</w:t>
      </w:r>
      <w:r w:rsidR="00EB0F92">
        <w:t>ing</w:t>
      </w:r>
      <w:r>
        <w:t xml:space="preserve"> the </w:t>
      </w:r>
      <w:r w:rsidR="00EB0F92">
        <w:t>status of</w:t>
      </w:r>
      <w:r>
        <w:t xml:space="preserve"> fish stocks</w:t>
      </w:r>
      <w:r w:rsidRPr="00763DE2">
        <w:t xml:space="preserve">.  </w:t>
      </w:r>
    </w:p>
    <w:p w:rsidR="00BD450D" w:rsidRPr="00093E43" w:rsidP="00BD450D" w14:paraId="24150348" w14:textId="77777777">
      <w:pPr>
        <w:pStyle w:val="Default"/>
      </w:pPr>
      <w:r w:rsidRPr="00763DE2">
        <w:t xml:space="preserve"> </w:t>
      </w:r>
    </w:p>
    <w:p w:rsidR="00BD450D" w:rsidP="00767EAF" w14:paraId="552BA7D0" w14:textId="39711E5C">
      <w:pPr>
        <w:pStyle w:val="CM23"/>
        <w:spacing w:after="0"/>
        <w:rPr>
          <w:b/>
          <w:bCs/>
        </w:rPr>
      </w:pPr>
      <w:r>
        <w:rPr>
          <w:b/>
          <w:bCs/>
        </w:rPr>
        <w:t xml:space="preserve">7. </w:t>
      </w:r>
      <w:r w:rsidRPr="00767EAF" w:rsidR="00767EAF">
        <w:rPr>
          <w:b/>
          <w:bCs/>
        </w:rPr>
        <w:t>Explain any special circumstances that would cause an information collection to be conducted in a manner inconsistent with OMB guidelines.</w:t>
      </w:r>
      <w:r w:rsidRPr="00767EAF">
        <w:rPr>
          <w:b/>
          <w:bCs/>
        </w:rPr>
        <w:t xml:space="preserve"> </w:t>
      </w:r>
    </w:p>
    <w:p w:rsidR="00BD450D" w:rsidRPr="00093E43" w:rsidP="00BD450D" w14:paraId="06D1BB6B" w14:textId="77777777">
      <w:pPr>
        <w:pStyle w:val="Default"/>
      </w:pPr>
    </w:p>
    <w:p w:rsidR="001C27E1" w:rsidRPr="00CA0E97" w:rsidP="00CA0E97" w14:paraId="2964A70E" w14:textId="6F5D71AA">
      <w:pPr>
        <w:pStyle w:val="Default"/>
      </w:pPr>
      <w:r w:rsidRPr="006015C0">
        <w:t>The FES does not utilize the OMB-preferred race and ethnicity question format (as outlined in SPD 15) due to significant space constraints within the survey instrument. The questionnaire is printed on a single 11 x 18” sheet that folds into a two-page booklet—a design validated through cognitive interviews and multiple pilot studies to minimize respondent burden</w:t>
      </w:r>
      <w:r w:rsidR="00E30454">
        <w:t xml:space="preserve"> </w:t>
      </w:r>
      <w:r w:rsidR="00886B51">
        <w:t xml:space="preserve">and </w:t>
      </w:r>
      <w:r w:rsidR="004737F6">
        <w:t>limit</w:t>
      </w:r>
      <w:r w:rsidR="00886B51">
        <w:t xml:space="preserve"> </w:t>
      </w:r>
      <w:r w:rsidRPr="006015C0">
        <w:t xml:space="preserve">postage and scanning costs. The current layout is optimized for navigation, maintaining a logical flow that limits individual household member questions to a single column. Incorporating the OMB-preferred demographic format would exceed this single-column limit, necessitating either additional pages (increasing federal costs) or a reduction in the number of household members </w:t>
      </w:r>
      <w:r w:rsidRPr="006015C0">
        <w:t>captured per form. Such a change would not only diminish the survey’s ability to characterize total fishing activity but would likely increase unit and item nonresponse by complicating the respondent’s path through the booklet.</w:t>
      </w:r>
      <w:r w:rsidR="002F53CB">
        <w:t xml:space="preserve">  With respect to the FES, the abbreviated question format provides sufficient detail to support the intent of the question, which is to calculate post-survey weighting adjustments and evaluate bias.  </w:t>
      </w:r>
    </w:p>
    <w:p w:rsidR="00BD450D" w:rsidRPr="00093E43" w:rsidP="00BD450D" w14:paraId="71FBE6AB" w14:textId="77777777">
      <w:pPr>
        <w:pStyle w:val="Default"/>
      </w:pPr>
    </w:p>
    <w:p w:rsidR="00BD450D" w:rsidP="000766BC" w14:paraId="67CD336B" w14:textId="3894BC6B">
      <w:pPr>
        <w:pStyle w:val="CM2"/>
        <w:spacing w:line="240" w:lineRule="auto"/>
        <w:rPr>
          <w:b/>
          <w:bCs/>
        </w:rPr>
      </w:pPr>
      <w:r>
        <w:rPr>
          <w:b/>
          <w:bCs/>
        </w:rPr>
        <w:t xml:space="preserve">8. </w:t>
      </w:r>
      <w:r w:rsidRPr="000766BC" w:rsidR="000766BC">
        <w:rPr>
          <w:b/>
          <w:bC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450D" w:rsidRPr="009D032E" w:rsidP="00BD450D" w14:paraId="463A6F1B" w14:textId="77777777">
      <w:pPr>
        <w:pStyle w:val="Default"/>
      </w:pPr>
    </w:p>
    <w:p w:rsidR="00464B9B" w:rsidP="000766BC" w14:paraId="4AC5337A" w14:textId="1D75173A">
      <w:pPr>
        <w:pStyle w:val="CM23"/>
        <w:spacing w:after="0"/>
      </w:pPr>
      <w:r w:rsidRPr="00C9094B">
        <w:t xml:space="preserve">A </w:t>
      </w:r>
      <w:r w:rsidRPr="00C9094B">
        <w:rPr>
          <w:u w:val="single"/>
        </w:rPr>
        <w:t>Federal Register</w:t>
      </w:r>
      <w:r w:rsidRPr="00C9094B">
        <w:t xml:space="preserve"> Notice</w:t>
      </w:r>
      <w:r w:rsidR="00967F64">
        <w:t>, p</w:t>
      </w:r>
      <w:r w:rsidRPr="00C9094B">
        <w:t xml:space="preserve">ublished on </w:t>
      </w:r>
      <w:r w:rsidR="008444FE">
        <w:t xml:space="preserve">April </w:t>
      </w:r>
      <w:r w:rsidR="001D5E35">
        <w:t>2</w:t>
      </w:r>
      <w:r w:rsidR="008444FE">
        <w:t>, 202</w:t>
      </w:r>
      <w:r w:rsidR="001D5E35">
        <w:t>6</w:t>
      </w:r>
      <w:r w:rsidRPr="00D61D04">
        <w:t xml:space="preserve"> (</w:t>
      </w:r>
      <w:r w:rsidR="008444FE">
        <w:t>88</w:t>
      </w:r>
      <w:r w:rsidRPr="00D61D04">
        <w:t xml:space="preserve"> FR </w:t>
      </w:r>
      <w:r w:rsidR="008444FE">
        <w:t>21628</w:t>
      </w:r>
      <w:r w:rsidRPr="00D61D04">
        <w:t>)</w:t>
      </w:r>
      <w:r w:rsidRPr="00C9094B">
        <w:t xml:space="preserve"> solicited public comment on this revision.  </w:t>
      </w:r>
      <w:r>
        <w:t>No comments were</w:t>
      </w:r>
      <w:r w:rsidR="0007127D">
        <w:t xml:space="preserve"> received.</w:t>
      </w:r>
      <w:r w:rsidR="00927300">
        <w:t xml:space="preserve"> </w:t>
      </w:r>
    </w:p>
    <w:p w:rsidR="003E5707" w:rsidP="003E5707" w14:paraId="0A54B2E7" w14:textId="77777777">
      <w:pPr>
        <w:pStyle w:val="Default"/>
      </w:pPr>
    </w:p>
    <w:p w:rsidR="00EA2D2E" w:rsidP="004B4380" w14:paraId="6E600AC0" w14:textId="3A7FD602">
      <w:pPr>
        <w:spacing w:line="240" w:lineRule="auto"/>
      </w:pPr>
      <w:r>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collection of appropriate information that meets manager and stakeholder needs</w:t>
      </w:r>
      <w:r>
        <w:t>.  MRIP staff</w:t>
      </w:r>
      <w:r w:rsidR="003F494A">
        <w:t xml:space="preserve"> members</w:t>
      </w:r>
      <w:r>
        <w:t xml:space="preserve"> maintain regular communication with customers, through workshops, workgroup meetings and one-on-one consultations.</w:t>
      </w:r>
      <w:r>
        <w:t xml:space="preserve">  Most recently, </w:t>
      </w:r>
      <w:r w:rsidR="000A5038">
        <w:t>NOAA consulted</w:t>
      </w:r>
      <w:r w:rsidR="00614FAB">
        <w:t xml:space="preserve"> with </w:t>
      </w:r>
      <w:r w:rsidR="00A057BF">
        <w:t>the Atlantic Coastal Cooperative Statistics Program Recreational Technical Committee (March 2026)</w:t>
      </w:r>
      <w:r w:rsidR="000766BC">
        <w:t>,</w:t>
      </w:r>
      <w:r w:rsidR="00A057BF">
        <w:t xml:space="preserve"> </w:t>
      </w:r>
      <w:r w:rsidR="00614FAB">
        <w:t>the South Atlantic Fishery Management Council (</w:t>
      </w:r>
      <w:r w:rsidR="00A057BF">
        <w:t>December 2025</w:t>
      </w:r>
      <w:r w:rsidR="00614FAB">
        <w:t>), the Mid Atlantic Fishery Management Council (March 202</w:t>
      </w:r>
      <w:r w:rsidR="00A057BF">
        <w:t>6</w:t>
      </w:r>
      <w:r w:rsidR="00614FAB">
        <w:t>)</w:t>
      </w:r>
      <w:r w:rsidR="000766BC">
        <w:t>,</w:t>
      </w:r>
      <w:r w:rsidR="00614FAB">
        <w:t xml:space="preserve"> and The Gulf of Mexico Fishery Management Council (</w:t>
      </w:r>
      <w:r w:rsidR="00A057BF">
        <w:t>February 2026</w:t>
      </w:r>
      <w:r w:rsidR="00614FAB">
        <w:t xml:space="preserve">).  </w:t>
      </w:r>
      <w:r>
        <w:t xml:space="preserve">MRIP staff provided </w:t>
      </w:r>
      <w:r w:rsidR="00614FAB">
        <w:t>detailed overviews</w:t>
      </w:r>
      <w:r>
        <w:t xml:space="preserve"> of the FES design</w:t>
      </w:r>
      <w:r w:rsidR="00B0436C">
        <w:t xml:space="preserve">, </w:t>
      </w:r>
      <w:r>
        <w:t>responded to questions from committee members</w:t>
      </w:r>
      <w:r w:rsidR="00B0436C">
        <w:t xml:space="preserve"> and solicited feedback on survey designs and estimates.</w:t>
      </w:r>
    </w:p>
    <w:p w:rsidR="00EA2D2E" w:rsidP="004B4380" w14:paraId="758968D9" w14:textId="77777777">
      <w:pPr>
        <w:spacing w:line="240" w:lineRule="auto"/>
      </w:pPr>
    </w:p>
    <w:p w:rsidR="002F0223" w:rsidP="002F0223" w14:paraId="2F0BEF90" w14:textId="5C1E1E05">
      <w:pPr>
        <w:spacing w:line="240" w:lineRule="auto"/>
      </w:pPr>
      <w:r>
        <w:t>Additionally</w:t>
      </w:r>
      <w:r w:rsidR="00EA2D2E">
        <w:t xml:space="preserve">, </w:t>
      </w:r>
      <w:r>
        <w:t xml:space="preserve">MRIP </w:t>
      </w:r>
      <w:r w:rsidR="00EA2D2E">
        <w:t>Regional Implementation Teams</w:t>
      </w:r>
      <w:r w:rsidR="00565FB5">
        <w:t xml:space="preserve"> (RITs)</w:t>
      </w:r>
      <w:r w:rsidR="00EA2D2E">
        <w:t xml:space="preserve">, representing </w:t>
      </w:r>
      <w:r w:rsidR="00614FAB">
        <w:t xml:space="preserve">NOAA Fisheries regional offices and science centers, </w:t>
      </w:r>
      <w:r w:rsidR="00EA2D2E">
        <w:t>s</w:t>
      </w:r>
      <w:r w:rsidR="00614FAB">
        <w:t xml:space="preserve">tate natural resource agencies and </w:t>
      </w:r>
      <w:r w:rsidR="00EA2D2E">
        <w:t xml:space="preserve">interstate marine fisheries commissions, </w:t>
      </w:r>
      <w:r w:rsidR="00390ACB">
        <w:t xml:space="preserve">develop Regional Implementation Plans and </w:t>
      </w:r>
      <w:r>
        <w:t>convene annually to</w:t>
      </w:r>
      <w:r w:rsidR="00EA2D2E">
        <w:t xml:space="preserve"> identify specific needs for recreational f</w:t>
      </w:r>
      <w:r>
        <w:t>isheries statistics, including needs for survey coverage, resolution, precision and timeliness of survey estimates.  The Implementation Teams</w:t>
      </w:r>
      <w:r w:rsidR="00614FAB">
        <w:t xml:space="preserve"> most recently met in </w:t>
      </w:r>
      <w:r w:rsidR="00A057BF">
        <w:t>April 2026</w:t>
      </w:r>
      <w:r w:rsidR="00565FB5">
        <w:t>.  Regional priorities</w:t>
      </w:r>
      <w:r>
        <w:t xml:space="preserve"> for fisheries statistics</w:t>
      </w:r>
      <w:r w:rsidR="00565FB5">
        <w:t xml:space="preserve">, as determined by the RITs are documented on the MRIP </w:t>
      </w:r>
      <w:hyperlink r:id="rId8" w:anchor="regional-priorities" w:history="1">
        <w:r w:rsidRPr="00565FB5" w:rsidR="00565FB5">
          <w:rPr>
            <w:rStyle w:val="Hyperlink"/>
          </w:rPr>
          <w:t>web</w:t>
        </w:r>
        <w:r w:rsidRPr="00565FB5" w:rsidR="00565FB5">
          <w:rPr>
            <w:rStyle w:val="Hyperlink"/>
          </w:rPr>
          <w:t>s</w:t>
        </w:r>
        <w:r w:rsidRPr="00565FB5" w:rsidR="00565FB5">
          <w:rPr>
            <w:rStyle w:val="Hyperlink"/>
          </w:rPr>
          <w:t>ite</w:t>
        </w:r>
      </w:hyperlink>
      <w:r>
        <w:rPr>
          <w:rStyle w:val="FootnoteReference"/>
          <w:color w:val="0000FF" w:themeColor="hyperlink"/>
          <w:u w:val="single"/>
        </w:rPr>
        <w:footnoteReference w:id="4"/>
      </w:r>
      <w:r w:rsidR="00565FB5">
        <w:t xml:space="preserve">. </w:t>
      </w:r>
    </w:p>
    <w:p w:rsidR="000F745B" w:rsidP="002F0223" w14:paraId="68896036" w14:textId="77777777">
      <w:pPr>
        <w:spacing w:line="240" w:lineRule="auto"/>
      </w:pPr>
    </w:p>
    <w:p w:rsidR="000F745B" w:rsidP="002F0223" w14:paraId="317DB62A" w14:textId="6149E3EC">
      <w:pPr>
        <w:spacing w:line="240" w:lineRule="auto"/>
      </w:pPr>
      <w:r>
        <w:t xml:space="preserve">Finally, NOAA staff conducted </w:t>
      </w:r>
      <w:r w:rsidR="00F11EF3">
        <w:t xml:space="preserve">virtual </w:t>
      </w:r>
      <w:r>
        <w:t xml:space="preserve">regional listening sessions in 2024-2025 with state and regional partners, data users and members of the recreational fishing community to identify national and regional data collection needs and priorities.  </w:t>
      </w:r>
    </w:p>
    <w:p w:rsidR="00F41FEC" w:rsidP="002F0223" w14:paraId="77F22B6B" w14:textId="77777777">
      <w:pPr>
        <w:spacing w:line="240" w:lineRule="auto"/>
      </w:pPr>
    </w:p>
    <w:p w:rsidR="00F41FEC" w:rsidP="00F41FEC" w14:paraId="2078AC59" w14:textId="06DD2116">
      <w:pPr>
        <w:spacing w:line="240" w:lineRule="auto"/>
      </w:pPr>
      <w:r>
        <w:t>Recent</w:t>
      </w:r>
      <w:r w:rsidR="00F00143">
        <w:t xml:space="preserve"> </w:t>
      </w:r>
      <w:r w:rsidR="000A5038">
        <w:t xml:space="preserve">consultations with stakeholders </w:t>
      </w:r>
      <w:r w:rsidR="00F00143">
        <w:t xml:space="preserve">and partners </w:t>
      </w:r>
      <w:r w:rsidR="000A5038">
        <w:t>resulted in the following comments and priorities:</w:t>
      </w:r>
    </w:p>
    <w:p w:rsidR="00F41FEC" w:rsidP="00F41FEC" w14:paraId="50788B34" w14:textId="7B9A2F69">
      <w:pPr>
        <w:pStyle w:val="ListParagraph"/>
        <w:numPr>
          <w:ilvl w:val="0"/>
          <w:numId w:val="21"/>
        </w:numPr>
        <w:spacing w:line="240" w:lineRule="auto"/>
      </w:pPr>
      <w:r>
        <w:t>Seek increased state and federal resources to maintain/enhance survey sampling levels for all ongoing recreational fishing surveys</w:t>
      </w:r>
      <w:r>
        <w:t>.</w:t>
      </w:r>
    </w:p>
    <w:p w:rsidR="00BA5D82" w:rsidP="00A057BF" w14:paraId="3D4ACED3" w14:textId="40F9E6F6">
      <w:pPr>
        <w:pStyle w:val="ListParagraph"/>
        <w:numPr>
          <w:ilvl w:val="0"/>
          <w:numId w:val="21"/>
        </w:numPr>
        <w:spacing w:line="240" w:lineRule="auto"/>
      </w:pPr>
      <w:r>
        <w:t xml:space="preserve">Improve </w:t>
      </w:r>
      <w:r w:rsidR="00AA6FFF">
        <w:t xml:space="preserve">the </w:t>
      </w:r>
      <w:r>
        <w:t>timeliness of MRIP recreational catch and harvest estimates</w:t>
      </w:r>
      <w:r w:rsidR="00700696">
        <w:t>.</w:t>
      </w:r>
    </w:p>
    <w:p w:rsidR="00382B25" w:rsidP="00A057BF" w14:paraId="27547C30" w14:textId="71CFC56F">
      <w:pPr>
        <w:pStyle w:val="ListParagraph"/>
        <w:numPr>
          <w:ilvl w:val="0"/>
          <w:numId w:val="21"/>
        </w:numPr>
        <w:spacing w:line="240" w:lineRule="auto"/>
      </w:pPr>
      <w:r>
        <w:t>Continue moving forward with Fishing Effort Survey improvements in a transparent way.</w:t>
      </w:r>
    </w:p>
    <w:p w:rsidR="00382B25" w:rsidP="00A057BF" w14:paraId="14F405B2" w14:textId="19C1FDB2">
      <w:pPr>
        <w:pStyle w:val="ListParagraph"/>
        <w:numPr>
          <w:ilvl w:val="0"/>
          <w:numId w:val="21"/>
        </w:numPr>
        <w:spacing w:line="240" w:lineRule="auto"/>
      </w:pPr>
      <w:r>
        <w:t>Shift to publication of monthly estimates instead of bimonthly to support state and federal management needs.</w:t>
      </w:r>
    </w:p>
    <w:p w:rsidR="002F0223" w:rsidP="002F0223" w14:paraId="0AB43475" w14:textId="77777777">
      <w:pPr>
        <w:spacing w:line="240" w:lineRule="auto"/>
      </w:pPr>
    </w:p>
    <w:p w:rsidR="00BD450D" w:rsidP="002F0223" w14:paraId="3E4D14BE" w14:textId="77777777">
      <w:pPr>
        <w:spacing w:line="240" w:lineRule="auto"/>
        <w:rPr>
          <w:b/>
          <w:bCs/>
        </w:rPr>
      </w:pPr>
      <w:r>
        <w:t xml:space="preserve"> </w:t>
      </w:r>
    </w:p>
    <w:p w:rsidR="00BD450D" w:rsidP="00E8192C" w14:paraId="2E218541" w14:textId="629C1647">
      <w:pPr>
        <w:pStyle w:val="CM23"/>
        <w:spacing w:after="0"/>
        <w:rPr>
          <w:b/>
          <w:bCs/>
        </w:rPr>
      </w:pPr>
      <w:r>
        <w:rPr>
          <w:b/>
          <w:bCs/>
        </w:rPr>
        <w:t xml:space="preserve">9. </w:t>
      </w:r>
      <w:r w:rsidRPr="00E8192C" w:rsidR="00E8192C">
        <w:rPr>
          <w:b/>
          <w:bCs/>
        </w:rPr>
        <w:t>Explain any decision to provide any payment or gift to respondents, other than remuneration of contractors or grantees.</w:t>
      </w:r>
    </w:p>
    <w:p w:rsidR="00BD450D" w:rsidRPr="00B62209" w:rsidP="00BD450D" w14:paraId="5701EC59" w14:textId="77777777">
      <w:pPr>
        <w:pStyle w:val="Default"/>
      </w:pPr>
    </w:p>
    <w:p w:rsidR="00616369" w:rsidP="002E69D8" w14:paraId="7FD4F515" w14:textId="52D1B672">
      <w:pPr>
        <w:pStyle w:val="Default"/>
      </w:pPr>
      <w:r>
        <w:t xml:space="preserve">The </w:t>
      </w:r>
      <w:r w:rsidR="0017707A">
        <w:t xml:space="preserve">initial </w:t>
      </w:r>
      <w:r>
        <w:t xml:space="preserve">FES </w:t>
      </w:r>
      <w:r w:rsidR="0017707A">
        <w:t xml:space="preserve">mailing </w:t>
      </w:r>
      <w:r>
        <w:t xml:space="preserve">includes a $2.00 cash incentive. </w:t>
      </w:r>
      <w:r w:rsidR="00B119CD">
        <w:t xml:space="preserve">The benefits of prepaid cash incentives </w:t>
      </w:r>
      <w:r w:rsidR="003E333E">
        <w:t xml:space="preserve">on </w:t>
      </w:r>
      <w:r w:rsidR="008F39D1">
        <w:t xml:space="preserve">improving survey response </w:t>
      </w:r>
      <w:r w:rsidR="00B119CD">
        <w:t>rates are well documented</w:t>
      </w:r>
      <w:r w:rsidR="0017707A">
        <w:t xml:space="preserve"> in</w:t>
      </w:r>
      <w:r w:rsidR="00431A0A">
        <w:t xml:space="preserve"> the</w:t>
      </w:r>
      <w:r w:rsidR="0017707A">
        <w:t xml:space="preserve"> survey methodology literature</w:t>
      </w:r>
      <w:r w:rsidR="00B119CD">
        <w:t>.</w:t>
      </w:r>
      <w:r>
        <w:t xml:space="preserve">  Dillman </w:t>
      </w:r>
      <w:r>
        <w:t xml:space="preserve">et al. </w:t>
      </w:r>
      <w:r>
        <w:t>(</w:t>
      </w:r>
      <w:r>
        <w:t>2014</w:t>
      </w:r>
      <w:r>
        <w:t>) describe small, prepaid cash incentive</w:t>
      </w:r>
      <w:r w:rsidR="00D8042C">
        <w:t>s</w:t>
      </w:r>
      <w:r>
        <w:t xml:space="preserve"> as a “token of appreciation” that </w:t>
      </w:r>
      <w:r w:rsidR="00056EBF">
        <w:t xml:space="preserve">establishes a social exchange, </w:t>
      </w:r>
      <w:r>
        <w:t xml:space="preserve">encourages </w:t>
      </w:r>
      <w:r w:rsidR="002A2154">
        <w:t>response</w:t>
      </w:r>
      <w:r w:rsidR="00056EBF">
        <w:t>,</w:t>
      </w:r>
      <w:r>
        <w:t xml:space="preserve"> and </w:t>
      </w:r>
      <w:r w:rsidR="00056EBF">
        <w:t>draws immediate attention</w:t>
      </w:r>
      <w:r>
        <w:t xml:space="preserve"> to the survey request.</w:t>
      </w:r>
      <w:r w:rsidR="002A2154">
        <w:t xml:space="preserve">  </w:t>
      </w:r>
      <w:r w:rsidRPr="00056EBF" w:rsidR="00056EBF">
        <w:t>Beyond simply improving response rates, incentives serve as a critical tool for reducing nonresponse bias by encouraging participation from individuals with lower topic interest—such as those who fish infrequently or not at all—who might otherwise ignore a fishing-related inquiry (Groves et al., 2006).</w:t>
      </w:r>
    </w:p>
    <w:p w:rsidR="00616369" w:rsidP="002E69D8" w14:paraId="27CB3645" w14:textId="77777777">
      <w:pPr>
        <w:pStyle w:val="Default"/>
      </w:pPr>
    </w:p>
    <w:p w:rsidR="00056EBF" w:rsidP="00A7264F" w14:paraId="54306390" w14:textId="77777777">
      <w:pPr>
        <w:pStyle w:val="Default"/>
      </w:pPr>
      <w:r w:rsidRPr="00056EBF">
        <w:t>Extensive research, including a meta-analysis of 38 experimental studies by Church (1993), found that cash incentives (ranging from $0.01 to $5.00) increased response rates by an average of 19.1% over control groups. More recent analyses by Singer and Ye (2013) and Mercer et al. (2015) confirm that incentives increase response across all modes, and that prepaid cash incentives are significantly more effective than promised, conditional, or non-monetary incentives.</w:t>
      </w:r>
    </w:p>
    <w:p w:rsidR="00056EBF" w:rsidP="00A7264F" w14:paraId="42BE1DAF" w14:textId="77777777">
      <w:pPr>
        <w:pStyle w:val="Default"/>
      </w:pPr>
    </w:p>
    <w:p w:rsidR="00056EBF" w:rsidP="00A7264F" w14:paraId="41615D1F" w14:textId="77777777">
      <w:pPr>
        <w:pStyle w:val="Default"/>
      </w:pPr>
      <w:r w:rsidRPr="00056EBF">
        <w:t xml:space="preserve">The FES design was rigorously tested in 2012–2013 (OMB Control No. 0648-0652) </w:t>
      </w:r>
      <w:r>
        <w:t>and included</w:t>
      </w:r>
      <w:r w:rsidRPr="00056EBF">
        <w:t xml:space="preserve"> an experiment comparing $0.00, $1.00, $2.00, and $5.00 </w:t>
      </w:r>
      <w:r>
        <w:t xml:space="preserve">incentive </w:t>
      </w:r>
      <w:r w:rsidRPr="00056EBF">
        <w:t>treatments. As shown in Table 1, response rates increased significantly with the incentive amount</w:t>
      </w:r>
      <w:r>
        <w:t xml:space="preserve">s.  </w:t>
      </w:r>
      <w:r w:rsidRPr="00056EBF">
        <w:t>While the $5.00 incentive yielded the highest raw response, the $1.00 and $2.00 treatments were the most economically efficient. Notably, including a $1.00 or $2.00 incentive lowered the cost per completed survey by approximately 20% relative to the non-incentive control group.</w:t>
      </w:r>
    </w:p>
    <w:p w:rsidR="00056EBF" w:rsidP="00A7264F" w14:paraId="235B1F61" w14:textId="77777777">
      <w:pPr>
        <w:pStyle w:val="Default"/>
      </w:pPr>
    </w:p>
    <w:p w:rsidR="00056EBF" w:rsidP="00A7264F" w14:paraId="298E53B4" w14:textId="3F52AA5C">
      <w:pPr>
        <w:pStyle w:val="Default"/>
      </w:pPr>
      <w:r w:rsidRPr="00056EBF">
        <w:t>We selected the $2.00 incentive because it provides a significantly higher response rate than the $1.00 version (36.0% vs. 32.2%) while maintaining near-peak cost efficiency ($0.80 vs. $0.78 relative cost). This balance maximizes the total number of completed surveys—improving the precision of fishing effort estimates—while minimizing the overall federal cost per response.</w:t>
      </w:r>
    </w:p>
    <w:p w:rsidR="00B97264" w14:paraId="33A805C3" w14:textId="77777777">
      <w:pPr>
        <w:spacing w:after="200" w:line="276" w:lineRule="auto"/>
        <w:rPr>
          <w:b/>
          <w:color w:val="000000"/>
        </w:rPr>
      </w:pPr>
      <w:r>
        <w:rPr>
          <w:b/>
        </w:rPr>
        <w:br w:type="page"/>
      </w:r>
    </w:p>
    <w:p w:rsidR="00BA44B4" w:rsidRPr="00BA44B4" w:rsidP="00A7264F" w14:paraId="3CB8622E" w14:textId="3D4FA635">
      <w:pPr>
        <w:pStyle w:val="Default"/>
        <w:rPr>
          <w:b/>
        </w:rPr>
      </w:pPr>
      <w:r w:rsidRPr="00BA44B4">
        <w:rPr>
          <w:b/>
        </w:rPr>
        <w:t xml:space="preserve">Table 1. Response rates, number of completed surveys and relative data collection costs for each </w:t>
      </w:r>
      <w:r>
        <w:rPr>
          <w:b/>
        </w:rPr>
        <w:t>incentive treatment</w:t>
      </w:r>
      <w:r w:rsidRPr="00BA44B4">
        <w:rPr>
          <w:b/>
        </w:rPr>
        <w:t xml:space="preserve"> tested during </w:t>
      </w:r>
      <w:r w:rsidR="00E63425">
        <w:rPr>
          <w:b/>
        </w:rPr>
        <w:t>FES testing</w:t>
      </w:r>
      <w:r w:rsidRPr="00BA44B4">
        <w:rPr>
          <w:b/>
        </w:rPr>
        <w:t>.</w:t>
      </w:r>
    </w:p>
    <w:p w:rsidR="00071AFF" w:rsidP="00A7264F" w14:paraId="089B4526" w14:textId="77777777">
      <w:pPr>
        <w:pStyle w:val="Default"/>
      </w:pPr>
    </w:p>
    <w:tbl>
      <w:tblPr>
        <w:tblW w:w="5828" w:type="dxa"/>
        <w:tblInd w:w="93" w:type="dxa"/>
        <w:tblLook w:val="04A0"/>
      </w:tblPr>
      <w:tblGrid>
        <w:gridCol w:w="1141"/>
        <w:gridCol w:w="1192"/>
        <w:gridCol w:w="1224"/>
        <w:gridCol w:w="2271"/>
      </w:tblGrid>
      <w:tr w14:paraId="69A617E4" w14:textId="77777777" w:rsidTr="00F37A65">
        <w:tblPrEx>
          <w:tblW w:w="5828" w:type="dxa"/>
          <w:tblInd w:w="93" w:type="dxa"/>
          <w:tblLook w:val="04A0"/>
        </w:tblPrEx>
        <w:trPr>
          <w:trHeight w:val="600"/>
        </w:trPr>
        <w:tc>
          <w:tcPr>
            <w:tcW w:w="1141" w:type="dxa"/>
            <w:tcBorders>
              <w:top w:val="single" w:sz="4" w:space="0" w:color="auto"/>
              <w:left w:val="nil"/>
              <w:bottom w:val="single" w:sz="4" w:space="0" w:color="auto"/>
              <w:right w:val="nil"/>
            </w:tcBorders>
            <w:hideMark/>
          </w:tcPr>
          <w:p w:rsidR="00F37A65" w:rsidRPr="008523EF" w:rsidP="004137F1" w14:paraId="47B86C64" w14:textId="77777777">
            <w:pPr>
              <w:spacing w:line="240" w:lineRule="auto"/>
              <w:jc w:val="center"/>
              <w:rPr>
                <w:color w:val="000000"/>
                <w:sz w:val="22"/>
                <w:szCs w:val="22"/>
              </w:rPr>
            </w:pPr>
            <w:r w:rsidRPr="008523EF">
              <w:rPr>
                <w:color w:val="000000"/>
                <w:sz w:val="22"/>
                <w:szCs w:val="22"/>
              </w:rPr>
              <w:t>Incentive Amount</w:t>
            </w:r>
          </w:p>
        </w:tc>
        <w:tc>
          <w:tcPr>
            <w:tcW w:w="1192" w:type="dxa"/>
            <w:tcBorders>
              <w:top w:val="single" w:sz="4" w:space="0" w:color="auto"/>
              <w:left w:val="nil"/>
              <w:bottom w:val="single" w:sz="4" w:space="0" w:color="auto"/>
              <w:right w:val="nil"/>
            </w:tcBorders>
            <w:hideMark/>
          </w:tcPr>
          <w:p w:rsidR="00F37A65" w:rsidRPr="008523EF" w:rsidP="004137F1" w14:paraId="09230AE7" w14:textId="77777777">
            <w:pPr>
              <w:spacing w:line="240" w:lineRule="auto"/>
              <w:jc w:val="center"/>
              <w:rPr>
                <w:color w:val="000000"/>
                <w:sz w:val="22"/>
                <w:szCs w:val="22"/>
              </w:rPr>
            </w:pPr>
            <w:r w:rsidRPr="008523EF">
              <w:rPr>
                <w:color w:val="000000"/>
                <w:sz w:val="22"/>
                <w:szCs w:val="22"/>
              </w:rPr>
              <w:t>Response Rate</w:t>
            </w:r>
          </w:p>
        </w:tc>
        <w:tc>
          <w:tcPr>
            <w:tcW w:w="1224" w:type="dxa"/>
            <w:tcBorders>
              <w:top w:val="single" w:sz="4" w:space="0" w:color="auto"/>
              <w:left w:val="nil"/>
              <w:bottom w:val="single" w:sz="4" w:space="0" w:color="auto"/>
              <w:right w:val="nil"/>
            </w:tcBorders>
            <w:hideMark/>
          </w:tcPr>
          <w:p w:rsidR="00F37A65" w:rsidRPr="008523EF" w:rsidP="004137F1" w14:paraId="2065F9D7" w14:textId="77777777">
            <w:pPr>
              <w:spacing w:line="240" w:lineRule="auto"/>
              <w:jc w:val="center"/>
              <w:rPr>
                <w:color w:val="000000"/>
                <w:sz w:val="22"/>
                <w:szCs w:val="22"/>
              </w:rPr>
            </w:pPr>
            <w:r w:rsidRPr="008523EF">
              <w:rPr>
                <w:color w:val="000000"/>
                <w:sz w:val="22"/>
                <w:szCs w:val="22"/>
              </w:rPr>
              <w:t>Completed Surveys</w:t>
            </w:r>
          </w:p>
        </w:tc>
        <w:tc>
          <w:tcPr>
            <w:tcW w:w="2271" w:type="dxa"/>
            <w:tcBorders>
              <w:top w:val="single" w:sz="4" w:space="0" w:color="auto"/>
              <w:left w:val="nil"/>
              <w:bottom w:val="single" w:sz="4" w:space="0" w:color="auto"/>
              <w:right w:val="nil"/>
            </w:tcBorders>
            <w:hideMark/>
          </w:tcPr>
          <w:p w:rsidR="00F37A65" w:rsidRPr="008523EF" w:rsidP="004137F1" w14:paraId="032E703F" w14:textId="4E7485CE">
            <w:pPr>
              <w:spacing w:line="240" w:lineRule="auto"/>
              <w:jc w:val="center"/>
              <w:rPr>
                <w:color w:val="000000"/>
                <w:sz w:val="22"/>
                <w:szCs w:val="22"/>
              </w:rPr>
            </w:pPr>
            <w:r w:rsidRPr="008523EF">
              <w:rPr>
                <w:color w:val="000000"/>
                <w:sz w:val="22"/>
                <w:szCs w:val="22"/>
              </w:rPr>
              <w:t>Relative Cost per Complete</w:t>
            </w:r>
            <w:r>
              <w:rPr>
                <w:rStyle w:val="FootnoteReference"/>
                <w:color w:val="000000"/>
                <w:sz w:val="22"/>
                <w:szCs w:val="22"/>
              </w:rPr>
              <w:footnoteReference w:id="5"/>
            </w:r>
          </w:p>
        </w:tc>
      </w:tr>
      <w:tr w14:paraId="108660A1" w14:textId="77777777" w:rsidTr="00F37A65">
        <w:tblPrEx>
          <w:tblW w:w="5828" w:type="dxa"/>
          <w:tblInd w:w="93" w:type="dxa"/>
          <w:tblLook w:val="04A0"/>
        </w:tblPrEx>
        <w:trPr>
          <w:trHeight w:val="300"/>
        </w:trPr>
        <w:tc>
          <w:tcPr>
            <w:tcW w:w="1141" w:type="dxa"/>
            <w:tcBorders>
              <w:top w:val="nil"/>
              <w:left w:val="nil"/>
              <w:bottom w:val="nil"/>
              <w:right w:val="nil"/>
            </w:tcBorders>
            <w:vAlign w:val="bottom"/>
            <w:hideMark/>
          </w:tcPr>
          <w:p w:rsidR="00F37A65" w:rsidRPr="008523EF" w:rsidP="008523EF" w14:paraId="23EF67C3" w14:textId="77777777">
            <w:pPr>
              <w:spacing w:line="240" w:lineRule="auto"/>
              <w:jc w:val="center"/>
              <w:rPr>
                <w:color w:val="000000"/>
                <w:sz w:val="22"/>
                <w:szCs w:val="22"/>
              </w:rPr>
            </w:pPr>
            <w:r w:rsidRPr="008523EF">
              <w:rPr>
                <w:color w:val="000000"/>
                <w:sz w:val="22"/>
                <w:szCs w:val="22"/>
              </w:rPr>
              <w:t xml:space="preserve">$0.00 </w:t>
            </w:r>
          </w:p>
        </w:tc>
        <w:tc>
          <w:tcPr>
            <w:tcW w:w="1192" w:type="dxa"/>
            <w:tcBorders>
              <w:top w:val="nil"/>
              <w:left w:val="nil"/>
              <w:bottom w:val="nil"/>
              <w:right w:val="nil"/>
            </w:tcBorders>
            <w:hideMark/>
          </w:tcPr>
          <w:p w:rsidR="00F37A65" w:rsidRPr="008523EF" w:rsidP="008523EF" w14:paraId="326C66D4" w14:textId="77777777">
            <w:pPr>
              <w:spacing w:line="240" w:lineRule="auto"/>
              <w:jc w:val="center"/>
              <w:rPr>
                <w:color w:val="000000"/>
                <w:sz w:val="22"/>
                <w:szCs w:val="22"/>
              </w:rPr>
            </w:pPr>
            <w:r w:rsidRPr="008523EF">
              <w:rPr>
                <w:color w:val="000000"/>
                <w:sz w:val="22"/>
                <w:szCs w:val="22"/>
              </w:rPr>
              <w:t>22.6</w:t>
            </w:r>
          </w:p>
        </w:tc>
        <w:tc>
          <w:tcPr>
            <w:tcW w:w="1224" w:type="dxa"/>
            <w:tcBorders>
              <w:top w:val="nil"/>
              <w:left w:val="nil"/>
              <w:bottom w:val="nil"/>
              <w:right w:val="nil"/>
            </w:tcBorders>
            <w:hideMark/>
          </w:tcPr>
          <w:p w:rsidR="00F37A65" w:rsidRPr="008523EF" w:rsidP="008523EF" w14:paraId="03B19555" w14:textId="77777777">
            <w:pPr>
              <w:spacing w:line="240" w:lineRule="auto"/>
              <w:jc w:val="center"/>
              <w:rPr>
                <w:color w:val="000000"/>
                <w:sz w:val="22"/>
                <w:szCs w:val="22"/>
              </w:rPr>
            </w:pPr>
            <w:r w:rsidRPr="008523EF">
              <w:rPr>
                <w:color w:val="000000"/>
                <w:sz w:val="22"/>
                <w:szCs w:val="22"/>
              </w:rPr>
              <w:t>2,154</w:t>
            </w:r>
          </w:p>
        </w:tc>
        <w:tc>
          <w:tcPr>
            <w:tcW w:w="2271" w:type="dxa"/>
            <w:tcBorders>
              <w:top w:val="nil"/>
              <w:left w:val="nil"/>
              <w:bottom w:val="nil"/>
              <w:right w:val="nil"/>
            </w:tcBorders>
            <w:hideMark/>
          </w:tcPr>
          <w:p w:rsidR="00F37A65" w:rsidRPr="008523EF" w:rsidP="008523EF" w14:paraId="4EBA87D7" w14:textId="0A8F8C35">
            <w:pPr>
              <w:spacing w:line="240" w:lineRule="auto"/>
              <w:jc w:val="center"/>
              <w:rPr>
                <w:color w:val="000000"/>
                <w:sz w:val="22"/>
                <w:szCs w:val="22"/>
              </w:rPr>
            </w:pPr>
            <w:r w:rsidRPr="008523EF">
              <w:rPr>
                <w:color w:val="000000"/>
                <w:sz w:val="22"/>
                <w:szCs w:val="22"/>
              </w:rPr>
              <w:t>1</w:t>
            </w:r>
          </w:p>
        </w:tc>
      </w:tr>
      <w:tr w14:paraId="15F78C46" w14:textId="77777777" w:rsidTr="00F37A65">
        <w:tblPrEx>
          <w:tblW w:w="5828" w:type="dxa"/>
          <w:tblInd w:w="93" w:type="dxa"/>
          <w:tblLook w:val="04A0"/>
        </w:tblPrEx>
        <w:trPr>
          <w:trHeight w:val="300"/>
        </w:trPr>
        <w:tc>
          <w:tcPr>
            <w:tcW w:w="1141" w:type="dxa"/>
            <w:tcBorders>
              <w:top w:val="nil"/>
              <w:left w:val="nil"/>
              <w:bottom w:val="nil"/>
              <w:right w:val="nil"/>
            </w:tcBorders>
            <w:vAlign w:val="bottom"/>
            <w:hideMark/>
          </w:tcPr>
          <w:p w:rsidR="00F37A65" w:rsidRPr="008523EF" w:rsidP="008523EF" w14:paraId="0E35BF22" w14:textId="77777777">
            <w:pPr>
              <w:spacing w:line="240" w:lineRule="auto"/>
              <w:jc w:val="center"/>
              <w:rPr>
                <w:color w:val="000000"/>
                <w:sz w:val="22"/>
                <w:szCs w:val="22"/>
              </w:rPr>
            </w:pPr>
            <w:r w:rsidRPr="008523EF">
              <w:rPr>
                <w:color w:val="000000"/>
                <w:sz w:val="22"/>
                <w:szCs w:val="22"/>
              </w:rPr>
              <w:t xml:space="preserve">$1.00 </w:t>
            </w:r>
          </w:p>
        </w:tc>
        <w:tc>
          <w:tcPr>
            <w:tcW w:w="1192" w:type="dxa"/>
            <w:tcBorders>
              <w:top w:val="nil"/>
              <w:left w:val="nil"/>
              <w:bottom w:val="nil"/>
              <w:right w:val="nil"/>
            </w:tcBorders>
            <w:hideMark/>
          </w:tcPr>
          <w:p w:rsidR="00F37A65" w:rsidRPr="008523EF" w:rsidP="008523EF" w14:paraId="3EF22922" w14:textId="77777777">
            <w:pPr>
              <w:spacing w:line="240" w:lineRule="auto"/>
              <w:jc w:val="center"/>
              <w:rPr>
                <w:color w:val="000000"/>
                <w:sz w:val="22"/>
                <w:szCs w:val="22"/>
              </w:rPr>
            </w:pPr>
            <w:r w:rsidRPr="008523EF">
              <w:rPr>
                <w:color w:val="000000"/>
                <w:sz w:val="22"/>
                <w:szCs w:val="22"/>
              </w:rPr>
              <w:t>32.2</w:t>
            </w:r>
          </w:p>
        </w:tc>
        <w:tc>
          <w:tcPr>
            <w:tcW w:w="1224" w:type="dxa"/>
            <w:tcBorders>
              <w:top w:val="nil"/>
              <w:left w:val="nil"/>
              <w:bottom w:val="nil"/>
              <w:right w:val="nil"/>
            </w:tcBorders>
            <w:hideMark/>
          </w:tcPr>
          <w:p w:rsidR="00F37A65" w:rsidRPr="008523EF" w:rsidP="008523EF" w14:paraId="6B20D684" w14:textId="77777777">
            <w:pPr>
              <w:spacing w:line="240" w:lineRule="auto"/>
              <w:jc w:val="center"/>
              <w:rPr>
                <w:color w:val="000000"/>
                <w:sz w:val="22"/>
                <w:szCs w:val="22"/>
              </w:rPr>
            </w:pPr>
            <w:r w:rsidRPr="008523EF">
              <w:rPr>
                <w:color w:val="000000"/>
                <w:sz w:val="22"/>
                <w:szCs w:val="22"/>
              </w:rPr>
              <w:t>3,065</w:t>
            </w:r>
          </w:p>
        </w:tc>
        <w:tc>
          <w:tcPr>
            <w:tcW w:w="2271" w:type="dxa"/>
            <w:tcBorders>
              <w:top w:val="nil"/>
              <w:left w:val="nil"/>
              <w:bottom w:val="nil"/>
              <w:right w:val="nil"/>
            </w:tcBorders>
            <w:hideMark/>
          </w:tcPr>
          <w:p w:rsidR="00F37A65" w:rsidRPr="008523EF" w:rsidP="008523EF" w14:paraId="65D265A2" w14:textId="6A649D28">
            <w:pPr>
              <w:spacing w:line="240" w:lineRule="auto"/>
              <w:jc w:val="center"/>
              <w:rPr>
                <w:color w:val="000000"/>
                <w:sz w:val="22"/>
                <w:szCs w:val="22"/>
              </w:rPr>
            </w:pPr>
            <w:r w:rsidRPr="008523EF">
              <w:rPr>
                <w:color w:val="000000"/>
                <w:sz w:val="22"/>
                <w:szCs w:val="22"/>
              </w:rPr>
              <w:t>0.78</w:t>
            </w:r>
          </w:p>
        </w:tc>
      </w:tr>
      <w:tr w14:paraId="63E3310D" w14:textId="77777777" w:rsidTr="00F37A65">
        <w:tblPrEx>
          <w:tblW w:w="5828" w:type="dxa"/>
          <w:tblInd w:w="93" w:type="dxa"/>
          <w:tblLook w:val="04A0"/>
        </w:tblPrEx>
        <w:trPr>
          <w:trHeight w:val="300"/>
        </w:trPr>
        <w:tc>
          <w:tcPr>
            <w:tcW w:w="1141" w:type="dxa"/>
            <w:tcBorders>
              <w:top w:val="nil"/>
              <w:left w:val="nil"/>
              <w:bottom w:val="nil"/>
              <w:right w:val="nil"/>
            </w:tcBorders>
            <w:vAlign w:val="bottom"/>
            <w:hideMark/>
          </w:tcPr>
          <w:p w:rsidR="00F37A65" w:rsidRPr="008523EF" w:rsidP="008523EF" w14:paraId="54CD1F69" w14:textId="77777777">
            <w:pPr>
              <w:spacing w:line="240" w:lineRule="auto"/>
              <w:jc w:val="center"/>
              <w:rPr>
                <w:color w:val="000000"/>
                <w:sz w:val="22"/>
                <w:szCs w:val="22"/>
              </w:rPr>
            </w:pPr>
            <w:r w:rsidRPr="008523EF">
              <w:rPr>
                <w:color w:val="000000"/>
                <w:sz w:val="22"/>
                <w:szCs w:val="22"/>
              </w:rPr>
              <w:t xml:space="preserve">$2.00 </w:t>
            </w:r>
          </w:p>
        </w:tc>
        <w:tc>
          <w:tcPr>
            <w:tcW w:w="1192" w:type="dxa"/>
            <w:tcBorders>
              <w:top w:val="nil"/>
              <w:left w:val="nil"/>
              <w:bottom w:val="nil"/>
              <w:right w:val="nil"/>
            </w:tcBorders>
            <w:hideMark/>
          </w:tcPr>
          <w:p w:rsidR="00F37A65" w:rsidRPr="008523EF" w:rsidP="008523EF" w14:paraId="5C3AF202" w14:textId="77777777">
            <w:pPr>
              <w:spacing w:line="240" w:lineRule="auto"/>
              <w:jc w:val="center"/>
              <w:rPr>
                <w:color w:val="000000"/>
                <w:sz w:val="22"/>
                <w:szCs w:val="22"/>
              </w:rPr>
            </w:pPr>
            <w:r w:rsidRPr="008523EF">
              <w:rPr>
                <w:color w:val="000000"/>
                <w:sz w:val="22"/>
                <w:szCs w:val="22"/>
              </w:rPr>
              <w:t>36.0</w:t>
            </w:r>
          </w:p>
        </w:tc>
        <w:tc>
          <w:tcPr>
            <w:tcW w:w="1224" w:type="dxa"/>
            <w:tcBorders>
              <w:top w:val="nil"/>
              <w:left w:val="nil"/>
              <w:bottom w:val="nil"/>
              <w:right w:val="nil"/>
            </w:tcBorders>
            <w:hideMark/>
          </w:tcPr>
          <w:p w:rsidR="00F37A65" w:rsidRPr="008523EF" w:rsidP="008523EF" w14:paraId="5C632206" w14:textId="77777777">
            <w:pPr>
              <w:spacing w:line="240" w:lineRule="auto"/>
              <w:jc w:val="center"/>
              <w:rPr>
                <w:color w:val="000000"/>
                <w:sz w:val="22"/>
                <w:szCs w:val="22"/>
              </w:rPr>
            </w:pPr>
            <w:r w:rsidRPr="008523EF">
              <w:rPr>
                <w:color w:val="000000"/>
                <w:sz w:val="22"/>
                <w:szCs w:val="22"/>
              </w:rPr>
              <w:t>3,415</w:t>
            </w:r>
          </w:p>
        </w:tc>
        <w:tc>
          <w:tcPr>
            <w:tcW w:w="2271" w:type="dxa"/>
            <w:tcBorders>
              <w:top w:val="nil"/>
              <w:left w:val="nil"/>
              <w:bottom w:val="nil"/>
              <w:right w:val="nil"/>
            </w:tcBorders>
            <w:hideMark/>
          </w:tcPr>
          <w:p w:rsidR="00F37A65" w:rsidRPr="008523EF" w:rsidP="008523EF" w14:paraId="621D1E37" w14:textId="6DFCBB28">
            <w:pPr>
              <w:spacing w:line="240" w:lineRule="auto"/>
              <w:jc w:val="center"/>
              <w:rPr>
                <w:color w:val="000000"/>
                <w:sz w:val="22"/>
                <w:szCs w:val="22"/>
              </w:rPr>
            </w:pPr>
            <w:r w:rsidRPr="008523EF">
              <w:rPr>
                <w:color w:val="000000"/>
                <w:sz w:val="22"/>
                <w:szCs w:val="22"/>
              </w:rPr>
              <w:t>0.80</w:t>
            </w:r>
          </w:p>
        </w:tc>
      </w:tr>
      <w:tr w14:paraId="53792E3B" w14:textId="77777777" w:rsidTr="00F37A65">
        <w:tblPrEx>
          <w:tblW w:w="5828" w:type="dxa"/>
          <w:tblInd w:w="93" w:type="dxa"/>
          <w:tblLook w:val="04A0"/>
        </w:tblPrEx>
        <w:trPr>
          <w:trHeight w:val="300"/>
        </w:trPr>
        <w:tc>
          <w:tcPr>
            <w:tcW w:w="1141" w:type="dxa"/>
            <w:tcBorders>
              <w:top w:val="nil"/>
              <w:left w:val="nil"/>
              <w:bottom w:val="single" w:sz="4" w:space="0" w:color="auto"/>
              <w:right w:val="nil"/>
            </w:tcBorders>
            <w:vAlign w:val="bottom"/>
            <w:hideMark/>
          </w:tcPr>
          <w:p w:rsidR="00F37A65" w:rsidRPr="008523EF" w:rsidP="008523EF" w14:paraId="1DDDAC72" w14:textId="77777777">
            <w:pPr>
              <w:spacing w:line="240" w:lineRule="auto"/>
              <w:jc w:val="center"/>
              <w:rPr>
                <w:color w:val="000000"/>
                <w:sz w:val="22"/>
                <w:szCs w:val="22"/>
              </w:rPr>
            </w:pPr>
            <w:r w:rsidRPr="008523EF">
              <w:rPr>
                <w:color w:val="000000"/>
                <w:sz w:val="22"/>
                <w:szCs w:val="22"/>
              </w:rPr>
              <w:t xml:space="preserve">$5.00 </w:t>
            </w:r>
          </w:p>
        </w:tc>
        <w:tc>
          <w:tcPr>
            <w:tcW w:w="1192" w:type="dxa"/>
            <w:tcBorders>
              <w:top w:val="nil"/>
              <w:left w:val="nil"/>
              <w:bottom w:val="single" w:sz="4" w:space="0" w:color="auto"/>
              <w:right w:val="nil"/>
            </w:tcBorders>
            <w:vAlign w:val="bottom"/>
            <w:hideMark/>
          </w:tcPr>
          <w:p w:rsidR="00F37A65" w:rsidRPr="008523EF" w:rsidP="008523EF" w14:paraId="5C2D5A65" w14:textId="77777777">
            <w:pPr>
              <w:spacing w:line="240" w:lineRule="auto"/>
              <w:jc w:val="center"/>
              <w:rPr>
                <w:color w:val="000000"/>
                <w:sz w:val="22"/>
                <w:szCs w:val="22"/>
              </w:rPr>
            </w:pPr>
            <w:r w:rsidRPr="008523EF">
              <w:rPr>
                <w:color w:val="000000"/>
                <w:sz w:val="22"/>
                <w:szCs w:val="22"/>
              </w:rPr>
              <w:t>40.8</w:t>
            </w:r>
          </w:p>
        </w:tc>
        <w:tc>
          <w:tcPr>
            <w:tcW w:w="1224" w:type="dxa"/>
            <w:tcBorders>
              <w:top w:val="nil"/>
              <w:left w:val="nil"/>
              <w:bottom w:val="single" w:sz="4" w:space="0" w:color="auto"/>
              <w:right w:val="nil"/>
            </w:tcBorders>
            <w:vAlign w:val="bottom"/>
            <w:hideMark/>
          </w:tcPr>
          <w:p w:rsidR="00F37A65" w:rsidRPr="008523EF" w:rsidP="008523EF" w14:paraId="52F1AB62" w14:textId="77777777">
            <w:pPr>
              <w:spacing w:line="240" w:lineRule="auto"/>
              <w:jc w:val="center"/>
              <w:rPr>
                <w:color w:val="000000"/>
                <w:sz w:val="22"/>
                <w:szCs w:val="22"/>
              </w:rPr>
            </w:pPr>
            <w:r w:rsidRPr="008523EF">
              <w:rPr>
                <w:color w:val="000000"/>
                <w:sz w:val="22"/>
                <w:szCs w:val="22"/>
              </w:rPr>
              <w:t>3,807</w:t>
            </w:r>
          </w:p>
        </w:tc>
        <w:tc>
          <w:tcPr>
            <w:tcW w:w="2271" w:type="dxa"/>
            <w:tcBorders>
              <w:top w:val="nil"/>
              <w:left w:val="nil"/>
              <w:bottom w:val="single" w:sz="4" w:space="0" w:color="auto"/>
              <w:right w:val="nil"/>
            </w:tcBorders>
            <w:hideMark/>
          </w:tcPr>
          <w:p w:rsidR="00F37A65" w:rsidRPr="008523EF" w:rsidP="008523EF" w14:paraId="1C48AE83" w14:textId="51D170AE">
            <w:pPr>
              <w:spacing w:line="240" w:lineRule="auto"/>
              <w:jc w:val="center"/>
              <w:rPr>
                <w:color w:val="000000"/>
                <w:sz w:val="22"/>
                <w:szCs w:val="22"/>
              </w:rPr>
            </w:pPr>
            <w:r w:rsidRPr="008523EF">
              <w:rPr>
                <w:color w:val="000000"/>
                <w:sz w:val="22"/>
                <w:szCs w:val="22"/>
              </w:rPr>
              <w:t>1.15</w:t>
            </w:r>
          </w:p>
        </w:tc>
      </w:tr>
    </w:tbl>
    <w:p w:rsidR="00BD450D" w:rsidP="00BD450D" w14:paraId="6AEF6EEA" w14:textId="77777777">
      <w:pPr>
        <w:pStyle w:val="Default"/>
      </w:pPr>
    </w:p>
    <w:p w:rsidR="00E8192C" w:rsidRPr="00B62209" w:rsidP="00BD450D" w14:paraId="599C7308" w14:textId="77777777">
      <w:pPr>
        <w:pStyle w:val="Default"/>
      </w:pPr>
    </w:p>
    <w:p w:rsidR="00BD450D" w:rsidP="00E8192C" w14:paraId="7E7EECE8" w14:textId="52346D65">
      <w:pPr>
        <w:pStyle w:val="CM23"/>
        <w:spacing w:after="0"/>
        <w:rPr>
          <w:b/>
          <w:bCs/>
        </w:rPr>
      </w:pPr>
      <w:r>
        <w:rPr>
          <w:b/>
          <w:bCs/>
        </w:rPr>
        <w:t xml:space="preserve">10. </w:t>
      </w:r>
      <w:r w:rsidRPr="00DC60DE" w:rsidR="00DC60DE">
        <w:rPr>
          <w:b/>
          <w:bCs/>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BD450D" w:rsidRPr="00B62209" w:rsidP="00BD450D" w14:paraId="665381AE" w14:textId="77777777">
      <w:pPr>
        <w:pStyle w:val="Default"/>
      </w:pPr>
    </w:p>
    <w:p w:rsidR="00E374E8" w:rsidP="00631E16" w14:paraId="2CA2E4BA" w14:textId="2D5B0C59">
      <w:pPr>
        <w:pStyle w:val="Default"/>
      </w:pPr>
      <w:r>
        <w:t>No personally identifiable information will be collected through t</w:t>
      </w:r>
      <w:r w:rsidR="009F2BEC">
        <w:t>he survey</w:t>
      </w:r>
      <w:r w:rsidR="008B0F6F">
        <w:t xml:space="preserve">.  Responses </w:t>
      </w:r>
      <w:r w:rsidR="00046927">
        <w:t>will only be associated with a unique, randomly assigned identification code</w:t>
      </w:r>
      <w:r>
        <w:t>.</w:t>
      </w:r>
      <w:r w:rsidR="00046927">
        <w:t xml:space="preserve">  </w:t>
      </w:r>
      <w:r w:rsidR="008B0F6F">
        <w:t xml:space="preserve">Any public release of survey data will be without identification as to its source or in aggregate statistical form.  </w:t>
      </w:r>
      <w:r w:rsidR="00046927">
        <w:t>All survey</w:t>
      </w:r>
      <w:r>
        <w:t xml:space="preserve"> data </w:t>
      </w:r>
      <w:r w:rsidR="00046927">
        <w:t>will be</w:t>
      </w:r>
      <w:r>
        <w:t xml:space="preserve"> </w:t>
      </w:r>
      <w:r w:rsidR="006473C1">
        <w:t>stored on secured, password protected servers, and all transfer</w:t>
      </w:r>
      <w:r w:rsidR="00ED3E2E">
        <w:t>s</w:t>
      </w:r>
      <w:r w:rsidR="006473C1">
        <w:t xml:space="preserve"> of survey data will </w:t>
      </w:r>
      <w:r w:rsidR="00046927">
        <w:t>utilize</w:t>
      </w:r>
      <w:r w:rsidR="006473C1">
        <w:t xml:space="preserve"> secure file transfer protocols.</w:t>
      </w:r>
      <w:r w:rsidR="009F2BEC">
        <w:t xml:space="preserve">  </w:t>
      </w:r>
    </w:p>
    <w:p w:rsidR="001E17D0" w:rsidP="00631E16" w14:paraId="002D785C" w14:textId="77777777">
      <w:pPr>
        <w:pStyle w:val="Default"/>
      </w:pPr>
    </w:p>
    <w:p w:rsidR="00E8192C" w:rsidRPr="00E374E8" w:rsidP="00631E16" w14:paraId="17FEFD61" w14:textId="77777777">
      <w:pPr>
        <w:pStyle w:val="Default"/>
      </w:pPr>
    </w:p>
    <w:p w:rsidR="00BD450D" w:rsidP="00A64854" w14:paraId="6B6F0B28" w14:textId="248C7A04">
      <w:pPr>
        <w:pStyle w:val="CM23"/>
        <w:spacing w:after="0"/>
        <w:rPr>
          <w:b/>
          <w:bCs/>
        </w:rPr>
      </w:pPr>
      <w:r>
        <w:rPr>
          <w:b/>
          <w:bCs/>
        </w:rPr>
        <w:t>1</w:t>
      </w:r>
      <w:r>
        <w:rPr>
          <w:b/>
          <w:bCs/>
        </w:rPr>
        <w:t xml:space="preserve">1. </w:t>
      </w:r>
      <w:r w:rsidRPr="00DC60DE" w:rsidR="00DC60DE">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C60DE">
        <w:rPr>
          <w:b/>
          <w:bCs/>
        </w:rPr>
        <w:t>.</w:t>
      </w:r>
      <w:r>
        <w:rPr>
          <w:b/>
          <w:bCs/>
        </w:rPr>
        <w:t xml:space="preserve"> </w:t>
      </w:r>
    </w:p>
    <w:p w:rsidR="00BD450D" w:rsidRPr="0067695B" w:rsidP="00BD450D" w14:paraId="1E0BDE0B" w14:textId="77777777">
      <w:pPr>
        <w:pStyle w:val="Default"/>
      </w:pPr>
    </w:p>
    <w:p w:rsidR="00BD450D" w:rsidP="00BD450D" w14:paraId="48520C0F" w14:textId="77777777">
      <w:pPr>
        <w:pStyle w:val="CM22"/>
        <w:spacing w:after="0"/>
      </w:pPr>
      <w:r>
        <w:t xml:space="preserve">No sensitive questions are asked. </w:t>
      </w:r>
    </w:p>
    <w:p w:rsidR="00437C39" w:rsidP="006850F5" w14:paraId="2F29278E" w14:textId="77777777">
      <w:pPr>
        <w:pStyle w:val="Default"/>
        <w:sectPr w:rsidSect="00EE4FD8">
          <w:footerReference w:type="default" r:id="rId9"/>
          <w:type w:val="continuous"/>
          <w:pgSz w:w="12240" w:h="15840"/>
          <w:pgMar w:top="1440" w:right="1440" w:bottom="720" w:left="1440" w:header="720" w:footer="720" w:gutter="0"/>
          <w:cols w:space="720"/>
          <w:noEndnote/>
          <w:docGrid w:linePitch="326"/>
        </w:sectPr>
      </w:pPr>
    </w:p>
    <w:p w:rsidR="006850F5" w:rsidP="006850F5" w14:paraId="7E4EF581" w14:textId="0B7C2969">
      <w:pPr>
        <w:pStyle w:val="CM23"/>
        <w:spacing w:after="0"/>
      </w:pPr>
      <w:r>
        <w:rPr>
          <w:b/>
          <w:bCs/>
        </w:rPr>
        <w:t xml:space="preserve">12. </w:t>
      </w:r>
      <w:r w:rsidRPr="008153A3" w:rsidR="008153A3">
        <w:rPr>
          <w:b/>
          <w:bCs/>
        </w:rPr>
        <w:t>Provide estimates of the hour burden of the collection of information.</w:t>
      </w:r>
      <w:r>
        <w:rPr>
          <w:b/>
          <w:bCs/>
        </w:rPr>
        <w:t xml:space="preserve"> </w:t>
      </w:r>
      <w:r>
        <w:t xml:space="preserve"> </w:t>
      </w:r>
    </w:p>
    <w:p w:rsidR="006850F5" w:rsidRPr="0067695B" w:rsidP="006850F5" w14:paraId="362D6307" w14:textId="77777777">
      <w:pPr>
        <w:pStyle w:val="Default"/>
      </w:pPr>
    </w:p>
    <w:p w:rsidR="0021267A" w:rsidRPr="0045480D" w:rsidP="0021267A" w14:paraId="063CE57A" w14:textId="1650A915">
      <w:pPr>
        <w:pStyle w:val="P1-StandPara"/>
        <w:spacing w:line="240" w:lineRule="auto"/>
        <w:ind w:firstLine="0"/>
        <w:rPr>
          <w:rFonts w:ascii="Times New Roman" w:hAnsi="Times New Roman"/>
          <w:b/>
        </w:rPr>
      </w:pPr>
      <w:r w:rsidRPr="0045480D">
        <w:rPr>
          <w:rFonts w:ascii="Times New Roman" w:hAnsi="Times New Roman"/>
        </w:rPr>
        <w:t xml:space="preserve">The estimated annual response burden per survey activity and the total estimated annual response burden are shown in Table 2.  The expected number of respondents and responses are based upon anticipated sample sizes and historical FES response </w:t>
      </w:r>
      <w:r w:rsidR="004757CB">
        <w:rPr>
          <w:rFonts w:ascii="Times New Roman" w:hAnsi="Times New Roman"/>
        </w:rPr>
        <w:t xml:space="preserve">rates. </w:t>
      </w:r>
      <w:r w:rsidR="00277515">
        <w:rPr>
          <w:rFonts w:ascii="Times New Roman" w:hAnsi="Times New Roman"/>
        </w:rPr>
        <w:t xml:space="preserve">The average time per response is estimated to be 5 </w:t>
      </w:r>
      <w:r w:rsidR="008521DF">
        <w:rPr>
          <w:rFonts w:ascii="Times New Roman" w:hAnsi="Times New Roman"/>
        </w:rPr>
        <w:t xml:space="preserve">minutes </w:t>
      </w:r>
      <w:r w:rsidR="00277515">
        <w:rPr>
          <w:rFonts w:ascii="Times New Roman" w:hAnsi="Times New Roman"/>
        </w:rPr>
        <w:t>(0.083</w:t>
      </w:r>
      <w:r w:rsidR="004C346E">
        <w:rPr>
          <w:rFonts w:ascii="Times New Roman" w:hAnsi="Times New Roman"/>
        </w:rPr>
        <w:t>33</w:t>
      </w:r>
      <w:r w:rsidR="00277515">
        <w:rPr>
          <w:rFonts w:ascii="Times New Roman" w:hAnsi="Times New Roman"/>
        </w:rPr>
        <w:t xml:space="preserve"> hours). </w:t>
      </w:r>
      <w:r w:rsidR="004757CB">
        <w:rPr>
          <w:rFonts w:ascii="Times New Roman" w:hAnsi="Times New Roman"/>
        </w:rPr>
        <w:t>The hourly rate of $</w:t>
      </w:r>
      <w:r w:rsidR="009F5E69">
        <w:rPr>
          <w:rFonts w:ascii="Times New Roman" w:hAnsi="Times New Roman"/>
        </w:rPr>
        <w:t>33.54</w:t>
      </w:r>
      <w:r w:rsidRPr="0045480D">
        <w:rPr>
          <w:rFonts w:ascii="Times New Roman" w:hAnsi="Times New Roman"/>
        </w:rPr>
        <w:t xml:space="preserve"> is based upon the average </w:t>
      </w:r>
      <w:r w:rsidR="00220485">
        <w:rPr>
          <w:rFonts w:ascii="Times New Roman" w:hAnsi="Times New Roman"/>
        </w:rPr>
        <w:t>wa</w:t>
      </w:r>
      <w:r w:rsidR="008521DF">
        <w:rPr>
          <w:rFonts w:ascii="Times New Roman" w:hAnsi="Times New Roman"/>
        </w:rPr>
        <w:t>g</w:t>
      </w:r>
      <w:r w:rsidR="00220485">
        <w:rPr>
          <w:rFonts w:ascii="Times New Roman" w:hAnsi="Times New Roman"/>
        </w:rPr>
        <w:t xml:space="preserve">es </w:t>
      </w:r>
      <w:r w:rsidRPr="0045480D">
        <w:rPr>
          <w:rFonts w:ascii="Times New Roman" w:hAnsi="Times New Roman"/>
        </w:rPr>
        <w:t xml:space="preserve">for all civilian workers </w:t>
      </w:r>
      <w:r w:rsidR="00220485">
        <w:rPr>
          <w:rFonts w:ascii="Times New Roman" w:hAnsi="Times New Roman"/>
        </w:rPr>
        <w:t xml:space="preserve">across all occupations </w:t>
      </w:r>
      <w:r w:rsidRPr="0045480D">
        <w:rPr>
          <w:rFonts w:ascii="Times New Roman" w:hAnsi="Times New Roman"/>
        </w:rPr>
        <w:t xml:space="preserve">from the </w:t>
      </w:r>
      <w:r w:rsidR="00220485">
        <w:rPr>
          <w:rFonts w:ascii="Times New Roman" w:hAnsi="Times New Roman"/>
        </w:rPr>
        <w:t>Bureau of Labor Statistics May</w:t>
      </w:r>
      <w:r w:rsidR="004757CB">
        <w:rPr>
          <w:rFonts w:ascii="Times New Roman" w:hAnsi="Times New Roman"/>
        </w:rPr>
        <w:t xml:space="preserve"> 202</w:t>
      </w:r>
      <w:r w:rsidR="009F5E69">
        <w:rPr>
          <w:rFonts w:ascii="Times New Roman" w:hAnsi="Times New Roman"/>
        </w:rPr>
        <w:t>5</w:t>
      </w:r>
      <w:r w:rsidRPr="0045480D">
        <w:rPr>
          <w:rFonts w:ascii="Times New Roman" w:hAnsi="Times New Roman"/>
        </w:rPr>
        <w:t xml:space="preserve"> </w:t>
      </w:r>
      <w:r w:rsidR="00220485">
        <w:rPr>
          <w:rFonts w:ascii="Times New Roman" w:hAnsi="Times New Roman"/>
        </w:rPr>
        <w:t>Occupational Outlook Handbook</w:t>
      </w:r>
      <w:r w:rsidRPr="0045480D">
        <w:rPr>
          <w:rFonts w:ascii="Times New Roman" w:hAnsi="Times New Roman"/>
        </w:rPr>
        <w:t xml:space="preserve"> (</w:t>
      </w:r>
      <w:hyperlink r:id="rId10" w:anchor="/industry/000000" w:history="1">
        <w:r w:rsidRPr="00FF578E" w:rsidR="00220485">
          <w:rPr>
            <w:rStyle w:val="Hyperlink"/>
          </w:rPr>
          <w:t>https://data.bls.gov/oes/#/industry/00</w:t>
        </w:r>
        <w:r w:rsidRPr="00FF578E" w:rsidR="00220485">
          <w:rPr>
            <w:rStyle w:val="Hyperlink"/>
          </w:rPr>
          <w:t>0</w:t>
        </w:r>
        <w:r w:rsidRPr="00FF578E" w:rsidR="00220485">
          <w:rPr>
            <w:rStyle w:val="Hyperlink"/>
          </w:rPr>
          <w:t>000</w:t>
        </w:r>
      </w:hyperlink>
      <w:r w:rsidR="00220485">
        <w:t xml:space="preserve">). </w:t>
      </w:r>
      <w:r w:rsidRPr="0045480D">
        <w:rPr>
          <w:rFonts w:ascii="Times New Roman" w:hAnsi="Times New Roman"/>
        </w:rPr>
        <w:t xml:space="preserve">There are no recordkeeping requirements associated with Fishing Effort Survey.  A total of </w:t>
      </w:r>
      <w:r w:rsidR="0027676B">
        <w:rPr>
          <w:rFonts w:ascii="Times New Roman" w:hAnsi="Times New Roman"/>
        </w:rPr>
        <w:t>9,3</w:t>
      </w:r>
      <w:r w:rsidR="001D5634">
        <w:rPr>
          <w:rFonts w:ascii="Times New Roman" w:hAnsi="Times New Roman"/>
        </w:rPr>
        <w:t>74</w:t>
      </w:r>
      <w:r w:rsidRPr="0045480D">
        <w:rPr>
          <w:rFonts w:ascii="Times New Roman" w:hAnsi="Times New Roman"/>
        </w:rPr>
        <w:t xml:space="preserve"> annual burden hours is anticipated, resulting in an annual cost to respondents of approximately $</w:t>
      </w:r>
      <w:r w:rsidR="004C346E">
        <w:rPr>
          <w:rFonts w:ascii="Times New Roman" w:hAnsi="Times New Roman"/>
        </w:rPr>
        <w:t>314,404</w:t>
      </w:r>
      <w:r w:rsidRPr="0045480D">
        <w:rPr>
          <w:rFonts w:ascii="Times New Roman" w:hAnsi="Times New Roman"/>
        </w:rPr>
        <w:t>.</w:t>
      </w:r>
    </w:p>
    <w:p w:rsidR="0021267A" w:rsidP="00934049" w14:paraId="693C3C4E" w14:textId="77777777">
      <w:pPr>
        <w:pStyle w:val="NoSpacing"/>
      </w:pPr>
      <w:r>
        <w:t xml:space="preserve">  </w:t>
      </w:r>
    </w:p>
    <w:p w:rsidR="00220485" w:rsidP="00934049" w14:paraId="3BAB29AE" w14:textId="306ADD84">
      <w:pPr>
        <w:pStyle w:val="NoSpacing"/>
      </w:pPr>
      <w:r>
        <w:t>Table 2. Estimated</w:t>
      </w:r>
      <w:r w:rsidR="0078773B">
        <w:t xml:space="preserve"> annual</w:t>
      </w:r>
      <w:r>
        <w:t xml:space="preserve"> response burden</w:t>
      </w:r>
    </w:p>
    <w:p w:rsidR="00BA72DF" w:rsidP="00934049" w14:paraId="506D12BC" w14:textId="77777777">
      <w:pPr>
        <w:pStyle w:val="NoSpacing"/>
      </w:pPr>
    </w:p>
    <w:tbl>
      <w:tblPr>
        <w:tblW w:w="0" w:type="auto"/>
        <w:tblCellMar>
          <w:top w:w="15" w:type="dxa"/>
          <w:left w:w="15" w:type="dxa"/>
          <w:bottom w:w="15" w:type="dxa"/>
          <w:right w:w="15" w:type="dxa"/>
        </w:tblCellMar>
        <w:tblLook w:val="04A0"/>
      </w:tblPr>
      <w:tblGrid>
        <w:gridCol w:w="2510"/>
        <w:gridCol w:w="1695"/>
        <w:gridCol w:w="1455"/>
        <w:gridCol w:w="1260"/>
        <w:gridCol w:w="1440"/>
        <w:gridCol w:w="1170"/>
        <w:gridCol w:w="1260"/>
        <w:gridCol w:w="1440"/>
        <w:gridCol w:w="1430"/>
      </w:tblGrid>
      <w:tr w14:paraId="4496ABC6" w14:textId="77777777" w:rsidTr="009F5E69">
        <w:tblPrEx>
          <w:tblW w:w="0" w:type="auto"/>
          <w:tblCellMar>
            <w:top w:w="15" w:type="dxa"/>
            <w:left w:w="15" w:type="dxa"/>
            <w:bottom w:w="15" w:type="dxa"/>
            <w:right w:w="15" w:type="dxa"/>
          </w:tblCellMar>
          <w:tblLook w:val="04A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256C372A" w14:textId="77777777">
            <w:pPr>
              <w:spacing w:line="240" w:lineRule="auto"/>
              <w:jc w:val="center"/>
            </w:pPr>
            <w:r w:rsidRPr="00BA72DF">
              <w:rPr>
                <w:rFonts w:ascii="Calibri" w:hAnsi="Calibri" w:cs="Calibri"/>
                <w:b/>
                <w:bCs/>
                <w:color w:val="000000"/>
                <w:sz w:val="16"/>
                <w:szCs w:val="16"/>
              </w:rPr>
              <w:t>Information Collection</w:t>
            </w:r>
          </w:p>
        </w:tc>
        <w:tc>
          <w:tcPr>
            <w:tcW w:w="1695"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438CFCBB" w14:textId="77777777">
            <w:pPr>
              <w:spacing w:line="240" w:lineRule="auto"/>
              <w:jc w:val="center"/>
            </w:pPr>
            <w:r w:rsidRPr="00BA72DF">
              <w:rPr>
                <w:rFonts w:ascii="Calibri" w:hAnsi="Calibri" w:cs="Calibri"/>
                <w:b/>
                <w:bCs/>
                <w:color w:val="000000"/>
                <w:sz w:val="16"/>
                <w:szCs w:val="16"/>
              </w:rPr>
              <w:t>Type of Respondent (e.g., Occupational Title)</w:t>
            </w:r>
          </w:p>
        </w:tc>
        <w:tc>
          <w:tcPr>
            <w:tcW w:w="1455"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12C86DCC" w14:textId="77777777">
            <w:pPr>
              <w:spacing w:line="240" w:lineRule="auto"/>
              <w:jc w:val="center"/>
            </w:pPr>
            <w:r w:rsidRPr="00BA72DF">
              <w:rPr>
                <w:rFonts w:ascii="Calibri" w:hAnsi="Calibri" w:cs="Calibri"/>
                <w:b/>
                <w:bCs/>
                <w:color w:val="000000"/>
                <w:sz w:val="16"/>
                <w:szCs w:val="16"/>
              </w:rPr>
              <w:t># of Respondents/year</w:t>
            </w:r>
            <w:r w:rsidRPr="00BA72DF">
              <w:rPr>
                <w:rFonts w:ascii="Calibri" w:hAnsi="Calibri" w:cs="Calibri"/>
                <w:b/>
                <w:bCs/>
                <w:color w:val="000000"/>
                <w:sz w:val="16"/>
                <w:szCs w:val="16"/>
              </w:rPr>
              <w:br/>
              <w:t>(a)</w:t>
            </w:r>
          </w:p>
        </w:tc>
        <w:tc>
          <w:tcPr>
            <w:tcW w:w="126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2E28F91C" w14:textId="77777777">
            <w:pPr>
              <w:spacing w:line="240" w:lineRule="auto"/>
              <w:jc w:val="center"/>
            </w:pPr>
            <w:r w:rsidRPr="00BA72DF">
              <w:rPr>
                <w:rFonts w:ascii="Calibri" w:hAnsi="Calibri" w:cs="Calibri"/>
                <w:b/>
                <w:bCs/>
                <w:color w:val="000000"/>
                <w:sz w:val="16"/>
                <w:szCs w:val="16"/>
              </w:rPr>
              <w:t>Annual # of Responses / Respondent</w:t>
            </w:r>
            <w:r w:rsidRPr="00BA72DF">
              <w:rPr>
                <w:rFonts w:ascii="Calibri" w:hAnsi="Calibri" w:cs="Calibri"/>
                <w:b/>
                <w:bCs/>
                <w:color w:val="000000"/>
                <w:sz w:val="16"/>
                <w:szCs w:val="16"/>
              </w:rPr>
              <w:br/>
              <w:t>(b)</w:t>
            </w:r>
          </w:p>
        </w:tc>
        <w:tc>
          <w:tcPr>
            <w:tcW w:w="144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74E98461" w14:textId="77777777">
            <w:pPr>
              <w:spacing w:line="240" w:lineRule="auto"/>
              <w:jc w:val="center"/>
            </w:pPr>
            <w:r w:rsidRPr="00BA72DF">
              <w:rPr>
                <w:rFonts w:ascii="Calibri" w:hAnsi="Calibri" w:cs="Calibri"/>
                <w:b/>
                <w:bCs/>
                <w:color w:val="000000"/>
                <w:sz w:val="16"/>
                <w:szCs w:val="16"/>
              </w:rPr>
              <w:t xml:space="preserve"> Total # of Annual Responses</w:t>
            </w:r>
            <w:r w:rsidRPr="00BA72DF">
              <w:rPr>
                <w:rFonts w:ascii="Calibri" w:hAnsi="Calibri" w:cs="Calibri"/>
                <w:b/>
                <w:bCs/>
                <w:color w:val="000000"/>
                <w:sz w:val="16"/>
                <w:szCs w:val="16"/>
              </w:rPr>
              <w:br/>
              <w:t>(c) = (a) x (b)</w:t>
            </w:r>
          </w:p>
        </w:tc>
        <w:tc>
          <w:tcPr>
            <w:tcW w:w="117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3D887BF1" w14:textId="77777777">
            <w:pPr>
              <w:spacing w:line="240" w:lineRule="auto"/>
              <w:jc w:val="center"/>
            </w:pPr>
            <w:r w:rsidRPr="00BA72DF">
              <w:rPr>
                <w:rFonts w:ascii="Calibri" w:hAnsi="Calibri" w:cs="Calibri"/>
                <w:b/>
                <w:bCs/>
                <w:color w:val="000000"/>
                <w:sz w:val="16"/>
                <w:szCs w:val="16"/>
              </w:rPr>
              <w:t xml:space="preserve">Burden </w:t>
            </w:r>
            <w:r w:rsidRPr="00BA72DF">
              <w:rPr>
                <w:rFonts w:ascii="Calibri" w:hAnsi="Calibri" w:cs="Calibri"/>
                <w:b/>
                <w:bCs/>
                <w:color w:val="000000"/>
                <w:sz w:val="16"/>
                <w:szCs w:val="16"/>
              </w:rPr>
              <w:t>Hrs</w:t>
            </w:r>
            <w:r w:rsidRPr="00BA72DF">
              <w:rPr>
                <w:rFonts w:ascii="Calibri" w:hAnsi="Calibri" w:cs="Calibri"/>
                <w:b/>
                <w:bCs/>
                <w:color w:val="000000"/>
                <w:sz w:val="16"/>
                <w:szCs w:val="16"/>
              </w:rPr>
              <w:t xml:space="preserve"> / Response</w:t>
            </w:r>
            <w:r w:rsidRPr="00BA72DF">
              <w:rPr>
                <w:rFonts w:ascii="Calibri" w:hAnsi="Calibri" w:cs="Calibri"/>
                <w:b/>
                <w:bCs/>
                <w:color w:val="000000"/>
                <w:sz w:val="16"/>
                <w:szCs w:val="16"/>
              </w:rPr>
              <w:br/>
              <w:t>(d)</w:t>
            </w:r>
          </w:p>
        </w:tc>
        <w:tc>
          <w:tcPr>
            <w:tcW w:w="126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3807AC63" w14:textId="07EF7497">
            <w:pPr>
              <w:spacing w:line="240" w:lineRule="auto"/>
              <w:jc w:val="center"/>
            </w:pPr>
            <w:r w:rsidRPr="00BA72DF">
              <w:rPr>
                <w:rFonts w:ascii="Calibri" w:hAnsi="Calibri" w:cs="Calibri"/>
                <w:b/>
                <w:bCs/>
                <w:color w:val="000000"/>
                <w:sz w:val="16"/>
                <w:szCs w:val="16"/>
              </w:rPr>
              <w:t xml:space="preserve">Total Annual Burden </w:t>
            </w:r>
            <w:r w:rsidRPr="00BA72DF">
              <w:rPr>
                <w:rFonts w:ascii="Calibri" w:hAnsi="Calibri" w:cs="Calibri"/>
                <w:b/>
                <w:bCs/>
                <w:color w:val="000000"/>
                <w:sz w:val="16"/>
                <w:szCs w:val="16"/>
              </w:rPr>
              <w:t>Hrs</w:t>
            </w:r>
            <w:r w:rsidRPr="00BA72DF">
              <w:rPr>
                <w:rFonts w:ascii="Calibri" w:hAnsi="Calibri" w:cs="Calibri"/>
                <w:b/>
                <w:bCs/>
                <w:color w:val="000000"/>
                <w:sz w:val="16"/>
                <w:szCs w:val="16"/>
              </w:rPr>
              <w:br/>
              <w:t>(e) = (c) x (d)</w:t>
            </w:r>
          </w:p>
        </w:tc>
        <w:tc>
          <w:tcPr>
            <w:tcW w:w="144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196D11A8" w14:textId="085876FC">
            <w:pPr>
              <w:spacing w:line="240" w:lineRule="auto"/>
              <w:jc w:val="center"/>
            </w:pPr>
            <w:r w:rsidRPr="00BA72DF">
              <w:rPr>
                <w:rFonts w:ascii="Calibri" w:hAnsi="Calibri" w:cs="Calibri"/>
                <w:b/>
                <w:bCs/>
                <w:color w:val="000000"/>
                <w:sz w:val="16"/>
                <w:szCs w:val="16"/>
              </w:rPr>
              <w:t>Hourly Wage Rate (for Type of Respondent)</w:t>
            </w:r>
            <w:r w:rsidRPr="00BA72DF">
              <w:rPr>
                <w:rFonts w:ascii="Calibri" w:hAnsi="Calibri" w:cs="Calibri"/>
                <w:b/>
                <w:bCs/>
                <w:color w:val="000000"/>
                <w:sz w:val="16"/>
                <w:szCs w:val="16"/>
              </w:rPr>
              <w:br/>
              <w:t>(f)</w:t>
            </w:r>
          </w:p>
        </w:tc>
        <w:tc>
          <w:tcPr>
            <w:tcW w:w="143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BA72DF" w:rsidRPr="00BA72DF" w:rsidP="00BA72DF" w14:paraId="084B1CA5" w14:textId="77777777">
            <w:pPr>
              <w:spacing w:line="240" w:lineRule="auto"/>
              <w:ind w:right="-30"/>
              <w:jc w:val="center"/>
            </w:pPr>
            <w:r w:rsidRPr="00BA72DF">
              <w:rPr>
                <w:rFonts w:ascii="Calibri" w:hAnsi="Calibri" w:cs="Calibri"/>
                <w:b/>
                <w:bCs/>
                <w:color w:val="000000"/>
                <w:sz w:val="16"/>
                <w:szCs w:val="16"/>
              </w:rPr>
              <w:t>Total Annual Wage Burden Costs</w:t>
            </w:r>
            <w:r w:rsidRPr="00BA72DF">
              <w:rPr>
                <w:rFonts w:ascii="Calibri" w:hAnsi="Calibri" w:cs="Calibri"/>
                <w:b/>
                <w:bCs/>
                <w:color w:val="000000"/>
                <w:sz w:val="16"/>
                <w:szCs w:val="16"/>
              </w:rPr>
              <w:br/>
              <w:t>(g) = (e) x (f)</w:t>
            </w:r>
          </w:p>
        </w:tc>
      </w:tr>
      <w:tr w14:paraId="54D0D1A8" w14:textId="77777777" w:rsidTr="009F5E69">
        <w:tblPrEx>
          <w:tblW w:w="0" w:type="auto"/>
          <w:tblCellMar>
            <w:top w:w="15" w:type="dxa"/>
            <w:left w:w="15" w:type="dxa"/>
            <w:bottom w:w="15" w:type="dxa"/>
            <w:right w:w="15" w:type="dxa"/>
          </w:tblCellMar>
          <w:tblLook w:val="04A0"/>
        </w:tblPrEx>
        <w:trPr>
          <w:cantSplit/>
        </w:trPr>
        <w:tc>
          <w:tcPr>
            <w:tcW w:w="2510"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6348AFDB" w14:textId="2FAC4B09">
            <w:pPr>
              <w:spacing w:line="240" w:lineRule="auto"/>
            </w:pPr>
            <w:bookmarkStart w:id="1" w:name="_Hlk234245240"/>
            <w:r>
              <w:rPr>
                <w:rFonts w:ascii="Calibri" w:hAnsi="Calibri" w:cs="Calibri"/>
                <w:color w:val="000000"/>
                <w:sz w:val="16"/>
                <w:szCs w:val="16"/>
              </w:rPr>
              <w:t>Weather and Outdoor Activity Survey</w:t>
            </w:r>
            <w:r w:rsidR="00C95736">
              <w:rPr>
                <w:rFonts w:ascii="Calibri" w:hAnsi="Calibri" w:cs="Calibri"/>
                <w:color w:val="000000"/>
                <w:sz w:val="16"/>
                <w:szCs w:val="16"/>
              </w:rPr>
              <w:t xml:space="preserve"> (FES)</w:t>
            </w:r>
          </w:p>
        </w:tc>
        <w:tc>
          <w:tcPr>
            <w:tcW w:w="1695"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768F5818" w14:textId="0552D8E8">
            <w:pPr>
              <w:spacing w:line="240" w:lineRule="auto"/>
              <w:jc w:val="center"/>
            </w:pPr>
            <w:r>
              <w:rPr>
                <w:rFonts w:ascii="Calibri" w:hAnsi="Calibri" w:cs="Calibri"/>
                <w:color w:val="000000"/>
                <w:sz w:val="16"/>
                <w:szCs w:val="16"/>
              </w:rPr>
              <w:t>All Occupations</w:t>
            </w:r>
          </w:p>
        </w:tc>
        <w:tc>
          <w:tcPr>
            <w:tcW w:w="1455"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7433945D" w14:textId="3A579428">
            <w:pPr>
              <w:spacing w:line="240" w:lineRule="auto"/>
              <w:jc w:val="center"/>
            </w:pPr>
            <w:r>
              <w:rPr>
                <w:rFonts w:ascii="Calibri" w:hAnsi="Calibri" w:cs="Calibri"/>
                <w:color w:val="000000"/>
                <w:sz w:val="16"/>
                <w:szCs w:val="16"/>
              </w:rPr>
              <w:t>110</w:t>
            </w:r>
            <w:r w:rsidR="00AC57A6">
              <w:rPr>
                <w:rFonts w:ascii="Calibri" w:hAnsi="Calibri" w:cs="Calibri"/>
                <w:color w:val="000000"/>
                <w:sz w:val="16"/>
                <w:szCs w:val="16"/>
              </w:rPr>
              <w:t>,</w:t>
            </w:r>
            <w:r>
              <w:rPr>
                <w:rFonts w:ascii="Calibri" w:hAnsi="Calibri" w:cs="Calibri"/>
                <w:color w:val="000000"/>
                <w:sz w:val="16"/>
                <w:szCs w:val="16"/>
              </w:rPr>
              <w:t>000</w:t>
            </w:r>
          </w:p>
        </w:tc>
        <w:tc>
          <w:tcPr>
            <w:tcW w:w="126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79CFB987" w14:textId="5F96B018">
            <w:pPr>
              <w:spacing w:line="240" w:lineRule="auto"/>
              <w:jc w:val="center"/>
            </w:pPr>
            <w:r>
              <w:rPr>
                <w:rFonts w:ascii="Calibri" w:hAnsi="Calibri" w:cs="Calibri"/>
                <w:color w:val="000000"/>
                <w:sz w:val="16"/>
                <w:szCs w:val="16"/>
              </w:rPr>
              <w:t>1</w:t>
            </w:r>
          </w:p>
        </w:tc>
        <w:tc>
          <w:tcPr>
            <w:tcW w:w="144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310D7917" w14:textId="2066B60C">
            <w:pPr>
              <w:spacing w:line="240" w:lineRule="auto"/>
              <w:jc w:val="center"/>
            </w:pPr>
            <w:r>
              <w:rPr>
                <w:rFonts w:ascii="Calibri" w:hAnsi="Calibri" w:cs="Calibri"/>
                <w:color w:val="000000"/>
                <w:sz w:val="16"/>
                <w:szCs w:val="16"/>
              </w:rPr>
              <w:t>110</w:t>
            </w:r>
            <w:r w:rsidR="00AC57A6">
              <w:rPr>
                <w:rFonts w:ascii="Calibri" w:hAnsi="Calibri" w:cs="Calibri"/>
                <w:color w:val="000000"/>
                <w:sz w:val="16"/>
                <w:szCs w:val="16"/>
              </w:rPr>
              <w:t>,</w:t>
            </w:r>
            <w:r>
              <w:rPr>
                <w:rFonts w:ascii="Calibri" w:hAnsi="Calibri" w:cs="Calibri"/>
                <w:color w:val="000000"/>
                <w:sz w:val="16"/>
                <w:szCs w:val="16"/>
              </w:rPr>
              <w:t>000</w:t>
            </w:r>
          </w:p>
        </w:tc>
        <w:tc>
          <w:tcPr>
            <w:tcW w:w="117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6CEB235F" w14:textId="7AA685C2">
            <w:pPr>
              <w:spacing w:line="240" w:lineRule="auto"/>
              <w:jc w:val="center"/>
            </w:pPr>
            <w:r>
              <w:rPr>
                <w:rFonts w:ascii="Calibri" w:hAnsi="Calibri" w:cs="Calibri"/>
                <w:color w:val="000000"/>
                <w:sz w:val="16"/>
                <w:szCs w:val="16"/>
              </w:rPr>
              <w:t>0.083</w:t>
            </w:r>
            <w:r w:rsidR="004C346E">
              <w:rPr>
                <w:rFonts w:ascii="Calibri" w:hAnsi="Calibri" w:cs="Calibri"/>
                <w:color w:val="000000"/>
                <w:sz w:val="16"/>
                <w:szCs w:val="16"/>
              </w:rPr>
              <w:t>33</w:t>
            </w:r>
          </w:p>
        </w:tc>
        <w:tc>
          <w:tcPr>
            <w:tcW w:w="126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13B8E050" w14:textId="67FBB4F3">
            <w:pPr>
              <w:spacing w:line="240" w:lineRule="auto"/>
              <w:jc w:val="center"/>
            </w:pPr>
            <w:r>
              <w:rPr>
                <w:rFonts w:ascii="Calibri" w:hAnsi="Calibri" w:cs="Calibri"/>
                <w:color w:val="000000"/>
                <w:sz w:val="16"/>
                <w:szCs w:val="16"/>
              </w:rPr>
              <w:t>9,166</w:t>
            </w:r>
          </w:p>
        </w:tc>
        <w:tc>
          <w:tcPr>
            <w:tcW w:w="144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368206A6" w14:textId="23C83D17">
            <w:pPr>
              <w:spacing w:line="240" w:lineRule="auto"/>
              <w:jc w:val="center"/>
            </w:pPr>
            <w:r>
              <w:rPr>
                <w:rFonts w:ascii="Calibri" w:hAnsi="Calibri" w:cs="Calibri"/>
                <w:color w:val="000000"/>
                <w:sz w:val="16"/>
                <w:szCs w:val="16"/>
              </w:rPr>
              <w:t>$33.54</w:t>
            </w:r>
          </w:p>
        </w:tc>
        <w:tc>
          <w:tcPr>
            <w:tcW w:w="1430"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rsidR="00BA72DF" w:rsidRPr="004C346E" w:rsidP="009F5E69" w14:paraId="3545E0E0" w14:textId="0ACF0F6C">
            <w:pPr>
              <w:spacing w:line="240" w:lineRule="auto"/>
              <w:jc w:val="center"/>
              <w:rPr>
                <w:rFonts w:asciiTheme="minorHAnsi" w:hAnsiTheme="minorHAnsi" w:cstheme="minorHAnsi"/>
                <w:sz w:val="16"/>
                <w:szCs w:val="16"/>
              </w:rPr>
            </w:pPr>
            <w:r w:rsidRPr="004C346E">
              <w:rPr>
                <w:rFonts w:asciiTheme="minorHAnsi" w:hAnsiTheme="minorHAnsi" w:cstheme="minorHAnsi"/>
                <w:sz w:val="16"/>
                <w:szCs w:val="16"/>
              </w:rPr>
              <w:t>$307,428</w:t>
            </w:r>
          </w:p>
        </w:tc>
      </w:tr>
      <w:tr w14:paraId="7C13BFEC" w14:textId="77777777" w:rsidTr="004C346E">
        <w:tblPrEx>
          <w:tblW w:w="0" w:type="auto"/>
          <w:tblCellMar>
            <w:top w:w="15" w:type="dxa"/>
            <w:left w:w="15" w:type="dxa"/>
            <w:bottom w:w="15" w:type="dxa"/>
            <w:right w:w="15" w:type="dxa"/>
          </w:tblCellMar>
          <w:tblLook w:val="04A0"/>
        </w:tblPrEx>
        <w:trPr>
          <w:cantSplit/>
          <w:trHeight w:val="323"/>
        </w:trPr>
        <w:tc>
          <w:tcPr>
            <w:tcW w:w="251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6A080387" w14:textId="294FD549">
            <w:pPr>
              <w:spacing w:line="240" w:lineRule="auto"/>
            </w:pPr>
            <w:r>
              <w:rPr>
                <w:rFonts w:ascii="Calibri" w:hAnsi="Calibri" w:cs="Calibri"/>
                <w:color w:val="000000"/>
                <w:sz w:val="16"/>
                <w:szCs w:val="16"/>
              </w:rPr>
              <w:t>Web-Push Study</w:t>
            </w:r>
          </w:p>
        </w:tc>
        <w:tc>
          <w:tcPr>
            <w:tcW w:w="1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507C48A7" w14:textId="07171155">
            <w:pPr>
              <w:spacing w:line="240" w:lineRule="auto"/>
              <w:jc w:val="center"/>
            </w:pPr>
            <w:r>
              <w:rPr>
                <w:rFonts w:ascii="Calibri" w:hAnsi="Calibri" w:cs="Calibri"/>
                <w:color w:val="000000"/>
                <w:sz w:val="16"/>
                <w:szCs w:val="16"/>
              </w:rPr>
              <w:t>All Occupations</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4AFC1D1D" w14:textId="4CDB9EC4">
            <w:pPr>
              <w:spacing w:line="240" w:lineRule="auto"/>
              <w:jc w:val="center"/>
            </w:pPr>
            <w:r>
              <w:rPr>
                <w:rFonts w:ascii="Calibri" w:hAnsi="Calibri" w:cs="Calibri"/>
                <w:color w:val="000000"/>
                <w:sz w:val="16"/>
                <w:szCs w:val="16"/>
              </w:rPr>
              <w:t>2</w:t>
            </w:r>
            <w:r w:rsidR="00AC57A6">
              <w:rPr>
                <w:rFonts w:ascii="Calibri" w:hAnsi="Calibri" w:cs="Calibri"/>
                <w:color w:val="000000"/>
                <w:sz w:val="16"/>
                <w:szCs w:val="16"/>
              </w:rPr>
              <w:t>,</w:t>
            </w:r>
            <w:r>
              <w:rPr>
                <w:rFonts w:ascii="Calibri" w:hAnsi="Calibri" w:cs="Calibri"/>
                <w:color w:val="000000"/>
                <w:sz w:val="16"/>
                <w:szCs w:val="16"/>
              </w:rPr>
              <w:t>500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44F5B155" w14:textId="174C52F6">
            <w:pPr>
              <w:spacing w:line="240" w:lineRule="auto"/>
              <w:jc w:val="center"/>
            </w:pPr>
            <w:r>
              <w:rPr>
                <w:rFonts w:ascii="Calibri" w:hAnsi="Calibri" w:cs="Calibri"/>
                <w:color w:val="000000"/>
                <w:sz w:val="16"/>
                <w:szCs w:val="16"/>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20A0F4E1" w14:textId="1F62B2F8">
            <w:pPr>
              <w:spacing w:line="240" w:lineRule="auto"/>
              <w:jc w:val="center"/>
            </w:pPr>
            <w:r>
              <w:rPr>
                <w:rFonts w:ascii="Calibri" w:hAnsi="Calibri" w:cs="Calibri"/>
                <w:color w:val="000000"/>
                <w:sz w:val="16"/>
                <w:szCs w:val="16"/>
              </w:rPr>
              <w:t>2</w:t>
            </w:r>
            <w:r w:rsidR="00AC57A6">
              <w:rPr>
                <w:rFonts w:ascii="Calibri" w:hAnsi="Calibri" w:cs="Calibri"/>
                <w:color w:val="000000"/>
                <w:sz w:val="16"/>
                <w:szCs w:val="16"/>
              </w:rPr>
              <w:t>,</w:t>
            </w:r>
            <w:r>
              <w:rPr>
                <w:rFonts w:ascii="Calibri" w:hAnsi="Calibri" w:cs="Calibri"/>
                <w:color w:val="000000"/>
                <w:sz w:val="16"/>
                <w:szCs w:val="16"/>
              </w:rPr>
              <w:t>500</w:t>
            </w:r>
          </w:p>
        </w:tc>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59DF1DE6" w14:textId="48008E00">
            <w:pPr>
              <w:spacing w:line="240" w:lineRule="auto"/>
              <w:jc w:val="center"/>
            </w:pPr>
            <w:r>
              <w:rPr>
                <w:rFonts w:ascii="Calibri" w:hAnsi="Calibri" w:cs="Calibri"/>
                <w:color w:val="000000"/>
                <w:sz w:val="16"/>
                <w:szCs w:val="16"/>
              </w:rPr>
              <w:t>0.083</w:t>
            </w:r>
            <w:r w:rsidR="004C346E">
              <w:rPr>
                <w:rFonts w:ascii="Calibri" w:hAnsi="Calibri" w:cs="Calibri"/>
                <w:color w:val="000000"/>
                <w:sz w:val="16"/>
                <w:szCs w:val="16"/>
              </w:rPr>
              <w:t>33</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5F8AE94E" w14:textId="14236420">
            <w:pPr>
              <w:spacing w:line="240" w:lineRule="auto"/>
              <w:jc w:val="center"/>
            </w:pPr>
            <w:r>
              <w:rPr>
                <w:rFonts w:ascii="Calibri" w:hAnsi="Calibri" w:cs="Calibri"/>
                <w:color w:val="000000"/>
                <w:sz w:val="16"/>
                <w:szCs w:val="16"/>
              </w:rPr>
              <w:t>208</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A72DF" w:rsidRPr="00BA72DF" w:rsidP="009F5E69" w14:paraId="6F252CA0" w14:textId="53DC65AF">
            <w:pPr>
              <w:spacing w:line="240" w:lineRule="auto"/>
              <w:jc w:val="center"/>
            </w:pPr>
            <w:r>
              <w:rPr>
                <w:rFonts w:ascii="Calibri" w:hAnsi="Calibri" w:cs="Calibri"/>
                <w:color w:val="000000"/>
                <w:sz w:val="16"/>
                <w:szCs w:val="16"/>
              </w:rPr>
              <w:t>$33.54</w:t>
            </w:r>
          </w:p>
        </w:tc>
        <w:tc>
          <w:tcPr>
            <w:tcW w:w="1430"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rsidR="00BA72DF" w:rsidRPr="004C346E" w:rsidP="009F5E69" w14:paraId="002DE76C" w14:textId="201A97F3">
            <w:pPr>
              <w:spacing w:line="240" w:lineRule="auto"/>
              <w:jc w:val="center"/>
              <w:rPr>
                <w:rFonts w:asciiTheme="minorHAnsi" w:hAnsiTheme="minorHAnsi" w:cstheme="minorHAnsi"/>
                <w:sz w:val="16"/>
                <w:szCs w:val="16"/>
              </w:rPr>
            </w:pPr>
            <w:r w:rsidRPr="004C346E">
              <w:rPr>
                <w:rFonts w:asciiTheme="minorHAnsi" w:hAnsiTheme="minorHAnsi" w:cstheme="minorHAnsi"/>
                <w:sz w:val="16"/>
                <w:szCs w:val="16"/>
              </w:rPr>
              <w:t>$6,976</w:t>
            </w:r>
          </w:p>
        </w:tc>
      </w:tr>
      <w:bookmarkEnd w:id="1"/>
      <w:tr w14:paraId="6420BE6A" w14:textId="77777777" w:rsidTr="009F5E69">
        <w:tblPrEx>
          <w:tblW w:w="0" w:type="auto"/>
          <w:tblCellMar>
            <w:top w:w="15" w:type="dxa"/>
            <w:left w:w="15" w:type="dxa"/>
            <w:bottom w:w="15" w:type="dxa"/>
            <w:right w:w="15" w:type="dxa"/>
          </w:tblCellMar>
          <w:tblLook w:val="04A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BA72DF" w:rsidRPr="00BA72DF" w:rsidP="00BA72DF" w14:paraId="5BB3E3CC" w14:textId="77777777">
            <w:pPr>
              <w:spacing w:line="240" w:lineRule="auto"/>
            </w:pPr>
            <w:r w:rsidRPr="00BA72DF">
              <w:rPr>
                <w:rFonts w:ascii="Calibri" w:hAnsi="Calibri" w:cs="Calibri"/>
                <w:b/>
                <w:bCs/>
                <w:color w:val="000000"/>
              </w:rPr>
              <w:t>Totals</w:t>
            </w:r>
          </w:p>
        </w:tc>
        <w:tc>
          <w:tcPr>
            <w:tcW w:w="1695"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BA72DF" w:rsidRPr="00BA72DF" w:rsidP="00BA72DF" w14:paraId="1F36F8C1" w14:textId="77777777">
            <w:pPr>
              <w:spacing w:line="240" w:lineRule="auto"/>
            </w:pPr>
            <w:r w:rsidRPr="00BA72DF">
              <w:rPr>
                <w:rFonts w:ascii="Calibri" w:hAnsi="Calibri" w:cs="Calibri"/>
                <w:b/>
                <w:bCs/>
                <w:color w:val="000000"/>
              </w:rPr>
              <w:t> </w:t>
            </w:r>
          </w:p>
        </w:tc>
        <w:tc>
          <w:tcPr>
            <w:tcW w:w="1455"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BA72DF" w:rsidRPr="00BA72DF" w:rsidP="009F5E69" w14:paraId="1AF1D051" w14:textId="4BB682A7">
            <w:pPr>
              <w:spacing w:line="240" w:lineRule="auto"/>
              <w:jc w:val="center"/>
            </w:pPr>
          </w:p>
        </w:tc>
        <w:tc>
          <w:tcPr>
            <w:tcW w:w="126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BA72DF" w:rsidRPr="00BA72DF" w:rsidP="009F5E69" w14:paraId="49D182D9" w14:textId="33BF20A7">
            <w:pPr>
              <w:spacing w:line="240" w:lineRule="auto"/>
              <w:jc w:val="center"/>
            </w:pPr>
          </w:p>
        </w:tc>
        <w:tc>
          <w:tcPr>
            <w:tcW w:w="144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BA72DF" w:rsidRPr="00BA72DF" w:rsidP="009F5E69" w14:paraId="0595AD5B" w14:textId="4654744B">
            <w:pPr>
              <w:spacing w:line="240" w:lineRule="auto"/>
              <w:jc w:val="center"/>
              <w:rPr>
                <w:sz w:val="18"/>
                <w:szCs w:val="18"/>
              </w:rPr>
            </w:pPr>
            <w:r w:rsidRPr="008B03D2">
              <w:rPr>
                <w:rFonts w:ascii="Calibri" w:hAnsi="Calibri" w:cs="Calibri"/>
                <w:b/>
                <w:bCs/>
                <w:color w:val="000000"/>
                <w:sz w:val="18"/>
                <w:szCs w:val="18"/>
              </w:rPr>
              <w:t>11</w:t>
            </w:r>
            <w:r w:rsidR="00FC5CB1">
              <w:rPr>
                <w:rFonts w:ascii="Calibri" w:hAnsi="Calibri" w:cs="Calibri"/>
                <w:b/>
                <w:bCs/>
                <w:color w:val="000000"/>
                <w:sz w:val="18"/>
                <w:szCs w:val="18"/>
              </w:rPr>
              <w:t>2,</w:t>
            </w:r>
            <w:r w:rsidRPr="008B03D2">
              <w:rPr>
                <w:rFonts w:ascii="Calibri" w:hAnsi="Calibri" w:cs="Calibri"/>
                <w:b/>
                <w:bCs/>
                <w:color w:val="000000"/>
                <w:sz w:val="18"/>
                <w:szCs w:val="18"/>
              </w:rPr>
              <w:t>500</w:t>
            </w:r>
          </w:p>
        </w:tc>
        <w:tc>
          <w:tcPr>
            <w:tcW w:w="117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BA72DF" w:rsidRPr="00BA72DF" w:rsidP="009F5E69" w14:paraId="5A282C76" w14:textId="30FE41FB">
            <w:pPr>
              <w:spacing w:line="240" w:lineRule="auto"/>
              <w:jc w:val="center"/>
            </w:pPr>
          </w:p>
        </w:tc>
        <w:tc>
          <w:tcPr>
            <w:tcW w:w="126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BA72DF" w:rsidRPr="00BA72DF" w:rsidP="009F5E69" w14:paraId="523E91BE" w14:textId="2AB584FC">
            <w:pPr>
              <w:spacing w:line="240" w:lineRule="auto"/>
              <w:jc w:val="center"/>
              <w:rPr>
                <w:b/>
                <w:bCs/>
                <w:sz w:val="18"/>
                <w:szCs w:val="18"/>
              </w:rPr>
            </w:pPr>
            <w:r w:rsidRPr="008B03D2">
              <w:rPr>
                <w:rFonts w:ascii="Calibri" w:hAnsi="Calibri" w:cs="Calibri"/>
                <w:b/>
                <w:bCs/>
                <w:color w:val="000000"/>
                <w:sz w:val="18"/>
                <w:szCs w:val="18"/>
              </w:rPr>
              <w:t>9</w:t>
            </w:r>
            <w:r w:rsidR="008521DF">
              <w:rPr>
                <w:rFonts w:ascii="Calibri" w:hAnsi="Calibri" w:cs="Calibri"/>
                <w:b/>
                <w:bCs/>
                <w:color w:val="000000"/>
                <w:sz w:val="18"/>
                <w:szCs w:val="18"/>
              </w:rPr>
              <w:t>,</w:t>
            </w:r>
            <w:r w:rsidR="00FC5CB1">
              <w:rPr>
                <w:rFonts w:ascii="Calibri" w:hAnsi="Calibri" w:cs="Calibri"/>
                <w:b/>
                <w:bCs/>
                <w:color w:val="000000"/>
                <w:sz w:val="18"/>
                <w:szCs w:val="18"/>
              </w:rPr>
              <w:t>3</w:t>
            </w:r>
            <w:r w:rsidR="004C346E">
              <w:rPr>
                <w:rFonts w:ascii="Calibri" w:hAnsi="Calibri" w:cs="Calibri"/>
                <w:b/>
                <w:bCs/>
                <w:color w:val="000000"/>
                <w:sz w:val="18"/>
                <w:szCs w:val="18"/>
              </w:rPr>
              <w:t>74</w:t>
            </w:r>
          </w:p>
        </w:tc>
        <w:tc>
          <w:tcPr>
            <w:tcW w:w="144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BA72DF" w:rsidRPr="00BA72DF" w:rsidP="009F5E69" w14:paraId="456A0EEC" w14:textId="1844E7AF">
            <w:pPr>
              <w:spacing w:line="240" w:lineRule="auto"/>
              <w:jc w:val="center"/>
            </w:pPr>
          </w:p>
        </w:tc>
        <w:tc>
          <w:tcPr>
            <w:tcW w:w="143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tcPr>
          <w:p w:rsidR="00BA72DF" w:rsidRPr="004C346E" w:rsidP="009F5E69" w14:paraId="10CB58F7" w14:textId="59860BE1">
            <w:pPr>
              <w:spacing w:line="240" w:lineRule="auto"/>
              <w:jc w:val="center"/>
              <w:rPr>
                <w:rFonts w:asciiTheme="minorHAnsi" w:hAnsiTheme="minorHAnsi" w:cstheme="minorHAnsi"/>
                <w:b/>
                <w:bCs/>
                <w:sz w:val="18"/>
                <w:szCs w:val="18"/>
              </w:rPr>
            </w:pPr>
            <w:r w:rsidRPr="004C346E">
              <w:rPr>
                <w:rFonts w:asciiTheme="minorHAnsi" w:hAnsiTheme="minorHAnsi" w:cstheme="minorHAnsi"/>
                <w:b/>
                <w:bCs/>
                <w:sz w:val="18"/>
                <w:szCs w:val="18"/>
              </w:rPr>
              <w:t>$314,404</w:t>
            </w:r>
          </w:p>
        </w:tc>
      </w:tr>
    </w:tbl>
    <w:p w:rsidR="00063325" w:rsidP="00934049" w14:paraId="51127787" w14:textId="3E6ABA80">
      <w:pPr>
        <w:pStyle w:val="NoSpacing"/>
        <w:rPr>
          <w:sz w:val="22"/>
          <w:szCs w:val="22"/>
        </w:rPr>
      </w:pPr>
      <w:r>
        <w:fldChar w:fldCharType="begin"/>
      </w:r>
      <w:r>
        <w:instrText xml:space="preserve"> LINK </w:instrText>
      </w:r>
      <w:r w:rsidR="005773B1">
        <w:instrText xml:space="preserve">Excel.Sheet.12 \\\\HQDATA1\\GROUPS1\\ST\\ST1\\MRFSS\\OMB_PRA\\FES\\2020\\FES_OMB_PRA_2020_response_burden.xlsx Sheet1!R1C1:R5C7 </w:instrText>
      </w:r>
      <w:r>
        <w:instrText xml:space="preserve">\a \f 5 \h  \* MERGEFORMAT </w:instrText>
      </w:r>
      <w:r>
        <w:fldChar w:fldCharType="separate"/>
      </w:r>
    </w:p>
    <w:p w:rsidR="00437C39" w:rsidP="00934049" w14:paraId="58DF3F63" w14:textId="77777777">
      <w:pPr>
        <w:pStyle w:val="NoSpacing"/>
        <w:sectPr w:rsidSect="00437C39">
          <w:pgSz w:w="15840" w:h="12240" w:orient="landscape"/>
          <w:pgMar w:top="1440" w:right="1440" w:bottom="1440" w:left="720" w:header="720" w:footer="720" w:gutter="0"/>
          <w:cols w:space="720"/>
          <w:noEndnote/>
          <w:docGrid w:linePitch="326"/>
        </w:sectPr>
      </w:pPr>
      <w:r>
        <w:fldChar w:fldCharType="end"/>
      </w:r>
    </w:p>
    <w:p w:rsidR="006850F5" w:rsidRPr="0096630A" w:rsidP="00637759" w14:paraId="79F7960D" w14:textId="142D35C7">
      <w:pPr>
        <w:spacing w:line="240" w:lineRule="auto"/>
        <w:rPr>
          <w:b/>
        </w:rPr>
      </w:pPr>
      <w:r w:rsidRPr="0096630A">
        <w:rPr>
          <w:b/>
        </w:rPr>
        <w:t xml:space="preserve">13. </w:t>
      </w:r>
      <w:r w:rsidRPr="0096630A" w:rsidR="0096630A">
        <w:rPr>
          <w:b/>
          <w:bCs/>
        </w:rPr>
        <w:t>Provide an estimate for the total annual cost burden to respondents or record keepers resulting from the collection of information. (Do not include the cost of any hour burden already reflected on the burden worksheet).</w:t>
      </w:r>
    </w:p>
    <w:p w:rsidR="00BD22E1" w:rsidP="006850F5" w14:paraId="2A44726D" w14:textId="77777777">
      <w:pPr>
        <w:pStyle w:val="CM4"/>
        <w:spacing w:line="240" w:lineRule="auto"/>
        <w:ind w:right="533"/>
      </w:pPr>
    </w:p>
    <w:p w:rsidR="006850F5" w:rsidP="0096630A" w14:paraId="1EE68343" w14:textId="0F76BBF6">
      <w:pPr>
        <w:pStyle w:val="CM4"/>
        <w:spacing w:line="240" w:lineRule="auto"/>
      </w:pPr>
      <w:r w:rsidRPr="008153A3">
        <w:t>There are no capital/start-up or ongoing operation/maintenance costs associated with this information collection.</w:t>
      </w:r>
      <w:r>
        <w:t xml:space="preserve"> </w:t>
      </w:r>
      <w:r w:rsidR="005472DE">
        <w:t xml:space="preserve"> </w:t>
      </w:r>
    </w:p>
    <w:p w:rsidR="009E132F" w:rsidP="006850F5" w14:paraId="0C4655A5" w14:textId="77777777">
      <w:pPr>
        <w:pStyle w:val="Default"/>
        <w:keepNext/>
        <w:widowControl/>
        <w:rPr>
          <w:b/>
          <w:bCs/>
          <w:color w:val="auto"/>
        </w:rPr>
      </w:pPr>
    </w:p>
    <w:p w:rsidR="008153A3" w:rsidP="006850F5" w14:paraId="371D07A8" w14:textId="77777777">
      <w:pPr>
        <w:pStyle w:val="Default"/>
        <w:keepNext/>
        <w:widowControl/>
        <w:rPr>
          <w:b/>
          <w:bCs/>
          <w:color w:val="auto"/>
        </w:rPr>
      </w:pPr>
    </w:p>
    <w:p w:rsidR="006850F5" w:rsidP="006850F5" w14:paraId="0150462E" w14:textId="32F2A7C7">
      <w:pPr>
        <w:pStyle w:val="Default"/>
        <w:keepNext/>
        <w:widowControl/>
        <w:rPr>
          <w:b/>
          <w:bCs/>
          <w:color w:val="auto"/>
        </w:rPr>
      </w:pPr>
      <w:r w:rsidRPr="008E7140">
        <w:rPr>
          <w:b/>
          <w:bCs/>
          <w:color w:val="auto"/>
        </w:rPr>
        <w:t>14.</w:t>
      </w:r>
      <w:r>
        <w:rPr>
          <w:b/>
          <w:bCs/>
          <w:color w:val="auto"/>
        </w:rPr>
        <w:t xml:space="preserve"> </w:t>
      </w:r>
      <w:r w:rsidRPr="003E632D" w:rsidR="003E632D">
        <w:rPr>
          <w:b/>
          <w:bCs/>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E632D">
        <w:rPr>
          <w:b/>
          <w:bCs/>
          <w:color w:val="auto"/>
        </w:rPr>
        <w:t>.</w:t>
      </w:r>
      <w:r>
        <w:rPr>
          <w:b/>
          <w:bCs/>
          <w:color w:val="auto"/>
        </w:rPr>
        <w:t xml:space="preserve"> </w:t>
      </w:r>
    </w:p>
    <w:p w:rsidR="006850F5" w:rsidP="006850F5" w14:paraId="7FA0FEC4" w14:textId="77777777">
      <w:pPr>
        <w:pStyle w:val="CM22"/>
        <w:keepNext/>
        <w:widowControl/>
        <w:spacing w:after="0"/>
        <w:ind w:right="375"/>
      </w:pPr>
    </w:p>
    <w:p w:rsidR="008153A3" w:rsidP="0096630A" w14:paraId="47076468" w14:textId="6EDA6E88">
      <w:pPr>
        <w:pStyle w:val="CM22"/>
        <w:keepNext/>
        <w:widowControl/>
        <w:spacing w:after="0"/>
      </w:pPr>
      <w:r>
        <w:t>The estimated a</w:t>
      </w:r>
      <w:r w:rsidR="006850F5">
        <w:t>nnual cost to the Federal government</w:t>
      </w:r>
      <w:r w:rsidR="00B66B09">
        <w:t xml:space="preserve"> is </w:t>
      </w:r>
      <w:r w:rsidR="0096630A">
        <w:t>$</w:t>
      </w:r>
      <w:r w:rsidRPr="00437C39" w:rsidR="00437C39">
        <w:rPr>
          <w:b/>
          <w:bCs/>
          <w:color w:val="000000"/>
        </w:rPr>
        <w:t>3,635,861</w:t>
      </w:r>
      <w:r w:rsidR="00B66B09">
        <w:t>: $</w:t>
      </w:r>
      <w:r>
        <w:t>3,400,000</w:t>
      </w:r>
      <w:r w:rsidR="006850F5">
        <w:t xml:space="preserve"> i</w:t>
      </w:r>
      <w:r w:rsidR="00656305">
        <w:t xml:space="preserve">n </w:t>
      </w:r>
      <w:r>
        <w:t xml:space="preserve">contractor </w:t>
      </w:r>
      <w:r w:rsidR="00656305">
        <w:t>data collection costs and $</w:t>
      </w:r>
      <w:r w:rsidR="00437C39">
        <w:t>235,861</w:t>
      </w:r>
      <w:r w:rsidR="006850F5">
        <w:t xml:space="preserve"> in </w:t>
      </w:r>
      <w:r>
        <w:t xml:space="preserve">Federal </w:t>
      </w:r>
      <w:r w:rsidR="006850F5">
        <w:t>staff</w:t>
      </w:r>
      <w:r w:rsidR="00020554">
        <w:t xml:space="preserve"> salaries</w:t>
      </w:r>
      <w:r w:rsidR="006850F5">
        <w:t>.</w:t>
      </w:r>
      <w:r>
        <w:t xml:space="preserve">  </w:t>
      </w:r>
    </w:p>
    <w:p w:rsidR="008153A3" w:rsidP="0096630A" w14:paraId="04C7E317" w14:textId="77777777">
      <w:pPr>
        <w:pStyle w:val="CM22"/>
        <w:keepNext/>
        <w:widowControl/>
        <w:spacing w:after="0"/>
      </w:pPr>
    </w:p>
    <w:p w:rsidR="00D4427F" w:rsidP="0096630A" w14:paraId="559E400A" w14:textId="01A3D24F">
      <w:pPr>
        <w:pStyle w:val="CM22"/>
        <w:keepNext/>
        <w:widowControl/>
        <w:spacing w:after="0"/>
      </w:pPr>
      <w:r>
        <w:t xml:space="preserve">Federal staff are responsible for oversight of survey administration tasks, including evaluating survey data and reports for accuracy and consistency with data collection requirements, developing data editing and quality control procedures and completing data editing </w:t>
      </w:r>
      <w:r w:rsidR="00EA694C">
        <w:t>tasks, producing survey estimates, drafting reports describing data collection activities, completing statistical evaluations and documenting results of pilot tests,</w:t>
      </w:r>
      <w:r>
        <w:t xml:space="preserve"> communicating with the data collection contractor and completing contract procurement activities, including drafting requirements documents, evaluating proposals and processing invoices.  </w:t>
      </w:r>
    </w:p>
    <w:p w:rsidR="008153A3" w:rsidP="008153A3" w14:paraId="05AEB8F3" w14:textId="77777777">
      <w:pPr>
        <w:pStyle w:val="Default"/>
      </w:pPr>
    </w:p>
    <w:p w:rsidR="008153A3" w:rsidRPr="008153A3" w:rsidP="008153A3" w14:paraId="01522478" w14:textId="254FA80E">
      <w:pPr>
        <w:pStyle w:val="Default"/>
      </w:pPr>
      <w:r w:rsidRPr="008153A3">
        <w:t>The Commerce Alternative Personnel System (CAPS)</w:t>
      </w:r>
      <w:r>
        <w:t xml:space="preserve"> pay tables</w:t>
      </w:r>
      <w:r>
        <w:rPr>
          <w:rStyle w:val="FootnoteReference"/>
        </w:rPr>
        <w:footnoteReference w:id="6"/>
      </w:r>
      <w:r>
        <w:t xml:space="preserve"> for the</w:t>
      </w:r>
      <w:r w:rsidRPr="008153A3">
        <w:t xml:space="preserve"> Rest of U.S. locality rates were used to determine the base salary.  The Rest of U.S. locality was used since NOAA staff are geographically dispersed.  The upper bound for Interval 3 of each Pay Band was used as the base salary and a multiplier of 1.5 was used to calculate the loaded salary.</w:t>
      </w:r>
    </w:p>
    <w:p w:rsidR="00D4427F" w:rsidP="006850F5" w14:paraId="62390407" w14:textId="77777777">
      <w:pPr>
        <w:pStyle w:val="CM22"/>
        <w:keepNext/>
        <w:widowControl/>
        <w:spacing w:after="0"/>
        <w:ind w:right="375"/>
      </w:pPr>
    </w:p>
    <w:p w:rsidR="006850F5" w:rsidP="0096630A" w14:paraId="5E5A9DEA" w14:textId="71CB96FC">
      <w:pPr>
        <w:pStyle w:val="CM22"/>
        <w:keepNext/>
        <w:widowControl/>
        <w:spacing w:after="0"/>
      </w:pPr>
      <w:r>
        <w:t>Data collection contractor costs include labor costs to manage data collection activities, including coordinating sampling, developing survey weights, statistical programming, managing printing and assembly of survey materials and completing quality control and validation procedures to ensure that survey materials and survey data are accurate.  Non-labor costs</w:t>
      </w:r>
      <w:r w:rsidR="004A15C3">
        <w:t xml:space="preserve"> include </w:t>
      </w:r>
      <w:r w:rsidR="00913189">
        <w:t>postage</w:t>
      </w:r>
      <w:r w:rsidR="006D30B7">
        <w:t>,</w:t>
      </w:r>
      <w:r w:rsidR="00913189">
        <w:t xml:space="preserve"> costs associated with printing survey materials</w:t>
      </w:r>
      <w:r w:rsidR="006D30B7">
        <w:t>, and incentives</w:t>
      </w:r>
      <w:r w:rsidR="00913189">
        <w:t>.</w:t>
      </w:r>
    </w:p>
    <w:p w:rsidR="002B1668" w:rsidP="002B1668" w14:paraId="5568F100" w14:textId="77777777">
      <w:pPr>
        <w:pStyle w:val="Default"/>
      </w:pPr>
    </w:p>
    <w:tbl>
      <w:tblPr>
        <w:tblW w:w="8630" w:type="dxa"/>
        <w:tblLook w:val="04A0"/>
      </w:tblPr>
      <w:tblGrid>
        <w:gridCol w:w="2280"/>
        <w:gridCol w:w="1120"/>
        <w:gridCol w:w="1140"/>
        <w:gridCol w:w="1120"/>
        <w:gridCol w:w="1280"/>
        <w:gridCol w:w="1690"/>
      </w:tblGrid>
      <w:tr w14:paraId="47F87A21" w14:textId="77777777" w:rsidTr="002B1668">
        <w:tblPrEx>
          <w:tblW w:w="8630"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2B1668" w:rsidRPr="002B1668" w:rsidP="002B1668" w14:paraId="35F2626B"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2B1668" w:rsidRPr="002B1668" w:rsidP="002B1668" w14:paraId="2EB67F69"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2B1668" w:rsidRPr="002B1668" w:rsidP="00020554" w14:paraId="2A429F23" w14:textId="6C9D3C84">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xml:space="preserve">Loaded Salary </w:t>
            </w:r>
            <w:r w:rsidR="00020554">
              <w:rPr>
                <w:rFonts w:ascii="Calibri" w:hAnsi="Calibri" w:cs="Calibri"/>
                <w:b/>
                <w:bCs/>
                <w:color w:val="000000"/>
                <w:sz w:val="16"/>
                <w:szCs w:val="16"/>
              </w:rPr>
              <w:t xml:space="preserve">and/or </w:t>
            </w:r>
            <w:r w:rsidRPr="002B1668">
              <w:rPr>
                <w:rFonts w:ascii="Calibri" w:hAnsi="Calibri" w:cs="Calibri"/>
                <w:b/>
                <w:bCs/>
                <w:color w:val="000000"/>
                <w:sz w:val="16"/>
                <w:szCs w:val="16"/>
              </w:rPr>
              <w:t>Cost</w:t>
            </w:r>
          </w:p>
        </w:tc>
        <w:tc>
          <w:tcPr>
            <w:tcW w:w="1120" w:type="dxa"/>
            <w:tcBorders>
              <w:top w:val="single" w:sz="8" w:space="0" w:color="auto"/>
              <w:left w:val="nil"/>
              <w:bottom w:val="nil"/>
              <w:right w:val="single" w:sz="8" w:space="0" w:color="auto"/>
            </w:tcBorders>
            <w:shd w:val="clear" w:color="000000" w:fill="BDD7EE"/>
            <w:vAlign w:val="center"/>
            <w:hideMark/>
          </w:tcPr>
          <w:p w:rsidR="002B1668" w:rsidRPr="002B1668" w:rsidP="002B1668" w14:paraId="58DFB9D6"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2B1668" w:rsidRPr="002B1668" w:rsidP="002B1668" w14:paraId="19E92275"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Fringe (if Applicable)</w:t>
            </w:r>
          </w:p>
        </w:tc>
        <w:tc>
          <w:tcPr>
            <w:tcW w:w="1690" w:type="dxa"/>
            <w:tcBorders>
              <w:top w:val="single" w:sz="8" w:space="0" w:color="auto"/>
              <w:left w:val="nil"/>
              <w:bottom w:val="nil"/>
              <w:right w:val="single" w:sz="8" w:space="0" w:color="auto"/>
            </w:tcBorders>
            <w:shd w:val="clear" w:color="000000" w:fill="BDD7EE"/>
            <w:vAlign w:val="center"/>
            <w:hideMark/>
          </w:tcPr>
          <w:p w:rsidR="002B1668" w:rsidRPr="002B1668" w:rsidP="002B1668" w14:paraId="1FDBA292"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Total Cost to Government</w:t>
            </w:r>
          </w:p>
        </w:tc>
      </w:tr>
      <w:tr w14:paraId="43E9AD51" w14:textId="77777777" w:rsidTr="008153A3">
        <w:tblPrEx>
          <w:tblW w:w="8630" w:type="dxa"/>
          <w:tblLook w:val="04A0"/>
        </w:tblPrEx>
        <w:trPr>
          <w:trHeight w:val="305"/>
        </w:trPr>
        <w:tc>
          <w:tcPr>
            <w:tcW w:w="2280" w:type="dxa"/>
            <w:tcBorders>
              <w:top w:val="single" w:sz="4" w:space="0" w:color="auto"/>
              <w:left w:val="single" w:sz="8" w:space="0" w:color="auto"/>
              <w:bottom w:val="single" w:sz="4" w:space="0" w:color="auto"/>
              <w:right w:val="single" w:sz="8" w:space="0" w:color="auto"/>
            </w:tcBorders>
            <w:vAlign w:val="bottom"/>
            <w:hideMark/>
          </w:tcPr>
          <w:p w:rsidR="002B1668" w:rsidRPr="002B1668" w:rsidP="00020554" w14:paraId="22721B95" w14:textId="4350A3D5">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Federal </w:t>
            </w:r>
            <w:r w:rsidR="00EE1D37">
              <w:rPr>
                <w:rFonts w:ascii="Calibri" w:hAnsi="Calibri" w:cs="Calibri"/>
                <w:b/>
                <w:bCs/>
                <w:color w:val="000000"/>
                <w:sz w:val="16"/>
                <w:szCs w:val="16"/>
              </w:rPr>
              <w:t>Oversight</w:t>
            </w:r>
          </w:p>
        </w:tc>
        <w:tc>
          <w:tcPr>
            <w:tcW w:w="1120" w:type="dxa"/>
            <w:tcBorders>
              <w:top w:val="single" w:sz="4" w:space="0" w:color="auto"/>
              <w:left w:val="nil"/>
              <w:bottom w:val="single" w:sz="4" w:space="0" w:color="auto"/>
              <w:right w:val="single" w:sz="4" w:space="0" w:color="auto"/>
            </w:tcBorders>
            <w:noWrap/>
            <w:vAlign w:val="bottom"/>
            <w:hideMark/>
          </w:tcPr>
          <w:p w:rsidR="002B1668" w:rsidRPr="002B1668" w:rsidP="002B1668" w14:paraId="0E98E39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noWrap/>
            <w:vAlign w:val="bottom"/>
            <w:hideMark/>
          </w:tcPr>
          <w:p w:rsidR="002B1668" w:rsidRPr="002B1668" w:rsidP="002B1668" w14:paraId="1A5F139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sz="4" w:space="0" w:color="auto"/>
              <w:left w:val="nil"/>
              <w:bottom w:val="single" w:sz="4" w:space="0" w:color="auto"/>
              <w:right w:val="single" w:sz="4" w:space="0" w:color="auto"/>
            </w:tcBorders>
            <w:noWrap/>
            <w:vAlign w:val="bottom"/>
            <w:hideMark/>
          </w:tcPr>
          <w:p w:rsidR="002B1668" w:rsidRPr="002B1668" w:rsidP="002B1668" w14:paraId="4C800AA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2B1668" w:rsidRPr="002B1668" w:rsidP="002B1668" w14:paraId="6725B7B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sz="4" w:space="0" w:color="auto"/>
              <w:left w:val="nil"/>
              <w:bottom w:val="single" w:sz="4" w:space="0" w:color="auto"/>
              <w:right w:val="single" w:sz="8" w:space="0" w:color="auto"/>
            </w:tcBorders>
            <w:noWrap/>
            <w:vAlign w:val="bottom"/>
            <w:hideMark/>
          </w:tcPr>
          <w:p w:rsidR="002B1668" w:rsidRPr="002B1668" w:rsidP="002B1668" w14:paraId="2D056B1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3A3F0EEF"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hideMark/>
          </w:tcPr>
          <w:p w:rsidR="002B1668" w:rsidRPr="002B1668" w:rsidP="002B1668" w14:paraId="76AAC81A" w14:textId="6F2C09E8">
            <w:pPr>
              <w:spacing w:line="240" w:lineRule="auto"/>
              <w:rPr>
                <w:rFonts w:ascii="Calibri" w:hAnsi="Calibri" w:cs="Calibri"/>
                <w:color w:val="000000"/>
                <w:sz w:val="16"/>
                <w:szCs w:val="16"/>
              </w:rPr>
            </w:pPr>
            <w:r>
              <w:rPr>
                <w:rFonts w:ascii="Calibri" w:hAnsi="Calibri" w:cs="Calibri"/>
                <w:color w:val="000000"/>
                <w:sz w:val="16"/>
                <w:szCs w:val="16"/>
              </w:rPr>
              <w:t>Survey Statistician</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10CB78D2" w14:textId="58370310">
            <w:pPr>
              <w:spacing w:line="240" w:lineRule="auto"/>
              <w:rPr>
                <w:rFonts w:ascii="Calibri" w:hAnsi="Calibri" w:cs="Calibri"/>
                <w:color w:val="000000"/>
                <w:sz w:val="16"/>
                <w:szCs w:val="16"/>
              </w:rPr>
            </w:pPr>
            <w:r w:rsidRPr="002B1668">
              <w:rPr>
                <w:rFonts w:ascii="Calibri" w:hAnsi="Calibri" w:cs="Calibri"/>
                <w:color w:val="000000"/>
                <w:sz w:val="16"/>
                <w:szCs w:val="16"/>
              </w:rPr>
              <w:t>ZP</w:t>
            </w:r>
            <w:r w:rsidR="008153A3">
              <w:rPr>
                <w:rFonts w:ascii="Calibri" w:hAnsi="Calibri" w:cs="Calibri"/>
                <w:color w:val="000000"/>
                <w:sz w:val="16"/>
                <w:szCs w:val="16"/>
              </w:rPr>
              <w:t>-IV</w:t>
            </w:r>
          </w:p>
        </w:tc>
        <w:tc>
          <w:tcPr>
            <w:tcW w:w="1140" w:type="dxa"/>
            <w:tcBorders>
              <w:top w:val="nil"/>
              <w:left w:val="nil"/>
              <w:bottom w:val="single" w:sz="4" w:space="0" w:color="auto"/>
              <w:right w:val="single" w:sz="4" w:space="0" w:color="auto"/>
            </w:tcBorders>
            <w:noWrap/>
            <w:vAlign w:val="bottom"/>
            <w:hideMark/>
          </w:tcPr>
          <w:p w:rsidR="002B1668" w:rsidRPr="002B1668" w:rsidP="002B1668" w14:paraId="68E6CF00" w14:textId="4CFF77A0">
            <w:pPr>
              <w:spacing w:line="240" w:lineRule="auto"/>
              <w:jc w:val="right"/>
              <w:rPr>
                <w:rFonts w:ascii="Calibri" w:hAnsi="Calibri" w:cs="Calibri"/>
                <w:color w:val="000000"/>
                <w:sz w:val="16"/>
                <w:szCs w:val="16"/>
              </w:rPr>
            </w:pPr>
            <w:r>
              <w:rPr>
                <w:rFonts w:ascii="Calibri" w:hAnsi="Calibri" w:cs="Calibri"/>
                <w:color w:val="000000"/>
                <w:sz w:val="16"/>
                <w:szCs w:val="16"/>
              </w:rPr>
              <w:t>$174,543</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79A03479"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20A015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24E32CEC" w14:textId="163BF76E">
            <w:pPr>
              <w:spacing w:line="240" w:lineRule="auto"/>
              <w:rPr>
                <w:rFonts w:ascii="Calibri" w:hAnsi="Calibri" w:cs="Calibri"/>
                <w:color w:val="000000"/>
                <w:sz w:val="16"/>
                <w:szCs w:val="16"/>
              </w:rPr>
            </w:pPr>
            <w:r>
              <w:rPr>
                <w:rFonts w:ascii="Calibri" w:hAnsi="Calibri" w:cs="Calibri"/>
                <w:color w:val="000000"/>
                <w:sz w:val="16"/>
                <w:szCs w:val="16"/>
              </w:rPr>
              <w:t xml:space="preserve"> $</w:t>
            </w:r>
            <w:r w:rsidR="008153A3">
              <w:rPr>
                <w:rFonts w:ascii="Calibri" w:hAnsi="Calibri" w:cs="Calibri"/>
                <w:color w:val="000000"/>
                <w:sz w:val="16"/>
                <w:szCs w:val="16"/>
              </w:rPr>
              <w:t>174,543</w:t>
            </w:r>
          </w:p>
        </w:tc>
      </w:tr>
      <w:tr w14:paraId="072E1009"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hideMark/>
          </w:tcPr>
          <w:p w:rsidR="002B1668" w:rsidRPr="002B1668" w:rsidP="002B1668" w14:paraId="202CBF51" w14:textId="5B56E794">
            <w:pPr>
              <w:spacing w:line="240" w:lineRule="auto"/>
              <w:rPr>
                <w:rFonts w:ascii="Calibri" w:hAnsi="Calibri" w:cs="Calibri"/>
                <w:color w:val="000000"/>
                <w:sz w:val="16"/>
                <w:szCs w:val="16"/>
              </w:rPr>
            </w:pPr>
            <w:r>
              <w:rPr>
                <w:rFonts w:ascii="Calibri" w:hAnsi="Calibri" w:cs="Calibri"/>
                <w:color w:val="000000"/>
                <w:sz w:val="16"/>
                <w:szCs w:val="16"/>
              </w:rPr>
              <w:t xml:space="preserve">Survey </w:t>
            </w:r>
            <w:r w:rsidRPr="002B1668">
              <w:rPr>
                <w:rFonts w:ascii="Calibri" w:hAnsi="Calibri" w:cs="Calibri"/>
                <w:color w:val="000000"/>
                <w:sz w:val="16"/>
                <w:szCs w:val="16"/>
              </w:rPr>
              <w:t>Statistician</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6FB44DC1" w14:textId="5AE00C5D">
            <w:pPr>
              <w:spacing w:line="240" w:lineRule="auto"/>
              <w:rPr>
                <w:rFonts w:ascii="Calibri" w:hAnsi="Calibri" w:cs="Calibri"/>
                <w:color w:val="000000"/>
                <w:sz w:val="16"/>
                <w:szCs w:val="16"/>
              </w:rPr>
            </w:pPr>
            <w:r w:rsidRPr="002B1668">
              <w:rPr>
                <w:rFonts w:ascii="Calibri" w:hAnsi="Calibri" w:cs="Calibri"/>
                <w:color w:val="000000"/>
                <w:sz w:val="16"/>
                <w:szCs w:val="16"/>
              </w:rPr>
              <w:t>ZP</w:t>
            </w:r>
            <w:r w:rsidR="008153A3">
              <w:rPr>
                <w:rFonts w:ascii="Calibri" w:hAnsi="Calibri" w:cs="Calibri"/>
                <w:color w:val="000000"/>
                <w:sz w:val="16"/>
                <w:szCs w:val="16"/>
              </w:rPr>
              <w:t>-IV</w:t>
            </w:r>
          </w:p>
        </w:tc>
        <w:tc>
          <w:tcPr>
            <w:tcW w:w="1140" w:type="dxa"/>
            <w:tcBorders>
              <w:top w:val="nil"/>
              <w:left w:val="nil"/>
              <w:bottom w:val="single" w:sz="4" w:space="0" w:color="auto"/>
              <w:right w:val="single" w:sz="4" w:space="0" w:color="auto"/>
            </w:tcBorders>
            <w:noWrap/>
            <w:vAlign w:val="bottom"/>
            <w:hideMark/>
          </w:tcPr>
          <w:p w:rsidR="002B1668" w:rsidRPr="002B1668" w:rsidP="002B1668" w14:paraId="7317E251" w14:textId="7AAFE556">
            <w:pPr>
              <w:spacing w:line="240" w:lineRule="auto"/>
              <w:jc w:val="right"/>
              <w:rPr>
                <w:rFonts w:ascii="Calibri" w:hAnsi="Calibri" w:cs="Calibri"/>
                <w:color w:val="000000"/>
                <w:sz w:val="16"/>
                <w:szCs w:val="16"/>
              </w:rPr>
            </w:pPr>
            <w:r>
              <w:rPr>
                <w:rFonts w:ascii="Calibri" w:hAnsi="Calibri" w:cs="Calibri"/>
                <w:color w:val="000000"/>
                <w:sz w:val="16"/>
                <w:szCs w:val="16"/>
              </w:rPr>
              <w:t>$245,271</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76522B58" w14:textId="61BA5998">
            <w:pPr>
              <w:spacing w:line="240" w:lineRule="auto"/>
              <w:jc w:val="right"/>
              <w:rPr>
                <w:rFonts w:ascii="Calibri" w:hAnsi="Calibri" w:cs="Calibri"/>
                <w:color w:val="000000"/>
                <w:sz w:val="16"/>
                <w:szCs w:val="16"/>
              </w:rPr>
            </w:pPr>
            <w:r>
              <w:rPr>
                <w:rFonts w:ascii="Calibri" w:hAnsi="Calibri" w:cs="Calibri"/>
                <w:color w:val="000000"/>
                <w:sz w:val="16"/>
                <w:szCs w:val="16"/>
              </w:rPr>
              <w:t>25</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4955BA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78EBBFE8" w14:textId="6B3A7DC6">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w:t>
            </w:r>
            <w:r w:rsidR="008153A3">
              <w:rPr>
                <w:rFonts w:ascii="Calibri" w:hAnsi="Calibri" w:cs="Calibri"/>
                <w:color w:val="000000"/>
                <w:sz w:val="16"/>
                <w:szCs w:val="16"/>
              </w:rPr>
              <w:t>61,318</w:t>
            </w:r>
          </w:p>
        </w:tc>
      </w:tr>
      <w:tr w14:paraId="78E7C1F4"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hideMark/>
          </w:tcPr>
          <w:p w:rsidR="002B1668" w:rsidRPr="002B1668" w:rsidP="002B1668" w14:paraId="0D29DA5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19AA613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2B1668" w:rsidRPr="002B1668" w:rsidP="002B1668" w14:paraId="385FA55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4856BCD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429773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474338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600AF607" w14:textId="77777777" w:rsidTr="008153A3">
        <w:tblPrEx>
          <w:tblW w:w="8630" w:type="dxa"/>
          <w:tblLook w:val="04A0"/>
        </w:tblPrEx>
        <w:trPr>
          <w:trHeight w:val="242"/>
        </w:trPr>
        <w:tc>
          <w:tcPr>
            <w:tcW w:w="2280" w:type="dxa"/>
            <w:tcBorders>
              <w:top w:val="nil"/>
              <w:left w:val="single" w:sz="8" w:space="0" w:color="auto"/>
              <w:bottom w:val="single" w:sz="4" w:space="0" w:color="auto"/>
              <w:right w:val="single" w:sz="8" w:space="0" w:color="auto"/>
            </w:tcBorders>
            <w:vAlign w:val="bottom"/>
            <w:hideMark/>
          </w:tcPr>
          <w:p w:rsidR="002B1668" w:rsidRPr="002B1668" w:rsidP="00020554" w14:paraId="6E089C88" w14:textId="32082A8C">
            <w:pPr>
              <w:spacing w:line="240" w:lineRule="auto"/>
              <w:rPr>
                <w:rFonts w:ascii="Calibri" w:hAnsi="Calibri" w:cs="Calibri"/>
                <w:b/>
                <w:bCs/>
                <w:color w:val="000000"/>
                <w:sz w:val="16"/>
                <w:szCs w:val="16"/>
              </w:rPr>
            </w:pPr>
            <w:r>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5B6A070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2B1668" w:rsidRPr="002B1668" w:rsidP="002B1668" w14:paraId="0D9BF6C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3357E1D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noWrap/>
            <w:vAlign w:val="bottom"/>
            <w:hideMark/>
          </w:tcPr>
          <w:p w:rsidR="002B1668" w:rsidRPr="002B1668" w:rsidP="002B1668" w14:paraId="4D8037B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4AE576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24E11B5B"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hideMark/>
          </w:tcPr>
          <w:p w:rsidR="002B1668" w:rsidRPr="002B1668" w:rsidP="002B1668" w14:paraId="1F8D51C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Data collection costs</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0B87BE2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2B1668" w:rsidRPr="008153A3" w:rsidP="002B1668" w14:paraId="7195A23F" w14:textId="1F4D9CC5">
            <w:pPr>
              <w:spacing w:line="240" w:lineRule="auto"/>
              <w:jc w:val="right"/>
              <w:rPr>
                <w:rFonts w:ascii="Calibri" w:hAnsi="Calibri" w:cs="Calibri"/>
                <w:b/>
                <w:bCs/>
                <w:color w:val="000000"/>
                <w:sz w:val="16"/>
                <w:szCs w:val="16"/>
              </w:rPr>
            </w:pPr>
            <w:r w:rsidRPr="008153A3">
              <w:rPr>
                <w:rFonts w:ascii="Calibri" w:hAnsi="Calibri" w:cs="Calibri"/>
                <w:b/>
                <w:bCs/>
                <w:color w:val="000000"/>
                <w:sz w:val="16"/>
                <w:szCs w:val="16"/>
              </w:rPr>
              <w:t>$</w:t>
            </w:r>
            <w:r w:rsidRPr="008153A3" w:rsidR="00CC536F">
              <w:rPr>
                <w:rFonts w:ascii="Calibri" w:hAnsi="Calibri" w:cs="Calibri"/>
                <w:b/>
                <w:bCs/>
                <w:color w:val="000000"/>
                <w:sz w:val="16"/>
                <w:szCs w:val="16"/>
              </w:rPr>
              <w:t>3,400,000</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147E35D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noWrap/>
            <w:vAlign w:val="bottom"/>
            <w:hideMark/>
          </w:tcPr>
          <w:p w:rsidR="002B1668" w:rsidRPr="002B1668" w:rsidP="002B1668" w14:paraId="48E327D5"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4D7BE3DB" w14:textId="3DF7FA9C">
            <w:pPr>
              <w:spacing w:line="240" w:lineRule="auto"/>
              <w:rPr>
                <w:rFonts w:ascii="Calibri" w:hAnsi="Calibri" w:cs="Calibri"/>
                <w:color w:val="000000"/>
                <w:sz w:val="16"/>
                <w:szCs w:val="16"/>
              </w:rPr>
            </w:pPr>
            <w:r>
              <w:rPr>
                <w:rFonts w:ascii="Calibri" w:hAnsi="Calibri" w:cs="Calibri"/>
                <w:color w:val="000000"/>
                <w:sz w:val="16"/>
                <w:szCs w:val="16"/>
              </w:rPr>
              <w:t xml:space="preserve"> $</w:t>
            </w:r>
            <w:r w:rsidR="00CC536F">
              <w:rPr>
                <w:rFonts w:ascii="Calibri" w:hAnsi="Calibri" w:cs="Calibri"/>
                <w:color w:val="000000"/>
                <w:sz w:val="16"/>
                <w:szCs w:val="16"/>
              </w:rPr>
              <w:t>3,400,000</w:t>
            </w:r>
          </w:p>
        </w:tc>
      </w:tr>
      <w:tr w14:paraId="59E7B251"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hideMark/>
          </w:tcPr>
          <w:p w:rsidR="002B1668" w:rsidRPr="002B1668" w:rsidP="002B1668" w14:paraId="6AE340E2" w14:textId="0C85B7C5">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F8757F">
              <w:rPr>
                <w:rFonts w:ascii="Calibri" w:hAnsi="Calibri" w:cs="Calibri"/>
                <w:color w:val="000000"/>
                <w:sz w:val="16"/>
                <w:szCs w:val="16"/>
              </w:rPr>
              <w:t xml:space="preserve">     Labor</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2B3CFB3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2B1668" w:rsidRPr="002B1668" w:rsidP="008153A3" w14:paraId="5D7F249B" w14:textId="7F83FE70">
            <w:pPr>
              <w:spacing w:line="240" w:lineRule="auto"/>
              <w:jc w:val="right"/>
              <w:rPr>
                <w:rFonts w:ascii="Calibri" w:hAnsi="Calibri" w:cs="Calibri"/>
                <w:color w:val="000000"/>
                <w:sz w:val="16"/>
                <w:szCs w:val="16"/>
              </w:rPr>
            </w:pPr>
            <w:r>
              <w:rPr>
                <w:rFonts w:ascii="Calibri" w:hAnsi="Calibri" w:cs="Calibri"/>
                <w:color w:val="000000"/>
                <w:sz w:val="16"/>
                <w:szCs w:val="16"/>
              </w:rPr>
              <w:t>$</w:t>
            </w:r>
            <w:r w:rsidR="00D47E37">
              <w:rPr>
                <w:rFonts w:ascii="Calibri" w:hAnsi="Calibri" w:cs="Calibri"/>
                <w:color w:val="000000"/>
                <w:sz w:val="16"/>
                <w:szCs w:val="16"/>
              </w:rPr>
              <w:t>510,000</w:t>
            </w:r>
          </w:p>
        </w:tc>
        <w:tc>
          <w:tcPr>
            <w:tcW w:w="1120" w:type="dxa"/>
            <w:tcBorders>
              <w:top w:val="nil"/>
              <w:left w:val="nil"/>
              <w:bottom w:val="single" w:sz="4" w:space="0" w:color="auto"/>
              <w:right w:val="single" w:sz="4" w:space="0" w:color="auto"/>
            </w:tcBorders>
            <w:noWrap/>
            <w:vAlign w:val="bottom"/>
            <w:hideMark/>
          </w:tcPr>
          <w:p w:rsidR="002B1668" w:rsidRPr="002B1668" w:rsidP="002B1668" w14:paraId="71AC392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noWrap/>
            <w:vAlign w:val="bottom"/>
            <w:hideMark/>
          </w:tcPr>
          <w:p w:rsidR="002B1668" w:rsidRPr="002B1668" w:rsidP="002B1668" w14:paraId="77198E1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2A6E05F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23366B76"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tcPr>
          <w:p w:rsidR="00F8757F" w:rsidRPr="002B1668" w:rsidP="002B1668" w14:paraId="22167EEC" w14:textId="7467F29D">
            <w:pPr>
              <w:spacing w:line="240" w:lineRule="auto"/>
              <w:rPr>
                <w:rFonts w:ascii="Calibri" w:hAnsi="Calibri" w:cs="Calibri"/>
                <w:color w:val="000000"/>
                <w:sz w:val="16"/>
                <w:szCs w:val="16"/>
              </w:rPr>
            </w:pPr>
            <w:r>
              <w:rPr>
                <w:rFonts w:ascii="Calibri" w:hAnsi="Calibri" w:cs="Calibri"/>
                <w:color w:val="000000"/>
                <w:sz w:val="16"/>
                <w:szCs w:val="16"/>
              </w:rPr>
              <w:t xml:space="preserve">      Non-Labor</w:t>
            </w:r>
          </w:p>
        </w:tc>
        <w:tc>
          <w:tcPr>
            <w:tcW w:w="1120" w:type="dxa"/>
            <w:tcBorders>
              <w:top w:val="nil"/>
              <w:left w:val="nil"/>
              <w:bottom w:val="single" w:sz="4" w:space="0" w:color="auto"/>
              <w:right w:val="single" w:sz="4" w:space="0" w:color="auto"/>
            </w:tcBorders>
            <w:noWrap/>
            <w:vAlign w:val="bottom"/>
          </w:tcPr>
          <w:p w:rsidR="00F8757F" w:rsidRPr="002B1668" w:rsidP="002B1668" w14:paraId="540FF3E8" w14:textId="77777777">
            <w:pPr>
              <w:spacing w:line="240" w:lineRule="auto"/>
              <w:rPr>
                <w:rFonts w:ascii="Calibri" w:hAnsi="Calibri" w:cs="Calibri"/>
                <w:color w:val="000000"/>
                <w:sz w:val="16"/>
                <w:szCs w:val="16"/>
              </w:rPr>
            </w:pPr>
          </w:p>
        </w:tc>
        <w:tc>
          <w:tcPr>
            <w:tcW w:w="1140" w:type="dxa"/>
            <w:tcBorders>
              <w:top w:val="nil"/>
              <w:left w:val="nil"/>
              <w:bottom w:val="single" w:sz="4" w:space="0" w:color="auto"/>
              <w:right w:val="single" w:sz="4" w:space="0" w:color="auto"/>
            </w:tcBorders>
            <w:noWrap/>
            <w:vAlign w:val="bottom"/>
          </w:tcPr>
          <w:p w:rsidR="00F8757F" w:rsidRPr="002B1668" w:rsidP="008153A3" w14:paraId="030CF2C3" w14:textId="1E395A51">
            <w:pPr>
              <w:spacing w:line="240" w:lineRule="auto"/>
              <w:jc w:val="right"/>
              <w:rPr>
                <w:rFonts w:ascii="Calibri" w:hAnsi="Calibri" w:cs="Calibri"/>
                <w:color w:val="000000"/>
                <w:sz w:val="16"/>
                <w:szCs w:val="16"/>
              </w:rPr>
            </w:pPr>
            <w:r>
              <w:rPr>
                <w:rFonts w:ascii="Calibri" w:hAnsi="Calibri" w:cs="Calibri"/>
                <w:color w:val="000000"/>
                <w:sz w:val="16"/>
                <w:szCs w:val="16"/>
              </w:rPr>
              <w:t>$</w:t>
            </w:r>
            <w:r w:rsidR="00D47E37">
              <w:rPr>
                <w:rFonts w:ascii="Calibri" w:hAnsi="Calibri" w:cs="Calibri"/>
                <w:color w:val="000000"/>
                <w:sz w:val="16"/>
                <w:szCs w:val="16"/>
              </w:rPr>
              <w:t>2,890,000</w:t>
            </w:r>
          </w:p>
        </w:tc>
        <w:tc>
          <w:tcPr>
            <w:tcW w:w="1120" w:type="dxa"/>
            <w:tcBorders>
              <w:top w:val="nil"/>
              <w:left w:val="nil"/>
              <w:bottom w:val="single" w:sz="4" w:space="0" w:color="auto"/>
              <w:right w:val="single" w:sz="4" w:space="0" w:color="auto"/>
            </w:tcBorders>
            <w:noWrap/>
            <w:vAlign w:val="bottom"/>
          </w:tcPr>
          <w:p w:rsidR="00F8757F" w:rsidRPr="002B1668" w:rsidP="002B1668" w14:paraId="22C9D066" w14:textId="77777777">
            <w:pPr>
              <w:spacing w:line="240" w:lineRule="auto"/>
              <w:rPr>
                <w:rFonts w:ascii="Calibri" w:hAnsi="Calibri" w:cs="Calibri"/>
                <w:color w:val="000000"/>
                <w:sz w:val="16"/>
                <w:szCs w:val="16"/>
              </w:rPr>
            </w:pPr>
          </w:p>
        </w:tc>
        <w:tc>
          <w:tcPr>
            <w:tcW w:w="1280" w:type="dxa"/>
            <w:tcBorders>
              <w:top w:val="nil"/>
              <w:left w:val="nil"/>
              <w:bottom w:val="single" w:sz="4" w:space="0" w:color="auto"/>
              <w:right w:val="single" w:sz="4" w:space="0" w:color="auto"/>
            </w:tcBorders>
            <w:noWrap/>
            <w:vAlign w:val="bottom"/>
          </w:tcPr>
          <w:p w:rsidR="00F8757F" w:rsidRPr="002B1668" w:rsidP="002B1668" w14:paraId="334C9D51" w14:textId="77777777">
            <w:pPr>
              <w:spacing w:line="240" w:lineRule="auto"/>
              <w:rPr>
                <w:rFonts w:ascii="Calibri" w:hAnsi="Calibri" w:cs="Calibri"/>
                <w:color w:val="000000"/>
                <w:sz w:val="16"/>
                <w:szCs w:val="16"/>
              </w:rPr>
            </w:pPr>
          </w:p>
        </w:tc>
        <w:tc>
          <w:tcPr>
            <w:tcW w:w="1690" w:type="dxa"/>
            <w:tcBorders>
              <w:top w:val="nil"/>
              <w:left w:val="nil"/>
              <w:bottom w:val="single" w:sz="4" w:space="0" w:color="auto"/>
              <w:right w:val="single" w:sz="8" w:space="0" w:color="auto"/>
            </w:tcBorders>
            <w:noWrap/>
            <w:vAlign w:val="bottom"/>
          </w:tcPr>
          <w:p w:rsidR="00F8757F" w:rsidRPr="002B1668" w:rsidP="002B1668" w14:paraId="1D3C091D" w14:textId="77777777">
            <w:pPr>
              <w:spacing w:line="240" w:lineRule="auto"/>
              <w:rPr>
                <w:rFonts w:ascii="Calibri" w:hAnsi="Calibri" w:cs="Calibri"/>
                <w:color w:val="000000"/>
                <w:sz w:val="16"/>
                <w:szCs w:val="16"/>
              </w:rPr>
            </w:pPr>
          </w:p>
        </w:tc>
      </w:tr>
      <w:tr w14:paraId="7B26BD6D"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noWrap/>
            <w:vAlign w:val="bottom"/>
            <w:hideMark/>
          </w:tcPr>
          <w:p w:rsidR="002B1668" w:rsidRPr="002B1668" w:rsidP="002B1668" w14:paraId="28B0A23F"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B4D160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77535E9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5460A25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A40DB9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45341C19"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6B902244" w14:textId="77777777" w:rsidTr="008153A3">
        <w:tblPrEx>
          <w:tblW w:w="8630" w:type="dxa"/>
          <w:tblLook w:val="04A0"/>
        </w:tblPrEx>
        <w:trPr>
          <w:trHeight w:val="350"/>
        </w:trPr>
        <w:tc>
          <w:tcPr>
            <w:tcW w:w="2280" w:type="dxa"/>
            <w:tcBorders>
              <w:top w:val="nil"/>
              <w:left w:val="single" w:sz="8" w:space="0" w:color="auto"/>
              <w:bottom w:val="nil"/>
              <w:right w:val="single" w:sz="8" w:space="0" w:color="auto"/>
            </w:tcBorders>
            <w:vAlign w:val="center"/>
            <w:hideMark/>
          </w:tcPr>
          <w:p w:rsidR="002B1668" w:rsidRPr="002B1668" w:rsidP="002B1668" w14:paraId="183DF057"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B3A094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C81DFA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3D6EBA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5BEC11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noWrap/>
            <w:vAlign w:val="bottom"/>
            <w:hideMark/>
          </w:tcPr>
          <w:p w:rsidR="002B1668" w:rsidRPr="002B1668" w:rsidP="002B1668" w14:paraId="0A5EA29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061AB7AB" w14:textId="77777777" w:rsidTr="002B1668">
        <w:tblPrEx>
          <w:tblW w:w="8630"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2B1668" w:rsidRPr="002B1668" w:rsidP="002B1668" w14:paraId="137F7960"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2B1668" w:rsidRPr="002B1668" w:rsidP="002B1668" w14:paraId="1C60164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rsidR="002B1668" w:rsidRPr="002B1668" w:rsidP="002B1668" w14:paraId="2D43FA7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2B1668" w:rsidRPr="002B1668" w:rsidP="002B1668" w14:paraId="23ED4C9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2B1668" w:rsidRPr="002B1668" w:rsidP="002B1668" w14:paraId="619F81F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sz="8" w:space="0" w:color="auto"/>
              <w:left w:val="nil"/>
              <w:bottom w:val="single" w:sz="8" w:space="0" w:color="auto"/>
              <w:right w:val="single" w:sz="8" w:space="0" w:color="auto"/>
            </w:tcBorders>
            <w:shd w:val="clear" w:color="000000" w:fill="DDEBF7"/>
            <w:noWrap/>
            <w:vAlign w:val="bottom"/>
            <w:hideMark/>
          </w:tcPr>
          <w:p w:rsidR="002B1668" w:rsidRPr="008153A3" w:rsidP="002B1668" w14:paraId="3F499D0C" w14:textId="6EA42B00">
            <w:pPr>
              <w:spacing w:line="240" w:lineRule="auto"/>
              <w:rPr>
                <w:rFonts w:ascii="Calibri" w:hAnsi="Calibri" w:cs="Calibri"/>
                <w:b/>
                <w:bCs/>
                <w:color w:val="000000"/>
                <w:sz w:val="16"/>
                <w:szCs w:val="16"/>
              </w:rPr>
            </w:pPr>
            <w:r w:rsidRPr="008153A3">
              <w:rPr>
                <w:rFonts w:ascii="Calibri" w:hAnsi="Calibri" w:cs="Calibri"/>
                <w:b/>
                <w:bCs/>
                <w:color w:val="000000"/>
                <w:sz w:val="16"/>
                <w:szCs w:val="16"/>
              </w:rPr>
              <w:t xml:space="preserve"> $</w:t>
            </w:r>
            <w:r w:rsidRPr="008153A3" w:rsidR="00D47E37">
              <w:rPr>
                <w:rFonts w:ascii="Calibri" w:hAnsi="Calibri" w:cs="Calibri"/>
                <w:b/>
                <w:bCs/>
                <w:color w:val="000000"/>
                <w:sz w:val="16"/>
                <w:szCs w:val="16"/>
              </w:rPr>
              <w:t>3,</w:t>
            </w:r>
            <w:r w:rsidRPr="008153A3" w:rsidR="008153A3">
              <w:rPr>
                <w:rFonts w:ascii="Calibri" w:hAnsi="Calibri" w:cs="Calibri"/>
                <w:b/>
                <w:bCs/>
                <w:color w:val="000000"/>
                <w:sz w:val="16"/>
                <w:szCs w:val="16"/>
              </w:rPr>
              <w:t>635,861</w:t>
            </w:r>
          </w:p>
        </w:tc>
      </w:tr>
    </w:tbl>
    <w:p w:rsidR="002B1668" w:rsidP="002B1668" w14:paraId="4A04DA96" w14:textId="77777777">
      <w:pPr>
        <w:pStyle w:val="Default"/>
      </w:pPr>
    </w:p>
    <w:p w:rsidR="00CC536F" w:rsidP="002B1668" w14:paraId="78AF6BE5" w14:textId="77777777">
      <w:pPr>
        <w:pStyle w:val="Default"/>
      </w:pPr>
    </w:p>
    <w:p w:rsidR="00CC536F" w:rsidRPr="002B1668" w:rsidP="002B1668" w14:paraId="19576397" w14:textId="77777777">
      <w:pPr>
        <w:pStyle w:val="Default"/>
      </w:pPr>
    </w:p>
    <w:p w:rsidR="00755FED" w:rsidP="006850F5" w14:paraId="127C5920" w14:textId="77777777">
      <w:pPr>
        <w:pStyle w:val="Default"/>
        <w:sectPr w:rsidSect="00437C39">
          <w:pgSz w:w="12240" w:h="15840"/>
          <w:pgMar w:top="1440" w:right="1440" w:bottom="720" w:left="1440" w:header="720" w:footer="720" w:gutter="0"/>
          <w:cols w:space="720"/>
          <w:noEndnote/>
          <w:docGrid w:linePitch="326"/>
        </w:sectPr>
      </w:pPr>
    </w:p>
    <w:p w:rsidR="00BD450D" w:rsidRPr="00034F4C" w:rsidP="00BD450D" w14:paraId="0D4AE683" w14:textId="538C7D76">
      <w:pPr>
        <w:pStyle w:val="Default"/>
      </w:pPr>
      <w:r>
        <w:rPr>
          <w:b/>
          <w:bCs/>
        </w:rPr>
        <w:t xml:space="preserve">15. </w:t>
      </w:r>
      <w:r w:rsidRPr="00755FED" w:rsidR="00755FED">
        <w:rPr>
          <w:b/>
          <w:bCs/>
        </w:rPr>
        <w:t>Explain the reasons for any program changes or adjustments reported in ROCIS.</w:t>
      </w:r>
      <w:r>
        <w:rPr>
          <w:b/>
          <w:bCs/>
        </w:rPr>
        <w:t xml:space="preserve"> </w:t>
      </w:r>
    </w:p>
    <w:p w:rsidR="00BD450D" w:rsidP="00BD450D" w14:paraId="0D79ED09" w14:textId="77777777">
      <w:pPr>
        <w:pStyle w:val="CM23"/>
        <w:spacing w:after="0"/>
      </w:pPr>
    </w:p>
    <w:tbl>
      <w:tblPr>
        <w:tblW w:w="14385" w:type="dxa"/>
        <w:tblCellMar>
          <w:left w:w="0" w:type="dxa"/>
          <w:right w:w="0" w:type="dxa"/>
        </w:tblCellMar>
        <w:tblLook w:val="04A0"/>
      </w:tblPr>
      <w:tblGrid>
        <w:gridCol w:w="3945"/>
        <w:gridCol w:w="1080"/>
        <w:gridCol w:w="1170"/>
        <w:gridCol w:w="1080"/>
        <w:gridCol w:w="1072"/>
        <w:gridCol w:w="908"/>
        <w:gridCol w:w="900"/>
        <w:gridCol w:w="4230"/>
      </w:tblGrid>
      <w:tr w14:paraId="6361374E" w14:textId="77777777" w:rsidTr="00E61FC1">
        <w:tblPrEx>
          <w:tblW w:w="14385" w:type="dxa"/>
          <w:tblCellMar>
            <w:left w:w="0" w:type="dxa"/>
            <w:right w:w="0" w:type="dxa"/>
          </w:tblCellMar>
          <w:tblLook w:val="04A0"/>
        </w:tblPrEx>
        <w:trPr>
          <w:trHeight w:val="300"/>
        </w:trPr>
        <w:tc>
          <w:tcPr>
            <w:tcW w:w="3945"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E61FC1" w:rsidRPr="00E61FC1" w:rsidP="00E61FC1" w14:paraId="5342FCCB" w14:textId="77777777">
            <w:pPr>
              <w:spacing w:line="240" w:lineRule="auto"/>
              <w:rPr>
                <w:rFonts w:asciiTheme="minorHAnsi" w:hAnsiTheme="minorHAnsi" w:cstheme="minorHAnsi"/>
                <w:b/>
                <w:bCs/>
                <w:sz w:val="18"/>
                <w:szCs w:val="18"/>
              </w:rPr>
            </w:pPr>
            <w:r w:rsidRPr="00E61FC1">
              <w:rPr>
                <w:rFonts w:asciiTheme="minorHAnsi" w:hAnsiTheme="minorHAnsi" w:cstheme="minorHAnsi"/>
                <w:b/>
                <w:bCs/>
                <w:sz w:val="18"/>
                <w:szCs w:val="18"/>
              </w:rPr>
              <w:t>Information Collection</w:t>
            </w:r>
          </w:p>
        </w:tc>
        <w:tc>
          <w:tcPr>
            <w:tcW w:w="2250" w:type="dxa"/>
            <w:gridSpan w:val="2"/>
            <w:tcBorders>
              <w:top w:val="single" w:sz="12" w:space="0" w:color="000000"/>
              <w:left w:val="single" w:sz="6" w:space="0" w:color="CCCCCC"/>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E61FC1" w:rsidRPr="00E61FC1" w:rsidP="00E61FC1" w14:paraId="4BE8EBCF" w14:textId="77777777">
            <w:pPr>
              <w:spacing w:line="240" w:lineRule="auto"/>
              <w:jc w:val="center"/>
              <w:rPr>
                <w:rFonts w:asciiTheme="minorHAnsi" w:hAnsiTheme="minorHAnsi" w:cstheme="minorHAnsi"/>
                <w:b/>
                <w:bCs/>
                <w:sz w:val="18"/>
                <w:szCs w:val="18"/>
              </w:rPr>
            </w:pPr>
            <w:r w:rsidRPr="00E61FC1">
              <w:rPr>
                <w:rFonts w:asciiTheme="minorHAnsi" w:hAnsiTheme="minorHAnsi" w:cstheme="minorHAnsi"/>
                <w:b/>
                <w:bCs/>
                <w:sz w:val="18"/>
                <w:szCs w:val="18"/>
              </w:rPr>
              <w:t>Respondents</w:t>
            </w:r>
          </w:p>
        </w:tc>
        <w:tc>
          <w:tcPr>
            <w:tcW w:w="2152" w:type="dxa"/>
            <w:gridSpan w:val="2"/>
            <w:tcBorders>
              <w:top w:val="single" w:sz="12" w:space="0" w:color="000000"/>
              <w:left w:val="single" w:sz="6" w:space="0" w:color="CCCCCC"/>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E61FC1" w:rsidRPr="00E61FC1" w:rsidP="00E61FC1" w14:paraId="41AB4BE6" w14:textId="77777777">
            <w:pPr>
              <w:spacing w:line="240" w:lineRule="auto"/>
              <w:jc w:val="center"/>
              <w:rPr>
                <w:rFonts w:asciiTheme="minorHAnsi" w:hAnsiTheme="minorHAnsi" w:cstheme="minorHAnsi"/>
                <w:b/>
                <w:bCs/>
                <w:sz w:val="18"/>
                <w:szCs w:val="18"/>
              </w:rPr>
            </w:pPr>
            <w:r w:rsidRPr="00E61FC1">
              <w:rPr>
                <w:rFonts w:asciiTheme="minorHAnsi" w:hAnsiTheme="minorHAnsi" w:cstheme="minorHAnsi"/>
                <w:b/>
                <w:bCs/>
                <w:sz w:val="18"/>
                <w:szCs w:val="18"/>
              </w:rPr>
              <w:t>Responses</w:t>
            </w:r>
          </w:p>
        </w:tc>
        <w:tc>
          <w:tcPr>
            <w:tcW w:w="1808" w:type="dxa"/>
            <w:gridSpan w:val="2"/>
            <w:tcBorders>
              <w:top w:val="single" w:sz="12" w:space="0" w:color="000000"/>
              <w:left w:val="single" w:sz="6" w:space="0" w:color="CCCCCC"/>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E61FC1" w:rsidRPr="00E61FC1" w:rsidP="00E61FC1" w14:paraId="638B9F61" w14:textId="77777777">
            <w:pPr>
              <w:spacing w:line="240" w:lineRule="auto"/>
              <w:jc w:val="center"/>
              <w:rPr>
                <w:rFonts w:asciiTheme="minorHAnsi" w:hAnsiTheme="minorHAnsi" w:cstheme="minorHAnsi"/>
                <w:b/>
                <w:bCs/>
                <w:sz w:val="18"/>
                <w:szCs w:val="18"/>
              </w:rPr>
            </w:pPr>
            <w:r w:rsidRPr="00E61FC1">
              <w:rPr>
                <w:rFonts w:asciiTheme="minorHAnsi" w:hAnsiTheme="minorHAnsi" w:cstheme="minorHAnsi"/>
                <w:b/>
                <w:bCs/>
                <w:sz w:val="18"/>
                <w:szCs w:val="18"/>
              </w:rPr>
              <w:t>Burden Hours</w:t>
            </w:r>
          </w:p>
        </w:tc>
        <w:tc>
          <w:tcPr>
            <w:tcW w:w="4230" w:type="dxa"/>
            <w:vMerge w:val="restart"/>
            <w:tcBorders>
              <w:top w:val="single" w:sz="12" w:space="0" w:color="000000"/>
              <w:left w:val="single" w:sz="6" w:space="0" w:color="CCCCCC"/>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E61FC1" w:rsidRPr="00E61FC1" w:rsidP="00E61FC1" w14:paraId="7E6E2A7F" w14:textId="77777777">
            <w:pPr>
              <w:spacing w:line="240" w:lineRule="auto"/>
              <w:jc w:val="center"/>
              <w:rPr>
                <w:rFonts w:asciiTheme="minorHAnsi" w:hAnsiTheme="minorHAnsi" w:cstheme="minorHAnsi"/>
                <w:b/>
                <w:bCs/>
                <w:sz w:val="18"/>
                <w:szCs w:val="18"/>
              </w:rPr>
            </w:pPr>
            <w:r w:rsidRPr="00E61FC1">
              <w:rPr>
                <w:rFonts w:asciiTheme="minorHAnsi" w:hAnsiTheme="minorHAnsi" w:cstheme="minorHAnsi"/>
                <w:b/>
                <w:bCs/>
                <w:sz w:val="18"/>
                <w:szCs w:val="18"/>
              </w:rPr>
              <w:t>Reason for change or adjustment</w:t>
            </w:r>
          </w:p>
        </w:tc>
      </w:tr>
      <w:tr w14:paraId="1E0CF141" w14:textId="77777777" w:rsidTr="00E61FC1">
        <w:tblPrEx>
          <w:tblW w:w="14385" w:type="dxa"/>
          <w:tblCellMar>
            <w:left w:w="0" w:type="dxa"/>
            <w:right w:w="0" w:type="dxa"/>
          </w:tblCellMar>
          <w:tblLook w:val="04A0"/>
        </w:tblPrEx>
        <w:trPr>
          <w:trHeight w:val="300"/>
        </w:trPr>
        <w:tc>
          <w:tcPr>
            <w:tcW w:w="3945" w:type="dxa"/>
            <w:vMerge/>
            <w:tcBorders>
              <w:top w:val="single" w:sz="12" w:space="0" w:color="000000"/>
              <w:left w:val="single" w:sz="12" w:space="0" w:color="000000"/>
              <w:bottom w:val="single" w:sz="12" w:space="0" w:color="000000"/>
              <w:right w:val="single" w:sz="12" w:space="0" w:color="000000"/>
            </w:tcBorders>
            <w:vAlign w:val="center"/>
            <w:hideMark/>
          </w:tcPr>
          <w:p w:rsidR="00E61FC1" w:rsidRPr="00E61FC1" w:rsidP="00E61FC1" w14:paraId="23939E34" w14:textId="77777777">
            <w:pPr>
              <w:spacing w:line="240" w:lineRule="auto"/>
              <w:rPr>
                <w:rFonts w:asciiTheme="minorHAnsi" w:hAnsiTheme="minorHAnsi" w:cstheme="minorHAnsi"/>
                <w:b/>
                <w:bCs/>
                <w:sz w:val="18"/>
                <w:szCs w:val="18"/>
              </w:rPr>
            </w:pPr>
          </w:p>
        </w:tc>
        <w:tc>
          <w:tcPr>
            <w:tcW w:w="1080" w:type="dxa"/>
            <w:tcBorders>
              <w:top w:val="single" w:sz="6" w:space="0" w:color="CCCCCC"/>
              <w:left w:val="single" w:sz="6" w:space="0" w:color="CCCCCC"/>
              <w:bottom w:val="single" w:sz="12" w:space="0" w:color="000000"/>
              <w:right w:val="dashed" w:sz="12" w:space="0" w:color="000000"/>
            </w:tcBorders>
            <w:shd w:val="clear" w:color="auto" w:fill="FBE4D5"/>
            <w:tcMar>
              <w:top w:w="0" w:type="dxa"/>
              <w:left w:w="45" w:type="dxa"/>
              <w:bottom w:w="0" w:type="dxa"/>
              <w:right w:w="45" w:type="dxa"/>
            </w:tcMar>
            <w:vAlign w:val="center"/>
            <w:hideMark/>
          </w:tcPr>
          <w:p w:rsidR="00E61FC1" w:rsidRPr="00E61FC1" w:rsidP="00E61FC1" w14:paraId="7128F5D2" w14:textId="77777777">
            <w:pPr>
              <w:spacing w:line="240" w:lineRule="auto"/>
              <w:jc w:val="center"/>
              <w:rPr>
                <w:rFonts w:asciiTheme="minorHAnsi" w:hAnsiTheme="minorHAnsi" w:cstheme="minorHAnsi"/>
                <w:sz w:val="18"/>
                <w:szCs w:val="18"/>
              </w:rPr>
            </w:pPr>
            <w:r w:rsidRPr="00E61FC1">
              <w:rPr>
                <w:rFonts w:asciiTheme="minorHAnsi" w:hAnsiTheme="minorHAnsi" w:cstheme="minorHAnsi"/>
                <w:sz w:val="18"/>
                <w:szCs w:val="18"/>
              </w:rPr>
              <w:t>Current Renewal / Revision</w:t>
            </w:r>
          </w:p>
        </w:tc>
        <w:tc>
          <w:tcPr>
            <w:tcW w:w="1170" w:type="dxa"/>
            <w:tcBorders>
              <w:top w:val="single" w:sz="6" w:space="0" w:color="CCCCCC"/>
              <w:left w:val="single" w:sz="6" w:space="0" w:color="CCCCCC"/>
              <w:bottom w:val="single" w:sz="12" w:space="0" w:color="000000"/>
              <w:right w:val="single" w:sz="12" w:space="0" w:color="000000"/>
            </w:tcBorders>
            <w:shd w:val="clear" w:color="auto" w:fill="FBE4D5"/>
            <w:tcMar>
              <w:top w:w="0" w:type="dxa"/>
              <w:left w:w="45" w:type="dxa"/>
              <w:bottom w:w="0" w:type="dxa"/>
              <w:right w:w="45" w:type="dxa"/>
            </w:tcMar>
            <w:vAlign w:val="center"/>
            <w:hideMark/>
          </w:tcPr>
          <w:p w:rsidR="00E61FC1" w:rsidRPr="00E61FC1" w:rsidP="00E61FC1" w14:paraId="4B6B7DB0" w14:textId="77777777">
            <w:pPr>
              <w:spacing w:line="240" w:lineRule="auto"/>
              <w:jc w:val="center"/>
              <w:rPr>
                <w:rFonts w:asciiTheme="minorHAnsi" w:hAnsiTheme="minorHAnsi" w:cstheme="minorHAnsi"/>
                <w:sz w:val="18"/>
                <w:szCs w:val="18"/>
              </w:rPr>
            </w:pPr>
            <w:r w:rsidRPr="00E61FC1">
              <w:rPr>
                <w:rFonts w:asciiTheme="minorHAnsi" w:hAnsiTheme="minorHAnsi" w:cstheme="minorHAnsi"/>
                <w:sz w:val="18"/>
                <w:szCs w:val="18"/>
              </w:rPr>
              <w:t>Previous Renewal / Revision</w:t>
            </w:r>
          </w:p>
        </w:tc>
        <w:tc>
          <w:tcPr>
            <w:tcW w:w="1080" w:type="dxa"/>
            <w:tcBorders>
              <w:top w:val="single" w:sz="6" w:space="0" w:color="CCCCCC"/>
              <w:left w:val="single" w:sz="6" w:space="0" w:color="CCCCCC"/>
              <w:bottom w:val="single" w:sz="12" w:space="0" w:color="000000"/>
              <w:right w:val="dashed" w:sz="12" w:space="0" w:color="000000"/>
            </w:tcBorders>
            <w:shd w:val="clear" w:color="auto" w:fill="FBE4D5"/>
            <w:tcMar>
              <w:top w:w="0" w:type="dxa"/>
              <w:left w:w="45" w:type="dxa"/>
              <w:bottom w:w="0" w:type="dxa"/>
              <w:right w:w="45" w:type="dxa"/>
            </w:tcMar>
            <w:vAlign w:val="center"/>
            <w:hideMark/>
          </w:tcPr>
          <w:p w:rsidR="00E61FC1" w:rsidRPr="00E61FC1" w:rsidP="00E61FC1" w14:paraId="75C1A146" w14:textId="77777777">
            <w:pPr>
              <w:spacing w:line="240" w:lineRule="auto"/>
              <w:jc w:val="center"/>
              <w:rPr>
                <w:rFonts w:asciiTheme="minorHAnsi" w:hAnsiTheme="minorHAnsi" w:cstheme="minorHAnsi"/>
                <w:sz w:val="18"/>
                <w:szCs w:val="18"/>
              </w:rPr>
            </w:pPr>
            <w:r w:rsidRPr="00E61FC1">
              <w:rPr>
                <w:rFonts w:asciiTheme="minorHAnsi" w:hAnsiTheme="minorHAnsi" w:cstheme="minorHAnsi"/>
                <w:sz w:val="18"/>
                <w:szCs w:val="18"/>
              </w:rPr>
              <w:t>Current Renewal / Revision</w:t>
            </w:r>
          </w:p>
        </w:tc>
        <w:tc>
          <w:tcPr>
            <w:tcW w:w="1072" w:type="dxa"/>
            <w:tcBorders>
              <w:top w:val="single" w:sz="6" w:space="0" w:color="CCCCCC"/>
              <w:left w:val="single" w:sz="6" w:space="0" w:color="CCCCCC"/>
              <w:bottom w:val="single" w:sz="12" w:space="0" w:color="000000"/>
              <w:right w:val="single" w:sz="12" w:space="0" w:color="000000"/>
            </w:tcBorders>
            <w:shd w:val="clear" w:color="auto" w:fill="FBE4D5"/>
            <w:tcMar>
              <w:top w:w="0" w:type="dxa"/>
              <w:left w:w="45" w:type="dxa"/>
              <w:bottom w:w="0" w:type="dxa"/>
              <w:right w:w="45" w:type="dxa"/>
            </w:tcMar>
            <w:vAlign w:val="center"/>
            <w:hideMark/>
          </w:tcPr>
          <w:p w:rsidR="00E61FC1" w:rsidRPr="00E61FC1" w:rsidP="00E61FC1" w14:paraId="2055008E" w14:textId="77777777">
            <w:pPr>
              <w:spacing w:line="240" w:lineRule="auto"/>
              <w:jc w:val="center"/>
              <w:rPr>
                <w:rFonts w:asciiTheme="minorHAnsi" w:hAnsiTheme="minorHAnsi" w:cstheme="minorHAnsi"/>
                <w:sz w:val="18"/>
                <w:szCs w:val="18"/>
              </w:rPr>
            </w:pPr>
            <w:r w:rsidRPr="00E61FC1">
              <w:rPr>
                <w:rFonts w:asciiTheme="minorHAnsi" w:hAnsiTheme="minorHAnsi" w:cstheme="minorHAnsi"/>
                <w:sz w:val="18"/>
                <w:szCs w:val="18"/>
              </w:rPr>
              <w:t>Previous Renewal / Revision</w:t>
            </w:r>
          </w:p>
        </w:tc>
        <w:tc>
          <w:tcPr>
            <w:tcW w:w="908" w:type="dxa"/>
            <w:tcBorders>
              <w:top w:val="single" w:sz="6" w:space="0" w:color="CCCCCC"/>
              <w:left w:val="single" w:sz="6" w:space="0" w:color="CCCCCC"/>
              <w:bottom w:val="single" w:sz="12" w:space="0" w:color="000000"/>
              <w:right w:val="dashed" w:sz="12" w:space="0" w:color="000000"/>
            </w:tcBorders>
            <w:shd w:val="clear" w:color="auto" w:fill="FBE4D5"/>
            <w:tcMar>
              <w:top w:w="0" w:type="dxa"/>
              <w:left w:w="45" w:type="dxa"/>
              <w:bottom w:w="0" w:type="dxa"/>
              <w:right w:w="45" w:type="dxa"/>
            </w:tcMar>
            <w:vAlign w:val="center"/>
            <w:hideMark/>
          </w:tcPr>
          <w:p w:rsidR="00E61FC1" w:rsidRPr="00E61FC1" w:rsidP="00E61FC1" w14:paraId="78030074" w14:textId="77777777">
            <w:pPr>
              <w:spacing w:line="240" w:lineRule="auto"/>
              <w:jc w:val="center"/>
              <w:rPr>
                <w:rFonts w:asciiTheme="minorHAnsi" w:hAnsiTheme="minorHAnsi" w:cstheme="minorHAnsi"/>
                <w:sz w:val="18"/>
                <w:szCs w:val="18"/>
              </w:rPr>
            </w:pPr>
            <w:r w:rsidRPr="00E61FC1">
              <w:rPr>
                <w:rFonts w:asciiTheme="minorHAnsi" w:hAnsiTheme="minorHAnsi" w:cstheme="minorHAnsi"/>
                <w:sz w:val="18"/>
                <w:szCs w:val="18"/>
              </w:rPr>
              <w:t>Current Renewal / Revision</w:t>
            </w:r>
          </w:p>
        </w:tc>
        <w:tc>
          <w:tcPr>
            <w:tcW w:w="900" w:type="dxa"/>
            <w:tcBorders>
              <w:top w:val="single" w:sz="6" w:space="0" w:color="CCCCCC"/>
              <w:left w:val="single" w:sz="6" w:space="0" w:color="CCCCCC"/>
              <w:bottom w:val="single" w:sz="12" w:space="0" w:color="000000"/>
              <w:right w:val="single" w:sz="12" w:space="0" w:color="000000"/>
            </w:tcBorders>
            <w:shd w:val="clear" w:color="auto" w:fill="FBE4D5"/>
            <w:tcMar>
              <w:top w:w="0" w:type="dxa"/>
              <w:left w:w="45" w:type="dxa"/>
              <w:bottom w:w="0" w:type="dxa"/>
              <w:right w:w="45" w:type="dxa"/>
            </w:tcMar>
            <w:vAlign w:val="center"/>
            <w:hideMark/>
          </w:tcPr>
          <w:p w:rsidR="00E61FC1" w:rsidRPr="00E61FC1" w:rsidP="00E61FC1" w14:paraId="26355D2D" w14:textId="77777777">
            <w:pPr>
              <w:spacing w:line="240" w:lineRule="auto"/>
              <w:jc w:val="center"/>
              <w:rPr>
                <w:rFonts w:asciiTheme="minorHAnsi" w:hAnsiTheme="minorHAnsi" w:cstheme="minorHAnsi"/>
                <w:sz w:val="18"/>
                <w:szCs w:val="18"/>
              </w:rPr>
            </w:pPr>
            <w:r w:rsidRPr="00E61FC1">
              <w:rPr>
                <w:rFonts w:asciiTheme="minorHAnsi" w:hAnsiTheme="minorHAnsi" w:cstheme="minorHAnsi"/>
                <w:sz w:val="18"/>
                <w:szCs w:val="18"/>
              </w:rPr>
              <w:t>Previous Renewal / Revision</w:t>
            </w:r>
          </w:p>
        </w:tc>
        <w:tc>
          <w:tcPr>
            <w:tcW w:w="4230" w:type="dxa"/>
            <w:vMerge/>
            <w:tcBorders>
              <w:top w:val="single" w:sz="12" w:space="0" w:color="000000"/>
              <w:left w:val="single" w:sz="6" w:space="0" w:color="CCCCCC"/>
              <w:bottom w:val="single" w:sz="12" w:space="0" w:color="000000"/>
              <w:right w:val="single" w:sz="12" w:space="0" w:color="000000"/>
            </w:tcBorders>
            <w:vAlign w:val="center"/>
            <w:hideMark/>
          </w:tcPr>
          <w:p w:rsidR="00E61FC1" w:rsidRPr="00E61FC1" w:rsidP="00E61FC1" w14:paraId="684444B6" w14:textId="77777777">
            <w:pPr>
              <w:spacing w:line="240" w:lineRule="auto"/>
              <w:rPr>
                <w:rFonts w:asciiTheme="minorHAnsi" w:hAnsiTheme="minorHAnsi" w:cstheme="minorHAnsi"/>
                <w:b/>
                <w:bCs/>
                <w:sz w:val="18"/>
                <w:szCs w:val="18"/>
              </w:rPr>
            </w:pPr>
          </w:p>
        </w:tc>
      </w:tr>
      <w:tr w14:paraId="5D379930" w14:textId="77777777" w:rsidTr="00C95736">
        <w:tblPrEx>
          <w:tblW w:w="14385" w:type="dxa"/>
          <w:tblCellMar>
            <w:left w:w="0" w:type="dxa"/>
            <w:right w:w="0" w:type="dxa"/>
          </w:tblCellMar>
          <w:tblLook w:val="04A0"/>
        </w:tblPrEx>
        <w:trPr>
          <w:trHeight w:val="300"/>
        </w:trPr>
        <w:tc>
          <w:tcPr>
            <w:tcW w:w="3945"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rsidR="00C95736" w:rsidRPr="00E61FC1" w:rsidP="00C95736" w14:paraId="71901D1B" w14:textId="3DF7D20E">
            <w:pPr>
              <w:spacing w:line="240" w:lineRule="auto"/>
              <w:rPr>
                <w:rFonts w:asciiTheme="minorHAnsi" w:hAnsiTheme="minorHAnsi" w:cstheme="minorHAnsi"/>
                <w:sz w:val="18"/>
                <w:szCs w:val="18"/>
              </w:rPr>
            </w:pPr>
            <w:r>
              <w:rPr>
                <w:rFonts w:ascii="Calibri" w:hAnsi="Calibri" w:cs="Calibri"/>
                <w:color w:val="000000"/>
                <w:sz w:val="16"/>
                <w:szCs w:val="16"/>
              </w:rPr>
              <w:t>Weather and Outdoor Activity Survey (FES)</w:t>
            </w:r>
          </w:p>
        </w:tc>
        <w:tc>
          <w:tcPr>
            <w:tcW w:w="1080"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C95736" w:rsidRPr="00E61FC1" w:rsidP="00C95736" w14:paraId="40B9947D" w14:textId="1EAD12C4">
            <w:pPr>
              <w:spacing w:line="240" w:lineRule="auto"/>
              <w:jc w:val="center"/>
              <w:rPr>
                <w:rFonts w:asciiTheme="minorHAnsi" w:hAnsiTheme="minorHAnsi" w:cstheme="minorHAnsi"/>
                <w:sz w:val="18"/>
                <w:szCs w:val="18"/>
              </w:rPr>
            </w:pPr>
            <w:r>
              <w:rPr>
                <w:rFonts w:asciiTheme="minorHAnsi" w:hAnsiTheme="minorHAnsi" w:cstheme="minorHAnsi"/>
                <w:sz w:val="18"/>
                <w:szCs w:val="18"/>
              </w:rPr>
              <w:t>110,000</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2A8246AB" w14:textId="2D2DF339">
            <w:pPr>
              <w:spacing w:line="240" w:lineRule="auto"/>
              <w:jc w:val="center"/>
              <w:rPr>
                <w:rFonts w:asciiTheme="minorHAnsi" w:hAnsiTheme="minorHAnsi" w:cstheme="minorHAnsi"/>
                <w:sz w:val="18"/>
                <w:szCs w:val="18"/>
              </w:rPr>
            </w:pPr>
            <w:r>
              <w:rPr>
                <w:rFonts w:asciiTheme="minorHAnsi" w:hAnsiTheme="minorHAnsi" w:cstheme="minorHAnsi"/>
                <w:sz w:val="18"/>
                <w:szCs w:val="18"/>
              </w:rPr>
              <w:t>110,000</w:t>
            </w:r>
          </w:p>
        </w:tc>
        <w:tc>
          <w:tcPr>
            <w:tcW w:w="1080"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C95736" w:rsidRPr="00E61FC1" w:rsidP="00C95736" w14:paraId="62DDDDFE" w14:textId="61EEF433">
            <w:pPr>
              <w:spacing w:line="240" w:lineRule="auto"/>
              <w:jc w:val="center"/>
              <w:rPr>
                <w:rFonts w:asciiTheme="minorHAnsi" w:hAnsiTheme="minorHAnsi" w:cstheme="minorHAnsi"/>
                <w:sz w:val="18"/>
                <w:szCs w:val="18"/>
              </w:rPr>
            </w:pPr>
            <w:r>
              <w:rPr>
                <w:rFonts w:asciiTheme="minorHAnsi" w:hAnsiTheme="minorHAnsi" w:cstheme="minorHAnsi"/>
                <w:sz w:val="18"/>
                <w:szCs w:val="18"/>
              </w:rPr>
              <w:t>110,000</w:t>
            </w:r>
          </w:p>
        </w:tc>
        <w:tc>
          <w:tcPr>
            <w:tcW w:w="1072"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749A4B3D" w14:textId="114531D8">
            <w:pPr>
              <w:spacing w:line="240" w:lineRule="auto"/>
              <w:jc w:val="center"/>
              <w:rPr>
                <w:rFonts w:asciiTheme="minorHAnsi" w:hAnsiTheme="minorHAnsi" w:cstheme="minorHAnsi"/>
                <w:sz w:val="18"/>
                <w:szCs w:val="18"/>
              </w:rPr>
            </w:pPr>
            <w:r>
              <w:rPr>
                <w:rFonts w:asciiTheme="minorHAnsi" w:hAnsiTheme="minorHAnsi" w:cstheme="minorHAnsi"/>
                <w:sz w:val="18"/>
                <w:szCs w:val="18"/>
              </w:rPr>
              <w:t>110,000</w:t>
            </w:r>
          </w:p>
        </w:tc>
        <w:tc>
          <w:tcPr>
            <w:tcW w:w="908"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C95736" w:rsidRPr="00E61FC1" w:rsidP="00C95736" w14:paraId="5E454790" w14:textId="3E8E7857">
            <w:pPr>
              <w:spacing w:line="240" w:lineRule="auto"/>
              <w:jc w:val="center"/>
              <w:rPr>
                <w:rFonts w:asciiTheme="minorHAnsi" w:hAnsiTheme="minorHAnsi" w:cstheme="minorHAnsi"/>
                <w:sz w:val="18"/>
                <w:szCs w:val="18"/>
              </w:rPr>
            </w:pPr>
            <w:r>
              <w:rPr>
                <w:rFonts w:asciiTheme="minorHAnsi" w:hAnsiTheme="minorHAnsi" w:cstheme="minorHAnsi"/>
                <w:sz w:val="18"/>
                <w:szCs w:val="18"/>
              </w:rPr>
              <w:t>9,166</w:t>
            </w:r>
          </w:p>
        </w:tc>
        <w:tc>
          <w:tcPr>
            <w:tcW w:w="90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22D74870" w14:textId="2AFBCD6D">
            <w:pPr>
              <w:spacing w:line="240" w:lineRule="auto"/>
              <w:jc w:val="center"/>
              <w:rPr>
                <w:rFonts w:asciiTheme="minorHAnsi" w:hAnsiTheme="minorHAnsi" w:cstheme="minorHAnsi"/>
                <w:sz w:val="18"/>
                <w:szCs w:val="18"/>
              </w:rPr>
            </w:pPr>
            <w:r>
              <w:rPr>
                <w:rFonts w:asciiTheme="minorHAnsi" w:hAnsiTheme="minorHAnsi" w:cstheme="minorHAnsi"/>
                <w:sz w:val="18"/>
                <w:szCs w:val="18"/>
              </w:rPr>
              <w:t>9,167</w:t>
            </w:r>
          </w:p>
        </w:tc>
        <w:tc>
          <w:tcPr>
            <w:tcW w:w="423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3802C475" w14:textId="69D0FCB8">
            <w:pPr>
              <w:spacing w:line="240" w:lineRule="auto"/>
              <w:rPr>
                <w:rFonts w:asciiTheme="minorHAnsi" w:hAnsiTheme="minorHAnsi" w:cstheme="minorHAnsi"/>
                <w:sz w:val="18"/>
                <w:szCs w:val="18"/>
              </w:rPr>
            </w:pPr>
            <w:r>
              <w:rPr>
                <w:rFonts w:asciiTheme="minorHAnsi" w:hAnsiTheme="minorHAnsi" w:cstheme="minorHAnsi"/>
                <w:sz w:val="18"/>
                <w:szCs w:val="18"/>
              </w:rPr>
              <w:t>No change.</w:t>
            </w:r>
          </w:p>
        </w:tc>
      </w:tr>
      <w:tr w14:paraId="55F51773" w14:textId="77777777" w:rsidTr="00C95736">
        <w:tblPrEx>
          <w:tblW w:w="14385" w:type="dxa"/>
          <w:tblCellMar>
            <w:left w:w="0" w:type="dxa"/>
            <w:right w:w="0" w:type="dxa"/>
          </w:tblCellMar>
          <w:tblLook w:val="04A0"/>
        </w:tblPrEx>
        <w:trPr>
          <w:trHeight w:val="300"/>
        </w:trPr>
        <w:tc>
          <w:tcPr>
            <w:tcW w:w="3945"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rsidR="00C95736" w:rsidRPr="00E61FC1" w:rsidP="00C95736" w14:paraId="38FCBABA" w14:textId="6742417E">
            <w:pPr>
              <w:spacing w:line="240" w:lineRule="auto"/>
              <w:rPr>
                <w:rFonts w:asciiTheme="minorHAnsi" w:hAnsiTheme="minorHAnsi" w:cstheme="minorHAnsi"/>
                <w:sz w:val="18"/>
                <w:szCs w:val="18"/>
              </w:rPr>
            </w:pPr>
            <w:r>
              <w:rPr>
                <w:rFonts w:ascii="Calibri" w:hAnsi="Calibri" w:cs="Calibri"/>
                <w:color w:val="000000"/>
                <w:sz w:val="16"/>
                <w:szCs w:val="16"/>
              </w:rPr>
              <w:t>Web-Push Study</w:t>
            </w:r>
          </w:p>
        </w:tc>
        <w:tc>
          <w:tcPr>
            <w:tcW w:w="1080"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C95736" w:rsidRPr="00E61FC1" w:rsidP="00C95736" w14:paraId="529447D0" w14:textId="1E6FAECC">
            <w:pPr>
              <w:spacing w:line="240" w:lineRule="auto"/>
              <w:jc w:val="center"/>
              <w:rPr>
                <w:rFonts w:asciiTheme="minorHAnsi" w:hAnsiTheme="minorHAnsi" w:cstheme="minorHAnsi"/>
                <w:sz w:val="18"/>
                <w:szCs w:val="18"/>
              </w:rPr>
            </w:pPr>
            <w:r>
              <w:rPr>
                <w:rFonts w:asciiTheme="minorHAnsi" w:hAnsiTheme="minorHAnsi" w:cstheme="minorHAnsi"/>
                <w:sz w:val="18"/>
                <w:szCs w:val="18"/>
              </w:rPr>
              <w:t>2,500</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1D93D307" w14:textId="11CE96C0">
            <w:pPr>
              <w:spacing w:line="240" w:lineRule="auto"/>
              <w:jc w:val="center"/>
              <w:rPr>
                <w:rFonts w:asciiTheme="minorHAnsi" w:hAnsiTheme="minorHAnsi" w:cstheme="minorHAnsi"/>
                <w:sz w:val="18"/>
                <w:szCs w:val="18"/>
              </w:rPr>
            </w:pPr>
            <w:r>
              <w:rPr>
                <w:rFonts w:asciiTheme="minorHAnsi" w:hAnsiTheme="minorHAnsi" w:cstheme="minorHAnsi"/>
                <w:sz w:val="18"/>
                <w:szCs w:val="18"/>
              </w:rPr>
              <w:t>0</w:t>
            </w:r>
          </w:p>
        </w:tc>
        <w:tc>
          <w:tcPr>
            <w:tcW w:w="1080"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C95736" w:rsidRPr="00E61FC1" w:rsidP="00C95736" w14:paraId="4B136C90" w14:textId="56F1B58C">
            <w:pPr>
              <w:spacing w:line="240" w:lineRule="auto"/>
              <w:jc w:val="center"/>
              <w:rPr>
                <w:rFonts w:asciiTheme="minorHAnsi" w:hAnsiTheme="minorHAnsi" w:cstheme="minorHAnsi"/>
                <w:sz w:val="18"/>
                <w:szCs w:val="18"/>
              </w:rPr>
            </w:pPr>
            <w:r>
              <w:rPr>
                <w:rFonts w:asciiTheme="minorHAnsi" w:hAnsiTheme="minorHAnsi" w:cstheme="minorHAnsi"/>
                <w:sz w:val="18"/>
                <w:szCs w:val="18"/>
              </w:rPr>
              <w:t>2,500</w:t>
            </w:r>
          </w:p>
        </w:tc>
        <w:tc>
          <w:tcPr>
            <w:tcW w:w="1072"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4338B2EB" w14:textId="3D7A03E4">
            <w:pPr>
              <w:spacing w:line="240" w:lineRule="auto"/>
              <w:jc w:val="center"/>
              <w:rPr>
                <w:rFonts w:asciiTheme="minorHAnsi" w:hAnsiTheme="minorHAnsi" w:cstheme="minorHAnsi"/>
                <w:sz w:val="18"/>
                <w:szCs w:val="18"/>
              </w:rPr>
            </w:pPr>
            <w:r>
              <w:rPr>
                <w:rFonts w:asciiTheme="minorHAnsi" w:hAnsiTheme="minorHAnsi" w:cstheme="minorHAnsi"/>
                <w:sz w:val="18"/>
                <w:szCs w:val="18"/>
              </w:rPr>
              <w:t>0</w:t>
            </w:r>
          </w:p>
        </w:tc>
        <w:tc>
          <w:tcPr>
            <w:tcW w:w="908"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C95736" w:rsidRPr="00E61FC1" w:rsidP="00C95736" w14:paraId="7134BCB5" w14:textId="37CDA869">
            <w:pPr>
              <w:spacing w:line="240" w:lineRule="auto"/>
              <w:jc w:val="center"/>
              <w:rPr>
                <w:rFonts w:asciiTheme="minorHAnsi" w:hAnsiTheme="minorHAnsi" w:cstheme="minorHAnsi"/>
                <w:sz w:val="18"/>
                <w:szCs w:val="18"/>
              </w:rPr>
            </w:pPr>
            <w:r>
              <w:rPr>
                <w:rFonts w:asciiTheme="minorHAnsi" w:hAnsiTheme="minorHAnsi" w:cstheme="minorHAnsi"/>
                <w:sz w:val="18"/>
                <w:szCs w:val="18"/>
              </w:rPr>
              <w:t>208</w:t>
            </w:r>
          </w:p>
        </w:tc>
        <w:tc>
          <w:tcPr>
            <w:tcW w:w="90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0F3855B5" w14:textId="0CF407E4">
            <w:pPr>
              <w:spacing w:line="240" w:lineRule="auto"/>
              <w:jc w:val="center"/>
              <w:rPr>
                <w:rFonts w:asciiTheme="minorHAnsi" w:hAnsiTheme="minorHAnsi" w:cstheme="minorHAnsi"/>
                <w:sz w:val="18"/>
                <w:szCs w:val="18"/>
              </w:rPr>
            </w:pPr>
            <w:r>
              <w:rPr>
                <w:rFonts w:asciiTheme="minorHAnsi" w:hAnsiTheme="minorHAnsi" w:cstheme="minorHAnsi"/>
                <w:sz w:val="18"/>
                <w:szCs w:val="18"/>
              </w:rPr>
              <w:t>0</w:t>
            </w:r>
          </w:p>
        </w:tc>
        <w:tc>
          <w:tcPr>
            <w:tcW w:w="423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C95736" w:rsidRPr="00E61FC1" w:rsidP="00C95736" w14:paraId="7F3CAE3B" w14:textId="70F13989">
            <w:pPr>
              <w:spacing w:line="240" w:lineRule="auto"/>
              <w:rPr>
                <w:rFonts w:asciiTheme="minorHAnsi" w:hAnsiTheme="minorHAnsi" w:cstheme="minorHAnsi"/>
                <w:sz w:val="18"/>
                <w:szCs w:val="18"/>
              </w:rPr>
            </w:pPr>
            <w:r>
              <w:rPr>
                <w:rFonts w:asciiTheme="minorHAnsi" w:hAnsiTheme="minorHAnsi" w:cstheme="minorHAnsi"/>
                <w:sz w:val="18"/>
                <w:szCs w:val="18"/>
              </w:rPr>
              <w:t>New collection.</w:t>
            </w:r>
          </w:p>
        </w:tc>
      </w:tr>
      <w:tr w14:paraId="4C533324" w14:textId="77777777" w:rsidTr="00C95736">
        <w:tblPrEx>
          <w:tblW w:w="14385" w:type="dxa"/>
          <w:tblCellMar>
            <w:left w:w="0" w:type="dxa"/>
            <w:right w:w="0" w:type="dxa"/>
          </w:tblCellMar>
          <w:tblLook w:val="04A0"/>
        </w:tblPrEx>
        <w:trPr>
          <w:trHeight w:val="300"/>
        </w:trPr>
        <w:tc>
          <w:tcPr>
            <w:tcW w:w="3945"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rsidR="00E61FC1" w:rsidRPr="00E61FC1" w:rsidP="00E61FC1" w14:paraId="36918719" w14:textId="5030D768">
            <w:pPr>
              <w:spacing w:line="240" w:lineRule="auto"/>
              <w:rPr>
                <w:rFonts w:asciiTheme="minorHAnsi" w:hAnsiTheme="minorHAnsi" w:cstheme="minorHAnsi"/>
                <w:sz w:val="18"/>
                <w:szCs w:val="18"/>
              </w:rPr>
            </w:pPr>
            <w:r>
              <w:rPr>
                <w:rFonts w:asciiTheme="minorHAnsi" w:hAnsiTheme="minorHAnsi" w:cstheme="minorHAnsi"/>
                <w:sz w:val="18"/>
                <w:szCs w:val="18"/>
              </w:rPr>
              <w:t>One-Month Wave Study</w:t>
            </w:r>
          </w:p>
        </w:tc>
        <w:tc>
          <w:tcPr>
            <w:tcW w:w="1080"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E61FC1" w:rsidRPr="00E61FC1" w:rsidP="00C95736" w14:paraId="07F88847" w14:textId="7CC4818D">
            <w:pPr>
              <w:spacing w:line="240" w:lineRule="auto"/>
              <w:jc w:val="center"/>
              <w:rPr>
                <w:rFonts w:asciiTheme="minorHAnsi" w:hAnsiTheme="minorHAnsi" w:cstheme="minorHAnsi"/>
                <w:sz w:val="18"/>
                <w:szCs w:val="18"/>
              </w:rPr>
            </w:pPr>
            <w:r>
              <w:rPr>
                <w:rFonts w:asciiTheme="minorHAnsi" w:hAnsiTheme="minorHAnsi" w:cstheme="minorHAnsi"/>
                <w:sz w:val="18"/>
                <w:szCs w:val="18"/>
              </w:rPr>
              <w:t>0</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E61FC1" w:rsidRPr="00E61FC1" w:rsidP="00C95736" w14:paraId="6490B620" w14:textId="1E15A653">
            <w:pPr>
              <w:spacing w:line="240" w:lineRule="auto"/>
              <w:jc w:val="center"/>
              <w:rPr>
                <w:rFonts w:asciiTheme="minorHAnsi" w:hAnsiTheme="minorHAnsi" w:cstheme="minorHAnsi"/>
                <w:sz w:val="18"/>
                <w:szCs w:val="18"/>
              </w:rPr>
            </w:pPr>
            <w:r>
              <w:rPr>
                <w:rFonts w:asciiTheme="minorHAnsi" w:hAnsiTheme="minorHAnsi" w:cstheme="minorHAnsi"/>
                <w:sz w:val="18"/>
                <w:szCs w:val="18"/>
              </w:rPr>
              <w:t>73,333</w:t>
            </w:r>
          </w:p>
        </w:tc>
        <w:tc>
          <w:tcPr>
            <w:tcW w:w="1080"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E61FC1" w:rsidRPr="00E61FC1" w:rsidP="00C95736" w14:paraId="1EA7DB85" w14:textId="3F9A8E8D">
            <w:pPr>
              <w:spacing w:line="240" w:lineRule="auto"/>
              <w:jc w:val="center"/>
              <w:rPr>
                <w:rFonts w:asciiTheme="minorHAnsi" w:hAnsiTheme="minorHAnsi" w:cstheme="minorHAnsi"/>
                <w:sz w:val="18"/>
                <w:szCs w:val="18"/>
              </w:rPr>
            </w:pPr>
            <w:r>
              <w:rPr>
                <w:rFonts w:asciiTheme="minorHAnsi" w:hAnsiTheme="minorHAnsi" w:cstheme="minorHAnsi"/>
                <w:sz w:val="18"/>
                <w:szCs w:val="18"/>
              </w:rPr>
              <w:t>0</w:t>
            </w:r>
          </w:p>
        </w:tc>
        <w:tc>
          <w:tcPr>
            <w:tcW w:w="1072"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E61FC1" w:rsidRPr="00E61FC1" w:rsidP="00C95736" w14:paraId="289D3464" w14:textId="24B6805F">
            <w:pPr>
              <w:spacing w:line="240" w:lineRule="auto"/>
              <w:jc w:val="center"/>
              <w:rPr>
                <w:rFonts w:asciiTheme="minorHAnsi" w:hAnsiTheme="minorHAnsi" w:cstheme="minorHAnsi"/>
                <w:sz w:val="18"/>
                <w:szCs w:val="18"/>
              </w:rPr>
            </w:pPr>
            <w:r>
              <w:rPr>
                <w:rFonts w:asciiTheme="minorHAnsi" w:hAnsiTheme="minorHAnsi" w:cstheme="minorHAnsi"/>
                <w:sz w:val="18"/>
                <w:szCs w:val="18"/>
              </w:rPr>
              <w:t>73,333</w:t>
            </w:r>
          </w:p>
        </w:tc>
        <w:tc>
          <w:tcPr>
            <w:tcW w:w="908" w:type="dxa"/>
            <w:tcBorders>
              <w:top w:val="single" w:sz="6" w:space="0" w:color="CCCCCC"/>
              <w:left w:val="single" w:sz="6" w:space="0" w:color="CCCCCC"/>
              <w:bottom w:val="dashed" w:sz="6" w:space="0" w:color="000000"/>
              <w:right w:val="dashed" w:sz="12" w:space="0" w:color="000000"/>
            </w:tcBorders>
            <w:tcMar>
              <w:top w:w="0" w:type="dxa"/>
              <w:left w:w="45" w:type="dxa"/>
              <w:bottom w:w="0" w:type="dxa"/>
              <w:right w:w="45" w:type="dxa"/>
            </w:tcMar>
            <w:vAlign w:val="center"/>
            <w:hideMark/>
          </w:tcPr>
          <w:p w:rsidR="00E61FC1" w:rsidRPr="00E61FC1" w:rsidP="00C95736" w14:paraId="31EFA736" w14:textId="08678B6A">
            <w:pPr>
              <w:spacing w:line="240" w:lineRule="auto"/>
              <w:jc w:val="center"/>
              <w:rPr>
                <w:rFonts w:asciiTheme="minorHAnsi" w:hAnsiTheme="minorHAnsi" w:cstheme="minorHAnsi"/>
                <w:sz w:val="18"/>
                <w:szCs w:val="18"/>
              </w:rPr>
            </w:pPr>
            <w:r>
              <w:rPr>
                <w:rFonts w:asciiTheme="minorHAnsi" w:hAnsiTheme="minorHAnsi" w:cstheme="minorHAnsi"/>
                <w:sz w:val="18"/>
                <w:szCs w:val="18"/>
              </w:rPr>
              <w:t>0</w:t>
            </w:r>
          </w:p>
        </w:tc>
        <w:tc>
          <w:tcPr>
            <w:tcW w:w="90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E61FC1" w:rsidRPr="00E61FC1" w:rsidP="00C95736" w14:paraId="51EE9603" w14:textId="788BD5B9">
            <w:pPr>
              <w:spacing w:line="240" w:lineRule="auto"/>
              <w:jc w:val="center"/>
              <w:rPr>
                <w:rFonts w:asciiTheme="minorHAnsi" w:hAnsiTheme="minorHAnsi" w:cstheme="minorHAnsi"/>
                <w:sz w:val="18"/>
                <w:szCs w:val="18"/>
              </w:rPr>
            </w:pPr>
            <w:r>
              <w:rPr>
                <w:rFonts w:asciiTheme="minorHAnsi" w:hAnsiTheme="minorHAnsi" w:cstheme="minorHAnsi"/>
                <w:sz w:val="18"/>
                <w:szCs w:val="18"/>
              </w:rPr>
              <w:t>6,111</w:t>
            </w:r>
          </w:p>
        </w:tc>
        <w:tc>
          <w:tcPr>
            <w:tcW w:w="423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hideMark/>
          </w:tcPr>
          <w:p w:rsidR="00E61FC1" w:rsidRPr="00E61FC1" w:rsidP="00E61FC1" w14:paraId="48FDD14C" w14:textId="57A3CF8A">
            <w:pPr>
              <w:spacing w:line="240" w:lineRule="auto"/>
              <w:rPr>
                <w:rFonts w:asciiTheme="minorHAnsi" w:hAnsiTheme="minorHAnsi" w:cstheme="minorHAnsi"/>
                <w:sz w:val="18"/>
                <w:szCs w:val="18"/>
              </w:rPr>
            </w:pPr>
            <w:r>
              <w:rPr>
                <w:rFonts w:asciiTheme="minorHAnsi" w:hAnsiTheme="minorHAnsi" w:cstheme="minorHAnsi"/>
                <w:sz w:val="18"/>
                <w:szCs w:val="18"/>
              </w:rPr>
              <w:t>Removed from Collection as this study has been completed.</w:t>
            </w:r>
          </w:p>
        </w:tc>
      </w:tr>
      <w:tr w14:paraId="00E13208" w14:textId="77777777" w:rsidTr="00C95736">
        <w:tblPrEx>
          <w:tblW w:w="14385" w:type="dxa"/>
          <w:tblCellMar>
            <w:left w:w="0" w:type="dxa"/>
            <w:right w:w="0" w:type="dxa"/>
          </w:tblCellMar>
          <w:tblLook w:val="04A0"/>
        </w:tblPrEx>
        <w:trPr>
          <w:trHeight w:val="465"/>
        </w:trPr>
        <w:tc>
          <w:tcPr>
            <w:tcW w:w="3945" w:type="dxa"/>
            <w:tcBorders>
              <w:top w:val="single" w:sz="6" w:space="0" w:color="CCCCCC"/>
              <w:left w:val="single" w:sz="12" w:space="0" w:color="000000"/>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E61FC1" w:rsidRPr="00E61FC1" w:rsidP="00E61FC1" w14:paraId="4BE381EB" w14:textId="77777777">
            <w:pPr>
              <w:spacing w:line="240" w:lineRule="auto"/>
              <w:jc w:val="center"/>
              <w:rPr>
                <w:rFonts w:asciiTheme="minorHAnsi" w:hAnsiTheme="minorHAnsi" w:cstheme="minorHAnsi"/>
                <w:b/>
                <w:bCs/>
                <w:sz w:val="18"/>
                <w:szCs w:val="18"/>
              </w:rPr>
            </w:pPr>
            <w:r w:rsidRPr="00E61FC1">
              <w:rPr>
                <w:rFonts w:asciiTheme="minorHAnsi" w:hAnsiTheme="minorHAnsi" w:cstheme="minorHAnsi"/>
                <w:b/>
                <w:bCs/>
                <w:sz w:val="18"/>
                <w:szCs w:val="18"/>
              </w:rPr>
              <w:t>Total for Collection</w:t>
            </w:r>
          </w:p>
        </w:tc>
        <w:tc>
          <w:tcPr>
            <w:tcW w:w="1080" w:type="dxa"/>
            <w:tcBorders>
              <w:top w:val="single" w:sz="6" w:space="0" w:color="CCCCCC"/>
              <w:left w:val="single" w:sz="6" w:space="0" w:color="CCCCCC"/>
              <w:bottom w:val="single" w:sz="12" w:space="0" w:color="000000"/>
              <w:right w:val="dashed" w:sz="12" w:space="0" w:color="000000"/>
            </w:tcBorders>
            <w:shd w:val="clear" w:color="auto" w:fill="BDD6EE"/>
            <w:tcMar>
              <w:top w:w="0" w:type="dxa"/>
              <w:left w:w="45" w:type="dxa"/>
              <w:bottom w:w="0" w:type="dxa"/>
              <w:right w:w="45" w:type="dxa"/>
            </w:tcMar>
            <w:vAlign w:val="center"/>
            <w:hideMark/>
          </w:tcPr>
          <w:p w:rsidR="00E61FC1" w:rsidRPr="00E61FC1" w:rsidP="00C95736" w14:paraId="71FBFF24" w14:textId="74CEE781">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112,500</w:t>
            </w:r>
          </w:p>
        </w:tc>
        <w:tc>
          <w:tcPr>
            <w:tcW w:w="1170" w:type="dxa"/>
            <w:tcBorders>
              <w:top w:val="single" w:sz="6" w:space="0" w:color="CCCCCC"/>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E61FC1" w:rsidRPr="00E61FC1" w:rsidP="00C95736" w14:paraId="6B78020F" w14:textId="13FE03A9">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183,333</w:t>
            </w:r>
          </w:p>
        </w:tc>
        <w:tc>
          <w:tcPr>
            <w:tcW w:w="1080" w:type="dxa"/>
            <w:tcBorders>
              <w:top w:val="single" w:sz="6" w:space="0" w:color="CCCCCC"/>
              <w:left w:val="single" w:sz="6" w:space="0" w:color="CCCCCC"/>
              <w:bottom w:val="single" w:sz="12" w:space="0" w:color="000000"/>
              <w:right w:val="dashed" w:sz="12" w:space="0" w:color="000000"/>
            </w:tcBorders>
            <w:shd w:val="clear" w:color="auto" w:fill="BDD6EE"/>
            <w:tcMar>
              <w:top w:w="0" w:type="dxa"/>
              <w:left w:w="45" w:type="dxa"/>
              <w:bottom w:w="0" w:type="dxa"/>
              <w:right w:w="45" w:type="dxa"/>
            </w:tcMar>
            <w:vAlign w:val="center"/>
            <w:hideMark/>
          </w:tcPr>
          <w:p w:rsidR="00E61FC1" w:rsidRPr="00E61FC1" w:rsidP="00C95736" w14:paraId="75F3EE8F" w14:textId="2BF25487">
            <w:pPr>
              <w:spacing w:line="240" w:lineRule="auto"/>
              <w:jc w:val="center"/>
              <w:rPr>
                <w:rFonts w:asciiTheme="minorHAnsi" w:hAnsiTheme="minorHAnsi" w:cstheme="minorHAnsi"/>
                <w:b/>
                <w:bCs/>
                <w:sz w:val="18"/>
                <w:szCs w:val="18"/>
              </w:rPr>
            </w:pPr>
            <w:r w:rsidRPr="00C95736">
              <w:rPr>
                <w:rFonts w:asciiTheme="minorHAnsi" w:hAnsiTheme="minorHAnsi" w:cstheme="minorHAnsi"/>
                <w:b/>
                <w:bCs/>
                <w:sz w:val="18"/>
                <w:szCs w:val="18"/>
              </w:rPr>
              <w:t>112,500</w:t>
            </w:r>
          </w:p>
        </w:tc>
        <w:tc>
          <w:tcPr>
            <w:tcW w:w="1072" w:type="dxa"/>
            <w:tcBorders>
              <w:top w:val="single" w:sz="6" w:space="0" w:color="CCCCCC"/>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E61FC1" w:rsidRPr="00E61FC1" w:rsidP="00C95736" w14:paraId="2A13E08E" w14:textId="2D45CDF7">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183,333</w:t>
            </w:r>
          </w:p>
        </w:tc>
        <w:tc>
          <w:tcPr>
            <w:tcW w:w="908" w:type="dxa"/>
            <w:tcBorders>
              <w:top w:val="single" w:sz="6" w:space="0" w:color="CCCCCC"/>
              <w:left w:val="single" w:sz="6" w:space="0" w:color="CCCCCC"/>
              <w:bottom w:val="single" w:sz="12" w:space="0" w:color="000000"/>
              <w:right w:val="dashed" w:sz="12" w:space="0" w:color="000000"/>
            </w:tcBorders>
            <w:shd w:val="clear" w:color="auto" w:fill="BDD6EE"/>
            <w:tcMar>
              <w:top w:w="0" w:type="dxa"/>
              <w:left w:w="45" w:type="dxa"/>
              <w:bottom w:w="0" w:type="dxa"/>
              <w:right w:w="45" w:type="dxa"/>
            </w:tcMar>
            <w:vAlign w:val="center"/>
            <w:hideMark/>
          </w:tcPr>
          <w:p w:rsidR="00E61FC1" w:rsidRPr="00E61FC1" w:rsidP="00C95736" w14:paraId="579A841F" w14:textId="30AB3249">
            <w:pPr>
              <w:spacing w:line="240" w:lineRule="auto"/>
              <w:jc w:val="center"/>
              <w:rPr>
                <w:rFonts w:asciiTheme="minorHAnsi" w:hAnsiTheme="minorHAnsi" w:cstheme="minorHAnsi"/>
                <w:b/>
                <w:bCs/>
                <w:sz w:val="18"/>
                <w:szCs w:val="18"/>
              </w:rPr>
            </w:pPr>
            <w:r w:rsidRPr="00C95736">
              <w:rPr>
                <w:rFonts w:asciiTheme="minorHAnsi" w:hAnsiTheme="minorHAnsi" w:cstheme="minorHAnsi"/>
                <w:b/>
                <w:bCs/>
                <w:sz w:val="18"/>
                <w:szCs w:val="18"/>
              </w:rPr>
              <w:t>9,374</w:t>
            </w:r>
          </w:p>
        </w:tc>
        <w:tc>
          <w:tcPr>
            <w:tcW w:w="900" w:type="dxa"/>
            <w:tcBorders>
              <w:top w:val="single" w:sz="6" w:space="0" w:color="CCCCCC"/>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E61FC1" w:rsidRPr="00E61FC1" w:rsidP="00C95736" w14:paraId="5DCB7F9D" w14:textId="5941CA70">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15,278</w:t>
            </w:r>
          </w:p>
        </w:tc>
        <w:tc>
          <w:tcPr>
            <w:tcW w:w="4230" w:type="dxa"/>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center"/>
            <w:hideMark/>
          </w:tcPr>
          <w:p w:rsidR="00E61FC1" w:rsidRPr="00E61FC1" w:rsidP="00E61FC1" w14:paraId="62EB8885" w14:textId="77777777">
            <w:pPr>
              <w:spacing w:line="240" w:lineRule="auto"/>
              <w:rPr>
                <w:rFonts w:asciiTheme="minorHAnsi" w:hAnsiTheme="minorHAnsi" w:cstheme="minorHAnsi"/>
                <w:sz w:val="18"/>
                <w:szCs w:val="18"/>
              </w:rPr>
            </w:pPr>
          </w:p>
        </w:tc>
      </w:tr>
      <w:tr w14:paraId="1B5BEF0A" w14:textId="77777777" w:rsidTr="00C95736">
        <w:tblPrEx>
          <w:tblW w:w="14385" w:type="dxa"/>
          <w:tblCellMar>
            <w:left w:w="0" w:type="dxa"/>
            <w:right w:w="0" w:type="dxa"/>
          </w:tblCellMar>
          <w:tblLook w:val="04A0"/>
        </w:tblPrEx>
        <w:trPr>
          <w:trHeight w:val="300"/>
        </w:trPr>
        <w:tc>
          <w:tcPr>
            <w:tcW w:w="3945" w:type="dxa"/>
            <w:tcBorders>
              <w:top w:val="single" w:sz="6" w:space="0" w:color="CCCCCC"/>
              <w:left w:val="single" w:sz="12" w:space="0" w:color="000000"/>
              <w:bottom w:val="single" w:sz="12" w:space="0" w:color="000000"/>
              <w:right w:val="single" w:sz="12" w:space="0" w:color="000000"/>
            </w:tcBorders>
            <w:shd w:val="clear" w:color="auto" w:fill="FBE4D5"/>
            <w:tcMar>
              <w:top w:w="0" w:type="dxa"/>
              <w:left w:w="45" w:type="dxa"/>
              <w:bottom w:w="0" w:type="dxa"/>
              <w:right w:w="45" w:type="dxa"/>
            </w:tcMar>
            <w:vAlign w:val="bottom"/>
            <w:hideMark/>
          </w:tcPr>
          <w:p w:rsidR="00E61FC1" w:rsidRPr="00E61FC1" w:rsidP="00E61FC1" w14:paraId="5A491CF8" w14:textId="77777777">
            <w:pPr>
              <w:spacing w:line="240" w:lineRule="auto"/>
              <w:jc w:val="center"/>
              <w:rPr>
                <w:rFonts w:asciiTheme="minorHAnsi" w:hAnsiTheme="minorHAnsi" w:cstheme="minorHAnsi"/>
                <w:b/>
                <w:bCs/>
                <w:sz w:val="18"/>
                <w:szCs w:val="18"/>
              </w:rPr>
            </w:pPr>
            <w:r w:rsidRPr="00E61FC1">
              <w:rPr>
                <w:rFonts w:asciiTheme="minorHAnsi" w:hAnsiTheme="minorHAnsi" w:cstheme="minorHAnsi"/>
                <w:b/>
                <w:bCs/>
                <w:sz w:val="18"/>
                <w:szCs w:val="18"/>
              </w:rPr>
              <w:t>Difference</w:t>
            </w:r>
          </w:p>
        </w:tc>
        <w:tc>
          <w:tcPr>
            <w:tcW w:w="2250" w:type="dxa"/>
            <w:gridSpan w:val="2"/>
            <w:tcBorders>
              <w:top w:val="single" w:sz="6" w:space="0" w:color="CCCCCC"/>
              <w:left w:val="single" w:sz="6" w:space="0" w:color="CCCCCC"/>
              <w:bottom w:val="single" w:sz="12" w:space="0" w:color="000000"/>
              <w:right w:val="single" w:sz="12" w:space="0" w:color="000000"/>
            </w:tcBorders>
            <w:shd w:val="clear" w:color="auto" w:fill="FBE4D5"/>
            <w:tcMar>
              <w:top w:w="0" w:type="dxa"/>
              <w:left w:w="45" w:type="dxa"/>
              <w:bottom w:w="0" w:type="dxa"/>
              <w:right w:w="45" w:type="dxa"/>
            </w:tcMar>
            <w:vAlign w:val="center"/>
            <w:hideMark/>
          </w:tcPr>
          <w:p w:rsidR="00E61FC1" w:rsidRPr="00E61FC1" w:rsidP="00C95736" w14:paraId="41E93B8C" w14:textId="68D23DC0">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-70,833</w:t>
            </w:r>
          </w:p>
        </w:tc>
        <w:tc>
          <w:tcPr>
            <w:tcW w:w="2152" w:type="dxa"/>
            <w:gridSpan w:val="2"/>
            <w:tcBorders>
              <w:top w:val="single" w:sz="6" w:space="0" w:color="CCCCCC"/>
              <w:left w:val="single" w:sz="6" w:space="0" w:color="CCCCCC"/>
              <w:bottom w:val="single" w:sz="12" w:space="0" w:color="000000"/>
              <w:right w:val="single" w:sz="12" w:space="0" w:color="000000"/>
            </w:tcBorders>
            <w:shd w:val="clear" w:color="auto" w:fill="FBE4D5"/>
            <w:tcMar>
              <w:top w:w="0" w:type="dxa"/>
              <w:left w:w="45" w:type="dxa"/>
              <w:bottom w:w="0" w:type="dxa"/>
              <w:right w:w="45" w:type="dxa"/>
            </w:tcMar>
            <w:vAlign w:val="center"/>
            <w:hideMark/>
          </w:tcPr>
          <w:p w:rsidR="00E61FC1" w:rsidRPr="00E61FC1" w:rsidP="00C95736" w14:paraId="2B9E4CEB" w14:textId="5B798771">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-70,833</w:t>
            </w:r>
          </w:p>
        </w:tc>
        <w:tc>
          <w:tcPr>
            <w:tcW w:w="1808" w:type="dxa"/>
            <w:gridSpan w:val="2"/>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center"/>
            <w:hideMark/>
          </w:tcPr>
          <w:p w:rsidR="00E61FC1" w:rsidRPr="00E61FC1" w:rsidP="00C95736" w14:paraId="72F98BCA" w14:textId="06D42C62">
            <w:pPr>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-5,904</w:t>
            </w:r>
          </w:p>
        </w:tc>
        <w:tc>
          <w:tcPr>
            <w:tcW w:w="4230" w:type="dxa"/>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E61FC1" w:rsidRPr="00E61FC1" w:rsidP="00E61FC1" w14:paraId="6A74BBF7" w14:textId="77777777">
            <w:pPr>
              <w:spacing w:line="240" w:lineRule="auto"/>
              <w:rPr>
                <w:rFonts w:asciiTheme="minorHAnsi" w:hAnsiTheme="minorHAnsi" w:cstheme="minorHAnsi"/>
                <w:sz w:val="18"/>
                <w:szCs w:val="18"/>
              </w:rPr>
            </w:pPr>
          </w:p>
        </w:tc>
      </w:tr>
    </w:tbl>
    <w:p w:rsidR="00755FED" w:rsidP="00502721" w14:paraId="0100F49A" w14:textId="77777777">
      <w:pPr>
        <w:spacing w:line="240" w:lineRule="auto"/>
        <w:rPr>
          <w:b/>
        </w:rPr>
      </w:pPr>
    </w:p>
    <w:p w:rsidR="00755FED" w:rsidP="00502721" w14:paraId="4E567941" w14:textId="77777777">
      <w:pPr>
        <w:spacing w:line="240" w:lineRule="auto"/>
        <w:rPr>
          <w:b/>
        </w:rPr>
      </w:pPr>
    </w:p>
    <w:p w:rsidR="00755FED" w:rsidP="00502721" w14:paraId="61C8CA78" w14:textId="77777777">
      <w:pPr>
        <w:spacing w:line="240" w:lineRule="auto"/>
        <w:rPr>
          <w:b/>
        </w:rPr>
      </w:pPr>
    </w:p>
    <w:p w:rsidR="004B4380" w:rsidP="00502721" w14:paraId="1F626ABB" w14:textId="77777777">
      <w:pPr>
        <w:spacing w:line="240" w:lineRule="auto"/>
      </w:pPr>
    </w:p>
    <w:p w:rsidR="00755FED" w:rsidP="00502721" w14:paraId="4773EA81" w14:textId="77777777">
      <w:pPr>
        <w:spacing w:line="240" w:lineRule="auto"/>
        <w:sectPr w:rsidSect="00CE3D68">
          <w:pgSz w:w="15840" w:h="12240" w:orient="landscape"/>
          <w:pgMar w:top="1170" w:right="1440" w:bottom="1440" w:left="720" w:header="720" w:footer="720" w:gutter="0"/>
          <w:cols w:space="720"/>
          <w:noEndnote/>
          <w:docGrid w:linePitch="326"/>
        </w:sectPr>
      </w:pPr>
    </w:p>
    <w:p w:rsidR="00BD450D" w:rsidP="0096630A" w14:paraId="44399DAB" w14:textId="51E978E8">
      <w:pPr>
        <w:pStyle w:val="CM23"/>
        <w:keepNext/>
        <w:widowControl/>
        <w:spacing w:after="0"/>
        <w:rPr>
          <w:b/>
          <w:bCs/>
        </w:rPr>
      </w:pPr>
      <w:r>
        <w:rPr>
          <w:b/>
          <w:bCs/>
        </w:rPr>
        <w:t xml:space="preserve">16. </w:t>
      </w:r>
      <w:r w:rsidRPr="00755FED" w:rsidR="00755FE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b/>
          <w:bCs/>
        </w:rPr>
        <w:t xml:space="preserve"> </w:t>
      </w:r>
    </w:p>
    <w:p w:rsidR="00BD450D" w:rsidRPr="001219E7" w:rsidP="0096630A" w14:paraId="716274CC" w14:textId="77777777">
      <w:pPr>
        <w:pStyle w:val="Default"/>
      </w:pPr>
    </w:p>
    <w:p w:rsidR="00F60035" w:rsidRPr="00B0436C" w:rsidP="00F60035" w14:paraId="441EEC92" w14:textId="77777777">
      <w:pPr>
        <w:pStyle w:val="CM22"/>
        <w:spacing w:after="0"/>
        <w:rPr>
          <w:rStyle w:val="Hyperlink"/>
        </w:rPr>
      </w:pPr>
      <w: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The data collected by the FES will be subject to the quality control measures and pre-dissemination review pursuant to </w:t>
      </w:r>
      <w:r>
        <w:fldChar w:fldCharType="begin"/>
      </w:r>
      <w:r>
        <w:instrText>HYPERLINK "https://www.congress.gov/106/plaws/publ554/PLAW-106publ554.pdf"</w:instrText>
      </w:r>
      <w:r>
        <w:fldChar w:fldCharType="separate"/>
      </w:r>
      <w:r w:rsidRPr="00B0436C">
        <w:rPr>
          <w:rStyle w:val="Hyperlink"/>
        </w:rPr>
        <w:t xml:space="preserve">Section 515 of Public Law 106-554.  </w:t>
      </w:r>
    </w:p>
    <w:p w:rsidR="00F60035" w:rsidRPr="00093E43" w:rsidP="00F60035" w14:paraId="71666B09" w14:textId="77777777">
      <w:pPr>
        <w:pStyle w:val="Default"/>
      </w:pPr>
      <w:r>
        <w:rPr>
          <w:color w:val="auto"/>
        </w:rPr>
        <w:fldChar w:fldCharType="end"/>
      </w:r>
    </w:p>
    <w:p w:rsidR="0089295C" w:rsidP="0096630A" w14:paraId="6927A17B" w14:textId="438FE534">
      <w:pPr>
        <w:pStyle w:val="CM23"/>
        <w:spacing w:after="0"/>
      </w:pPr>
      <w:r>
        <w:t xml:space="preserve">All data collected and analyzed will be included in table format available on the </w:t>
      </w:r>
      <w:r w:rsidR="00755FED">
        <w:t>w</w:t>
      </w:r>
      <w:r>
        <w:t xml:space="preserve">eb page of the Fisheries Statistics Division, Office of Science and Technology, National Marine Fisheries Service. The Web site address is </w:t>
      </w:r>
      <w:hyperlink r:id="rId11" w:history="1">
        <w:r w:rsidRPr="00443C73">
          <w:rPr>
            <w:rStyle w:val="Hyperlink"/>
          </w:rPr>
          <w:t>http://www.st.nmf</w:t>
        </w:r>
        <w:r w:rsidRPr="00443C73">
          <w:rPr>
            <w:rStyle w:val="Hyperlink"/>
          </w:rPr>
          <w:t>s</w:t>
        </w:r>
        <w:r w:rsidRPr="00443C73">
          <w:rPr>
            <w:rStyle w:val="Hyperlink"/>
          </w:rPr>
          <w:t>.noaa.gov/recreational-fisheries/index</w:t>
        </w:r>
      </w:hyperlink>
      <w:r>
        <w:t>.  Data from this survey may support research and analyses to be presented at appropriate professional meetings (e.g.</w:t>
      </w:r>
      <w:r w:rsidR="00755FED">
        <w:t>,</w:t>
      </w:r>
      <w:r>
        <w:t xml:space="preserve"> American Fisheries Society, Joint Statistical Meetings) and may be submitted for publication in appropriate statistical or fisheries peer-reviewed journals.  Summary marine recreational fishery catch statistics produced using data from this survey are included i</w:t>
      </w:r>
      <w:r w:rsidR="00F01DA9">
        <w:t>n the annual publication by NOAA Fisheries</w:t>
      </w:r>
      <w:r>
        <w:t>,</w:t>
      </w:r>
      <w:r w:rsidR="00D05C80">
        <w:t xml:space="preserve"> Fisheries of the United States.</w:t>
      </w:r>
    </w:p>
    <w:p w:rsidR="00BD450D" w:rsidRPr="0067695B" w:rsidP="0096630A" w14:paraId="306AD0C3" w14:textId="77777777">
      <w:pPr>
        <w:pStyle w:val="Default"/>
      </w:pPr>
    </w:p>
    <w:p w:rsidR="00BD450D" w:rsidP="0096630A" w14:paraId="0CD7A3F5" w14:textId="77777777">
      <w:pPr>
        <w:pStyle w:val="CM23"/>
        <w:spacing w:after="0"/>
        <w:rPr>
          <w:b/>
          <w:bCs/>
        </w:rPr>
      </w:pPr>
      <w:r>
        <w:rPr>
          <w:b/>
          <w:bCs/>
        </w:rPr>
        <w:t xml:space="preserve">17. </w:t>
      </w:r>
      <w:r w:rsidRPr="00755FED">
        <w:rPr>
          <w:b/>
          <w:bCs/>
        </w:rPr>
        <w:t>If seeking approval to not display the expiration date for OMB approval of the information collection, explain the reasons why display would be inappropriate</w:t>
      </w:r>
      <w:r>
        <w:rPr>
          <w:b/>
          <w:bCs/>
        </w:rPr>
        <w:t xml:space="preserve">. </w:t>
      </w:r>
    </w:p>
    <w:p w:rsidR="00BD450D" w:rsidRPr="0067695B" w:rsidP="0096630A" w14:paraId="47B99CAF" w14:textId="77777777">
      <w:pPr>
        <w:pStyle w:val="Default"/>
      </w:pPr>
    </w:p>
    <w:p w:rsidR="00BD450D" w:rsidRPr="00755FED" w:rsidP="0096630A" w14:paraId="02F6AC73" w14:textId="39C4171E">
      <w:pPr>
        <w:pStyle w:val="CM23"/>
        <w:spacing w:after="0"/>
      </w:pPr>
      <w:r w:rsidRPr="00755FED">
        <w:t>The agency plans to display the expiration date for OMB approval of the information collection on all instruments.</w:t>
      </w:r>
    </w:p>
    <w:p w:rsidR="00755FED" w:rsidRPr="00755FED" w:rsidP="0096630A" w14:paraId="4D0FF850" w14:textId="77777777">
      <w:pPr>
        <w:pStyle w:val="Default"/>
      </w:pPr>
    </w:p>
    <w:p w:rsidR="00BD450D" w:rsidP="0096630A" w14:paraId="4C426E06" w14:textId="23063FF8">
      <w:pPr>
        <w:pStyle w:val="CM23"/>
        <w:spacing w:after="0"/>
        <w:rPr>
          <w:b/>
          <w:bCs/>
        </w:rPr>
      </w:pPr>
      <w:r>
        <w:rPr>
          <w:b/>
          <w:bCs/>
        </w:rPr>
        <w:t xml:space="preserve">18. </w:t>
      </w:r>
      <w:r w:rsidRPr="00755FED" w:rsidR="00755FED">
        <w:rPr>
          <w:b/>
          <w:bCs/>
        </w:rPr>
        <w:t>Explain each exception to the certification statement identified in “Certification for Paperwork Reduction Act Submissions."</w:t>
      </w:r>
      <w:r>
        <w:rPr>
          <w:b/>
          <w:bCs/>
        </w:rPr>
        <w:t xml:space="preserve"> </w:t>
      </w:r>
    </w:p>
    <w:p w:rsidR="00BD450D" w:rsidRPr="0067695B" w:rsidP="0096630A" w14:paraId="2B83C981" w14:textId="77777777">
      <w:pPr>
        <w:pStyle w:val="Default"/>
      </w:pPr>
    </w:p>
    <w:p w:rsidR="00AF54AC" w:rsidP="0096630A" w14:paraId="27512BAC" w14:textId="2127D6F3">
      <w:pPr>
        <w:spacing w:after="200" w:line="276" w:lineRule="auto"/>
        <w:rPr>
          <w:color w:val="000000"/>
        </w:rPr>
      </w:pPr>
      <w:r w:rsidRPr="00755FED">
        <w:t xml:space="preserve">The agency certifies compliance with </w:t>
      </w:r>
      <w:hyperlink r:id="rId12" w:history="1">
        <w:r w:rsidRPr="00755FED">
          <w:rPr>
            <w:rStyle w:val="Hyperlink"/>
          </w:rPr>
          <w:t xml:space="preserve">5 CFR 1320.9 </w:t>
        </w:r>
      </w:hyperlink>
      <w:r w:rsidRPr="00755FED">
        <w:t xml:space="preserve">and the related provisions of </w:t>
      </w:r>
      <w:hyperlink r:id="rId13" w:history="1">
        <w:r w:rsidRPr="00755FED">
          <w:rPr>
            <w:rStyle w:val="Hyperlink"/>
          </w:rPr>
          <w:t>5 CFR</w:t>
        </w:r>
      </w:hyperlink>
      <w:r w:rsidRPr="00755FED">
        <w:t xml:space="preserve"> </w:t>
      </w:r>
      <w:hyperlink r:id="rId13" w:history="1">
        <w:r w:rsidRPr="00755FED">
          <w:rPr>
            <w:rStyle w:val="Hyperlink"/>
          </w:rPr>
          <w:t>1320.8(b)(3)</w:t>
        </w:r>
      </w:hyperlink>
      <w:r w:rsidRPr="00755FED">
        <w:t>.</w:t>
      </w:r>
      <w:r w:rsidRPr="00755FED">
        <w:t xml:space="preserve"> </w:t>
      </w:r>
      <w:r>
        <w:br w:type="page"/>
      </w:r>
    </w:p>
    <w:p w:rsidR="00AF54AC" w:rsidP="00AF54AC" w14:paraId="700522D9" w14:textId="77777777">
      <w:pPr>
        <w:pStyle w:val="Default"/>
        <w:rPr>
          <w:b/>
        </w:rPr>
      </w:pPr>
      <w:r>
        <w:rPr>
          <w:b/>
        </w:rPr>
        <w:t>References</w:t>
      </w:r>
    </w:p>
    <w:p w:rsidR="00AF54AC" w:rsidP="00AF54AC" w14:paraId="1016D5F9" w14:textId="77777777">
      <w:pPr>
        <w:pStyle w:val="Default"/>
        <w:rPr>
          <w:b/>
        </w:rPr>
      </w:pPr>
    </w:p>
    <w:p w:rsidR="00957085" w:rsidP="003F1BCB" w14:paraId="7C9A487D" w14:textId="7591532C">
      <w:pPr>
        <w:pStyle w:val="NormalWeb"/>
        <w:spacing w:before="0" w:beforeAutospacing="0" w:after="0" w:afterAutospacing="0"/>
        <w:ind w:right="-360"/>
        <w:rPr>
          <w:color w:val="000000"/>
        </w:rPr>
      </w:pPr>
      <w:r>
        <w:rPr>
          <w:color w:val="000000"/>
        </w:rPr>
        <w:t>Andrews, W.R. (20</w:t>
      </w:r>
      <w:r w:rsidR="001A5B1D">
        <w:rPr>
          <w:color w:val="000000"/>
        </w:rPr>
        <w:t>18</w:t>
      </w:r>
      <w:r>
        <w:rPr>
          <w:color w:val="000000"/>
        </w:rPr>
        <w:t>)</w:t>
      </w:r>
      <w:r w:rsidR="001A5B1D">
        <w:rPr>
          <w:color w:val="000000"/>
        </w:rPr>
        <w:t xml:space="preserve">. Testing a Web-Push Design for Estimating Recreational Fishing Effort. </w:t>
      </w:r>
      <w:hyperlink r:id="rId14" w:history="1">
        <w:r w:rsidRPr="00531E01" w:rsidR="001A5B1D">
          <w:rPr>
            <w:rStyle w:val="Hyperlink"/>
          </w:rPr>
          <w:t>https://apps-st.fisheries.noaa.gov/pims/main/public?method=DOWNLOAD_FR_DATA&amp;record_id=1856</w:t>
        </w:r>
      </w:hyperlink>
    </w:p>
    <w:p w:rsidR="00957085" w:rsidP="003F1BCB" w14:paraId="1C597695" w14:textId="77777777">
      <w:pPr>
        <w:pStyle w:val="NormalWeb"/>
        <w:spacing w:before="0" w:beforeAutospacing="0" w:after="0" w:afterAutospacing="0"/>
        <w:ind w:right="-360"/>
        <w:rPr>
          <w:color w:val="000000"/>
        </w:rPr>
      </w:pPr>
    </w:p>
    <w:p w:rsidR="001C69F5" w:rsidP="003F1BCB" w14:paraId="0C940AAF" w14:textId="7B335D96">
      <w:pPr>
        <w:pStyle w:val="NormalWeb"/>
        <w:spacing w:before="0" w:beforeAutospacing="0" w:after="0" w:afterAutospacing="0"/>
        <w:ind w:right="-360"/>
        <w:rPr>
          <w:color w:val="000000"/>
        </w:rPr>
      </w:pPr>
      <w:r>
        <w:rPr>
          <w:color w:val="000000"/>
        </w:rPr>
        <w:t xml:space="preserve">Andrews, W.R. (2025). A Test of a Revised Design of the NOAA Fisheries Fishing Effort Survey. </w:t>
      </w:r>
      <w:hyperlink r:id="rId15" w:history="1">
        <w:r w:rsidRPr="001C69F5">
          <w:rPr>
            <w:rStyle w:val="Hyperlink"/>
          </w:rPr>
          <w:t>https://www.fisheries.noaa.gov</w:t>
        </w:r>
        <w:r w:rsidRPr="001C69F5">
          <w:rPr>
            <w:rStyle w:val="Hyperlink"/>
          </w:rPr>
          <w:t>/</w:t>
        </w:r>
        <w:r w:rsidRPr="001C69F5">
          <w:rPr>
            <w:rStyle w:val="Hyperlink"/>
          </w:rPr>
          <w:t>resource/document/test-revised-fishing-effort-survey-2025-study-report</w:t>
        </w:r>
      </w:hyperlink>
    </w:p>
    <w:p w:rsidR="001C69F5" w:rsidP="003F1BCB" w14:paraId="5F806898" w14:textId="77777777">
      <w:pPr>
        <w:pStyle w:val="NormalWeb"/>
        <w:spacing w:before="0" w:beforeAutospacing="0" w:after="0" w:afterAutospacing="0"/>
        <w:ind w:right="-360"/>
        <w:rPr>
          <w:color w:val="000000"/>
        </w:rPr>
      </w:pPr>
    </w:p>
    <w:p w:rsidR="003F1BCB" w:rsidRPr="00F53246" w:rsidP="003F1BCB" w14:paraId="571B5DBD" w14:textId="3193C25C">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(2010).  Pilot Test of Dual Frame Two-Phase Mail Survey of anglers in North Carolina.</w:t>
      </w:r>
    </w:p>
    <w:p w:rsidR="003F1BCB" w:rsidP="003F1BCB" w14:paraId="12C48A07" w14:textId="40E86457">
      <w:pPr>
        <w:pStyle w:val="NormalWeb"/>
        <w:spacing w:before="0" w:beforeAutospacing="0" w:after="0" w:afterAutospacing="0"/>
        <w:ind w:right="-360"/>
      </w:pPr>
      <w:hyperlink r:id="rId16" w:history="1">
        <w:r w:rsidRPr="00531E01" w:rsidR="001A5B1D">
          <w:rPr>
            <w:rStyle w:val="Hyperlink"/>
          </w:rPr>
          <w:t>https://apps-st.fisheries.noaa.gov/pims/main/public?method=DOWNLOAD_FR_PDF&amp;record_id=455</w:t>
        </w:r>
      </w:hyperlink>
      <w:r w:rsidR="001A5B1D">
        <w:t>.</w:t>
      </w:r>
    </w:p>
    <w:p w:rsidR="001A5B1D" w:rsidRPr="00F53246" w:rsidP="003F1BCB" w14:paraId="6E1C4473" w14:textId="77777777">
      <w:pPr>
        <w:pStyle w:val="NormalWeb"/>
        <w:spacing w:before="0" w:beforeAutospacing="0" w:after="0" w:afterAutospacing="0"/>
        <w:ind w:right="-360"/>
      </w:pPr>
    </w:p>
    <w:p w:rsidR="003F1BCB" w:rsidRPr="00F53246" w:rsidP="003F1BCB" w14:paraId="18EFD8CE"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(2013).  Continued Development and Testing of Dual Frame Surveys of Fishing Effort (Testing a Dual-Frame, Mixed Mode Survey Design). </w:t>
      </w:r>
    </w:p>
    <w:p w:rsidR="003F1BCB" w:rsidRPr="00F53246" w:rsidP="003F1BCB" w14:paraId="445D1B65" w14:textId="31555A51">
      <w:pPr>
        <w:pStyle w:val="NormalWeb"/>
        <w:spacing w:before="0" w:beforeAutospacing="0" w:after="0" w:afterAutospacing="0"/>
        <w:ind w:right="-360"/>
      </w:pPr>
      <w:hyperlink r:id="rId17" w:history="1">
        <w:r w:rsidRPr="001A5B1D" w:rsidR="001A5B1D">
          <w:rPr>
            <w:rStyle w:val="Hyperlink"/>
          </w:rPr>
          <w:t>https://apps-st.fisheries.noaa.gov/pims/main/public?method=DOWNLOAD_FR_PDF&amp;record_id=931</w:t>
        </w:r>
      </w:hyperlink>
      <w:r w:rsidR="00F53246">
        <w:t>.</w:t>
      </w:r>
    </w:p>
    <w:p w:rsidR="003F1BCB" w:rsidRPr="00F53246" w:rsidP="003F1BCB" w14:paraId="42F0D340" w14:textId="77777777">
      <w:pPr>
        <w:pStyle w:val="NormalWeb"/>
        <w:spacing w:before="0" w:beforeAutospacing="0" w:after="0" w:afterAutospacing="0"/>
        <w:ind w:right="-360"/>
      </w:pPr>
    </w:p>
    <w:p w:rsidR="003F1BCB" w:rsidRPr="00F53246" w:rsidP="003F1BCB" w14:paraId="2BE504C2"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(2014).  Development and Testing of Recreational Fishing Effort Surveys (Testing a Mail Survey Design).</w:t>
      </w:r>
    </w:p>
    <w:p w:rsidR="003F1BCB" w:rsidP="0067695B" w14:paraId="38AFBA24" w14:textId="2166E7FE">
      <w:pPr>
        <w:pStyle w:val="Default"/>
        <w:rPr>
          <w:color w:val="auto"/>
        </w:rPr>
      </w:pPr>
      <w:hyperlink r:id="rId18" w:history="1">
        <w:r w:rsidR="001A5B1D">
          <w:rPr>
            <w:rStyle w:val="Hyperlink"/>
          </w:rPr>
          <w:t>https://apps-st.fisheries.noaa.gov/pims/main/public?method=DOWNLOAD_FR_PDF&amp;record_id=1179</w:t>
        </w:r>
      </w:hyperlink>
      <w:r w:rsidR="001A5B1D">
        <w:rPr>
          <w:color w:val="auto"/>
        </w:rPr>
        <w:t xml:space="preserve"> </w:t>
      </w:r>
    </w:p>
    <w:p w:rsidR="001A5B1D" w:rsidRPr="00F53246" w:rsidP="0067695B" w14:paraId="4F0FAAC3" w14:textId="77777777">
      <w:pPr>
        <w:pStyle w:val="Default"/>
      </w:pPr>
    </w:p>
    <w:p w:rsidR="0008483B" w:rsidRPr="00F53246" w:rsidP="0067695B" w14:paraId="4884D7BC" w14:textId="77777777">
      <w:pPr>
        <w:pStyle w:val="Default"/>
      </w:pPr>
      <w:r w:rsidRPr="00F53246">
        <w:t xml:space="preserve">Brick, J.M., D. Williams, and J.M. Montaquila </w:t>
      </w:r>
      <w:r w:rsidRPr="00F53246">
        <w:t>(2011)</w:t>
      </w:r>
      <w:r w:rsidRPr="00F53246">
        <w:t>.  Address-Based Sampling for</w:t>
      </w:r>
      <w:r w:rsidRPr="00F53246" w:rsidR="00C950E8">
        <w:t xml:space="preserve"> </w:t>
      </w:r>
      <w:r w:rsidRPr="00F53246">
        <w:t>Subpopulation Surveys</w:t>
      </w:r>
      <w:r w:rsidRPr="00F53246" w:rsidR="00AD4658">
        <w:t xml:space="preserve">.  Public Opinion Quarterly 75: 409-428.  </w:t>
      </w:r>
    </w:p>
    <w:p w:rsidR="003F1BCB" w:rsidRPr="00F53246" w:rsidP="0067695B" w14:paraId="2B552D47" w14:textId="77777777">
      <w:pPr>
        <w:pStyle w:val="Default"/>
      </w:pPr>
    </w:p>
    <w:p w:rsidR="003F1BCB" w:rsidRPr="00F53246" w:rsidP="003F1BCB" w14:paraId="7DB6B86F" w14:textId="77777777">
      <w:pPr>
        <w:pStyle w:val="NormalWeb"/>
        <w:spacing w:before="0" w:beforeAutospacing="0" w:after="0" w:afterAutospacing="0"/>
        <w:ind w:right="-360"/>
      </w:pPr>
      <w:r w:rsidRPr="00F53246">
        <w:rPr>
          <w:color w:val="000000"/>
        </w:rPr>
        <w:t>Brick, J</w:t>
      </w:r>
      <w:r w:rsidRPr="00F53246" w:rsidR="003B565F">
        <w:rPr>
          <w:color w:val="000000"/>
        </w:rPr>
        <w:t>.</w:t>
      </w:r>
      <w:r w:rsidRPr="00F53246">
        <w:rPr>
          <w:color w:val="000000"/>
        </w:rPr>
        <w:t>M</w:t>
      </w:r>
      <w:r w:rsidRPr="00F53246" w:rsidR="003B565F">
        <w:rPr>
          <w:color w:val="000000"/>
        </w:rPr>
        <w:t>.</w:t>
      </w:r>
      <w:r w:rsidRPr="00F53246">
        <w:rPr>
          <w:color w:val="000000"/>
        </w:rPr>
        <w:t>, W</w:t>
      </w:r>
      <w:r w:rsidRPr="00F53246" w:rsidR="003B565F">
        <w:rPr>
          <w:color w:val="000000"/>
        </w:rPr>
        <w:t>.</w:t>
      </w:r>
      <w:r w:rsidRPr="00F53246">
        <w:rPr>
          <w:color w:val="000000"/>
        </w:rPr>
        <w:t>R</w:t>
      </w:r>
      <w:r w:rsidRPr="00F53246" w:rsidR="003B565F">
        <w:rPr>
          <w:color w:val="000000"/>
        </w:rPr>
        <w:t>.</w:t>
      </w:r>
      <w:r w:rsidRPr="00F53246">
        <w:rPr>
          <w:color w:val="000000"/>
        </w:rPr>
        <w:t xml:space="preserve"> Andrews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(2012a). A Comparison of Recreational Fishing Effort Survey Designs</w:t>
      </w:r>
    </w:p>
    <w:p w:rsidR="003F1BCB" w:rsidRPr="00F53246" w:rsidP="003F1BCB" w14:paraId="65CE6AA4" w14:textId="7FED72D9">
      <w:pPr>
        <w:pStyle w:val="NormalWeb"/>
        <w:spacing w:before="0" w:beforeAutospacing="0" w:after="0" w:afterAutospacing="0"/>
        <w:ind w:right="-360"/>
      </w:pPr>
      <w:hyperlink r:id="rId19" w:history="1">
        <w:r w:rsidRPr="00531E01" w:rsidR="00965D16">
          <w:rPr>
            <w:rStyle w:val="Hyperlink"/>
          </w:rPr>
          <w:t>https://apps-st.fisheries.noaa.gov/pims/main/public?method=DOWNLOAD_FR_PDF&amp;record_id=462</w:t>
        </w:r>
      </w:hyperlink>
      <w:r w:rsidR="00F53246">
        <w:t>.</w:t>
      </w:r>
    </w:p>
    <w:p w:rsidR="003B565F" w:rsidRPr="00F53246" w:rsidP="003F1BCB" w14:paraId="3ADDFA35" w14:textId="77777777">
      <w:pPr>
        <w:pStyle w:val="NormalWeb"/>
        <w:spacing w:before="0" w:beforeAutospacing="0" w:after="0" w:afterAutospacing="0"/>
        <w:ind w:right="-360"/>
      </w:pPr>
    </w:p>
    <w:p w:rsidR="003B565F" w:rsidRPr="00F53246" w:rsidP="003F1BCB" w14:paraId="70D49AEB" w14:textId="77777777">
      <w:pPr>
        <w:pStyle w:val="NormalWeb"/>
        <w:spacing w:before="0" w:beforeAutospacing="0" w:after="0" w:afterAutospacing="0"/>
        <w:ind w:right="-360"/>
      </w:pPr>
      <w:r w:rsidRPr="00F53246">
        <w:t>Brick, J</w:t>
      </w:r>
      <w:r w:rsidRPr="00F53246" w:rsidR="00004409">
        <w:t>.</w:t>
      </w:r>
      <w:r w:rsidRPr="00F53246">
        <w:t>M</w:t>
      </w:r>
      <w:r w:rsidRPr="00F53246" w:rsidR="00004409">
        <w:t>.</w:t>
      </w:r>
      <w:r w:rsidRPr="00F53246">
        <w:t>, W</w:t>
      </w:r>
      <w:r w:rsidRPr="00F53246" w:rsidR="00004409">
        <w:t>.</w:t>
      </w:r>
      <w:r w:rsidRPr="00F53246">
        <w:t>R</w:t>
      </w:r>
      <w:r w:rsidRPr="00F53246" w:rsidR="00004409">
        <w:t>.</w:t>
      </w:r>
      <w:r w:rsidRPr="00F53246">
        <w:t xml:space="preserve"> Andrews, P</w:t>
      </w:r>
      <w:r w:rsidRPr="00F53246" w:rsidR="00004409">
        <w:t>.</w:t>
      </w:r>
      <w:r w:rsidRPr="00F53246">
        <w:t>D</w:t>
      </w:r>
      <w:r w:rsidRPr="00F53246" w:rsidR="00004409">
        <w:t>.</w:t>
      </w:r>
      <w:r w:rsidRPr="00F53246">
        <w:t xml:space="preserve"> Brick, H</w:t>
      </w:r>
      <w:r w:rsidRPr="00F53246" w:rsidR="00004409">
        <w:t>.</w:t>
      </w:r>
      <w:r w:rsidRPr="00F53246">
        <w:t xml:space="preserve"> King, N</w:t>
      </w:r>
      <w:r w:rsidRPr="00F53246" w:rsidR="00004409">
        <w:t>.</w:t>
      </w:r>
      <w:r w:rsidRPr="00F53246">
        <w:t>A</w:t>
      </w:r>
      <w:r w:rsidRPr="00F53246" w:rsidR="00004409">
        <w:t>.</w:t>
      </w:r>
      <w:r w:rsidRPr="00F53246">
        <w:t xml:space="preserve"> Mathiowetz, and L. Stokes (2012b). Methods for improving response rates in two-phase mail surveys. Survey Practice 5(3). Available: </w:t>
      </w:r>
      <w:hyperlink r:id="rId20" w:history="1">
        <w:r w:rsidRPr="00F53246">
          <w:rPr>
            <w:rStyle w:val="Hyperlink"/>
          </w:rPr>
          <w:t>https://www.surveypractice.org/article/3093-methods-for-improving-response-rates-in-two-phase-mail-surveys</w:t>
        </w:r>
      </w:hyperlink>
      <w:r w:rsidRPr="00F53246">
        <w:t>.</w:t>
      </w:r>
    </w:p>
    <w:p w:rsidR="003F1BCB" w:rsidRPr="00F53246" w:rsidP="0067695B" w14:paraId="27481725" w14:textId="77777777">
      <w:pPr>
        <w:pStyle w:val="Default"/>
      </w:pPr>
    </w:p>
    <w:p w:rsidR="00004409" w:rsidRPr="00F53246" w:rsidP="0067695B" w14:paraId="13AC9DF7" w14:textId="77777777">
      <w:pPr>
        <w:pStyle w:val="Default"/>
      </w:pPr>
      <w:r w:rsidRPr="00F53246">
        <w:t>Brick, J.M., W.R. Andrews and N.M. Mathiowetz (2016).  Single-phase Mail Survey Design for Rare Population Subgroups.  Field Methods 28(4): 381-395.</w:t>
      </w:r>
    </w:p>
    <w:p w:rsidR="0008483B" w:rsidRPr="00F53246" w:rsidP="0067695B" w14:paraId="6034D70F" w14:textId="77777777">
      <w:pPr>
        <w:pStyle w:val="Default"/>
      </w:pPr>
    </w:p>
    <w:p w:rsidR="0008483B" w:rsidRPr="00F53246" w:rsidP="005119E8" w14:paraId="662B3B7B" w14:textId="77777777">
      <w:pPr>
        <w:autoSpaceDE w:val="0"/>
        <w:autoSpaceDN w:val="0"/>
        <w:adjustRightInd w:val="0"/>
        <w:spacing w:line="240" w:lineRule="auto"/>
      </w:pPr>
      <w:r w:rsidRPr="00F53246">
        <w:t>Church</w:t>
      </w:r>
      <w:r w:rsidRPr="00F53246" w:rsidR="005119E8">
        <w:t>, A.H.</w:t>
      </w:r>
      <w:r w:rsidRPr="00F53246">
        <w:t xml:space="preserve"> (1993)</w:t>
      </w:r>
      <w:r w:rsidRPr="00F53246" w:rsidR="005119E8">
        <w:t>.  Estimating the Effect of Incentives on Mail Survey Response Rates: A Meta-Analysis.  Public Opinion Quarterly 57:62–79.</w:t>
      </w:r>
    </w:p>
    <w:p w:rsidR="004E0AB8" w:rsidRPr="00F53246" w:rsidP="0067695B" w14:paraId="2395C024" w14:textId="77777777">
      <w:pPr>
        <w:pStyle w:val="Default"/>
      </w:pPr>
    </w:p>
    <w:p w:rsidR="004E0AB8" w:rsidRPr="00F53246" w:rsidP="004E0AB8" w14:paraId="42F8F27B" w14:textId="77777777">
      <w:pPr>
        <w:autoSpaceDE w:val="0"/>
        <w:autoSpaceDN w:val="0"/>
        <w:adjustRightInd w:val="0"/>
        <w:spacing w:line="240" w:lineRule="auto"/>
      </w:pPr>
      <w:r w:rsidRPr="00F53246">
        <w:t xml:space="preserve">Dillman, D.A., </w:t>
      </w:r>
      <w:r w:rsidRPr="00F53246" w:rsidR="004932DD">
        <w:t xml:space="preserve">J.D. </w:t>
      </w:r>
      <w:r w:rsidRPr="00F53246">
        <w:t xml:space="preserve">Smyth, </w:t>
      </w:r>
      <w:r w:rsidRPr="00F53246" w:rsidR="004932DD">
        <w:t xml:space="preserve">and L.M. Christian </w:t>
      </w:r>
      <w:r w:rsidRPr="00F53246">
        <w:t xml:space="preserve">(2009). </w:t>
      </w:r>
      <w:r w:rsidRPr="00F53246">
        <w:rPr>
          <w:i/>
        </w:rPr>
        <w:t>Internet, Mail, and Mixed-Mode Surveys: The Tailored Design Method</w:t>
      </w:r>
      <w:r w:rsidRPr="00F53246">
        <w:t>. New York: Wiley and Sons.</w:t>
      </w:r>
    </w:p>
    <w:p w:rsidR="0008483B" w:rsidRPr="00F53246" w:rsidP="0067695B" w14:paraId="637B2482" w14:textId="77777777">
      <w:pPr>
        <w:pStyle w:val="Default"/>
      </w:pPr>
    </w:p>
    <w:p w:rsidR="0085106B" w:rsidP="0067695B" w14:paraId="1919237F" w14:textId="0CC836CE">
      <w:pPr>
        <w:pStyle w:val="Default"/>
      </w:pPr>
      <w:r w:rsidRPr="0085106B">
        <w:t xml:space="preserve">Fricker, S., </w:t>
      </w:r>
      <w:r>
        <w:t>and R.</w:t>
      </w:r>
      <w:r w:rsidRPr="0085106B">
        <w:t xml:space="preserve"> Tourangeau</w:t>
      </w:r>
      <w:r>
        <w:t xml:space="preserve"> </w:t>
      </w:r>
      <w:r w:rsidRPr="0085106B">
        <w:t>(2010). Examining the Relationship Between Nonresponse Propensity and Data Quality in Two National Household Surveys. Public Opinion Quarterly, 74(5)</w:t>
      </w:r>
      <w:r>
        <w:t>:</w:t>
      </w:r>
      <w:r w:rsidRPr="0085106B">
        <w:t xml:space="preserve"> 934–95</w:t>
      </w:r>
      <w:r>
        <w:t>.</w:t>
      </w:r>
    </w:p>
    <w:p w:rsidR="0085106B" w:rsidP="0067695B" w14:paraId="109E2D8F" w14:textId="77777777">
      <w:pPr>
        <w:pStyle w:val="Default"/>
      </w:pPr>
    </w:p>
    <w:p w:rsidR="00AF54AC" w:rsidP="0067695B" w14:paraId="0634888A" w14:textId="74739168">
      <w:pPr>
        <w:pStyle w:val="Default"/>
      </w:pPr>
      <w:r w:rsidRPr="00F53246">
        <w:t xml:space="preserve">Groves, R., M. Couper, S. Presser, E. Singer, R. Tourangeau, G. Acosta, and </w:t>
      </w:r>
      <w:r w:rsidR="00E71DDC">
        <w:t xml:space="preserve">L. </w:t>
      </w:r>
      <w:r w:rsidRPr="00F53246">
        <w:t xml:space="preserve">Nelson (2006). Experiments in Producing Nonresponse Bias. </w:t>
      </w:r>
      <w:r w:rsidRPr="00F53246">
        <w:rPr>
          <w:iCs/>
        </w:rPr>
        <w:t>Public Opinion Quarterly</w:t>
      </w:r>
      <w:r w:rsidRPr="00F53246">
        <w:t xml:space="preserve"> 70: 720–736.</w:t>
      </w:r>
    </w:p>
    <w:p w:rsidR="00364E67" w:rsidP="0067695B" w14:paraId="39730A79" w14:textId="77777777">
      <w:pPr>
        <w:pStyle w:val="Default"/>
      </w:pPr>
    </w:p>
    <w:p w:rsidR="00364E67" w:rsidP="0067695B" w14:paraId="0A7B19CA" w14:textId="36CBA713">
      <w:pPr>
        <w:pStyle w:val="Default"/>
      </w:pPr>
      <w:r>
        <w:t>Heimel, S.K., R.L. Medway, and R.T. Horwitz (2024). Should We Offer Web, Paper, or Both? A Comparison of Single- and Mixed-Response Mode Treatments in a Mail Survey. Journal of Survey Statistics and Methodology 12: 593-623.</w:t>
      </w:r>
    </w:p>
    <w:p w:rsidR="000D4A12" w:rsidP="0067695B" w14:paraId="57344B6C" w14:textId="77777777">
      <w:pPr>
        <w:pStyle w:val="Default"/>
      </w:pPr>
    </w:p>
    <w:p w:rsidR="000D4A12" w:rsidP="0067695B" w14:paraId="4C4E935A" w14:textId="16754574">
      <w:pPr>
        <w:pStyle w:val="Default"/>
      </w:pPr>
      <w:r>
        <w:t xml:space="preserve">Mercer, A., A. Caporaso, D. Cantor, and R. Townsend. (2015). How Much Gets </w:t>
      </w:r>
      <w:r>
        <w:t>you</w:t>
      </w:r>
      <w:r>
        <w:t xml:space="preserve"> How Much? Monetary Incentives and Response Rates in Household Surveys.  Public Opinion Quarterly 71(1): 105-129.</w:t>
      </w:r>
    </w:p>
    <w:p w:rsidR="003F0834" w:rsidP="0067695B" w14:paraId="45E3FB24" w14:textId="04EBC1EE">
      <w:pPr>
        <w:pStyle w:val="Default"/>
      </w:pPr>
    </w:p>
    <w:p w:rsidR="003F0834" w:rsidP="003F0834" w14:paraId="637B6DF9" w14:textId="290AF2ED">
      <w:pPr>
        <w:widowControl w:val="0"/>
        <w:pBdr>
          <w:top w:val="nil"/>
          <w:left w:val="nil"/>
          <w:bottom w:val="nil"/>
          <w:right w:val="nil"/>
          <w:between w:val="nil"/>
        </w:pBdr>
        <w:spacing w:line="240" w:lineRule="auto"/>
        <w:rPr>
          <w:color w:val="000000"/>
        </w:rPr>
      </w:pPr>
      <w:r>
        <w:rPr>
          <w:color w:val="000000"/>
        </w:rPr>
        <w:t>National Academies of Sciences, Engineering, and Medicine (2021). Data and</w:t>
      </w:r>
      <w:r w:rsidR="000D4A12">
        <w:rPr>
          <w:color w:val="000000"/>
        </w:rPr>
        <w:t xml:space="preserve"> M</w:t>
      </w:r>
      <w:r>
        <w:rPr>
          <w:color w:val="000000"/>
        </w:rPr>
        <w:t xml:space="preserve">anagement </w:t>
      </w:r>
      <w:r w:rsidR="000D4A12">
        <w:rPr>
          <w:color w:val="000000"/>
        </w:rPr>
        <w:t>S</w:t>
      </w:r>
      <w:r>
        <w:rPr>
          <w:color w:val="000000"/>
        </w:rPr>
        <w:t xml:space="preserve">trategies for </w:t>
      </w:r>
      <w:r w:rsidR="000D4A12">
        <w:rPr>
          <w:color w:val="000000"/>
        </w:rPr>
        <w:t>R</w:t>
      </w:r>
      <w:r>
        <w:rPr>
          <w:color w:val="000000"/>
        </w:rPr>
        <w:t xml:space="preserve">ecreational </w:t>
      </w:r>
      <w:r w:rsidR="000D4A12">
        <w:rPr>
          <w:color w:val="000000"/>
        </w:rPr>
        <w:t>F</w:t>
      </w:r>
      <w:r>
        <w:rPr>
          <w:color w:val="000000"/>
        </w:rPr>
        <w:t xml:space="preserve">isheries with </w:t>
      </w:r>
      <w:r w:rsidR="000D4A12">
        <w:rPr>
          <w:color w:val="000000"/>
        </w:rPr>
        <w:t>A</w:t>
      </w:r>
      <w:r>
        <w:rPr>
          <w:color w:val="000000"/>
        </w:rPr>
        <w:t xml:space="preserve">nnual </w:t>
      </w:r>
      <w:r w:rsidR="000D4A12">
        <w:rPr>
          <w:color w:val="000000"/>
        </w:rPr>
        <w:t>C</w:t>
      </w:r>
      <w:r>
        <w:rPr>
          <w:color w:val="000000"/>
        </w:rPr>
        <w:t xml:space="preserve">atch </w:t>
      </w:r>
      <w:r w:rsidR="000D4A12">
        <w:rPr>
          <w:color w:val="000000"/>
        </w:rPr>
        <w:t>L</w:t>
      </w:r>
      <w:r>
        <w:rPr>
          <w:color w:val="000000"/>
        </w:rPr>
        <w:t xml:space="preserve">imits. Retrieved from https://www.nationalacademies.org/our-work/dataand-management-strategies-for-recreational-fisheries-with-annual-catchlimits. </w:t>
      </w:r>
    </w:p>
    <w:p w:rsidR="003F0834" w:rsidP="003F0834" w14:paraId="07ED5D89" w14:textId="3CDFA0A8">
      <w:pPr>
        <w:widowControl w:val="0"/>
        <w:pBdr>
          <w:top w:val="nil"/>
          <w:left w:val="nil"/>
          <w:bottom w:val="nil"/>
          <w:right w:val="nil"/>
          <w:between w:val="nil"/>
        </w:pBdr>
        <w:spacing w:line="240" w:lineRule="auto"/>
        <w:rPr>
          <w:color w:val="000000"/>
        </w:rPr>
      </w:pPr>
    </w:p>
    <w:p w:rsidR="003F0834" w:rsidP="003F0834" w14:paraId="6A2324B2" w14:textId="20F9C518">
      <w:pPr>
        <w:widowControl w:val="0"/>
        <w:pBdr>
          <w:top w:val="nil"/>
          <w:left w:val="nil"/>
          <w:bottom w:val="nil"/>
          <w:right w:val="nil"/>
          <w:between w:val="nil"/>
        </w:pBdr>
        <w:spacing w:line="240" w:lineRule="auto"/>
      </w:pPr>
      <w:r>
        <w:t>National Research Council (2006).</w:t>
      </w:r>
      <w:r>
        <w:t xml:space="preserve"> Review of recreational fisheries survey methods. Retrieved from: </w:t>
      </w:r>
      <w:hyperlink r:id="rId21" w:history="1">
        <w:r w:rsidRPr="00B63BDC" w:rsidR="00E71DDC">
          <w:rPr>
            <w:rStyle w:val="Hyperlink"/>
          </w:rPr>
          <w:t>https://www.nap.edu/catalog/11616/review-ofrecreational-fisheries-survey-methods</w:t>
        </w:r>
      </w:hyperlink>
      <w:r>
        <w:t>.</w:t>
      </w:r>
    </w:p>
    <w:p w:rsidR="00086E24" w:rsidP="003F0834" w14:paraId="6D36DB19" w14:textId="77777777">
      <w:pPr>
        <w:widowControl w:val="0"/>
        <w:pBdr>
          <w:top w:val="nil"/>
          <w:left w:val="nil"/>
          <w:bottom w:val="nil"/>
          <w:right w:val="nil"/>
          <w:between w:val="nil"/>
        </w:pBdr>
        <w:spacing w:line="240" w:lineRule="auto"/>
      </w:pPr>
    </w:p>
    <w:p w:rsidR="00086E24" w:rsidP="003F0834" w14:paraId="0E205CAF" w14:textId="07AB0AB0">
      <w:pPr>
        <w:widowControl w:val="0"/>
        <w:pBdr>
          <w:top w:val="nil"/>
          <w:left w:val="nil"/>
          <w:bottom w:val="nil"/>
          <w:right w:val="nil"/>
          <w:between w:val="nil"/>
        </w:pBdr>
        <w:spacing w:line="240" w:lineRule="auto"/>
      </w:pPr>
      <w:r>
        <w:t>Patrick, M.E., M.P. Couper, M.J. Parks, V. Laetz, and J.E. Schulenberg (2020). Comparison of a Web-Push Survey Research Protocol with a Mailed Paper and Pencil Protocol in the Monitoring the Future Panel Survey. Addiction 116: 191-199.</w:t>
      </w:r>
    </w:p>
    <w:p w:rsidR="00E71DDC" w:rsidP="003F0834" w14:paraId="2BF8754E" w14:textId="068FD3C6">
      <w:pPr>
        <w:widowControl w:val="0"/>
        <w:pBdr>
          <w:top w:val="nil"/>
          <w:left w:val="nil"/>
          <w:bottom w:val="nil"/>
          <w:right w:val="nil"/>
          <w:between w:val="nil"/>
        </w:pBdr>
        <w:spacing w:line="240" w:lineRule="auto"/>
      </w:pPr>
    </w:p>
    <w:p w:rsidR="00E71DDC" w:rsidRPr="00F53246" w:rsidP="003F0834" w14:paraId="04D32687" w14:textId="5807D924">
      <w:pPr>
        <w:widowControl w:val="0"/>
        <w:pBdr>
          <w:top w:val="nil"/>
          <w:left w:val="nil"/>
          <w:bottom w:val="nil"/>
          <w:right w:val="nil"/>
          <w:between w:val="nil"/>
        </w:pBdr>
        <w:spacing w:line="240" w:lineRule="auto"/>
      </w:pPr>
      <w:r>
        <w:t>Singer, E., and C. Ye (2013). The Use and Effects of Incentives in Surveys. The Annals of the American Academy of Political and Social Science 645: 112-141.</w:t>
      </w:r>
    </w:p>
    <w:p w:rsidR="005119E8" w:rsidRPr="00F53246" w:rsidP="0067695B" w14:paraId="2866CC88" w14:textId="77777777">
      <w:pPr>
        <w:pStyle w:val="Default"/>
      </w:pPr>
    </w:p>
    <w:p w:rsidR="0008483B" w:rsidRPr="00F53246" w:rsidP="0067695B" w14:paraId="0AC1524E" w14:textId="77777777">
      <w:pPr>
        <w:pStyle w:val="Default"/>
      </w:pPr>
      <w:r w:rsidRPr="00F53246">
        <w:t>Trussell</w:t>
      </w:r>
      <w:r w:rsidRPr="00F53246" w:rsidR="005119E8">
        <w:t>, N.</w:t>
      </w:r>
      <w:r w:rsidRPr="00F53246">
        <w:t xml:space="preserve"> and </w:t>
      </w:r>
      <w:r w:rsidRPr="00F53246" w:rsidR="005119E8">
        <w:t xml:space="preserve">P.J. </w:t>
      </w:r>
      <w:r w:rsidRPr="00F53246">
        <w:t>Lavrakas</w:t>
      </w:r>
      <w:r w:rsidRPr="00F53246">
        <w:t xml:space="preserve"> (2004)</w:t>
      </w:r>
      <w:r w:rsidRPr="00F53246" w:rsidR="005119E8">
        <w:t>.  The influence of incremental increases in token cash incentives on mail survey response: Is there an optimal amount?  Publ</w:t>
      </w:r>
      <w:r w:rsidRPr="00F53246" w:rsidR="00AD4658">
        <w:t>ic Opinion Quarterly</w:t>
      </w:r>
      <w:r w:rsidRPr="00F53246" w:rsidR="005119E8">
        <w:t xml:space="preserve"> 68: 349-367.</w:t>
      </w:r>
    </w:p>
    <w:sectPr w:rsidSect="00755FED">
      <w:pgSz w:w="12240" w:h="15840"/>
      <w:pgMar w:top="1440" w:right="1440" w:bottom="72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2054461"/>
      <w:docPartObj>
        <w:docPartGallery w:val="Page Numbers (Bottom of Page)"/>
        <w:docPartUnique/>
      </w:docPartObj>
    </w:sdtPr>
    <w:sdtEndPr>
      <w:rPr>
        <w:noProof/>
      </w:rPr>
    </w:sdtEndPr>
    <w:sdtContent>
      <w:p w:rsidR="00E7285B" w14:paraId="0D15C91D" w14:textId="177ECA53">
        <w:pPr>
          <w:pStyle w:val="Footer"/>
          <w:jc w:val="center"/>
        </w:pPr>
        <w:r>
          <w:fldChar w:fldCharType="begin"/>
        </w:r>
        <w:r>
          <w:instrText xml:space="preserve"> PAGE   \* MERGEFORMAT </w:instrText>
        </w:r>
        <w:r>
          <w:fldChar w:fldCharType="separate"/>
        </w:r>
        <w:r w:rsidR="008444FE">
          <w:rPr>
            <w:noProof/>
          </w:rPr>
          <w:t>12</w:t>
        </w:r>
        <w:r>
          <w:rPr>
            <w:noProof/>
          </w:rPr>
          <w:fldChar w:fldCharType="end"/>
        </w:r>
      </w:p>
    </w:sdtContent>
  </w:sdt>
  <w:p w:rsidR="00E7285B" w:rsidP="00113646" w14:paraId="17D108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49C4" w:rsidP="00113646" w14:paraId="1BA9C34D" w14:textId="77777777">
      <w:r>
        <w:separator/>
      </w:r>
    </w:p>
  </w:footnote>
  <w:footnote w:type="continuationSeparator" w:id="1">
    <w:p w:rsidR="004949C4" w:rsidP="00113646" w14:paraId="19B9493B" w14:textId="77777777">
      <w:r>
        <w:continuationSeparator/>
      </w:r>
    </w:p>
  </w:footnote>
  <w:footnote w:id="2">
    <w:p w:rsidR="00E87E64" w14:paraId="00CB6FAE" w14:textId="126870D5">
      <w:pPr>
        <w:pStyle w:val="FootnoteText"/>
      </w:pPr>
      <w:r>
        <w:rPr>
          <w:rStyle w:val="FootnoteReference"/>
        </w:rPr>
        <w:footnoteRef/>
      </w:r>
      <w:r>
        <w:t xml:space="preserve"> </w:t>
      </w:r>
      <w:r w:rsidRPr="00E87E64">
        <w:t>https://www.fisheries.noaa.gov/s3//dam-migration/msa-amended-2007.pdf</w:t>
      </w:r>
    </w:p>
  </w:footnote>
  <w:footnote w:id="3">
    <w:p w:rsidR="00E87E64" w14:paraId="6E4F4505" w14:textId="0471E8B9">
      <w:pPr>
        <w:pStyle w:val="FootnoteText"/>
      </w:pPr>
      <w:r>
        <w:rPr>
          <w:rStyle w:val="FootnoteReference"/>
        </w:rPr>
        <w:footnoteRef/>
      </w:r>
      <w:r>
        <w:t xml:space="preserve"> </w:t>
      </w:r>
      <w:r w:rsidRPr="00E87E64">
        <w:t>https://www.govinfo.gov/content/pkg/WCPD-1995-06-12/pdf/WCPD-1995-06-12-Pg995-2.pdf</w:t>
      </w:r>
    </w:p>
  </w:footnote>
  <w:footnote w:id="4">
    <w:p w:rsidR="000766BC" w14:paraId="0A7281C2" w14:textId="767AD4FD">
      <w:pPr>
        <w:pStyle w:val="FootnoteText"/>
      </w:pPr>
      <w:r>
        <w:rPr>
          <w:rStyle w:val="FootnoteReference"/>
        </w:rPr>
        <w:footnoteRef/>
      </w:r>
      <w:r>
        <w:t xml:space="preserve"> </w:t>
      </w:r>
      <w:r w:rsidRPr="000766BC">
        <w:t>https://www.fisheries.noaa.gov/recreational-fishing-data/about-marine-recreational-information-program#regional-priorities</w:t>
      </w:r>
    </w:p>
  </w:footnote>
  <w:footnote w:id="5">
    <w:p w:rsidR="00E7285B" w:rsidP="001E17D0" w14:paraId="4A2540EF" w14:textId="7B99A4B2">
      <w:pPr>
        <w:pStyle w:val="FootnoteText"/>
        <w:spacing w:line="240" w:lineRule="auto"/>
      </w:pPr>
      <w:r>
        <w:rPr>
          <w:rStyle w:val="FootnoteReference"/>
        </w:rPr>
        <w:footnoteRef/>
      </w:r>
      <w:r>
        <w:t xml:space="preserve"> Data collection costs include costs associated with printing survey materials, assembling survey packets, postage, receipting and processing completed surveys, and incentives. The relative cost per complete survey set the $0.00 incentive’s cost to 1; the other incentives’ costs were calculated relative to the $0.00 incentive’s cost. These are relative values and not true costs.</w:t>
      </w:r>
    </w:p>
  </w:footnote>
  <w:footnote w:id="6">
    <w:p w:rsidR="008153A3" w14:paraId="7BEED8C1" w14:textId="646D813A">
      <w:pPr>
        <w:pStyle w:val="FootnoteText"/>
      </w:pPr>
      <w:r>
        <w:rPr>
          <w:rStyle w:val="FootnoteReference"/>
        </w:rPr>
        <w:footnoteRef/>
      </w:r>
      <w:r>
        <w:t xml:space="preserve"> </w:t>
      </w:r>
      <w:r w:rsidRPr="008153A3">
        <w:t>https://www.commerce.gov/sites/default/files/2026-01/CAPS%20Standard%20Pay%20Tables%202026.pdf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AC1AAB"/>
    <w:multiLevelType w:val="hybridMultilevel"/>
    <w:tmpl w:val="3BB38E1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8ED39616"/>
    <w:multiLevelType w:val="hybridMultilevel"/>
    <w:tmpl w:val="D4233F11"/>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A3F846FD"/>
    <w:multiLevelType w:val="hybridMultilevel"/>
    <w:tmpl w:val="539D91F8"/>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A6A258E6"/>
    <w:multiLevelType w:val="hybridMultilevel"/>
    <w:tmpl w:val="3A9DE0BF"/>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AFB28AEC"/>
    <w:multiLevelType w:val="hybridMultilevel"/>
    <w:tmpl w:val="472C145C"/>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D0957B53"/>
    <w:multiLevelType w:val="hybridMultilevel"/>
    <w:tmpl w:val="8598F8D5"/>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01C47BFA"/>
    <w:multiLevelType w:val="hybridMultilevel"/>
    <w:tmpl w:val="79AC2A26"/>
    <w:lvl w:ilvl="0">
      <w:start w:val="1"/>
      <w:numFmt w:val="bullet"/>
      <w:pStyle w:val="Norm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324B40"/>
    <w:multiLevelType w:val="hybridMultilevel"/>
    <w:tmpl w:val="FB544BE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07EA5FB2"/>
    <w:multiLevelType w:val="hybridMultilevel"/>
    <w:tmpl w:val="90C2CF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10098C"/>
    <w:multiLevelType w:val="hybridMultilevel"/>
    <w:tmpl w:val="ADDA0B58"/>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10A67027"/>
    <w:multiLevelType w:val="hybridMultilevel"/>
    <w:tmpl w:val="766EC89E"/>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start w:val="1"/>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4E70358"/>
    <w:multiLevelType w:val="hybridMultilevel"/>
    <w:tmpl w:val="C72C6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A56749"/>
    <w:multiLevelType w:val="hybridMultilevel"/>
    <w:tmpl w:val="4B1CD3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7DC31F3"/>
    <w:multiLevelType w:val="hybridMultilevel"/>
    <w:tmpl w:val="871E3492"/>
    <w:lvl w:ilvl="0">
      <w:start w:val="1"/>
      <w:numFmt w:val="decimal"/>
      <w:lvlText w:val="%1."/>
      <w:lvlJc w:val="left"/>
      <w:pPr>
        <w:ind w:left="900" w:hanging="360"/>
      </w:pPr>
      <w:rPr>
        <w:rFonts w:hint="default"/>
        <w:vertAlign w:val="subscrip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6B251B1"/>
    <w:multiLevelType w:val="hybridMultilevel"/>
    <w:tmpl w:val="E5AC76D6"/>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5C7921"/>
    <w:multiLevelType w:val="hybridMultilevel"/>
    <w:tmpl w:val="766EC89E"/>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start w:val="1"/>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670B6DBF"/>
    <w:multiLevelType w:val="hybridMultilevel"/>
    <w:tmpl w:val="3774BC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3B5ED0"/>
    <w:multiLevelType w:val="hybridMultilevel"/>
    <w:tmpl w:val="EA683FF0"/>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283B96"/>
    <w:multiLevelType w:val="hybridMultilevel"/>
    <w:tmpl w:val="4C302A8A"/>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3B00E6"/>
    <w:multiLevelType w:val="multilevel"/>
    <w:tmpl w:val="6D4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C3FB7"/>
    <w:multiLevelType w:val="hybridMultilevel"/>
    <w:tmpl w:val="2D8007C4"/>
    <w:lvl w:ilvl="0">
      <w:start w:val="1"/>
      <w:numFmt w:val="decimal"/>
      <w:lvlText w:val="%1)"/>
      <w:lvlJc w:val="left"/>
      <w:pPr>
        <w:ind w:left="720" w:hanging="360"/>
      </w:pPr>
      <w:rPr>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0843276">
    <w:abstractNumId w:val="5"/>
  </w:num>
  <w:num w:numId="2" w16cid:durableId="2038391207">
    <w:abstractNumId w:val="2"/>
  </w:num>
  <w:num w:numId="3" w16cid:durableId="734857932">
    <w:abstractNumId w:val="0"/>
  </w:num>
  <w:num w:numId="4" w16cid:durableId="992443742">
    <w:abstractNumId w:val="3"/>
  </w:num>
  <w:num w:numId="5" w16cid:durableId="1265504071">
    <w:abstractNumId w:val="8"/>
  </w:num>
  <w:num w:numId="6" w16cid:durableId="655449628">
    <w:abstractNumId w:val="4"/>
  </w:num>
  <w:num w:numId="7" w16cid:durableId="1443381328">
    <w:abstractNumId w:val="1"/>
  </w:num>
  <w:num w:numId="8" w16cid:durableId="827208915">
    <w:abstractNumId w:val="7"/>
  </w:num>
  <w:num w:numId="9" w16cid:durableId="1366521521">
    <w:abstractNumId w:val="11"/>
  </w:num>
  <w:num w:numId="10" w16cid:durableId="1895461371">
    <w:abstractNumId w:val="10"/>
  </w:num>
  <w:num w:numId="11" w16cid:durableId="197739356">
    <w:abstractNumId w:val="19"/>
  </w:num>
  <w:num w:numId="12" w16cid:durableId="165636793">
    <w:abstractNumId w:val="9"/>
  </w:num>
  <w:num w:numId="13" w16cid:durableId="1122186909">
    <w:abstractNumId w:val="17"/>
  </w:num>
  <w:num w:numId="14" w16cid:durableId="2024432859">
    <w:abstractNumId w:val="21"/>
  </w:num>
  <w:num w:numId="15" w16cid:durableId="256252758">
    <w:abstractNumId w:val="14"/>
  </w:num>
  <w:num w:numId="16" w16cid:durableId="2107074183">
    <w:abstractNumId w:val="15"/>
  </w:num>
  <w:num w:numId="17" w16cid:durableId="2119130576">
    <w:abstractNumId w:val="18"/>
  </w:num>
  <w:num w:numId="18" w16cid:durableId="838275201">
    <w:abstractNumId w:val="6"/>
  </w:num>
  <w:num w:numId="19" w16cid:durableId="626394463">
    <w:abstractNumId w:val="13"/>
  </w:num>
  <w:num w:numId="20" w16cid:durableId="130054931">
    <w:abstractNumId w:val="16"/>
  </w:num>
  <w:num w:numId="21" w16cid:durableId="1997880468">
    <w:abstractNumId w:val="12"/>
  </w:num>
  <w:num w:numId="22" w16cid:durableId="1669021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B4"/>
    <w:rsid w:val="00000D63"/>
    <w:rsid w:val="00002B14"/>
    <w:rsid w:val="000038AC"/>
    <w:rsid w:val="00003B9D"/>
    <w:rsid w:val="00004409"/>
    <w:rsid w:val="00004722"/>
    <w:rsid w:val="00005AA2"/>
    <w:rsid w:val="000062CD"/>
    <w:rsid w:val="00007F30"/>
    <w:rsid w:val="0001207B"/>
    <w:rsid w:val="00014CCB"/>
    <w:rsid w:val="00017FBB"/>
    <w:rsid w:val="000204E9"/>
    <w:rsid w:val="00020554"/>
    <w:rsid w:val="00024F02"/>
    <w:rsid w:val="00026A2B"/>
    <w:rsid w:val="0003021F"/>
    <w:rsid w:val="00030F34"/>
    <w:rsid w:val="00031684"/>
    <w:rsid w:val="000317CA"/>
    <w:rsid w:val="00032D55"/>
    <w:rsid w:val="000342D8"/>
    <w:rsid w:val="00034B68"/>
    <w:rsid w:val="00034F4C"/>
    <w:rsid w:val="00035B71"/>
    <w:rsid w:val="00035BCA"/>
    <w:rsid w:val="00035FBB"/>
    <w:rsid w:val="00036C03"/>
    <w:rsid w:val="00037EDA"/>
    <w:rsid w:val="0004003B"/>
    <w:rsid w:val="0004396A"/>
    <w:rsid w:val="00044006"/>
    <w:rsid w:val="0004426C"/>
    <w:rsid w:val="0004436D"/>
    <w:rsid w:val="00046927"/>
    <w:rsid w:val="000470EA"/>
    <w:rsid w:val="00050AD7"/>
    <w:rsid w:val="00050B6B"/>
    <w:rsid w:val="00052144"/>
    <w:rsid w:val="00052DD7"/>
    <w:rsid w:val="0005404E"/>
    <w:rsid w:val="000550B2"/>
    <w:rsid w:val="00055B09"/>
    <w:rsid w:val="00056EBF"/>
    <w:rsid w:val="000579D0"/>
    <w:rsid w:val="000609B8"/>
    <w:rsid w:val="00063325"/>
    <w:rsid w:val="0006724F"/>
    <w:rsid w:val="00070722"/>
    <w:rsid w:val="0007127D"/>
    <w:rsid w:val="0007190B"/>
    <w:rsid w:val="00071AFF"/>
    <w:rsid w:val="00071C03"/>
    <w:rsid w:val="000720C8"/>
    <w:rsid w:val="000740E5"/>
    <w:rsid w:val="000759D9"/>
    <w:rsid w:val="000766BC"/>
    <w:rsid w:val="00080206"/>
    <w:rsid w:val="000813B4"/>
    <w:rsid w:val="0008483B"/>
    <w:rsid w:val="00085800"/>
    <w:rsid w:val="0008691A"/>
    <w:rsid w:val="0008695B"/>
    <w:rsid w:val="00086E24"/>
    <w:rsid w:val="00087830"/>
    <w:rsid w:val="00087C1A"/>
    <w:rsid w:val="00090987"/>
    <w:rsid w:val="00091F29"/>
    <w:rsid w:val="00093E43"/>
    <w:rsid w:val="000972D5"/>
    <w:rsid w:val="000A1F73"/>
    <w:rsid w:val="000A44F9"/>
    <w:rsid w:val="000A5038"/>
    <w:rsid w:val="000A5083"/>
    <w:rsid w:val="000A70DE"/>
    <w:rsid w:val="000B0DAE"/>
    <w:rsid w:val="000B1501"/>
    <w:rsid w:val="000B15F3"/>
    <w:rsid w:val="000B3134"/>
    <w:rsid w:val="000B3D86"/>
    <w:rsid w:val="000B54A1"/>
    <w:rsid w:val="000B5B5A"/>
    <w:rsid w:val="000C1298"/>
    <w:rsid w:val="000C1733"/>
    <w:rsid w:val="000C1C68"/>
    <w:rsid w:val="000C21C2"/>
    <w:rsid w:val="000C4887"/>
    <w:rsid w:val="000C5703"/>
    <w:rsid w:val="000D0B11"/>
    <w:rsid w:val="000D1559"/>
    <w:rsid w:val="000D2404"/>
    <w:rsid w:val="000D3A23"/>
    <w:rsid w:val="000D498B"/>
    <w:rsid w:val="000D4A12"/>
    <w:rsid w:val="000D6336"/>
    <w:rsid w:val="000D6395"/>
    <w:rsid w:val="000E1037"/>
    <w:rsid w:val="000E139A"/>
    <w:rsid w:val="000E7024"/>
    <w:rsid w:val="000F3013"/>
    <w:rsid w:val="000F3B48"/>
    <w:rsid w:val="000F43A7"/>
    <w:rsid w:val="000F745B"/>
    <w:rsid w:val="001018FF"/>
    <w:rsid w:val="001028F2"/>
    <w:rsid w:val="00103825"/>
    <w:rsid w:val="001051DF"/>
    <w:rsid w:val="00106752"/>
    <w:rsid w:val="0011103D"/>
    <w:rsid w:val="00112F7D"/>
    <w:rsid w:val="00113482"/>
    <w:rsid w:val="0011350E"/>
    <w:rsid w:val="00113646"/>
    <w:rsid w:val="001143CA"/>
    <w:rsid w:val="001158A9"/>
    <w:rsid w:val="0012002A"/>
    <w:rsid w:val="001219E7"/>
    <w:rsid w:val="00121ECB"/>
    <w:rsid w:val="00122875"/>
    <w:rsid w:val="001311AA"/>
    <w:rsid w:val="0013252E"/>
    <w:rsid w:val="00133448"/>
    <w:rsid w:val="00134A3B"/>
    <w:rsid w:val="00134B26"/>
    <w:rsid w:val="00136F8F"/>
    <w:rsid w:val="00140BF3"/>
    <w:rsid w:val="00141A03"/>
    <w:rsid w:val="00144581"/>
    <w:rsid w:val="0014484A"/>
    <w:rsid w:val="00146058"/>
    <w:rsid w:val="001463B5"/>
    <w:rsid w:val="00146859"/>
    <w:rsid w:val="001514E3"/>
    <w:rsid w:val="00152130"/>
    <w:rsid w:val="0015273E"/>
    <w:rsid w:val="00153525"/>
    <w:rsid w:val="00153659"/>
    <w:rsid w:val="001548A5"/>
    <w:rsid w:val="00155680"/>
    <w:rsid w:val="00155EBD"/>
    <w:rsid w:val="00156E3E"/>
    <w:rsid w:val="00157852"/>
    <w:rsid w:val="00160BC3"/>
    <w:rsid w:val="00162D24"/>
    <w:rsid w:val="00165BAC"/>
    <w:rsid w:val="00167E58"/>
    <w:rsid w:val="00172F48"/>
    <w:rsid w:val="001738BD"/>
    <w:rsid w:val="00174172"/>
    <w:rsid w:val="001765A4"/>
    <w:rsid w:val="00176D16"/>
    <w:rsid w:val="00176F8E"/>
    <w:rsid w:val="0017707A"/>
    <w:rsid w:val="0017777D"/>
    <w:rsid w:val="0018033A"/>
    <w:rsid w:val="001807BF"/>
    <w:rsid w:val="00180FFA"/>
    <w:rsid w:val="001814E6"/>
    <w:rsid w:val="00182B98"/>
    <w:rsid w:val="00184F1B"/>
    <w:rsid w:val="0018522F"/>
    <w:rsid w:val="001870BE"/>
    <w:rsid w:val="0019150A"/>
    <w:rsid w:val="0019338A"/>
    <w:rsid w:val="00195F17"/>
    <w:rsid w:val="0019620B"/>
    <w:rsid w:val="001A0D02"/>
    <w:rsid w:val="001A4948"/>
    <w:rsid w:val="001A4B34"/>
    <w:rsid w:val="001A5818"/>
    <w:rsid w:val="001A5B1D"/>
    <w:rsid w:val="001A7075"/>
    <w:rsid w:val="001A7165"/>
    <w:rsid w:val="001B3141"/>
    <w:rsid w:val="001B4515"/>
    <w:rsid w:val="001C0B5B"/>
    <w:rsid w:val="001C27E1"/>
    <w:rsid w:val="001C3B78"/>
    <w:rsid w:val="001C4BB8"/>
    <w:rsid w:val="001C560B"/>
    <w:rsid w:val="001C6344"/>
    <w:rsid w:val="001C69F5"/>
    <w:rsid w:val="001C7544"/>
    <w:rsid w:val="001D1DFE"/>
    <w:rsid w:val="001D1F90"/>
    <w:rsid w:val="001D37B1"/>
    <w:rsid w:val="001D5634"/>
    <w:rsid w:val="001D5E35"/>
    <w:rsid w:val="001D69E7"/>
    <w:rsid w:val="001D70C6"/>
    <w:rsid w:val="001E01E9"/>
    <w:rsid w:val="001E17D0"/>
    <w:rsid w:val="001E1BE2"/>
    <w:rsid w:val="001E2180"/>
    <w:rsid w:val="001E2542"/>
    <w:rsid w:val="001E28FF"/>
    <w:rsid w:val="001E2CE9"/>
    <w:rsid w:val="001E747E"/>
    <w:rsid w:val="001E7891"/>
    <w:rsid w:val="001F1D64"/>
    <w:rsid w:val="001F30E9"/>
    <w:rsid w:val="001F42B8"/>
    <w:rsid w:val="001F58A9"/>
    <w:rsid w:val="001F60E9"/>
    <w:rsid w:val="001F69AF"/>
    <w:rsid w:val="002011BA"/>
    <w:rsid w:val="002018A8"/>
    <w:rsid w:val="00201D8C"/>
    <w:rsid w:val="0020293C"/>
    <w:rsid w:val="00205701"/>
    <w:rsid w:val="00207CA9"/>
    <w:rsid w:val="00210CAC"/>
    <w:rsid w:val="002116C3"/>
    <w:rsid w:val="00212252"/>
    <w:rsid w:val="0021267A"/>
    <w:rsid w:val="00214B19"/>
    <w:rsid w:val="002150C3"/>
    <w:rsid w:val="002168E6"/>
    <w:rsid w:val="00220485"/>
    <w:rsid w:val="00222D6D"/>
    <w:rsid w:val="002241C4"/>
    <w:rsid w:val="002247A4"/>
    <w:rsid w:val="0022506E"/>
    <w:rsid w:val="002277FD"/>
    <w:rsid w:val="00227F4B"/>
    <w:rsid w:val="00230A4C"/>
    <w:rsid w:val="00233A97"/>
    <w:rsid w:val="00234477"/>
    <w:rsid w:val="00234EE8"/>
    <w:rsid w:val="00237423"/>
    <w:rsid w:val="00240A96"/>
    <w:rsid w:val="00241FB7"/>
    <w:rsid w:val="0024286F"/>
    <w:rsid w:val="00245C87"/>
    <w:rsid w:val="002462F5"/>
    <w:rsid w:val="00251A5B"/>
    <w:rsid w:val="002524A0"/>
    <w:rsid w:val="00252C30"/>
    <w:rsid w:val="00256048"/>
    <w:rsid w:val="00256391"/>
    <w:rsid w:val="00256C0E"/>
    <w:rsid w:val="00262E2F"/>
    <w:rsid w:val="00263B66"/>
    <w:rsid w:val="002641F4"/>
    <w:rsid w:val="002655FF"/>
    <w:rsid w:val="00270DD1"/>
    <w:rsid w:val="00272912"/>
    <w:rsid w:val="00273D4F"/>
    <w:rsid w:val="00275C65"/>
    <w:rsid w:val="00276244"/>
    <w:rsid w:val="0027658E"/>
    <w:rsid w:val="0027676B"/>
    <w:rsid w:val="00277387"/>
    <w:rsid w:val="00277461"/>
    <w:rsid w:val="00277515"/>
    <w:rsid w:val="00277DE0"/>
    <w:rsid w:val="00280D30"/>
    <w:rsid w:val="002830A9"/>
    <w:rsid w:val="002860A4"/>
    <w:rsid w:val="00286A96"/>
    <w:rsid w:val="00287B93"/>
    <w:rsid w:val="002905CE"/>
    <w:rsid w:val="0029186A"/>
    <w:rsid w:val="00293002"/>
    <w:rsid w:val="00293BB4"/>
    <w:rsid w:val="00294B83"/>
    <w:rsid w:val="002950AE"/>
    <w:rsid w:val="00296715"/>
    <w:rsid w:val="0029700B"/>
    <w:rsid w:val="002A0601"/>
    <w:rsid w:val="002A2154"/>
    <w:rsid w:val="002A261B"/>
    <w:rsid w:val="002A2EBF"/>
    <w:rsid w:val="002A3717"/>
    <w:rsid w:val="002A3F35"/>
    <w:rsid w:val="002A4167"/>
    <w:rsid w:val="002A4C1B"/>
    <w:rsid w:val="002A55C8"/>
    <w:rsid w:val="002B0B7E"/>
    <w:rsid w:val="002B1668"/>
    <w:rsid w:val="002B258B"/>
    <w:rsid w:val="002B66E4"/>
    <w:rsid w:val="002B72A1"/>
    <w:rsid w:val="002C1F8A"/>
    <w:rsid w:val="002C720B"/>
    <w:rsid w:val="002D484F"/>
    <w:rsid w:val="002D527D"/>
    <w:rsid w:val="002D7C55"/>
    <w:rsid w:val="002E0C99"/>
    <w:rsid w:val="002E191E"/>
    <w:rsid w:val="002E1D70"/>
    <w:rsid w:val="002E1E8A"/>
    <w:rsid w:val="002E1EE7"/>
    <w:rsid w:val="002E3081"/>
    <w:rsid w:val="002E4D41"/>
    <w:rsid w:val="002E6295"/>
    <w:rsid w:val="002E69D8"/>
    <w:rsid w:val="002E7126"/>
    <w:rsid w:val="002E7129"/>
    <w:rsid w:val="002F0223"/>
    <w:rsid w:val="002F1D40"/>
    <w:rsid w:val="002F53CB"/>
    <w:rsid w:val="002F5D9C"/>
    <w:rsid w:val="002F6E08"/>
    <w:rsid w:val="002F70EC"/>
    <w:rsid w:val="00300690"/>
    <w:rsid w:val="00302CA0"/>
    <w:rsid w:val="003037AF"/>
    <w:rsid w:val="00304F1D"/>
    <w:rsid w:val="003065F9"/>
    <w:rsid w:val="00311434"/>
    <w:rsid w:val="0031258C"/>
    <w:rsid w:val="0031320F"/>
    <w:rsid w:val="003141DB"/>
    <w:rsid w:val="00314635"/>
    <w:rsid w:val="00316560"/>
    <w:rsid w:val="00320755"/>
    <w:rsid w:val="003217DB"/>
    <w:rsid w:val="00324D2A"/>
    <w:rsid w:val="00326043"/>
    <w:rsid w:val="00327919"/>
    <w:rsid w:val="003303B2"/>
    <w:rsid w:val="00330E6F"/>
    <w:rsid w:val="003316D4"/>
    <w:rsid w:val="00331816"/>
    <w:rsid w:val="003320DD"/>
    <w:rsid w:val="00332DF5"/>
    <w:rsid w:val="003343C2"/>
    <w:rsid w:val="00336322"/>
    <w:rsid w:val="00337F5B"/>
    <w:rsid w:val="00340CAC"/>
    <w:rsid w:val="00341063"/>
    <w:rsid w:val="00341F44"/>
    <w:rsid w:val="00343EC7"/>
    <w:rsid w:val="00344492"/>
    <w:rsid w:val="00347388"/>
    <w:rsid w:val="003500CA"/>
    <w:rsid w:val="003505D2"/>
    <w:rsid w:val="00351C6D"/>
    <w:rsid w:val="00353511"/>
    <w:rsid w:val="00354601"/>
    <w:rsid w:val="00355553"/>
    <w:rsid w:val="00355C30"/>
    <w:rsid w:val="00356DAE"/>
    <w:rsid w:val="00357077"/>
    <w:rsid w:val="003571EF"/>
    <w:rsid w:val="00357F1E"/>
    <w:rsid w:val="00362D11"/>
    <w:rsid w:val="00363449"/>
    <w:rsid w:val="003638C0"/>
    <w:rsid w:val="00363C59"/>
    <w:rsid w:val="00364E67"/>
    <w:rsid w:val="003658C7"/>
    <w:rsid w:val="003661B2"/>
    <w:rsid w:val="00366D16"/>
    <w:rsid w:val="00371B4F"/>
    <w:rsid w:val="00372ED4"/>
    <w:rsid w:val="003776C5"/>
    <w:rsid w:val="00380C86"/>
    <w:rsid w:val="003818CD"/>
    <w:rsid w:val="00382B25"/>
    <w:rsid w:val="00383C67"/>
    <w:rsid w:val="00384306"/>
    <w:rsid w:val="003848D6"/>
    <w:rsid w:val="003856EB"/>
    <w:rsid w:val="00390ACB"/>
    <w:rsid w:val="003911A2"/>
    <w:rsid w:val="00391C31"/>
    <w:rsid w:val="003924E8"/>
    <w:rsid w:val="00395A9B"/>
    <w:rsid w:val="00395F44"/>
    <w:rsid w:val="00396511"/>
    <w:rsid w:val="0039658A"/>
    <w:rsid w:val="00396763"/>
    <w:rsid w:val="003974A4"/>
    <w:rsid w:val="003A1085"/>
    <w:rsid w:val="003A18DE"/>
    <w:rsid w:val="003A5B61"/>
    <w:rsid w:val="003B0392"/>
    <w:rsid w:val="003B0EB6"/>
    <w:rsid w:val="003B180C"/>
    <w:rsid w:val="003B1FD0"/>
    <w:rsid w:val="003B4604"/>
    <w:rsid w:val="003B52FD"/>
    <w:rsid w:val="003B565F"/>
    <w:rsid w:val="003B62CA"/>
    <w:rsid w:val="003C4F3D"/>
    <w:rsid w:val="003C5C4F"/>
    <w:rsid w:val="003C6185"/>
    <w:rsid w:val="003C619B"/>
    <w:rsid w:val="003C75FB"/>
    <w:rsid w:val="003D1795"/>
    <w:rsid w:val="003D1CB8"/>
    <w:rsid w:val="003D1E5A"/>
    <w:rsid w:val="003D3119"/>
    <w:rsid w:val="003D3D44"/>
    <w:rsid w:val="003D4330"/>
    <w:rsid w:val="003D4E5C"/>
    <w:rsid w:val="003D5324"/>
    <w:rsid w:val="003D603E"/>
    <w:rsid w:val="003D6225"/>
    <w:rsid w:val="003D6C51"/>
    <w:rsid w:val="003D6DF7"/>
    <w:rsid w:val="003E075E"/>
    <w:rsid w:val="003E1D98"/>
    <w:rsid w:val="003E2A80"/>
    <w:rsid w:val="003E333E"/>
    <w:rsid w:val="003E5609"/>
    <w:rsid w:val="003E5707"/>
    <w:rsid w:val="003E632D"/>
    <w:rsid w:val="003E6B31"/>
    <w:rsid w:val="003E6D9B"/>
    <w:rsid w:val="003E79D8"/>
    <w:rsid w:val="003F0834"/>
    <w:rsid w:val="003F0C90"/>
    <w:rsid w:val="003F1BCB"/>
    <w:rsid w:val="003F1DAF"/>
    <w:rsid w:val="003F320D"/>
    <w:rsid w:val="003F3807"/>
    <w:rsid w:val="003F3DB8"/>
    <w:rsid w:val="003F494A"/>
    <w:rsid w:val="003F4D3E"/>
    <w:rsid w:val="003F57CC"/>
    <w:rsid w:val="003F65FD"/>
    <w:rsid w:val="003F6663"/>
    <w:rsid w:val="003F6838"/>
    <w:rsid w:val="00401EF4"/>
    <w:rsid w:val="004029AF"/>
    <w:rsid w:val="00404003"/>
    <w:rsid w:val="00404324"/>
    <w:rsid w:val="004049E2"/>
    <w:rsid w:val="004066D2"/>
    <w:rsid w:val="004075FF"/>
    <w:rsid w:val="004101FF"/>
    <w:rsid w:val="00410886"/>
    <w:rsid w:val="00411641"/>
    <w:rsid w:val="004137F1"/>
    <w:rsid w:val="0041398B"/>
    <w:rsid w:val="004156C1"/>
    <w:rsid w:val="004174CF"/>
    <w:rsid w:val="0042263F"/>
    <w:rsid w:val="00423EDA"/>
    <w:rsid w:val="004241AC"/>
    <w:rsid w:val="00425897"/>
    <w:rsid w:val="00425DED"/>
    <w:rsid w:val="004261E3"/>
    <w:rsid w:val="00427B97"/>
    <w:rsid w:val="00430499"/>
    <w:rsid w:val="00430790"/>
    <w:rsid w:val="00430B80"/>
    <w:rsid w:val="00431543"/>
    <w:rsid w:val="00431A0A"/>
    <w:rsid w:val="00434CE2"/>
    <w:rsid w:val="0043515B"/>
    <w:rsid w:val="004352D0"/>
    <w:rsid w:val="00437C39"/>
    <w:rsid w:val="0044117E"/>
    <w:rsid w:val="004419A9"/>
    <w:rsid w:val="00441F12"/>
    <w:rsid w:val="00442981"/>
    <w:rsid w:val="00443A0B"/>
    <w:rsid w:val="00443C73"/>
    <w:rsid w:val="00445317"/>
    <w:rsid w:val="004478B6"/>
    <w:rsid w:val="00450D05"/>
    <w:rsid w:val="00451322"/>
    <w:rsid w:val="00452389"/>
    <w:rsid w:val="004525D1"/>
    <w:rsid w:val="004535CD"/>
    <w:rsid w:val="00453A07"/>
    <w:rsid w:val="004540A1"/>
    <w:rsid w:val="0045480D"/>
    <w:rsid w:val="00456CD7"/>
    <w:rsid w:val="00457C5A"/>
    <w:rsid w:val="00460E5B"/>
    <w:rsid w:val="00461124"/>
    <w:rsid w:val="004621AE"/>
    <w:rsid w:val="0046451F"/>
    <w:rsid w:val="00464B9B"/>
    <w:rsid w:val="00464FDB"/>
    <w:rsid w:val="00466115"/>
    <w:rsid w:val="00470478"/>
    <w:rsid w:val="00470C66"/>
    <w:rsid w:val="00470E33"/>
    <w:rsid w:val="004717DD"/>
    <w:rsid w:val="00472FF3"/>
    <w:rsid w:val="004737F6"/>
    <w:rsid w:val="004757CB"/>
    <w:rsid w:val="00475EC2"/>
    <w:rsid w:val="00480147"/>
    <w:rsid w:val="004806B5"/>
    <w:rsid w:val="00483AC7"/>
    <w:rsid w:val="00483CFD"/>
    <w:rsid w:val="00487FF5"/>
    <w:rsid w:val="0049053E"/>
    <w:rsid w:val="004929E1"/>
    <w:rsid w:val="004932DD"/>
    <w:rsid w:val="004939D7"/>
    <w:rsid w:val="004941F3"/>
    <w:rsid w:val="004944E4"/>
    <w:rsid w:val="004949C4"/>
    <w:rsid w:val="00494E0E"/>
    <w:rsid w:val="004A097B"/>
    <w:rsid w:val="004A15B1"/>
    <w:rsid w:val="004A15C3"/>
    <w:rsid w:val="004A3309"/>
    <w:rsid w:val="004A36C7"/>
    <w:rsid w:val="004A4F4F"/>
    <w:rsid w:val="004A61E1"/>
    <w:rsid w:val="004A67A2"/>
    <w:rsid w:val="004B002B"/>
    <w:rsid w:val="004B2FA0"/>
    <w:rsid w:val="004B4380"/>
    <w:rsid w:val="004B65B5"/>
    <w:rsid w:val="004B71B9"/>
    <w:rsid w:val="004C1DF3"/>
    <w:rsid w:val="004C220C"/>
    <w:rsid w:val="004C277F"/>
    <w:rsid w:val="004C2DB9"/>
    <w:rsid w:val="004C3223"/>
    <w:rsid w:val="004C346E"/>
    <w:rsid w:val="004C39E0"/>
    <w:rsid w:val="004C4395"/>
    <w:rsid w:val="004C4EDC"/>
    <w:rsid w:val="004C7B2A"/>
    <w:rsid w:val="004D09D9"/>
    <w:rsid w:val="004D0E29"/>
    <w:rsid w:val="004D290F"/>
    <w:rsid w:val="004D3DFF"/>
    <w:rsid w:val="004D52A3"/>
    <w:rsid w:val="004D6794"/>
    <w:rsid w:val="004D7FF9"/>
    <w:rsid w:val="004E0138"/>
    <w:rsid w:val="004E037E"/>
    <w:rsid w:val="004E0A4F"/>
    <w:rsid w:val="004E0AB8"/>
    <w:rsid w:val="004E0E5E"/>
    <w:rsid w:val="004E34D8"/>
    <w:rsid w:val="004E4D39"/>
    <w:rsid w:val="004E5749"/>
    <w:rsid w:val="004E59E1"/>
    <w:rsid w:val="004E5E5B"/>
    <w:rsid w:val="004E6A18"/>
    <w:rsid w:val="004E7700"/>
    <w:rsid w:val="004E7EB5"/>
    <w:rsid w:val="004F10CA"/>
    <w:rsid w:val="004F1796"/>
    <w:rsid w:val="004F4B07"/>
    <w:rsid w:val="004F57E9"/>
    <w:rsid w:val="004F620E"/>
    <w:rsid w:val="005003AC"/>
    <w:rsid w:val="00500F76"/>
    <w:rsid w:val="00502721"/>
    <w:rsid w:val="00502CBD"/>
    <w:rsid w:val="00506FB1"/>
    <w:rsid w:val="00510572"/>
    <w:rsid w:val="00510DBF"/>
    <w:rsid w:val="0051190F"/>
    <w:rsid w:val="005119E8"/>
    <w:rsid w:val="005122FF"/>
    <w:rsid w:val="00513413"/>
    <w:rsid w:val="0051430E"/>
    <w:rsid w:val="005177F3"/>
    <w:rsid w:val="00524B90"/>
    <w:rsid w:val="00525663"/>
    <w:rsid w:val="00531E01"/>
    <w:rsid w:val="00532841"/>
    <w:rsid w:val="005335FF"/>
    <w:rsid w:val="00534694"/>
    <w:rsid w:val="00534B2D"/>
    <w:rsid w:val="00534B56"/>
    <w:rsid w:val="00543FC0"/>
    <w:rsid w:val="00546488"/>
    <w:rsid w:val="005472DE"/>
    <w:rsid w:val="00547F18"/>
    <w:rsid w:val="00552A6F"/>
    <w:rsid w:val="00565196"/>
    <w:rsid w:val="00565DE9"/>
    <w:rsid w:val="00565FB5"/>
    <w:rsid w:val="005675A9"/>
    <w:rsid w:val="00567973"/>
    <w:rsid w:val="00570384"/>
    <w:rsid w:val="00571157"/>
    <w:rsid w:val="0057160C"/>
    <w:rsid w:val="0057177E"/>
    <w:rsid w:val="00574181"/>
    <w:rsid w:val="00574D59"/>
    <w:rsid w:val="005762C7"/>
    <w:rsid w:val="00576621"/>
    <w:rsid w:val="005773B1"/>
    <w:rsid w:val="00580122"/>
    <w:rsid w:val="00583FEC"/>
    <w:rsid w:val="00585EB8"/>
    <w:rsid w:val="00585F8C"/>
    <w:rsid w:val="00587C2A"/>
    <w:rsid w:val="00587C2D"/>
    <w:rsid w:val="0059202B"/>
    <w:rsid w:val="00593336"/>
    <w:rsid w:val="005934D2"/>
    <w:rsid w:val="00594576"/>
    <w:rsid w:val="00594669"/>
    <w:rsid w:val="005949F7"/>
    <w:rsid w:val="005967EB"/>
    <w:rsid w:val="0059687E"/>
    <w:rsid w:val="00596A94"/>
    <w:rsid w:val="005A0DBD"/>
    <w:rsid w:val="005A5894"/>
    <w:rsid w:val="005A656E"/>
    <w:rsid w:val="005A6BA7"/>
    <w:rsid w:val="005B038A"/>
    <w:rsid w:val="005B2836"/>
    <w:rsid w:val="005B2995"/>
    <w:rsid w:val="005B35F4"/>
    <w:rsid w:val="005B45A6"/>
    <w:rsid w:val="005B729E"/>
    <w:rsid w:val="005B7642"/>
    <w:rsid w:val="005C055C"/>
    <w:rsid w:val="005C0FEB"/>
    <w:rsid w:val="005C1887"/>
    <w:rsid w:val="005C1A17"/>
    <w:rsid w:val="005C20C1"/>
    <w:rsid w:val="005C2228"/>
    <w:rsid w:val="005C613E"/>
    <w:rsid w:val="005C645B"/>
    <w:rsid w:val="005C6472"/>
    <w:rsid w:val="005C659A"/>
    <w:rsid w:val="005C7315"/>
    <w:rsid w:val="005C74EB"/>
    <w:rsid w:val="005C77A0"/>
    <w:rsid w:val="005D0B8D"/>
    <w:rsid w:val="005D1D48"/>
    <w:rsid w:val="005D2B73"/>
    <w:rsid w:val="005D2DEA"/>
    <w:rsid w:val="005E0061"/>
    <w:rsid w:val="005E070A"/>
    <w:rsid w:val="005E2138"/>
    <w:rsid w:val="005E2D75"/>
    <w:rsid w:val="005E3790"/>
    <w:rsid w:val="005F0349"/>
    <w:rsid w:val="005F07D3"/>
    <w:rsid w:val="005F2171"/>
    <w:rsid w:val="005F2AC8"/>
    <w:rsid w:val="005F3569"/>
    <w:rsid w:val="005F4633"/>
    <w:rsid w:val="0060050F"/>
    <w:rsid w:val="0060080A"/>
    <w:rsid w:val="006015C0"/>
    <w:rsid w:val="00601B63"/>
    <w:rsid w:val="006039D0"/>
    <w:rsid w:val="0060504E"/>
    <w:rsid w:val="00610278"/>
    <w:rsid w:val="00612918"/>
    <w:rsid w:val="00613B51"/>
    <w:rsid w:val="0061409F"/>
    <w:rsid w:val="00614FAB"/>
    <w:rsid w:val="00615D86"/>
    <w:rsid w:val="006161C2"/>
    <w:rsid w:val="00616369"/>
    <w:rsid w:val="00617D6B"/>
    <w:rsid w:val="006225DE"/>
    <w:rsid w:val="00625734"/>
    <w:rsid w:val="006263F0"/>
    <w:rsid w:val="006270E0"/>
    <w:rsid w:val="00630C93"/>
    <w:rsid w:val="00631E16"/>
    <w:rsid w:val="00632866"/>
    <w:rsid w:val="00633161"/>
    <w:rsid w:val="00633DF1"/>
    <w:rsid w:val="006354BE"/>
    <w:rsid w:val="00636AFC"/>
    <w:rsid w:val="00637759"/>
    <w:rsid w:val="00637BDD"/>
    <w:rsid w:val="00644FE4"/>
    <w:rsid w:val="006473C1"/>
    <w:rsid w:val="00650668"/>
    <w:rsid w:val="00651656"/>
    <w:rsid w:val="00654C4B"/>
    <w:rsid w:val="00654F42"/>
    <w:rsid w:val="00655622"/>
    <w:rsid w:val="006560E0"/>
    <w:rsid w:val="00656305"/>
    <w:rsid w:val="00656B4D"/>
    <w:rsid w:val="00656BDB"/>
    <w:rsid w:val="006575C7"/>
    <w:rsid w:val="00660577"/>
    <w:rsid w:val="00660D4E"/>
    <w:rsid w:val="0066136B"/>
    <w:rsid w:val="006627F0"/>
    <w:rsid w:val="006657AE"/>
    <w:rsid w:val="006665B2"/>
    <w:rsid w:val="0066689C"/>
    <w:rsid w:val="006701BC"/>
    <w:rsid w:val="00670EC2"/>
    <w:rsid w:val="00672770"/>
    <w:rsid w:val="00673C65"/>
    <w:rsid w:val="0067432E"/>
    <w:rsid w:val="0067436E"/>
    <w:rsid w:val="00675141"/>
    <w:rsid w:val="0067695B"/>
    <w:rsid w:val="006810D0"/>
    <w:rsid w:val="006813B1"/>
    <w:rsid w:val="00682914"/>
    <w:rsid w:val="00684A5E"/>
    <w:rsid w:val="006850F5"/>
    <w:rsid w:val="00686221"/>
    <w:rsid w:val="00690982"/>
    <w:rsid w:val="00690C39"/>
    <w:rsid w:val="00691B6F"/>
    <w:rsid w:val="00692A00"/>
    <w:rsid w:val="00693399"/>
    <w:rsid w:val="006A0B55"/>
    <w:rsid w:val="006A1838"/>
    <w:rsid w:val="006A1904"/>
    <w:rsid w:val="006A3ACA"/>
    <w:rsid w:val="006A5306"/>
    <w:rsid w:val="006A5EC8"/>
    <w:rsid w:val="006B11C2"/>
    <w:rsid w:val="006B313C"/>
    <w:rsid w:val="006B4346"/>
    <w:rsid w:val="006B5997"/>
    <w:rsid w:val="006B600C"/>
    <w:rsid w:val="006B6EE5"/>
    <w:rsid w:val="006B7D2B"/>
    <w:rsid w:val="006C3B8A"/>
    <w:rsid w:val="006C4B1F"/>
    <w:rsid w:val="006C587D"/>
    <w:rsid w:val="006C6F6C"/>
    <w:rsid w:val="006C7E76"/>
    <w:rsid w:val="006D2325"/>
    <w:rsid w:val="006D2F7F"/>
    <w:rsid w:val="006D30B7"/>
    <w:rsid w:val="006D30CE"/>
    <w:rsid w:val="006D30F4"/>
    <w:rsid w:val="006D517B"/>
    <w:rsid w:val="006D560F"/>
    <w:rsid w:val="006D7657"/>
    <w:rsid w:val="006D78DF"/>
    <w:rsid w:val="006E0417"/>
    <w:rsid w:val="006E07EE"/>
    <w:rsid w:val="006E56A4"/>
    <w:rsid w:val="006E6D07"/>
    <w:rsid w:val="006F020C"/>
    <w:rsid w:val="006F1D15"/>
    <w:rsid w:val="006F4860"/>
    <w:rsid w:val="006F4A8B"/>
    <w:rsid w:val="006F5C04"/>
    <w:rsid w:val="006F7014"/>
    <w:rsid w:val="00700696"/>
    <w:rsid w:val="00700FA7"/>
    <w:rsid w:val="00701EE7"/>
    <w:rsid w:val="00702945"/>
    <w:rsid w:val="00703623"/>
    <w:rsid w:val="00710845"/>
    <w:rsid w:val="00712A25"/>
    <w:rsid w:val="00713CE0"/>
    <w:rsid w:val="00714A39"/>
    <w:rsid w:val="007155A0"/>
    <w:rsid w:val="00717E76"/>
    <w:rsid w:val="00721FC7"/>
    <w:rsid w:val="00724BE4"/>
    <w:rsid w:val="00727A16"/>
    <w:rsid w:val="007306EE"/>
    <w:rsid w:val="00733037"/>
    <w:rsid w:val="00734039"/>
    <w:rsid w:val="007343F0"/>
    <w:rsid w:val="00735655"/>
    <w:rsid w:val="007455E0"/>
    <w:rsid w:val="007471CE"/>
    <w:rsid w:val="00751F83"/>
    <w:rsid w:val="00753E71"/>
    <w:rsid w:val="00754D4A"/>
    <w:rsid w:val="00755FED"/>
    <w:rsid w:val="007562BF"/>
    <w:rsid w:val="00757FCF"/>
    <w:rsid w:val="00760A6E"/>
    <w:rsid w:val="00760F9C"/>
    <w:rsid w:val="00760FB1"/>
    <w:rsid w:val="00762EC4"/>
    <w:rsid w:val="00763DE2"/>
    <w:rsid w:val="0076557F"/>
    <w:rsid w:val="0076672E"/>
    <w:rsid w:val="00767CD7"/>
    <w:rsid w:val="00767EAF"/>
    <w:rsid w:val="00770FDA"/>
    <w:rsid w:val="007713B3"/>
    <w:rsid w:val="00772BA5"/>
    <w:rsid w:val="00775C66"/>
    <w:rsid w:val="0077668C"/>
    <w:rsid w:val="00777964"/>
    <w:rsid w:val="00780263"/>
    <w:rsid w:val="0078093C"/>
    <w:rsid w:val="00781D97"/>
    <w:rsid w:val="00782491"/>
    <w:rsid w:val="00783924"/>
    <w:rsid w:val="00783BF0"/>
    <w:rsid w:val="007843E1"/>
    <w:rsid w:val="00785291"/>
    <w:rsid w:val="007858B9"/>
    <w:rsid w:val="00785EBF"/>
    <w:rsid w:val="0078773B"/>
    <w:rsid w:val="007900D7"/>
    <w:rsid w:val="00790788"/>
    <w:rsid w:val="0079141A"/>
    <w:rsid w:val="00793100"/>
    <w:rsid w:val="007937F7"/>
    <w:rsid w:val="00794DBB"/>
    <w:rsid w:val="0079740C"/>
    <w:rsid w:val="007A0276"/>
    <w:rsid w:val="007A1FAC"/>
    <w:rsid w:val="007A3FF9"/>
    <w:rsid w:val="007A6F0D"/>
    <w:rsid w:val="007A7794"/>
    <w:rsid w:val="007A7FFB"/>
    <w:rsid w:val="007B0EB1"/>
    <w:rsid w:val="007B12BD"/>
    <w:rsid w:val="007B2826"/>
    <w:rsid w:val="007B3877"/>
    <w:rsid w:val="007B6A4C"/>
    <w:rsid w:val="007B6F54"/>
    <w:rsid w:val="007B6FFB"/>
    <w:rsid w:val="007B7D44"/>
    <w:rsid w:val="007C037D"/>
    <w:rsid w:val="007C15F9"/>
    <w:rsid w:val="007C30D2"/>
    <w:rsid w:val="007C3D4D"/>
    <w:rsid w:val="007C3D95"/>
    <w:rsid w:val="007C44EA"/>
    <w:rsid w:val="007C557F"/>
    <w:rsid w:val="007C6B19"/>
    <w:rsid w:val="007C7B92"/>
    <w:rsid w:val="007C7F25"/>
    <w:rsid w:val="007D0B46"/>
    <w:rsid w:val="007D15C4"/>
    <w:rsid w:val="007D19E3"/>
    <w:rsid w:val="007D1B89"/>
    <w:rsid w:val="007D32CC"/>
    <w:rsid w:val="007D6134"/>
    <w:rsid w:val="007D6176"/>
    <w:rsid w:val="007E3ACA"/>
    <w:rsid w:val="007E4D75"/>
    <w:rsid w:val="007E5421"/>
    <w:rsid w:val="007E59B4"/>
    <w:rsid w:val="007E5FD3"/>
    <w:rsid w:val="007E6C75"/>
    <w:rsid w:val="007E77F7"/>
    <w:rsid w:val="007F4976"/>
    <w:rsid w:val="007F732A"/>
    <w:rsid w:val="007F7B10"/>
    <w:rsid w:val="00801D42"/>
    <w:rsid w:val="0080316F"/>
    <w:rsid w:val="00803972"/>
    <w:rsid w:val="0080710A"/>
    <w:rsid w:val="00807B4F"/>
    <w:rsid w:val="00810237"/>
    <w:rsid w:val="008102BC"/>
    <w:rsid w:val="00810884"/>
    <w:rsid w:val="00810991"/>
    <w:rsid w:val="00810DB7"/>
    <w:rsid w:val="00811645"/>
    <w:rsid w:val="008122F5"/>
    <w:rsid w:val="00813209"/>
    <w:rsid w:val="00813628"/>
    <w:rsid w:val="008147C9"/>
    <w:rsid w:val="008153A3"/>
    <w:rsid w:val="00822D10"/>
    <w:rsid w:val="008248AB"/>
    <w:rsid w:val="00825E20"/>
    <w:rsid w:val="00826182"/>
    <w:rsid w:val="008276D4"/>
    <w:rsid w:val="00831148"/>
    <w:rsid w:val="00834BBF"/>
    <w:rsid w:val="00835356"/>
    <w:rsid w:val="008367F3"/>
    <w:rsid w:val="00840D38"/>
    <w:rsid w:val="00843ED4"/>
    <w:rsid w:val="008444FE"/>
    <w:rsid w:val="00846635"/>
    <w:rsid w:val="008474A0"/>
    <w:rsid w:val="00850426"/>
    <w:rsid w:val="00850B0A"/>
    <w:rsid w:val="0085106B"/>
    <w:rsid w:val="00851E6F"/>
    <w:rsid w:val="008521DF"/>
    <w:rsid w:val="008523EF"/>
    <w:rsid w:val="0085425F"/>
    <w:rsid w:val="008548ED"/>
    <w:rsid w:val="008553B9"/>
    <w:rsid w:val="00856940"/>
    <w:rsid w:val="0086087E"/>
    <w:rsid w:val="00861B1C"/>
    <w:rsid w:val="00862084"/>
    <w:rsid w:val="00862489"/>
    <w:rsid w:val="00862DDF"/>
    <w:rsid w:val="008677AD"/>
    <w:rsid w:val="00870F95"/>
    <w:rsid w:val="00871DFC"/>
    <w:rsid w:val="0087519C"/>
    <w:rsid w:val="00875F69"/>
    <w:rsid w:val="008812E9"/>
    <w:rsid w:val="00882EBA"/>
    <w:rsid w:val="0088410E"/>
    <w:rsid w:val="00884F11"/>
    <w:rsid w:val="0088613C"/>
    <w:rsid w:val="00886B51"/>
    <w:rsid w:val="00886B79"/>
    <w:rsid w:val="00886FB9"/>
    <w:rsid w:val="00890E5E"/>
    <w:rsid w:val="00892451"/>
    <w:rsid w:val="00892673"/>
    <w:rsid w:val="0089295C"/>
    <w:rsid w:val="00895C4A"/>
    <w:rsid w:val="0089605E"/>
    <w:rsid w:val="0089621D"/>
    <w:rsid w:val="0089691D"/>
    <w:rsid w:val="008A1A9B"/>
    <w:rsid w:val="008A1D0F"/>
    <w:rsid w:val="008A2F1C"/>
    <w:rsid w:val="008A4806"/>
    <w:rsid w:val="008A4DC2"/>
    <w:rsid w:val="008A53AE"/>
    <w:rsid w:val="008A5AF9"/>
    <w:rsid w:val="008A755C"/>
    <w:rsid w:val="008B03D2"/>
    <w:rsid w:val="008B0E3C"/>
    <w:rsid w:val="008B0F6F"/>
    <w:rsid w:val="008B2BCE"/>
    <w:rsid w:val="008B4A80"/>
    <w:rsid w:val="008B6811"/>
    <w:rsid w:val="008C0BF0"/>
    <w:rsid w:val="008C0CDB"/>
    <w:rsid w:val="008C0ED1"/>
    <w:rsid w:val="008C14F1"/>
    <w:rsid w:val="008C15B6"/>
    <w:rsid w:val="008C3B4B"/>
    <w:rsid w:val="008C4CEA"/>
    <w:rsid w:val="008C51AB"/>
    <w:rsid w:val="008C5965"/>
    <w:rsid w:val="008C5E3E"/>
    <w:rsid w:val="008C6062"/>
    <w:rsid w:val="008C6A37"/>
    <w:rsid w:val="008C7618"/>
    <w:rsid w:val="008C7A22"/>
    <w:rsid w:val="008D16DC"/>
    <w:rsid w:val="008D710A"/>
    <w:rsid w:val="008E22E3"/>
    <w:rsid w:val="008E3D22"/>
    <w:rsid w:val="008E4F6C"/>
    <w:rsid w:val="008E55B9"/>
    <w:rsid w:val="008E7140"/>
    <w:rsid w:val="008F3397"/>
    <w:rsid w:val="008F39D1"/>
    <w:rsid w:val="008F3C91"/>
    <w:rsid w:val="008F4979"/>
    <w:rsid w:val="008F4CF4"/>
    <w:rsid w:val="008F6809"/>
    <w:rsid w:val="008F6F36"/>
    <w:rsid w:val="008F7C70"/>
    <w:rsid w:val="009007D6"/>
    <w:rsid w:val="009056A3"/>
    <w:rsid w:val="00910B96"/>
    <w:rsid w:val="00911155"/>
    <w:rsid w:val="00913189"/>
    <w:rsid w:val="00913600"/>
    <w:rsid w:val="0091579D"/>
    <w:rsid w:val="00916586"/>
    <w:rsid w:val="00916E08"/>
    <w:rsid w:val="00920C0C"/>
    <w:rsid w:val="009211FA"/>
    <w:rsid w:val="009216EA"/>
    <w:rsid w:val="00921813"/>
    <w:rsid w:val="00923B92"/>
    <w:rsid w:val="00926A1D"/>
    <w:rsid w:val="00927300"/>
    <w:rsid w:val="009313C2"/>
    <w:rsid w:val="00933120"/>
    <w:rsid w:val="00934049"/>
    <w:rsid w:val="00935C49"/>
    <w:rsid w:val="00936A25"/>
    <w:rsid w:val="00941EB2"/>
    <w:rsid w:val="00942F84"/>
    <w:rsid w:val="00944671"/>
    <w:rsid w:val="00946064"/>
    <w:rsid w:val="00947D4B"/>
    <w:rsid w:val="0095155B"/>
    <w:rsid w:val="00952659"/>
    <w:rsid w:val="009552D1"/>
    <w:rsid w:val="00957085"/>
    <w:rsid w:val="00957300"/>
    <w:rsid w:val="009600E5"/>
    <w:rsid w:val="00961A00"/>
    <w:rsid w:val="00962A75"/>
    <w:rsid w:val="00963183"/>
    <w:rsid w:val="0096508C"/>
    <w:rsid w:val="00965D16"/>
    <w:rsid w:val="00965DA8"/>
    <w:rsid w:val="0096630A"/>
    <w:rsid w:val="00967F64"/>
    <w:rsid w:val="0097164A"/>
    <w:rsid w:val="0097223C"/>
    <w:rsid w:val="00972796"/>
    <w:rsid w:val="00972AA4"/>
    <w:rsid w:val="0097608B"/>
    <w:rsid w:val="00976D09"/>
    <w:rsid w:val="00976E53"/>
    <w:rsid w:val="00977748"/>
    <w:rsid w:val="00977BA2"/>
    <w:rsid w:val="00982AB0"/>
    <w:rsid w:val="009832E5"/>
    <w:rsid w:val="00985C56"/>
    <w:rsid w:val="00986D16"/>
    <w:rsid w:val="00990892"/>
    <w:rsid w:val="009919A9"/>
    <w:rsid w:val="00991A65"/>
    <w:rsid w:val="00992CED"/>
    <w:rsid w:val="009A13D0"/>
    <w:rsid w:val="009A3305"/>
    <w:rsid w:val="009A38FC"/>
    <w:rsid w:val="009A390F"/>
    <w:rsid w:val="009A4BBD"/>
    <w:rsid w:val="009A7516"/>
    <w:rsid w:val="009A7B0B"/>
    <w:rsid w:val="009B0507"/>
    <w:rsid w:val="009B0C95"/>
    <w:rsid w:val="009B1F10"/>
    <w:rsid w:val="009B21A5"/>
    <w:rsid w:val="009B30B8"/>
    <w:rsid w:val="009B693B"/>
    <w:rsid w:val="009B7406"/>
    <w:rsid w:val="009C1CD0"/>
    <w:rsid w:val="009C375F"/>
    <w:rsid w:val="009C3ECB"/>
    <w:rsid w:val="009C4816"/>
    <w:rsid w:val="009C49DC"/>
    <w:rsid w:val="009C58D2"/>
    <w:rsid w:val="009C5922"/>
    <w:rsid w:val="009C7207"/>
    <w:rsid w:val="009C7F78"/>
    <w:rsid w:val="009D032E"/>
    <w:rsid w:val="009D19EF"/>
    <w:rsid w:val="009D4184"/>
    <w:rsid w:val="009D46A8"/>
    <w:rsid w:val="009D49C4"/>
    <w:rsid w:val="009D5BE2"/>
    <w:rsid w:val="009D794D"/>
    <w:rsid w:val="009E0285"/>
    <w:rsid w:val="009E132F"/>
    <w:rsid w:val="009E2B85"/>
    <w:rsid w:val="009E36FD"/>
    <w:rsid w:val="009E4D89"/>
    <w:rsid w:val="009E5B15"/>
    <w:rsid w:val="009E5C7E"/>
    <w:rsid w:val="009E62C3"/>
    <w:rsid w:val="009E694E"/>
    <w:rsid w:val="009E7675"/>
    <w:rsid w:val="009E769B"/>
    <w:rsid w:val="009F0555"/>
    <w:rsid w:val="009F2BEC"/>
    <w:rsid w:val="009F5E69"/>
    <w:rsid w:val="009F7A88"/>
    <w:rsid w:val="009F7D6F"/>
    <w:rsid w:val="009F7DE9"/>
    <w:rsid w:val="009F7EA5"/>
    <w:rsid w:val="00A00DEB"/>
    <w:rsid w:val="00A01ABB"/>
    <w:rsid w:val="00A02BEE"/>
    <w:rsid w:val="00A057BF"/>
    <w:rsid w:val="00A07C4F"/>
    <w:rsid w:val="00A1320E"/>
    <w:rsid w:val="00A14ABE"/>
    <w:rsid w:val="00A158D3"/>
    <w:rsid w:val="00A160C7"/>
    <w:rsid w:val="00A172D3"/>
    <w:rsid w:val="00A21CE9"/>
    <w:rsid w:val="00A226E3"/>
    <w:rsid w:val="00A24BF0"/>
    <w:rsid w:val="00A24D7C"/>
    <w:rsid w:val="00A25B41"/>
    <w:rsid w:val="00A26333"/>
    <w:rsid w:val="00A26A3C"/>
    <w:rsid w:val="00A26B77"/>
    <w:rsid w:val="00A30D9B"/>
    <w:rsid w:val="00A31882"/>
    <w:rsid w:val="00A3257B"/>
    <w:rsid w:val="00A3281C"/>
    <w:rsid w:val="00A3398F"/>
    <w:rsid w:val="00A3550B"/>
    <w:rsid w:val="00A363D1"/>
    <w:rsid w:val="00A36988"/>
    <w:rsid w:val="00A41FCD"/>
    <w:rsid w:val="00A4258C"/>
    <w:rsid w:val="00A4497E"/>
    <w:rsid w:val="00A45593"/>
    <w:rsid w:val="00A465C8"/>
    <w:rsid w:val="00A46A49"/>
    <w:rsid w:val="00A46C9F"/>
    <w:rsid w:val="00A47A69"/>
    <w:rsid w:val="00A50362"/>
    <w:rsid w:val="00A5190E"/>
    <w:rsid w:val="00A523CE"/>
    <w:rsid w:val="00A53B11"/>
    <w:rsid w:val="00A569AE"/>
    <w:rsid w:val="00A609C2"/>
    <w:rsid w:val="00A6239A"/>
    <w:rsid w:val="00A64854"/>
    <w:rsid w:val="00A64C65"/>
    <w:rsid w:val="00A6634D"/>
    <w:rsid w:val="00A707B7"/>
    <w:rsid w:val="00A71644"/>
    <w:rsid w:val="00A721F9"/>
    <w:rsid w:val="00A7264F"/>
    <w:rsid w:val="00A75131"/>
    <w:rsid w:val="00A75575"/>
    <w:rsid w:val="00A75CE3"/>
    <w:rsid w:val="00A76FF3"/>
    <w:rsid w:val="00A7768B"/>
    <w:rsid w:val="00A807BF"/>
    <w:rsid w:val="00A8083D"/>
    <w:rsid w:val="00A82A1F"/>
    <w:rsid w:val="00A8339B"/>
    <w:rsid w:val="00A905FC"/>
    <w:rsid w:val="00A90626"/>
    <w:rsid w:val="00A90DA3"/>
    <w:rsid w:val="00A914D0"/>
    <w:rsid w:val="00A93F02"/>
    <w:rsid w:val="00A9696D"/>
    <w:rsid w:val="00AA0732"/>
    <w:rsid w:val="00AA3EB7"/>
    <w:rsid w:val="00AA5193"/>
    <w:rsid w:val="00AA5FB1"/>
    <w:rsid w:val="00AA6CC9"/>
    <w:rsid w:val="00AA6FFF"/>
    <w:rsid w:val="00AA7658"/>
    <w:rsid w:val="00AB13B2"/>
    <w:rsid w:val="00AB1D47"/>
    <w:rsid w:val="00AB2D5C"/>
    <w:rsid w:val="00AB3252"/>
    <w:rsid w:val="00AB480D"/>
    <w:rsid w:val="00AB52A7"/>
    <w:rsid w:val="00AC0672"/>
    <w:rsid w:val="00AC0DA2"/>
    <w:rsid w:val="00AC3371"/>
    <w:rsid w:val="00AC468C"/>
    <w:rsid w:val="00AC546A"/>
    <w:rsid w:val="00AC57A6"/>
    <w:rsid w:val="00AC6541"/>
    <w:rsid w:val="00AC7DC6"/>
    <w:rsid w:val="00AD146B"/>
    <w:rsid w:val="00AD2142"/>
    <w:rsid w:val="00AD2AB9"/>
    <w:rsid w:val="00AD330A"/>
    <w:rsid w:val="00AD4287"/>
    <w:rsid w:val="00AD4658"/>
    <w:rsid w:val="00AD7460"/>
    <w:rsid w:val="00AE5BAB"/>
    <w:rsid w:val="00AE60B8"/>
    <w:rsid w:val="00AE7657"/>
    <w:rsid w:val="00AE7795"/>
    <w:rsid w:val="00AE7C1E"/>
    <w:rsid w:val="00AF1336"/>
    <w:rsid w:val="00AF1AE3"/>
    <w:rsid w:val="00AF4190"/>
    <w:rsid w:val="00AF4E9E"/>
    <w:rsid w:val="00AF54AC"/>
    <w:rsid w:val="00AF662A"/>
    <w:rsid w:val="00B00220"/>
    <w:rsid w:val="00B005E6"/>
    <w:rsid w:val="00B01837"/>
    <w:rsid w:val="00B037EE"/>
    <w:rsid w:val="00B0436C"/>
    <w:rsid w:val="00B04835"/>
    <w:rsid w:val="00B05CE3"/>
    <w:rsid w:val="00B0799B"/>
    <w:rsid w:val="00B07AC6"/>
    <w:rsid w:val="00B119CD"/>
    <w:rsid w:val="00B11BD4"/>
    <w:rsid w:val="00B11FC0"/>
    <w:rsid w:val="00B12707"/>
    <w:rsid w:val="00B1498D"/>
    <w:rsid w:val="00B17A23"/>
    <w:rsid w:val="00B17A2C"/>
    <w:rsid w:val="00B211A0"/>
    <w:rsid w:val="00B23051"/>
    <w:rsid w:val="00B231C3"/>
    <w:rsid w:val="00B23FD0"/>
    <w:rsid w:val="00B241B5"/>
    <w:rsid w:val="00B243B6"/>
    <w:rsid w:val="00B245A9"/>
    <w:rsid w:val="00B2658C"/>
    <w:rsid w:val="00B26F0F"/>
    <w:rsid w:val="00B271F7"/>
    <w:rsid w:val="00B27785"/>
    <w:rsid w:val="00B311B4"/>
    <w:rsid w:val="00B31984"/>
    <w:rsid w:val="00B354EF"/>
    <w:rsid w:val="00B40470"/>
    <w:rsid w:val="00B40DDC"/>
    <w:rsid w:val="00B41393"/>
    <w:rsid w:val="00B4268D"/>
    <w:rsid w:val="00B42F76"/>
    <w:rsid w:val="00B43494"/>
    <w:rsid w:val="00B45DAC"/>
    <w:rsid w:val="00B45EA7"/>
    <w:rsid w:val="00B4736C"/>
    <w:rsid w:val="00B4763F"/>
    <w:rsid w:val="00B503CD"/>
    <w:rsid w:val="00B53F5B"/>
    <w:rsid w:val="00B5601A"/>
    <w:rsid w:val="00B566A0"/>
    <w:rsid w:val="00B5777D"/>
    <w:rsid w:val="00B60468"/>
    <w:rsid w:val="00B61062"/>
    <w:rsid w:val="00B6167C"/>
    <w:rsid w:val="00B62209"/>
    <w:rsid w:val="00B6280B"/>
    <w:rsid w:val="00B62FCF"/>
    <w:rsid w:val="00B63BDC"/>
    <w:rsid w:val="00B644D2"/>
    <w:rsid w:val="00B66046"/>
    <w:rsid w:val="00B66B09"/>
    <w:rsid w:val="00B701E8"/>
    <w:rsid w:val="00B70979"/>
    <w:rsid w:val="00B71A6C"/>
    <w:rsid w:val="00B722FB"/>
    <w:rsid w:val="00B72BDA"/>
    <w:rsid w:val="00B7307A"/>
    <w:rsid w:val="00B74257"/>
    <w:rsid w:val="00B7635F"/>
    <w:rsid w:val="00B763A7"/>
    <w:rsid w:val="00B778E3"/>
    <w:rsid w:val="00B80697"/>
    <w:rsid w:val="00B8164F"/>
    <w:rsid w:val="00B82978"/>
    <w:rsid w:val="00B82FC9"/>
    <w:rsid w:val="00B85009"/>
    <w:rsid w:val="00B8588C"/>
    <w:rsid w:val="00B91D1E"/>
    <w:rsid w:val="00B928F9"/>
    <w:rsid w:val="00B92E97"/>
    <w:rsid w:val="00B94A3A"/>
    <w:rsid w:val="00B97264"/>
    <w:rsid w:val="00BA10D3"/>
    <w:rsid w:val="00BA11DD"/>
    <w:rsid w:val="00BA1D1D"/>
    <w:rsid w:val="00BA1D54"/>
    <w:rsid w:val="00BA44B4"/>
    <w:rsid w:val="00BA589D"/>
    <w:rsid w:val="00BA5D82"/>
    <w:rsid w:val="00BA72DF"/>
    <w:rsid w:val="00BB0339"/>
    <w:rsid w:val="00BB26BF"/>
    <w:rsid w:val="00BB2B73"/>
    <w:rsid w:val="00BB3FC3"/>
    <w:rsid w:val="00BB46F3"/>
    <w:rsid w:val="00BB4BA0"/>
    <w:rsid w:val="00BB57D1"/>
    <w:rsid w:val="00BB6D28"/>
    <w:rsid w:val="00BB76EF"/>
    <w:rsid w:val="00BC086C"/>
    <w:rsid w:val="00BC1870"/>
    <w:rsid w:val="00BC217F"/>
    <w:rsid w:val="00BC4023"/>
    <w:rsid w:val="00BC4952"/>
    <w:rsid w:val="00BC58C2"/>
    <w:rsid w:val="00BC5996"/>
    <w:rsid w:val="00BD1297"/>
    <w:rsid w:val="00BD14DF"/>
    <w:rsid w:val="00BD22E1"/>
    <w:rsid w:val="00BD42A4"/>
    <w:rsid w:val="00BD450D"/>
    <w:rsid w:val="00BD70A6"/>
    <w:rsid w:val="00BE0057"/>
    <w:rsid w:val="00BE0AA0"/>
    <w:rsid w:val="00BE0F3A"/>
    <w:rsid w:val="00BE1625"/>
    <w:rsid w:val="00BE1A54"/>
    <w:rsid w:val="00BE5E2D"/>
    <w:rsid w:val="00BF0CAA"/>
    <w:rsid w:val="00BF17A7"/>
    <w:rsid w:val="00BF1BC5"/>
    <w:rsid w:val="00BF1C77"/>
    <w:rsid w:val="00BF1CC7"/>
    <w:rsid w:val="00BF1E87"/>
    <w:rsid w:val="00BF3AD1"/>
    <w:rsid w:val="00BF5A3E"/>
    <w:rsid w:val="00BF63D8"/>
    <w:rsid w:val="00BF66AA"/>
    <w:rsid w:val="00BF7756"/>
    <w:rsid w:val="00C00EF7"/>
    <w:rsid w:val="00C03949"/>
    <w:rsid w:val="00C05A35"/>
    <w:rsid w:val="00C0714A"/>
    <w:rsid w:val="00C07D04"/>
    <w:rsid w:val="00C10414"/>
    <w:rsid w:val="00C112BC"/>
    <w:rsid w:val="00C138A4"/>
    <w:rsid w:val="00C13FB7"/>
    <w:rsid w:val="00C14D2B"/>
    <w:rsid w:val="00C153BB"/>
    <w:rsid w:val="00C1575C"/>
    <w:rsid w:val="00C2046B"/>
    <w:rsid w:val="00C20CF5"/>
    <w:rsid w:val="00C2186F"/>
    <w:rsid w:val="00C21E0F"/>
    <w:rsid w:val="00C2216B"/>
    <w:rsid w:val="00C24DCF"/>
    <w:rsid w:val="00C25CCC"/>
    <w:rsid w:val="00C261A9"/>
    <w:rsid w:val="00C26231"/>
    <w:rsid w:val="00C269C5"/>
    <w:rsid w:val="00C304CC"/>
    <w:rsid w:val="00C31952"/>
    <w:rsid w:val="00C33E3D"/>
    <w:rsid w:val="00C34C07"/>
    <w:rsid w:val="00C352F2"/>
    <w:rsid w:val="00C35DF2"/>
    <w:rsid w:val="00C36BBD"/>
    <w:rsid w:val="00C373A3"/>
    <w:rsid w:val="00C4162C"/>
    <w:rsid w:val="00C429C3"/>
    <w:rsid w:val="00C4560A"/>
    <w:rsid w:val="00C5081C"/>
    <w:rsid w:val="00C50A83"/>
    <w:rsid w:val="00C52A6A"/>
    <w:rsid w:val="00C5410E"/>
    <w:rsid w:val="00C56BAC"/>
    <w:rsid w:val="00C570ED"/>
    <w:rsid w:val="00C60827"/>
    <w:rsid w:val="00C610E5"/>
    <w:rsid w:val="00C616AF"/>
    <w:rsid w:val="00C63912"/>
    <w:rsid w:val="00C653C0"/>
    <w:rsid w:val="00C65674"/>
    <w:rsid w:val="00C65CCC"/>
    <w:rsid w:val="00C70232"/>
    <w:rsid w:val="00C7072D"/>
    <w:rsid w:val="00C70793"/>
    <w:rsid w:val="00C7166F"/>
    <w:rsid w:val="00C725AF"/>
    <w:rsid w:val="00C72946"/>
    <w:rsid w:val="00C74DBF"/>
    <w:rsid w:val="00C76183"/>
    <w:rsid w:val="00C77A25"/>
    <w:rsid w:val="00C81209"/>
    <w:rsid w:val="00C8668F"/>
    <w:rsid w:val="00C86CA8"/>
    <w:rsid w:val="00C9094B"/>
    <w:rsid w:val="00C91D49"/>
    <w:rsid w:val="00C92987"/>
    <w:rsid w:val="00C92C24"/>
    <w:rsid w:val="00C950E8"/>
    <w:rsid w:val="00C9539C"/>
    <w:rsid w:val="00C95736"/>
    <w:rsid w:val="00C96C7E"/>
    <w:rsid w:val="00C978ED"/>
    <w:rsid w:val="00C97B1B"/>
    <w:rsid w:val="00C97DA2"/>
    <w:rsid w:val="00CA0E97"/>
    <w:rsid w:val="00CA0FF3"/>
    <w:rsid w:val="00CA4C00"/>
    <w:rsid w:val="00CA527A"/>
    <w:rsid w:val="00CA5FA3"/>
    <w:rsid w:val="00CB0329"/>
    <w:rsid w:val="00CB30EC"/>
    <w:rsid w:val="00CB4CC0"/>
    <w:rsid w:val="00CB5B26"/>
    <w:rsid w:val="00CB7EDC"/>
    <w:rsid w:val="00CC189F"/>
    <w:rsid w:val="00CC3A17"/>
    <w:rsid w:val="00CC43C2"/>
    <w:rsid w:val="00CC536F"/>
    <w:rsid w:val="00CC5917"/>
    <w:rsid w:val="00CC6959"/>
    <w:rsid w:val="00CD4B53"/>
    <w:rsid w:val="00CE06A8"/>
    <w:rsid w:val="00CE0E65"/>
    <w:rsid w:val="00CE33F4"/>
    <w:rsid w:val="00CE3B9E"/>
    <w:rsid w:val="00CE3D68"/>
    <w:rsid w:val="00CE4C89"/>
    <w:rsid w:val="00CE56D5"/>
    <w:rsid w:val="00CE6302"/>
    <w:rsid w:val="00CE6663"/>
    <w:rsid w:val="00CE787B"/>
    <w:rsid w:val="00CF0449"/>
    <w:rsid w:val="00CF0715"/>
    <w:rsid w:val="00CF107F"/>
    <w:rsid w:val="00CF2ECB"/>
    <w:rsid w:val="00CF59FD"/>
    <w:rsid w:val="00CF5F56"/>
    <w:rsid w:val="00CF7488"/>
    <w:rsid w:val="00D007A6"/>
    <w:rsid w:val="00D01A61"/>
    <w:rsid w:val="00D026D1"/>
    <w:rsid w:val="00D038B6"/>
    <w:rsid w:val="00D039CA"/>
    <w:rsid w:val="00D04CE7"/>
    <w:rsid w:val="00D05C80"/>
    <w:rsid w:val="00D11989"/>
    <w:rsid w:val="00D13FF7"/>
    <w:rsid w:val="00D15227"/>
    <w:rsid w:val="00D20A2B"/>
    <w:rsid w:val="00D2220A"/>
    <w:rsid w:val="00D22ED5"/>
    <w:rsid w:val="00D22F05"/>
    <w:rsid w:val="00D25280"/>
    <w:rsid w:val="00D25624"/>
    <w:rsid w:val="00D268AF"/>
    <w:rsid w:val="00D27B89"/>
    <w:rsid w:val="00D301EE"/>
    <w:rsid w:val="00D31297"/>
    <w:rsid w:val="00D335E6"/>
    <w:rsid w:val="00D347BA"/>
    <w:rsid w:val="00D35ECD"/>
    <w:rsid w:val="00D40955"/>
    <w:rsid w:val="00D41A59"/>
    <w:rsid w:val="00D424E5"/>
    <w:rsid w:val="00D42909"/>
    <w:rsid w:val="00D4427F"/>
    <w:rsid w:val="00D44C83"/>
    <w:rsid w:val="00D45BE9"/>
    <w:rsid w:val="00D46A75"/>
    <w:rsid w:val="00D46EB9"/>
    <w:rsid w:val="00D47E37"/>
    <w:rsid w:val="00D503B5"/>
    <w:rsid w:val="00D528C1"/>
    <w:rsid w:val="00D538A6"/>
    <w:rsid w:val="00D540CE"/>
    <w:rsid w:val="00D54285"/>
    <w:rsid w:val="00D54FD1"/>
    <w:rsid w:val="00D55658"/>
    <w:rsid w:val="00D55D4E"/>
    <w:rsid w:val="00D55FB8"/>
    <w:rsid w:val="00D56535"/>
    <w:rsid w:val="00D61D04"/>
    <w:rsid w:val="00D62350"/>
    <w:rsid w:val="00D65DBE"/>
    <w:rsid w:val="00D71AD8"/>
    <w:rsid w:val="00D72ED0"/>
    <w:rsid w:val="00D73147"/>
    <w:rsid w:val="00D73A32"/>
    <w:rsid w:val="00D75185"/>
    <w:rsid w:val="00D754C8"/>
    <w:rsid w:val="00D8042C"/>
    <w:rsid w:val="00D82AD1"/>
    <w:rsid w:val="00D82D28"/>
    <w:rsid w:val="00D834C5"/>
    <w:rsid w:val="00D83914"/>
    <w:rsid w:val="00D83E91"/>
    <w:rsid w:val="00D84970"/>
    <w:rsid w:val="00D84E87"/>
    <w:rsid w:val="00D855B3"/>
    <w:rsid w:val="00D920E2"/>
    <w:rsid w:val="00D92523"/>
    <w:rsid w:val="00D97D67"/>
    <w:rsid w:val="00DA15F1"/>
    <w:rsid w:val="00DA19D8"/>
    <w:rsid w:val="00DA2FA6"/>
    <w:rsid w:val="00DA307C"/>
    <w:rsid w:val="00DA4430"/>
    <w:rsid w:val="00DA479B"/>
    <w:rsid w:val="00DA55EC"/>
    <w:rsid w:val="00DA6866"/>
    <w:rsid w:val="00DA7CD2"/>
    <w:rsid w:val="00DB0030"/>
    <w:rsid w:val="00DB18EB"/>
    <w:rsid w:val="00DB39C7"/>
    <w:rsid w:val="00DB3E88"/>
    <w:rsid w:val="00DB7A49"/>
    <w:rsid w:val="00DC05A1"/>
    <w:rsid w:val="00DC18EF"/>
    <w:rsid w:val="00DC3702"/>
    <w:rsid w:val="00DC4632"/>
    <w:rsid w:val="00DC60DE"/>
    <w:rsid w:val="00DC64E0"/>
    <w:rsid w:val="00DD11AA"/>
    <w:rsid w:val="00DD1729"/>
    <w:rsid w:val="00DD2EF1"/>
    <w:rsid w:val="00DD375A"/>
    <w:rsid w:val="00DD7D5A"/>
    <w:rsid w:val="00DE08AB"/>
    <w:rsid w:val="00DE58FA"/>
    <w:rsid w:val="00DE5DDC"/>
    <w:rsid w:val="00DE62D9"/>
    <w:rsid w:val="00DE6EB1"/>
    <w:rsid w:val="00DF02F6"/>
    <w:rsid w:val="00DF375C"/>
    <w:rsid w:val="00DF3A63"/>
    <w:rsid w:val="00DF4625"/>
    <w:rsid w:val="00DF4970"/>
    <w:rsid w:val="00DF4AC4"/>
    <w:rsid w:val="00DF547C"/>
    <w:rsid w:val="00DF6FBE"/>
    <w:rsid w:val="00DF70F9"/>
    <w:rsid w:val="00E00105"/>
    <w:rsid w:val="00E01B80"/>
    <w:rsid w:val="00E02917"/>
    <w:rsid w:val="00E0314E"/>
    <w:rsid w:val="00E03514"/>
    <w:rsid w:val="00E03D4F"/>
    <w:rsid w:val="00E042A8"/>
    <w:rsid w:val="00E0453C"/>
    <w:rsid w:val="00E04B97"/>
    <w:rsid w:val="00E05F28"/>
    <w:rsid w:val="00E1231B"/>
    <w:rsid w:val="00E14486"/>
    <w:rsid w:val="00E15415"/>
    <w:rsid w:val="00E1557D"/>
    <w:rsid w:val="00E15E16"/>
    <w:rsid w:val="00E17FE8"/>
    <w:rsid w:val="00E17FED"/>
    <w:rsid w:val="00E2166A"/>
    <w:rsid w:val="00E22315"/>
    <w:rsid w:val="00E22EDF"/>
    <w:rsid w:val="00E23AB7"/>
    <w:rsid w:val="00E23CED"/>
    <w:rsid w:val="00E263B3"/>
    <w:rsid w:val="00E26CEB"/>
    <w:rsid w:val="00E27F04"/>
    <w:rsid w:val="00E30454"/>
    <w:rsid w:val="00E31F98"/>
    <w:rsid w:val="00E32A87"/>
    <w:rsid w:val="00E3310B"/>
    <w:rsid w:val="00E335B6"/>
    <w:rsid w:val="00E337E4"/>
    <w:rsid w:val="00E3636D"/>
    <w:rsid w:val="00E369B6"/>
    <w:rsid w:val="00E374E8"/>
    <w:rsid w:val="00E41B86"/>
    <w:rsid w:val="00E41C1F"/>
    <w:rsid w:val="00E4348D"/>
    <w:rsid w:val="00E44C19"/>
    <w:rsid w:val="00E4681A"/>
    <w:rsid w:val="00E4692F"/>
    <w:rsid w:val="00E46D44"/>
    <w:rsid w:val="00E47D65"/>
    <w:rsid w:val="00E507F1"/>
    <w:rsid w:val="00E53DA4"/>
    <w:rsid w:val="00E543FD"/>
    <w:rsid w:val="00E55A56"/>
    <w:rsid w:val="00E55AE0"/>
    <w:rsid w:val="00E56BFB"/>
    <w:rsid w:val="00E61FC1"/>
    <w:rsid w:val="00E63425"/>
    <w:rsid w:val="00E63E87"/>
    <w:rsid w:val="00E63EE6"/>
    <w:rsid w:val="00E64530"/>
    <w:rsid w:val="00E70E2B"/>
    <w:rsid w:val="00E711F9"/>
    <w:rsid w:val="00E71DDC"/>
    <w:rsid w:val="00E7285B"/>
    <w:rsid w:val="00E72CCA"/>
    <w:rsid w:val="00E753F5"/>
    <w:rsid w:val="00E75C52"/>
    <w:rsid w:val="00E75C9D"/>
    <w:rsid w:val="00E8088B"/>
    <w:rsid w:val="00E8192C"/>
    <w:rsid w:val="00E81BDD"/>
    <w:rsid w:val="00E86808"/>
    <w:rsid w:val="00E87599"/>
    <w:rsid w:val="00E87E64"/>
    <w:rsid w:val="00E916BB"/>
    <w:rsid w:val="00E93F76"/>
    <w:rsid w:val="00E940DE"/>
    <w:rsid w:val="00E940ED"/>
    <w:rsid w:val="00E94471"/>
    <w:rsid w:val="00E94B8B"/>
    <w:rsid w:val="00E95589"/>
    <w:rsid w:val="00E95955"/>
    <w:rsid w:val="00E96EB2"/>
    <w:rsid w:val="00E97A05"/>
    <w:rsid w:val="00E97EC3"/>
    <w:rsid w:val="00EA2B3C"/>
    <w:rsid w:val="00EA2D2E"/>
    <w:rsid w:val="00EA51E5"/>
    <w:rsid w:val="00EA5BC4"/>
    <w:rsid w:val="00EA625E"/>
    <w:rsid w:val="00EA694C"/>
    <w:rsid w:val="00EA7221"/>
    <w:rsid w:val="00EB0982"/>
    <w:rsid w:val="00EB0F92"/>
    <w:rsid w:val="00EB2B57"/>
    <w:rsid w:val="00EB2B90"/>
    <w:rsid w:val="00EB313B"/>
    <w:rsid w:val="00EB4FDD"/>
    <w:rsid w:val="00EB7BB8"/>
    <w:rsid w:val="00EC09BA"/>
    <w:rsid w:val="00EC2096"/>
    <w:rsid w:val="00EC353F"/>
    <w:rsid w:val="00EC3B62"/>
    <w:rsid w:val="00EC4023"/>
    <w:rsid w:val="00ED2780"/>
    <w:rsid w:val="00ED3C3C"/>
    <w:rsid w:val="00ED3E2E"/>
    <w:rsid w:val="00ED4626"/>
    <w:rsid w:val="00ED5201"/>
    <w:rsid w:val="00ED58B1"/>
    <w:rsid w:val="00EE1D37"/>
    <w:rsid w:val="00EE4698"/>
    <w:rsid w:val="00EE4FD8"/>
    <w:rsid w:val="00EE5C7A"/>
    <w:rsid w:val="00EE6114"/>
    <w:rsid w:val="00EE70BE"/>
    <w:rsid w:val="00EE79C0"/>
    <w:rsid w:val="00EF35C3"/>
    <w:rsid w:val="00EF3E40"/>
    <w:rsid w:val="00EF7589"/>
    <w:rsid w:val="00F0008B"/>
    <w:rsid w:val="00F00143"/>
    <w:rsid w:val="00F00BE3"/>
    <w:rsid w:val="00F01464"/>
    <w:rsid w:val="00F0165A"/>
    <w:rsid w:val="00F01DA9"/>
    <w:rsid w:val="00F029B1"/>
    <w:rsid w:val="00F02EFE"/>
    <w:rsid w:val="00F05DCA"/>
    <w:rsid w:val="00F0692E"/>
    <w:rsid w:val="00F1128C"/>
    <w:rsid w:val="00F11CE9"/>
    <w:rsid w:val="00F11EF3"/>
    <w:rsid w:val="00F12B5E"/>
    <w:rsid w:val="00F13E8C"/>
    <w:rsid w:val="00F16005"/>
    <w:rsid w:val="00F1601C"/>
    <w:rsid w:val="00F161CD"/>
    <w:rsid w:val="00F23C93"/>
    <w:rsid w:val="00F251C7"/>
    <w:rsid w:val="00F26A22"/>
    <w:rsid w:val="00F35039"/>
    <w:rsid w:val="00F35DFF"/>
    <w:rsid w:val="00F37419"/>
    <w:rsid w:val="00F37A65"/>
    <w:rsid w:val="00F418B9"/>
    <w:rsid w:val="00F41FEC"/>
    <w:rsid w:val="00F450E2"/>
    <w:rsid w:val="00F4540C"/>
    <w:rsid w:val="00F47612"/>
    <w:rsid w:val="00F51140"/>
    <w:rsid w:val="00F52274"/>
    <w:rsid w:val="00F52A94"/>
    <w:rsid w:val="00F52F53"/>
    <w:rsid w:val="00F52FB0"/>
    <w:rsid w:val="00F53246"/>
    <w:rsid w:val="00F60035"/>
    <w:rsid w:val="00F61AB7"/>
    <w:rsid w:val="00F634E9"/>
    <w:rsid w:val="00F6677A"/>
    <w:rsid w:val="00F703DA"/>
    <w:rsid w:val="00F70C3C"/>
    <w:rsid w:val="00F7179A"/>
    <w:rsid w:val="00F74DF5"/>
    <w:rsid w:val="00F7603D"/>
    <w:rsid w:val="00F807A4"/>
    <w:rsid w:val="00F807CC"/>
    <w:rsid w:val="00F8087F"/>
    <w:rsid w:val="00F8174F"/>
    <w:rsid w:val="00F8280E"/>
    <w:rsid w:val="00F83343"/>
    <w:rsid w:val="00F84BCE"/>
    <w:rsid w:val="00F87035"/>
    <w:rsid w:val="00F87226"/>
    <w:rsid w:val="00F87424"/>
    <w:rsid w:val="00F8757F"/>
    <w:rsid w:val="00F91B3A"/>
    <w:rsid w:val="00F92C6A"/>
    <w:rsid w:val="00FA0734"/>
    <w:rsid w:val="00FA11DD"/>
    <w:rsid w:val="00FA2E8A"/>
    <w:rsid w:val="00FA4D4C"/>
    <w:rsid w:val="00FA5BF1"/>
    <w:rsid w:val="00FA7280"/>
    <w:rsid w:val="00FB01E6"/>
    <w:rsid w:val="00FB10DD"/>
    <w:rsid w:val="00FB2106"/>
    <w:rsid w:val="00FB493B"/>
    <w:rsid w:val="00FB4FA6"/>
    <w:rsid w:val="00FB5F1A"/>
    <w:rsid w:val="00FB7072"/>
    <w:rsid w:val="00FC09B2"/>
    <w:rsid w:val="00FC3294"/>
    <w:rsid w:val="00FC36E8"/>
    <w:rsid w:val="00FC3EEC"/>
    <w:rsid w:val="00FC5CB1"/>
    <w:rsid w:val="00FC62C2"/>
    <w:rsid w:val="00FC6866"/>
    <w:rsid w:val="00FC6C51"/>
    <w:rsid w:val="00FC6D73"/>
    <w:rsid w:val="00FD0E68"/>
    <w:rsid w:val="00FD10C9"/>
    <w:rsid w:val="00FD3474"/>
    <w:rsid w:val="00FD4542"/>
    <w:rsid w:val="00FD467D"/>
    <w:rsid w:val="00FD56AA"/>
    <w:rsid w:val="00FE2635"/>
    <w:rsid w:val="00FE34CF"/>
    <w:rsid w:val="00FE4BE3"/>
    <w:rsid w:val="00FE4D93"/>
    <w:rsid w:val="00FE74BE"/>
    <w:rsid w:val="00FF0AC2"/>
    <w:rsid w:val="00FF3241"/>
    <w:rsid w:val="00FF53F6"/>
    <w:rsid w:val="00FF578E"/>
    <w:rsid w:val="00FF7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31E9C05"/>
  <w15:docId w15:val="{C966FE76-D913-46BD-B7E3-31382B0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278"/>
    <w:rPr>
      <w:color w:val="800080" w:themeColor="followedHyperlink"/>
      <w:u w:val="single"/>
    </w:rPr>
  </w:style>
  <w:style w:type="paragraph" w:styleId="NoSpacing">
    <w:name w:val="No Spacing"/>
    <w:uiPriority w:val="1"/>
    <w:qFormat/>
    <w:rsid w:val="00934049"/>
    <w:pPr>
      <w:spacing w:after="0" w:line="240" w:lineRule="auto"/>
    </w:pPr>
    <w:rPr>
      <w:sz w:val="24"/>
      <w:szCs w:val="24"/>
    </w:rPr>
  </w:style>
  <w:style w:type="paragraph" w:styleId="NormalWeb">
    <w:name w:val="Normal (Web)"/>
    <w:basedOn w:val="Normal"/>
    <w:uiPriority w:val="99"/>
    <w:unhideWhenUsed/>
    <w:rsid w:val="003F1BCB"/>
    <w:pPr>
      <w:spacing w:before="100" w:beforeAutospacing="1" w:after="100" w:afterAutospacing="1" w:line="240" w:lineRule="auto"/>
    </w:pPr>
  </w:style>
  <w:style w:type="character" w:styleId="UnresolvedMention">
    <w:name w:val="Unresolved Mention"/>
    <w:basedOn w:val="DefaultParagraphFont"/>
    <w:uiPriority w:val="99"/>
    <w:semiHidden/>
    <w:unhideWhenUsed/>
    <w:rsid w:val="00220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fisheries.noaa.gov/data-tools/recreational-fisheries-statistics-queries"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hyperlink" Target="https://apps-st.fisheries.noaa.gov/pims/main/public?method=DOWNLOAD_FR_DATA&amp;record_id=1856" TargetMode="External" /><Relationship Id="rId15" Type="http://schemas.openxmlformats.org/officeDocument/2006/relationships/hyperlink" Target="https://www.fisheries.noaa.gov/resource/document/test-revised-fishing-effort-survey-2025-study-report" TargetMode="External" /><Relationship Id="rId16" Type="http://schemas.openxmlformats.org/officeDocument/2006/relationships/hyperlink" Target="https://apps-st.fisheries.noaa.gov/pims/main/public?method=DOWNLOAD_FR_PDF&amp;record_id=455" TargetMode="External" /><Relationship Id="rId17" Type="http://schemas.openxmlformats.org/officeDocument/2006/relationships/hyperlink" Target="https://apps-st.fisheries.noaa.gov/pims/main/public?method=DOWNLOAD_FR_PDF&amp;record_id=931" TargetMode="External" /><Relationship Id="rId18" Type="http://schemas.openxmlformats.org/officeDocument/2006/relationships/hyperlink" Target="https://apps-st.fisheries.noaa.gov/pims/main/public?method=DOWNLOAD_FR_PDF&amp;record_id=1179" TargetMode="External" /><Relationship Id="rId19" Type="http://schemas.openxmlformats.org/officeDocument/2006/relationships/hyperlink" Target="https://apps-st.fisheries.noaa.gov/pims/main/public?method=DOWNLOAD_FR_PDF&amp;record_id=462" TargetMode="External" /><Relationship Id="rId2" Type="http://schemas.openxmlformats.org/officeDocument/2006/relationships/settings" Target="settings.xml" /><Relationship Id="rId20" Type="http://schemas.openxmlformats.org/officeDocument/2006/relationships/hyperlink" Target="https://www.surveypractice.org/article/3093-methods-for-improving-response-rates-in-two-phase-mail-surveys" TargetMode="External" /><Relationship Id="rId21" Type="http://schemas.openxmlformats.org/officeDocument/2006/relationships/hyperlink" Target="https://www.nap.edu/catalog/11616/review-ofrecreational-fisheries-survey-method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govinfo.gov/content/pkg/WCPD-1995-06-12/pdf/WCPD-1995-06-12-Pg995-2.pdf" TargetMode="External" /><Relationship Id="rId8" Type="http://schemas.openxmlformats.org/officeDocument/2006/relationships/hyperlink" Target="https://www.fisheries.noaa.gov/recreational-fishing-data/about-marine-recreational-information-progra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8790F-8A99-41F7-B212-4B4A002C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4347</Words>
  <Characters>29027</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Adrienne.Thomas</cp:lastModifiedBy>
  <cp:revision>2</cp:revision>
  <dcterms:created xsi:type="dcterms:W3CDTF">2026-07-06T21:53:00Z</dcterms:created>
  <dcterms:modified xsi:type="dcterms:W3CDTF">2026-07-06T21:53:00Z</dcterms:modified>
</cp:coreProperties>
</file>