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15171B" w:rsidRPr="00F824DB" w:rsidP="0015171B" w14:paraId="4C7401D6" w14:textId="77777777">
      <w:pPr>
        <w:pStyle w:val="NoSpacing"/>
        <w:jc w:val="center"/>
        <w:rPr>
          <w:rFonts w:ascii="Arial" w:hAnsi="Arial" w:cs="Arial"/>
          <w:b/>
        </w:rPr>
      </w:pPr>
      <w:r w:rsidRPr="00F824DB">
        <w:rPr>
          <w:rFonts w:ascii="Arial" w:hAnsi="Arial" w:cs="Arial"/>
          <w:b/>
        </w:rPr>
        <w:t>JUSTIFICATION FOR NONMATERIAL/NONSUBSTANTIVE CHANGE</w:t>
      </w:r>
    </w:p>
    <w:p w:rsidR="0015171B" w:rsidRPr="00F824DB" w:rsidP="0015171B" w14:paraId="19775758" w14:textId="0A663847">
      <w:pPr>
        <w:pStyle w:val="NoSpacing"/>
        <w:jc w:val="center"/>
        <w:rPr>
          <w:rFonts w:ascii="Arial" w:hAnsi="Arial" w:cs="Arial"/>
          <w:b/>
        </w:rPr>
      </w:pPr>
      <w:r>
        <w:rPr>
          <w:rFonts w:ascii="Arial" w:hAnsi="Arial" w:cs="Arial"/>
          <w:b/>
        </w:rPr>
        <w:t xml:space="preserve">Substantive Submissions Made During Prosecution of the Trademark Application </w:t>
      </w:r>
    </w:p>
    <w:p w:rsidR="0015171B" w:rsidRPr="00F824DB" w:rsidP="0015171B" w14:paraId="125E9454" w14:textId="3818D8FF">
      <w:pPr>
        <w:pStyle w:val="NoSpacing"/>
        <w:jc w:val="center"/>
        <w:rPr>
          <w:rFonts w:ascii="Arial" w:hAnsi="Arial" w:cs="Arial"/>
        </w:rPr>
      </w:pPr>
      <w:r w:rsidRPr="00F824DB">
        <w:rPr>
          <w:rFonts w:ascii="Arial" w:hAnsi="Arial" w:cs="Arial"/>
          <w:b/>
        </w:rPr>
        <w:t>OMB Control Number 0651-0</w:t>
      </w:r>
      <w:r w:rsidR="003E0A6E">
        <w:rPr>
          <w:rFonts w:ascii="Arial" w:hAnsi="Arial" w:cs="Arial"/>
          <w:b/>
        </w:rPr>
        <w:t>054</w:t>
      </w:r>
    </w:p>
    <w:p w:rsidR="0015171B" w:rsidRPr="00F824DB" w:rsidP="0015171B" w14:paraId="516D0752" w14:textId="77777777">
      <w:pPr>
        <w:pStyle w:val="NoSpacing"/>
        <w:jc w:val="both"/>
        <w:rPr>
          <w:rFonts w:ascii="Arial" w:hAnsi="Arial" w:cs="Arial"/>
        </w:rPr>
      </w:pPr>
    </w:p>
    <w:p w:rsidR="0015171B" w:rsidRPr="00F824DB" w:rsidP="0015171B" w14:paraId="5EBEC674" w14:textId="77777777">
      <w:pPr>
        <w:pStyle w:val="NoSpacing"/>
        <w:jc w:val="both"/>
        <w:rPr>
          <w:rFonts w:ascii="Arial" w:hAnsi="Arial" w:cs="Arial"/>
        </w:rPr>
      </w:pPr>
      <w:r w:rsidRPr="00F824DB">
        <w:rPr>
          <w:rFonts w:ascii="Arial" w:hAnsi="Arial" w:cs="Arial"/>
          <w:u w:val="single"/>
        </w:rPr>
        <w:t>Background</w:t>
      </w:r>
    </w:p>
    <w:p w:rsidR="009C6D91" w:rsidP="0015171B" w14:paraId="4C4734F0" w14:textId="77777777">
      <w:pPr>
        <w:pStyle w:val="NoSpacing"/>
        <w:rPr>
          <w:rFonts w:ascii="Arial" w:hAnsi="Arial" w:cs="Arial"/>
        </w:rPr>
      </w:pPr>
    </w:p>
    <w:p w:rsidR="009121E9" w:rsidRPr="009121E9" w:rsidP="00F53BE7" w14:paraId="68EA11EB" w14:textId="77777777">
      <w:pPr>
        <w:pStyle w:val="NoSpacing"/>
        <w:jc w:val="both"/>
        <w:rPr>
          <w:rFonts w:ascii="Arial" w:hAnsi="Arial" w:cs="Arial"/>
        </w:rPr>
      </w:pPr>
      <w:r w:rsidRPr="009121E9">
        <w:rPr>
          <w:rFonts w:ascii="Arial" w:hAnsi="Arial" w:cs="Arial"/>
        </w:rPr>
        <w:t xml:space="preserve">This collection of information is required by the Trademark Act, 15 U.S.C. § 1051 </w:t>
      </w:r>
      <w:r w:rsidRPr="009121E9">
        <w:rPr>
          <w:rFonts w:ascii="Arial" w:hAnsi="Arial" w:cs="Arial"/>
          <w:i/>
        </w:rPr>
        <w:t>et seq.,</w:t>
      </w:r>
      <w:r w:rsidRPr="009121E9">
        <w:rPr>
          <w:rFonts w:ascii="Arial" w:hAnsi="Arial" w:cs="Arial"/>
        </w:rPr>
        <w:t xml:space="preserve"> which provides for the registration of trademarks, service marks, collective trademarks and collective service marks, collective membership marks, and certification marks. Individuals and businesses that use or intend to use such marks in commerce may file an application to register their marks with the United States Patent and Trademark Office (USPTO).  </w:t>
      </w:r>
    </w:p>
    <w:p w:rsidR="009121E9" w:rsidRPr="009121E9" w:rsidP="00F53BE7" w14:paraId="76BE5908" w14:textId="77777777">
      <w:pPr>
        <w:pStyle w:val="NoSpacing"/>
        <w:jc w:val="both"/>
        <w:rPr>
          <w:rFonts w:ascii="Arial" w:hAnsi="Arial" w:cs="Arial"/>
        </w:rPr>
      </w:pPr>
    </w:p>
    <w:p w:rsidR="009121E9" w:rsidRPr="009121E9" w:rsidP="00F53BE7" w14:paraId="7F6A80FD" w14:textId="77777777">
      <w:pPr>
        <w:pStyle w:val="NoSpacing"/>
        <w:jc w:val="both"/>
        <w:rPr>
          <w:rFonts w:ascii="Arial" w:hAnsi="Arial" w:cs="Arial"/>
        </w:rPr>
      </w:pPr>
      <w:r w:rsidRPr="009121E9">
        <w:rPr>
          <w:rFonts w:ascii="Arial" w:hAnsi="Arial" w:cs="Arial"/>
        </w:rPr>
        <w:t>Such individuals and businesses may also submit various communications to the USPTO, including providing additional information needed to process a request to delete a particular filing basis from an application or to divide an application identifying multiple goods and/or services into two or more separate applications. Applicants may seek a six-month extension of time to file a statement that the mark is in use in commerce or submit a petition to revive an application that was abandoned for failure to submit a timely response to an office action or a timely statement of use or extension request. In some circumstances, an applicant may expressly abandon an application by filing a request for withdrawal of the application.</w:t>
      </w:r>
    </w:p>
    <w:p w:rsidR="009121E9" w:rsidRPr="009121E9" w:rsidP="00F53BE7" w14:paraId="33E35821" w14:textId="77777777">
      <w:pPr>
        <w:pStyle w:val="NoSpacing"/>
        <w:jc w:val="both"/>
        <w:rPr>
          <w:rFonts w:ascii="Arial" w:hAnsi="Arial" w:cs="Arial"/>
        </w:rPr>
      </w:pPr>
    </w:p>
    <w:p w:rsidR="009121E9" w:rsidRPr="009121E9" w:rsidP="00F53BE7" w14:paraId="33B8CB52" w14:textId="77777777">
      <w:pPr>
        <w:pStyle w:val="NoSpacing"/>
        <w:jc w:val="both"/>
        <w:rPr>
          <w:rFonts w:ascii="Arial" w:hAnsi="Arial" w:cs="Arial"/>
        </w:rPr>
      </w:pPr>
      <w:r w:rsidRPr="009121E9">
        <w:rPr>
          <w:rFonts w:ascii="Arial" w:hAnsi="Arial" w:cs="Arial"/>
        </w:rPr>
        <w:t>The USPTO administers the Act through Title 37 of the Code of Federal Regulations. These rules allow the USPTO to request and receive information required to process applications. These rules also allow applicants to submit certain amendments to their applications.</w:t>
      </w:r>
    </w:p>
    <w:p w:rsidR="003E0A6E" w:rsidP="00F53BE7" w14:paraId="5626786E" w14:textId="77777777">
      <w:pPr>
        <w:pStyle w:val="NoSpacing"/>
        <w:jc w:val="both"/>
        <w:rPr>
          <w:rFonts w:ascii="Arial" w:hAnsi="Arial" w:cs="Arial"/>
        </w:rPr>
      </w:pPr>
    </w:p>
    <w:p w:rsidR="00CE34BF" w:rsidP="0015171B" w14:paraId="49E4972C" w14:textId="10EAF14A">
      <w:pPr>
        <w:pStyle w:val="NoSpacing"/>
      </w:pPr>
      <w:r w:rsidRPr="3C28C813">
        <w:rPr>
          <w:rFonts w:ascii="Arial" w:hAnsi="Arial" w:cs="Arial"/>
        </w:rPr>
        <w:t xml:space="preserve">The USPTO is </w:t>
      </w:r>
      <w:r w:rsidRPr="3C28C813" w:rsidR="002E7C38">
        <w:rPr>
          <w:rFonts w:ascii="Arial" w:hAnsi="Arial" w:cs="Arial"/>
        </w:rPr>
        <w:t>consolidating and streamlining its petitions and request forms</w:t>
      </w:r>
      <w:r w:rsidRPr="3C28C813" w:rsidR="28CDF9F7">
        <w:rPr>
          <w:rFonts w:ascii="Arial" w:hAnsi="Arial" w:cs="Arial"/>
        </w:rPr>
        <w:t xml:space="preserve"> to make these process</w:t>
      </w:r>
      <w:r w:rsidRPr="3C28C813" w:rsidR="38D18015">
        <w:rPr>
          <w:rFonts w:ascii="Arial" w:hAnsi="Arial" w:cs="Arial"/>
        </w:rPr>
        <w:t>es</w:t>
      </w:r>
      <w:r w:rsidRPr="3C28C813" w:rsidR="28CDF9F7">
        <w:rPr>
          <w:rFonts w:ascii="Arial" w:hAnsi="Arial" w:cs="Arial"/>
        </w:rPr>
        <w:t xml:space="preserve"> more efficient.  </w:t>
      </w:r>
      <w:r w:rsidRPr="3C28C813" w:rsidR="4C548A4A">
        <w:rPr>
          <w:rFonts w:ascii="Arial" w:eastAsia="Arial" w:hAnsi="Arial" w:cs="Arial"/>
          <w:color w:val="000000" w:themeColor="text1"/>
        </w:rPr>
        <w:t xml:space="preserve">Changes to the information systems allow the Petition to the Director to collect requests to make special, petitions to make special, requests to restore filing dates, and petitions to change filing basis, which were previously stand-alone forms, into a single petition form. However, </w:t>
      </w:r>
      <w:r w:rsidRPr="3C28C813" w:rsidR="00A169CE">
        <w:rPr>
          <w:rFonts w:ascii="Arial" w:eastAsia="Arial" w:hAnsi="Arial" w:cs="Arial"/>
          <w:color w:val="000000" w:themeColor="text1"/>
        </w:rPr>
        <w:t>each petition</w:t>
      </w:r>
      <w:r w:rsidRPr="3C28C813" w:rsidR="4C548A4A">
        <w:rPr>
          <w:rFonts w:ascii="Arial" w:eastAsia="Arial" w:hAnsi="Arial" w:cs="Arial"/>
          <w:color w:val="000000" w:themeColor="text1"/>
        </w:rPr>
        <w:t xml:space="preserve"> must be submitted separately, even if they use the same basic format and form request instrument (PTO-2301). </w:t>
      </w:r>
      <w:r w:rsidRPr="3C28C813" w:rsidR="4C548A4A">
        <w:rPr>
          <w:rFonts w:ascii="Arial" w:eastAsia="Arial" w:hAnsi="Arial" w:cs="Arial"/>
        </w:rPr>
        <w:t xml:space="preserve"> </w:t>
      </w:r>
    </w:p>
    <w:p w:rsidR="00CE34BF" w:rsidP="52809054" w14:paraId="1DEA2FBA" w14:textId="0882AE0E">
      <w:pPr>
        <w:pStyle w:val="NoSpacing"/>
        <w:rPr>
          <w:rFonts w:ascii="Arial" w:hAnsi="Arial" w:cs="Arial"/>
        </w:rPr>
      </w:pPr>
    </w:p>
    <w:p w:rsidR="00CE34BF" w:rsidP="00F53BE7" w14:paraId="47670154" w14:textId="74225F6A">
      <w:pPr>
        <w:pStyle w:val="NoSpacing"/>
        <w:jc w:val="both"/>
        <w:rPr>
          <w:rFonts w:ascii="Arial" w:hAnsi="Arial" w:cs="Arial"/>
        </w:rPr>
      </w:pPr>
      <w:r>
        <w:rPr>
          <w:rFonts w:ascii="Arial" w:hAnsi="Arial" w:cs="Arial"/>
        </w:rPr>
        <w:t xml:space="preserve">As a part of this effort, the USPTO is moving </w:t>
      </w:r>
      <w:r w:rsidR="00F72820">
        <w:rPr>
          <w:rFonts w:ascii="Arial" w:hAnsi="Arial" w:cs="Arial"/>
        </w:rPr>
        <w:t>four</w:t>
      </w:r>
      <w:r w:rsidR="00420122">
        <w:rPr>
          <w:rFonts w:ascii="Arial" w:hAnsi="Arial" w:cs="Arial"/>
        </w:rPr>
        <w:t xml:space="preserve"> petitions (</w:t>
      </w:r>
      <w:r w:rsidR="00F72820">
        <w:rPr>
          <w:rFonts w:ascii="Arial" w:hAnsi="Arial" w:cs="Arial"/>
        </w:rPr>
        <w:t xml:space="preserve">PTO-1557 (Petition to Revive With Request to Delete Section 1(b) Basis or to Delete ITU Goods/Services/Collective Membership Organizations After NOA), </w:t>
      </w:r>
      <w:r w:rsidR="0033587E">
        <w:rPr>
          <w:rFonts w:ascii="Arial" w:hAnsi="Arial" w:cs="Arial"/>
        </w:rPr>
        <w:t>PTO-2194 (</w:t>
      </w:r>
      <w:r w:rsidR="00420122">
        <w:rPr>
          <w:rFonts w:ascii="Arial" w:hAnsi="Arial" w:cs="Arial"/>
        </w:rPr>
        <w:t xml:space="preserve">Petition to Revive Abandoned Application </w:t>
      </w:r>
      <w:r w:rsidR="0033587E">
        <w:rPr>
          <w:rFonts w:ascii="Arial" w:hAnsi="Arial" w:cs="Arial"/>
        </w:rPr>
        <w:t xml:space="preserve">– Failure to Respond Timely to Office Action), </w:t>
      </w:r>
      <w:r w:rsidR="00A868E9">
        <w:rPr>
          <w:rFonts w:ascii="Arial" w:hAnsi="Arial" w:cs="Arial"/>
        </w:rPr>
        <w:t xml:space="preserve">PTO-2195 (Petition to Revive Abandoned Application – Failure to File Timely Statement of Use or Extension Request), </w:t>
      </w:r>
      <w:r w:rsidR="00420122">
        <w:rPr>
          <w:rFonts w:ascii="Arial" w:hAnsi="Arial" w:cs="Arial"/>
        </w:rPr>
        <w:t xml:space="preserve">and </w:t>
      </w:r>
      <w:r w:rsidR="0092332D">
        <w:rPr>
          <w:rFonts w:ascii="Arial" w:hAnsi="Arial" w:cs="Arial"/>
        </w:rPr>
        <w:t>PTO-2301 (</w:t>
      </w:r>
      <w:r w:rsidR="00420122">
        <w:rPr>
          <w:rFonts w:ascii="Arial" w:hAnsi="Arial" w:cs="Arial"/>
        </w:rPr>
        <w:t>Petition to Director</w:t>
      </w:r>
      <w:r w:rsidR="0092332D">
        <w:rPr>
          <w:rFonts w:ascii="Arial" w:hAnsi="Arial" w:cs="Arial"/>
        </w:rPr>
        <w:t>)</w:t>
      </w:r>
      <w:r w:rsidR="00420122">
        <w:rPr>
          <w:rFonts w:ascii="Arial" w:hAnsi="Arial" w:cs="Arial"/>
        </w:rPr>
        <w:t xml:space="preserve">) from information collection 0651-0054 (Substantive Submissions Made During Prosecution of the Trademark Application) to information collection 0651-0061 (Trademark Petitions). As a result, </w:t>
      </w:r>
      <w:r w:rsidR="00F72820">
        <w:rPr>
          <w:rFonts w:ascii="Arial" w:hAnsi="Arial" w:cs="Arial"/>
        </w:rPr>
        <w:t>four</w:t>
      </w:r>
      <w:r w:rsidR="00420122">
        <w:rPr>
          <w:rFonts w:ascii="Arial" w:hAnsi="Arial" w:cs="Arial"/>
        </w:rPr>
        <w:t xml:space="preserve"> IC lines and their associated fees will be removed from </w:t>
      </w:r>
      <w:r w:rsidR="00530A7D">
        <w:rPr>
          <w:rFonts w:ascii="Arial" w:hAnsi="Arial" w:cs="Arial"/>
        </w:rPr>
        <w:t xml:space="preserve">information collection 0651-0054. </w:t>
      </w:r>
    </w:p>
    <w:p w:rsidR="00CE34BF" w:rsidP="0015171B" w14:paraId="164F99D1" w14:textId="77777777">
      <w:pPr>
        <w:pStyle w:val="NoSpacing"/>
        <w:rPr>
          <w:rFonts w:ascii="Arial" w:hAnsi="Arial" w:cs="Arial"/>
        </w:rPr>
      </w:pPr>
    </w:p>
    <w:p w:rsidR="003E0A6E" w:rsidP="0015171B" w14:paraId="660C174D" w14:textId="4F25BA6F">
      <w:pPr>
        <w:pStyle w:val="NoSpacing"/>
        <w:rPr>
          <w:rFonts w:ascii="Arial" w:hAnsi="Arial" w:cs="Arial"/>
        </w:rPr>
      </w:pPr>
      <w:r>
        <w:rPr>
          <w:rFonts w:ascii="Arial" w:hAnsi="Arial" w:cs="Arial"/>
          <w:u w:val="single"/>
        </w:rPr>
        <w:t>Summary of Changes</w:t>
      </w:r>
    </w:p>
    <w:p w:rsidR="003E0A6E" w:rsidP="0015171B" w14:paraId="185C075E" w14:textId="77777777">
      <w:pPr>
        <w:pStyle w:val="NoSpacing"/>
        <w:rPr>
          <w:rFonts w:ascii="Arial" w:hAnsi="Arial" w:cs="Arial"/>
        </w:rPr>
      </w:pPr>
    </w:p>
    <w:p w:rsidR="00D5739E" w:rsidP="00F53BE7" w14:paraId="372FA834" w14:textId="7715DCC4">
      <w:pPr>
        <w:pStyle w:val="NoSpacing"/>
        <w:jc w:val="both"/>
        <w:rPr>
          <w:rFonts w:ascii="Arial" w:hAnsi="Arial" w:cs="Arial"/>
        </w:rPr>
      </w:pPr>
      <w:r>
        <w:rPr>
          <w:rFonts w:ascii="Arial" w:hAnsi="Arial" w:cs="Arial"/>
        </w:rPr>
        <w:t xml:space="preserve">The USPTO proposes </w:t>
      </w:r>
      <w:r w:rsidR="00A71B79">
        <w:rPr>
          <w:rFonts w:ascii="Arial" w:hAnsi="Arial" w:cs="Arial"/>
        </w:rPr>
        <w:t>moving</w:t>
      </w:r>
      <w:r>
        <w:rPr>
          <w:rFonts w:ascii="Arial" w:hAnsi="Arial" w:cs="Arial"/>
        </w:rPr>
        <w:t xml:space="preserve"> </w:t>
      </w:r>
      <w:r w:rsidR="0037688A">
        <w:rPr>
          <w:rFonts w:ascii="Arial" w:hAnsi="Arial" w:cs="Arial"/>
        </w:rPr>
        <w:t>four</w:t>
      </w:r>
      <w:r>
        <w:rPr>
          <w:rFonts w:ascii="Arial" w:hAnsi="Arial" w:cs="Arial"/>
        </w:rPr>
        <w:t xml:space="preserve"> IC lines and </w:t>
      </w:r>
      <w:r w:rsidR="0037688A">
        <w:rPr>
          <w:rFonts w:ascii="Arial" w:hAnsi="Arial" w:cs="Arial"/>
        </w:rPr>
        <w:t>four</w:t>
      </w:r>
      <w:r>
        <w:rPr>
          <w:rFonts w:ascii="Arial" w:hAnsi="Arial" w:cs="Arial"/>
        </w:rPr>
        <w:t xml:space="preserve"> petitions</w:t>
      </w:r>
      <w:r>
        <w:rPr>
          <w:rFonts w:ascii="Arial" w:hAnsi="Arial" w:cs="Arial"/>
        </w:rPr>
        <w:t xml:space="preserve"> from information collection 0651-0054 to information collection 0651-0061:</w:t>
      </w:r>
      <w:r>
        <w:rPr>
          <w:rFonts w:ascii="Arial" w:hAnsi="Arial" w:cs="Arial"/>
        </w:rPr>
        <w:t xml:space="preserve"> </w:t>
      </w:r>
    </w:p>
    <w:p w:rsidR="00943778" w:rsidP="00D5739E" w14:paraId="58DCB38B" w14:textId="3B64070F">
      <w:pPr>
        <w:pStyle w:val="NoSpacing"/>
        <w:numPr>
          <w:ilvl w:val="0"/>
          <w:numId w:val="2"/>
        </w:numPr>
        <w:jc w:val="both"/>
        <w:rPr>
          <w:rFonts w:ascii="Arial" w:hAnsi="Arial" w:cs="Arial"/>
        </w:rPr>
      </w:pPr>
      <w:r>
        <w:rPr>
          <w:rFonts w:ascii="Arial" w:hAnsi="Arial" w:cs="Arial"/>
        </w:rPr>
        <w:t>PTO-1557 (Petition to Revi</w:t>
      </w:r>
      <w:r w:rsidR="00F72820">
        <w:rPr>
          <w:rFonts w:ascii="Arial" w:hAnsi="Arial" w:cs="Arial"/>
        </w:rPr>
        <w:t>ve With Request to Delete Section 1(b) Basis or to Delete ITU Goods/Services/Collective Membership Organization After NOA)</w:t>
      </w:r>
    </w:p>
    <w:p w:rsidR="00D5739E" w:rsidP="00D5739E" w14:paraId="4B619B73" w14:textId="414A4242">
      <w:pPr>
        <w:pStyle w:val="NoSpacing"/>
        <w:numPr>
          <w:ilvl w:val="0"/>
          <w:numId w:val="2"/>
        </w:numPr>
        <w:jc w:val="both"/>
        <w:rPr>
          <w:rFonts w:ascii="Arial" w:hAnsi="Arial" w:cs="Arial"/>
        </w:rPr>
      </w:pPr>
      <w:r>
        <w:rPr>
          <w:rFonts w:ascii="Arial" w:hAnsi="Arial" w:cs="Arial"/>
        </w:rPr>
        <w:t xml:space="preserve">PTO-2194 (Petition to Revive Abandoned Application – Failure to Respond Timely to Office Action) </w:t>
      </w:r>
    </w:p>
    <w:p w:rsidR="00D5739E" w:rsidP="00D5739E" w14:paraId="1B0DA014" w14:textId="77777777">
      <w:pPr>
        <w:pStyle w:val="NoSpacing"/>
        <w:numPr>
          <w:ilvl w:val="0"/>
          <w:numId w:val="2"/>
        </w:numPr>
        <w:jc w:val="both"/>
        <w:rPr>
          <w:rFonts w:ascii="Arial" w:hAnsi="Arial" w:cs="Arial"/>
        </w:rPr>
      </w:pPr>
      <w:r>
        <w:rPr>
          <w:rFonts w:ascii="Arial" w:hAnsi="Arial" w:cs="Arial"/>
        </w:rPr>
        <w:t>PTO-2195 (Petition to Revive Abandoned Application – Failure to File Timely Statement of Use or Extension Request)</w:t>
      </w:r>
    </w:p>
    <w:p w:rsidR="00D5739E" w:rsidP="00D5739E" w14:paraId="5DF456A0" w14:textId="4AF5E22D">
      <w:pPr>
        <w:pStyle w:val="NoSpacing"/>
        <w:numPr>
          <w:ilvl w:val="0"/>
          <w:numId w:val="2"/>
        </w:numPr>
        <w:jc w:val="both"/>
        <w:rPr>
          <w:rFonts w:ascii="Arial" w:hAnsi="Arial" w:cs="Arial"/>
        </w:rPr>
      </w:pPr>
      <w:r>
        <w:rPr>
          <w:rFonts w:ascii="Arial" w:hAnsi="Arial" w:cs="Arial"/>
        </w:rPr>
        <w:t xml:space="preserve">PTO-2301 (Petition to Director) </w:t>
      </w:r>
    </w:p>
    <w:p w:rsidR="00D5739E" w:rsidP="00D5739E" w14:paraId="44957BBC" w14:textId="77777777">
      <w:pPr>
        <w:pStyle w:val="NoSpacing"/>
        <w:jc w:val="both"/>
        <w:rPr>
          <w:rFonts w:ascii="Arial" w:hAnsi="Arial" w:cs="Arial"/>
        </w:rPr>
      </w:pPr>
    </w:p>
    <w:p w:rsidR="008612E6" w:rsidP="7DA0DEDC" w14:paraId="0E61537C" w14:textId="1EE72A72">
      <w:pPr>
        <w:pStyle w:val="NoSpacing"/>
        <w:jc w:val="both"/>
        <w:rPr>
          <w:rFonts w:ascii="Arial" w:hAnsi="Arial" w:cs="Arial"/>
        </w:rPr>
      </w:pPr>
      <w:r>
        <w:rPr>
          <w:rFonts w:ascii="Arial" w:hAnsi="Arial" w:cs="Arial"/>
        </w:rPr>
        <w:t>Removing</w:t>
      </w:r>
      <w:r w:rsidRPr="5DDD6471" w:rsidR="4819AF54">
        <w:rPr>
          <w:rFonts w:ascii="Arial" w:hAnsi="Arial" w:cs="Arial"/>
        </w:rPr>
        <w:t xml:space="preserve"> </w:t>
      </w:r>
      <w:r w:rsidR="00640661">
        <w:rPr>
          <w:rFonts w:ascii="Arial" w:hAnsi="Arial" w:cs="Arial"/>
        </w:rPr>
        <w:t>four</w:t>
      </w:r>
      <w:r w:rsidRPr="5DDD6471" w:rsidR="4819AF54">
        <w:rPr>
          <w:rFonts w:ascii="Arial" w:hAnsi="Arial" w:cs="Arial"/>
        </w:rPr>
        <w:t xml:space="preserve"> IC lines </w:t>
      </w:r>
      <w:r>
        <w:rPr>
          <w:rFonts w:ascii="Arial" w:hAnsi="Arial" w:cs="Arial"/>
        </w:rPr>
        <w:t>from</w:t>
      </w:r>
      <w:r w:rsidRPr="5DDD6471" w:rsidR="56B87067">
        <w:rPr>
          <w:rFonts w:ascii="Arial" w:hAnsi="Arial" w:cs="Arial"/>
        </w:rPr>
        <w:t xml:space="preserve"> information collection</w:t>
      </w:r>
      <w:r w:rsidRPr="5DDD6471" w:rsidR="4819AF54">
        <w:rPr>
          <w:rFonts w:ascii="Arial" w:hAnsi="Arial" w:cs="Arial"/>
        </w:rPr>
        <w:t xml:space="preserve"> 0651-0054</w:t>
      </w:r>
      <w:r w:rsidRPr="5DDD6471" w:rsidR="36CD19A0">
        <w:rPr>
          <w:rFonts w:ascii="Arial" w:hAnsi="Arial" w:cs="Arial"/>
        </w:rPr>
        <w:t xml:space="preserve"> will result in an associated decrease in the hourly burden and the annual non-hourly costs in the form of filing fees. </w:t>
      </w:r>
      <w:r w:rsidRPr="3C28C813" w:rsidR="40840F93">
        <w:rPr>
          <w:rFonts w:ascii="Arial" w:hAnsi="Arial" w:cs="Arial"/>
        </w:rPr>
        <w:t xml:space="preserve"> </w:t>
      </w:r>
      <w:r w:rsidRPr="3C28C813" w:rsidR="7ACD9587">
        <w:rPr>
          <w:rFonts w:ascii="Arial" w:hAnsi="Arial" w:cs="Arial"/>
        </w:rPr>
        <w:t xml:space="preserve">  </w:t>
      </w:r>
    </w:p>
    <w:p w:rsidR="00F07122" w:rsidP="0015171B" w14:paraId="11079737" w14:textId="1A249FBF">
      <w:pPr>
        <w:pStyle w:val="NoSpacing"/>
        <w:rPr>
          <w:rFonts w:ascii="Arial" w:hAnsi="Arial" w:cs="Arial"/>
        </w:rPr>
      </w:pPr>
    </w:p>
    <w:p w:rsidR="003E0A6E" w:rsidP="0015171B" w14:paraId="02149EAD" w14:textId="148DBD77">
      <w:pPr>
        <w:pStyle w:val="NoSpacing"/>
        <w:rPr>
          <w:rFonts w:ascii="Arial" w:hAnsi="Arial" w:cs="Arial"/>
        </w:rPr>
      </w:pPr>
      <w:r>
        <w:rPr>
          <w:rFonts w:ascii="Arial" w:hAnsi="Arial" w:cs="Arial"/>
          <w:u w:val="single"/>
        </w:rPr>
        <w:t>Changes in Burden</w:t>
      </w:r>
    </w:p>
    <w:p w:rsidR="003E0A6E" w:rsidP="0015171B" w14:paraId="4A63E5DB" w14:textId="77777777">
      <w:pPr>
        <w:pStyle w:val="NoSpacing"/>
        <w:rPr>
          <w:rFonts w:ascii="Arial" w:hAnsi="Arial" w:cs="Arial"/>
        </w:rPr>
      </w:pPr>
    </w:p>
    <w:p w:rsidR="000907F3" w:rsidP="00640661" w14:paraId="3EA69025" w14:textId="5AB20F47">
      <w:pPr>
        <w:pStyle w:val="NoSpacing"/>
        <w:jc w:val="both"/>
        <w:rPr>
          <w:rFonts w:ascii="Arial" w:hAnsi="Arial" w:cs="Arial"/>
        </w:rPr>
      </w:pPr>
      <w:r>
        <w:rPr>
          <w:rFonts w:ascii="Arial" w:hAnsi="Arial" w:cs="Arial"/>
        </w:rPr>
        <w:t xml:space="preserve">The removal of </w:t>
      </w:r>
      <w:r w:rsidR="0037688A">
        <w:rPr>
          <w:rFonts w:ascii="Arial" w:hAnsi="Arial" w:cs="Arial"/>
        </w:rPr>
        <w:t>four</w:t>
      </w:r>
      <w:r>
        <w:rPr>
          <w:rFonts w:ascii="Arial" w:hAnsi="Arial" w:cs="Arial"/>
        </w:rPr>
        <w:t xml:space="preserve"> IC lines will result in the following burden changes </w:t>
      </w:r>
      <w:r w:rsidR="00640661">
        <w:rPr>
          <w:rFonts w:ascii="Arial" w:hAnsi="Arial" w:cs="Arial"/>
        </w:rPr>
        <w:t>to</w:t>
      </w:r>
      <w:r>
        <w:rPr>
          <w:rFonts w:ascii="Arial" w:hAnsi="Arial" w:cs="Arial"/>
        </w:rPr>
        <w:t xml:space="preserve"> this information collection:</w:t>
      </w:r>
    </w:p>
    <w:p w:rsidR="000907F3" w:rsidP="0015171B" w14:paraId="53E7ACCA" w14:textId="77777777">
      <w:pPr>
        <w:pStyle w:val="NoSpacing"/>
        <w:rPr>
          <w:rFonts w:ascii="Arial" w:hAnsi="Arial" w:cs="Arial"/>
        </w:rPr>
      </w:pPr>
    </w:p>
    <w:p w:rsidR="000907F3" w:rsidRPr="00530C6E" w:rsidP="0015171B" w14:paraId="217D7163" w14:textId="741E8C87">
      <w:pPr>
        <w:pStyle w:val="NoSpacing"/>
        <w:rPr>
          <w:rFonts w:ascii="Arial" w:hAnsi="Arial" w:cs="Arial"/>
          <w:sz w:val="20"/>
          <w:szCs w:val="20"/>
        </w:rPr>
      </w:pPr>
      <w:r w:rsidRPr="00530C6E">
        <w:rPr>
          <w:rFonts w:ascii="Arial" w:hAnsi="Arial" w:cs="Arial"/>
          <w:b/>
          <w:bCs/>
          <w:sz w:val="20"/>
          <w:szCs w:val="20"/>
        </w:rPr>
        <w:t xml:space="preserve">Table </w:t>
      </w:r>
      <w:r w:rsidR="00C35F49">
        <w:rPr>
          <w:rFonts w:ascii="Arial" w:hAnsi="Arial" w:cs="Arial"/>
          <w:b/>
          <w:bCs/>
          <w:sz w:val="20"/>
          <w:szCs w:val="20"/>
        </w:rPr>
        <w:t>2</w:t>
      </w:r>
      <w:r w:rsidRPr="00530C6E">
        <w:rPr>
          <w:rFonts w:ascii="Arial" w:hAnsi="Arial" w:cs="Arial"/>
          <w:b/>
          <w:bCs/>
          <w:sz w:val="20"/>
          <w:szCs w:val="20"/>
        </w:rPr>
        <w:t>: Changes in Burden</w:t>
      </w:r>
    </w:p>
    <w:tbl>
      <w:tblPr>
        <w:tblStyle w:val="TableGrid"/>
        <w:tblW w:w="0" w:type="auto"/>
        <w:tblLook w:val="04A0"/>
      </w:tblPr>
      <w:tblGrid>
        <w:gridCol w:w="2065"/>
        <w:gridCol w:w="2250"/>
        <w:gridCol w:w="2430"/>
        <w:gridCol w:w="2605"/>
      </w:tblGrid>
      <w:tr w14:paraId="5AD70D55" w14:textId="77777777" w:rsidTr="00F53BE7">
        <w:tblPrEx>
          <w:tblW w:w="0" w:type="auto"/>
          <w:tblLook w:val="04A0"/>
        </w:tblPrEx>
        <w:tc>
          <w:tcPr>
            <w:tcW w:w="2065" w:type="dxa"/>
            <w:shd w:val="clear" w:color="auto" w:fill="A5C9EB" w:themeFill="text2" w:themeFillTint="40"/>
          </w:tcPr>
          <w:p w:rsidR="00B46D37" w:rsidRPr="00446138" w:rsidP="00231342" w14:paraId="38F0AD8D" w14:textId="77777777">
            <w:pPr>
              <w:jc w:val="center"/>
              <w:rPr>
                <w:rFonts w:ascii="Arial" w:hAnsi="Arial" w:cs="Arial"/>
                <w:b/>
              </w:rPr>
            </w:pPr>
            <w:r w:rsidRPr="00446138">
              <w:rPr>
                <w:rFonts w:ascii="Arial" w:hAnsi="Arial" w:cs="Arial"/>
                <w:b/>
              </w:rPr>
              <w:t>Burden Type</w:t>
            </w:r>
          </w:p>
        </w:tc>
        <w:tc>
          <w:tcPr>
            <w:tcW w:w="2250" w:type="dxa"/>
            <w:shd w:val="clear" w:color="auto" w:fill="A5C9EB" w:themeFill="text2" w:themeFillTint="40"/>
          </w:tcPr>
          <w:p w:rsidR="00B46D37" w:rsidRPr="00446138" w:rsidP="00231342" w14:paraId="043ECD2C" w14:textId="0FC2C094">
            <w:pPr>
              <w:jc w:val="center"/>
              <w:rPr>
                <w:rFonts w:ascii="Arial" w:hAnsi="Arial" w:cs="Arial"/>
                <w:b/>
              </w:rPr>
            </w:pPr>
            <w:r w:rsidRPr="00446138">
              <w:rPr>
                <w:rFonts w:ascii="Arial" w:hAnsi="Arial" w:cs="Arial"/>
                <w:b/>
              </w:rPr>
              <w:t xml:space="preserve">Currently </w:t>
            </w:r>
            <w:r w:rsidR="00DA5C07">
              <w:rPr>
                <w:rFonts w:ascii="Arial" w:hAnsi="Arial" w:cs="Arial"/>
                <w:b/>
              </w:rPr>
              <w:t>A</w:t>
            </w:r>
            <w:r w:rsidRPr="00446138">
              <w:rPr>
                <w:rFonts w:ascii="Arial" w:hAnsi="Arial" w:cs="Arial"/>
                <w:b/>
              </w:rPr>
              <w:t>pproved</w:t>
            </w:r>
          </w:p>
        </w:tc>
        <w:tc>
          <w:tcPr>
            <w:tcW w:w="2430" w:type="dxa"/>
            <w:shd w:val="clear" w:color="auto" w:fill="A5C9EB" w:themeFill="text2" w:themeFillTint="40"/>
          </w:tcPr>
          <w:p w:rsidR="00B46D37" w:rsidRPr="00446138" w:rsidP="00231342" w14:paraId="7851C761" w14:textId="0F5170D9">
            <w:pPr>
              <w:jc w:val="center"/>
              <w:rPr>
                <w:rFonts w:ascii="Arial" w:hAnsi="Arial" w:cs="Arial"/>
                <w:b/>
              </w:rPr>
            </w:pPr>
            <w:r w:rsidRPr="00446138">
              <w:rPr>
                <w:rFonts w:ascii="Arial" w:hAnsi="Arial" w:cs="Arial"/>
                <w:b/>
              </w:rPr>
              <w:t xml:space="preserve">Proposed </w:t>
            </w:r>
            <w:r w:rsidR="00DA5C07">
              <w:rPr>
                <w:rFonts w:ascii="Arial" w:hAnsi="Arial" w:cs="Arial"/>
                <w:b/>
              </w:rPr>
              <w:t>C</w:t>
            </w:r>
            <w:r w:rsidRPr="00446138">
              <w:rPr>
                <w:rFonts w:ascii="Arial" w:hAnsi="Arial" w:cs="Arial"/>
                <w:b/>
              </w:rPr>
              <w:t>hanges</w:t>
            </w:r>
          </w:p>
        </w:tc>
        <w:tc>
          <w:tcPr>
            <w:tcW w:w="2605" w:type="dxa"/>
            <w:shd w:val="clear" w:color="auto" w:fill="A5C9EB" w:themeFill="text2" w:themeFillTint="40"/>
          </w:tcPr>
          <w:p w:rsidR="00B46D37" w:rsidRPr="00446138" w:rsidP="00231342" w14:paraId="745ACF7E" w14:textId="6A2E9112">
            <w:pPr>
              <w:jc w:val="center"/>
              <w:rPr>
                <w:rFonts w:ascii="Arial" w:hAnsi="Arial" w:cs="Arial"/>
                <w:b/>
              </w:rPr>
            </w:pPr>
            <w:r w:rsidRPr="00446138">
              <w:rPr>
                <w:rFonts w:ascii="Arial" w:hAnsi="Arial" w:cs="Arial"/>
                <w:b/>
              </w:rPr>
              <w:t xml:space="preserve">New </w:t>
            </w:r>
            <w:r w:rsidR="00DA5C07">
              <w:rPr>
                <w:rFonts w:ascii="Arial" w:hAnsi="Arial" w:cs="Arial"/>
                <w:b/>
              </w:rPr>
              <w:t>E</w:t>
            </w:r>
            <w:r w:rsidRPr="00446138">
              <w:rPr>
                <w:rFonts w:ascii="Arial" w:hAnsi="Arial" w:cs="Arial"/>
                <w:b/>
              </w:rPr>
              <w:t>stimates</w:t>
            </w:r>
          </w:p>
        </w:tc>
      </w:tr>
      <w:tr w14:paraId="53B0275C" w14:textId="77777777" w:rsidTr="00231342">
        <w:tblPrEx>
          <w:tblW w:w="0" w:type="auto"/>
          <w:tblLook w:val="04A0"/>
        </w:tblPrEx>
        <w:tc>
          <w:tcPr>
            <w:tcW w:w="2065" w:type="dxa"/>
          </w:tcPr>
          <w:p w:rsidR="00B46D37" w:rsidRPr="00446138" w:rsidP="00231342" w14:paraId="072759C3" w14:textId="77777777">
            <w:pPr>
              <w:jc w:val="both"/>
              <w:rPr>
                <w:rFonts w:ascii="Arial" w:hAnsi="Arial" w:cs="Arial"/>
              </w:rPr>
            </w:pPr>
            <w:r w:rsidRPr="00446138">
              <w:rPr>
                <w:rFonts w:ascii="Arial" w:hAnsi="Arial" w:cs="Arial"/>
              </w:rPr>
              <w:t>Responses</w:t>
            </w:r>
          </w:p>
        </w:tc>
        <w:tc>
          <w:tcPr>
            <w:tcW w:w="2250" w:type="dxa"/>
          </w:tcPr>
          <w:p w:rsidR="00B46D37" w:rsidRPr="00446138" w:rsidP="00231342" w14:paraId="0BAB4630" w14:textId="4342F155">
            <w:pPr>
              <w:jc w:val="right"/>
              <w:rPr>
                <w:rFonts w:ascii="Arial" w:hAnsi="Arial" w:cs="Arial"/>
              </w:rPr>
            </w:pPr>
            <w:r>
              <w:rPr>
                <w:rFonts w:ascii="Arial" w:hAnsi="Arial" w:cs="Arial"/>
              </w:rPr>
              <w:t>374,707</w:t>
            </w:r>
          </w:p>
        </w:tc>
        <w:tc>
          <w:tcPr>
            <w:tcW w:w="2430" w:type="dxa"/>
          </w:tcPr>
          <w:p w:rsidR="00B46D37" w:rsidRPr="00446138" w:rsidP="00231342" w14:paraId="44B069B1" w14:textId="25EB1FC6">
            <w:pPr>
              <w:jc w:val="right"/>
              <w:rPr>
                <w:rFonts w:ascii="Arial" w:hAnsi="Arial" w:cs="Arial"/>
              </w:rPr>
            </w:pPr>
            <w:r>
              <w:rPr>
                <w:rFonts w:ascii="Arial" w:hAnsi="Arial" w:cs="Arial"/>
              </w:rPr>
              <w:t>-</w:t>
            </w:r>
            <w:r w:rsidR="006401DC">
              <w:rPr>
                <w:rFonts w:ascii="Arial" w:hAnsi="Arial" w:cs="Arial"/>
              </w:rPr>
              <w:t>25,5</w:t>
            </w:r>
            <w:r w:rsidR="0089386A">
              <w:rPr>
                <w:rFonts w:ascii="Arial" w:hAnsi="Arial" w:cs="Arial"/>
              </w:rPr>
              <w:t>85</w:t>
            </w:r>
          </w:p>
        </w:tc>
        <w:tc>
          <w:tcPr>
            <w:tcW w:w="2605" w:type="dxa"/>
          </w:tcPr>
          <w:p w:rsidR="00B46D37" w:rsidRPr="009D2304" w:rsidP="00231342" w14:paraId="3ED3855D" w14:textId="3D60E48A">
            <w:pPr>
              <w:jc w:val="right"/>
              <w:rPr>
                <w:rFonts w:ascii="Arial" w:hAnsi="Arial" w:cs="Arial"/>
              </w:rPr>
            </w:pPr>
            <w:r>
              <w:rPr>
                <w:rFonts w:ascii="Arial" w:hAnsi="Arial" w:cs="Arial"/>
              </w:rPr>
              <w:t>349,</w:t>
            </w:r>
            <w:r w:rsidR="00654228">
              <w:rPr>
                <w:rFonts w:ascii="Arial" w:hAnsi="Arial" w:cs="Arial"/>
              </w:rPr>
              <w:t>122</w:t>
            </w:r>
          </w:p>
        </w:tc>
      </w:tr>
      <w:tr w14:paraId="779A8939" w14:textId="77777777" w:rsidTr="00231342">
        <w:tblPrEx>
          <w:tblW w:w="0" w:type="auto"/>
          <w:tblLook w:val="04A0"/>
        </w:tblPrEx>
        <w:tc>
          <w:tcPr>
            <w:tcW w:w="2065" w:type="dxa"/>
          </w:tcPr>
          <w:p w:rsidR="00B46D37" w:rsidRPr="00446138" w:rsidP="00231342" w14:paraId="27E2E7D0" w14:textId="77777777">
            <w:pPr>
              <w:jc w:val="both"/>
              <w:rPr>
                <w:rFonts w:ascii="Arial" w:hAnsi="Arial" w:cs="Arial"/>
              </w:rPr>
            </w:pPr>
            <w:r w:rsidRPr="00446138">
              <w:rPr>
                <w:rFonts w:ascii="Arial" w:hAnsi="Arial" w:cs="Arial"/>
              </w:rPr>
              <w:t>Hours</w:t>
            </w:r>
          </w:p>
        </w:tc>
        <w:tc>
          <w:tcPr>
            <w:tcW w:w="2250" w:type="dxa"/>
          </w:tcPr>
          <w:p w:rsidR="00B46D37" w:rsidRPr="00446138" w:rsidP="00231342" w14:paraId="46E3E5E9" w14:textId="60961814">
            <w:pPr>
              <w:jc w:val="right"/>
              <w:rPr>
                <w:rFonts w:ascii="Arial" w:hAnsi="Arial" w:cs="Arial"/>
              </w:rPr>
            </w:pPr>
            <w:r>
              <w:rPr>
                <w:rFonts w:ascii="Arial" w:hAnsi="Arial" w:cs="Arial"/>
              </w:rPr>
              <w:t>266,567</w:t>
            </w:r>
          </w:p>
        </w:tc>
        <w:tc>
          <w:tcPr>
            <w:tcW w:w="2430" w:type="dxa"/>
          </w:tcPr>
          <w:p w:rsidR="00B46D37" w:rsidRPr="00446138" w:rsidP="00231342" w14:paraId="2FF80332" w14:textId="2A742718">
            <w:pPr>
              <w:jc w:val="right"/>
              <w:rPr>
                <w:rFonts w:ascii="Arial" w:hAnsi="Arial" w:cs="Arial"/>
              </w:rPr>
            </w:pPr>
            <w:r>
              <w:rPr>
                <w:rFonts w:ascii="Arial" w:hAnsi="Arial" w:cs="Arial"/>
              </w:rPr>
              <w:t>-</w:t>
            </w:r>
            <w:r w:rsidR="006401DC">
              <w:rPr>
                <w:rFonts w:ascii="Arial" w:hAnsi="Arial" w:cs="Arial"/>
              </w:rPr>
              <w:t>24,</w:t>
            </w:r>
            <w:r w:rsidR="00654228">
              <w:rPr>
                <w:rFonts w:ascii="Arial" w:hAnsi="Arial" w:cs="Arial"/>
              </w:rPr>
              <w:t>839</w:t>
            </w:r>
          </w:p>
        </w:tc>
        <w:tc>
          <w:tcPr>
            <w:tcW w:w="2605" w:type="dxa"/>
          </w:tcPr>
          <w:p w:rsidR="00B46D37" w:rsidRPr="009D2304" w:rsidP="00231342" w14:paraId="589F700D" w14:textId="548DC74C">
            <w:pPr>
              <w:jc w:val="right"/>
              <w:rPr>
                <w:rFonts w:ascii="Arial" w:hAnsi="Arial" w:cs="Arial"/>
              </w:rPr>
            </w:pPr>
            <w:r>
              <w:rPr>
                <w:rFonts w:ascii="Arial" w:hAnsi="Arial" w:cs="Arial"/>
              </w:rPr>
              <w:t>241,7</w:t>
            </w:r>
            <w:r w:rsidR="00654228">
              <w:rPr>
                <w:rFonts w:ascii="Arial" w:hAnsi="Arial" w:cs="Arial"/>
              </w:rPr>
              <w:t>28</w:t>
            </w:r>
          </w:p>
        </w:tc>
      </w:tr>
      <w:tr w14:paraId="01CFEBC1" w14:textId="77777777" w:rsidTr="00231342">
        <w:tblPrEx>
          <w:tblW w:w="0" w:type="auto"/>
          <w:tblLook w:val="04A0"/>
        </w:tblPrEx>
        <w:tc>
          <w:tcPr>
            <w:tcW w:w="2065" w:type="dxa"/>
          </w:tcPr>
          <w:p w:rsidR="00B46D37" w:rsidRPr="00446138" w:rsidP="00231342" w14:paraId="7E8F3C20" w14:textId="77777777">
            <w:pPr>
              <w:jc w:val="both"/>
              <w:rPr>
                <w:rFonts w:ascii="Arial" w:hAnsi="Arial" w:cs="Arial"/>
              </w:rPr>
            </w:pPr>
            <w:r w:rsidRPr="00446138">
              <w:rPr>
                <w:rFonts w:ascii="Arial" w:hAnsi="Arial" w:cs="Arial"/>
              </w:rPr>
              <w:t>Non-hourly costs ($)</w:t>
            </w:r>
          </w:p>
        </w:tc>
        <w:tc>
          <w:tcPr>
            <w:tcW w:w="2250" w:type="dxa"/>
          </w:tcPr>
          <w:p w:rsidR="00B46D37" w:rsidRPr="00446138" w:rsidP="00231342" w14:paraId="58029188" w14:textId="7BF5B57D">
            <w:pPr>
              <w:jc w:val="right"/>
              <w:rPr>
                <w:rFonts w:ascii="Arial" w:hAnsi="Arial" w:cs="Arial"/>
              </w:rPr>
            </w:pPr>
            <w:r>
              <w:rPr>
                <w:rFonts w:ascii="Arial" w:hAnsi="Arial" w:cs="Arial"/>
              </w:rPr>
              <w:t>51,143,805</w:t>
            </w:r>
          </w:p>
        </w:tc>
        <w:tc>
          <w:tcPr>
            <w:tcW w:w="2430" w:type="dxa"/>
          </w:tcPr>
          <w:p w:rsidR="00B46D37" w:rsidRPr="00446138" w:rsidP="00231342" w14:paraId="7595FC9F" w14:textId="294BDACC">
            <w:pPr>
              <w:jc w:val="right"/>
              <w:rPr>
                <w:rFonts w:ascii="Arial" w:hAnsi="Arial" w:cs="Arial"/>
              </w:rPr>
            </w:pPr>
            <w:r>
              <w:rPr>
                <w:rFonts w:ascii="Arial" w:hAnsi="Arial" w:cs="Arial"/>
              </w:rPr>
              <w:t>-6,</w:t>
            </w:r>
            <w:r w:rsidR="006401DC">
              <w:rPr>
                <w:rFonts w:ascii="Arial" w:hAnsi="Arial" w:cs="Arial"/>
              </w:rPr>
              <w:t>7</w:t>
            </w:r>
            <w:r w:rsidR="00654228">
              <w:rPr>
                <w:rFonts w:ascii="Arial" w:hAnsi="Arial" w:cs="Arial"/>
              </w:rPr>
              <w:t>55,902</w:t>
            </w:r>
          </w:p>
        </w:tc>
        <w:tc>
          <w:tcPr>
            <w:tcW w:w="2605" w:type="dxa"/>
          </w:tcPr>
          <w:p w:rsidR="00B46D37" w:rsidRPr="009D2304" w:rsidP="00231342" w14:paraId="16096763" w14:textId="01A28310">
            <w:pPr>
              <w:jc w:val="right"/>
              <w:rPr>
                <w:rFonts w:ascii="Arial" w:hAnsi="Arial" w:cs="Arial"/>
              </w:rPr>
            </w:pPr>
            <w:r>
              <w:rPr>
                <w:rFonts w:ascii="Arial" w:hAnsi="Arial" w:cs="Arial"/>
              </w:rPr>
              <w:t>44,</w:t>
            </w:r>
            <w:r w:rsidR="00654228">
              <w:rPr>
                <w:rFonts w:ascii="Arial" w:hAnsi="Arial" w:cs="Arial"/>
              </w:rPr>
              <w:t>387,903</w:t>
            </w:r>
          </w:p>
        </w:tc>
      </w:tr>
    </w:tbl>
    <w:p w:rsidR="000907F3" w:rsidP="0015171B" w14:paraId="513AD3B6" w14:textId="77777777">
      <w:pPr>
        <w:pStyle w:val="NoSpacing"/>
        <w:rPr>
          <w:rFonts w:ascii="Arial" w:hAnsi="Arial" w:cs="Arial"/>
        </w:rPr>
      </w:pPr>
    </w:p>
    <w:p w:rsidR="00B46D37" w:rsidP="0015171B" w14:paraId="098FD39E" w14:textId="0561C4F6">
      <w:pPr>
        <w:pStyle w:val="NoSpacing"/>
        <w:rPr>
          <w:rFonts w:ascii="Arial" w:hAnsi="Arial" w:cs="Arial"/>
        </w:rPr>
      </w:pPr>
      <w:r>
        <w:rPr>
          <w:rFonts w:ascii="Arial" w:hAnsi="Arial" w:cs="Arial"/>
        </w:rPr>
        <w:t>Therefore, the revised burden for 0651-0054 is as follows:</w:t>
      </w:r>
    </w:p>
    <w:p w:rsidR="00B46D37" w:rsidP="0015171B" w14:paraId="7AFFA465" w14:textId="77777777">
      <w:pPr>
        <w:pStyle w:val="NoSpacing"/>
        <w:rPr>
          <w:rFonts w:ascii="Arial" w:hAnsi="Arial" w:cs="Arial"/>
        </w:rPr>
      </w:pPr>
    </w:p>
    <w:p w:rsidR="00B46D37" w:rsidP="006C5C8C" w14:paraId="4D6A337D" w14:textId="42D2D8AC">
      <w:pPr>
        <w:pStyle w:val="NoSpacing"/>
        <w:numPr>
          <w:ilvl w:val="0"/>
          <w:numId w:val="1"/>
        </w:numPr>
        <w:rPr>
          <w:rFonts w:ascii="Arial" w:hAnsi="Arial" w:cs="Arial"/>
        </w:rPr>
      </w:pPr>
      <w:r>
        <w:rPr>
          <w:rFonts w:ascii="Arial" w:hAnsi="Arial" w:cs="Arial"/>
        </w:rPr>
        <w:t>349,</w:t>
      </w:r>
      <w:r w:rsidR="00D704EA">
        <w:rPr>
          <w:rFonts w:ascii="Arial" w:hAnsi="Arial" w:cs="Arial"/>
        </w:rPr>
        <w:t>122</w:t>
      </w:r>
      <w:r w:rsidR="006C5C8C">
        <w:rPr>
          <w:rFonts w:ascii="Arial" w:hAnsi="Arial" w:cs="Arial"/>
        </w:rPr>
        <w:t xml:space="preserve"> annual responses </w:t>
      </w:r>
    </w:p>
    <w:p w:rsidR="006C5C8C" w:rsidP="006C5C8C" w14:paraId="5EFB217E" w14:textId="4CACCE25">
      <w:pPr>
        <w:pStyle w:val="NoSpacing"/>
        <w:numPr>
          <w:ilvl w:val="0"/>
          <w:numId w:val="1"/>
        </w:numPr>
        <w:rPr>
          <w:rFonts w:ascii="Arial" w:hAnsi="Arial" w:cs="Arial"/>
        </w:rPr>
      </w:pPr>
      <w:r>
        <w:rPr>
          <w:rFonts w:ascii="Arial" w:hAnsi="Arial" w:cs="Arial"/>
        </w:rPr>
        <w:t>241,</w:t>
      </w:r>
      <w:r w:rsidR="00D704EA">
        <w:rPr>
          <w:rFonts w:ascii="Arial" w:hAnsi="Arial" w:cs="Arial"/>
        </w:rPr>
        <w:t>728</w:t>
      </w:r>
      <w:r>
        <w:rPr>
          <w:rFonts w:ascii="Arial" w:hAnsi="Arial" w:cs="Arial"/>
        </w:rPr>
        <w:t xml:space="preserve"> annual burden hours </w:t>
      </w:r>
    </w:p>
    <w:p w:rsidR="006C5C8C" w:rsidRPr="000907F3" w:rsidP="006C5C8C" w14:paraId="286DE1AF" w14:textId="405D8BC7">
      <w:pPr>
        <w:pStyle w:val="NoSpacing"/>
        <w:numPr>
          <w:ilvl w:val="0"/>
          <w:numId w:val="1"/>
        </w:numPr>
        <w:rPr>
          <w:rFonts w:ascii="Arial" w:hAnsi="Arial" w:cs="Arial"/>
        </w:rPr>
      </w:pPr>
      <w:r>
        <w:rPr>
          <w:rFonts w:ascii="Arial" w:hAnsi="Arial" w:cs="Arial"/>
        </w:rPr>
        <w:t>$44,</w:t>
      </w:r>
      <w:r w:rsidR="00654228">
        <w:rPr>
          <w:rFonts w:ascii="Arial" w:hAnsi="Arial" w:cs="Arial"/>
        </w:rPr>
        <w:t>387,903</w:t>
      </w:r>
      <w:r>
        <w:rPr>
          <w:rFonts w:ascii="Arial" w:hAnsi="Arial" w:cs="Arial"/>
        </w:rPr>
        <w:t xml:space="preserve"> in annual non-hourly cost burdens </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6F00AA3"/>
    <w:multiLevelType w:val="hybridMultilevel"/>
    <w:tmpl w:val="9D00AAD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56096C89"/>
    <w:multiLevelType w:val="hybridMultilevel"/>
    <w:tmpl w:val="11DEC17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557862715">
    <w:abstractNumId w:val="1"/>
  </w:num>
  <w:num w:numId="2" w16cid:durableId="245116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1B"/>
    <w:rsid w:val="00035483"/>
    <w:rsid w:val="000907F3"/>
    <w:rsid w:val="00097B54"/>
    <w:rsid w:val="00116C40"/>
    <w:rsid w:val="00121F09"/>
    <w:rsid w:val="0015171B"/>
    <w:rsid w:val="00187D67"/>
    <w:rsid w:val="00190F17"/>
    <w:rsid w:val="001D0241"/>
    <w:rsid w:val="001D3EE0"/>
    <w:rsid w:val="001E75C6"/>
    <w:rsid w:val="00231342"/>
    <w:rsid w:val="002774C4"/>
    <w:rsid w:val="00284E78"/>
    <w:rsid w:val="00290ACD"/>
    <w:rsid w:val="00292537"/>
    <w:rsid w:val="002B4C37"/>
    <w:rsid w:val="002C2AC5"/>
    <w:rsid w:val="002C5297"/>
    <w:rsid w:val="002C76F8"/>
    <w:rsid w:val="002D24E0"/>
    <w:rsid w:val="002E7C38"/>
    <w:rsid w:val="0033587E"/>
    <w:rsid w:val="0037688A"/>
    <w:rsid w:val="00377AB4"/>
    <w:rsid w:val="003929E7"/>
    <w:rsid w:val="00397059"/>
    <w:rsid w:val="003C2454"/>
    <w:rsid w:val="003E0A6E"/>
    <w:rsid w:val="00420122"/>
    <w:rsid w:val="00430209"/>
    <w:rsid w:val="00440AF4"/>
    <w:rsid w:val="00446138"/>
    <w:rsid w:val="004B20A3"/>
    <w:rsid w:val="00530A7D"/>
    <w:rsid w:val="00530C6E"/>
    <w:rsid w:val="00554C99"/>
    <w:rsid w:val="00557CFB"/>
    <w:rsid w:val="005666F7"/>
    <w:rsid w:val="005A0177"/>
    <w:rsid w:val="005D1D4C"/>
    <w:rsid w:val="005E3C99"/>
    <w:rsid w:val="006401DC"/>
    <w:rsid w:val="00640661"/>
    <w:rsid w:val="00644312"/>
    <w:rsid w:val="00654228"/>
    <w:rsid w:val="00691C1A"/>
    <w:rsid w:val="00694B3E"/>
    <w:rsid w:val="00695C9E"/>
    <w:rsid w:val="006C5C8C"/>
    <w:rsid w:val="00707C88"/>
    <w:rsid w:val="00722F18"/>
    <w:rsid w:val="00755013"/>
    <w:rsid w:val="00784FA1"/>
    <w:rsid w:val="00796EBB"/>
    <w:rsid w:val="007F3839"/>
    <w:rsid w:val="008105B3"/>
    <w:rsid w:val="008208DB"/>
    <w:rsid w:val="008612E6"/>
    <w:rsid w:val="00861D5A"/>
    <w:rsid w:val="00875D06"/>
    <w:rsid w:val="00876E46"/>
    <w:rsid w:val="00877FA7"/>
    <w:rsid w:val="0089386A"/>
    <w:rsid w:val="008A292B"/>
    <w:rsid w:val="008A3472"/>
    <w:rsid w:val="008B45C4"/>
    <w:rsid w:val="00903E25"/>
    <w:rsid w:val="009121E9"/>
    <w:rsid w:val="0092332D"/>
    <w:rsid w:val="00943778"/>
    <w:rsid w:val="0095656A"/>
    <w:rsid w:val="009663FF"/>
    <w:rsid w:val="009739E5"/>
    <w:rsid w:val="009902EB"/>
    <w:rsid w:val="009B5706"/>
    <w:rsid w:val="009C6D91"/>
    <w:rsid w:val="009D2304"/>
    <w:rsid w:val="009E0F4C"/>
    <w:rsid w:val="00A169CE"/>
    <w:rsid w:val="00A31CF3"/>
    <w:rsid w:val="00A34A71"/>
    <w:rsid w:val="00A63534"/>
    <w:rsid w:val="00A655EB"/>
    <w:rsid w:val="00A71B79"/>
    <w:rsid w:val="00A8327E"/>
    <w:rsid w:val="00A868E9"/>
    <w:rsid w:val="00AA7403"/>
    <w:rsid w:val="00B46D37"/>
    <w:rsid w:val="00B55117"/>
    <w:rsid w:val="00B855B4"/>
    <w:rsid w:val="00BC2FA1"/>
    <w:rsid w:val="00BD7C93"/>
    <w:rsid w:val="00BE495F"/>
    <w:rsid w:val="00BE50CE"/>
    <w:rsid w:val="00BE68C2"/>
    <w:rsid w:val="00C16814"/>
    <w:rsid w:val="00C22E17"/>
    <w:rsid w:val="00C35F49"/>
    <w:rsid w:val="00C52154"/>
    <w:rsid w:val="00C740F6"/>
    <w:rsid w:val="00C8367D"/>
    <w:rsid w:val="00CE34BF"/>
    <w:rsid w:val="00CF2C46"/>
    <w:rsid w:val="00CF7D55"/>
    <w:rsid w:val="00D22DF6"/>
    <w:rsid w:val="00D31A6D"/>
    <w:rsid w:val="00D5739E"/>
    <w:rsid w:val="00D704EA"/>
    <w:rsid w:val="00D9010D"/>
    <w:rsid w:val="00D97003"/>
    <w:rsid w:val="00DA5C07"/>
    <w:rsid w:val="00DC3BFF"/>
    <w:rsid w:val="00EA4818"/>
    <w:rsid w:val="00EF656D"/>
    <w:rsid w:val="00F0203D"/>
    <w:rsid w:val="00F07122"/>
    <w:rsid w:val="00F24C2D"/>
    <w:rsid w:val="00F27EFB"/>
    <w:rsid w:val="00F53BE7"/>
    <w:rsid w:val="00F72820"/>
    <w:rsid w:val="00F824DB"/>
    <w:rsid w:val="00FB2C97"/>
    <w:rsid w:val="00FB6C13"/>
    <w:rsid w:val="00FE6257"/>
    <w:rsid w:val="00FE62B4"/>
    <w:rsid w:val="0616D444"/>
    <w:rsid w:val="071DAAFB"/>
    <w:rsid w:val="0B8C04F5"/>
    <w:rsid w:val="12E449D5"/>
    <w:rsid w:val="154AE53F"/>
    <w:rsid w:val="1893A200"/>
    <w:rsid w:val="1A375F47"/>
    <w:rsid w:val="1D36056C"/>
    <w:rsid w:val="207A6F38"/>
    <w:rsid w:val="2145E8E1"/>
    <w:rsid w:val="262FAFC6"/>
    <w:rsid w:val="2789594C"/>
    <w:rsid w:val="28CDF9F7"/>
    <w:rsid w:val="36CD19A0"/>
    <w:rsid w:val="38261296"/>
    <w:rsid w:val="38D18015"/>
    <w:rsid w:val="3B06805C"/>
    <w:rsid w:val="3C28C813"/>
    <w:rsid w:val="3E43337E"/>
    <w:rsid w:val="3E62CA64"/>
    <w:rsid w:val="40840F93"/>
    <w:rsid w:val="438BC6AF"/>
    <w:rsid w:val="44693642"/>
    <w:rsid w:val="458F759F"/>
    <w:rsid w:val="4819AF54"/>
    <w:rsid w:val="4C548A4A"/>
    <w:rsid w:val="4E727BD0"/>
    <w:rsid w:val="52809054"/>
    <w:rsid w:val="56B87067"/>
    <w:rsid w:val="56EEA0CF"/>
    <w:rsid w:val="59070CAE"/>
    <w:rsid w:val="5DDD6471"/>
    <w:rsid w:val="70DE24F6"/>
    <w:rsid w:val="7ACD9587"/>
    <w:rsid w:val="7AF3B0E7"/>
    <w:rsid w:val="7DA0DEDC"/>
    <w:rsid w:val="7E7191F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733C1E5"/>
  <w15:chartTrackingRefBased/>
  <w15:docId w15:val="{9889FC7E-7D01-4FB3-9066-DA716B2E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534"/>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15171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5171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5171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5171B"/>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5171B"/>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5171B"/>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5171B"/>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5171B"/>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5171B"/>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71B"/>
    <w:rPr>
      <w:rFonts w:eastAsiaTheme="majorEastAsia" w:cstheme="majorBidi"/>
      <w:color w:val="272727" w:themeColor="text1" w:themeTint="D8"/>
    </w:rPr>
  </w:style>
  <w:style w:type="paragraph" w:styleId="Title">
    <w:name w:val="Title"/>
    <w:basedOn w:val="Normal"/>
    <w:next w:val="Normal"/>
    <w:link w:val="TitleChar"/>
    <w:uiPriority w:val="10"/>
    <w:qFormat/>
    <w:rsid w:val="0015171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51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71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51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71B"/>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5171B"/>
    <w:rPr>
      <w:i/>
      <w:iCs/>
      <w:color w:val="404040" w:themeColor="text1" w:themeTint="BF"/>
    </w:rPr>
  </w:style>
  <w:style w:type="paragraph" w:styleId="ListParagraph">
    <w:name w:val="List Paragraph"/>
    <w:basedOn w:val="Normal"/>
    <w:uiPriority w:val="34"/>
    <w:qFormat/>
    <w:rsid w:val="0015171B"/>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15171B"/>
    <w:rPr>
      <w:i/>
      <w:iCs/>
      <w:color w:val="0F4761" w:themeColor="accent1" w:themeShade="BF"/>
    </w:rPr>
  </w:style>
  <w:style w:type="paragraph" w:styleId="IntenseQuote">
    <w:name w:val="Intense Quote"/>
    <w:basedOn w:val="Normal"/>
    <w:next w:val="Normal"/>
    <w:link w:val="IntenseQuoteChar"/>
    <w:uiPriority w:val="30"/>
    <w:qFormat/>
    <w:rsid w:val="0015171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5171B"/>
    <w:rPr>
      <w:i/>
      <w:iCs/>
      <w:color w:val="0F4761" w:themeColor="accent1" w:themeShade="BF"/>
    </w:rPr>
  </w:style>
  <w:style w:type="character" w:styleId="IntenseReference">
    <w:name w:val="Intense Reference"/>
    <w:basedOn w:val="DefaultParagraphFont"/>
    <w:uiPriority w:val="32"/>
    <w:qFormat/>
    <w:rsid w:val="0015171B"/>
    <w:rPr>
      <w:b/>
      <w:bCs/>
      <w:smallCaps/>
      <w:color w:val="0F4761" w:themeColor="accent1" w:themeShade="BF"/>
      <w:spacing w:val="5"/>
    </w:rPr>
  </w:style>
  <w:style w:type="paragraph" w:styleId="NoSpacing">
    <w:name w:val="No Spacing"/>
    <w:uiPriority w:val="1"/>
    <w:qFormat/>
    <w:rsid w:val="0015171B"/>
    <w:pPr>
      <w:spacing w:after="0" w:line="240" w:lineRule="auto"/>
    </w:pPr>
  </w:style>
  <w:style w:type="character" w:styleId="Hyperlink">
    <w:name w:val="Hyperlink"/>
    <w:basedOn w:val="DefaultParagraphFont"/>
    <w:uiPriority w:val="99"/>
    <w:unhideWhenUsed/>
    <w:rsid w:val="00A63534"/>
    <w:rPr>
      <w:color w:val="467886" w:themeColor="hyperlink"/>
      <w:u w:val="single"/>
    </w:rPr>
  </w:style>
  <w:style w:type="paragraph" w:styleId="FootnoteText">
    <w:name w:val="footnote text"/>
    <w:basedOn w:val="Normal"/>
    <w:link w:val="FootnoteTextChar"/>
    <w:uiPriority w:val="99"/>
    <w:semiHidden/>
    <w:unhideWhenUsed/>
    <w:rsid w:val="00A63534"/>
  </w:style>
  <w:style w:type="character" w:customStyle="1" w:styleId="FootnoteTextChar">
    <w:name w:val="Footnote Text Char"/>
    <w:basedOn w:val="DefaultParagraphFont"/>
    <w:link w:val="FootnoteText"/>
    <w:uiPriority w:val="99"/>
    <w:semiHidden/>
    <w:rsid w:val="00A635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63534"/>
    <w:rPr>
      <w:vertAlign w:val="superscript"/>
    </w:rPr>
  </w:style>
  <w:style w:type="table" w:styleId="TableGrid">
    <w:name w:val="Table Grid"/>
    <w:basedOn w:val="TableNormal"/>
    <w:uiPriority w:val="39"/>
    <w:rsid w:val="00B46D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53BE7"/>
    <w:pPr>
      <w:tabs>
        <w:tab w:val="center" w:pos="4680"/>
        <w:tab w:val="right" w:pos="9360"/>
      </w:tabs>
    </w:pPr>
  </w:style>
  <w:style w:type="character" w:customStyle="1" w:styleId="HeaderChar">
    <w:name w:val="Header Char"/>
    <w:basedOn w:val="DefaultParagraphFont"/>
    <w:link w:val="Header"/>
    <w:uiPriority w:val="99"/>
    <w:semiHidden/>
    <w:rsid w:val="00F53BE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semiHidden/>
    <w:unhideWhenUsed/>
    <w:rsid w:val="00F53BE7"/>
    <w:pPr>
      <w:tabs>
        <w:tab w:val="center" w:pos="4680"/>
        <w:tab w:val="right" w:pos="9360"/>
      </w:tabs>
    </w:pPr>
  </w:style>
  <w:style w:type="character" w:customStyle="1" w:styleId="FooterChar">
    <w:name w:val="Footer Char"/>
    <w:basedOn w:val="DefaultParagraphFont"/>
    <w:link w:val="Footer"/>
    <w:uiPriority w:val="99"/>
    <w:semiHidden/>
    <w:rsid w:val="00F53BE7"/>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097B54"/>
    <w:rPr>
      <w:sz w:val="16"/>
      <w:szCs w:val="16"/>
    </w:rPr>
  </w:style>
  <w:style w:type="paragraph" w:styleId="CommentText">
    <w:name w:val="annotation text"/>
    <w:basedOn w:val="Normal"/>
    <w:link w:val="CommentTextChar"/>
    <w:uiPriority w:val="99"/>
    <w:unhideWhenUsed/>
    <w:rsid w:val="00097B54"/>
  </w:style>
  <w:style w:type="character" w:customStyle="1" w:styleId="CommentTextChar">
    <w:name w:val="Comment Text Char"/>
    <w:basedOn w:val="DefaultParagraphFont"/>
    <w:link w:val="CommentText"/>
    <w:uiPriority w:val="99"/>
    <w:rsid w:val="00097B5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97B54"/>
    <w:rPr>
      <w:b/>
      <w:bCs/>
    </w:rPr>
  </w:style>
  <w:style w:type="character" w:customStyle="1" w:styleId="CommentSubjectChar">
    <w:name w:val="Comment Subject Char"/>
    <w:basedOn w:val="CommentTextChar"/>
    <w:link w:val="CommentSubject"/>
    <w:uiPriority w:val="99"/>
    <w:semiHidden/>
    <w:rsid w:val="00097B54"/>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b8c3bc-3ea9-4050-8e17-eb45cd7e46fa" xsi:nil="true"/>
    <lcf76f155ced4ddcb4097134ff3c332f xmlns="0f5e2127-2ba4-41f5-b528-d0f9d9208b73">
      <Terms xmlns="http://schemas.microsoft.com/office/infopath/2007/PartnerControls"/>
    </lcf76f155ced4ddcb4097134ff3c332f>
    <Notes xmlns="0f5e2127-2ba4-41f5-b528-d0f9d9208b7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FF176B9C2D0B489525CF344D663D72" ma:contentTypeVersion="14" ma:contentTypeDescription="Create a new document." ma:contentTypeScope="" ma:versionID="56526bd60ded95e569f075cb35b5e358">
  <xsd:schema xmlns:xsd="http://www.w3.org/2001/XMLSchema" xmlns:xs="http://www.w3.org/2001/XMLSchema" xmlns:p="http://schemas.microsoft.com/office/2006/metadata/properties" xmlns:ns2="0f5e2127-2ba4-41f5-b528-d0f9d9208b73" xmlns:ns3="ebb8c3bc-3ea9-4050-8e17-eb45cd7e46fa" targetNamespace="http://schemas.microsoft.com/office/2006/metadata/properties" ma:root="true" ma:fieldsID="81239466dab746c81b656294f88d280b" ns2:_="" ns3:_="">
    <xsd:import namespace="0f5e2127-2ba4-41f5-b528-d0f9d9208b73"/>
    <xsd:import namespace="ebb8c3bc-3ea9-4050-8e17-eb45cd7e46fa"/>
    <xsd:element name="properties">
      <xsd:complexType>
        <xsd:sequence>
          <xsd:element name="documentManagement">
            <xsd:complexType>
              <xsd:all>
                <xsd:element ref="ns2:Notes" minOccurs="0"/>
                <xsd:element ref="ns3:SharedWithUsers" minOccurs="0"/>
                <xsd:element ref="ns3:SharedWithDetails"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e2127-2ba4-41f5-b528-d0f9d9208b73" elementFormDefault="qualified">
    <xsd:import namespace="http://schemas.microsoft.com/office/2006/documentManagement/types"/>
    <xsd:import namespace="http://schemas.microsoft.com/office/infopath/2007/PartnerControls"/>
    <xsd:element name="Notes" ma:index="8" nillable="true" ma:displayName="Notes" ma:format="Dropdown" ma:internalName="Notes">
      <xsd:simpleType>
        <xsd:restriction base="dms:Note">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4ebad28-0e8c-4119-ae15-4b314486bd6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b8c3bc-3ea9-4050-8e17-eb45cd7e46f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b61915e-72c2-4576-a693-607e66545238}" ma:internalName="TaxCatchAll" ma:showField="CatchAllData" ma:web="ebb8c3bc-3ea9-4050-8e17-eb45cd7e4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1F68-1946-49C4-B641-CDEE3ACD9771}">
  <ds:schemaRefs>
    <ds:schemaRef ds:uri="ebb8c3bc-3ea9-4050-8e17-eb45cd7e46fa"/>
    <ds:schemaRef ds:uri="http://schemas.microsoft.com/office/2006/documentManagement/types"/>
    <ds:schemaRef ds:uri="http://purl.org/dc/elements/1.1/"/>
    <ds:schemaRef ds:uri="http://www.w3.org/XML/1998/namespace"/>
    <ds:schemaRef ds:uri="http://purl.org/dc/dcmitype/"/>
    <ds:schemaRef ds:uri="0f5e2127-2ba4-41f5-b528-d0f9d9208b73"/>
    <ds:schemaRef ds:uri="http://schemas.openxmlformats.org/package/2006/metadata/core-properties"/>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2C3E57A4-C028-459A-9BE4-0D9E7CAC4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e2127-2ba4-41f5-b528-d0f9d9208b73"/>
    <ds:schemaRef ds:uri="ebb8c3bc-3ea9-4050-8e17-eb45cd7e46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9D572C-2145-4702-A55E-ADF664926108}">
  <ds:schemaRefs>
    <ds:schemaRef ds:uri="http://schemas.microsoft.com/sharepoint/v3/contenttype/forms"/>
  </ds:schemaRefs>
</ds:datastoreItem>
</file>

<file path=customXml/itemProps4.xml><?xml version="1.0" encoding="utf-8"?>
<ds:datastoreItem xmlns:ds="http://schemas.openxmlformats.org/officeDocument/2006/customXml" ds:itemID="{1F96896C-4775-41A6-B2AB-C0E597EB7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Gunther, Sarah</dc:creator>
  <cp:lastModifiedBy>Gunther, Sarah</cp:lastModifiedBy>
  <cp:revision>2</cp:revision>
  <dcterms:created xsi:type="dcterms:W3CDTF">2026-09-04T15:35:00Z</dcterms:created>
  <dcterms:modified xsi:type="dcterms:W3CDTF">2026-09-04T15:35:00Z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0x010100B0FF176B9C2D0B489525CF344D663D72</vt:lpwstr>
  </property>
  <property fmtid="{D5CDD505-2E9C-101B-9397-08002B2CF9AE}" pid="3" name="MediaServiceImageTags">
    <vt:lpwstr/>
  </property>
</Properties>
</file>