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D53D4" w:rsidP="0076709B" w14:paraId="7AE19566" w14:textId="4D8B148B">
      <w:pPr>
        <w:pStyle w:val="BodyText"/>
        <w:jc w:val="center"/>
      </w:pPr>
      <w:r>
        <w:t>UNITED STATES FOOD &amp; DRUG ADMINISTRATION</w:t>
      </w:r>
    </w:p>
    <w:p w:rsidR="004D53D4" w:rsidP="0076709B" w14:paraId="72403D7D" w14:textId="77777777">
      <w:pPr>
        <w:pStyle w:val="BodyText"/>
        <w:jc w:val="center"/>
      </w:pPr>
    </w:p>
    <w:p w:rsidR="00357C10" w:rsidRPr="004D53D4" w:rsidP="0076709B" w14:paraId="11FECE21" w14:textId="0DC5C545">
      <w:pPr>
        <w:pStyle w:val="BodyText"/>
        <w:jc w:val="center"/>
      </w:pPr>
      <w:r w:rsidRPr="004D53D4">
        <w:t>Medication Guide</w:t>
      </w:r>
      <w:r w:rsidR="00880C53">
        <w:t>s for Prescription Drug Products:</w:t>
      </w:r>
    </w:p>
    <w:p w:rsidR="00357C10" w:rsidRPr="004D53D4" w:rsidP="0076709B" w14:paraId="77367099" w14:textId="77777777">
      <w:pPr>
        <w:pStyle w:val="BodyText"/>
        <w:jc w:val="center"/>
      </w:pPr>
      <w:r w:rsidRPr="004D53D4">
        <w:t>21 CFR Part 208</w:t>
      </w:r>
    </w:p>
    <w:p w:rsidR="00357C10" w:rsidP="0076709B" w14:paraId="7E8A88A7" w14:textId="77777777">
      <w:pPr>
        <w:pStyle w:val="BodyText"/>
        <w:jc w:val="center"/>
      </w:pPr>
    </w:p>
    <w:p w:rsidR="000C108B" w:rsidRPr="00357C10" w:rsidP="0076709B" w14:paraId="23A95E3D" w14:textId="77777777">
      <w:pPr>
        <w:pStyle w:val="BodyText"/>
        <w:jc w:val="center"/>
      </w:pPr>
      <w:r w:rsidRPr="00357C10">
        <w:rPr>
          <w:u w:val="single"/>
        </w:rPr>
        <w:t>OMB</w:t>
      </w:r>
      <w:r w:rsidRPr="00357C10">
        <w:rPr>
          <w:spacing w:val="-3"/>
          <w:u w:val="single"/>
        </w:rPr>
        <w:t xml:space="preserve"> </w:t>
      </w:r>
      <w:r w:rsidRPr="00357C10">
        <w:rPr>
          <w:u w:val="single"/>
        </w:rPr>
        <w:t>Control</w:t>
      </w:r>
      <w:r w:rsidRPr="00357C10">
        <w:rPr>
          <w:spacing w:val="-1"/>
          <w:u w:val="single"/>
        </w:rPr>
        <w:t xml:space="preserve"> </w:t>
      </w:r>
      <w:r w:rsidRPr="00357C10">
        <w:rPr>
          <w:u w:val="single"/>
        </w:rPr>
        <w:t>No.</w:t>
      </w:r>
      <w:r w:rsidRPr="00357C10">
        <w:rPr>
          <w:spacing w:val="-1"/>
          <w:u w:val="single"/>
        </w:rPr>
        <w:t xml:space="preserve"> </w:t>
      </w:r>
      <w:r w:rsidRPr="00357C10">
        <w:rPr>
          <w:u w:val="single"/>
        </w:rPr>
        <w:t>0910-</w:t>
      </w:r>
      <w:r w:rsidRPr="00357C10">
        <w:rPr>
          <w:spacing w:val="-4"/>
          <w:u w:val="single"/>
        </w:rPr>
        <w:t>0393</w:t>
      </w:r>
      <w:r w:rsidR="00357C10">
        <w:rPr>
          <w:spacing w:val="-4"/>
        </w:rPr>
        <w:t xml:space="preserve"> - Extension</w:t>
      </w:r>
    </w:p>
    <w:p w:rsidR="000C108B" w:rsidP="0076709B" w14:paraId="33910F78" w14:textId="77777777">
      <w:pPr>
        <w:pStyle w:val="BodyText"/>
        <w:spacing w:before="2"/>
        <w:rPr>
          <w:sz w:val="20"/>
        </w:rPr>
      </w:pPr>
    </w:p>
    <w:p w:rsidR="00520D28" w:rsidRPr="00520D28" w:rsidP="0076709B" w14:paraId="6403C647" w14:textId="651425E9">
      <w:pPr>
        <w:spacing w:before="90"/>
        <w:rPr>
          <w:sz w:val="24"/>
        </w:rPr>
      </w:pPr>
      <w:r w:rsidRPr="00164098">
        <w:rPr>
          <w:sz w:val="24"/>
          <w:u w:val="single"/>
        </w:rPr>
        <w:t>Summary of Changes</w:t>
      </w:r>
      <w:r>
        <w:rPr>
          <w:sz w:val="24"/>
        </w:rPr>
        <w:t xml:space="preserve">:  </w:t>
      </w:r>
      <w:r w:rsidRPr="005465A9">
        <w:rPr>
          <w:i/>
          <w:iCs/>
          <w:sz w:val="24"/>
        </w:rPr>
        <w:t>A</w:t>
      </w:r>
      <w:r w:rsidRPr="00520D28">
        <w:rPr>
          <w:i/>
          <w:iCs/>
          <w:sz w:val="24"/>
        </w:rPr>
        <w:t xml:space="preserve">s a result of </w:t>
      </w:r>
      <w:r w:rsidRPr="005465A9">
        <w:rPr>
          <w:i/>
          <w:iCs/>
          <w:sz w:val="24"/>
        </w:rPr>
        <w:t xml:space="preserve">public </w:t>
      </w:r>
      <w:r w:rsidRPr="00520D28">
        <w:rPr>
          <w:i/>
          <w:iCs/>
          <w:sz w:val="24"/>
        </w:rPr>
        <w:t>comment, together with a reexamination of previous submissions for OMB review and approval, we have significantly revised our assessment of the disclosure burden</w:t>
      </w:r>
      <w:r w:rsidRPr="005465A9" w:rsidR="001B1C36">
        <w:rPr>
          <w:i/>
          <w:iCs/>
          <w:sz w:val="24"/>
        </w:rPr>
        <w:t xml:space="preserve"> resulting in an increase in</w:t>
      </w:r>
      <w:r w:rsidRPr="005465A9" w:rsidR="005465A9">
        <w:rPr>
          <w:i/>
          <w:iCs/>
          <w:sz w:val="24"/>
        </w:rPr>
        <w:t xml:space="preserve"> responses and a decrease in hours,</w:t>
      </w:r>
      <w:r w:rsidRPr="00520D28">
        <w:rPr>
          <w:i/>
          <w:iCs/>
          <w:sz w:val="24"/>
        </w:rPr>
        <w:t>.</w:t>
      </w:r>
      <w:r w:rsidRPr="005465A9">
        <w:rPr>
          <w:i/>
          <w:iCs/>
          <w:sz w:val="24"/>
        </w:rPr>
        <w:t xml:space="preserve">  We discuss this fully in our 30-day notice and in Q-15</w:t>
      </w:r>
      <w:r w:rsidRPr="005465A9" w:rsidR="005465A9">
        <w:rPr>
          <w:i/>
          <w:iCs/>
          <w:sz w:val="24"/>
        </w:rPr>
        <w:t xml:space="preserve"> below</w:t>
      </w:r>
      <w:r w:rsidRPr="005465A9">
        <w:rPr>
          <w:i/>
          <w:iCs/>
          <w:sz w:val="24"/>
        </w:rPr>
        <w:t>.</w:t>
      </w:r>
      <w:r w:rsidRPr="005465A9" w:rsidR="005465A9">
        <w:rPr>
          <w:i/>
          <w:iCs/>
          <w:sz w:val="24"/>
        </w:rPr>
        <w:t xml:space="preserve">  No forms are associated with the ICR.</w:t>
      </w:r>
    </w:p>
    <w:p w:rsidR="00520D28" w:rsidP="0076709B" w14:paraId="3ECD500E" w14:textId="77777777">
      <w:pPr>
        <w:spacing w:before="90"/>
        <w:rPr>
          <w:sz w:val="24"/>
        </w:rPr>
      </w:pPr>
    </w:p>
    <w:p w:rsidR="000C108B" w:rsidP="0076709B" w14:paraId="5F0B491B" w14:textId="6311D961">
      <w:pPr>
        <w:spacing w:before="90"/>
        <w:rPr>
          <w:b/>
          <w:sz w:val="24"/>
        </w:rPr>
      </w:pPr>
      <w:r>
        <w:rPr>
          <w:sz w:val="24"/>
        </w:rPr>
        <w:t>SUPPORTING</w:t>
      </w:r>
      <w:r>
        <w:rPr>
          <w:spacing w:val="-3"/>
          <w:sz w:val="24"/>
        </w:rPr>
        <w:t xml:space="preserve"> </w:t>
      </w:r>
      <w:r>
        <w:rPr>
          <w:sz w:val="24"/>
        </w:rPr>
        <w:t>STATEMENT</w:t>
      </w:r>
      <w:r>
        <w:rPr>
          <w:spacing w:val="-3"/>
          <w:sz w:val="24"/>
        </w:rPr>
        <w:t xml:space="preserve"> </w:t>
      </w:r>
      <w:r>
        <w:rPr>
          <w:sz w:val="24"/>
        </w:rPr>
        <w:t>–</w:t>
      </w:r>
      <w:r>
        <w:rPr>
          <w:spacing w:val="-3"/>
          <w:sz w:val="24"/>
        </w:rPr>
        <w:t xml:space="preserve"> </w:t>
      </w:r>
      <w:r>
        <w:rPr>
          <w:b/>
          <w:sz w:val="24"/>
        </w:rPr>
        <w:t>Part</w:t>
      </w:r>
      <w:r>
        <w:rPr>
          <w:b/>
          <w:spacing w:val="-2"/>
          <w:sz w:val="24"/>
        </w:rPr>
        <w:t xml:space="preserve"> </w:t>
      </w:r>
      <w:r>
        <w:rPr>
          <w:b/>
          <w:sz w:val="24"/>
        </w:rPr>
        <w:t>A:</w:t>
      </w:r>
      <w:r>
        <w:rPr>
          <w:b/>
          <w:spacing w:val="57"/>
          <w:sz w:val="24"/>
        </w:rPr>
        <w:t xml:space="preserve"> </w:t>
      </w:r>
      <w:r>
        <w:rPr>
          <w:b/>
          <w:spacing w:val="-2"/>
          <w:sz w:val="24"/>
        </w:rPr>
        <w:t>Justification</w:t>
      </w:r>
      <w:r w:rsidR="00357C10">
        <w:rPr>
          <w:b/>
          <w:spacing w:val="-2"/>
          <w:sz w:val="24"/>
        </w:rPr>
        <w:t>:</w:t>
      </w:r>
    </w:p>
    <w:p w:rsidR="000C108B" w:rsidP="0076709B" w14:paraId="4F007AD5" w14:textId="77777777">
      <w:pPr>
        <w:pStyle w:val="BodyText"/>
        <w:rPr>
          <w:b/>
        </w:rPr>
      </w:pPr>
    </w:p>
    <w:p w:rsidR="000C108B" w:rsidP="0076709B" w14:paraId="6075180A" w14:textId="77777777">
      <w:pPr>
        <w:pStyle w:val="ListParagraph"/>
        <w:numPr>
          <w:ilvl w:val="0"/>
          <w:numId w:val="1"/>
        </w:numPr>
        <w:ind w:left="0"/>
        <w:rPr>
          <w:sz w:val="24"/>
          <w:u w:val="none"/>
        </w:rPr>
      </w:pPr>
      <w:r>
        <w:rPr>
          <w:sz w:val="24"/>
        </w:rPr>
        <w:t>Circumstances</w:t>
      </w:r>
      <w:r>
        <w:rPr>
          <w:spacing w:val="-4"/>
          <w:sz w:val="24"/>
        </w:rPr>
        <w:t xml:space="preserve"> </w:t>
      </w:r>
      <w:r>
        <w:rPr>
          <w:sz w:val="24"/>
        </w:rPr>
        <w:t>Making</w:t>
      </w:r>
      <w:r>
        <w:rPr>
          <w:spacing w:val="-2"/>
          <w:sz w:val="24"/>
        </w:rPr>
        <w:t xml:space="preserve"> </w:t>
      </w:r>
      <w:r>
        <w:rPr>
          <w:sz w:val="24"/>
        </w:rPr>
        <w:t>the</w:t>
      </w:r>
      <w:r>
        <w:rPr>
          <w:spacing w:val="-1"/>
          <w:sz w:val="24"/>
        </w:rPr>
        <w:t xml:space="preserve"> </w:t>
      </w:r>
      <w:r>
        <w:rPr>
          <w:sz w:val="24"/>
        </w:rPr>
        <w:t>Collection</w:t>
      </w:r>
      <w:r>
        <w:rPr>
          <w:spacing w:val="-2"/>
          <w:sz w:val="24"/>
        </w:rPr>
        <w:t xml:space="preserve"> </w:t>
      </w:r>
      <w:r>
        <w:rPr>
          <w:sz w:val="24"/>
        </w:rPr>
        <w:t>of</w:t>
      </w:r>
      <w:r>
        <w:rPr>
          <w:spacing w:val="-2"/>
          <w:sz w:val="24"/>
        </w:rPr>
        <w:t xml:space="preserve"> </w:t>
      </w:r>
      <w:r>
        <w:rPr>
          <w:sz w:val="24"/>
        </w:rPr>
        <w:t>Information</w:t>
      </w:r>
      <w:r>
        <w:rPr>
          <w:spacing w:val="-1"/>
          <w:sz w:val="24"/>
        </w:rPr>
        <w:t xml:space="preserve"> </w:t>
      </w:r>
      <w:r>
        <w:rPr>
          <w:spacing w:val="-2"/>
          <w:sz w:val="24"/>
        </w:rPr>
        <w:t>Necessary</w:t>
      </w:r>
    </w:p>
    <w:p w:rsidR="000C108B" w:rsidP="0076709B" w14:paraId="07282F99" w14:textId="77777777">
      <w:pPr>
        <w:pStyle w:val="BodyText"/>
        <w:spacing w:before="2"/>
        <w:rPr>
          <w:sz w:val="16"/>
        </w:rPr>
      </w:pPr>
    </w:p>
    <w:p w:rsidR="000C108B" w:rsidP="0076709B" w14:paraId="2BB6ACA4" w14:textId="77777777">
      <w:pPr>
        <w:pStyle w:val="BodyText"/>
        <w:spacing w:before="90"/>
        <w:ind w:right="155"/>
      </w:pPr>
      <w:r>
        <w:t>This</w:t>
      </w:r>
      <w:r>
        <w:rPr>
          <w:spacing w:val="-2"/>
        </w:rPr>
        <w:t xml:space="preserve"> </w:t>
      </w:r>
      <w:r>
        <w:t>information</w:t>
      </w:r>
      <w:r>
        <w:rPr>
          <w:spacing w:val="-2"/>
        </w:rPr>
        <w:t xml:space="preserve"> </w:t>
      </w:r>
      <w:r>
        <w:t>collection</w:t>
      </w:r>
      <w:r>
        <w:rPr>
          <w:spacing w:val="-2"/>
        </w:rPr>
        <w:t xml:space="preserve"> </w:t>
      </w:r>
      <w:r>
        <w:t>supports</w:t>
      </w:r>
      <w:r>
        <w:rPr>
          <w:spacing w:val="-2"/>
        </w:rPr>
        <w:t xml:space="preserve"> </w:t>
      </w:r>
      <w:r w:rsidR="00325FCE">
        <w:rPr>
          <w:spacing w:val="-2"/>
        </w:rPr>
        <w:t xml:space="preserve">the </w:t>
      </w:r>
      <w:r>
        <w:t>Food</w:t>
      </w:r>
      <w:r>
        <w:rPr>
          <w:spacing w:val="-2"/>
        </w:rPr>
        <w:t xml:space="preserve"> </w:t>
      </w:r>
      <w:r>
        <w:t>and</w:t>
      </w:r>
      <w:r>
        <w:rPr>
          <w:spacing w:val="-2"/>
        </w:rPr>
        <w:t xml:space="preserve"> </w:t>
      </w:r>
      <w:r>
        <w:t>Drug</w:t>
      </w:r>
      <w:r>
        <w:rPr>
          <w:spacing w:val="-2"/>
        </w:rPr>
        <w:t xml:space="preserve"> </w:t>
      </w:r>
      <w:r>
        <w:t>Administration</w:t>
      </w:r>
      <w:r>
        <w:rPr>
          <w:spacing w:val="-2"/>
        </w:rPr>
        <w:t xml:space="preserve"> </w:t>
      </w:r>
      <w:r>
        <w:t>(FDA,</w:t>
      </w:r>
      <w:r>
        <w:rPr>
          <w:spacing w:val="-3"/>
        </w:rPr>
        <w:t xml:space="preserve"> </w:t>
      </w:r>
      <w:r>
        <w:t>the</w:t>
      </w:r>
      <w:r>
        <w:rPr>
          <w:spacing w:val="-2"/>
        </w:rPr>
        <w:t xml:space="preserve"> </w:t>
      </w:r>
      <w:r w:rsidR="008A5671">
        <w:t>agency</w:t>
      </w:r>
      <w:r>
        <w:t>,</w:t>
      </w:r>
      <w:r>
        <w:rPr>
          <w:spacing w:val="-2"/>
        </w:rPr>
        <w:t xml:space="preserve"> </w:t>
      </w:r>
      <w:r>
        <w:t>or</w:t>
      </w:r>
      <w:r>
        <w:rPr>
          <w:spacing w:val="-2"/>
        </w:rPr>
        <w:t xml:space="preserve"> </w:t>
      </w:r>
      <w:r>
        <w:t>we) regulations pertaining to the distribution of patient labeling, called Medication Guides, for</w:t>
      </w:r>
      <w:r>
        <w:rPr>
          <w:spacing w:val="40"/>
        </w:rPr>
        <w:t xml:space="preserve"> </w:t>
      </w:r>
      <w:r>
        <w:t>certain prescription human drug and biological products used primarily on an outpatient basis that pose</w:t>
      </w:r>
      <w:r>
        <w:rPr>
          <w:spacing w:val="-1"/>
        </w:rPr>
        <w:t xml:space="preserve"> </w:t>
      </w:r>
      <w:r>
        <w:t>a serious</w:t>
      </w:r>
      <w:r>
        <w:rPr>
          <w:spacing w:val="-1"/>
        </w:rPr>
        <w:t xml:space="preserve"> </w:t>
      </w:r>
      <w:r>
        <w:t>and significant public health concern.</w:t>
      </w:r>
      <w:r>
        <w:rPr>
          <w:spacing w:val="40"/>
        </w:rPr>
        <w:t xml:space="preserve"> </w:t>
      </w:r>
      <w:r>
        <w:t>The</w:t>
      </w:r>
      <w:r>
        <w:rPr>
          <w:spacing w:val="-3"/>
        </w:rPr>
        <w:t xml:space="preserve"> </w:t>
      </w:r>
      <w:r>
        <w:t>regulations are codified</w:t>
      </w:r>
      <w:r>
        <w:rPr>
          <w:spacing w:val="-1"/>
        </w:rPr>
        <w:t xml:space="preserve"> </w:t>
      </w:r>
      <w:r w:rsidR="003F6299">
        <w:t xml:space="preserve">in </w:t>
      </w:r>
      <w:r w:rsidR="00F569F2">
        <w:t>21 CFR part 208</w:t>
      </w:r>
      <w:r w:rsidRPr="3EDD604D">
        <w:t>:</w:t>
      </w:r>
      <w:r w:rsidRPr="003F6299">
        <w:rPr>
          <w:spacing w:val="-3"/>
        </w:rPr>
        <w:t xml:space="preserve"> </w:t>
      </w:r>
      <w:r w:rsidRPr="3EDD604D">
        <w:rPr>
          <w:i/>
          <w:iCs/>
        </w:rPr>
        <w:t>Medication</w:t>
      </w:r>
      <w:r w:rsidRPr="003F6299">
        <w:rPr>
          <w:i/>
          <w:iCs/>
          <w:spacing w:val="-3"/>
        </w:rPr>
        <w:t xml:space="preserve"> </w:t>
      </w:r>
      <w:r w:rsidRPr="3EDD604D">
        <w:rPr>
          <w:i/>
          <w:iCs/>
        </w:rPr>
        <w:t>Guides</w:t>
      </w:r>
      <w:r w:rsidRPr="003F6299">
        <w:rPr>
          <w:i/>
          <w:iCs/>
          <w:spacing w:val="-3"/>
        </w:rPr>
        <w:t xml:space="preserve"> </w:t>
      </w:r>
      <w:r w:rsidRPr="3EDD604D">
        <w:rPr>
          <w:i/>
          <w:iCs/>
        </w:rPr>
        <w:t>for</w:t>
      </w:r>
      <w:r w:rsidRPr="003F6299">
        <w:rPr>
          <w:i/>
          <w:iCs/>
          <w:spacing w:val="-3"/>
        </w:rPr>
        <w:t xml:space="preserve"> </w:t>
      </w:r>
      <w:r w:rsidRPr="3EDD604D">
        <w:rPr>
          <w:i/>
          <w:iCs/>
        </w:rPr>
        <w:t>Prescription</w:t>
      </w:r>
      <w:r w:rsidRPr="003F6299">
        <w:rPr>
          <w:i/>
          <w:iCs/>
          <w:spacing w:val="-4"/>
        </w:rPr>
        <w:t xml:space="preserve"> </w:t>
      </w:r>
      <w:r w:rsidRPr="3EDD604D">
        <w:rPr>
          <w:i/>
          <w:iCs/>
        </w:rPr>
        <w:t>Drug</w:t>
      </w:r>
      <w:r w:rsidRPr="003F6299">
        <w:rPr>
          <w:i/>
          <w:iCs/>
          <w:spacing w:val="-4"/>
        </w:rPr>
        <w:t xml:space="preserve"> </w:t>
      </w:r>
      <w:r w:rsidRPr="3EDD604D">
        <w:rPr>
          <w:i/>
          <w:iCs/>
        </w:rPr>
        <w:t>Products</w:t>
      </w:r>
      <w:r>
        <w:rPr>
          <w:spacing w:val="-3"/>
        </w:rPr>
        <w:t xml:space="preserve"> </w:t>
      </w:r>
      <w:r>
        <w:t>and</w:t>
      </w:r>
      <w:r>
        <w:rPr>
          <w:spacing w:val="-3"/>
        </w:rPr>
        <w:t xml:space="preserve"> </w:t>
      </w:r>
      <w:r>
        <w:t>set</w:t>
      </w:r>
      <w:r>
        <w:rPr>
          <w:spacing w:val="-3"/>
        </w:rPr>
        <w:t xml:space="preserve"> </w:t>
      </w:r>
      <w:r>
        <w:t>forth</w:t>
      </w:r>
      <w:r>
        <w:rPr>
          <w:spacing w:val="-3"/>
        </w:rPr>
        <w:t xml:space="preserve"> </w:t>
      </w:r>
      <w:r>
        <w:t>general requirements</w:t>
      </w:r>
      <w:r>
        <w:rPr>
          <w:spacing w:val="-1"/>
        </w:rPr>
        <w:t xml:space="preserve"> </w:t>
      </w:r>
      <w:r>
        <w:t>including</w:t>
      </w:r>
      <w:r>
        <w:rPr>
          <w:spacing w:val="-1"/>
        </w:rPr>
        <w:t xml:space="preserve"> </w:t>
      </w:r>
      <w:r>
        <w:t>both</w:t>
      </w:r>
      <w:r>
        <w:rPr>
          <w:spacing w:val="-1"/>
        </w:rPr>
        <w:t xml:space="preserve"> </w:t>
      </w:r>
      <w:r>
        <w:t>content</w:t>
      </w:r>
      <w:r>
        <w:rPr>
          <w:spacing w:val="-1"/>
        </w:rPr>
        <w:t xml:space="preserve"> </w:t>
      </w:r>
      <w:r>
        <w:t>and</w:t>
      </w:r>
      <w:r>
        <w:rPr>
          <w:spacing w:val="-1"/>
        </w:rPr>
        <w:t xml:space="preserve"> </w:t>
      </w:r>
      <w:r>
        <w:t>format,</w:t>
      </w:r>
      <w:r>
        <w:rPr>
          <w:spacing w:val="-1"/>
        </w:rPr>
        <w:t xml:space="preserve"> </w:t>
      </w:r>
      <w:r>
        <w:t>as</w:t>
      </w:r>
      <w:r>
        <w:rPr>
          <w:spacing w:val="-1"/>
        </w:rPr>
        <w:t xml:space="preserve"> </w:t>
      </w:r>
      <w:r>
        <w:t>well</w:t>
      </w:r>
      <w:r>
        <w:rPr>
          <w:spacing w:val="-2"/>
        </w:rPr>
        <w:t xml:space="preserve"> </w:t>
      </w:r>
      <w:r>
        <w:t>as</w:t>
      </w:r>
      <w:r>
        <w:rPr>
          <w:spacing w:val="-1"/>
        </w:rPr>
        <w:t xml:space="preserve"> </w:t>
      </w:r>
      <w:r>
        <w:t>provide</w:t>
      </w:r>
      <w:r>
        <w:rPr>
          <w:spacing w:val="-1"/>
        </w:rPr>
        <w:t xml:space="preserve"> </w:t>
      </w:r>
      <w:r>
        <w:t>for</w:t>
      </w:r>
      <w:r>
        <w:rPr>
          <w:spacing w:val="-1"/>
        </w:rPr>
        <w:t xml:space="preserve"> </w:t>
      </w:r>
      <w:r>
        <w:t>exemptions</w:t>
      </w:r>
      <w:r>
        <w:rPr>
          <w:spacing w:val="-1"/>
        </w:rPr>
        <w:t xml:space="preserve"> </w:t>
      </w:r>
      <w:r>
        <w:t>and</w:t>
      </w:r>
      <w:r>
        <w:rPr>
          <w:spacing w:val="-1"/>
        </w:rPr>
        <w:t xml:space="preserve"> </w:t>
      </w:r>
      <w:r>
        <w:t xml:space="preserve">deferrals. Medication Guides provide patients important information about drug products, including the drug’s approved uses, contraindications, adverse drug reactions, and cautions for specific populations, and are required in accordance with </w:t>
      </w:r>
      <w:r w:rsidR="008A5671">
        <w:t>agency</w:t>
      </w:r>
      <w:r>
        <w:t xml:space="preserve"> regulations.</w:t>
      </w:r>
    </w:p>
    <w:p w:rsidR="000C108B" w:rsidP="0076709B" w14:paraId="1A09E1ED" w14:textId="77777777">
      <w:pPr>
        <w:pStyle w:val="BodyText"/>
      </w:pPr>
    </w:p>
    <w:p w:rsidR="000C108B" w:rsidP="0076709B" w14:paraId="082D0C7B" w14:textId="77777777">
      <w:pPr>
        <w:pStyle w:val="BodyText"/>
        <w:spacing w:before="1"/>
        <w:ind w:right="150"/>
      </w:pPr>
      <w:r>
        <w:t>To</w:t>
      </w:r>
      <w:r>
        <w:rPr>
          <w:spacing w:val="-4"/>
        </w:rPr>
        <w:t xml:space="preserve"> </w:t>
      </w:r>
      <w:r>
        <w:t>assist</w:t>
      </w:r>
      <w:r>
        <w:rPr>
          <w:spacing w:val="-4"/>
        </w:rPr>
        <w:t xml:space="preserve"> </w:t>
      </w:r>
      <w:r>
        <w:t>both</w:t>
      </w:r>
      <w:r>
        <w:rPr>
          <w:spacing w:val="-4"/>
        </w:rPr>
        <w:t xml:space="preserve"> </w:t>
      </w:r>
      <w:r>
        <w:t>consumers</w:t>
      </w:r>
      <w:r>
        <w:rPr>
          <w:spacing w:val="-4"/>
        </w:rPr>
        <w:t xml:space="preserve"> </w:t>
      </w:r>
      <w:r>
        <w:t>and</w:t>
      </w:r>
      <w:r>
        <w:rPr>
          <w:spacing w:val="-4"/>
        </w:rPr>
        <w:t xml:space="preserve"> </w:t>
      </w:r>
      <w:r>
        <w:t>industry</w:t>
      </w:r>
      <w:r>
        <w:rPr>
          <w:spacing w:val="-5"/>
        </w:rPr>
        <w:t xml:space="preserve"> </w:t>
      </w:r>
      <w:r>
        <w:t>with</w:t>
      </w:r>
      <w:r>
        <w:rPr>
          <w:spacing w:val="-5"/>
        </w:rPr>
        <w:t xml:space="preserve"> </w:t>
      </w:r>
      <w:r>
        <w:t>understanding</w:t>
      </w:r>
      <w:r>
        <w:rPr>
          <w:spacing w:val="-5"/>
        </w:rPr>
        <w:t xml:space="preserve"> </w:t>
      </w:r>
      <w:r>
        <w:t>the</w:t>
      </w:r>
      <w:r>
        <w:rPr>
          <w:spacing w:val="-4"/>
        </w:rPr>
        <w:t xml:space="preserve"> </w:t>
      </w:r>
      <w:r>
        <w:t>applicable</w:t>
      </w:r>
      <w:r>
        <w:rPr>
          <w:spacing w:val="-4"/>
        </w:rPr>
        <w:t xml:space="preserve"> </w:t>
      </w:r>
      <w:r>
        <w:t>regulatory</w:t>
      </w:r>
      <w:r>
        <w:rPr>
          <w:spacing w:val="-4"/>
        </w:rPr>
        <w:t xml:space="preserve"> </w:t>
      </w:r>
      <w:r>
        <w:t>requirements and purpose of Medication Guides, we have developed resources and made them available on</w:t>
      </w:r>
      <w:r>
        <w:rPr>
          <w:spacing w:val="40"/>
        </w:rPr>
        <w:t xml:space="preserve"> </w:t>
      </w:r>
      <w:r>
        <w:t xml:space="preserve">our website at </w:t>
      </w:r>
      <w:hyperlink r:id="rId5">
        <w:r w:rsidRPr="008A5671" w:rsidR="008A5671">
          <w:rPr>
            <w:color w:val="0000FF"/>
            <w:u w:val="single"/>
          </w:rPr>
          <w:t>Medication Guides</w:t>
        </w:r>
      </w:hyperlink>
      <w:r w:rsidR="008A5671">
        <w:rPr>
          <w:color w:val="0000FF"/>
          <w:u w:val="single"/>
        </w:rPr>
        <w:t>.</w:t>
      </w:r>
      <w:r w:rsidR="005225BD">
        <w:rPr>
          <w:spacing w:val="40"/>
        </w:rPr>
        <w:t xml:space="preserve">  </w:t>
      </w:r>
      <w:r>
        <w:t>Among the resources</w:t>
      </w:r>
      <w:r w:rsidR="003F6299">
        <w:t>,</w:t>
      </w:r>
      <w:r>
        <w:t xml:space="preserve"> we include the guidance document entitled </w:t>
      </w:r>
      <w:r>
        <w:rPr>
          <w:i/>
        </w:rPr>
        <w:t>Medication Guides — Distribution Requirements and Inclusion in Risk Evaluation and Mitigation Strategies (REMS</w:t>
      </w:r>
      <w:r w:rsidR="00DB2D34">
        <w:rPr>
          <w:i/>
        </w:rPr>
        <w:t>)</w:t>
      </w:r>
      <w:r w:rsidR="00DB2D34">
        <w:rPr>
          <w:iCs/>
        </w:rPr>
        <w:t xml:space="preserve"> (November 2011),</w:t>
      </w:r>
      <w:r w:rsidR="005225BD">
        <w:rPr>
          <w:iCs/>
        </w:rPr>
        <w:t xml:space="preserve"> </w:t>
      </w:r>
      <w:r>
        <w:t>as well as a discussion of the distinction between Medication Guides and Consumer Medication information.</w:t>
      </w:r>
      <w:r>
        <w:rPr>
          <w:spacing w:val="40"/>
        </w:rPr>
        <w:t xml:space="preserve"> </w:t>
      </w:r>
      <w:r>
        <w:t>The regulations, guidance, and informational resources are intended to improve the public health by enabling patients to use certain medications most safely and effectively.</w:t>
      </w:r>
    </w:p>
    <w:p w:rsidR="008D11A8" w:rsidP="0076709B" w14:paraId="3F1135F0" w14:textId="77777777">
      <w:pPr>
        <w:pStyle w:val="BodyText"/>
        <w:spacing w:before="1"/>
        <w:ind w:right="150"/>
      </w:pPr>
    </w:p>
    <w:p w:rsidR="000C108B" w:rsidRPr="00164098" w:rsidP="0076709B" w14:paraId="434473D2" w14:textId="1C652E10">
      <w:pPr>
        <w:pStyle w:val="BodyText"/>
        <w:spacing w:before="1"/>
        <w:ind w:right="150"/>
      </w:pPr>
      <w:r>
        <w:t xml:space="preserve">We are requesting a reinstatement of </w:t>
      </w:r>
      <w:r w:rsidR="00164098">
        <w:t xml:space="preserve">OMB approval for </w:t>
      </w:r>
      <w:r>
        <w:t>the information collection</w:t>
      </w:r>
      <w:r w:rsidR="00164098">
        <w:t>, noting changes and adjustments below.</w:t>
      </w:r>
    </w:p>
    <w:p w:rsidR="000C108B" w:rsidP="0076709B" w14:paraId="3361CB28" w14:textId="77777777">
      <w:pPr>
        <w:pStyle w:val="BodyText"/>
      </w:pPr>
    </w:p>
    <w:p w:rsidR="000C108B" w:rsidP="0076709B" w14:paraId="49BB7E6B" w14:textId="77777777">
      <w:pPr>
        <w:pStyle w:val="ListParagraph"/>
        <w:numPr>
          <w:ilvl w:val="0"/>
          <w:numId w:val="1"/>
        </w:numPr>
        <w:ind w:left="0" w:hanging="300"/>
        <w:rPr>
          <w:sz w:val="24"/>
          <w:u w:val="none"/>
        </w:rPr>
      </w:pPr>
      <w:r>
        <w:rPr>
          <w:sz w:val="24"/>
        </w:rPr>
        <w:t>Purpose</w:t>
      </w:r>
      <w:r>
        <w:rPr>
          <w:spacing w:val="-3"/>
          <w:sz w:val="24"/>
        </w:rPr>
        <w:t xml:space="preserve"> </w:t>
      </w:r>
      <w:r>
        <w:rPr>
          <w:sz w:val="24"/>
        </w:rPr>
        <w:t>and</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Information</w:t>
      </w:r>
      <w:r>
        <w:rPr>
          <w:spacing w:val="-1"/>
          <w:sz w:val="24"/>
        </w:rPr>
        <w:t xml:space="preserve"> </w:t>
      </w:r>
      <w:r>
        <w:rPr>
          <w:spacing w:val="-2"/>
          <w:sz w:val="24"/>
        </w:rPr>
        <w:t>Collection</w:t>
      </w:r>
    </w:p>
    <w:p w:rsidR="000C108B" w:rsidP="0076709B" w14:paraId="38EDB440" w14:textId="77777777">
      <w:pPr>
        <w:pStyle w:val="BodyText"/>
        <w:spacing w:before="2"/>
        <w:rPr>
          <w:sz w:val="16"/>
        </w:rPr>
      </w:pPr>
    </w:p>
    <w:p w:rsidR="000C108B" w:rsidP="00A02FE3" w14:paraId="1B03ABC1" w14:textId="763A80D6">
      <w:pPr>
        <w:rPr>
          <w:sz w:val="24"/>
          <w:szCs w:val="24"/>
        </w:rPr>
      </w:pPr>
      <w:r w:rsidRPr="00F940A7">
        <w:rPr>
          <w:sz w:val="24"/>
          <w:szCs w:val="24"/>
        </w:rPr>
        <w:t>Included among the requirements in 21 CFR part 314 that govern applications for FDA approval to market a new drug is the submission of any Medication Guide (see 21 CFR part 314.50), as applicable under 21 CFR part 208, as well as any supplemental changes (see 21 CFR 314.70).  The Agency uses the information submitted to determine whether the Medication Guide complies with applicable regulatory requirements.  Information collection activities applicable to regulations in 21 CFR part 314 are currently approved in OMB control no. 0910-0001.  In this request FDA is accounting for information collection burden we believe attributable to regulatory requirements</w:t>
      </w:r>
      <w:r w:rsidR="00B0304E">
        <w:rPr>
          <w:sz w:val="24"/>
          <w:szCs w:val="24"/>
        </w:rPr>
        <w:t xml:space="preserve"> in</w:t>
      </w:r>
      <w:r w:rsidRPr="00F940A7">
        <w:rPr>
          <w:sz w:val="24"/>
          <w:szCs w:val="24"/>
        </w:rPr>
        <w:t xml:space="preserve"> 21 CFR </w:t>
      </w:r>
      <w:r w:rsidR="00B0304E">
        <w:rPr>
          <w:sz w:val="24"/>
          <w:szCs w:val="24"/>
        </w:rPr>
        <w:t>part 208.</w:t>
      </w:r>
    </w:p>
    <w:p w:rsidR="00A02FE3" w:rsidP="00A02FE3" w14:paraId="5CBA0786" w14:textId="77777777">
      <w:pPr>
        <w:rPr>
          <w:sz w:val="24"/>
          <w:szCs w:val="24"/>
        </w:rPr>
      </w:pPr>
    </w:p>
    <w:p w:rsidR="00A02FE3" w14:paraId="310066F9" w14:textId="77777777">
      <w:pPr>
        <w:rPr>
          <w:sz w:val="24"/>
          <w:szCs w:val="24"/>
          <w:u w:val="single" w:color="000000"/>
        </w:rPr>
      </w:pPr>
      <w:r>
        <w:rPr>
          <w:sz w:val="24"/>
          <w:szCs w:val="24"/>
        </w:rPr>
        <w:br w:type="page"/>
      </w:r>
    </w:p>
    <w:p w:rsidR="00A02FE3" w:rsidRPr="00A02FE3" w:rsidP="00A02FE3" w14:paraId="6BAEE36B" w14:textId="3217E38A">
      <w:pPr>
        <w:pStyle w:val="ListParagraph"/>
        <w:numPr>
          <w:ilvl w:val="0"/>
          <w:numId w:val="1"/>
        </w:numPr>
        <w:ind w:left="-270" w:firstLine="0"/>
        <w:rPr>
          <w:sz w:val="24"/>
          <w:szCs w:val="24"/>
        </w:rPr>
      </w:pPr>
      <w:r>
        <w:rPr>
          <w:sz w:val="24"/>
          <w:szCs w:val="24"/>
        </w:rPr>
        <w:t xml:space="preserve">Use of </w:t>
      </w:r>
      <w:r w:rsidR="002C7C17">
        <w:rPr>
          <w:sz w:val="24"/>
          <w:szCs w:val="24"/>
        </w:rPr>
        <w:t xml:space="preserve">Improved </w:t>
      </w:r>
      <w:r>
        <w:rPr>
          <w:sz w:val="24"/>
          <w:szCs w:val="24"/>
        </w:rPr>
        <w:t xml:space="preserve">Information Technology </w:t>
      </w:r>
      <w:r w:rsidR="002C7C17">
        <w:rPr>
          <w:sz w:val="24"/>
          <w:szCs w:val="24"/>
        </w:rPr>
        <w:t>and Burden Reduction</w:t>
      </w:r>
    </w:p>
    <w:p w:rsidR="00A02FE3" w:rsidP="00A02FE3" w14:paraId="2D17DE99" w14:textId="77777777">
      <w:pPr>
        <w:rPr>
          <w:sz w:val="24"/>
          <w:szCs w:val="24"/>
        </w:rPr>
      </w:pPr>
    </w:p>
    <w:p w:rsidR="002C7C17" w:rsidRPr="00A02FE3" w:rsidP="007649CA" w14:paraId="42FF1C6F" w14:textId="61C8DD45">
      <w:pPr>
        <w:rPr>
          <w:sz w:val="24"/>
          <w:szCs w:val="24"/>
        </w:rPr>
      </w:pPr>
      <w:r w:rsidRPr="007649CA">
        <w:rPr>
          <w:sz w:val="24"/>
          <w:szCs w:val="24"/>
        </w:rPr>
        <w:t>Labeling under part 208 may be submitted in electronic format provided it is submitted in a form that FDA can process, review, and archive. Because the labeling is submitted as part of the</w:t>
      </w:r>
      <w:r>
        <w:rPr>
          <w:sz w:val="24"/>
          <w:szCs w:val="24"/>
        </w:rPr>
        <w:t xml:space="preserve"> </w:t>
      </w:r>
      <w:r w:rsidRPr="007649CA">
        <w:rPr>
          <w:sz w:val="24"/>
          <w:szCs w:val="24"/>
        </w:rPr>
        <w:t>application process for new drug applications (NDA), biologics license applications (BLA), and abbreviated new drug applications (ANDA), we believe this helps minimize burden on respondents. FDA provides resources to industry, including guidance, regarding the submission of information in electronic format.</w:t>
      </w:r>
    </w:p>
    <w:p w:rsidR="000C108B" w:rsidP="0076709B" w14:paraId="76E0C6C1" w14:textId="4372693E">
      <w:pPr>
        <w:pStyle w:val="ListParagraph"/>
        <w:numPr>
          <w:ilvl w:val="0"/>
          <w:numId w:val="1"/>
        </w:numPr>
        <w:spacing w:before="90"/>
        <w:ind w:left="0"/>
        <w:rPr>
          <w:sz w:val="24"/>
          <w:u w:val="none"/>
        </w:rPr>
      </w:pPr>
      <w:r>
        <w:rPr>
          <w:sz w:val="24"/>
        </w:rPr>
        <w:t>Efforts</w:t>
      </w:r>
      <w:r>
        <w:rPr>
          <w:spacing w:val="-3"/>
          <w:sz w:val="24"/>
        </w:rPr>
        <w:t xml:space="preserve"> </w:t>
      </w:r>
      <w:r w:rsidR="00492B46">
        <w:rPr>
          <w:sz w:val="24"/>
        </w:rPr>
        <w:t>T</w:t>
      </w:r>
      <w:r>
        <w:rPr>
          <w:sz w:val="24"/>
        </w:rPr>
        <w:t>o Identify</w:t>
      </w:r>
      <w:r>
        <w:rPr>
          <w:spacing w:val="-1"/>
          <w:sz w:val="24"/>
        </w:rPr>
        <w:t xml:space="preserve"> </w:t>
      </w:r>
      <w:r>
        <w:rPr>
          <w:sz w:val="24"/>
        </w:rPr>
        <w:t>Duplication and Use</w:t>
      </w:r>
      <w:r>
        <w:rPr>
          <w:spacing w:val="-1"/>
          <w:sz w:val="24"/>
        </w:rPr>
        <w:t xml:space="preserve"> </w:t>
      </w:r>
      <w:r>
        <w:rPr>
          <w:sz w:val="24"/>
        </w:rPr>
        <w:t xml:space="preserve">of Similar </w:t>
      </w:r>
      <w:r>
        <w:rPr>
          <w:spacing w:val="-2"/>
          <w:sz w:val="24"/>
        </w:rPr>
        <w:t>Information</w:t>
      </w:r>
    </w:p>
    <w:p w:rsidR="000C108B" w:rsidP="0076709B" w14:paraId="2835CA6F" w14:textId="77777777">
      <w:pPr>
        <w:pStyle w:val="BodyText"/>
        <w:spacing w:before="2"/>
        <w:rPr>
          <w:sz w:val="16"/>
        </w:rPr>
      </w:pPr>
    </w:p>
    <w:p w:rsidR="000C108B" w:rsidP="0076709B" w14:paraId="32A3C297" w14:textId="77777777">
      <w:pPr>
        <w:pStyle w:val="BodyText"/>
        <w:spacing w:before="90"/>
        <w:ind w:right="63"/>
      </w:pPr>
      <w:r>
        <w:t>We are unaware of duplicative information collection.</w:t>
      </w:r>
      <w:r>
        <w:rPr>
          <w:spacing w:val="40"/>
        </w:rPr>
        <w:t xml:space="preserve"> </w:t>
      </w:r>
      <w:r>
        <w:t xml:space="preserve">Although other </w:t>
      </w:r>
      <w:r w:rsidRPr="00971AD2">
        <w:t>ICRs</w:t>
      </w:r>
      <w:r>
        <w:t xml:space="preserve"> cover specific labeling</w:t>
      </w:r>
      <w:r>
        <w:rPr>
          <w:spacing w:val="-4"/>
        </w:rPr>
        <w:t xml:space="preserve"> </w:t>
      </w:r>
      <w:r>
        <w:t>requirements</w:t>
      </w:r>
      <w:r>
        <w:rPr>
          <w:spacing w:val="-4"/>
        </w:rPr>
        <w:t xml:space="preserve"> </w:t>
      </w:r>
      <w:r>
        <w:t>(OMB</w:t>
      </w:r>
      <w:r>
        <w:rPr>
          <w:spacing w:val="-4"/>
        </w:rPr>
        <w:t xml:space="preserve"> </w:t>
      </w:r>
      <w:r>
        <w:t>control</w:t>
      </w:r>
      <w:r>
        <w:rPr>
          <w:spacing w:val="-4"/>
        </w:rPr>
        <w:t xml:space="preserve"> </w:t>
      </w:r>
      <w:r>
        <w:t>numbers</w:t>
      </w:r>
      <w:r>
        <w:rPr>
          <w:spacing w:val="-4"/>
        </w:rPr>
        <w:t xml:space="preserve"> </w:t>
      </w:r>
      <w:r>
        <w:t>0910-0001,</w:t>
      </w:r>
      <w:r>
        <w:rPr>
          <w:spacing w:val="-4"/>
        </w:rPr>
        <w:t xml:space="preserve"> </w:t>
      </w:r>
      <w:r>
        <w:t>0910-0338,</w:t>
      </w:r>
      <w:r>
        <w:rPr>
          <w:spacing w:val="-5"/>
        </w:rPr>
        <w:t xml:space="preserve"> </w:t>
      </w:r>
      <w:r>
        <w:t>and</w:t>
      </w:r>
      <w:r>
        <w:rPr>
          <w:spacing w:val="-4"/>
        </w:rPr>
        <w:t xml:space="preserve"> </w:t>
      </w:r>
      <w:r>
        <w:t>0910-0572),</w:t>
      </w:r>
      <w:r>
        <w:rPr>
          <w:spacing w:val="-5"/>
        </w:rPr>
        <w:t xml:space="preserve"> </w:t>
      </w:r>
      <w:r>
        <w:t>this</w:t>
      </w:r>
      <w:r>
        <w:rPr>
          <w:spacing w:val="-4"/>
        </w:rPr>
        <w:t xml:space="preserve"> </w:t>
      </w:r>
      <w:r w:rsidRPr="00971AD2">
        <w:t>ICR</w:t>
      </w:r>
      <w:r>
        <w:t xml:space="preserve"> specifically relates to the collection of information associated with human prescription drugs, including biological products, subject to part 208.</w:t>
      </w:r>
    </w:p>
    <w:p w:rsidR="000C108B" w:rsidP="0076709B" w14:paraId="4F6CF285" w14:textId="77777777">
      <w:pPr>
        <w:pStyle w:val="BodyText"/>
      </w:pPr>
    </w:p>
    <w:p w:rsidR="000C108B" w:rsidP="0076709B" w14:paraId="21A0C617" w14:textId="77777777">
      <w:pPr>
        <w:pStyle w:val="ListParagraph"/>
        <w:numPr>
          <w:ilvl w:val="0"/>
          <w:numId w:val="1"/>
        </w:numPr>
        <w:ind w:left="0"/>
        <w:rPr>
          <w:sz w:val="24"/>
          <w:u w:val="none"/>
        </w:rPr>
      </w:pPr>
      <w:r>
        <w:rPr>
          <w:sz w:val="24"/>
        </w:rPr>
        <w:t>Impact</w:t>
      </w:r>
      <w:r>
        <w:rPr>
          <w:spacing w:val="-1"/>
          <w:sz w:val="24"/>
        </w:rPr>
        <w:t xml:space="preserve"> </w:t>
      </w:r>
      <w:r>
        <w:rPr>
          <w:sz w:val="24"/>
        </w:rPr>
        <w:t>on</w:t>
      </w:r>
      <w:r>
        <w:rPr>
          <w:spacing w:val="-1"/>
          <w:sz w:val="24"/>
        </w:rPr>
        <w:t xml:space="preserve"> </w:t>
      </w:r>
      <w:r>
        <w:rPr>
          <w:sz w:val="24"/>
        </w:rPr>
        <w:t>Small</w:t>
      </w:r>
      <w:r>
        <w:rPr>
          <w:spacing w:val="-1"/>
          <w:sz w:val="24"/>
        </w:rPr>
        <w:t xml:space="preserve"> </w:t>
      </w:r>
      <w:r>
        <w:rPr>
          <w:sz w:val="24"/>
        </w:rPr>
        <w:t>Businesses</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 xml:space="preserve">Small </w:t>
      </w:r>
      <w:r>
        <w:rPr>
          <w:spacing w:val="-2"/>
          <w:sz w:val="24"/>
        </w:rPr>
        <w:t>Entities</w:t>
      </w:r>
    </w:p>
    <w:p w:rsidR="000C108B" w:rsidP="0076709B" w14:paraId="2FDC17CE" w14:textId="77777777">
      <w:pPr>
        <w:pStyle w:val="BodyText"/>
        <w:spacing w:before="2"/>
        <w:rPr>
          <w:sz w:val="16"/>
        </w:rPr>
      </w:pPr>
    </w:p>
    <w:p w:rsidR="000C108B" w:rsidP="0076709B" w14:paraId="2989FD33" w14:textId="77777777">
      <w:pPr>
        <w:pStyle w:val="BodyText"/>
        <w:spacing w:before="90"/>
        <w:ind w:right="187"/>
      </w:pPr>
      <w:r>
        <w:t xml:space="preserve">We believe the information collection imposes no </w:t>
      </w:r>
      <w:r w:rsidR="365FE2D1">
        <w:t>undue burden on small entities.</w:t>
      </w:r>
    </w:p>
    <w:p w:rsidR="000C108B" w:rsidP="0076709B" w14:paraId="2DC34C52" w14:textId="77777777">
      <w:pPr>
        <w:pStyle w:val="BodyText"/>
      </w:pPr>
    </w:p>
    <w:p w:rsidR="000C108B" w:rsidP="0076709B" w14:paraId="3853A182" w14:textId="77777777">
      <w:pPr>
        <w:pStyle w:val="ListParagraph"/>
        <w:numPr>
          <w:ilvl w:val="0"/>
          <w:numId w:val="1"/>
        </w:numPr>
        <w:spacing w:before="1"/>
        <w:ind w:left="0"/>
        <w:rPr>
          <w:sz w:val="24"/>
          <w:u w:val="none"/>
        </w:rPr>
      </w:pPr>
      <w:r>
        <w:rPr>
          <w:sz w:val="24"/>
        </w:rPr>
        <w:t>Consequences</w:t>
      </w:r>
      <w:r>
        <w:rPr>
          <w:spacing w:val="-1"/>
          <w:sz w:val="24"/>
        </w:rPr>
        <w:t xml:space="preserve"> </w:t>
      </w:r>
      <w:r>
        <w:rPr>
          <w:sz w:val="24"/>
        </w:rPr>
        <w:t>of</w:t>
      </w:r>
      <w:r>
        <w:rPr>
          <w:spacing w:val="-1"/>
          <w:sz w:val="24"/>
        </w:rPr>
        <w:t xml:space="preserve"> </w:t>
      </w:r>
      <w:r>
        <w:rPr>
          <w:sz w:val="24"/>
        </w:rPr>
        <w:t>Collecting</w:t>
      </w:r>
      <w:r>
        <w:rPr>
          <w:spacing w:val="-1"/>
          <w:sz w:val="24"/>
        </w:rPr>
        <w:t xml:space="preserve"> </w:t>
      </w:r>
      <w:r>
        <w:rPr>
          <w:sz w:val="24"/>
        </w:rPr>
        <w:t>the</w:t>
      </w:r>
      <w:r>
        <w:rPr>
          <w:spacing w:val="-1"/>
          <w:sz w:val="24"/>
        </w:rPr>
        <w:t xml:space="preserve"> </w:t>
      </w:r>
      <w:r>
        <w:rPr>
          <w:sz w:val="24"/>
        </w:rPr>
        <w:t>Information</w:t>
      </w:r>
      <w:r>
        <w:rPr>
          <w:spacing w:val="-2"/>
          <w:sz w:val="24"/>
        </w:rPr>
        <w:t xml:space="preserve"> </w:t>
      </w:r>
      <w:r>
        <w:rPr>
          <w:sz w:val="24"/>
        </w:rPr>
        <w:t>Less</w:t>
      </w:r>
      <w:r>
        <w:rPr>
          <w:spacing w:val="-1"/>
          <w:sz w:val="24"/>
        </w:rPr>
        <w:t xml:space="preserve"> </w:t>
      </w:r>
      <w:r>
        <w:rPr>
          <w:spacing w:val="-2"/>
          <w:sz w:val="24"/>
        </w:rPr>
        <w:t>Frequently</w:t>
      </w:r>
    </w:p>
    <w:p w:rsidR="000C108B" w:rsidP="0076709B" w14:paraId="7B67C925" w14:textId="77777777">
      <w:pPr>
        <w:pStyle w:val="BodyText"/>
        <w:spacing w:before="2"/>
        <w:rPr>
          <w:sz w:val="16"/>
        </w:rPr>
      </w:pPr>
    </w:p>
    <w:p w:rsidR="000C108B" w:rsidP="0076709B" w14:paraId="579C973C" w14:textId="77777777">
      <w:pPr>
        <w:pStyle w:val="BodyText"/>
        <w:spacing w:before="90"/>
        <w:ind w:right="63"/>
      </w:pPr>
      <w:r>
        <w:t>The</w:t>
      </w:r>
      <w:r>
        <w:rPr>
          <w:spacing w:val="-4"/>
        </w:rPr>
        <w:t xml:space="preserve"> </w:t>
      </w:r>
      <w:r>
        <w:t>information</w:t>
      </w:r>
      <w:r>
        <w:rPr>
          <w:spacing w:val="-4"/>
        </w:rPr>
        <w:t xml:space="preserve"> </w:t>
      </w:r>
      <w:r>
        <w:t>collection</w:t>
      </w:r>
      <w:r>
        <w:rPr>
          <w:spacing w:val="-4"/>
        </w:rPr>
        <w:t xml:space="preserve"> </w:t>
      </w:r>
      <w:r>
        <w:t>schedule</w:t>
      </w:r>
      <w:r>
        <w:rPr>
          <w:spacing w:val="-5"/>
        </w:rPr>
        <w:t xml:space="preserve"> </w:t>
      </w:r>
      <w:r>
        <w:t>is</w:t>
      </w:r>
      <w:r>
        <w:rPr>
          <w:spacing w:val="-4"/>
        </w:rPr>
        <w:t xml:space="preserve"> </w:t>
      </w:r>
      <w:r>
        <w:t>consistent</w:t>
      </w:r>
      <w:r>
        <w:rPr>
          <w:spacing w:val="-4"/>
        </w:rPr>
        <w:t xml:space="preserve"> </w:t>
      </w:r>
      <w:r>
        <w:t>with</w:t>
      </w:r>
      <w:r>
        <w:rPr>
          <w:spacing w:val="-5"/>
        </w:rPr>
        <w:t xml:space="preserve"> </w:t>
      </w:r>
      <w:r>
        <w:t>statutory</w:t>
      </w:r>
      <w:r>
        <w:rPr>
          <w:spacing w:val="-4"/>
        </w:rPr>
        <w:t xml:space="preserve"> </w:t>
      </w:r>
      <w:r>
        <w:t>and</w:t>
      </w:r>
      <w:r>
        <w:rPr>
          <w:spacing w:val="-4"/>
        </w:rPr>
        <w:t xml:space="preserve"> </w:t>
      </w:r>
      <w:r>
        <w:t>regulatory</w:t>
      </w:r>
      <w:r>
        <w:rPr>
          <w:spacing w:val="-4"/>
        </w:rPr>
        <w:t xml:space="preserve"> </w:t>
      </w:r>
      <w:r>
        <w:t>requirements associated with the labeling of human prescription drugs, including biological products.</w:t>
      </w:r>
    </w:p>
    <w:p w:rsidR="000C108B" w:rsidP="0076709B" w14:paraId="2D62D04F" w14:textId="77777777">
      <w:pPr>
        <w:pStyle w:val="BodyText"/>
        <w:spacing w:before="10"/>
        <w:rPr>
          <w:sz w:val="23"/>
        </w:rPr>
      </w:pPr>
    </w:p>
    <w:p w:rsidR="000C108B" w:rsidP="0076709B" w14:paraId="42DE35AC" w14:textId="77777777">
      <w:pPr>
        <w:pStyle w:val="ListParagraph"/>
        <w:numPr>
          <w:ilvl w:val="0"/>
          <w:numId w:val="1"/>
        </w:numPr>
        <w:ind w:left="0"/>
        <w:rPr>
          <w:sz w:val="24"/>
          <w:u w:val="none"/>
        </w:rPr>
      </w:pPr>
      <w:r>
        <w:rPr>
          <w:sz w:val="24"/>
        </w:rPr>
        <w:t>Special</w:t>
      </w:r>
      <w:r>
        <w:rPr>
          <w:spacing w:val="-3"/>
          <w:sz w:val="24"/>
        </w:rPr>
        <w:t xml:space="preserve"> </w:t>
      </w:r>
      <w:r>
        <w:rPr>
          <w:sz w:val="24"/>
        </w:rPr>
        <w:t>Circumstances</w:t>
      </w:r>
      <w:r>
        <w:rPr>
          <w:spacing w:val="-2"/>
          <w:sz w:val="24"/>
        </w:rPr>
        <w:t xml:space="preserve"> </w:t>
      </w:r>
      <w:r>
        <w:rPr>
          <w:sz w:val="24"/>
        </w:rPr>
        <w:t>Relating</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Guidelines</w:t>
      </w:r>
      <w:r>
        <w:rPr>
          <w:spacing w:val="-2"/>
          <w:sz w:val="24"/>
        </w:rPr>
        <w:t xml:space="preserve"> </w:t>
      </w:r>
      <w:r>
        <w:rPr>
          <w:sz w:val="24"/>
        </w:rPr>
        <w:t>of</w:t>
      </w:r>
      <w:r>
        <w:rPr>
          <w:spacing w:val="-2"/>
          <w:sz w:val="24"/>
        </w:rPr>
        <w:t xml:space="preserve"> </w:t>
      </w:r>
      <w:r>
        <w:rPr>
          <w:sz w:val="24"/>
        </w:rPr>
        <w:t>5</w:t>
      </w:r>
      <w:r>
        <w:rPr>
          <w:spacing w:val="-2"/>
          <w:sz w:val="24"/>
        </w:rPr>
        <w:t xml:space="preserve"> </w:t>
      </w:r>
      <w:r>
        <w:rPr>
          <w:sz w:val="24"/>
        </w:rPr>
        <w:t>CFR</w:t>
      </w:r>
      <w:r>
        <w:rPr>
          <w:spacing w:val="-2"/>
          <w:sz w:val="24"/>
        </w:rPr>
        <w:t xml:space="preserve"> 1320.5</w:t>
      </w:r>
    </w:p>
    <w:p w:rsidR="000C108B" w:rsidP="0076709B" w14:paraId="61BDF28E" w14:textId="77777777">
      <w:pPr>
        <w:pStyle w:val="BodyText"/>
        <w:spacing w:before="2"/>
        <w:rPr>
          <w:sz w:val="16"/>
        </w:rPr>
      </w:pPr>
    </w:p>
    <w:p w:rsidR="00294CE7" w:rsidRPr="00582673" w:rsidP="0076709B" w14:paraId="4F0F2114" w14:textId="77777777">
      <w:pPr>
        <w:pStyle w:val="BodyText"/>
        <w:spacing w:before="90"/>
        <w:rPr>
          <w:spacing w:val="-2"/>
        </w:rPr>
      </w:pPr>
      <w:r>
        <w:t>There</w:t>
      </w:r>
      <w:r>
        <w:rPr>
          <w:spacing w:val="-3"/>
        </w:rPr>
        <w:t xml:space="preserve"> </w:t>
      </w:r>
      <w:r>
        <w:t>are no special</w:t>
      </w:r>
      <w:r>
        <w:rPr>
          <w:spacing w:val="-1"/>
        </w:rPr>
        <w:t xml:space="preserve"> </w:t>
      </w:r>
      <w:r>
        <w:t>circumstances for this</w:t>
      </w:r>
      <w:r>
        <w:rPr>
          <w:spacing w:val="-1"/>
        </w:rPr>
        <w:t xml:space="preserve"> </w:t>
      </w:r>
      <w:r>
        <w:t xml:space="preserve">collection of </w:t>
      </w:r>
      <w:r>
        <w:rPr>
          <w:spacing w:val="-2"/>
        </w:rPr>
        <w:t>information</w:t>
      </w:r>
      <w:r w:rsidR="00582673">
        <w:rPr>
          <w:spacing w:val="-2"/>
        </w:rPr>
        <w:t>.</w:t>
      </w:r>
    </w:p>
    <w:p w:rsidR="000C108B" w:rsidP="0076709B" w14:paraId="1274E0E6" w14:textId="77777777">
      <w:pPr>
        <w:pStyle w:val="BodyText"/>
      </w:pPr>
    </w:p>
    <w:p w:rsidR="000C108B" w:rsidP="0076709B" w14:paraId="28E488DC" w14:textId="77777777">
      <w:pPr>
        <w:pStyle w:val="ListParagraph"/>
        <w:numPr>
          <w:ilvl w:val="0"/>
          <w:numId w:val="1"/>
        </w:numPr>
        <w:ind w:left="-270" w:firstLine="0"/>
        <w:rPr>
          <w:sz w:val="24"/>
          <w:u w:val="none"/>
        </w:rPr>
      </w:pPr>
      <w:r>
        <w:rPr>
          <w:sz w:val="24"/>
        </w:rPr>
        <w:t>Comments</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the</w:t>
      </w:r>
      <w:r>
        <w:rPr>
          <w:spacing w:val="-3"/>
          <w:sz w:val="24"/>
        </w:rPr>
        <w:t xml:space="preserve"> </w:t>
      </w:r>
      <w:r w:rsidRPr="0034442A">
        <w:rPr>
          <w:i/>
          <w:iCs/>
          <w:sz w:val="24"/>
        </w:rPr>
        <w:t>Federal</w:t>
      </w:r>
      <w:r w:rsidRPr="0034442A">
        <w:rPr>
          <w:i/>
          <w:iCs/>
          <w:spacing w:val="-3"/>
          <w:sz w:val="24"/>
        </w:rPr>
        <w:t xml:space="preserve"> </w:t>
      </w:r>
      <w:r w:rsidRPr="0034442A">
        <w:rPr>
          <w:i/>
          <w:iCs/>
          <w:sz w:val="24"/>
        </w:rPr>
        <w:t>Register</w:t>
      </w:r>
      <w:r>
        <w:rPr>
          <w:spacing w:val="-4"/>
          <w:sz w:val="24"/>
        </w:rPr>
        <w:t xml:space="preserve"> </w:t>
      </w:r>
      <w:r>
        <w:rPr>
          <w:sz w:val="24"/>
        </w:rPr>
        <w:t>Notice</w:t>
      </w:r>
      <w:r>
        <w:rPr>
          <w:spacing w:val="-4"/>
          <w:sz w:val="24"/>
        </w:rPr>
        <w:t xml:space="preserve"> </w:t>
      </w:r>
      <w:r>
        <w:rPr>
          <w:sz w:val="24"/>
        </w:rPr>
        <w:t>and</w:t>
      </w:r>
      <w:r>
        <w:rPr>
          <w:spacing w:val="-3"/>
          <w:sz w:val="24"/>
        </w:rPr>
        <w:t xml:space="preserve"> </w:t>
      </w:r>
      <w:r>
        <w:rPr>
          <w:sz w:val="24"/>
        </w:rPr>
        <w:t>Efforts</w:t>
      </w:r>
      <w:r>
        <w:rPr>
          <w:spacing w:val="-3"/>
          <w:sz w:val="24"/>
        </w:rPr>
        <w:t xml:space="preserve"> </w:t>
      </w:r>
      <w:r>
        <w:rPr>
          <w:sz w:val="24"/>
        </w:rPr>
        <w:t>to</w:t>
      </w:r>
      <w:r>
        <w:rPr>
          <w:spacing w:val="-3"/>
          <w:sz w:val="24"/>
        </w:rPr>
        <w:t xml:space="preserve"> </w:t>
      </w:r>
      <w:r>
        <w:rPr>
          <w:sz w:val="24"/>
        </w:rPr>
        <w:t>Consult</w:t>
      </w:r>
      <w:r>
        <w:rPr>
          <w:spacing w:val="-3"/>
          <w:sz w:val="24"/>
        </w:rPr>
        <w:t xml:space="preserve"> </w:t>
      </w:r>
      <w:r>
        <w:rPr>
          <w:sz w:val="24"/>
        </w:rPr>
        <w:t>Outside</w:t>
      </w:r>
      <w:r>
        <w:rPr>
          <w:spacing w:val="-3"/>
          <w:sz w:val="24"/>
        </w:rPr>
        <w:t xml:space="preserve"> </w:t>
      </w:r>
      <w:r>
        <w:rPr>
          <w:sz w:val="24"/>
        </w:rPr>
        <w:t>the</w:t>
      </w:r>
      <w:r>
        <w:rPr>
          <w:sz w:val="24"/>
          <w:u w:val="none"/>
        </w:rPr>
        <w:t xml:space="preserve"> </w:t>
      </w:r>
      <w:r w:rsidR="008A5671">
        <w:rPr>
          <w:spacing w:val="-2"/>
          <w:sz w:val="24"/>
        </w:rPr>
        <w:t>Agency</w:t>
      </w:r>
    </w:p>
    <w:p w:rsidR="000C108B" w:rsidP="0076709B" w14:paraId="62632754" w14:textId="77777777">
      <w:pPr>
        <w:pStyle w:val="BodyText"/>
        <w:spacing w:before="2"/>
        <w:rPr>
          <w:sz w:val="16"/>
        </w:rPr>
      </w:pPr>
    </w:p>
    <w:p w:rsidR="00A51239" w:rsidRPr="00A51239" w:rsidP="0076709B" w14:paraId="17A5E3D0" w14:textId="77777777">
      <w:pPr>
        <w:pStyle w:val="BodyText"/>
        <w:spacing w:before="90"/>
        <w:ind w:right="187"/>
      </w:pPr>
      <w:r w:rsidRPr="00A51239">
        <w:t xml:space="preserve">In the </w:t>
      </w:r>
      <w:r w:rsidRPr="00A51239">
        <w:rPr>
          <w:i/>
        </w:rPr>
        <w:t>Federal Register</w:t>
      </w:r>
      <w:r w:rsidRPr="00A51239">
        <w:t xml:space="preserve"> of January 27, 2026 (91 FR 3511), we published a 60-day notice requesting public comment on the proposed collection of information.  We received a number of comments.  Some comments discussed FDA’s proposed rule (RIN 0910-AH68) that issued on May 31, 2023, “Medication Guides:  Patient Medication Information (PMI),” (88 FR 35694).  While we reviewed these comments in the context of this reinstatement request, we have also added them to the rulemaking docket (FDA-2019-N-5959) for continued consideration.  Other comments communicated general support for improving the content, clarity, and readability of Medication Guides, including the use of electronic delivery.  Finally, some comments questioned the accuracy of FDA’s burden assessment attributable to authorized dispensers who provide Medication Guides to patients.  FDA is most appreciative of all public input regarding its information collection activities and as a result of these latter comments, together with a reexamination of previous submissions for OMB review and approval of ICR 0910-0393, we have significantly revised our assessment of the disclosure burden attributable to requirements established in 21 CFR part 208 for distributors and authorized dispensers of Medication Guides.  </w:t>
      </w:r>
    </w:p>
    <w:p w:rsidR="00A51239" w:rsidRPr="00A51239" w:rsidP="0076709B" w14:paraId="52215849" w14:textId="77777777">
      <w:pPr>
        <w:pStyle w:val="BodyText"/>
        <w:spacing w:before="90"/>
        <w:ind w:right="187"/>
      </w:pPr>
      <w:r w:rsidRPr="00A51239">
        <w:t>Our 60-day notice states that respondents to the information collection are sponsors of new drug applications, distributors of prescription drug products, and authorized dispensers of prescription drug products.  We determined the number of respondents to the annual recordkeeping requirements based on the number of new drug sponsors whose product applications we believe are subject to the requirements in 21 CFR 208, consistent with internal Agency data and a recent preliminary regulatory impact analysis in support of rulemaking RIN 0910-AH68.  We retain those estimates provided in our 60-day notice, as reflected below in table 1.</w:t>
      </w:r>
    </w:p>
    <w:p w:rsidR="000C108B" w:rsidP="0076709B" w14:paraId="47351CE0" w14:textId="77777777">
      <w:pPr>
        <w:pStyle w:val="BodyText"/>
      </w:pPr>
    </w:p>
    <w:p w:rsidR="000C108B" w:rsidP="0076709B" w14:paraId="5BA1A287" w14:textId="785E04F5">
      <w:pPr>
        <w:pStyle w:val="ListParagraph"/>
        <w:numPr>
          <w:ilvl w:val="0"/>
          <w:numId w:val="1"/>
        </w:numPr>
        <w:ind w:left="0" w:hanging="300"/>
        <w:rPr>
          <w:sz w:val="24"/>
          <w:u w:val="none"/>
        </w:rPr>
      </w:pPr>
      <w:r>
        <w:rPr>
          <w:sz w:val="24"/>
        </w:rPr>
        <w:t>Explanation</w:t>
      </w:r>
      <w:r>
        <w:rPr>
          <w:spacing w:val="-2"/>
          <w:sz w:val="24"/>
        </w:rPr>
        <w:t xml:space="preserve"> </w:t>
      </w:r>
      <w:r>
        <w:rPr>
          <w:sz w:val="24"/>
        </w:rPr>
        <w:t>of</w:t>
      </w:r>
      <w:r>
        <w:rPr>
          <w:spacing w:val="-3"/>
          <w:sz w:val="24"/>
        </w:rPr>
        <w:t xml:space="preserve"> </w:t>
      </w:r>
      <w:r>
        <w:rPr>
          <w:sz w:val="24"/>
        </w:rPr>
        <w:t>Any</w:t>
      </w:r>
      <w:r>
        <w:rPr>
          <w:spacing w:val="-3"/>
          <w:sz w:val="24"/>
        </w:rPr>
        <w:t xml:space="preserve"> </w:t>
      </w:r>
      <w:r>
        <w:rPr>
          <w:sz w:val="24"/>
        </w:rPr>
        <w:t>Payment</w:t>
      </w:r>
      <w:r>
        <w:rPr>
          <w:spacing w:val="-2"/>
          <w:sz w:val="24"/>
        </w:rPr>
        <w:t xml:space="preserve"> </w:t>
      </w:r>
      <w:r>
        <w:rPr>
          <w:sz w:val="24"/>
        </w:rPr>
        <w:t>or</w:t>
      </w:r>
      <w:r>
        <w:rPr>
          <w:spacing w:val="-3"/>
          <w:sz w:val="24"/>
        </w:rPr>
        <w:t xml:space="preserve"> </w:t>
      </w:r>
      <w:r>
        <w:rPr>
          <w:sz w:val="24"/>
        </w:rPr>
        <w:t>Gift</w:t>
      </w:r>
      <w:r>
        <w:rPr>
          <w:spacing w:val="-3"/>
          <w:sz w:val="24"/>
        </w:rPr>
        <w:t xml:space="preserve"> </w:t>
      </w:r>
      <w:r>
        <w:rPr>
          <w:sz w:val="24"/>
        </w:rPr>
        <w:t>to</w:t>
      </w:r>
      <w:r>
        <w:rPr>
          <w:spacing w:val="-1"/>
          <w:sz w:val="24"/>
        </w:rPr>
        <w:t xml:space="preserve"> </w:t>
      </w:r>
      <w:r>
        <w:rPr>
          <w:spacing w:val="-2"/>
          <w:sz w:val="24"/>
        </w:rPr>
        <w:t>Respondents</w:t>
      </w:r>
    </w:p>
    <w:p w:rsidR="000C108B" w:rsidP="0076709B" w14:paraId="62E4F71F" w14:textId="77777777">
      <w:pPr>
        <w:pStyle w:val="BodyText"/>
        <w:spacing w:before="2"/>
        <w:rPr>
          <w:sz w:val="16"/>
        </w:rPr>
      </w:pPr>
    </w:p>
    <w:p w:rsidR="000C108B" w:rsidP="0076709B" w14:paraId="04E9578D" w14:textId="77777777">
      <w:pPr>
        <w:pStyle w:val="BodyText"/>
        <w:spacing w:before="90"/>
      </w:pPr>
      <w:r>
        <w:t>No</w:t>
      </w:r>
      <w:r>
        <w:rPr>
          <w:spacing w:val="-3"/>
        </w:rPr>
        <w:t xml:space="preserve"> </w:t>
      </w:r>
      <w:r>
        <w:t>remuneration is provided</w:t>
      </w:r>
      <w:r>
        <w:rPr>
          <w:spacing w:val="-1"/>
        </w:rPr>
        <w:t xml:space="preserve"> </w:t>
      </w:r>
      <w:r>
        <w:t>to</w:t>
      </w:r>
      <w:r>
        <w:rPr>
          <w:spacing w:val="-2"/>
        </w:rPr>
        <w:t xml:space="preserve"> </w:t>
      </w:r>
      <w:r>
        <w:t>respondents to</w:t>
      </w:r>
      <w:r>
        <w:rPr>
          <w:spacing w:val="-1"/>
        </w:rPr>
        <w:t xml:space="preserve"> </w:t>
      </w:r>
      <w:r>
        <w:t xml:space="preserve">the information </w:t>
      </w:r>
      <w:r>
        <w:rPr>
          <w:spacing w:val="-2"/>
        </w:rPr>
        <w:t>collection.</w:t>
      </w:r>
    </w:p>
    <w:p w:rsidR="000C108B" w:rsidP="0076709B" w14:paraId="06D0764C" w14:textId="77777777"/>
    <w:p w:rsidR="000C108B" w:rsidP="0076709B" w14:paraId="0656EC53" w14:textId="77777777">
      <w:pPr>
        <w:pStyle w:val="ListParagraph"/>
        <w:numPr>
          <w:ilvl w:val="0"/>
          <w:numId w:val="1"/>
        </w:numPr>
        <w:spacing w:before="60"/>
        <w:ind w:left="0" w:hanging="420"/>
        <w:rPr>
          <w:sz w:val="24"/>
          <w:u w:val="none"/>
        </w:rPr>
      </w:pPr>
      <w:r>
        <w:rPr>
          <w:sz w:val="24"/>
        </w:rPr>
        <w:t>Assurance</w:t>
      </w:r>
      <w:r>
        <w:rPr>
          <w:spacing w:val="-5"/>
          <w:sz w:val="24"/>
        </w:rPr>
        <w:t xml:space="preserve"> </w:t>
      </w:r>
      <w:r>
        <w:rPr>
          <w:sz w:val="24"/>
        </w:rPr>
        <w:t>of</w:t>
      </w:r>
      <w:r>
        <w:rPr>
          <w:spacing w:val="-5"/>
          <w:sz w:val="24"/>
        </w:rPr>
        <w:t xml:space="preserve"> </w:t>
      </w:r>
      <w:r>
        <w:rPr>
          <w:sz w:val="24"/>
        </w:rPr>
        <w:t>Confidentiality</w:t>
      </w:r>
      <w:r>
        <w:rPr>
          <w:spacing w:val="-4"/>
          <w:sz w:val="24"/>
        </w:rPr>
        <w:t xml:space="preserve"> </w:t>
      </w:r>
      <w:r>
        <w:rPr>
          <w:sz w:val="24"/>
        </w:rPr>
        <w:t>Provided</w:t>
      </w:r>
      <w:r>
        <w:rPr>
          <w:spacing w:val="-5"/>
          <w:sz w:val="24"/>
        </w:rPr>
        <w:t xml:space="preserve"> </w:t>
      </w:r>
      <w:r>
        <w:rPr>
          <w:sz w:val="24"/>
        </w:rPr>
        <w:t>to</w:t>
      </w:r>
      <w:r>
        <w:rPr>
          <w:spacing w:val="-4"/>
          <w:sz w:val="24"/>
        </w:rPr>
        <w:t xml:space="preserve"> </w:t>
      </w:r>
      <w:r>
        <w:rPr>
          <w:spacing w:val="-2"/>
          <w:sz w:val="24"/>
        </w:rPr>
        <w:t>Respondents</w:t>
      </w:r>
    </w:p>
    <w:p w:rsidR="000C108B" w:rsidP="0076709B" w14:paraId="4FB4CDCB" w14:textId="77777777">
      <w:pPr>
        <w:pStyle w:val="BodyText"/>
        <w:spacing w:before="2"/>
        <w:rPr>
          <w:sz w:val="16"/>
        </w:rPr>
      </w:pPr>
    </w:p>
    <w:p w:rsidR="007E660B" w:rsidRPr="00094D2C" w:rsidP="0076709B" w14:paraId="12C268A1" w14:textId="77777777">
      <w:pPr>
        <w:pStyle w:val="BodyText"/>
        <w:rPr>
          <w:i/>
          <w:iCs/>
        </w:rPr>
      </w:pPr>
      <w:r w:rsidRPr="00094D2C">
        <w:rPr>
          <w:i/>
          <w:iCs/>
        </w:rPr>
        <w:t>The Privacy Act of 1974</w:t>
      </w:r>
    </w:p>
    <w:p w:rsidR="009C1728" w:rsidP="0076709B" w14:paraId="5CC965C4" w14:textId="77777777">
      <w:pPr>
        <w:pStyle w:val="BodyText"/>
      </w:pPr>
    </w:p>
    <w:p w:rsidR="004221D3" w:rsidP="0076709B" w14:paraId="6647D3F0" w14:textId="1F2EADAC">
      <w:pPr>
        <w:pStyle w:val="BodyText"/>
      </w:pPr>
      <w:r>
        <w:t xml:space="preserve">In preparing this </w:t>
      </w:r>
      <w:r w:rsidR="00AC32A0">
        <w:t>s</w:t>
      </w:r>
      <w:r>
        <w:t xml:space="preserve">upporting </w:t>
      </w:r>
      <w:r w:rsidR="00AC32A0">
        <w:t>s</w:t>
      </w:r>
      <w:r>
        <w:t>tatement, we consulted our Privacy Office to ensure appropriate identification and handling of information collected.</w:t>
      </w:r>
      <w:r w:rsidR="00AC32A0">
        <w:t xml:space="preserve">  </w:t>
      </w:r>
      <w:r>
        <w:t xml:space="preserve">This ICR does not collect personally identifiable information (PII) or information of a personal nature. Information collected is about unapproved new drugs and biological products and is collected to comply with regulations. Respondents submit information regarding the design and testing of new drug applications (NDA) and biologics license applications (BLA).  Because neither FDA nor any party acting on behalf of the </w:t>
      </w:r>
      <w:r w:rsidR="008A5671">
        <w:t>agency</w:t>
      </w:r>
      <w:r>
        <w:t xml:space="preserve"> collects PII, the ICR is not subject to the Privacy Act of 1974 and the requirements of the Privacy Act such as displaying a Privacy Act Statement on a collection form do not apply.</w:t>
      </w:r>
    </w:p>
    <w:p w:rsidR="004221D3" w:rsidP="0076709B" w14:paraId="6C9A8D4E" w14:textId="77777777">
      <w:pPr>
        <w:pStyle w:val="BodyText"/>
      </w:pPr>
    </w:p>
    <w:p w:rsidR="007E660B" w:rsidRPr="00094D2C" w:rsidP="0076709B" w14:paraId="1C55512C" w14:textId="442298D6">
      <w:pPr>
        <w:pStyle w:val="BodyText"/>
        <w:rPr>
          <w:i/>
          <w:iCs/>
        </w:rPr>
      </w:pPr>
      <w:r w:rsidRPr="00094D2C">
        <w:rPr>
          <w:i/>
          <w:iCs/>
        </w:rPr>
        <w:t>The Freedom of Information Act</w:t>
      </w:r>
      <w:r w:rsidRPr="00094D2C" w:rsidR="00094D2C">
        <w:rPr>
          <w:i/>
          <w:iCs/>
        </w:rPr>
        <w:t xml:space="preserve"> (FOIA)</w:t>
      </w:r>
    </w:p>
    <w:p w:rsidR="00094D2C" w:rsidP="0076709B" w14:paraId="3998F887" w14:textId="77777777">
      <w:pPr>
        <w:pStyle w:val="BodyText"/>
      </w:pPr>
    </w:p>
    <w:p w:rsidR="000C108B" w:rsidP="0076709B" w14:paraId="002BD17E" w14:textId="06A692C6">
      <w:pPr>
        <w:pStyle w:val="BodyText"/>
      </w:pPr>
      <w:r>
        <w:t>Under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4221D3" w:rsidP="0076709B" w14:paraId="2C106E78" w14:textId="77777777">
      <w:pPr>
        <w:pStyle w:val="BodyText"/>
      </w:pPr>
    </w:p>
    <w:p w:rsidR="000C108B" w:rsidP="0076709B" w14:paraId="0D6AC512" w14:textId="77777777">
      <w:pPr>
        <w:pStyle w:val="ListParagraph"/>
        <w:numPr>
          <w:ilvl w:val="0"/>
          <w:numId w:val="1"/>
        </w:numPr>
        <w:ind w:left="0" w:hanging="421"/>
        <w:rPr>
          <w:sz w:val="24"/>
          <w:u w:val="none"/>
        </w:rPr>
      </w:pPr>
      <w:r>
        <w:rPr>
          <w:sz w:val="24"/>
        </w:rPr>
        <w:t>Justification</w:t>
      </w:r>
      <w:r>
        <w:rPr>
          <w:spacing w:val="-2"/>
          <w:sz w:val="24"/>
        </w:rPr>
        <w:t xml:space="preserve"> </w:t>
      </w:r>
      <w:r>
        <w:rPr>
          <w:sz w:val="24"/>
        </w:rPr>
        <w:t>for</w:t>
      </w:r>
      <w:r>
        <w:rPr>
          <w:spacing w:val="-1"/>
          <w:sz w:val="24"/>
        </w:rPr>
        <w:t xml:space="preserve"> </w:t>
      </w:r>
      <w:r>
        <w:rPr>
          <w:sz w:val="24"/>
        </w:rPr>
        <w:t>Sensitive</w:t>
      </w:r>
      <w:r>
        <w:rPr>
          <w:spacing w:val="-1"/>
          <w:sz w:val="24"/>
        </w:rPr>
        <w:t xml:space="preserve"> </w:t>
      </w:r>
      <w:r>
        <w:rPr>
          <w:spacing w:val="-2"/>
          <w:sz w:val="24"/>
        </w:rPr>
        <w:t>Questions</w:t>
      </w:r>
    </w:p>
    <w:p w:rsidR="000C108B" w:rsidP="0076709B" w14:paraId="5416EC60" w14:textId="77777777">
      <w:pPr>
        <w:pStyle w:val="BodyText"/>
        <w:spacing w:before="2"/>
        <w:rPr>
          <w:sz w:val="16"/>
        </w:rPr>
      </w:pPr>
    </w:p>
    <w:p w:rsidR="000C108B" w:rsidP="0076709B" w14:paraId="0E76F87E" w14:textId="77777777">
      <w:pPr>
        <w:pStyle w:val="BodyText"/>
        <w:spacing w:before="90"/>
      </w:pPr>
      <w:r>
        <w:t>This</w:t>
      </w:r>
      <w:r>
        <w:rPr>
          <w:spacing w:val="-1"/>
        </w:rPr>
        <w:t xml:space="preserve"> </w:t>
      </w:r>
      <w:r>
        <w:t>reporting</w:t>
      </w:r>
      <w:r>
        <w:rPr>
          <w:spacing w:val="-1"/>
        </w:rPr>
        <w:t xml:space="preserve"> </w:t>
      </w:r>
      <w:r>
        <w:t>burden</w:t>
      </w:r>
      <w:r>
        <w:rPr>
          <w:spacing w:val="-1"/>
        </w:rPr>
        <w:t xml:space="preserve"> </w:t>
      </w:r>
      <w:r>
        <w:t>does</w:t>
      </w:r>
      <w:r>
        <w:rPr>
          <w:spacing w:val="-1"/>
        </w:rPr>
        <w:t xml:space="preserve"> </w:t>
      </w:r>
      <w:r>
        <w:t>not</w:t>
      </w:r>
      <w:r>
        <w:rPr>
          <w:spacing w:val="-1"/>
        </w:rPr>
        <w:t xml:space="preserve"> </w:t>
      </w:r>
      <w:r>
        <w:t>involve</w:t>
      </w:r>
      <w:r>
        <w:rPr>
          <w:spacing w:val="-1"/>
        </w:rPr>
        <w:t xml:space="preserve"> </w:t>
      </w:r>
      <w:r>
        <w:t>any</w:t>
      </w:r>
      <w:r>
        <w:rPr>
          <w:spacing w:val="-1"/>
        </w:rPr>
        <w:t xml:space="preserve"> </w:t>
      </w:r>
      <w:r>
        <w:t>sensitive</w:t>
      </w:r>
      <w:r>
        <w:rPr>
          <w:spacing w:val="-1"/>
        </w:rPr>
        <w:t xml:space="preserve"> </w:t>
      </w:r>
      <w:r>
        <w:rPr>
          <w:spacing w:val="-2"/>
        </w:rPr>
        <w:t>questions.</w:t>
      </w:r>
    </w:p>
    <w:p w:rsidR="000C108B" w:rsidP="0076709B" w14:paraId="0527B68B" w14:textId="77777777">
      <w:pPr>
        <w:pStyle w:val="BodyText"/>
      </w:pPr>
    </w:p>
    <w:p w:rsidR="000F6216" w14:paraId="0EB595DA" w14:textId="77777777">
      <w:pPr>
        <w:rPr>
          <w:sz w:val="24"/>
          <w:u w:val="single" w:color="000000"/>
        </w:rPr>
      </w:pPr>
      <w:r>
        <w:rPr>
          <w:sz w:val="24"/>
        </w:rPr>
        <w:br w:type="page"/>
      </w:r>
    </w:p>
    <w:p w:rsidR="000C108B" w:rsidP="0076709B" w14:paraId="5F92B1E2" w14:textId="2C31D498">
      <w:pPr>
        <w:pStyle w:val="ListParagraph"/>
        <w:numPr>
          <w:ilvl w:val="0"/>
          <w:numId w:val="1"/>
        </w:numPr>
        <w:ind w:left="0" w:hanging="421"/>
        <w:rPr>
          <w:sz w:val="24"/>
          <w:u w:val="none"/>
        </w:rPr>
      </w:pPr>
      <w:r>
        <w:rPr>
          <w:sz w:val="24"/>
        </w:rPr>
        <w:t>Estimates</w:t>
      </w:r>
      <w:r>
        <w:rPr>
          <w:spacing w:val="-4"/>
          <w:sz w:val="24"/>
        </w:rPr>
        <w:t xml:space="preserve"> </w:t>
      </w:r>
      <w:r>
        <w:rPr>
          <w:sz w:val="24"/>
        </w:rPr>
        <w:t>of</w:t>
      </w:r>
      <w:r>
        <w:rPr>
          <w:spacing w:val="-2"/>
          <w:sz w:val="24"/>
        </w:rPr>
        <w:t xml:space="preserve"> </w:t>
      </w:r>
      <w:r>
        <w:rPr>
          <w:sz w:val="24"/>
        </w:rPr>
        <w:t>Annualized</w:t>
      </w:r>
      <w:r>
        <w:rPr>
          <w:spacing w:val="-2"/>
          <w:sz w:val="24"/>
        </w:rPr>
        <w:t xml:space="preserve"> </w:t>
      </w:r>
      <w:r>
        <w:rPr>
          <w:sz w:val="24"/>
        </w:rPr>
        <w:t>Burden</w:t>
      </w:r>
      <w:r>
        <w:rPr>
          <w:spacing w:val="-3"/>
          <w:sz w:val="24"/>
        </w:rPr>
        <w:t xml:space="preserve"> </w:t>
      </w:r>
      <w:r>
        <w:rPr>
          <w:sz w:val="24"/>
        </w:rPr>
        <w:t>Hours</w:t>
      </w:r>
      <w:r>
        <w:rPr>
          <w:spacing w:val="-3"/>
          <w:sz w:val="24"/>
        </w:rPr>
        <w:t xml:space="preserve"> </w:t>
      </w:r>
      <w:r>
        <w:rPr>
          <w:sz w:val="24"/>
        </w:rPr>
        <w:t>and</w:t>
      </w:r>
      <w:r>
        <w:rPr>
          <w:spacing w:val="-2"/>
          <w:sz w:val="24"/>
        </w:rPr>
        <w:t xml:space="preserve"> Costs</w:t>
      </w:r>
    </w:p>
    <w:p w:rsidR="000C108B" w:rsidP="0076709B" w14:paraId="19BF1E92" w14:textId="77777777">
      <w:pPr>
        <w:pStyle w:val="BodyText"/>
        <w:spacing w:before="2"/>
        <w:rPr>
          <w:sz w:val="16"/>
        </w:rPr>
      </w:pPr>
    </w:p>
    <w:p w:rsidR="00A85B45" w:rsidP="0076709B" w14:paraId="540476FE" w14:textId="77777777">
      <w:pPr>
        <w:spacing w:before="90"/>
        <w:ind w:firstLine="720"/>
        <w:rPr>
          <w:iCs/>
          <w:spacing w:val="-2"/>
          <w:sz w:val="24"/>
        </w:rPr>
      </w:pPr>
      <w:r>
        <w:rPr>
          <w:i/>
          <w:sz w:val="24"/>
        </w:rPr>
        <w:t>12a.</w:t>
      </w:r>
      <w:r>
        <w:rPr>
          <w:i/>
          <w:spacing w:val="-2"/>
          <w:sz w:val="24"/>
        </w:rPr>
        <w:t xml:space="preserve"> </w:t>
      </w:r>
      <w:r>
        <w:rPr>
          <w:i/>
          <w:sz w:val="24"/>
        </w:rPr>
        <w:t>Annualized</w:t>
      </w:r>
      <w:r>
        <w:rPr>
          <w:i/>
          <w:spacing w:val="-1"/>
          <w:sz w:val="24"/>
        </w:rPr>
        <w:t xml:space="preserve"> </w:t>
      </w:r>
      <w:r>
        <w:rPr>
          <w:i/>
          <w:sz w:val="24"/>
        </w:rPr>
        <w:t>Hour</w:t>
      </w:r>
      <w:r>
        <w:rPr>
          <w:i/>
          <w:spacing w:val="-1"/>
          <w:sz w:val="24"/>
        </w:rPr>
        <w:t xml:space="preserve"> </w:t>
      </w:r>
      <w:r>
        <w:rPr>
          <w:i/>
          <w:sz w:val="24"/>
        </w:rPr>
        <w:t>Burden</w:t>
      </w:r>
      <w:r>
        <w:rPr>
          <w:i/>
          <w:spacing w:val="-2"/>
          <w:sz w:val="24"/>
        </w:rPr>
        <w:t xml:space="preserve"> Estimate</w:t>
      </w:r>
    </w:p>
    <w:p w:rsidR="005B5BC1" w:rsidRPr="005B5BC1" w:rsidP="0076709B" w14:paraId="0EF8D5F9" w14:textId="77777777">
      <w:pPr>
        <w:widowControl/>
        <w:autoSpaceDE/>
        <w:autoSpaceDN/>
        <w:jc w:val="center"/>
        <w:rPr>
          <w:sz w:val="20"/>
          <w:szCs w:val="20"/>
        </w:rPr>
      </w:pPr>
      <w:r w:rsidRPr="005B5BC1">
        <w:rPr>
          <w:sz w:val="20"/>
          <w:szCs w:val="20"/>
        </w:rPr>
        <w:t xml:space="preserve">Table </w:t>
      </w:r>
      <w:r w:rsidRPr="005B5BC1">
        <w:rPr>
          <w:spacing w:val="-1"/>
          <w:sz w:val="20"/>
          <w:szCs w:val="20"/>
        </w:rPr>
        <w:t>1.--Estimated</w:t>
      </w:r>
      <w:r w:rsidRPr="005B5BC1">
        <w:rPr>
          <w:sz w:val="20"/>
          <w:szCs w:val="20"/>
        </w:rPr>
        <w:t xml:space="preserve"> Annual </w:t>
      </w:r>
      <w:r w:rsidRPr="005B5BC1">
        <w:rPr>
          <w:spacing w:val="-1"/>
          <w:sz w:val="20"/>
          <w:szCs w:val="20"/>
        </w:rPr>
        <w:t>Reporting</w:t>
      </w:r>
      <w:r w:rsidRPr="005B5BC1">
        <w:rPr>
          <w:sz w:val="20"/>
          <w:szCs w:val="20"/>
        </w:rPr>
        <w:t xml:space="preserve"> Burden</w:t>
      </w:r>
      <w:r w:rsidRPr="005B5BC1">
        <w:rPr>
          <w:sz w:val="20"/>
          <w:szCs w:val="20"/>
          <w:vertAlign w:val="superscript"/>
        </w:rPr>
        <w:t>1</w:t>
      </w:r>
    </w:p>
    <w:tbl>
      <w:tblPr>
        <w:tblW w:w="9625" w:type="dxa"/>
        <w:tblLayout w:type="fixed"/>
        <w:tblCellMar>
          <w:left w:w="0" w:type="dxa"/>
          <w:right w:w="0" w:type="dxa"/>
        </w:tblCellMar>
        <w:tblLook w:val="01E0"/>
      </w:tblPr>
      <w:tblGrid>
        <w:gridCol w:w="3324"/>
        <w:gridCol w:w="1350"/>
        <w:gridCol w:w="1621"/>
        <w:gridCol w:w="1170"/>
        <w:gridCol w:w="1261"/>
        <w:gridCol w:w="899"/>
      </w:tblGrid>
      <w:tr w14:paraId="07AFCA5C" w14:textId="77777777" w:rsidTr="00F63F45">
        <w:tblPrEx>
          <w:tblW w:w="9625" w:type="dxa"/>
          <w:tblLayout w:type="fixed"/>
          <w:tblCellMar>
            <w:left w:w="0" w:type="dxa"/>
            <w:right w:w="0" w:type="dxa"/>
          </w:tblCellMar>
          <w:tblLook w:val="01E0"/>
        </w:tblPrEx>
        <w:tc>
          <w:tcPr>
            <w:tcW w:w="3324" w:type="dxa"/>
            <w:tcBorders>
              <w:top w:val="single" w:sz="5" w:space="0" w:color="000000"/>
              <w:left w:val="single" w:sz="5" w:space="0" w:color="000000"/>
              <w:bottom w:val="single" w:sz="5" w:space="0" w:color="000000"/>
              <w:right w:val="single" w:sz="5" w:space="0" w:color="000000"/>
            </w:tcBorders>
          </w:tcPr>
          <w:p w:rsidR="005B5BC1" w:rsidRPr="005B5BC1" w:rsidP="0076709B" w14:paraId="7B3568D3" w14:textId="77777777">
            <w:pPr>
              <w:widowControl/>
              <w:adjustRightInd w:val="0"/>
              <w:jc w:val="center"/>
              <w:rPr>
                <w:sz w:val="20"/>
                <w:szCs w:val="20"/>
              </w:rPr>
            </w:pPr>
            <w:r w:rsidRPr="005B5BC1">
              <w:rPr>
                <w:spacing w:val="-1"/>
                <w:sz w:val="20"/>
                <w:szCs w:val="20"/>
              </w:rPr>
              <w:t>Activity;</w:t>
            </w:r>
            <w:r w:rsidRPr="005B5BC1">
              <w:rPr>
                <w:spacing w:val="27"/>
                <w:sz w:val="20"/>
                <w:szCs w:val="20"/>
              </w:rPr>
              <w:t xml:space="preserve"> </w:t>
            </w:r>
            <w:r w:rsidRPr="005B5BC1">
              <w:rPr>
                <w:sz w:val="20"/>
                <w:szCs w:val="20"/>
              </w:rPr>
              <w:t>21</w:t>
            </w:r>
            <w:r w:rsidRPr="005B5BC1">
              <w:rPr>
                <w:spacing w:val="-1"/>
                <w:sz w:val="20"/>
                <w:szCs w:val="20"/>
              </w:rPr>
              <w:t xml:space="preserve"> </w:t>
            </w:r>
            <w:r w:rsidRPr="005B5BC1">
              <w:rPr>
                <w:sz w:val="20"/>
                <w:szCs w:val="20"/>
              </w:rPr>
              <w:t>CFR Section 208 (Obtaining the PMI)</w:t>
            </w:r>
          </w:p>
        </w:tc>
        <w:tc>
          <w:tcPr>
            <w:tcW w:w="1350" w:type="dxa"/>
            <w:tcBorders>
              <w:top w:val="single" w:sz="5" w:space="0" w:color="000000"/>
              <w:left w:val="single" w:sz="5" w:space="0" w:color="000000"/>
              <w:bottom w:val="single" w:sz="5" w:space="0" w:color="000000"/>
              <w:right w:val="single" w:sz="5" w:space="0" w:color="000000"/>
            </w:tcBorders>
          </w:tcPr>
          <w:p w:rsidR="005B5BC1" w:rsidRPr="005B5BC1" w:rsidP="0076709B" w14:paraId="4B036FC5" w14:textId="77777777">
            <w:pPr>
              <w:widowControl/>
              <w:adjustRightInd w:val="0"/>
              <w:ind w:left="102" w:right="100" w:hanging="23"/>
              <w:jc w:val="center"/>
              <w:rPr>
                <w:sz w:val="20"/>
                <w:szCs w:val="20"/>
              </w:rPr>
            </w:pPr>
            <w:r w:rsidRPr="005B5BC1">
              <w:rPr>
                <w:sz w:val="20"/>
                <w:szCs w:val="20"/>
              </w:rPr>
              <w:t xml:space="preserve">No. of </w:t>
            </w:r>
            <w:r w:rsidRPr="005B5BC1">
              <w:rPr>
                <w:spacing w:val="-1"/>
                <w:sz w:val="20"/>
                <w:szCs w:val="20"/>
              </w:rPr>
              <w:t>Respondents</w:t>
            </w:r>
          </w:p>
        </w:tc>
        <w:tc>
          <w:tcPr>
            <w:tcW w:w="1621" w:type="dxa"/>
            <w:tcBorders>
              <w:top w:val="single" w:sz="5" w:space="0" w:color="000000"/>
              <w:left w:val="single" w:sz="5" w:space="0" w:color="000000"/>
              <w:bottom w:val="single" w:sz="5" w:space="0" w:color="000000"/>
              <w:right w:val="single" w:sz="5" w:space="0" w:color="000000"/>
            </w:tcBorders>
          </w:tcPr>
          <w:p w:rsidR="005B5BC1" w:rsidRPr="005B5BC1" w:rsidP="0076709B" w14:paraId="5DE3C1FD" w14:textId="77777777">
            <w:pPr>
              <w:widowControl/>
              <w:adjustRightInd w:val="0"/>
              <w:ind w:left="190" w:right="188" w:hanging="3"/>
              <w:jc w:val="center"/>
              <w:rPr>
                <w:sz w:val="20"/>
                <w:szCs w:val="20"/>
              </w:rPr>
            </w:pPr>
            <w:r w:rsidRPr="005B5BC1">
              <w:rPr>
                <w:sz w:val="20"/>
                <w:szCs w:val="20"/>
              </w:rPr>
              <w:t>No. of Responses</w:t>
            </w:r>
            <w:r w:rsidRPr="005B5BC1">
              <w:rPr>
                <w:spacing w:val="-1"/>
                <w:sz w:val="20"/>
                <w:szCs w:val="20"/>
              </w:rPr>
              <w:t xml:space="preserve"> </w:t>
            </w:r>
            <w:r w:rsidRPr="005B5BC1">
              <w:rPr>
                <w:sz w:val="20"/>
                <w:szCs w:val="20"/>
              </w:rPr>
              <w:t xml:space="preserve">per </w:t>
            </w:r>
            <w:r w:rsidRPr="005B5BC1">
              <w:rPr>
                <w:spacing w:val="-1"/>
                <w:sz w:val="20"/>
                <w:szCs w:val="20"/>
              </w:rPr>
              <w:t>Respondent</w:t>
            </w:r>
          </w:p>
        </w:tc>
        <w:tc>
          <w:tcPr>
            <w:tcW w:w="1170" w:type="dxa"/>
            <w:tcBorders>
              <w:top w:val="single" w:sz="5" w:space="0" w:color="000000"/>
              <w:left w:val="single" w:sz="5" w:space="0" w:color="000000"/>
              <w:bottom w:val="single" w:sz="5" w:space="0" w:color="000000"/>
              <w:right w:val="single" w:sz="5" w:space="0" w:color="000000"/>
            </w:tcBorders>
          </w:tcPr>
          <w:p w:rsidR="005B5BC1" w:rsidRPr="005B5BC1" w:rsidP="0076709B" w14:paraId="0595F68F" w14:textId="77777777">
            <w:pPr>
              <w:widowControl/>
              <w:adjustRightInd w:val="0"/>
              <w:ind w:left="121" w:right="119" w:hanging="3"/>
              <w:jc w:val="center"/>
              <w:rPr>
                <w:sz w:val="20"/>
                <w:szCs w:val="20"/>
              </w:rPr>
            </w:pPr>
            <w:r w:rsidRPr="005B5BC1">
              <w:rPr>
                <w:spacing w:val="-1"/>
                <w:sz w:val="20"/>
                <w:szCs w:val="20"/>
              </w:rPr>
              <w:t>Total</w:t>
            </w:r>
            <w:r w:rsidRPr="005B5BC1">
              <w:rPr>
                <w:spacing w:val="24"/>
                <w:sz w:val="20"/>
                <w:szCs w:val="20"/>
              </w:rPr>
              <w:t xml:space="preserve"> </w:t>
            </w:r>
            <w:r w:rsidRPr="005B5BC1">
              <w:rPr>
                <w:spacing w:val="-1"/>
                <w:sz w:val="20"/>
                <w:szCs w:val="20"/>
              </w:rPr>
              <w:t>Annual</w:t>
            </w:r>
            <w:r w:rsidRPr="005B5BC1">
              <w:rPr>
                <w:spacing w:val="24"/>
                <w:sz w:val="20"/>
                <w:szCs w:val="20"/>
              </w:rPr>
              <w:t xml:space="preserve"> </w:t>
            </w:r>
            <w:r w:rsidRPr="005B5BC1">
              <w:rPr>
                <w:spacing w:val="-1"/>
                <w:sz w:val="20"/>
                <w:szCs w:val="20"/>
              </w:rPr>
              <w:t>Responses</w:t>
            </w:r>
          </w:p>
        </w:tc>
        <w:tc>
          <w:tcPr>
            <w:tcW w:w="1261" w:type="dxa"/>
            <w:tcBorders>
              <w:top w:val="single" w:sz="5" w:space="0" w:color="000000"/>
              <w:left w:val="single" w:sz="5" w:space="0" w:color="000000"/>
              <w:bottom w:val="single" w:sz="5" w:space="0" w:color="000000"/>
              <w:right w:val="single" w:sz="5" w:space="0" w:color="000000"/>
            </w:tcBorders>
          </w:tcPr>
          <w:p w:rsidR="005B5BC1" w:rsidRPr="005B5BC1" w:rsidP="0076709B" w14:paraId="652071C9" w14:textId="77777777">
            <w:pPr>
              <w:widowControl/>
              <w:adjustRightInd w:val="0"/>
              <w:ind w:right="1"/>
              <w:jc w:val="center"/>
              <w:rPr>
                <w:sz w:val="20"/>
                <w:szCs w:val="20"/>
              </w:rPr>
            </w:pPr>
            <w:r w:rsidRPr="005B5BC1">
              <w:rPr>
                <w:spacing w:val="-1"/>
                <w:sz w:val="20"/>
                <w:szCs w:val="20"/>
              </w:rPr>
              <w:t xml:space="preserve">Average Burden </w:t>
            </w:r>
            <w:r w:rsidRPr="005B5BC1">
              <w:rPr>
                <w:sz w:val="20"/>
                <w:szCs w:val="20"/>
              </w:rPr>
              <w:t>per</w:t>
            </w:r>
            <w:r w:rsidRPr="005B5BC1">
              <w:rPr>
                <w:spacing w:val="25"/>
                <w:sz w:val="20"/>
                <w:szCs w:val="20"/>
              </w:rPr>
              <w:t xml:space="preserve"> </w:t>
            </w:r>
            <w:r w:rsidRPr="005B5BC1">
              <w:rPr>
                <w:spacing w:val="-1"/>
                <w:sz w:val="20"/>
                <w:szCs w:val="20"/>
              </w:rPr>
              <w:t xml:space="preserve">Response </w:t>
            </w:r>
          </w:p>
        </w:tc>
        <w:tc>
          <w:tcPr>
            <w:tcW w:w="899" w:type="dxa"/>
            <w:tcBorders>
              <w:top w:val="single" w:sz="5" w:space="0" w:color="000000"/>
              <w:left w:val="single" w:sz="5" w:space="0" w:color="000000"/>
              <w:bottom w:val="single" w:sz="5" w:space="0" w:color="000000"/>
              <w:right w:val="single" w:sz="5" w:space="0" w:color="000000"/>
            </w:tcBorders>
          </w:tcPr>
          <w:p w:rsidR="005B5BC1" w:rsidRPr="005B5BC1" w:rsidP="0076709B" w14:paraId="28BA21CF" w14:textId="77777777">
            <w:pPr>
              <w:widowControl/>
              <w:adjustRightInd w:val="0"/>
              <w:ind w:left="189" w:right="188" w:firstLine="34"/>
              <w:jc w:val="center"/>
              <w:rPr>
                <w:sz w:val="20"/>
                <w:szCs w:val="20"/>
              </w:rPr>
            </w:pPr>
            <w:r w:rsidRPr="005B5BC1">
              <w:rPr>
                <w:spacing w:val="-1"/>
                <w:sz w:val="20"/>
                <w:szCs w:val="20"/>
              </w:rPr>
              <w:t>Total</w:t>
            </w:r>
            <w:r w:rsidRPr="005B5BC1">
              <w:rPr>
                <w:spacing w:val="24"/>
                <w:sz w:val="20"/>
                <w:szCs w:val="20"/>
              </w:rPr>
              <w:t xml:space="preserve"> </w:t>
            </w:r>
            <w:r w:rsidRPr="005B5BC1">
              <w:rPr>
                <w:spacing w:val="-1"/>
                <w:sz w:val="20"/>
                <w:szCs w:val="20"/>
              </w:rPr>
              <w:t>Hours</w:t>
            </w:r>
          </w:p>
        </w:tc>
      </w:tr>
      <w:tr w14:paraId="3371D4BF" w14:textId="77777777" w:rsidTr="00F63F45">
        <w:tblPrEx>
          <w:tblW w:w="9625" w:type="dxa"/>
          <w:tblLayout w:type="fixed"/>
          <w:tblCellMar>
            <w:left w:w="0" w:type="dxa"/>
            <w:right w:w="0" w:type="dxa"/>
          </w:tblCellMar>
          <w:tblLook w:val="01E0"/>
        </w:tblPrEx>
        <w:tc>
          <w:tcPr>
            <w:tcW w:w="3324" w:type="dxa"/>
            <w:tcBorders>
              <w:top w:val="single" w:sz="5" w:space="0" w:color="000000"/>
              <w:left w:val="single" w:sz="5" w:space="0" w:color="000000"/>
              <w:bottom w:val="single" w:sz="5" w:space="0" w:color="000000"/>
              <w:right w:val="single" w:sz="5" w:space="0" w:color="000000"/>
            </w:tcBorders>
          </w:tcPr>
          <w:p w:rsidR="005B5BC1" w:rsidRPr="005B5BC1" w:rsidP="0076709B" w14:paraId="7DF2DBD2" w14:textId="77777777">
            <w:pPr>
              <w:widowControl/>
              <w:adjustRightInd w:val="0"/>
              <w:ind w:left="102" w:right="688"/>
              <w:rPr>
                <w:sz w:val="20"/>
                <w:szCs w:val="20"/>
              </w:rPr>
            </w:pPr>
            <w:r w:rsidRPr="005B5BC1">
              <w:rPr>
                <w:spacing w:val="-1"/>
                <w:sz w:val="20"/>
                <w:szCs w:val="20"/>
              </w:rPr>
              <w:t>Content</w:t>
            </w:r>
            <w:r w:rsidRPr="005B5BC1">
              <w:rPr>
                <w:sz w:val="20"/>
                <w:szCs w:val="20"/>
              </w:rPr>
              <w:t xml:space="preserve"> </w:t>
            </w:r>
            <w:r w:rsidRPr="005B5BC1">
              <w:rPr>
                <w:spacing w:val="-1"/>
                <w:sz w:val="20"/>
                <w:szCs w:val="20"/>
              </w:rPr>
              <w:t>and format</w:t>
            </w:r>
            <w:r w:rsidRPr="005B5BC1">
              <w:rPr>
                <w:sz w:val="20"/>
                <w:szCs w:val="20"/>
              </w:rPr>
              <w:t xml:space="preserve"> of</w:t>
            </w:r>
            <w:r w:rsidRPr="005B5BC1">
              <w:rPr>
                <w:spacing w:val="-1"/>
                <w:sz w:val="20"/>
                <w:szCs w:val="20"/>
              </w:rPr>
              <w:t xml:space="preserve"> </w:t>
            </w:r>
            <w:r w:rsidRPr="005B5BC1">
              <w:rPr>
                <w:sz w:val="20"/>
                <w:szCs w:val="20"/>
              </w:rPr>
              <w:t>a</w:t>
            </w:r>
            <w:r w:rsidRPr="005B5BC1">
              <w:rPr>
                <w:spacing w:val="30"/>
                <w:sz w:val="20"/>
                <w:szCs w:val="20"/>
              </w:rPr>
              <w:t xml:space="preserve"> </w:t>
            </w:r>
            <w:r w:rsidRPr="005B5BC1">
              <w:rPr>
                <w:spacing w:val="-1"/>
                <w:sz w:val="20"/>
                <w:szCs w:val="20"/>
              </w:rPr>
              <w:t>Medication</w:t>
            </w:r>
            <w:r w:rsidRPr="005B5BC1">
              <w:rPr>
                <w:sz w:val="20"/>
                <w:szCs w:val="20"/>
              </w:rPr>
              <w:t xml:space="preserve"> </w:t>
            </w:r>
            <w:r w:rsidRPr="005B5BC1">
              <w:rPr>
                <w:spacing w:val="-1"/>
                <w:sz w:val="20"/>
                <w:szCs w:val="20"/>
              </w:rPr>
              <w:t xml:space="preserve">Guide; </w:t>
            </w:r>
            <w:r w:rsidRPr="005B5BC1">
              <w:rPr>
                <w:sz w:val="20"/>
                <w:szCs w:val="20"/>
              </w:rPr>
              <w:t xml:space="preserve">§ </w:t>
            </w:r>
            <w:r w:rsidRPr="005B5BC1">
              <w:rPr>
                <w:spacing w:val="-1"/>
                <w:sz w:val="20"/>
                <w:szCs w:val="20"/>
              </w:rPr>
              <w:t>208.20</w:t>
            </w:r>
          </w:p>
        </w:tc>
        <w:tc>
          <w:tcPr>
            <w:tcW w:w="1350" w:type="dxa"/>
            <w:tcBorders>
              <w:top w:val="single" w:sz="5" w:space="0" w:color="000000"/>
              <w:left w:val="single" w:sz="5" w:space="0" w:color="000000"/>
              <w:bottom w:val="single" w:sz="5" w:space="0" w:color="000000"/>
              <w:right w:val="single" w:sz="5" w:space="0" w:color="000000"/>
            </w:tcBorders>
          </w:tcPr>
          <w:p w:rsidR="005B5BC1" w:rsidRPr="005B5BC1" w:rsidP="0076709B" w14:paraId="68E81487" w14:textId="77777777">
            <w:pPr>
              <w:widowControl/>
              <w:adjustRightInd w:val="0"/>
              <w:spacing w:line="240" w:lineRule="exact"/>
              <w:ind w:right="99"/>
              <w:jc w:val="right"/>
              <w:rPr>
                <w:sz w:val="20"/>
                <w:szCs w:val="20"/>
              </w:rPr>
            </w:pPr>
            <w:r w:rsidRPr="005B5BC1">
              <w:rPr>
                <w:sz w:val="20"/>
                <w:szCs w:val="20"/>
              </w:rPr>
              <w:t>70</w:t>
            </w:r>
          </w:p>
        </w:tc>
        <w:tc>
          <w:tcPr>
            <w:tcW w:w="1621" w:type="dxa"/>
            <w:tcBorders>
              <w:top w:val="single" w:sz="5" w:space="0" w:color="000000"/>
              <w:left w:val="single" w:sz="5" w:space="0" w:color="000000"/>
              <w:bottom w:val="single" w:sz="5" w:space="0" w:color="000000"/>
              <w:right w:val="single" w:sz="5" w:space="0" w:color="000000"/>
            </w:tcBorders>
          </w:tcPr>
          <w:p w:rsidR="005B5BC1" w:rsidRPr="005B5BC1" w:rsidP="0076709B" w14:paraId="2A686805" w14:textId="77777777">
            <w:pPr>
              <w:widowControl/>
              <w:adjustRightInd w:val="0"/>
              <w:spacing w:line="240" w:lineRule="exact"/>
              <w:ind w:right="100"/>
              <w:jc w:val="right"/>
              <w:rPr>
                <w:sz w:val="20"/>
                <w:szCs w:val="20"/>
              </w:rPr>
            </w:pPr>
            <w:r w:rsidRPr="005B5BC1">
              <w:rPr>
                <w:sz w:val="20"/>
                <w:szCs w:val="20"/>
              </w:rPr>
              <w:t>1</w:t>
            </w:r>
          </w:p>
        </w:tc>
        <w:tc>
          <w:tcPr>
            <w:tcW w:w="1170" w:type="dxa"/>
            <w:tcBorders>
              <w:top w:val="single" w:sz="5" w:space="0" w:color="000000"/>
              <w:left w:val="single" w:sz="5" w:space="0" w:color="000000"/>
              <w:bottom w:val="single" w:sz="5" w:space="0" w:color="000000"/>
              <w:right w:val="single" w:sz="5" w:space="0" w:color="000000"/>
            </w:tcBorders>
          </w:tcPr>
          <w:p w:rsidR="005B5BC1" w:rsidRPr="005B5BC1" w:rsidP="0076709B" w14:paraId="026B4DA7" w14:textId="77777777">
            <w:pPr>
              <w:widowControl/>
              <w:adjustRightInd w:val="0"/>
              <w:spacing w:line="240" w:lineRule="exact"/>
              <w:ind w:right="99"/>
              <w:jc w:val="right"/>
              <w:rPr>
                <w:sz w:val="20"/>
                <w:szCs w:val="20"/>
              </w:rPr>
            </w:pPr>
            <w:r w:rsidRPr="005B5BC1">
              <w:rPr>
                <w:sz w:val="20"/>
                <w:szCs w:val="20"/>
              </w:rPr>
              <w:t>70</w:t>
            </w:r>
          </w:p>
        </w:tc>
        <w:tc>
          <w:tcPr>
            <w:tcW w:w="1261" w:type="dxa"/>
            <w:tcBorders>
              <w:top w:val="single" w:sz="5" w:space="0" w:color="000000"/>
              <w:left w:val="single" w:sz="5" w:space="0" w:color="000000"/>
              <w:bottom w:val="single" w:sz="5" w:space="0" w:color="000000"/>
              <w:right w:val="single" w:sz="5" w:space="0" w:color="000000"/>
            </w:tcBorders>
          </w:tcPr>
          <w:p w:rsidR="005B5BC1" w:rsidRPr="005B5BC1" w:rsidP="0076709B" w14:paraId="698EBE3B" w14:textId="77777777">
            <w:pPr>
              <w:widowControl/>
              <w:adjustRightInd w:val="0"/>
              <w:spacing w:line="240" w:lineRule="exact"/>
              <w:ind w:left="820"/>
              <w:jc w:val="right"/>
              <w:rPr>
                <w:sz w:val="20"/>
                <w:szCs w:val="20"/>
              </w:rPr>
            </w:pPr>
            <w:r w:rsidRPr="005B5BC1">
              <w:rPr>
                <w:spacing w:val="-1"/>
                <w:sz w:val="20"/>
                <w:szCs w:val="20"/>
              </w:rPr>
              <w:t>320</w:t>
            </w:r>
          </w:p>
        </w:tc>
        <w:tc>
          <w:tcPr>
            <w:tcW w:w="899" w:type="dxa"/>
            <w:tcBorders>
              <w:top w:val="single" w:sz="5" w:space="0" w:color="000000"/>
              <w:left w:val="single" w:sz="5" w:space="0" w:color="000000"/>
              <w:bottom w:val="single" w:sz="5" w:space="0" w:color="000000"/>
              <w:right w:val="single" w:sz="5" w:space="0" w:color="000000"/>
            </w:tcBorders>
          </w:tcPr>
          <w:p w:rsidR="005B5BC1" w:rsidRPr="005B5BC1" w:rsidP="0076709B" w14:paraId="2424D0FA" w14:textId="77777777">
            <w:pPr>
              <w:widowControl/>
              <w:adjustRightInd w:val="0"/>
              <w:spacing w:line="240" w:lineRule="exact"/>
              <w:ind w:left="213"/>
              <w:jc w:val="right"/>
              <w:rPr>
                <w:sz w:val="20"/>
                <w:szCs w:val="20"/>
              </w:rPr>
            </w:pPr>
            <w:r w:rsidRPr="005B5BC1">
              <w:rPr>
                <w:spacing w:val="-1"/>
                <w:sz w:val="20"/>
                <w:szCs w:val="20"/>
              </w:rPr>
              <w:t>22,400</w:t>
            </w:r>
          </w:p>
        </w:tc>
      </w:tr>
      <w:tr w14:paraId="7D5F5B7E" w14:textId="77777777" w:rsidTr="00F63F45">
        <w:tblPrEx>
          <w:tblW w:w="9625" w:type="dxa"/>
          <w:tblLayout w:type="fixed"/>
          <w:tblCellMar>
            <w:left w:w="0" w:type="dxa"/>
            <w:right w:w="0" w:type="dxa"/>
          </w:tblCellMar>
          <w:tblLook w:val="01E0"/>
        </w:tblPrEx>
        <w:tc>
          <w:tcPr>
            <w:tcW w:w="3324" w:type="dxa"/>
            <w:tcBorders>
              <w:top w:val="single" w:sz="5" w:space="0" w:color="000000"/>
              <w:left w:val="single" w:sz="5" w:space="0" w:color="000000"/>
              <w:bottom w:val="single" w:sz="5" w:space="0" w:color="000000"/>
              <w:right w:val="single" w:sz="5" w:space="0" w:color="000000"/>
            </w:tcBorders>
          </w:tcPr>
          <w:p w:rsidR="005B5BC1" w:rsidRPr="005B5BC1" w:rsidP="0076709B" w14:paraId="30FB79A1" w14:textId="77777777">
            <w:pPr>
              <w:widowControl/>
              <w:adjustRightInd w:val="0"/>
              <w:spacing w:line="241" w:lineRule="exact"/>
              <w:ind w:left="102"/>
              <w:rPr>
                <w:sz w:val="20"/>
                <w:szCs w:val="20"/>
              </w:rPr>
            </w:pPr>
            <w:r w:rsidRPr="005B5BC1">
              <w:rPr>
                <w:spacing w:val="-1"/>
                <w:sz w:val="20"/>
                <w:szCs w:val="20"/>
              </w:rPr>
              <w:t xml:space="preserve">Exemptions and deferrals; </w:t>
            </w:r>
            <w:r w:rsidRPr="005B5BC1">
              <w:rPr>
                <w:sz w:val="20"/>
                <w:szCs w:val="20"/>
              </w:rPr>
              <w:t xml:space="preserve">§ </w:t>
            </w:r>
            <w:r w:rsidRPr="005B5BC1">
              <w:rPr>
                <w:spacing w:val="-1"/>
                <w:sz w:val="20"/>
                <w:szCs w:val="20"/>
              </w:rPr>
              <w:t>208.26(a)</w:t>
            </w:r>
          </w:p>
        </w:tc>
        <w:tc>
          <w:tcPr>
            <w:tcW w:w="1350" w:type="dxa"/>
            <w:tcBorders>
              <w:top w:val="single" w:sz="5" w:space="0" w:color="000000"/>
              <w:left w:val="single" w:sz="5" w:space="0" w:color="000000"/>
              <w:bottom w:val="single" w:sz="5" w:space="0" w:color="000000"/>
              <w:right w:val="single" w:sz="5" w:space="0" w:color="000000"/>
            </w:tcBorders>
          </w:tcPr>
          <w:p w:rsidR="005B5BC1" w:rsidRPr="005B5BC1" w:rsidP="0076709B" w14:paraId="3A75F1F3" w14:textId="77777777">
            <w:pPr>
              <w:widowControl/>
              <w:adjustRightInd w:val="0"/>
              <w:spacing w:line="241" w:lineRule="exact"/>
              <w:ind w:right="99"/>
              <w:jc w:val="right"/>
              <w:rPr>
                <w:sz w:val="20"/>
                <w:szCs w:val="20"/>
              </w:rPr>
            </w:pPr>
            <w:r w:rsidRPr="005B5BC1">
              <w:rPr>
                <w:sz w:val="20"/>
                <w:szCs w:val="20"/>
              </w:rPr>
              <w:t>1</w:t>
            </w:r>
          </w:p>
        </w:tc>
        <w:tc>
          <w:tcPr>
            <w:tcW w:w="1621" w:type="dxa"/>
            <w:tcBorders>
              <w:top w:val="single" w:sz="5" w:space="0" w:color="000000"/>
              <w:left w:val="single" w:sz="5" w:space="0" w:color="000000"/>
              <w:bottom w:val="single" w:sz="5" w:space="0" w:color="000000"/>
              <w:right w:val="single" w:sz="5" w:space="0" w:color="000000"/>
            </w:tcBorders>
          </w:tcPr>
          <w:p w:rsidR="005B5BC1" w:rsidRPr="005B5BC1" w:rsidP="0076709B" w14:paraId="59CFD6A9" w14:textId="77777777">
            <w:pPr>
              <w:widowControl/>
              <w:adjustRightInd w:val="0"/>
              <w:spacing w:line="241" w:lineRule="exact"/>
              <w:ind w:right="100"/>
              <w:jc w:val="right"/>
              <w:rPr>
                <w:sz w:val="20"/>
                <w:szCs w:val="20"/>
              </w:rPr>
            </w:pPr>
            <w:r w:rsidRPr="005B5BC1">
              <w:rPr>
                <w:sz w:val="20"/>
                <w:szCs w:val="20"/>
              </w:rPr>
              <w:t>1</w:t>
            </w:r>
          </w:p>
        </w:tc>
        <w:tc>
          <w:tcPr>
            <w:tcW w:w="1170" w:type="dxa"/>
            <w:tcBorders>
              <w:top w:val="single" w:sz="5" w:space="0" w:color="000000"/>
              <w:left w:val="single" w:sz="5" w:space="0" w:color="000000"/>
              <w:bottom w:val="single" w:sz="5" w:space="0" w:color="000000"/>
              <w:right w:val="single" w:sz="5" w:space="0" w:color="000000"/>
            </w:tcBorders>
          </w:tcPr>
          <w:p w:rsidR="005B5BC1" w:rsidRPr="005B5BC1" w:rsidP="0076709B" w14:paraId="156AF401" w14:textId="77777777">
            <w:pPr>
              <w:widowControl/>
              <w:adjustRightInd w:val="0"/>
              <w:spacing w:line="241" w:lineRule="exact"/>
              <w:ind w:right="99"/>
              <w:jc w:val="right"/>
              <w:rPr>
                <w:sz w:val="20"/>
                <w:szCs w:val="20"/>
              </w:rPr>
            </w:pPr>
            <w:r w:rsidRPr="005B5BC1">
              <w:rPr>
                <w:sz w:val="20"/>
                <w:szCs w:val="20"/>
              </w:rPr>
              <w:t>1</w:t>
            </w:r>
          </w:p>
        </w:tc>
        <w:tc>
          <w:tcPr>
            <w:tcW w:w="1261" w:type="dxa"/>
            <w:tcBorders>
              <w:top w:val="single" w:sz="5" w:space="0" w:color="000000"/>
              <w:left w:val="single" w:sz="5" w:space="0" w:color="000000"/>
              <w:bottom w:val="single" w:sz="5" w:space="0" w:color="000000"/>
              <w:right w:val="single" w:sz="5" w:space="0" w:color="000000"/>
            </w:tcBorders>
          </w:tcPr>
          <w:p w:rsidR="005B5BC1" w:rsidRPr="005B5BC1" w:rsidP="0076709B" w14:paraId="431F7F56" w14:textId="77777777">
            <w:pPr>
              <w:widowControl/>
              <w:adjustRightInd w:val="0"/>
              <w:spacing w:line="241" w:lineRule="exact"/>
              <w:ind w:right="99"/>
              <w:jc w:val="right"/>
              <w:rPr>
                <w:sz w:val="20"/>
                <w:szCs w:val="20"/>
              </w:rPr>
            </w:pPr>
            <w:r w:rsidRPr="005B5BC1">
              <w:rPr>
                <w:sz w:val="20"/>
                <w:szCs w:val="20"/>
              </w:rPr>
              <w:t>4</w:t>
            </w:r>
          </w:p>
        </w:tc>
        <w:tc>
          <w:tcPr>
            <w:tcW w:w="899" w:type="dxa"/>
            <w:tcBorders>
              <w:top w:val="single" w:sz="5" w:space="0" w:color="000000"/>
              <w:left w:val="single" w:sz="5" w:space="0" w:color="000000"/>
              <w:bottom w:val="single" w:sz="5" w:space="0" w:color="000000"/>
              <w:right w:val="single" w:sz="5" w:space="0" w:color="000000"/>
            </w:tcBorders>
          </w:tcPr>
          <w:p w:rsidR="005B5BC1" w:rsidRPr="005B5BC1" w:rsidP="0076709B" w14:paraId="2A64F031" w14:textId="77777777">
            <w:pPr>
              <w:widowControl/>
              <w:adjustRightInd w:val="0"/>
              <w:spacing w:line="241" w:lineRule="exact"/>
              <w:ind w:right="99"/>
              <w:jc w:val="right"/>
              <w:rPr>
                <w:sz w:val="20"/>
                <w:szCs w:val="20"/>
              </w:rPr>
            </w:pPr>
            <w:r w:rsidRPr="005B5BC1">
              <w:rPr>
                <w:sz w:val="20"/>
                <w:szCs w:val="20"/>
              </w:rPr>
              <w:t>4</w:t>
            </w:r>
          </w:p>
        </w:tc>
      </w:tr>
      <w:tr w14:paraId="23780892" w14:textId="77777777" w:rsidTr="00F63F45">
        <w:tblPrEx>
          <w:tblW w:w="9625" w:type="dxa"/>
          <w:tblLayout w:type="fixed"/>
          <w:tblCellMar>
            <w:left w:w="0" w:type="dxa"/>
            <w:right w:w="0" w:type="dxa"/>
          </w:tblCellMar>
          <w:tblLook w:val="01E0"/>
        </w:tblPrEx>
        <w:tc>
          <w:tcPr>
            <w:tcW w:w="3324" w:type="dxa"/>
            <w:tcBorders>
              <w:top w:val="single" w:sz="5" w:space="0" w:color="000000"/>
              <w:left w:val="single" w:sz="5" w:space="0" w:color="000000"/>
              <w:bottom w:val="single" w:sz="5" w:space="0" w:color="000000"/>
              <w:right w:val="single" w:sz="5" w:space="0" w:color="000000"/>
            </w:tcBorders>
          </w:tcPr>
          <w:p w:rsidR="005B5BC1" w:rsidRPr="005B5BC1" w:rsidP="0076709B" w14:paraId="4E45ECDB" w14:textId="77777777">
            <w:pPr>
              <w:widowControl/>
              <w:adjustRightInd w:val="0"/>
              <w:spacing w:line="241" w:lineRule="exact"/>
              <w:ind w:left="102"/>
              <w:rPr>
                <w:sz w:val="20"/>
                <w:szCs w:val="20"/>
              </w:rPr>
            </w:pPr>
            <w:r w:rsidRPr="005B5BC1">
              <w:rPr>
                <w:spacing w:val="-1"/>
                <w:sz w:val="20"/>
                <w:szCs w:val="20"/>
              </w:rPr>
              <w:t>Total</w:t>
            </w:r>
          </w:p>
        </w:tc>
        <w:tc>
          <w:tcPr>
            <w:tcW w:w="1350" w:type="dxa"/>
            <w:tcBorders>
              <w:top w:val="single" w:sz="5" w:space="0" w:color="000000"/>
              <w:left w:val="single" w:sz="5" w:space="0" w:color="000000"/>
              <w:bottom w:val="single" w:sz="5" w:space="0" w:color="000000"/>
              <w:right w:val="single" w:sz="5" w:space="0" w:color="000000"/>
            </w:tcBorders>
          </w:tcPr>
          <w:p w:rsidR="005B5BC1" w:rsidRPr="005B5BC1" w:rsidP="0076709B" w14:paraId="6B9C5F9A" w14:textId="77777777">
            <w:pPr>
              <w:widowControl/>
              <w:autoSpaceDE/>
              <w:autoSpaceDN/>
              <w:jc w:val="right"/>
              <w:rPr>
                <w:sz w:val="20"/>
                <w:szCs w:val="20"/>
              </w:rPr>
            </w:pPr>
          </w:p>
        </w:tc>
        <w:tc>
          <w:tcPr>
            <w:tcW w:w="1621" w:type="dxa"/>
            <w:tcBorders>
              <w:top w:val="single" w:sz="5" w:space="0" w:color="000000"/>
              <w:left w:val="single" w:sz="5" w:space="0" w:color="000000"/>
              <w:bottom w:val="single" w:sz="5" w:space="0" w:color="000000"/>
              <w:right w:val="single" w:sz="5" w:space="0" w:color="000000"/>
            </w:tcBorders>
          </w:tcPr>
          <w:p w:rsidR="005B5BC1" w:rsidRPr="005B5BC1" w:rsidP="0076709B" w14:paraId="690C932D" w14:textId="77777777">
            <w:pPr>
              <w:widowControl/>
              <w:autoSpaceDE/>
              <w:autoSpaceDN/>
              <w:jc w:val="right"/>
              <w:rPr>
                <w:sz w:val="20"/>
                <w:szCs w:val="20"/>
              </w:rPr>
            </w:pPr>
          </w:p>
        </w:tc>
        <w:tc>
          <w:tcPr>
            <w:tcW w:w="1170" w:type="dxa"/>
            <w:tcBorders>
              <w:top w:val="single" w:sz="5" w:space="0" w:color="000000"/>
              <w:left w:val="single" w:sz="5" w:space="0" w:color="000000"/>
              <w:bottom w:val="single" w:sz="5" w:space="0" w:color="000000"/>
              <w:right w:val="single" w:sz="5" w:space="0" w:color="000000"/>
            </w:tcBorders>
          </w:tcPr>
          <w:p w:rsidR="005B5BC1" w:rsidRPr="005B5BC1" w:rsidP="0076709B" w14:paraId="2277057C" w14:textId="77777777">
            <w:pPr>
              <w:widowControl/>
              <w:adjustRightInd w:val="0"/>
              <w:spacing w:line="241" w:lineRule="exact"/>
              <w:ind w:left="714"/>
              <w:jc w:val="right"/>
              <w:rPr>
                <w:sz w:val="20"/>
                <w:szCs w:val="20"/>
              </w:rPr>
            </w:pPr>
            <w:r w:rsidRPr="005B5BC1">
              <w:rPr>
                <w:spacing w:val="-1"/>
                <w:sz w:val="20"/>
                <w:szCs w:val="20"/>
              </w:rPr>
              <w:t>71</w:t>
            </w:r>
          </w:p>
        </w:tc>
        <w:tc>
          <w:tcPr>
            <w:tcW w:w="1261" w:type="dxa"/>
            <w:tcBorders>
              <w:top w:val="single" w:sz="5" w:space="0" w:color="000000"/>
              <w:left w:val="single" w:sz="5" w:space="0" w:color="000000"/>
              <w:bottom w:val="single" w:sz="5" w:space="0" w:color="000000"/>
              <w:right w:val="single" w:sz="5" w:space="0" w:color="000000"/>
            </w:tcBorders>
          </w:tcPr>
          <w:p w:rsidR="005B5BC1" w:rsidRPr="005B5BC1" w:rsidP="0076709B" w14:paraId="4B1A1B3F" w14:textId="77777777">
            <w:pPr>
              <w:widowControl/>
              <w:autoSpaceDE/>
              <w:autoSpaceDN/>
              <w:jc w:val="right"/>
              <w:rPr>
                <w:sz w:val="20"/>
                <w:szCs w:val="20"/>
              </w:rPr>
            </w:pPr>
          </w:p>
        </w:tc>
        <w:tc>
          <w:tcPr>
            <w:tcW w:w="899" w:type="dxa"/>
            <w:tcBorders>
              <w:top w:val="single" w:sz="5" w:space="0" w:color="000000"/>
              <w:left w:val="single" w:sz="5" w:space="0" w:color="000000"/>
              <w:bottom w:val="single" w:sz="5" w:space="0" w:color="000000"/>
              <w:right w:val="single" w:sz="5" w:space="0" w:color="000000"/>
            </w:tcBorders>
          </w:tcPr>
          <w:p w:rsidR="005B5BC1" w:rsidRPr="005B5BC1" w:rsidP="0076709B" w14:paraId="43941861" w14:textId="77777777">
            <w:pPr>
              <w:widowControl/>
              <w:adjustRightInd w:val="0"/>
              <w:spacing w:line="241" w:lineRule="exact"/>
              <w:ind w:left="213"/>
              <w:jc w:val="right"/>
              <w:rPr>
                <w:sz w:val="20"/>
                <w:szCs w:val="20"/>
              </w:rPr>
            </w:pPr>
            <w:r w:rsidRPr="005B5BC1">
              <w:rPr>
                <w:spacing w:val="-1"/>
                <w:sz w:val="20"/>
                <w:szCs w:val="20"/>
              </w:rPr>
              <w:t>22,404</w:t>
            </w:r>
          </w:p>
        </w:tc>
      </w:tr>
    </w:tbl>
    <w:p w:rsidR="005B5BC1" w:rsidP="0076709B" w14:paraId="4EED9FE1" w14:textId="77777777">
      <w:pPr>
        <w:widowControl/>
        <w:kinsoku w:val="0"/>
        <w:overflowPunct w:val="0"/>
        <w:adjustRightInd w:val="0"/>
        <w:rPr>
          <w:sz w:val="20"/>
          <w:szCs w:val="24"/>
        </w:rPr>
      </w:pPr>
      <w:r w:rsidRPr="005B5BC1">
        <w:rPr>
          <w:sz w:val="20"/>
          <w:szCs w:val="20"/>
          <w:vertAlign w:val="superscript"/>
        </w:rPr>
        <w:t xml:space="preserve">1 </w:t>
      </w:r>
      <w:r w:rsidRPr="005B5BC1">
        <w:rPr>
          <w:sz w:val="20"/>
          <w:szCs w:val="20"/>
        </w:rPr>
        <w:t>There are no capital costs or operating and maintenance costs associated with this collection of information</w:t>
      </w:r>
      <w:r w:rsidRPr="005B5BC1">
        <w:rPr>
          <w:sz w:val="20"/>
          <w:szCs w:val="24"/>
        </w:rPr>
        <w:t>.</w:t>
      </w:r>
    </w:p>
    <w:p w:rsidR="0076709B" w:rsidP="0076709B" w14:paraId="09D30DF2" w14:textId="77777777">
      <w:pPr>
        <w:widowControl/>
        <w:autoSpaceDE/>
        <w:autoSpaceDN/>
        <w:rPr>
          <w:sz w:val="24"/>
          <w:szCs w:val="24"/>
        </w:rPr>
      </w:pPr>
    </w:p>
    <w:p w:rsidR="00CC4704" w:rsidP="0076709B" w14:paraId="7B366341" w14:textId="4D63D444">
      <w:pPr>
        <w:widowControl/>
        <w:autoSpaceDE/>
        <w:autoSpaceDN/>
        <w:ind w:firstLine="720"/>
        <w:rPr>
          <w:sz w:val="24"/>
          <w:szCs w:val="24"/>
        </w:rPr>
      </w:pPr>
      <w:r w:rsidRPr="00CC4704">
        <w:rPr>
          <w:sz w:val="24"/>
          <w:szCs w:val="24"/>
        </w:rPr>
        <w:t>Included among the requirements in 21 CFR part 314 that govern applications for FDA approval to market a new drug is the submission of any Medication Guide (see 21 CFR part 314.50), as applicable under 21 CFR part 208, as well as any supplemental changes (see 21 CFR 314.70)</w:t>
      </w:r>
      <w:r w:rsidR="008A7E18">
        <w:rPr>
          <w:sz w:val="24"/>
          <w:szCs w:val="24"/>
        </w:rPr>
        <w:t>.</w:t>
      </w:r>
      <w:r w:rsidRPr="00CC4704">
        <w:rPr>
          <w:sz w:val="24"/>
          <w:szCs w:val="24"/>
        </w:rPr>
        <w:t xml:space="preserve"> </w:t>
      </w:r>
      <w:r w:rsidR="008A7E18">
        <w:rPr>
          <w:sz w:val="24"/>
          <w:szCs w:val="24"/>
        </w:rPr>
        <w:t xml:space="preserve">  </w:t>
      </w:r>
      <w:r>
        <w:rPr>
          <w:sz w:val="24"/>
          <w:szCs w:val="24"/>
        </w:rPr>
        <w:t xml:space="preserve">We </w:t>
      </w:r>
      <w:r w:rsidR="008A7E18">
        <w:rPr>
          <w:sz w:val="24"/>
          <w:szCs w:val="24"/>
        </w:rPr>
        <w:t xml:space="preserve">use </w:t>
      </w:r>
      <w:r w:rsidRPr="00CC4704">
        <w:rPr>
          <w:sz w:val="24"/>
          <w:szCs w:val="24"/>
        </w:rPr>
        <w:t>the information submitted to determine whether the Medication Guide complies with applicable regulatory requirements.  Information collection activities applicable to regulations in 21 CFR part 314 are currently approved in OMB control no. 0910-0001.  In this request FDA is accounting for information collection burden we believe attributable to regulatory requirements 21 CFR part 208.</w:t>
      </w:r>
    </w:p>
    <w:p w:rsidR="00CC4704" w:rsidRPr="00CC4704" w:rsidP="0076709B" w14:paraId="34CED635" w14:textId="77777777">
      <w:pPr>
        <w:widowControl/>
        <w:autoSpaceDE/>
        <w:autoSpaceDN/>
        <w:rPr>
          <w:sz w:val="24"/>
          <w:szCs w:val="24"/>
        </w:rPr>
      </w:pPr>
    </w:p>
    <w:p w:rsidR="00245B35" w:rsidRPr="00245B35" w:rsidP="0076709B" w14:paraId="7D686AC3" w14:textId="72010D96">
      <w:pPr>
        <w:widowControl/>
        <w:autoSpaceDE/>
        <w:autoSpaceDN/>
        <w:ind w:firstLine="720"/>
        <w:rPr>
          <w:sz w:val="24"/>
          <w:szCs w:val="24"/>
        </w:rPr>
      </w:pPr>
      <w:r w:rsidRPr="00245B35">
        <w:rPr>
          <w:sz w:val="24"/>
          <w:szCs w:val="24"/>
        </w:rPr>
        <w:t>Noting that 5 CFR 1320.3(m) defines a recordkeeping requirement to include the reporting to the Federal government regarding such records, we have characterized the submission of Medication Guides to FDA as reporting activity required as a function of certain NDA submissions</w:t>
      </w:r>
      <w:r w:rsidR="008A7E18">
        <w:rPr>
          <w:sz w:val="24"/>
          <w:szCs w:val="24"/>
        </w:rPr>
        <w:t xml:space="preserve">.  </w:t>
      </w:r>
      <w:r w:rsidRPr="00245B35">
        <w:rPr>
          <w:sz w:val="24"/>
          <w:szCs w:val="24"/>
        </w:rPr>
        <w:t xml:space="preserve">Based on our evaluation of internal data, we estimate that, in the next three years, 70 holders of applications will prepare and submit one Medication Guide annually for our review.  We estimate that the application holders will expend 320 hours to prepare and submit the Medication Guide.  In addition, we estimate that, in the next three years, one sponsor of one of the new or supplementary applications will request an exemption under § 208.26(a) from at least some of the Medication Guide format or content requirements, annually.  We assume sponsors will expend an average of 4 hours annually to prepare and submit a request for exemption. </w:t>
      </w:r>
    </w:p>
    <w:p w:rsidR="000F6216" w14:paraId="4A860234" w14:textId="67427C5F">
      <w:pPr>
        <w:rPr>
          <w:sz w:val="20"/>
          <w:szCs w:val="20"/>
        </w:rPr>
      </w:pPr>
      <w:r>
        <w:rPr>
          <w:sz w:val="20"/>
          <w:szCs w:val="20"/>
        </w:rPr>
        <w:br w:type="page"/>
      </w:r>
    </w:p>
    <w:p w:rsidR="00B745A0" w:rsidP="0076709B" w14:paraId="7CAA40D8" w14:textId="77777777">
      <w:pPr>
        <w:widowControl/>
        <w:autoSpaceDE/>
        <w:autoSpaceDN/>
        <w:rPr>
          <w:sz w:val="20"/>
          <w:szCs w:val="20"/>
        </w:rPr>
      </w:pPr>
    </w:p>
    <w:p w:rsidR="00B36CB4" w:rsidRPr="00B36CB4" w:rsidP="0076709B" w14:paraId="421EB687" w14:textId="17E515E7">
      <w:pPr>
        <w:widowControl/>
        <w:autoSpaceDE/>
        <w:autoSpaceDN/>
        <w:jc w:val="center"/>
        <w:rPr>
          <w:sz w:val="20"/>
          <w:szCs w:val="20"/>
        </w:rPr>
      </w:pPr>
      <w:r w:rsidRPr="00B36CB4">
        <w:rPr>
          <w:sz w:val="20"/>
          <w:szCs w:val="20"/>
        </w:rPr>
        <w:t xml:space="preserve">Table </w:t>
      </w:r>
      <w:r w:rsidRPr="00B36CB4">
        <w:rPr>
          <w:spacing w:val="-1"/>
          <w:sz w:val="20"/>
          <w:szCs w:val="20"/>
        </w:rPr>
        <w:t>2.--Estimated</w:t>
      </w:r>
      <w:r w:rsidRPr="00B36CB4">
        <w:rPr>
          <w:sz w:val="20"/>
          <w:szCs w:val="20"/>
        </w:rPr>
        <w:t xml:space="preserve"> Annual </w:t>
      </w:r>
      <w:r w:rsidRPr="00B36CB4">
        <w:rPr>
          <w:spacing w:val="-1"/>
          <w:sz w:val="20"/>
          <w:szCs w:val="20"/>
        </w:rPr>
        <w:t>Third-Party Disclosure Burden</w:t>
      </w:r>
      <w:r w:rsidRPr="00B36CB4">
        <w:rPr>
          <w:sz w:val="20"/>
          <w:szCs w:val="20"/>
          <w:vertAlign w:val="superscript"/>
        </w:rPr>
        <w:t>1</w:t>
      </w:r>
    </w:p>
    <w:tbl>
      <w:tblPr>
        <w:tblW w:w="0" w:type="auto"/>
        <w:jc w:val="center"/>
        <w:tblLayout w:type="fixed"/>
        <w:tblCellMar>
          <w:left w:w="0" w:type="dxa"/>
          <w:right w:w="0" w:type="dxa"/>
        </w:tblCellMar>
        <w:tblLook w:val="01E0"/>
      </w:tblPr>
      <w:tblGrid>
        <w:gridCol w:w="2784"/>
        <w:gridCol w:w="1440"/>
        <w:gridCol w:w="1350"/>
        <w:gridCol w:w="1440"/>
        <w:gridCol w:w="1260"/>
        <w:gridCol w:w="1074"/>
      </w:tblGrid>
      <w:tr w14:paraId="5F4771C5" w14:textId="77777777" w:rsidTr="007F721B">
        <w:tblPrEx>
          <w:tblW w:w="0" w:type="auto"/>
          <w:jc w:val="center"/>
          <w:tblLayout w:type="fixed"/>
          <w:tblCellMar>
            <w:left w:w="0" w:type="dxa"/>
            <w:right w:w="0" w:type="dxa"/>
          </w:tblCellMar>
          <w:tblLook w:val="01E0"/>
        </w:tblPrEx>
        <w:trPr>
          <w:jc w:val="center"/>
        </w:trPr>
        <w:tc>
          <w:tcPr>
            <w:tcW w:w="2784" w:type="dxa"/>
            <w:tcBorders>
              <w:top w:val="single" w:sz="5" w:space="0" w:color="000000"/>
              <w:left w:val="single" w:sz="5" w:space="0" w:color="000000"/>
              <w:bottom w:val="single" w:sz="5" w:space="0" w:color="000000"/>
              <w:right w:val="single" w:sz="5" w:space="0" w:color="000000"/>
            </w:tcBorders>
          </w:tcPr>
          <w:p w:rsidR="007F721B" w:rsidRPr="00B36CB4" w:rsidP="0076709B" w14:paraId="2F4D3B5A" w14:textId="77777777">
            <w:pPr>
              <w:widowControl/>
              <w:adjustRightInd w:val="0"/>
              <w:ind w:left="102"/>
              <w:jc w:val="center"/>
              <w:rPr>
                <w:sz w:val="20"/>
                <w:szCs w:val="20"/>
              </w:rPr>
            </w:pPr>
            <w:r w:rsidRPr="00B36CB4">
              <w:rPr>
                <w:spacing w:val="-1"/>
                <w:sz w:val="20"/>
                <w:szCs w:val="20"/>
              </w:rPr>
              <w:t>Activity;</w:t>
            </w:r>
            <w:r w:rsidRPr="00B36CB4">
              <w:rPr>
                <w:spacing w:val="27"/>
                <w:sz w:val="20"/>
                <w:szCs w:val="20"/>
              </w:rPr>
              <w:t xml:space="preserve"> </w:t>
            </w:r>
            <w:r w:rsidRPr="00B36CB4">
              <w:rPr>
                <w:sz w:val="20"/>
                <w:szCs w:val="20"/>
              </w:rPr>
              <w:t>21</w:t>
            </w:r>
            <w:r w:rsidRPr="00B36CB4">
              <w:rPr>
                <w:spacing w:val="-1"/>
                <w:sz w:val="20"/>
                <w:szCs w:val="20"/>
              </w:rPr>
              <w:t xml:space="preserve"> </w:t>
            </w:r>
            <w:r w:rsidRPr="00B36CB4">
              <w:rPr>
                <w:sz w:val="20"/>
                <w:szCs w:val="20"/>
              </w:rPr>
              <w:t>CFR Section 208 (Providing the PMI for Distribution)</w:t>
            </w:r>
          </w:p>
        </w:tc>
        <w:tc>
          <w:tcPr>
            <w:tcW w:w="1440" w:type="dxa"/>
            <w:tcBorders>
              <w:top w:val="single" w:sz="5" w:space="0" w:color="000000"/>
              <w:left w:val="single" w:sz="5" w:space="0" w:color="000000"/>
              <w:bottom w:val="single" w:sz="5" w:space="0" w:color="000000"/>
              <w:right w:val="single" w:sz="5" w:space="0" w:color="000000"/>
            </w:tcBorders>
          </w:tcPr>
          <w:p w:rsidR="007F721B" w:rsidRPr="00B36CB4" w:rsidP="0076709B" w14:paraId="40EAAB29" w14:textId="77777777">
            <w:pPr>
              <w:widowControl/>
              <w:adjustRightInd w:val="0"/>
              <w:jc w:val="center"/>
              <w:rPr>
                <w:sz w:val="20"/>
                <w:szCs w:val="20"/>
              </w:rPr>
            </w:pPr>
            <w:r w:rsidRPr="00B36CB4">
              <w:rPr>
                <w:sz w:val="20"/>
                <w:szCs w:val="20"/>
              </w:rPr>
              <w:t xml:space="preserve">No. of </w:t>
            </w:r>
            <w:r w:rsidRPr="00B36CB4">
              <w:rPr>
                <w:spacing w:val="-1"/>
                <w:sz w:val="20"/>
                <w:szCs w:val="20"/>
              </w:rPr>
              <w:t>Respondents</w:t>
            </w:r>
          </w:p>
        </w:tc>
        <w:tc>
          <w:tcPr>
            <w:tcW w:w="1350" w:type="dxa"/>
            <w:tcBorders>
              <w:top w:val="single" w:sz="5" w:space="0" w:color="000000"/>
              <w:left w:val="single" w:sz="5" w:space="0" w:color="000000"/>
              <w:bottom w:val="single" w:sz="5" w:space="0" w:color="000000"/>
              <w:right w:val="single" w:sz="5" w:space="0" w:color="000000"/>
            </w:tcBorders>
          </w:tcPr>
          <w:p w:rsidR="007F721B" w:rsidRPr="00B36CB4" w:rsidP="0076709B" w14:paraId="05B517F8" w14:textId="77777777">
            <w:pPr>
              <w:widowControl/>
              <w:adjustRightInd w:val="0"/>
              <w:jc w:val="center"/>
              <w:rPr>
                <w:sz w:val="20"/>
                <w:szCs w:val="20"/>
              </w:rPr>
            </w:pPr>
            <w:r w:rsidRPr="00B36CB4">
              <w:rPr>
                <w:sz w:val="20"/>
                <w:szCs w:val="20"/>
              </w:rPr>
              <w:t xml:space="preserve">No. of </w:t>
            </w:r>
            <w:r w:rsidRPr="00B36CB4">
              <w:rPr>
                <w:spacing w:val="-1"/>
                <w:sz w:val="20"/>
                <w:szCs w:val="20"/>
              </w:rPr>
              <w:t>Disclosures</w:t>
            </w:r>
            <w:r w:rsidRPr="00B36CB4">
              <w:rPr>
                <w:spacing w:val="29"/>
                <w:sz w:val="20"/>
                <w:szCs w:val="20"/>
              </w:rPr>
              <w:t xml:space="preserve"> </w:t>
            </w:r>
            <w:r w:rsidRPr="00B36CB4">
              <w:rPr>
                <w:sz w:val="20"/>
                <w:szCs w:val="20"/>
              </w:rPr>
              <w:t xml:space="preserve">per </w:t>
            </w:r>
            <w:r w:rsidRPr="00B36CB4">
              <w:rPr>
                <w:spacing w:val="-1"/>
                <w:sz w:val="20"/>
                <w:szCs w:val="20"/>
              </w:rPr>
              <w:t>Respondent</w:t>
            </w:r>
          </w:p>
        </w:tc>
        <w:tc>
          <w:tcPr>
            <w:tcW w:w="1440" w:type="dxa"/>
            <w:tcBorders>
              <w:top w:val="single" w:sz="5" w:space="0" w:color="000000"/>
              <w:left w:val="single" w:sz="5" w:space="0" w:color="000000"/>
              <w:bottom w:val="single" w:sz="5" w:space="0" w:color="000000"/>
              <w:right w:val="single" w:sz="5" w:space="0" w:color="000000"/>
            </w:tcBorders>
          </w:tcPr>
          <w:p w:rsidR="007F721B" w:rsidRPr="00B36CB4" w:rsidP="0076709B" w14:paraId="0F6530EE" w14:textId="1C6D9CC1">
            <w:pPr>
              <w:widowControl/>
              <w:adjustRightInd w:val="0"/>
              <w:jc w:val="center"/>
              <w:rPr>
                <w:sz w:val="20"/>
                <w:szCs w:val="20"/>
              </w:rPr>
            </w:pPr>
            <w:r w:rsidRPr="00B36CB4">
              <w:rPr>
                <w:spacing w:val="-1"/>
                <w:sz w:val="20"/>
                <w:szCs w:val="20"/>
              </w:rPr>
              <w:t>Total</w:t>
            </w:r>
            <w:r w:rsidRPr="00B36CB4">
              <w:rPr>
                <w:spacing w:val="24"/>
                <w:sz w:val="20"/>
                <w:szCs w:val="20"/>
              </w:rPr>
              <w:t xml:space="preserve"> </w:t>
            </w:r>
            <w:r w:rsidRPr="00B36CB4">
              <w:rPr>
                <w:spacing w:val="-1"/>
                <w:sz w:val="20"/>
                <w:szCs w:val="20"/>
              </w:rPr>
              <w:t>Annual</w:t>
            </w:r>
            <w:r w:rsidRPr="00B36CB4">
              <w:rPr>
                <w:spacing w:val="24"/>
                <w:sz w:val="20"/>
                <w:szCs w:val="20"/>
              </w:rPr>
              <w:t xml:space="preserve"> </w:t>
            </w:r>
            <w:r w:rsidRPr="00B36CB4">
              <w:rPr>
                <w:spacing w:val="-1"/>
                <w:sz w:val="20"/>
                <w:szCs w:val="20"/>
              </w:rPr>
              <w:t>Disclosures</w:t>
            </w:r>
          </w:p>
        </w:tc>
        <w:tc>
          <w:tcPr>
            <w:tcW w:w="1260" w:type="dxa"/>
            <w:tcBorders>
              <w:top w:val="single" w:sz="5" w:space="0" w:color="000000"/>
              <w:left w:val="single" w:sz="5" w:space="0" w:color="000000"/>
              <w:bottom w:val="single" w:sz="5" w:space="0" w:color="000000"/>
              <w:right w:val="single" w:sz="5" w:space="0" w:color="000000"/>
            </w:tcBorders>
          </w:tcPr>
          <w:p w:rsidR="007F721B" w:rsidRPr="00B36CB4" w:rsidP="0076709B" w14:paraId="3812D7E7" w14:textId="77777777">
            <w:pPr>
              <w:widowControl/>
              <w:adjustRightInd w:val="0"/>
              <w:jc w:val="center"/>
              <w:rPr>
                <w:sz w:val="20"/>
                <w:szCs w:val="20"/>
              </w:rPr>
            </w:pPr>
            <w:r w:rsidRPr="00B36CB4">
              <w:rPr>
                <w:spacing w:val="-1"/>
                <w:sz w:val="20"/>
                <w:szCs w:val="20"/>
              </w:rPr>
              <w:t>Average Burden</w:t>
            </w:r>
            <w:r w:rsidRPr="00B36CB4">
              <w:rPr>
                <w:spacing w:val="25"/>
                <w:sz w:val="20"/>
                <w:szCs w:val="20"/>
              </w:rPr>
              <w:t xml:space="preserve"> </w:t>
            </w:r>
            <w:r w:rsidRPr="00B36CB4">
              <w:rPr>
                <w:sz w:val="20"/>
                <w:szCs w:val="20"/>
              </w:rPr>
              <w:t xml:space="preserve">per </w:t>
            </w:r>
            <w:r w:rsidRPr="00B36CB4">
              <w:rPr>
                <w:spacing w:val="-1"/>
                <w:sz w:val="20"/>
                <w:szCs w:val="20"/>
              </w:rPr>
              <w:t>Disclosure</w:t>
            </w:r>
            <w:r w:rsidRPr="00B36CB4">
              <w:rPr>
                <w:spacing w:val="-1"/>
                <w:sz w:val="20"/>
                <w:szCs w:val="20"/>
                <w:vertAlign w:val="superscript"/>
              </w:rPr>
              <w:t>2</w:t>
            </w:r>
          </w:p>
        </w:tc>
        <w:tc>
          <w:tcPr>
            <w:tcW w:w="1074" w:type="dxa"/>
            <w:tcBorders>
              <w:top w:val="single" w:sz="5" w:space="0" w:color="000000"/>
              <w:left w:val="single" w:sz="5" w:space="0" w:color="000000"/>
              <w:bottom w:val="single" w:sz="5" w:space="0" w:color="000000"/>
              <w:right w:val="single" w:sz="5" w:space="0" w:color="000000"/>
            </w:tcBorders>
          </w:tcPr>
          <w:p w:rsidR="007F721B" w:rsidRPr="00B36CB4" w:rsidP="0076709B" w14:paraId="45F190A9" w14:textId="77777777">
            <w:pPr>
              <w:widowControl/>
              <w:adjustRightInd w:val="0"/>
              <w:jc w:val="center"/>
              <w:rPr>
                <w:sz w:val="20"/>
                <w:szCs w:val="20"/>
              </w:rPr>
            </w:pPr>
            <w:r w:rsidRPr="00B36CB4">
              <w:rPr>
                <w:spacing w:val="-1"/>
                <w:sz w:val="20"/>
                <w:szCs w:val="20"/>
              </w:rPr>
              <w:t>Total</w:t>
            </w:r>
            <w:r w:rsidRPr="00B36CB4">
              <w:rPr>
                <w:spacing w:val="24"/>
                <w:sz w:val="20"/>
                <w:szCs w:val="20"/>
              </w:rPr>
              <w:t xml:space="preserve"> </w:t>
            </w:r>
            <w:r w:rsidRPr="00B36CB4">
              <w:rPr>
                <w:spacing w:val="-1"/>
                <w:sz w:val="20"/>
                <w:szCs w:val="20"/>
              </w:rPr>
              <w:t>Hours</w:t>
            </w:r>
          </w:p>
        </w:tc>
      </w:tr>
      <w:tr w14:paraId="18149E18" w14:textId="77777777" w:rsidTr="007F721B">
        <w:tblPrEx>
          <w:tblW w:w="0" w:type="auto"/>
          <w:jc w:val="center"/>
          <w:tblLayout w:type="fixed"/>
          <w:tblCellMar>
            <w:left w:w="0" w:type="dxa"/>
            <w:right w:w="0" w:type="dxa"/>
          </w:tblCellMar>
          <w:tblLook w:val="01E0"/>
        </w:tblPrEx>
        <w:trPr>
          <w:jc w:val="center"/>
        </w:trPr>
        <w:tc>
          <w:tcPr>
            <w:tcW w:w="2784" w:type="dxa"/>
            <w:tcBorders>
              <w:top w:val="single" w:sz="5" w:space="0" w:color="000000"/>
              <w:left w:val="single" w:sz="5" w:space="0" w:color="000000"/>
              <w:bottom w:val="single" w:sz="5" w:space="0" w:color="000000"/>
              <w:right w:val="single" w:sz="5" w:space="0" w:color="000000"/>
            </w:tcBorders>
          </w:tcPr>
          <w:p w:rsidR="007F721B" w:rsidRPr="00B36CB4" w:rsidP="0076709B" w14:paraId="52E46C41" w14:textId="77777777">
            <w:pPr>
              <w:widowControl/>
              <w:adjustRightInd w:val="0"/>
              <w:ind w:left="102" w:right="203"/>
              <w:rPr>
                <w:sz w:val="20"/>
                <w:szCs w:val="20"/>
              </w:rPr>
            </w:pPr>
            <w:r w:rsidRPr="00B36CB4">
              <w:rPr>
                <w:spacing w:val="-1"/>
                <w:sz w:val="20"/>
                <w:szCs w:val="20"/>
              </w:rPr>
              <w:t>Manufacturer ensures that Medication Guides</w:t>
            </w:r>
            <w:r w:rsidRPr="00B36CB4">
              <w:rPr>
                <w:sz w:val="20"/>
                <w:szCs w:val="20"/>
              </w:rPr>
              <w:t xml:space="preserve"> are provided in adequate supply to</w:t>
            </w:r>
            <w:r w:rsidRPr="00B36CB4">
              <w:rPr>
                <w:spacing w:val="-1"/>
                <w:sz w:val="20"/>
                <w:szCs w:val="20"/>
              </w:rPr>
              <w:t xml:space="preserve"> authorized</w:t>
            </w:r>
            <w:r w:rsidRPr="00B36CB4">
              <w:rPr>
                <w:spacing w:val="35"/>
                <w:sz w:val="20"/>
                <w:szCs w:val="20"/>
              </w:rPr>
              <w:t xml:space="preserve"> </w:t>
            </w:r>
            <w:r w:rsidRPr="00B36CB4">
              <w:rPr>
                <w:spacing w:val="-1"/>
                <w:sz w:val="20"/>
                <w:szCs w:val="20"/>
              </w:rPr>
              <w:t xml:space="preserve">dispensers, or provides means to produce Medication Guide; </w:t>
            </w:r>
            <w:r w:rsidRPr="00B36CB4">
              <w:rPr>
                <w:sz w:val="20"/>
                <w:szCs w:val="20"/>
              </w:rPr>
              <w:t>§</w:t>
            </w:r>
            <w:r w:rsidRPr="00B36CB4">
              <w:rPr>
                <w:spacing w:val="-1"/>
                <w:sz w:val="20"/>
                <w:szCs w:val="20"/>
              </w:rPr>
              <w:t> 208.24(b)(1) and (b)(2)</w:t>
            </w:r>
          </w:p>
        </w:tc>
        <w:tc>
          <w:tcPr>
            <w:tcW w:w="1440" w:type="dxa"/>
            <w:tcBorders>
              <w:top w:val="single" w:sz="5" w:space="0" w:color="000000"/>
              <w:left w:val="single" w:sz="5" w:space="0" w:color="000000"/>
              <w:bottom w:val="single" w:sz="5" w:space="0" w:color="000000"/>
              <w:right w:val="single" w:sz="5" w:space="0" w:color="000000"/>
            </w:tcBorders>
          </w:tcPr>
          <w:p w:rsidR="007F721B" w:rsidRPr="00B36CB4" w:rsidP="0076709B" w14:paraId="2019E3B7" w14:textId="77777777">
            <w:pPr>
              <w:widowControl/>
              <w:adjustRightInd w:val="0"/>
              <w:jc w:val="right"/>
              <w:rPr>
                <w:sz w:val="20"/>
                <w:szCs w:val="20"/>
              </w:rPr>
            </w:pPr>
            <w:r w:rsidRPr="00B36CB4">
              <w:rPr>
                <w:spacing w:val="-1"/>
                <w:sz w:val="20"/>
                <w:szCs w:val="20"/>
              </w:rPr>
              <w:t>70</w:t>
            </w:r>
          </w:p>
        </w:tc>
        <w:tc>
          <w:tcPr>
            <w:tcW w:w="1350" w:type="dxa"/>
            <w:tcBorders>
              <w:top w:val="single" w:sz="5" w:space="0" w:color="000000"/>
              <w:left w:val="single" w:sz="5" w:space="0" w:color="000000"/>
              <w:bottom w:val="single" w:sz="5" w:space="0" w:color="000000"/>
              <w:right w:val="single" w:sz="5" w:space="0" w:color="000000"/>
            </w:tcBorders>
          </w:tcPr>
          <w:p w:rsidR="007F721B" w:rsidRPr="00B36CB4" w:rsidP="0076709B" w14:paraId="1C419EC0" w14:textId="77777777">
            <w:pPr>
              <w:widowControl/>
              <w:adjustRightInd w:val="0"/>
              <w:jc w:val="right"/>
              <w:rPr>
                <w:sz w:val="20"/>
                <w:szCs w:val="20"/>
              </w:rPr>
            </w:pPr>
            <w:r w:rsidRPr="00B36CB4">
              <w:rPr>
                <w:spacing w:val="-1"/>
                <w:sz w:val="20"/>
                <w:szCs w:val="20"/>
              </w:rPr>
              <w:t>9,000</w:t>
            </w:r>
          </w:p>
        </w:tc>
        <w:tc>
          <w:tcPr>
            <w:tcW w:w="1440" w:type="dxa"/>
            <w:tcBorders>
              <w:top w:val="single" w:sz="5" w:space="0" w:color="000000"/>
              <w:left w:val="single" w:sz="5" w:space="0" w:color="000000"/>
              <w:bottom w:val="single" w:sz="5" w:space="0" w:color="000000"/>
              <w:right w:val="single" w:sz="5" w:space="0" w:color="000000"/>
            </w:tcBorders>
          </w:tcPr>
          <w:p w:rsidR="007F721B" w:rsidRPr="00B36CB4" w:rsidP="0076709B" w14:paraId="1C73F93A" w14:textId="325213A2">
            <w:pPr>
              <w:widowControl/>
              <w:adjustRightInd w:val="0"/>
              <w:jc w:val="right"/>
              <w:rPr>
                <w:sz w:val="20"/>
                <w:szCs w:val="20"/>
              </w:rPr>
            </w:pPr>
            <w:r w:rsidRPr="00B36CB4">
              <w:rPr>
                <w:sz w:val="20"/>
                <w:szCs w:val="20"/>
              </w:rPr>
              <w:t>630,000</w:t>
            </w:r>
          </w:p>
        </w:tc>
        <w:tc>
          <w:tcPr>
            <w:tcW w:w="1260" w:type="dxa"/>
            <w:tcBorders>
              <w:top w:val="single" w:sz="5" w:space="0" w:color="000000"/>
              <w:left w:val="single" w:sz="5" w:space="0" w:color="000000"/>
              <w:bottom w:val="single" w:sz="5" w:space="0" w:color="000000"/>
              <w:right w:val="single" w:sz="5" w:space="0" w:color="000000"/>
            </w:tcBorders>
          </w:tcPr>
          <w:p w:rsidR="007F721B" w:rsidRPr="00B36CB4" w:rsidP="0076709B" w14:paraId="282CF8DE" w14:textId="77777777">
            <w:pPr>
              <w:widowControl/>
              <w:adjustRightInd w:val="0"/>
              <w:jc w:val="right"/>
              <w:rPr>
                <w:sz w:val="20"/>
                <w:szCs w:val="20"/>
              </w:rPr>
            </w:pPr>
            <w:r w:rsidRPr="00B36CB4">
              <w:rPr>
                <w:spacing w:val="-1"/>
                <w:sz w:val="20"/>
                <w:szCs w:val="20"/>
              </w:rPr>
              <w:t>1.25</w:t>
            </w:r>
          </w:p>
        </w:tc>
        <w:tc>
          <w:tcPr>
            <w:tcW w:w="1074" w:type="dxa"/>
            <w:tcBorders>
              <w:top w:val="single" w:sz="5" w:space="0" w:color="000000"/>
              <w:left w:val="single" w:sz="5" w:space="0" w:color="000000"/>
              <w:bottom w:val="single" w:sz="5" w:space="0" w:color="000000"/>
              <w:right w:val="single" w:sz="5" w:space="0" w:color="000000"/>
            </w:tcBorders>
          </w:tcPr>
          <w:p w:rsidR="007F721B" w:rsidRPr="00B36CB4" w:rsidP="0076709B" w14:paraId="60542B79" w14:textId="77777777">
            <w:pPr>
              <w:widowControl/>
              <w:adjustRightInd w:val="0"/>
              <w:jc w:val="right"/>
              <w:rPr>
                <w:sz w:val="20"/>
                <w:szCs w:val="20"/>
              </w:rPr>
            </w:pPr>
            <w:r w:rsidRPr="00B36CB4">
              <w:rPr>
                <w:spacing w:val="-1"/>
                <w:sz w:val="20"/>
                <w:szCs w:val="20"/>
              </w:rPr>
              <w:t>787,500</w:t>
            </w:r>
          </w:p>
        </w:tc>
      </w:tr>
      <w:tr w14:paraId="28178CC2" w14:textId="77777777" w:rsidTr="007F721B">
        <w:tblPrEx>
          <w:tblW w:w="0" w:type="auto"/>
          <w:jc w:val="center"/>
          <w:tblLayout w:type="fixed"/>
          <w:tblCellMar>
            <w:left w:w="0" w:type="dxa"/>
            <w:right w:w="0" w:type="dxa"/>
          </w:tblCellMar>
          <w:tblLook w:val="01E0"/>
        </w:tblPrEx>
        <w:trPr>
          <w:trHeight w:val="987"/>
          <w:jc w:val="center"/>
        </w:trPr>
        <w:tc>
          <w:tcPr>
            <w:tcW w:w="2784" w:type="dxa"/>
            <w:tcBorders>
              <w:top w:val="single" w:sz="5" w:space="0" w:color="000000"/>
              <w:left w:val="single" w:sz="5" w:space="0" w:color="000000"/>
              <w:bottom w:val="single" w:sz="5" w:space="0" w:color="000000"/>
              <w:right w:val="single" w:sz="5" w:space="0" w:color="000000"/>
            </w:tcBorders>
          </w:tcPr>
          <w:p w:rsidR="007F721B" w:rsidRPr="00B36CB4" w:rsidP="0076709B" w14:paraId="6A01D017" w14:textId="77777777">
            <w:pPr>
              <w:widowControl/>
              <w:adjustRightInd w:val="0"/>
              <w:ind w:left="102" w:right="391"/>
              <w:rPr>
                <w:sz w:val="20"/>
                <w:szCs w:val="20"/>
              </w:rPr>
            </w:pPr>
            <w:r w:rsidRPr="00B36CB4">
              <w:rPr>
                <w:spacing w:val="-1"/>
                <w:sz w:val="20"/>
                <w:szCs w:val="20"/>
              </w:rPr>
              <w:t xml:space="preserve">Distributor provides Medication Guides or means to produce to authorized dispensers </w:t>
            </w:r>
            <w:r w:rsidRPr="00B36CB4">
              <w:rPr>
                <w:sz w:val="20"/>
                <w:szCs w:val="20"/>
              </w:rPr>
              <w:t xml:space="preserve">§ </w:t>
            </w:r>
            <w:r w:rsidRPr="00B36CB4">
              <w:rPr>
                <w:spacing w:val="-1"/>
                <w:sz w:val="20"/>
                <w:szCs w:val="20"/>
              </w:rPr>
              <w:t>208.24(c)</w:t>
            </w:r>
          </w:p>
        </w:tc>
        <w:tc>
          <w:tcPr>
            <w:tcW w:w="1440" w:type="dxa"/>
            <w:tcBorders>
              <w:top w:val="single" w:sz="5" w:space="0" w:color="000000"/>
              <w:left w:val="single" w:sz="5" w:space="0" w:color="000000"/>
              <w:bottom w:val="single" w:sz="5" w:space="0" w:color="000000"/>
              <w:right w:val="single" w:sz="5" w:space="0" w:color="000000"/>
            </w:tcBorders>
          </w:tcPr>
          <w:p w:rsidR="007F721B" w:rsidRPr="00B36CB4" w:rsidP="0076709B" w14:paraId="6298E63C" w14:textId="77777777">
            <w:pPr>
              <w:widowControl/>
              <w:adjustRightInd w:val="0"/>
              <w:jc w:val="right"/>
              <w:rPr>
                <w:sz w:val="20"/>
                <w:szCs w:val="20"/>
              </w:rPr>
            </w:pPr>
            <w:r w:rsidRPr="00B36CB4">
              <w:rPr>
                <w:spacing w:val="-1"/>
                <w:sz w:val="20"/>
                <w:szCs w:val="20"/>
              </w:rPr>
              <w:t>191</w:t>
            </w:r>
          </w:p>
        </w:tc>
        <w:tc>
          <w:tcPr>
            <w:tcW w:w="1350" w:type="dxa"/>
            <w:tcBorders>
              <w:top w:val="single" w:sz="5" w:space="0" w:color="000000"/>
              <w:left w:val="single" w:sz="5" w:space="0" w:color="000000"/>
              <w:bottom w:val="single" w:sz="5" w:space="0" w:color="000000"/>
              <w:right w:val="single" w:sz="5" w:space="0" w:color="000000"/>
            </w:tcBorders>
          </w:tcPr>
          <w:p w:rsidR="007F721B" w:rsidRPr="00B36CB4" w:rsidP="0076709B" w14:paraId="1EC56A82" w14:textId="77777777">
            <w:pPr>
              <w:widowControl/>
              <w:adjustRightInd w:val="0"/>
              <w:jc w:val="right"/>
              <w:rPr>
                <w:sz w:val="20"/>
                <w:szCs w:val="20"/>
              </w:rPr>
            </w:pPr>
            <w:r w:rsidRPr="00B36CB4">
              <w:rPr>
                <w:spacing w:val="-1"/>
                <w:sz w:val="20"/>
                <w:szCs w:val="20"/>
              </w:rPr>
              <w:t>9,000</w:t>
            </w:r>
          </w:p>
        </w:tc>
        <w:tc>
          <w:tcPr>
            <w:tcW w:w="1440" w:type="dxa"/>
            <w:tcBorders>
              <w:top w:val="single" w:sz="5" w:space="0" w:color="000000"/>
              <w:left w:val="single" w:sz="5" w:space="0" w:color="000000"/>
              <w:bottom w:val="single" w:sz="5" w:space="0" w:color="000000"/>
              <w:right w:val="single" w:sz="5" w:space="0" w:color="000000"/>
            </w:tcBorders>
          </w:tcPr>
          <w:p w:rsidR="007F721B" w:rsidRPr="00B36CB4" w:rsidP="0076709B" w14:paraId="1693C77C" w14:textId="4B7F3D7C">
            <w:pPr>
              <w:widowControl/>
              <w:adjustRightInd w:val="0"/>
              <w:jc w:val="right"/>
              <w:rPr>
                <w:sz w:val="20"/>
                <w:szCs w:val="20"/>
              </w:rPr>
            </w:pPr>
            <w:r w:rsidRPr="00B36CB4">
              <w:rPr>
                <w:sz w:val="20"/>
                <w:szCs w:val="20"/>
              </w:rPr>
              <w:t>1,719,000</w:t>
            </w:r>
          </w:p>
        </w:tc>
        <w:tc>
          <w:tcPr>
            <w:tcW w:w="1260" w:type="dxa"/>
            <w:tcBorders>
              <w:top w:val="single" w:sz="5" w:space="0" w:color="000000"/>
              <w:left w:val="single" w:sz="5" w:space="0" w:color="000000"/>
              <w:bottom w:val="single" w:sz="5" w:space="0" w:color="000000"/>
              <w:right w:val="single" w:sz="5" w:space="0" w:color="000000"/>
            </w:tcBorders>
          </w:tcPr>
          <w:p w:rsidR="007F721B" w:rsidRPr="00B36CB4" w:rsidP="0076709B" w14:paraId="3E5893BF" w14:textId="77777777">
            <w:pPr>
              <w:widowControl/>
              <w:adjustRightInd w:val="0"/>
              <w:jc w:val="right"/>
              <w:rPr>
                <w:sz w:val="20"/>
                <w:szCs w:val="20"/>
              </w:rPr>
            </w:pPr>
            <w:r w:rsidRPr="00B36CB4">
              <w:rPr>
                <w:sz w:val="20"/>
                <w:szCs w:val="20"/>
              </w:rPr>
              <w:t>1.25</w:t>
            </w:r>
          </w:p>
        </w:tc>
        <w:tc>
          <w:tcPr>
            <w:tcW w:w="1074" w:type="dxa"/>
            <w:tcBorders>
              <w:top w:val="single" w:sz="5" w:space="0" w:color="000000"/>
              <w:left w:val="single" w:sz="5" w:space="0" w:color="000000"/>
              <w:bottom w:val="single" w:sz="5" w:space="0" w:color="000000"/>
              <w:right w:val="single" w:sz="5" w:space="0" w:color="000000"/>
            </w:tcBorders>
          </w:tcPr>
          <w:p w:rsidR="007F721B" w:rsidRPr="00B36CB4" w:rsidP="0076709B" w14:paraId="6728ECF6" w14:textId="77777777">
            <w:pPr>
              <w:widowControl/>
              <w:adjustRightInd w:val="0"/>
              <w:jc w:val="right"/>
              <w:rPr>
                <w:sz w:val="20"/>
                <w:szCs w:val="20"/>
              </w:rPr>
            </w:pPr>
            <w:r w:rsidRPr="00B36CB4">
              <w:rPr>
                <w:color w:val="000000"/>
                <w:sz w:val="20"/>
                <w:szCs w:val="20"/>
              </w:rPr>
              <w:t>2,148,750</w:t>
            </w:r>
          </w:p>
        </w:tc>
      </w:tr>
      <w:tr w14:paraId="5BE09BCD" w14:textId="77777777" w:rsidTr="007F721B">
        <w:tblPrEx>
          <w:tblW w:w="0" w:type="auto"/>
          <w:jc w:val="center"/>
          <w:tblLayout w:type="fixed"/>
          <w:tblCellMar>
            <w:left w:w="0" w:type="dxa"/>
            <w:right w:w="0" w:type="dxa"/>
          </w:tblCellMar>
          <w:tblLook w:val="01E0"/>
        </w:tblPrEx>
        <w:trPr>
          <w:jc w:val="center"/>
        </w:trPr>
        <w:tc>
          <w:tcPr>
            <w:tcW w:w="2784" w:type="dxa"/>
            <w:tcBorders>
              <w:top w:val="single" w:sz="5" w:space="0" w:color="000000"/>
              <w:left w:val="single" w:sz="5" w:space="0" w:color="000000"/>
              <w:bottom w:val="single" w:sz="5" w:space="0" w:color="000000"/>
              <w:right w:val="single" w:sz="5" w:space="0" w:color="000000"/>
            </w:tcBorders>
          </w:tcPr>
          <w:p w:rsidR="007F721B" w:rsidRPr="00B36CB4" w:rsidP="0076709B" w14:paraId="2A7FBDD4" w14:textId="77777777">
            <w:pPr>
              <w:widowControl/>
              <w:adjustRightInd w:val="0"/>
              <w:ind w:left="102" w:right="391"/>
              <w:rPr>
                <w:spacing w:val="-1"/>
                <w:sz w:val="20"/>
                <w:szCs w:val="20"/>
              </w:rPr>
            </w:pPr>
            <w:r w:rsidRPr="00B36CB4">
              <w:rPr>
                <w:spacing w:val="-1"/>
                <w:sz w:val="20"/>
                <w:szCs w:val="20"/>
              </w:rPr>
              <w:t>Dispensing Medication Guide to patient 208.24(e)</w:t>
            </w:r>
          </w:p>
        </w:tc>
        <w:tc>
          <w:tcPr>
            <w:tcW w:w="1440" w:type="dxa"/>
            <w:tcBorders>
              <w:top w:val="single" w:sz="5" w:space="0" w:color="000000"/>
              <w:left w:val="single" w:sz="5" w:space="0" w:color="000000"/>
              <w:bottom w:val="single" w:sz="5" w:space="0" w:color="000000"/>
              <w:right w:val="single" w:sz="5" w:space="0" w:color="000000"/>
            </w:tcBorders>
          </w:tcPr>
          <w:p w:rsidR="007F721B" w:rsidRPr="00B36CB4" w:rsidP="0076709B" w14:paraId="01A22F35" w14:textId="77777777">
            <w:pPr>
              <w:widowControl/>
              <w:adjustRightInd w:val="0"/>
              <w:jc w:val="right"/>
              <w:rPr>
                <w:spacing w:val="-1"/>
                <w:sz w:val="20"/>
                <w:szCs w:val="20"/>
              </w:rPr>
            </w:pPr>
            <w:r w:rsidRPr="00B36CB4">
              <w:rPr>
                <w:spacing w:val="-1"/>
                <w:sz w:val="20"/>
                <w:szCs w:val="20"/>
              </w:rPr>
              <w:t>88,736</w:t>
            </w:r>
          </w:p>
        </w:tc>
        <w:tc>
          <w:tcPr>
            <w:tcW w:w="1350" w:type="dxa"/>
            <w:tcBorders>
              <w:top w:val="single" w:sz="5" w:space="0" w:color="000000"/>
              <w:left w:val="single" w:sz="5" w:space="0" w:color="000000"/>
              <w:bottom w:val="single" w:sz="5" w:space="0" w:color="000000"/>
              <w:right w:val="single" w:sz="5" w:space="0" w:color="000000"/>
            </w:tcBorders>
          </w:tcPr>
          <w:p w:rsidR="007F721B" w:rsidRPr="00B36CB4" w:rsidP="0076709B" w14:paraId="45F9B8C7" w14:textId="77777777">
            <w:pPr>
              <w:widowControl/>
              <w:adjustRightInd w:val="0"/>
              <w:jc w:val="right"/>
              <w:rPr>
                <w:spacing w:val="-1"/>
                <w:sz w:val="20"/>
                <w:szCs w:val="20"/>
              </w:rPr>
            </w:pPr>
            <w:r w:rsidRPr="00B36CB4">
              <w:rPr>
                <w:spacing w:val="-1"/>
                <w:sz w:val="20"/>
                <w:szCs w:val="20"/>
              </w:rPr>
              <w:t>5,705</w:t>
            </w:r>
          </w:p>
        </w:tc>
        <w:tc>
          <w:tcPr>
            <w:tcW w:w="1440" w:type="dxa"/>
            <w:tcBorders>
              <w:top w:val="single" w:sz="5" w:space="0" w:color="000000"/>
              <w:left w:val="single" w:sz="5" w:space="0" w:color="000000"/>
              <w:bottom w:val="single" w:sz="5" w:space="0" w:color="000000"/>
              <w:right w:val="single" w:sz="5" w:space="0" w:color="000000"/>
            </w:tcBorders>
          </w:tcPr>
          <w:p w:rsidR="007F721B" w:rsidRPr="00B36CB4" w:rsidP="0076709B" w14:paraId="183290CC" w14:textId="140AECD8">
            <w:pPr>
              <w:widowControl/>
              <w:adjustRightInd w:val="0"/>
              <w:jc w:val="right"/>
              <w:rPr>
                <w:color w:val="000000"/>
                <w:sz w:val="20"/>
                <w:szCs w:val="20"/>
              </w:rPr>
            </w:pPr>
            <w:r w:rsidRPr="00B36CB4">
              <w:rPr>
                <w:color w:val="000000"/>
                <w:sz w:val="20"/>
                <w:szCs w:val="20"/>
              </w:rPr>
              <w:t>506,238,880</w:t>
            </w:r>
          </w:p>
        </w:tc>
        <w:tc>
          <w:tcPr>
            <w:tcW w:w="1260" w:type="dxa"/>
            <w:tcBorders>
              <w:top w:val="single" w:sz="5" w:space="0" w:color="000000"/>
              <w:left w:val="single" w:sz="5" w:space="0" w:color="000000"/>
              <w:bottom w:val="single" w:sz="5" w:space="0" w:color="000000"/>
              <w:right w:val="single" w:sz="5" w:space="0" w:color="000000"/>
            </w:tcBorders>
          </w:tcPr>
          <w:p w:rsidR="007F721B" w:rsidRPr="00B36CB4" w:rsidP="0076709B" w14:paraId="66E9B3A1" w14:textId="77777777">
            <w:pPr>
              <w:widowControl/>
              <w:adjustRightInd w:val="0"/>
              <w:jc w:val="right"/>
              <w:rPr>
                <w:spacing w:val="-1"/>
                <w:sz w:val="20"/>
                <w:szCs w:val="20"/>
              </w:rPr>
            </w:pPr>
            <w:r w:rsidRPr="00B36CB4">
              <w:rPr>
                <w:spacing w:val="-1"/>
                <w:sz w:val="20"/>
                <w:szCs w:val="20"/>
              </w:rPr>
              <w:t>.0027</w:t>
            </w:r>
          </w:p>
        </w:tc>
        <w:tc>
          <w:tcPr>
            <w:tcW w:w="1074" w:type="dxa"/>
            <w:tcBorders>
              <w:top w:val="single" w:sz="5" w:space="0" w:color="000000"/>
              <w:left w:val="single" w:sz="5" w:space="0" w:color="000000"/>
              <w:bottom w:val="single" w:sz="5" w:space="0" w:color="000000"/>
              <w:right w:val="single" w:sz="5" w:space="0" w:color="000000"/>
            </w:tcBorders>
          </w:tcPr>
          <w:p w:rsidR="007F721B" w:rsidRPr="00B36CB4" w:rsidP="0076709B" w14:paraId="2E9D194E" w14:textId="77777777">
            <w:pPr>
              <w:widowControl/>
              <w:adjustRightInd w:val="0"/>
              <w:jc w:val="right"/>
              <w:rPr>
                <w:color w:val="000000"/>
                <w:sz w:val="20"/>
                <w:szCs w:val="20"/>
              </w:rPr>
            </w:pPr>
            <w:r w:rsidRPr="00B36CB4">
              <w:rPr>
                <w:color w:val="000000"/>
                <w:sz w:val="20"/>
                <w:szCs w:val="20"/>
              </w:rPr>
              <w:t>1,366,845</w:t>
            </w:r>
          </w:p>
        </w:tc>
      </w:tr>
      <w:tr w14:paraId="4E3AB98F" w14:textId="77777777" w:rsidTr="007F721B">
        <w:tblPrEx>
          <w:tblW w:w="0" w:type="auto"/>
          <w:jc w:val="center"/>
          <w:tblLayout w:type="fixed"/>
          <w:tblCellMar>
            <w:left w:w="0" w:type="dxa"/>
            <w:right w:w="0" w:type="dxa"/>
          </w:tblCellMar>
          <w:tblLook w:val="01E0"/>
        </w:tblPrEx>
        <w:trPr>
          <w:jc w:val="center"/>
        </w:trPr>
        <w:tc>
          <w:tcPr>
            <w:tcW w:w="2784" w:type="dxa"/>
            <w:tcBorders>
              <w:top w:val="single" w:sz="5" w:space="0" w:color="000000"/>
              <w:left w:val="single" w:sz="5" w:space="0" w:color="000000"/>
              <w:bottom w:val="single" w:sz="5" w:space="0" w:color="000000"/>
              <w:right w:val="single" w:sz="5" w:space="0" w:color="000000"/>
            </w:tcBorders>
          </w:tcPr>
          <w:p w:rsidR="007F721B" w:rsidRPr="00B36CB4" w:rsidP="0076709B" w14:paraId="52C5F8D7" w14:textId="77777777">
            <w:pPr>
              <w:widowControl/>
              <w:adjustRightInd w:val="0"/>
              <w:spacing w:line="240" w:lineRule="exact"/>
              <w:ind w:left="102"/>
              <w:rPr>
                <w:sz w:val="20"/>
                <w:szCs w:val="20"/>
              </w:rPr>
            </w:pPr>
            <w:r w:rsidRPr="00B36CB4">
              <w:rPr>
                <w:spacing w:val="-1"/>
                <w:sz w:val="20"/>
                <w:szCs w:val="20"/>
              </w:rPr>
              <w:t>Total</w:t>
            </w:r>
          </w:p>
        </w:tc>
        <w:tc>
          <w:tcPr>
            <w:tcW w:w="1440" w:type="dxa"/>
            <w:tcBorders>
              <w:top w:val="single" w:sz="5" w:space="0" w:color="000000"/>
              <w:left w:val="single" w:sz="5" w:space="0" w:color="000000"/>
              <w:bottom w:val="single" w:sz="5" w:space="0" w:color="000000"/>
              <w:right w:val="single" w:sz="5" w:space="0" w:color="000000"/>
            </w:tcBorders>
          </w:tcPr>
          <w:p w:rsidR="007F721B" w:rsidRPr="00B36CB4" w:rsidP="0076709B" w14:paraId="0FE82321" w14:textId="77777777">
            <w:pPr>
              <w:widowControl/>
              <w:autoSpaceDE/>
              <w:autoSpaceDN/>
              <w:rPr>
                <w:sz w:val="20"/>
                <w:szCs w:val="20"/>
              </w:rPr>
            </w:pPr>
          </w:p>
        </w:tc>
        <w:tc>
          <w:tcPr>
            <w:tcW w:w="1350" w:type="dxa"/>
            <w:tcBorders>
              <w:top w:val="single" w:sz="5" w:space="0" w:color="000000"/>
              <w:left w:val="single" w:sz="5" w:space="0" w:color="000000"/>
              <w:bottom w:val="single" w:sz="5" w:space="0" w:color="000000"/>
              <w:right w:val="single" w:sz="5" w:space="0" w:color="000000"/>
            </w:tcBorders>
          </w:tcPr>
          <w:p w:rsidR="007F721B" w:rsidRPr="00B36CB4" w:rsidP="0076709B" w14:paraId="5798665A" w14:textId="77777777">
            <w:pPr>
              <w:widowControl/>
              <w:autoSpaceDE/>
              <w:autoSpaceDN/>
              <w:rPr>
                <w:sz w:val="20"/>
                <w:szCs w:val="20"/>
              </w:rPr>
            </w:pPr>
          </w:p>
        </w:tc>
        <w:tc>
          <w:tcPr>
            <w:tcW w:w="1440" w:type="dxa"/>
            <w:tcBorders>
              <w:top w:val="single" w:sz="5" w:space="0" w:color="000000"/>
              <w:left w:val="single" w:sz="5" w:space="0" w:color="000000"/>
              <w:bottom w:val="single" w:sz="5" w:space="0" w:color="000000"/>
              <w:right w:val="single" w:sz="5" w:space="0" w:color="000000"/>
            </w:tcBorders>
          </w:tcPr>
          <w:p w:rsidR="007F721B" w:rsidRPr="00B36CB4" w:rsidP="0076709B" w14:paraId="0C9B81D6" w14:textId="71CFC7E9">
            <w:pPr>
              <w:widowControl/>
              <w:adjustRightInd w:val="0"/>
              <w:jc w:val="right"/>
              <w:rPr>
                <w:sz w:val="20"/>
                <w:szCs w:val="20"/>
              </w:rPr>
            </w:pPr>
            <w:r w:rsidRPr="00B36CB4">
              <w:rPr>
                <w:sz w:val="20"/>
                <w:szCs w:val="20"/>
              </w:rPr>
              <w:fldChar w:fldCharType="begin"/>
            </w:r>
            <w:r w:rsidRPr="00B36CB4">
              <w:rPr>
                <w:sz w:val="20"/>
                <w:szCs w:val="20"/>
              </w:rPr>
              <w:instrText xml:space="preserve"> =SUM(ABOVE) </w:instrText>
            </w:r>
            <w:r w:rsidRPr="00B36CB4">
              <w:rPr>
                <w:sz w:val="20"/>
                <w:szCs w:val="20"/>
              </w:rPr>
              <w:fldChar w:fldCharType="separate"/>
            </w:r>
            <w:r w:rsidRPr="00B36CB4">
              <w:rPr>
                <w:noProof/>
                <w:sz w:val="20"/>
                <w:szCs w:val="20"/>
              </w:rPr>
              <w:t>508,587,880</w:t>
            </w:r>
            <w:r w:rsidRPr="00B36CB4">
              <w:rPr>
                <w:sz w:val="20"/>
                <w:szCs w:val="20"/>
              </w:rPr>
              <w:fldChar w:fldCharType="end"/>
            </w:r>
          </w:p>
        </w:tc>
        <w:tc>
          <w:tcPr>
            <w:tcW w:w="1260" w:type="dxa"/>
            <w:tcBorders>
              <w:top w:val="single" w:sz="5" w:space="0" w:color="000000"/>
              <w:left w:val="single" w:sz="5" w:space="0" w:color="000000"/>
              <w:bottom w:val="single" w:sz="5" w:space="0" w:color="000000"/>
              <w:right w:val="single" w:sz="5" w:space="0" w:color="000000"/>
            </w:tcBorders>
          </w:tcPr>
          <w:p w:rsidR="007F721B" w:rsidRPr="00B36CB4" w:rsidP="0076709B" w14:paraId="44D09AE0" w14:textId="77777777">
            <w:pPr>
              <w:widowControl/>
              <w:autoSpaceDE/>
              <w:autoSpaceDN/>
              <w:jc w:val="right"/>
              <w:rPr>
                <w:sz w:val="20"/>
                <w:szCs w:val="20"/>
              </w:rPr>
            </w:pPr>
          </w:p>
        </w:tc>
        <w:tc>
          <w:tcPr>
            <w:tcW w:w="1074" w:type="dxa"/>
            <w:tcBorders>
              <w:top w:val="single" w:sz="5" w:space="0" w:color="000000"/>
              <w:left w:val="single" w:sz="5" w:space="0" w:color="000000"/>
              <w:bottom w:val="single" w:sz="5" w:space="0" w:color="000000"/>
              <w:right w:val="single" w:sz="5" w:space="0" w:color="000000"/>
            </w:tcBorders>
          </w:tcPr>
          <w:p w:rsidR="007F721B" w:rsidRPr="00B36CB4" w:rsidP="0076709B" w14:paraId="11D25CB1" w14:textId="77777777">
            <w:pPr>
              <w:widowControl/>
              <w:adjustRightInd w:val="0"/>
              <w:jc w:val="right"/>
              <w:rPr>
                <w:sz w:val="20"/>
                <w:szCs w:val="20"/>
              </w:rPr>
            </w:pPr>
            <w:r w:rsidRPr="00B36CB4">
              <w:rPr>
                <w:sz w:val="20"/>
                <w:szCs w:val="20"/>
              </w:rPr>
              <w:fldChar w:fldCharType="begin"/>
            </w:r>
            <w:r w:rsidRPr="00B36CB4">
              <w:rPr>
                <w:sz w:val="20"/>
                <w:szCs w:val="20"/>
              </w:rPr>
              <w:instrText xml:space="preserve"> =SUM(ABOVE) </w:instrText>
            </w:r>
            <w:r w:rsidRPr="00B36CB4">
              <w:rPr>
                <w:sz w:val="20"/>
                <w:szCs w:val="20"/>
              </w:rPr>
              <w:fldChar w:fldCharType="separate"/>
            </w:r>
            <w:r w:rsidRPr="00B36CB4">
              <w:rPr>
                <w:noProof/>
                <w:sz w:val="20"/>
                <w:szCs w:val="20"/>
              </w:rPr>
              <w:t>4,303,095</w:t>
            </w:r>
            <w:r w:rsidRPr="00B36CB4">
              <w:rPr>
                <w:sz w:val="20"/>
                <w:szCs w:val="20"/>
              </w:rPr>
              <w:fldChar w:fldCharType="end"/>
            </w:r>
          </w:p>
        </w:tc>
      </w:tr>
    </w:tbl>
    <w:p w:rsidR="00B36CB4" w:rsidRPr="00B36CB4" w:rsidP="0076709B" w14:paraId="3DED72D3" w14:textId="77777777">
      <w:pPr>
        <w:widowControl/>
        <w:kinsoku w:val="0"/>
        <w:overflowPunct w:val="0"/>
        <w:adjustRightInd w:val="0"/>
        <w:rPr>
          <w:spacing w:val="-1"/>
          <w:sz w:val="20"/>
          <w:szCs w:val="20"/>
        </w:rPr>
      </w:pPr>
      <w:r w:rsidRPr="00B36CB4">
        <w:rPr>
          <w:sz w:val="20"/>
          <w:szCs w:val="20"/>
          <w:vertAlign w:val="superscript"/>
        </w:rPr>
        <w:t xml:space="preserve">1 </w:t>
      </w:r>
      <w:r w:rsidRPr="00B36CB4">
        <w:rPr>
          <w:sz w:val="20"/>
          <w:szCs w:val="20"/>
        </w:rPr>
        <w:t>There are no capital costs or operating and maintenance costs associated with this collection of information.</w:t>
      </w:r>
    </w:p>
    <w:p w:rsidR="00B36CB4" w:rsidRPr="00B36CB4" w:rsidP="0076709B" w14:paraId="595AD441" w14:textId="77777777">
      <w:pPr>
        <w:widowControl/>
        <w:autoSpaceDE/>
        <w:autoSpaceDN/>
        <w:rPr>
          <w:sz w:val="20"/>
          <w:szCs w:val="20"/>
        </w:rPr>
      </w:pPr>
      <w:r w:rsidRPr="00B36CB4">
        <w:rPr>
          <w:sz w:val="20"/>
          <w:szCs w:val="20"/>
          <w:vertAlign w:val="superscript"/>
        </w:rPr>
        <w:t xml:space="preserve">2 </w:t>
      </w:r>
      <w:r w:rsidRPr="00B36CB4">
        <w:rPr>
          <w:sz w:val="20"/>
          <w:szCs w:val="20"/>
        </w:rPr>
        <w:t>Figures have been rounded to the nearest one, one-thousandth..</w:t>
      </w:r>
    </w:p>
    <w:p w:rsidR="007F721B" w:rsidP="0076709B" w14:paraId="01DEE279" w14:textId="77777777">
      <w:pPr>
        <w:spacing w:before="90"/>
        <w:rPr>
          <w:iCs/>
          <w:sz w:val="24"/>
        </w:rPr>
      </w:pPr>
    </w:p>
    <w:p w:rsidR="00B745A0" w:rsidRPr="00B745A0" w:rsidP="0076709B" w14:paraId="1142402F" w14:textId="55643F57">
      <w:pPr>
        <w:ind w:firstLine="720"/>
        <w:rPr>
          <w:iCs/>
          <w:sz w:val="24"/>
        </w:rPr>
      </w:pPr>
      <w:r w:rsidRPr="00B745A0">
        <w:rPr>
          <w:iCs/>
          <w:sz w:val="24"/>
        </w:rPr>
        <w:t>Assuming that the same 70 application holders of products requiring Medication Guides must ensure that distributors and authorized dispensers are provided with an adequate supply or means to produce the required Medication Guide, as required under 21 CFR 208.24(b)(1) and (b)(2), we calculate an average of 9,000 disclosures annually and an average of 1.25 hours per disclosure, as reflected in row 1, table2.</w:t>
      </w:r>
    </w:p>
    <w:p w:rsidR="007F721B" w:rsidP="0076709B" w14:paraId="01756F05" w14:textId="77777777">
      <w:pPr>
        <w:rPr>
          <w:iCs/>
          <w:sz w:val="24"/>
        </w:rPr>
      </w:pPr>
    </w:p>
    <w:p w:rsidR="00B745A0" w:rsidRPr="00B745A0" w:rsidP="0076709B" w14:paraId="35A4F88F" w14:textId="78B98D7A">
      <w:pPr>
        <w:ind w:firstLine="720"/>
        <w:rPr>
          <w:iCs/>
          <w:sz w:val="24"/>
        </w:rPr>
      </w:pPr>
      <w:r w:rsidRPr="00B745A0">
        <w:rPr>
          <w:iCs/>
          <w:sz w:val="24"/>
        </w:rPr>
        <w:t>Similarly, assuming 12% of 1,600 distributors (191), based on figures consistent with, accounted for, and approved in OMB control number 0910-0806 (Pharmaceutical Distribution Supply Chain) will ship drug products that require a Medication Guide and must provide the Medication Guide or the means to produce it to authorized dispensers, as required under 21 CFR 208.24(c), we calculate an average of 9,000 disclosures annually and an average of 1.25 hours per disclosure, as reflected in row 2, table 2.</w:t>
      </w:r>
    </w:p>
    <w:p w:rsidR="007F721B" w:rsidP="0076709B" w14:paraId="16C10218" w14:textId="77777777">
      <w:pPr>
        <w:rPr>
          <w:iCs/>
          <w:sz w:val="24"/>
        </w:rPr>
      </w:pPr>
    </w:p>
    <w:p w:rsidR="00B745A0" w:rsidRPr="00B745A0" w:rsidP="0076709B" w14:paraId="14E0433E" w14:textId="1130C34C">
      <w:pPr>
        <w:ind w:firstLine="720"/>
        <w:rPr>
          <w:iCs/>
          <w:sz w:val="24"/>
        </w:rPr>
      </w:pPr>
      <w:r w:rsidRPr="00B745A0">
        <w:rPr>
          <w:iCs/>
          <w:sz w:val="24"/>
        </w:rPr>
        <w:t>Regarding authorized dispensers, we currently assume 88,736 authorized dispensers based on informal data and reports from various pharmacy trade associations and have retained this figure.  We also retain our estimated average of 5,705 patients to whom Medication Guides will be distributed annually.  However, we have revised the time we attribute necessary to the task of dispensing Medication Guides to patients, as required under 21 CFR part 208.24(e).  FDA originally proffered 5 seconds in its proposed rule of August 24, 1995 (60 FR 44182) inviting comment under the Paperwork Reduction Act of 1980.  In our final rule on December 1, 1998 (63 FR 66378), after enactment of the Paperwork Reduction Act of 1995, FDA again estimated 5 seconds of burden for the task of dispensing a Medication Guide to a patient and invited public comment.  No comments were posted to the rulemaking docket (Legacy Docket No. 93-0371; RIN 0910-AA37) regarding the 5-second estimate.</w:t>
      </w:r>
    </w:p>
    <w:p w:rsidR="007F721B" w:rsidP="0076709B" w14:paraId="0FECF22F" w14:textId="77777777">
      <w:pPr>
        <w:spacing w:before="60"/>
        <w:rPr>
          <w:iCs/>
          <w:sz w:val="24"/>
        </w:rPr>
      </w:pPr>
    </w:p>
    <w:p w:rsidR="000F6216" w14:paraId="07DE511E" w14:textId="77777777">
      <w:pPr>
        <w:rPr>
          <w:i/>
          <w:sz w:val="24"/>
        </w:rPr>
      </w:pPr>
      <w:r>
        <w:rPr>
          <w:i/>
          <w:sz w:val="24"/>
        </w:rPr>
        <w:br w:type="page"/>
      </w:r>
    </w:p>
    <w:p w:rsidR="000C108B" w:rsidP="0076709B" w14:paraId="03FF27DB" w14:textId="2A8693BC">
      <w:pPr>
        <w:spacing w:before="60"/>
        <w:ind w:firstLine="720"/>
        <w:rPr>
          <w:i/>
          <w:sz w:val="24"/>
        </w:rPr>
      </w:pPr>
      <w:r>
        <w:rPr>
          <w:i/>
          <w:sz w:val="24"/>
        </w:rPr>
        <w:t xml:space="preserve">12b. Annualized Cost Burden </w:t>
      </w:r>
      <w:r>
        <w:rPr>
          <w:i/>
          <w:spacing w:val="-2"/>
          <w:sz w:val="24"/>
        </w:rPr>
        <w:t>Estimate</w:t>
      </w:r>
    </w:p>
    <w:p w:rsidR="000C108B" w:rsidP="0076709B" w14:paraId="6EA8AB76" w14:textId="77777777">
      <w:pPr>
        <w:pStyle w:val="BodyText"/>
        <w:rPr>
          <w:i/>
          <w:sz w:val="21"/>
        </w:rPr>
      </w:pPr>
    </w:p>
    <w:p w:rsidR="000C108B" w:rsidP="0076709B" w14:paraId="62D9E83F" w14:textId="1919A432">
      <w:pPr>
        <w:pStyle w:val="BodyText"/>
        <w:ind w:firstLine="720"/>
      </w:pPr>
      <w:r>
        <w:t>While w</w:t>
      </w:r>
      <w:r w:rsidR="00C057CB">
        <w:t xml:space="preserve">e </w:t>
      </w:r>
      <w:r w:rsidR="418664AE">
        <w:t>estimate</w:t>
      </w:r>
      <w:r w:rsidR="418664AE">
        <w:rPr>
          <w:spacing w:val="-3"/>
        </w:rPr>
        <w:t xml:space="preserve"> </w:t>
      </w:r>
      <w:r w:rsidR="418664AE">
        <w:t>an</w:t>
      </w:r>
      <w:r w:rsidR="418664AE">
        <w:rPr>
          <w:spacing w:val="-3"/>
        </w:rPr>
        <w:t xml:space="preserve"> </w:t>
      </w:r>
      <w:r w:rsidR="418664AE">
        <w:t>average</w:t>
      </w:r>
      <w:r w:rsidR="418664AE">
        <w:rPr>
          <w:spacing w:val="-3"/>
        </w:rPr>
        <w:t xml:space="preserve"> </w:t>
      </w:r>
      <w:r w:rsidR="418664AE">
        <w:t>of</w:t>
      </w:r>
      <w:r w:rsidR="418664AE">
        <w:rPr>
          <w:spacing w:val="-3"/>
        </w:rPr>
        <w:t xml:space="preserve"> </w:t>
      </w:r>
      <w:r w:rsidR="0086112E">
        <w:t>70</w:t>
      </w:r>
      <w:r w:rsidR="418664AE">
        <w:rPr>
          <w:spacing w:val="-3"/>
        </w:rPr>
        <w:t xml:space="preserve"> </w:t>
      </w:r>
      <w:r w:rsidR="418664AE">
        <w:t>Medication</w:t>
      </w:r>
      <w:r w:rsidR="418664AE">
        <w:rPr>
          <w:spacing w:val="-3"/>
        </w:rPr>
        <w:t xml:space="preserve"> </w:t>
      </w:r>
      <w:r w:rsidR="418664AE">
        <w:t>Guides</w:t>
      </w:r>
      <w:r w:rsidR="418664AE">
        <w:rPr>
          <w:spacing w:val="-3"/>
        </w:rPr>
        <w:t xml:space="preserve"> </w:t>
      </w:r>
      <w:r w:rsidR="418664AE">
        <w:t>are</w:t>
      </w:r>
      <w:r w:rsidR="418664AE">
        <w:rPr>
          <w:spacing w:val="-3"/>
        </w:rPr>
        <w:t xml:space="preserve"> </w:t>
      </w:r>
      <w:r w:rsidR="418664AE">
        <w:t>submitted</w:t>
      </w:r>
      <w:r w:rsidR="418664AE">
        <w:rPr>
          <w:spacing w:val="-3"/>
        </w:rPr>
        <w:t xml:space="preserve"> </w:t>
      </w:r>
      <w:r w:rsidR="418664AE">
        <w:t>annually</w:t>
      </w:r>
      <w:r w:rsidR="00EB4CE0">
        <w:t xml:space="preserve"> by </w:t>
      </w:r>
      <w:r w:rsidR="00AE29F8">
        <w:t>product sponsors</w:t>
      </w:r>
      <w:r>
        <w:t xml:space="preserve">, we account for this cost under OMB control no. 0910-0001.  </w:t>
      </w:r>
      <w:r w:rsidR="00AE29F8">
        <w:t xml:space="preserve">We assume distributor costs to be usual and customary.  </w:t>
      </w:r>
      <w:r>
        <w:t>At the same time</w:t>
      </w:r>
      <w:r w:rsidR="00182EB3">
        <w:t xml:space="preserve">, we estimate </w:t>
      </w:r>
      <w:r w:rsidR="009C136F">
        <w:t xml:space="preserve">a median </w:t>
      </w:r>
      <w:r w:rsidR="00182EB3">
        <w:t>h</w:t>
      </w:r>
      <w:r w:rsidR="009C136F">
        <w:t>ourly wage rate of $66.10</w:t>
      </w:r>
      <w:r w:rsidR="00FB5713">
        <w:t xml:space="preserve"> using BLS 2026 data and calculate the average cost to </w:t>
      </w:r>
      <w:r w:rsidR="00EB4CE0">
        <w:t xml:space="preserve">dispensers </w:t>
      </w:r>
      <w:r w:rsidR="00FB5713">
        <w:t xml:space="preserve">to be </w:t>
      </w:r>
      <w:r w:rsidR="00E34A66">
        <w:t>$284,434,579.50</w:t>
      </w:r>
      <w:r w:rsidR="00EB4CE0">
        <w:t xml:space="preserve"> annually (4,303,095 x $66.10).</w:t>
      </w:r>
    </w:p>
    <w:p w:rsidR="000C108B" w:rsidP="0076709B" w14:paraId="5CAFAE13" w14:textId="77777777">
      <w:pPr>
        <w:pStyle w:val="BodyText"/>
      </w:pPr>
    </w:p>
    <w:p w:rsidR="000C108B" w:rsidP="0076709B" w14:paraId="5AB5EC09" w14:textId="77777777">
      <w:pPr>
        <w:pStyle w:val="ListParagraph"/>
        <w:numPr>
          <w:ilvl w:val="0"/>
          <w:numId w:val="1"/>
        </w:numPr>
        <w:ind w:left="0" w:hanging="422"/>
        <w:rPr>
          <w:sz w:val="24"/>
          <w:u w:val="none"/>
        </w:rPr>
      </w:pPr>
      <w:r>
        <w:rPr>
          <w:sz w:val="24"/>
        </w:rPr>
        <w:t>Estimates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Total</w:t>
      </w:r>
      <w:r>
        <w:rPr>
          <w:spacing w:val="-1"/>
          <w:sz w:val="24"/>
        </w:rPr>
        <w:t xml:space="preserve"> </w:t>
      </w:r>
      <w:r>
        <w:rPr>
          <w:sz w:val="24"/>
        </w:rPr>
        <w:t>Annual</w:t>
      </w:r>
      <w:r>
        <w:rPr>
          <w:spacing w:val="-1"/>
          <w:sz w:val="24"/>
        </w:rPr>
        <w:t xml:space="preserve"> </w:t>
      </w:r>
      <w:r>
        <w:rPr>
          <w:sz w:val="24"/>
        </w:rPr>
        <w:t>Costs</w:t>
      </w:r>
      <w:r>
        <w:rPr>
          <w:spacing w:val="-2"/>
          <w:sz w:val="24"/>
        </w:rPr>
        <w:t xml:space="preserve"> </w:t>
      </w:r>
      <w:r>
        <w:rPr>
          <w:sz w:val="24"/>
        </w:rPr>
        <w:t>to</w:t>
      </w:r>
      <w:r>
        <w:rPr>
          <w:spacing w:val="-1"/>
          <w:sz w:val="24"/>
        </w:rPr>
        <w:t xml:space="preserve"> </w:t>
      </w:r>
      <w:r>
        <w:rPr>
          <w:sz w:val="24"/>
        </w:rPr>
        <w:t>Respondents</w:t>
      </w:r>
      <w:r>
        <w:rPr>
          <w:spacing w:val="-1"/>
          <w:sz w:val="24"/>
        </w:rPr>
        <w:t xml:space="preserve"> </w:t>
      </w:r>
      <w:r>
        <w:rPr>
          <w:sz w:val="24"/>
        </w:rPr>
        <w:t>and/or</w:t>
      </w:r>
      <w:r>
        <w:rPr>
          <w:spacing w:val="-1"/>
          <w:sz w:val="24"/>
        </w:rPr>
        <w:t xml:space="preserve"> </w:t>
      </w:r>
      <w:r>
        <w:rPr>
          <w:sz w:val="24"/>
        </w:rPr>
        <w:t>Recordkeepers/Capital</w:t>
      </w:r>
      <w:r>
        <w:rPr>
          <w:spacing w:val="-1"/>
          <w:sz w:val="24"/>
        </w:rPr>
        <w:t xml:space="preserve"> </w:t>
      </w:r>
      <w:r>
        <w:rPr>
          <w:spacing w:val="-2"/>
          <w:sz w:val="24"/>
        </w:rPr>
        <w:t>Costs</w:t>
      </w:r>
    </w:p>
    <w:p w:rsidR="000C108B" w:rsidP="0076709B" w14:paraId="102D0D02" w14:textId="77777777">
      <w:pPr>
        <w:pStyle w:val="BodyText"/>
        <w:spacing w:before="2"/>
        <w:rPr>
          <w:sz w:val="16"/>
        </w:rPr>
      </w:pPr>
    </w:p>
    <w:p w:rsidR="000C108B" w:rsidP="0076709B" w14:paraId="2B58C33F" w14:textId="77777777">
      <w:pPr>
        <w:pStyle w:val="BodyText"/>
        <w:spacing w:before="90"/>
      </w:pPr>
      <w:r>
        <w:t>There</w:t>
      </w:r>
      <w:r>
        <w:rPr>
          <w:spacing w:val="-3"/>
        </w:rPr>
        <w:t xml:space="preserve"> </w:t>
      </w:r>
      <w:r>
        <w:t>are</w:t>
      </w:r>
      <w:r>
        <w:rPr>
          <w:spacing w:val="-3"/>
        </w:rPr>
        <w:t xml:space="preserve"> </w:t>
      </w:r>
      <w:r>
        <w:t>no</w:t>
      </w:r>
      <w:r>
        <w:rPr>
          <w:spacing w:val="-3"/>
        </w:rPr>
        <w:t xml:space="preserve"> </w:t>
      </w:r>
      <w:r>
        <w:t>capital,</w:t>
      </w:r>
      <w:r>
        <w:rPr>
          <w:spacing w:val="-3"/>
        </w:rPr>
        <w:t xml:space="preserve"> </w:t>
      </w:r>
      <w:r>
        <w:t>start-up,</w:t>
      </w:r>
      <w:r>
        <w:rPr>
          <w:spacing w:val="-4"/>
        </w:rPr>
        <w:t xml:space="preserve"> </w:t>
      </w:r>
      <w:r>
        <w:t>or</w:t>
      </w:r>
      <w:r>
        <w:rPr>
          <w:spacing w:val="-4"/>
        </w:rPr>
        <w:t xml:space="preserve"> </w:t>
      </w:r>
      <w:r>
        <w:t>operating</w:t>
      </w:r>
      <w:r>
        <w:rPr>
          <w:spacing w:val="-4"/>
        </w:rPr>
        <w:t xml:space="preserve"> </w:t>
      </w:r>
      <w:r>
        <w:t>or</w:t>
      </w:r>
      <w:r>
        <w:rPr>
          <w:spacing w:val="-4"/>
        </w:rPr>
        <w:t xml:space="preserve"> </w:t>
      </w:r>
      <w:r>
        <w:t>maintenance</w:t>
      </w:r>
      <w:r>
        <w:rPr>
          <w:spacing w:val="-3"/>
        </w:rPr>
        <w:t xml:space="preserve"> </w:t>
      </w:r>
      <w:r>
        <w:t>costs</w:t>
      </w:r>
      <w:r>
        <w:rPr>
          <w:spacing w:val="-3"/>
        </w:rPr>
        <w:t xml:space="preserve"> </w:t>
      </w:r>
      <w:r>
        <w:t>associated</w:t>
      </w:r>
      <w:r>
        <w:rPr>
          <w:spacing w:val="-3"/>
        </w:rPr>
        <w:t xml:space="preserve"> </w:t>
      </w:r>
      <w:r>
        <w:t>with</w:t>
      </w:r>
      <w:r>
        <w:rPr>
          <w:spacing w:val="-4"/>
        </w:rPr>
        <w:t xml:space="preserve"> </w:t>
      </w:r>
      <w:r>
        <w:t>this</w:t>
      </w:r>
      <w:r>
        <w:rPr>
          <w:spacing w:val="-3"/>
        </w:rPr>
        <w:t xml:space="preserve"> </w:t>
      </w:r>
      <w:r>
        <w:t xml:space="preserve">information </w:t>
      </w:r>
      <w:r>
        <w:rPr>
          <w:spacing w:val="-2"/>
        </w:rPr>
        <w:t>collection.</w:t>
      </w:r>
    </w:p>
    <w:p w:rsidR="000C108B" w:rsidP="0076709B" w14:paraId="0747003D" w14:textId="77777777">
      <w:pPr>
        <w:pStyle w:val="BodyText"/>
      </w:pPr>
    </w:p>
    <w:p w:rsidR="000C108B" w:rsidP="0076709B" w14:paraId="49E0C80D" w14:textId="77777777">
      <w:pPr>
        <w:pStyle w:val="ListParagraph"/>
        <w:numPr>
          <w:ilvl w:val="0"/>
          <w:numId w:val="1"/>
        </w:numPr>
        <w:ind w:left="0" w:hanging="420"/>
        <w:rPr>
          <w:sz w:val="24"/>
          <w:u w:val="none"/>
        </w:rPr>
      </w:pPr>
      <w:r>
        <w:rPr>
          <w:sz w:val="24"/>
        </w:rPr>
        <w:t>Annualized</w:t>
      </w:r>
      <w:r>
        <w:rPr>
          <w:spacing w:val="-5"/>
          <w:sz w:val="24"/>
        </w:rPr>
        <w:t xml:space="preserve"> </w:t>
      </w:r>
      <w:r>
        <w:rPr>
          <w:sz w:val="24"/>
        </w:rPr>
        <w:t>Cost</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Federal</w:t>
      </w:r>
      <w:r>
        <w:rPr>
          <w:spacing w:val="-4"/>
          <w:sz w:val="24"/>
        </w:rPr>
        <w:t xml:space="preserve"> </w:t>
      </w:r>
      <w:r>
        <w:rPr>
          <w:spacing w:val="-2"/>
          <w:sz w:val="24"/>
        </w:rPr>
        <w:t>Government</w:t>
      </w:r>
    </w:p>
    <w:p w:rsidR="000C108B" w:rsidP="0076709B" w14:paraId="4F6774C9" w14:textId="77777777">
      <w:pPr>
        <w:pStyle w:val="BodyText"/>
        <w:spacing w:before="2"/>
        <w:rPr>
          <w:sz w:val="16"/>
        </w:rPr>
      </w:pPr>
    </w:p>
    <w:p w:rsidR="000C108B" w:rsidRPr="00893AD1" w:rsidP="0076709B" w14:paraId="4EF82999" w14:textId="77777777">
      <w:pPr>
        <w:pStyle w:val="BodyText"/>
        <w:spacing w:before="90"/>
        <w:ind w:right="63"/>
        <w:rPr>
          <w:color w:val="000000" w:themeColor="text1"/>
        </w:rPr>
      </w:pPr>
      <w:r>
        <w:t xml:space="preserve">Because </w:t>
      </w:r>
      <w:r w:rsidR="00F15B23">
        <w:t xml:space="preserve">review of </w:t>
      </w:r>
      <w:r w:rsidR="00C937EE">
        <w:t xml:space="preserve">prescription </w:t>
      </w:r>
      <w:r w:rsidR="00D24E9C">
        <w:t xml:space="preserve">drug product labeling </w:t>
      </w:r>
      <w:r w:rsidR="00F15B23">
        <w:t>is part of FDA’s</w:t>
      </w:r>
      <w:r w:rsidR="00C937EE">
        <w:t xml:space="preserve"> </w:t>
      </w:r>
      <w:r w:rsidR="00AC5F59">
        <w:t>review of</w:t>
      </w:r>
      <w:r w:rsidR="00832685">
        <w:t xml:space="preserve"> an underlying</w:t>
      </w:r>
      <w:r w:rsidR="004662E7">
        <w:t xml:space="preserve"> </w:t>
      </w:r>
      <w:r w:rsidR="00AC5F59">
        <w:t>application</w:t>
      </w:r>
      <w:r w:rsidR="002D15C1">
        <w:t xml:space="preserve"> </w:t>
      </w:r>
      <w:r w:rsidR="00832685">
        <w:t xml:space="preserve">submission </w:t>
      </w:r>
      <w:r w:rsidR="002D15C1">
        <w:t>(as required under 21 CFR parts 314 and 601</w:t>
      </w:r>
      <w:r w:rsidR="003F7F90">
        <w:t>,</w:t>
      </w:r>
      <w:r w:rsidR="002D15C1">
        <w:t xml:space="preserve"> and approved in control nos. 0910-0001 and 0910-0338</w:t>
      </w:r>
      <w:r w:rsidR="003D67C9">
        <w:t>)</w:t>
      </w:r>
      <w:r w:rsidR="0071529D">
        <w:t xml:space="preserve">, </w:t>
      </w:r>
      <w:r w:rsidR="000E2C26">
        <w:t xml:space="preserve">we expect most </w:t>
      </w:r>
      <w:r w:rsidR="00B639B8">
        <w:t xml:space="preserve">costs </w:t>
      </w:r>
      <w:r w:rsidR="000E2C26">
        <w:t xml:space="preserve">for the information collection have been accounted for in the </w:t>
      </w:r>
      <w:r w:rsidR="003D67C9">
        <w:t xml:space="preserve">respective </w:t>
      </w:r>
      <w:r w:rsidR="000E2C26">
        <w:t xml:space="preserve">ICRs.  However, </w:t>
      </w:r>
      <w:r w:rsidR="005659F8">
        <w:t xml:space="preserve">to </w:t>
      </w:r>
      <w:r w:rsidR="000E2C26">
        <w:t xml:space="preserve">reflect costs for determinations made under 21 CFR 208, we </w:t>
      </w:r>
      <w:r w:rsidR="00FD2C65">
        <w:t>f</w:t>
      </w:r>
      <w:r w:rsidR="000E2C26">
        <w:t>actor</w:t>
      </w:r>
      <w:r w:rsidR="00216878">
        <w:t xml:space="preserve"> </w:t>
      </w:r>
      <w:r w:rsidR="00B0582E">
        <w:t xml:space="preserve">current </w:t>
      </w:r>
      <w:r w:rsidR="00DB7E6D">
        <w:t xml:space="preserve">Prescription Drug User Fee </w:t>
      </w:r>
      <w:r w:rsidR="00B0582E">
        <w:t xml:space="preserve">rates </w:t>
      </w:r>
      <w:r w:rsidR="00047B5D">
        <w:t xml:space="preserve">and annual respondent burden hours </w:t>
      </w:r>
      <w:r w:rsidR="00057E6B">
        <w:t xml:space="preserve">to </w:t>
      </w:r>
      <w:r w:rsidR="00B0582E">
        <w:t xml:space="preserve">calculate an estimated </w:t>
      </w:r>
      <w:r w:rsidR="001B622A">
        <w:rPr>
          <w:color w:val="000000" w:themeColor="text1"/>
        </w:rPr>
        <w:t>$</w:t>
      </w:r>
      <w:r w:rsidRPr="00934F07" w:rsidR="001B622A">
        <w:rPr>
          <w:color w:val="000000" w:themeColor="text1"/>
        </w:rPr>
        <w:t>1,001,407.27</w:t>
      </w:r>
      <w:r w:rsidR="001B622A">
        <w:rPr>
          <w:color w:val="000000" w:themeColor="text1"/>
        </w:rPr>
        <w:t xml:space="preserve"> to the Federal Government annually</w:t>
      </w:r>
      <w:r w:rsidR="00BC1789">
        <w:t>.</w:t>
      </w:r>
    </w:p>
    <w:p w:rsidR="000C108B" w:rsidP="0076709B" w14:paraId="21609F9C" w14:textId="77777777">
      <w:pPr>
        <w:pStyle w:val="BodyText"/>
      </w:pPr>
    </w:p>
    <w:p w:rsidR="000C108B" w:rsidP="0076709B" w14:paraId="12D7F306" w14:textId="77777777">
      <w:pPr>
        <w:pStyle w:val="ListParagraph"/>
        <w:numPr>
          <w:ilvl w:val="0"/>
          <w:numId w:val="1"/>
        </w:numPr>
        <w:ind w:left="0" w:hanging="421"/>
        <w:rPr>
          <w:sz w:val="24"/>
          <w:u w:val="none"/>
        </w:rPr>
      </w:pPr>
      <w:r>
        <w:rPr>
          <w:sz w:val="24"/>
        </w:rPr>
        <w:t>Explanation</w:t>
      </w:r>
      <w:r>
        <w:rPr>
          <w:spacing w:val="-2"/>
          <w:sz w:val="24"/>
        </w:rPr>
        <w:t xml:space="preserve"> </w:t>
      </w:r>
      <w:r>
        <w:rPr>
          <w:sz w:val="24"/>
        </w:rPr>
        <w:t>for</w:t>
      </w:r>
      <w:r>
        <w:rPr>
          <w:spacing w:val="-1"/>
          <w:sz w:val="24"/>
        </w:rPr>
        <w:t xml:space="preserve"> </w:t>
      </w:r>
      <w:r>
        <w:rPr>
          <w:sz w:val="24"/>
        </w:rPr>
        <w:t>Program</w:t>
      </w:r>
      <w:r>
        <w:rPr>
          <w:spacing w:val="-2"/>
          <w:sz w:val="24"/>
        </w:rPr>
        <w:t xml:space="preserve"> </w:t>
      </w:r>
      <w:r>
        <w:rPr>
          <w:sz w:val="24"/>
        </w:rPr>
        <w:t>Changes</w:t>
      </w:r>
      <w:r>
        <w:rPr>
          <w:spacing w:val="-2"/>
          <w:sz w:val="24"/>
        </w:rPr>
        <w:t xml:space="preserve"> </w:t>
      </w:r>
      <w:r>
        <w:rPr>
          <w:sz w:val="24"/>
        </w:rPr>
        <w:t>or</w:t>
      </w:r>
      <w:r>
        <w:rPr>
          <w:spacing w:val="-1"/>
          <w:sz w:val="24"/>
        </w:rPr>
        <w:t xml:space="preserve"> </w:t>
      </w:r>
      <w:r>
        <w:rPr>
          <w:spacing w:val="-2"/>
          <w:sz w:val="24"/>
        </w:rPr>
        <w:t>Adjustments</w:t>
      </w:r>
    </w:p>
    <w:p w:rsidR="003E62E0" w:rsidP="0076709B" w14:paraId="2FAD7B0F" w14:textId="77777777">
      <w:pPr>
        <w:pStyle w:val="BodyText"/>
      </w:pPr>
    </w:p>
    <w:p w:rsidR="00952944" w:rsidP="0076709B" w14:paraId="7D3FABEA" w14:textId="5B47DA55">
      <w:pPr>
        <w:pStyle w:val="BodyText"/>
      </w:pPr>
      <w:r>
        <w:t xml:space="preserve">The ICR </w:t>
      </w:r>
      <w:r w:rsidR="00AE29F8">
        <w:t xml:space="preserve">includes </w:t>
      </w:r>
      <w:r>
        <w:t>changes and adjustments</w:t>
      </w:r>
      <w:r>
        <w:t>, as follows:</w:t>
      </w:r>
    </w:p>
    <w:p w:rsidR="00952944" w:rsidP="0076709B" w14:paraId="7ED5660F" w14:textId="10EB1DEF"/>
    <w:p w:rsidR="00952944" w:rsidRPr="00952944" w:rsidP="0076709B" w14:paraId="4DAA86A9" w14:textId="77777777">
      <w:pPr>
        <w:widowControl/>
        <w:autoSpaceDE/>
        <w:autoSpaceDN/>
        <w:rPr>
          <w:vanish/>
          <w:sz w:val="24"/>
          <w:szCs w:val="24"/>
        </w:rPr>
      </w:pPr>
    </w:p>
    <w:tbl>
      <w:tblPr>
        <w:tblDescription w:val="table that charts list of burden"/>
        <w:tblW w:w="5538" w:type="pct"/>
        <w:tblInd w:w="-368"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2568"/>
        <w:gridCol w:w="1160"/>
        <w:gridCol w:w="1217"/>
        <w:gridCol w:w="1037"/>
        <w:gridCol w:w="1304"/>
        <w:gridCol w:w="1399"/>
        <w:gridCol w:w="1664"/>
      </w:tblGrid>
      <w:tr w14:paraId="5EDD2CB3" w14:textId="77777777" w:rsidTr="00952944">
        <w:tblPrEx>
          <w:tblW w:w="5538" w:type="pct"/>
          <w:tblInd w:w="-368"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124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52944" w:rsidRPr="00952944" w:rsidP="0076709B" w14:paraId="21FCE713" w14:textId="77777777">
            <w:pPr>
              <w:widowControl/>
              <w:autoSpaceDE/>
              <w:autoSpaceDN/>
              <w:spacing w:line="195" w:lineRule="atLeast"/>
              <w:jc w:val="center"/>
              <w:rPr>
                <w:rFonts w:ascii="Arial" w:hAnsi="Arial" w:cs="Arial"/>
                <w:b/>
                <w:bCs/>
                <w:color w:val="FFFFFF"/>
                <w:sz w:val="17"/>
                <w:szCs w:val="17"/>
              </w:rPr>
            </w:pPr>
            <w:r w:rsidRPr="00952944">
              <w:rPr>
                <w:rFonts w:ascii="Arial" w:hAnsi="Arial" w:cs="Arial"/>
                <w:b/>
                <w:bCs/>
                <w:color w:val="FFFFFF"/>
                <w:sz w:val="17"/>
                <w:szCs w:val="17"/>
              </w:rPr>
              <w:t> </w:t>
            </w:r>
          </w:p>
        </w:tc>
        <w:tc>
          <w:tcPr>
            <w:tcW w:w="56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52944" w:rsidRPr="00952944" w:rsidP="0076709B" w14:paraId="7E398A08" w14:textId="77777777">
            <w:pPr>
              <w:widowControl/>
              <w:autoSpaceDE/>
              <w:autoSpaceDN/>
              <w:spacing w:line="195" w:lineRule="atLeast"/>
              <w:jc w:val="center"/>
              <w:rPr>
                <w:rFonts w:ascii="Arial" w:hAnsi="Arial" w:cs="Arial"/>
                <w:b/>
                <w:bCs/>
                <w:color w:val="FFFFFF"/>
                <w:sz w:val="17"/>
                <w:szCs w:val="17"/>
              </w:rPr>
            </w:pPr>
            <w:r w:rsidRPr="00952944">
              <w:rPr>
                <w:rFonts w:ascii="Arial" w:hAnsi="Arial" w:cs="Arial"/>
                <w:b/>
                <w:bCs/>
                <w:color w:val="FFFFFF"/>
                <w:sz w:val="17"/>
                <w:szCs w:val="17"/>
              </w:rPr>
              <w:t>Requested</w:t>
            </w:r>
          </w:p>
        </w:tc>
        <w:tc>
          <w:tcPr>
            <w:tcW w:w="58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52944" w:rsidRPr="00952944" w:rsidP="0076709B" w14:paraId="007155B6" w14:textId="77777777">
            <w:pPr>
              <w:widowControl/>
              <w:autoSpaceDE/>
              <w:autoSpaceDN/>
              <w:spacing w:line="195" w:lineRule="atLeast"/>
              <w:jc w:val="center"/>
              <w:rPr>
                <w:rFonts w:ascii="Arial" w:hAnsi="Arial" w:cs="Arial"/>
                <w:b/>
                <w:bCs/>
                <w:color w:val="FFFFFF"/>
                <w:sz w:val="17"/>
                <w:szCs w:val="17"/>
              </w:rPr>
            </w:pPr>
            <w:r w:rsidRPr="00952944">
              <w:rPr>
                <w:rFonts w:ascii="Arial" w:hAnsi="Arial" w:cs="Arial"/>
                <w:b/>
                <w:bCs/>
                <w:color w:val="FFFFFF"/>
                <w:sz w:val="17"/>
                <w:szCs w:val="17"/>
              </w:rPr>
              <w:t>Program Change Due to New Statute</w:t>
            </w:r>
          </w:p>
        </w:tc>
        <w:tc>
          <w:tcPr>
            <w:tcW w:w="50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52944" w:rsidRPr="00952944" w:rsidP="0076709B" w14:paraId="16F1E3E3" w14:textId="77777777">
            <w:pPr>
              <w:widowControl/>
              <w:autoSpaceDE/>
              <w:autoSpaceDN/>
              <w:spacing w:line="195" w:lineRule="atLeast"/>
              <w:jc w:val="center"/>
              <w:rPr>
                <w:rFonts w:ascii="Arial" w:hAnsi="Arial" w:cs="Arial"/>
                <w:b/>
                <w:bCs/>
                <w:color w:val="FFFFFF"/>
                <w:sz w:val="17"/>
                <w:szCs w:val="17"/>
              </w:rPr>
            </w:pPr>
            <w:r w:rsidRPr="00952944">
              <w:rPr>
                <w:rFonts w:ascii="Arial" w:hAnsi="Arial" w:cs="Arial"/>
                <w:b/>
                <w:bCs/>
                <w:color w:val="FFFFFF"/>
                <w:sz w:val="17"/>
                <w:szCs w:val="17"/>
              </w:rPr>
              <w:t>Program Change Due to Agency Discretion</w:t>
            </w:r>
          </w:p>
        </w:tc>
        <w:tc>
          <w:tcPr>
            <w:tcW w:w="63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52944" w:rsidRPr="00952944" w:rsidP="0076709B" w14:paraId="58C03ADB" w14:textId="77777777">
            <w:pPr>
              <w:widowControl/>
              <w:autoSpaceDE/>
              <w:autoSpaceDN/>
              <w:spacing w:line="195" w:lineRule="atLeast"/>
              <w:jc w:val="center"/>
              <w:rPr>
                <w:rFonts w:ascii="Arial" w:hAnsi="Arial" w:cs="Arial"/>
                <w:b/>
                <w:bCs/>
                <w:color w:val="FFFFFF"/>
                <w:sz w:val="17"/>
                <w:szCs w:val="17"/>
              </w:rPr>
            </w:pPr>
            <w:r w:rsidRPr="00952944">
              <w:rPr>
                <w:rFonts w:ascii="Arial" w:hAnsi="Arial" w:cs="Arial"/>
                <w:b/>
                <w:bCs/>
                <w:color w:val="FFFFFF"/>
                <w:sz w:val="17"/>
                <w:szCs w:val="17"/>
              </w:rPr>
              <w:t>Change Due to Adjustment in Agency Estimate</w:t>
            </w:r>
          </w:p>
        </w:tc>
        <w:tc>
          <w:tcPr>
            <w:tcW w:w="67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52944" w:rsidRPr="00952944" w:rsidP="0076709B" w14:paraId="619EBC29" w14:textId="77777777">
            <w:pPr>
              <w:widowControl/>
              <w:autoSpaceDE/>
              <w:autoSpaceDN/>
              <w:spacing w:line="195" w:lineRule="atLeast"/>
              <w:jc w:val="center"/>
              <w:rPr>
                <w:rFonts w:ascii="Arial" w:hAnsi="Arial" w:cs="Arial"/>
                <w:b/>
                <w:bCs/>
                <w:color w:val="FFFFFF"/>
                <w:sz w:val="17"/>
                <w:szCs w:val="17"/>
              </w:rPr>
            </w:pPr>
            <w:r w:rsidRPr="00952944">
              <w:rPr>
                <w:rFonts w:ascii="Arial" w:hAnsi="Arial" w:cs="Arial"/>
                <w:b/>
                <w:bCs/>
                <w:color w:val="FFFFFF"/>
                <w:sz w:val="17"/>
                <w:szCs w:val="17"/>
              </w:rPr>
              <w:t>Change Due to Potential Violation of the PRA</w:t>
            </w:r>
          </w:p>
        </w:tc>
        <w:tc>
          <w:tcPr>
            <w:tcW w:w="804"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52944" w:rsidRPr="00952944" w:rsidP="0076709B" w14:paraId="21A555E6" w14:textId="77777777">
            <w:pPr>
              <w:widowControl/>
              <w:autoSpaceDE/>
              <w:autoSpaceDN/>
              <w:spacing w:line="195" w:lineRule="atLeast"/>
              <w:jc w:val="center"/>
              <w:rPr>
                <w:rFonts w:ascii="Arial" w:hAnsi="Arial" w:cs="Arial"/>
                <w:b/>
                <w:bCs/>
                <w:color w:val="FFFFFF"/>
                <w:sz w:val="17"/>
                <w:szCs w:val="17"/>
              </w:rPr>
            </w:pPr>
            <w:r w:rsidRPr="00952944">
              <w:rPr>
                <w:rFonts w:ascii="Arial" w:hAnsi="Arial" w:cs="Arial"/>
                <w:b/>
                <w:bCs/>
                <w:color w:val="FFFFFF"/>
                <w:sz w:val="17"/>
                <w:szCs w:val="17"/>
              </w:rPr>
              <w:t>Previously Approved</w:t>
            </w:r>
          </w:p>
        </w:tc>
      </w:tr>
      <w:tr w14:paraId="3E35754F" w14:textId="77777777" w:rsidTr="00952944">
        <w:tblPrEx>
          <w:tblW w:w="5538" w:type="pct"/>
          <w:tblInd w:w="-368" w:type="dxa"/>
          <w:tblCellMar>
            <w:left w:w="0" w:type="dxa"/>
            <w:right w:w="0" w:type="dxa"/>
          </w:tblCellMar>
          <w:tblLook w:val="04A0"/>
        </w:tblPrEx>
        <w:trPr>
          <w:trHeight w:val="375"/>
        </w:trPr>
        <w:tc>
          <w:tcPr>
            <w:tcW w:w="124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6608A831"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Annual Number of Responses</w:t>
            </w:r>
          </w:p>
        </w:tc>
        <w:tc>
          <w:tcPr>
            <w:tcW w:w="56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75293F7B"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508,587,951</w:t>
            </w:r>
          </w:p>
        </w:tc>
        <w:tc>
          <w:tcPr>
            <w:tcW w:w="58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4A75502A"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c>
          <w:tcPr>
            <w:tcW w:w="50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1191261D"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c>
          <w:tcPr>
            <w:tcW w:w="63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086FEB9F"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4,829,782</w:t>
            </w:r>
          </w:p>
        </w:tc>
        <w:tc>
          <w:tcPr>
            <w:tcW w:w="67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48AEF85F"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503,758,169</w:t>
            </w:r>
          </w:p>
        </w:tc>
        <w:tc>
          <w:tcPr>
            <w:tcW w:w="80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7B7B2488"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r>
      <w:tr w14:paraId="4803DB4E" w14:textId="77777777" w:rsidTr="00952944">
        <w:tblPrEx>
          <w:tblW w:w="5538" w:type="pct"/>
          <w:tblInd w:w="-368" w:type="dxa"/>
          <w:tblCellMar>
            <w:left w:w="0" w:type="dxa"/>
            <w:right w:w="0" w:type="dxa"/>
          </w:tblCellMar>
          <w:tblLook w:val="04A0"/>
        </w:tblPrEx>
        <w:trPr>
          <w:trHeight w:val="375"/>
        </w:trPr>
        <w:tc>
          <w:tcPr>
            <w:tcW w:w="124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23E233F0"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Annual Time Burden (</w:t>
            </w:r>
            <w:r w:rsidRPr="00952944">
              <w:rPr>
                <w:rFonts w:ascii="Arial" w:hAnsi="Arial" w:cs="Arial"/>
                <w:color w:val="56606F"/>
                <w:sz w:val="17"/>
                <w:szCs w:val="17"/>
              </w:rPr>
              <w:t>Hr</w:t>
            </w:r>
            <w:r w:rsidRPr="00952944">
              <w:rPr>
                <w:rFonts w:ascii="Arial" w:hAnsi="Arial" w:cs="Arial"/>
                <w:color w:val="56606F"/>
                <w:sz w:val="17"/>
                <w:szCs w:val="17"/>
              </w:rPr>
              <w:t>)</w:t>
            </w:r>
          </w:p>
        </w:tc>
        <w:tc>
          <w:tcPr>
            <w:tcW w:w="56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37EF48AB"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4,325,499</w:t>
            </w:r>
          </w:p>
        </w:tc>
        <w:tc>
          <w:tcPr>
            <w:tcW w:w="58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71C390B9"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c>
          <w:tcPr>
            <w:tcW w:w="50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769409C8"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c>
          <w:tcPr>
            <w:tcW w:w="63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2848322C"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-22,938,375</w:t>
            </w:r>
          </w:p>
        </w:tc>
        <w:tc>
          <w:tcPr>
            <w:tcW w:w="67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74B986D7"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27,263,874</w:t>
            </w:r>
          </w:p>
        </w:tc>
        <w:tc>
          <w:tcPr>
            <w:tcW w:w="80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0C76E38A"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r>
      <w:tr w14:paraId="1685EF42" w14:textId="77777777" w:rsidTr="00952944">
        <w:tblPrEx>
          <w:tblW w:w="5538" w:type="pct"/>
          <w:tblInd w:w="-368" w:type="dxa"/>
          <w:tblCellMar>
            <w:left w:w="0" w:type="dxa"/>
            <w:right w:w="0" w:type="dxa"/>
          </w:tblCellMar>
          <w:tblLook w:val="04A0"/>
        </w:tblPrEx>
        <w:trPr>
          <w:trHeight w:val="375"/>
        </w:trPr>
        <w:tc>
          <w:tcPr>
            <w:tcW w:w="124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570125B0"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Annual Cost Burden ($)</w:t>
            </w:r>
          </w:p>
        </w:tc>
        <w:tc>
          <w:tcPr>
            <w:tcW w:w="56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620FAF6C"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c>
          <w:tcPr>
            <w:tcW w:w="58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0EC99DF3"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c>
          <w:tcPr>
            <w:tcW w:w="50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67BD3357"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c>
          <w:tcPr>
            <w:tcW w:w="63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6067760F"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c>
          <w:tcPr>
            <w:tcW w:w="67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7C28F509"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c>
          <w:tcPr>
            <w:tcW w:w="80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52944" w:rsidRPr="00952944" w:rsidP="0076709B" w14:paraId="4A4D676F" w14:textId="77777777">
            <w:pPr>
              <w:widowControl/>
              <w:autoSpaceDE/>
              <w:autoSpaceDN/>
              <w:spacing w:line="225" w:lineRule="atLeast"/>
              <w:rPr>
                <w:rFonts w:ascii="Arial" w:hAnsi="Arial" w:cs="Arial"/>
                <w:color w:val="56606F"/>
                <w:sz w:val="17"/>
                <w:szCs w:val="17"/>
              </w:rPr>
            </w:pPr>
            <w:r w:rsidRPr="00952944">
              <w:rPr>
                <w:rFonts w:ascii="Arial" w:hAnsi="Arial" w:cs="Arial"/>
                <w:color w:val="56606F"/>
                <w:sz w:val="17"/>
                <w:szCs w:val="17"/>
              </w:rPr>
              <w:t>  0</w:t>
            </w:r>
          </w:p>
        </w:tc>
      </w:tr>
    </w:tbl>
    <w:p w:rsidR="00952944" w:rsidRPr="003E62E0" w:rsidP="0076709B" w14:paraId="7068E007" w14:textId="77777777">
      <w:pPr>
        <w:pStyle w:val="BodyText"/>
      </w:pPr>
    </w:p>
    <w:p w:rsidR="00492FD1" w:rsidP="0076709B" w14:paraId="49321E62" w14:textId="77777777">
      <w:pPr>
        <w:pStyle w:val="BodyText"/>
        <w:spacing w:before="90"/>
        <w:ind w:right="187"/>
      </w:pPr>
    </w:p>
    <w:tbl>
      <w:tblPr>
        <w:tblDescription w:val="table that charts list of ICs"/>
        <w:tblW w:w="5538" w:type="pct"/>
        <w:tblInd w:w="-368"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
      <w:tblGrid>
        <w:gridCol w:w="2970"/>
        <w:gridCol w:w="1080"/>
        <w:gridCol w:w="1350"/>
        <w:gridCol w:w="1076"/>
        <w:gridCol w:w="3873"/>
      </w:tblGrid>
      <w:tr w14:paraId="0ED47596" w14:textId="77777777" w:rsidTr="00952944">
        <w:tblPrEx>
          <w:tblW w:w="5538" w:type="pct"/>
          <w:tblInd w:w="-368" w:type="dxa"/>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Ex>
        <w:trPr>
          <w:trHeight w:val="375"/>
        </w:trPr>
        <w:tc>
          <w:tcPr>
            <w:tcW w:w="143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937BD" w:rsidRPr="003D115E" w:rsidP="0076709B" w14:paraId="6C4B2B5E" w14:textId="77777777">
            <w:pPr>
              <w:widowControl/>
              <w:autoSpaceDE/>
              <w:autoSpaceDN/>
              <w:spacing w:line="195" w:lineRule="atLeast"/>
              <w:jc w:val="center"/>
              <w:rPr>
                <w:rFonts w:ascii="Arial" w:hAnsi="Arial" w:cs="Arial"/>
                <w:b/>
                <w:bCs/>
                <w:color w:val="FFFFFF"/>
                <w:sz w:val="17"/>
                <w:szCs w:val="17"/>
              </w:rPr>
            </w:pPr>
            <w:r w:rsidRPr="003D115E">
              <w:rPr>
                <w:rFonts w:ascii="Arial" w:hAnsi="Arial" w:cs="Arial"/>
                <w:b/>
                <w:bCs/>
                <w:color w:val="FFFFFF"/>
                <w:sz w:val="17"/>
                <w:szCs w:val="17"/>
              </w:rPr>
              <w:t>IC Title</w:t>
            </w:r>
          </w:p>
        </w:tc>
        <w:tc>
          <w:tcPr>
            <w:tcW w:w="52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937BD" w:rsidRPr="003D115E" w:rsidP="0076709B" w14:paraId="1ACBB02F" w14:textId="77777777">
            <w:pPr>
              <w:widowControl/>
              <w:autoSpaceDE/>
              <w:autoSpaceDN/>
              <w:spacing w:line="195" w:lineRule="atLeast"/>
              <w:jc w:val="center"/>
              <w:rPr>
                <w:rFonts w:ascii="Arial" w:hAnsi="Arial" w:cs="Arial"/>
                <w:b/>
                <w:bCs/>
                <w:color w:val="FFFFFF"/>
                <w:sz w:val="17"/>
                <w:szCs w:val="17"/>
              </w:rPr>
            </w:pPr>
            <w:r w:rsidRPr="003D115E">
              <w:rPr>
                <w:rFonts w:ascii="Arial" w:hAnsi="Arial" w:cs="Arial"/>
                <w:b/>
                <w:bCs/>
                <w:color w:val="FFFFFF"/>
                <w:sz w:val="17"/>
                <w:szCs w:val="17"/>
              </w:rPr>
              <w:t>Status</w:t>
            </w:r>
          </w:p>
        </w:tc>
        <w:tc>
          <w:tcPr>
            <w:tcW w:w="65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937BD" w:rsidRPr="003D115E" w:rsidP="0076709B" w14:paraId="1332B872" w14:textId="77777777">
            <w:pPr>
              <w:widowControl/>
              <w:autoSpaceDE/>
              <w:autoSpaceDN/>
              <w:spacing w:line="195" w:lineRule="atLeast"/>
              <w:jc w:val="center"/>
              <w:rPr>
                <w:rFonts w:ascii="Arial" w:hAnsi="Arial" w:cs="Arial"/>
                <w:b/>
                <w:bCs/>
                <w:color w:val="FFFFFF"/>
                <w:sz w:val="17"/>
                <w:szCs w:val="17"/>
              </w:rPr>
            </w:pPr>
            <w:r w:rsidRPr="003D115E">
              <w:rPr>
                <w:rFonts w:ascii="Arial" w:hAnsi="Arial" w:cs="Arial"/>
                <w:b/>
                <w:bCs/>
                <w:color w:val="FFFFFF"/>
                <w:sz w:val="17"/>
                <w:szCs w:val="17"/>
              </w:rPr>
              <w:t>Responses</w:t>
            </w:r>
          </w:p>
        </w:tc>
        <w:tc>
          <w:tcPr>
            <w:tcW w:w="52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937BD" w:rsidRPr="003D115E" w:rsidP="0076709B" w14:paraId="1BDA97D3" w14:textId="77777777">
            <w:pPr>
              <w:widowControl/>
              <w:autoSpaceDE/>
              <w:autoSpaceDN/>
              <w:spacing w:line="195" w:lineRule="atLeast"/>
              <w:jc w:val="center"/>
              <w:rPr>
                <w:rFonts w:ascii="Arial" w:hAnsi="Arial" w:cs="Arial"/>
                <w:b/>
                <w:bCs/>
                <w:color w:val="FFFFFF"/>
                <w:sz w:val="17"/>
                <w:szCs w:val="17"/>
              </w:rPr>
            </w:pPr>
            <w:r w:rsidRPr="003D115E">
              <w:rPr>
                <w:rFonts w:ascii="Arial" w:hAnsi="Arial" w:cs="Arial"/>
                <w:b/>
                <w:bCs/>
                <w:color w:val="FFFFFF"/>
                <w:sz w:val="17"/>
                <w:szCs w:val="17"/>
              </w:rPr>
              <w:t>Hours</w:t>
            </w:r>
          </w:p>
        </w:tc>
        <w:tc>
          <w:tcPr>
            <w:tcW w:w="187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937BD" w:rsidRPr="003D115E" w:rsidP="0076709B" w14:paraId="3B8F985A" w14:textId="5A2F2B1C">
            <w:pPr>
              <w:widowControl/>
              <w:autoSpaceDE/>
              <w:autoSpaceDN/>
              <w:spacing w:line="195" w:lineRule="atLeast"/>
              <w:jc w:val="center"/>
              <w:rPr>
                <w:rFonts w:ascii="Arial" w:hAnsi="Arial" w:cs="Arial"/>
                <w:b/>
                <w:bCs/>
                <w:color w:val="FFFFFF"/>
                <w:sz w:val="17"/>
                <w:szCs w:val="17"/>
              </w:rPr>
            </w:pPr>
            <w:r>
              <w:rPr>
                <w:rFonts w:ascii="Arial" w:hAnsi="Arial" w:cs="Arial"/>
                <w:b/>
                <w:bCs/>
                <w:color w:val="FFFFFF"/>
                <w:sz w:val="17"/>
                <w:szCs w:val="17"/>
              </w:rPr>
              <w:t>Modification/Change</w:t>
            </w:r>
          </w:p>
        </w:tc>
      </w:tr>
      <w:tr w14:paraId="190255DB" w14:textId="77777777" w:rsidTr="00952944">
        <w:tblPrEx>
          <w:tblW w:w="5538" w:type="pct"/>
          <w:tblInd w:w="-368" w:type="dxa"/>
          <w:shd w:val="clear" w:color="auto" w:fill="FFFFFF"/>
          <w:tblCellMar>
            <w:left w:w="0" w:type="dxa"/>
            <w:right w:w="0" w:type="dxa"/>
          </w:tblCellMar>
          <w:tblLook w:val="04A0"/>
        </w:tblPrEx>
        <w:trPr>
          <w:trHeight w:val="375"/>
        </w:trPr>
        <w:tc>
          <w:tcPr>
            <w:tcW w:w="143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4C55B8C1" w14:textId="77777777">
            <w:pPr>
              <w:widowControl/>
              <w:autoSpaceDE/>
              <w:autoSpaceDN/>
              <w:spacing w:line="225" w:lineRule="atLeast"/>
              <w:rPr>
                <w:rFonts w:ascii="Arial" w:hAnsi="Arial" w:cs="Arial"/>
                <w:color w:val="56606F"/>
                <w:sz w:val="17"/>
                <w:szCs w:val="17"/>
              </w:rPr>
            </w:pPr>
            <w:hyperlink r:id="rId6" w:history="1">
              <w:r w:rsidRPr="003D115E">
                <w:rPr>
                  <w:rFonts w:ascii="Arial" w:hAnsi="Arial" w:cs="Arial"/>
                  <w:color w:val="154A9F"/>
                  <w:sz w:val="17"/>
                  <w:szCs w:val="17"/>
                  <w:u w:val="single"/>
                </w:rPr>
                <w:t>Content and Format of Medication Guide</w:t>
              </w:r>
            </w:hyperlink>
          </w:p>
        </w:tc>
        <w:tc>
          <w:tcPr>
            <w:tcW w:w="52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0F9DA5C0" w14:textId="77777777">
            <w:pPr>
              <w:widowControl/>
              <w:autoSpaceDE/>
              <w:autoSpaceDN/>
              <w:spacing w:line="225" w:lineRule="atLeast"/>
              <w:rPr>
                <w:rFonts w:ascii="Arial" w:hAnsi="Arial" w:cs="Arial"/>
                <w:color w:val="56606F"/>
                <w:sz w:val="17"/>
                <w:szCs w:val="17"/>
              </w:rPr>
            </w:pPr>
            <w:r w:rsidRPr="003D115E">
              <w:rPr>
                <w:rFonts w:ascii="Arial" w:hAnsi="Arial" w:cs="Arial"/>
                <w:color w:val="56606F"/>
                <w:sz w:val="17"/>
                <w:szCs w:val="17"/>
              </w:rPr>
              <w:t>Modified</w:t>
            </w:r>
          </w:p>
        </w:tc>
        <w:tc>
          <w:tcPr>
            <w:tcW w:w="65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2DEC5DDD" w14:textId="77777777">
            <w:pPr>
              <w:widowControl/>
              <w:autoSpaceDE/>
              <w:autoSpaceDN/>
              <w:spacing w:line="225" w:lineRule="atLeast"/>
              <w:jc w:val="right"/>
              <w:rPr>
                <w:rFonts w:ascii="Arial" w:hAnsi="Arial" w:cs="Arial"/>
                <w:color w:val="56606F"/>
                <w:sz w:val="17"/>
                <w:szCs w:val="17"/>
              </w:rPr>
            </w:pPr>
            <w:r w:rsidRPr="003D115E">
              <w:rPr>
                <w:rFonts w:ascii="Arial" w:hAnsi="Arial" w:cs="Arial"/>
                <w:color w:val="56606F"/>
                <w:sz w:val="17"/>
                <w:szCs w:val="17"/>
              </w:rPr>
              <w:t>70</w:t>
            </w:r>
          </w:p>
        </w:tc>
        <w:tc>
          <w:tcPr>
            <w:tcW w:w="52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5FD9BA14" w14:textId="77777777">
            <w:pPr>
              <w:widowControl/>
              <w:autoSpaceDE/>
              <w:autoSpaceDN/>
              <w:spacing w:line="225" w:lineRule="atLeast"/>
              <w:jc w:val="right"/>
              <w:rPr>
                <w:rFonts w:ascii="Arial" w:hAnsi="Arial" w:cs="Arial"/>
                <w:color w:val="56606F"/>
                <w:sz w:val="17"/>
                <w:szCs w:val="17"/>
              </w:rPr>
            </w:pPr>
            <w:r w:rsidRPr="003D115E">
              <w:rPr>
                <w:rFonts w:ascii="Arial" w:hAnsi="Arial" w:cs="Arial"/>
                <w:color w:val="56606F"/>
                <w:sz w:val="17"/>
                <w:szCs w:val="17"/>
              </w:rPr>
              <w:t>22400</w:t>
            </w:r>
          </w:p>
        </w:tc>
        <w:tc>
          <w:tcPr>
            <w:tcW w:w="187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tcPr>
          <w:p w:rsidR="003937BD" w:rsidRPr="003D115E" w:rsidP="0076709B" w14:paraId="51FAAE6C" w14:textId="1E833B9A">
            <w:pPr>
              <w:widowControl/>
              <w:autoSpaceDE/>
              <w:autoSpaceDN/>
              <w:spacing w:line="225" w:lineRule="atLeast"/>
              <w:rPr>
                <w:rFonts w:ascii="Arial" w:hAnsi="Arial" w:cs="Arial"/>
                <w:b/>
                <w:bCs/>
                <w:color w:val="56606F"/>
                <w:sz w:val="17"/>
                <w:szCs w:val="17"/>
              </w:rPr>
            </w:pPr>
            <w:r w:rsidRPr="005510CA">
              <w:rPr>
                <w:rFonts w:ascii="Arial" w:hAnsi="Arial" w:cs="Arial"/>
                <w:b/>
                <w:bCs/>
                <w:color w:val="56606F"/>
                <w:sz w:val="17"/>
                <w:szCs w:val="17"/>
              </w:rPr>
              <w:t>No. of respondents updated based on current agency data.</w:t>
            </w:r>
          </w:p>
        </w:tc>
      </w:tr>
      <w:tr w14:paraId="7416CC7F" w14:textId="77777777" w:rsidTr="00952944">
        <w:tblPrEx>
          <w:tblW w:w="5538" w:type="pct"/>
          <w:tblInd w:w="-368" w:type="dxa"/>
          <w:shd w:val="clear" w:color="auto" w:fill="FFFFFF"/>
          <w:tblCellMar>
            <w:left w:w="0" w:type="dxa"/>
            <w:right w:w="0" w:type="dxa"/>
          </w:tblCellMar>
          <w:tblLook w:val="04A0"/>
        </w:tblPrEx>
        <w:trPr>
          <w:trHeight w:val="303"/>
        </w:trPr>
        <w:tc>
          <w:tcPr>
            <w:tcW w:w="143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5FC78C9C" w14:textId="77777777">
            <w:pPr>
              <w:widowControl/>
              <w:autoSpaceDE/>
              <w:autoSpaceDN/>
              <w:spacing w:line="225" w:lineRule="atLeast"/>
              <w:rPr>
                <w:rFonts w:ascii="Arial" w:hAnsi="Arial" w:cs="Arial"/>
                <w:color w:val="56606F"/>
                <w:sz w:val="17"/>
                <w:szCs w:val="17"/>
              </w:rPr>
            </w:pPr>
            <w:hyperlink r:id="rId7" w:history="1">
              <w:r w:rsidRPr="003D115E">
                <w:rPr>
                  <w:rFonts w:ascii="Arial" w:hAnsi="Arial" w:cs="Arial"/>
                  <w:color w:val="154A9F"/>
                  <w:sz w:val="17"/>
                  <w:szCs w:val="17"/>
                  <w:u w:val="single"/>
                </w:rPr>
                <w:t>Exemptions and Deferrals</w:t>
              </w:r>
            </w:hyperlink>
          </w:p>
        </w:tc>
        <w:tc>
          <w:tcPr>
            <w:tcW w:w="52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056A3264" w14:textId="77777777">
            <w:pPr>
              <w:widowControl/>
              <w:autoSpaceDE/>
              <w:autoSpaceDN/>
              <w:spacing w:line="225" w:lineRule="atLeast"/>
              <w:rPr>
                <w:rFonts w:ascii="Arial" w:hAnsi="Arial" w:cs="Arial"/>
                <w:color w:val="56606F"/>
                <w:sz w:val="17"/>
                <w:szCs w:val="17"/>
              </w:rPr>
            </w:pPr>
            <w:r w:rsidRPr="003D115E">
              <w:rPr>
                <w:rFonts w:ascii="Arial" w:hAnsi="Arial" w:cs="Arial"/>
                <w:color w:val="56606F"/>
                <w:sz w:val="17"/>
                <w:szCs w:val="17"/>
              </w:rPr>
              <w:t>Unchanged</w:t>
            </w:r>
          </w:p>
        </w:tc>
        <w:tc>
          <w:tcPr>
            <w:tcW w:w="65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561BD828" w14:textId="77777777">
            <w:pPr>
              <w:widowControl/>
              <w:autoSpaceDE/>
              <w:autoSpaceDN/>
              <w:spacing w:line="225" w:lineRule="atLeast"/>
              <w:jc w:val="right"/>
              <w:rPr>
                <w:rFonts w:ascii="Arial" w:hAnsi="Arial" w:cs="Arial"/>
                <w:color w:val="56606F"/>
                <w:sz w:val="17"/>
                <w:szCs w:val="17"/>
              </w:rPr>
            </w:pPr>
            <w:r w:rsidRPr="003D115E">
              <w:rPr>
                <w:rFonts w:ascii="Arial" w:hAnsi="Arial" w:cs="Arial"/>
                <w:color w:val="56606F"/>
                <w:sz w:val="17"/>
                <w:szCs w:val="17"/>
              </w:rPr>
              <w:t>1</w:t>
            </w:r>
          </w:p>
        </w:tc>
        <w:tc>
          <w:tcPr>
            <w:tcW w:w="52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0540485B" w14:textId="77777777">
            <w:pPr>
              <w:widowControl/>
              <w:autoSpaceDE/>
              <w:autoSpaceDN/>
              <w:spacing w:line="225" w:lineRule="atLeast"/>
              <w:jc w:val="right"/>
              <w:rPr>
                <w:rFonts w:ascii="Arial" w:hAnsi="Arial" w:cs="Arial"/>
                <w:color w:val="56606F"/>
                <w:sz w:val="17"/>
                <w:szCs w:val="17"/>
              </w:rPr>
            </w:pPr>
            <w:r w:rsidRPr="003D115E">
              <w:rPr>
                <w:rFonts w:ascii="Arial" w:hAnsi="Arial" w:cs="Arial"/>
                <w:color w:val="56606F"/>
                <w:sz w:val="17"/>
                <w:szCs w:val="17"/>
              </w:rPr>
              <w:t>4</w:t>
            </w:r>
          </w:p>
        </w:tc>
        <w:tc>
          <w:tcPr>
            <w:tcW w:w="187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tcPr>
          <w:p w:rsidR="003937BD" w:rsidRPr="003D115E" w:rsidP="0076709B" w14:paraId="71C029F7" w14:textId="409F7B63">
            <w:pPr>
              <w:widowControl/>
              <w:autoSpaceDE/>
              <w:autoSpaceDN/>
              <w:spacing w:line="225" w:lineRule="atLeast"/>
              <w:rPr>
                <w:rFonts w:ascii="Arial" w:hAnsi="Arial" w:cs="Arial"/>
                <w:b/>
                <w:bCs/>
                <w:color w:val="56606F"/>
                <w:sz w:val="17"/>
                <w:szCs w:val="17"/>
              </w:rPr>
            </w:pPr>
            <w:r w:rsidRPr="005510CA">
              <w:rPr>
                <w:rFonts w:ascii="Arial" w:hAnsi="Arial" w:cs="Arial"/>
                <w:b/>
                <w:bCs/>
                <w:color w:val="56606F"/>
                <w:sz w:val="17"/>
                <w:szCs w:val="17"/>
              </w:rPr>
              <w:t>None.</w:t>
            </w:r>
          </w:p>
        </w:tc>
      </w:tr>
      <w:tr w14:paraId="6C9A9F8A" w14:textId="77777777" w:rsidTr="00952944">
        <w:tblPrEx>
          <w:tblW w:w="5538" w:type="pct"/>
          <w:tblInd w:w="-368" w:type="dxa"/>
          <w:shd w:val="clear" w:color="auto" w:fill="FFFFFF"/>
          <w:tblCellMar>
            <w:left w:w="0" w:type="dxa"/>
            <w:right w:w="0" w:type="dxa"/>
          </w:tblCellMar>
          <w:tblLook w:val="04A0"/>
        </w:tblPrEx>
        <w:trPr>
          <w:trHeight w:val="375"/>
        </w:trPr>
        <w:tc>
          <w:tcPr>
            <w:tcW w:w="143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451CB022" w14:textId="77777777">
            <w:pPr>
              <w:widowControl/>
              <w:autoSpaceDE/>
              <w:autoSpaceDN/>
              <w:spacing w:line="225" w:lineRule="atLeast"/>
              <w:rPr>
                <w:rFonts w:ascii="Arial" w:hAnsi="Arial" w:cs="Arial"/>
                <w:color w:val="56606F"/>
                <w:sz w:val="17"/>
                <w:szCs w:val="17"/>
              </w:rPr>
            </w:pPr>
            <w:hyperlink r:id="rId8" w:history="1">
              <w:r w:rsidRPr="003D115E">
                <w:rPr>
                  <w:rFonts w:ascii="Arial" w:hAnsi="Arial" w:cs="Arial"/>
                  <w:color w:val="154A9F"/>
                  <w:sz w:val="17"/>
                  <w:szCs w:val="17"/>
                  <w:u w:val="single"/>
                </w:rPr>
                <w:t>Distributor provides Medication Guide or means to produce to Dispenser</w:t>
              </w:r>
            </w:hyperlink>
          </w:p>
        </w:tc>
        <w:tc>
          <w:tcPr>
            <w:tcW w:w="52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789DF046" w14:textId="77777777">
            <w:pPr>
              <w:widowControl/>
              <w:autoSpaceDE/>
              <w:autoSpaceDN/>
              <w:spacing w:line="225" w:lineRule="atLeast"/>
              <w:rPr>
                <w:rFonts w:ascii="Arial" w:hAnsi="Arial" w:cs="Arial"/>
                <w:color w:val="56606F"/>
                <w:sz w:val="17"/>
                <w:szCs w:val="17"/>
              </w:rPr>
            </w:pPr>
            <w:r w:rsidRPr="003D115E">
              <w:rPr>
                <w:rFonts w:ascii="Arial" w:hAnsi="Arial" w:cs="Arial"/>
                <w:color w:val="56606F"/>
                <w:sz w:val="17"/>
                <w:szCs w:val="17"/>
              </w:rPr>
              <w:t>Modified</w:t>
            </w:r>
          </w:p>
        </w:tc>
        <w:tc>
          <w:tcPr>
            <w:tcW w:w="65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5E17AB28" w14:textId="77777777">
            <w:pPr>
              <w:widowControl/>
              <w:autoSpaceDE/>
              <w:autoSpaceDN/>
              <w:spacing w:line="225" w:lineRule="atLeast"/>
              <w:jc w:val="right"/>
              <w:rPr>
                <w:rFonts w:ascii="Arial" w:hAnsi="Arial" w:cs="Arial"/>
                <w:color w:val="56606F"/>
                <w:sz w:val="17"/>
                <w:szCs w:val="17"/>
              </w:rPr>
            </w:pPr>
            <w:r w:rsidRPr="003D115E">
              <w:rPr>
                <w:rFonts w:ascii="Arial" w:hAnsi="Arial" w:cs="Arial"/>
                <w:color w:val="56606F"/>
                <w:sz w:val="17"/>
                <w:szCs w:val="17"/>
              </w:rPr>
              <w:t>1719000</w:t>
            </w:r>
          </w:p>
        </w:tc>
        <w:tc>
          <w:tcPr>
            <w:tcW w:w="52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4D0E15F1" w14:textId="77777777">
            <w:pPr>
              <w:widowControl/>
              <w:autoSpaceDE/>
              <w:autoSpaceDN/>
              <w:spacing w:line="225" w:lineRule="atLeast"/>
              <w:jc w:val="right"/>
              <w:rPr>
                <w:rFonts w:ascii="Arial" w:hAnsi="Arial" w:cs="Arial"/>
                <w:color w:val="56606F"/>
                <w:sz w:val="17"/>
                <w:szCs w:val="17"/>
              </w:rPr>
            </w:pPr>
            <w:r w:rsidRPr="003D115E">
              <w:rPr>
                <w:rFonts w:ascii="Arial" w:hAnsi="Arial" w:cs="Arial"/>
                <w:color w:val="56606F"/>
                <w:sz w:val="17"/>
                <w:szCs w:val="17"/>
              </w:rPr>
              <w:t>2148750</w:t>
            </w:r>
          </w:p>
        </w:tc>
        <w:tc>
          <w:tcPr>
            <w:tcW w:w="187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tcPr>
          <w:p w:rsidR="003937BD" w:rsidRPr="003D115E" w:rsidP="0076709B" w14:paraId="19805DC9" w14:textId="6280F827">
            <w:pPr>
              <w:widowControl/>
              <w:autoSpaceDE/>
              <w:autoSpaceDN/>
              <w:spacing w:line="225" w:lineRule="atLeast"/>
              <w:rPr>
                <w:rFonts w:ascii="Arial" w:hAnsi="Arial" w:cs="Arial"/>
                <w:b/>
                <w:bCs/>
                <w:color w:val="56606F"/>
                <w:sz w:val="17"/>
                <w:szCs w:val="17"/>
              </w:rPr>
            </w:pPr>
            <w:r w:rsidRPr="005510CA">
              <w:rPr>
                <w:rFonts w:ascii="Arial" w:hAnsi="Arial" w:cs="Arial"/>
                <w:b/>
                <w:bCs/>
                <w:color w:val="56606F"/>
                <w:sz w:val="17"/>
                <w:szCs w:val="17"/>
              </w:rPr>
              <w:t>Modified title only, to distinguish tasks applicable to other respondent group</w:t>
            </w:r>
            <w:r w:rsidRPr="005510CA" w:rsidR="00F0235F">
              <w:rPr>
                <w:rFonts w:ascii="Arial" w:hAnsi="Arial" w:cs="Arial"/>
                <w:b/>
                <w:bCs/>
                <w:color w:val="56606F"/>
                <w:sz w:val="17"/>
                <w:szCs w:val="17"/>
              </w:rPr>
              <w:t xml:space="preserve"> with </w:t>
            </w:r>
            <w:r w:rsidRPr="005510CA" w:rsidR="00F0235F">
              <w:rPr>
                <w:rFonts w:ascii="Arial" w:hAnsi="Arial" w:cs="Arial"/>
                <w:b/>
                <w:bCs/>
                <w:color w:val="56606F"/>
                <w:sz w:val="17"/>
                <w:szCs w:val="17"/>
              </w:rPr>
              <w:t>independent regulatory requirement under 21 CFR 208.24(</w:t>
            </w:r>
            <w:r w:rsidRPr="00735BDE" w:rsidR="00F0235F">
              <w:rPr>
                <w:rFonts w:ascii="Arial" w:hAnsi="Arial" w:cs="Arial"/>
                <w:b/>
                <w:bCs/>
                <w:color w:val="56606F"/>
                <w:sz w:val="17"/>
                <w:szCs w:val="17"/>
                <w:u w:val="single"/>
              </w:rPr>
              <w:t>c</w:t>
            </w:r>
            <w:r w:rsidRPr="005510CA" w:rsidR="00F0235F">
              <w:rPr>
                <w:rFonts w:ascii="Arial" w:hAnsi="Arial" w:cs="Arial"/>
                <w:b/>
                <w:bCs/>
                <w:color w:val="56606F"/>
                <w:sz w:val="17"/>
                <w:szCs w:val="17"/>
              </w:rPr>
              <w:t>).</w:t>
            </w:r>
          </w:p>
        </w:tc>
      </w:tr>
      <w:tr w14:paraId="166C455F" w14:textId="77777777" w:rsidTr="00952944">
        <w:tblPrEx>
          <w:tblW w:w="5538" w:type="pct"/>
          <w:tblInd w:w="-368" w:type="dxa"/>
          <w:shd w:val="clear" w:color="auto" w:fill="FFFFFF"/>
          <w:tblCellMar>
            <w:left w:w="0" w:type="dxa"/>
            <w:right w:w="0" w:type="dxa"/>
          </w:tblCellMar>
          <w:tblLook w:val="04A0"/>
        </w:tblPrEx>
        <w:trPr>
          <w:trHeight w:val="375"/>
        </w:trPr>
        <w:tc>
          <w:tcPr>
            <w:tcW w:w="143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0E736809" w14:textId="77777777">
            <w:pPr>
              <w:widowControl/>
              <w:autoSpaceDE/>
              <w:autoSpaceDN/>
              <w:spacing w:line="225" w:lineRule="atLeast"/>
              <w:rPr>
                <w:rFonts w:ascii="Arial" w:hAnsi="Arial" w:cs="Arial"/>
                <w:color w:val="56606F"/>
                <w:sz w:val="17"/>
                <w:szCs w:val="17"/>
              </w:rPr>
            </w:pPr>
            <w:hyperlink r:id="rId9" w:history="1">
              <w:r w:rsidRPr="003D115E">
                <w:rPr>
                  <w:rFonts w:ascii="Arial" w:hAnsi="Arial" w:cs="Arial"/>
                  <w:color w:val="154A9F"/>
                  <w:sz w:val="17"/>
                  <w:szCs w:val="17"/>
                  <w:u w:val="single"/>
                </w:rPr>
                <w:t>Dispensing Medication Guide to patient</w:t>
              </w:r>
            </w:hyperlink>
          </w:p>
        </w:tc>
        <w:tc>
          <w:tcPr>
            <w:tcW w:w="52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7C6ADF4D" w14:textId="77777777">
            <w:pPr>
              <w:widowControl/>
              <w:autoSpaceDE/>
              <w:autoSpaceDN/>
              <w:spacing w:line="225" w:lineRule="atLeast"/>
              <w:rPr>
                <w:rFonts w:ascii="Arial" w:hAnsi="Arial" w:cs="Arial"/>
                <w:color w:val="56606F"/>
                <w:sz w:val="17"/>
                <w:szCs w:val="17"/>
              </w:rPr>
            </w:pPr>
            <w:r w:rsidRPr="003D115E">
              <w:rPr>
                <w:rFonts w:ascii="Arial" w:hAnsi="Arial" w:cs="Arial"/>
                <w:color w:val="56606F"/>
                <w:sz w:val="17"/>
                <w:szCs w:val="17"/>
              </w:rPr>
              <w:t>Modified</w:t>
            </w:r>
          </w:p>
        </w:tc>
        <w:tc>
          <w:tcPr>
            <w:tcW w:w="65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2B058956" w14:textId="77777777">
            <w:pPr>
              <w:widowControl/>
              <w:autoSpaceDE/>
              <w:autoSpaceDN/>
              <w:spacing w:line="225" w:lineRule="atLeast"/>
              <w:jc w:val="right"/>
              <w:rPr>
                <w:rFonts w:ascii="Arial" w:hAnsi="Arial" w:cs="Arial"/>
                <w:color w:val="56606F"/>
                <w:sz w:val="17"/>
                <w:szCs w:val="17"/>
              </w:rPr>
            </w:pPr>
            <w:r w:rsidRPr="003D115E">
              <w:rPr>
                <w:rFonts w:ascii="Arial" w:hAnsi="Arial" w:cs="Arial"/>
                <w:color w:val="56606F"/>
                <w:sz w:val="17"/>
                <w:szCs w:val="17"/>
              </w:rPr>
              <w:t>506238880</w:t>
            </w:r>
          </w:p>
        </w:tc>
        <w:tc>
          <w:tcPr>
            <w:tcW w:w="52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0E7277BF" w14:textId="77777777">
            <w:pPr>
              <w:widowControl/>
              <w:autoSpaceDE/>
              <w:autoSpaceDN/>
              <w:spacing w:line="225" w:lineRule="atLeast"/>
              <w:jc w:val="right"/>
              <w:rPr>
                <w:rFonts w:ascii="Arial" w:hAnsi="Arial" w:cs="Arial"/>
                <w:color w:val="56606F"/>
                <w:sz w:val="17"/>
                <w:szCs w:val="17"/>
              </w:rPr>
            </w:pPr>
            <w:r w:rsidRPr="003D115E">
              <w:rPr>
                <w:rFonts w:ascii="Arial" w:hAnsi="Arial" w:cs="Arial"/>
                <w:color w:val="56606F"/>
                <w:sz w:val="17"/>
                <w:szCs w:val="17"/>
              </w:rPr>
              <w:t>1366845</w:t>
            </w:r>
          </w:p>
        </w:tc>
        <w:tc>
          <w:tcPr>
            <w:tcW w:w="187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tcPr>
          <w:p w:rsidR="003937BD" w:rsidRPr="003D115E" w:rsidP="0076709B" w14:paraId="0D0BBD5D" w14:textId="739F7F2A">
            <w:pPr>
              <w:widowControl/>
              <w:autoSpaceDE/>
              <w:autoSpaceDN/>
              <w:spacing w:line="225" w:lineRule="atLeast"/>
              <w:rPr>
                <w:rFonts w:ascii="Arial" w:hAnsi="Arial" w:cs="Arial"/>
                <w:b/>
                <w:bCs/>
                <w:color w:val="56606F"/>
                <w:sz w:val="17"/>
                <w:szCs w:val="17"/>
              </w:rPr>
            </w:pPr>
            <w:r w:rsidRPr="005510CA">
              <w:rPr>
                <w:rFonts w:ascii="Arial" w:hAnsi="Arial" w:cs="Arial"/>
                <w:b/>
                <w:bCs/>
                <w:color w:val="56606F"/>
                <w:sz w:val="17"/>
                <w:szCs w:val="17"/>
              </w:rPr>
              <w:t>Modified time per response to reflect</w:t>
            </w:r>
            <w:r w:rsidRPr="005510CA" w:rsidR="002F1A77">
              <w:rPr>
                <w:rFonts w:ascii="Arial" w:hAnsi="Arial" w:cs="Arial"/>
                <w:b/>
                <w:bCs/>
                <w:color w:val="56606F"/>
                <w:sz w:val="17"/>
                <w:szCs w:val="17"/>
              </w:rPr>
              <w:t xml:space="preserve"> adjusted agency estimate</w:t>
            </w:r>
            <w:r w:rsidRPr="005510CA" w:rsidR="00F0235F">
              <w:rPr>
                <w:rFonts w:ascii="Arial" w:hAnsi="Arial" w:cs="Arial"/>
                <w:b/>
                <w:bCs/>
                <w:color w:val="56606F"/>
                <w:sz w:val="17"/>
                <w:szCs w:val="17"/>
              </w:rPr>
              <w:t>, and to reflect independent requirement applicable</w:t>
            </w:r>
            <w:r w:rsidRPr="005510CA" w:rsidR="00FE1515">
              <w:rPr>
                <w:rFonts w:ascii="Arial" w:hAnsi="Arial" w:cs="Arial"/>
                <w:b/>
                <w:bCs/>
                <w:color w:val="56606F"/>
                <w:sz w:val="17"/>
                <w:szCs w:val="17"/>
              </w:rPr>
              <w:t xml:space="preserve"> under 21 CFR 208.24(</w:t>
            </w:r>
            <w:r w:rsidRPr="00735BDE" w:rsidR="00FE1515">
              <w:rPr>
                <w:rFonts w:ascii="Arial" w:hAnsi="Arial" w:cs="Arial"/>
                <w:b/>
                <w:bCs/>
                <w:color w:val="56606F"/>
                <w:sz w:val="17"/>
                <w:szCs w:val="17"/>
                <w:u w:val="single"/>
              </w:rPr>
              <w:t>e</w:t>
            </w:r>
            <w:r w:rsidRPr="005510CA" w:rsidR="00FE1515">
              <w:rPr>
                <w:rFonts w:ascii="Arial" w:hAnsi="Arial" w:cs="Arial"/>
                <w:b/>
                <w:bCs/>
                <w:color w:val="56606F"/>
                <w:sz w:val="17"/>
                <w:szCs w:val="17"/>
              </w:rPr>
              <w:t>)</w:t>
            </w:r>
            <w:r w:rsidR="001324CA">
              <w:rPr>
                <w:rFonts w:ascii="Arial" w:hAnsi="Arial" w:cs="Arial"/>
                <w:b/>
                <w:bCs/>
                <w:color w:val="56606F"/>
                <w:sz w:val="17"/>
                <w:szCs w:val="17"/>
              </w:rPr>
              <w:t>; significant decrease to annual hours.</w:t>
            </w:r>
          </w:p>
        </w:tc>
      </w:tr>
      <w:tr w14:paraId="68B55545" w14:textId="77777777" w:rsidTr="00952944">
        <w:tblPrEx>
          <w:tblW w:w="5538" w:type="pct"/>
          <w:tblInd w:w="-368" w:type="dxa"/>
          <w:shd w:val="clear" w:color="auto" w:fill="FFFFFF"/>
          <w:tblCellMar>
            <w:left w:w="0" w:type="dxa"/>
            <w:right w:w="0" w:type="dxa"/>
          </w:tblCellMar>
          <w:tblLook w:val="04A0"/>
        </w:tblPrEx>
        <w:trPr>
          <w:trHeight w:val="375"/>
        </w:trPr>
        <w:tc>
          <w:tcPr>
            <w:tcW w:w="143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31AB3E41" w14:textId="77777777">
            <w:pPr>
              <w:widowControl/>
              <w:autoSpaceDE/>
              <w:autoSpaceDN/>
              <w:spacing w:line="225" w:lineRule="atLeast"/>
              <w:rPr>
                <w:rFonts w:ascii="Arial" w:hAnsi="Arial" w:cs="Arial"/>
                <w:color w:val="56606F"/>
                <w:sz w:val="17"/>
                <w:szCs w:val="17"/>
              </w:rPr>
            </w:pPr>
            <w:hyperlink r:id="rId10" w:history="1">
              <w:r w:rsidRPr="003D115E">
                <w:rPr>
                  <w:rFonts w:ascii="Arial" w:hAnsi="Arial" w:cs="Arial"/>
                  <w:color w:val="154A9F"/>
                  <w:sz w:val="17"/>
                  <w:szCs w:val="17"/>
                  <w:u w:val="single"/>
                </w:rPr>
                <w:t>Mfr. provides PMG or means to produce to distributers &amp; authorized dispensers</w:t>
              </w:r>
            </w:hyperlink>
          </w:p>
        </w:tc>
        <w:tc>
          <w:tcPr>
            <w:tcW w:w="52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11802074" w14:textId="77777777">
            <w:pPr>
              <w:widowControl/>
              <w:autoSpaceDE/>
              <w:autoSpaceDN/>
              <w:spacing w:line="225" w:lineRule="atLeast"/>
              <w:rPr>
                <w:rFonts w:ascii="Arial" w:hAnsi="Arial" w:cs="Arial"/>
                <w:color w:val="56606F"/>
                <w:sz w:val="17"/>
                <w:szCs w:val="17"/>
              </w:rPr>
            </w:pPr>
            <w:r w:rsidRPr="003D115E">
              <w:rPr>
                <w:rFonts w:ascii="Arial" w:hAnsi="Arial" w:cs="Arial"/>
                <w:color w:val="56606F"/>
                <w:sz w:val="17"/>
                <w:szCs w:val="17"/>
              </w:rPr>
              <w:t>New</w:t>
            </w:r>
          </w:p>
        </w:tc>
        <w:tc>
          <w:tcPr>
            <w:tcW w:w="65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7B69B7A3" w14:textId="77777777">
            <w:pPr>
              <w:widowControl/>
              <w:autoSpaceDE/>
              <w:autoSpaceDN/>
              <w:spacing w:line="225" w:lineRule="atLeast"/>
              <w:jc w:val="right"/>
              <w:rPr>
                <w:rFonts w:ascii="Arial" w:hAnsi="Arial" w:cs="Arial"/>
                <w:color w:val="56606F"/>
                <w:sz w:val="17"/>
                <w:szCs w:val="17"/>
              </w:rPr>
            </w:pPr>
            <w:r w:rsidRPr="003D115E">
              <w:rPr>
                <w:rFonts w:ascii="Arial" w:hAnsi="Arial" w:cs="Arial"/>
                <w:color w:val="56606F"/>
                <w:sz w:val="17"/>
                <w:szCs w:val="17"/>
              </w:rPr>
              <w:t>630000</w:t>
            </w:r>
          </w:p>
        </w:tc>
        <w:tc>
          <w:tcPr>
            <w:tcW w:w="52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hideMark/>
          </w:tcPr>
          <w:p w:rsidR="003937BD" w:rsidRPr="003D115E" w:rsidP="0076709B" w14:paraId="21B6DC95" w14:textId="77777777">
            <w:pPr>
              <w:widowControl/>
              <w:autoSpaceDE/>
              <w:autoSpaceDN/>
              <w:spacing w:line="225" w:lineRule="atLeast"/>
              <w:jc w:val="right"/>
              <w:rPr>
                <w:rFonts w:ascii="Arial" w:hAnsi="Arial" w:cs="Arial"/>
                <w:color w:val="56606F"/>
                <w:sz w:val="17"/>
                <w:szCs w:val="17"/>
              </w:rPr>
            </w:pPr>
            <w:r w:rsidRPr="003D115E">
              <w:rPr>
                <w:rFonts w:ascii="Arial" w:hAnsi="Arial" w:cs="Arial"/>
                <w:color w:val="56606F"/>
                <w:sz w:val="17"/>
                <w:szCs w:val="17"/>
              </w:rPr>
              <w:t>787500</w:t>
            </w:r>
          </w:p>
        </w:tc>
        <w:tc>
          <w:tcPr>
            <w:tcW w:w="187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tcPr>
          <w:p w:rsidR="003937BD" w:rsidRPr="003D115E" w:rsidP="0076709B" w14:paraId="619D4036" w14:textId="7F2E3F33">
            <w:pPr>
              <w:widowControl/>
              <w:autoSpaceDE/>
              <w:autoSpaceDN/>
              <w:spacing w:line="225" w:lineRule="atLeast"/>
              <w:rPr>
                <w:rFonts w:ascii="Arial" w:hAnsi="Arial" w:cs="Arial"/>
                <w:b/>
                <w:bCs/>
                <w:color w:val="56606F"/>
                <w:sz w:val="17"/>
                <w:szCs w:val="17"/>
              </w:rPr>
            </w:pPr>
            <w:r w:rsidRPr="005510CA">
              <w:rPr>
                <w:rFonts w:ascii="Arial" w:hAnsi="Arial" w:cs="Arial"/>
                <w:b/>
                <w:bCs/>
                <w:color w:val="56606F"/>
                <w:sz w:val="17"/>
                <w:szCs w:val="17"/>
              </w:rPr>
              <w:t xml:space="preserve">Added </w:t>
            </w:r>
            <w:r w:rsidR="00AE29F8">
              <w:rPr>
                <w:rFonts w:ascii="Arial" w:hAnsi="Arial" w:cs="Arial"/>
                <w:b/>
                <w:bCs/>
                <w:color w:val="56606F"/>
                <w:sz w:val="17"/>
                <w:szCs w:val="17"/>
              </w:rPr>
              <w:t xml:space="preserve">IC element </w:t>
            </w:r>
            <w:r w:rsidRPr="005510CA">
              <w:rPr>
                <w:rFonts w:ascii="Arial" w:hAnsi="Arial" w:cs="Arial"/>
                <w:b/>
                <w:bCs/>
                <w:color w:val="56606F"/>
                <w:sz w:val="17"/>
                <w:szCs w:val="17"/>
              </w:rPr>
              <w:t xml:space="preserve">to </w:t>
            </w:r>
            <w:r w:rsidRPr="005510CA" w:rsidR="00FE1515">
              <w:rPr>
                <w:rFonts w:ascii="Arial" w:hAnsi="Arial" w:cs="Arial"/>
                <w:b/>
                <w:bCs/>
                <w:color w:val="56606F"/>
                <w:sz w:val="17"/>
                <w:szCs w:val="17"/>
              </w:rPr>
              <w:t xml:space="preserve">account for burden applicable to </w:t>
            </w:r>
            <w:r w:rsidRPr="005510CA" w:rsidR="005510CA">
              <w:rPr>
                <w:rFonts w:ascii="Arial" w:hAnsi="Arial" w:cs="Arial"/>
                <w:b/>
                <w:bCs/>
                <w:color w:val="56606F"/>
                <w:sz w:val="17"/>
                <w:szCs w:val="17"/>
              </w:rPr>
              <w:t>discrete respondent group under 208.24(</w:t>
            </w:r>
            <w:r w:rsidRPr="00735BDE" w:rsidR="005510CA">
              <w:rPr>
                <w:rFonts w:ascii="Arial" w:hAnsi="Arial" w:cs="Arial"/>
                <w:b/>
                <w:bCs/>
                <w:color w:val="56606F"/>
                <w:sz w:val="17"/>
                <w:szCs w:val="17"/>
                <w:u w:val="single"/>
              </w:rPr>
              <w:t>a</w:t>
            </w:r>
            <w:r w:rsidRPr="005510CA" w:rsidR="005510CA">
              <w:rPr>
                <w:rFonts w:ascii="Arial" w:hAnsi="Arial" w:cs="Arial"/>
                <w:b/>
                <w:bCs/>
                <w:color w:val="56606F"/>
                <w:sz w:val="17"/>
                <w:szCs w:val="17"/>
              </w:rPr>
              <w:t>)</w:t>
            </w:r>
            <w:r w:rsidR="004D7F51">
              <w:rPr>
                <w:rFonts w:ascii="Arial" w:hAnsi="Arial" w:cs="Arial"/>
                <w:b/>
                <w:bCs/>
                <w:color w:val="56606F"/>
                <w:sz w:val="17"/>
                <w:szCs w:val="17"/>
              </w:rPr>
              <w:t>; increases annual responses.</w:t>
            </w:r>
          </w:p>
        </w:tc>
      </w:tr>
      <w:tr w14:paraId="0DDDF248" w14:textId="77777777" w:rsidTr="00952944">
        <w:tblPrEx>
          <w:tblW w:w="5538" w:type="pct"/>
          <w:tblInd w:w="-368" w:type="dxa"/>
          <w:shd w:val="clear" w:color="auto" w:fill="FFFFFF"/>
          <w:tblCellMar>
            <w:left w:w="0" w:type="dxa"/>
            <w:right w:w="0" w:type="dxa"/>
          </w:tblCellMar>
          <w:tblLook w:val="04A0"/>
        </w:tblPrEx>
        <w:trPr>
          <w:trHeight w:val="375"/>
        </w:trPr>
        <w:tc>
          <w:tcPr>
            <w:tcW w:w="1435"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tcPr>
          <w:p w:rsidR="003937BD" w:rsidRPr="003D115E" w:rsidP="0076709B" w14:paraId="7BBB96A4" w14:textId="3E86BA35">
            <w:pPr>
              <w:widowControl/>
              <w:autoSpaceDE/>
              <w:autoSpaceDN/>
              <w:spacing w:line="225" w:lineRule="atLeast"/>
              <w:rPr>
                <w:rFonts w:ascii="Arial" w:hAnsi="Arial" w:cs="Arial"/>
                <w:color w:val="56606F"/>
                <w:sz w:val="17"/>
                <w:szCs w:val="17"/>
              </w:rPr>
            </w:pPr>
            <w:r>
              <w:rPr>
                <w:rFonts w:ascii="Arial" w:hAnsi="Arial" w:cs="Arial"/>
                <w:color w:val="56606F"/>
                <w:sz w:val="17"/>
                <w:szCs w:val="17"/>
              </w:rPr>
              <w:t>TOTAL</w:t>
            </w:r>
          </w:p>
        </w:tc>
        <w:tc>
          <w:tcPr>
            <w:tcW w:w="52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tcPr>
          <w:p w:rsidR="003937BD" w:rsidRPr="003D115E" w:rsidP="0076709B" w14:paraId="668EFED2" w14:textId="77777777">
            <w:pPr>
              <w:widowControl/>
              <w:autoSpaceDE/>
              <w:autoSpaceDN/>
              <w:spacing w:line="225" w:lineRule="atLeast"/>
              <w:rPr>
                <w:rFonts w:ascii="Arial" w:hAnsi="Arial" w:cs="Arial"/>
                <w:color w:val="56606F"/>
                <w:sz w:val="17"/>
                <w:szCs w:val="17"/>
              </w:rPr>
            </w:pPr>
          </w:p>
        </w:tc>
        <w:tc>
          <w:tcPr>
            <w:tcW w:w="652"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tcPr>
          <w:p w:rsidR="003937BD" w:rsidRPr="003D115E" w:rsidP="0076709B" w14:paraId="16D2B833" w14:textId="2900FE39">
            <w:pPr>
              <w:widowControl/>
              <w:autoSpaceDE/>
              <w:autoSpaceDN/>
              <w:spacing w:line="225" w:lineRule="atLeast"/>
              <w:jc w:val="right"/>
              <w:rPr>
                <w:rFonts w:ascii="Arial" w:hAnsi="Arial" w:cs="Arial"/>
                <w:color w:val="56606F"/>
                <w:sz w:val="17"/>
                <w:szCs w:val="17"/>
              </w:rPr>
            </w:pPr>
            <w:r>
              <w:rPr>
                <w:rFonts w:ascii="Arial" w:hAnsi="Arial" w:cs="Arial"/>
                <w:color w:val="56606F"/>
                <w:sz w:val="17"/>
                <w:szCs w:val="17"/>
              </w:rPr>
              <w:fldChar w:fldCharType="begin"/>
            </w:r>
            <w:r>
              <w:rPr>
                <w:rFonts w:ascii="Arial" w:hAnsi="Arial" w:cs="Arial"/>
                <w:color w:val="56606F"/>
                <w:sz w:val="17"/>
                <w:szCs w:val="17"/>
              </w:rPr>
              <w:instrText xml:space="preserve"> =SUM(ABOVE) </w:instrText>
            </w:r>
            <w:r>
              <w:rPr>
                <w:rFonts w:ascii="Arial" w:hAnsi="Arial" w:cs="Arial"/>
                <w:color w:val="56606F"/>
                <w:sz w:val="17"/>
                <w:szCs w:val="17"/>
              </w:rPr>
              <w:fldChar w:fldCharType="separate"/>
            </w:r>
            <w:r>
              <w:rPr>
                <w:rFonts w:ascii="Arial" w:hAnsi="Arial" w:cs="Arial"/>
                <w:noProof/>
                <w:color w:val="56606F"/>
                <w:sz w:val="17"/>
                <w:szCs w:val="17"/>
              </w:rPr>
              <w:t>508587951</w:t>
            </w:r>
            <w:r>
              <w:rPr>
                <w:rFonts w:ascii="Arial" w:hAnsi="Arial" w:cs="Arial"/>
                <w:color w:val="56606F"/>
                <w:sz w:val="17"/>
                <w:szCs w:val="17"/>
              </w:rPr>
              <w:fldChar w:fldCharType="end"/>
            </w:r>
          </w:p>
        </w:tc>
        <w:tc>
          <w:tcPr>
            <w:tcW w:w="520"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tcPr>
          <w:p w:rsidR="003937BD" w:rsidRPr="003D115E" w:rsidP="0076709B" w14:paraId="2CF1444F" w14:textId="4C905678">
            <w:pPr>
              <w:widowControl/>
              <w:autoSpaceDE/>
              <w:autoSpaceDN/>
              <w:spacing w:line="225" w:lineRule="atLeast"/>
              <w:jc w:val="right"/>
              <w:rPr>
                <w:rFonts w:ascii="Arial" w:hAnsi="Arial" w:cs="Arial"/>
                <w:color w:val="56606F"/>
                <w:sz w:val="17"/>
                <w:szCs w:val="17"/>
              </w:rPr>
            </w:pPr>
            <w:r>
              <w:rPr>
                <w:rFonts w:ascii="Arial" w:hAnsi="Arial" w:cs="Arial"/>
                <w:color w:val="56606F"/>
                <w:sz w:val="17"/>
                <w:szCs w:val="17"/>
              </w:rPr>
              <w:fldChar w:fldCharType="begin"/>
            </w:r>
            <w:r>
              <w:rPr>
                <w:rFonts w:ascii="Arial" w:hAnsi="Arial" w:cs="Arial"/>
                <w:color w:val="56606F"/>
                <w:sz w:val="17"/>
                <w:szCs w:val="17"/>
              </w:rPr>
              <w:instrText xml:space="preserve"> =SUM(ABOVE) </w:instrText>
            </w:r>
            <w:r>
              <w:rPr>
                <w:rFonts w:ascii="Arial" w:hAnsi="Arial" w:cs="Arial"/>
                <w:color w:val="56606F"/>
                <w:sz w:val="17"/>
                <w:szCs w:val="17"/>
              </w:rPr>
              <w:fldChar w:fldCharType="separate"/>
            </w:r>
            <w:r>
              <w:rPr>
                <w:rFonts w:ascii="Arial" w:hAnsi="Arial" w:cs="Arial"/>
                <w:noProof/>
                <w:color w:val="56606F"/>
                <w:sz w:val="17"/>
                <w:szCs w:val="17"/>
              </w:rPr>
              <w:t>4325499</w:t>
            </w:r>
            <w:r>
              <w:rPr>
                <w:rFonts w:ascii="Arial" w:hAnsi="Arial" w:cs="Arial"/>
                <w:color w:val="56606F"/>
                <w:sz w:val="17"/>
                <w:szCs w:val="17"/>
              </w:rPr>
              <w:fldChar w:fldCharType="end"/>
            </w:r>
          </w:p>
        </w:tc>
        <w:tc>
          <w:tcPr>
            <w:tcW w:w="1871" w:type="pct"/>
            <w:tcBorders>
              <w:top w:val="outset" w:sz="6" w:space="0" w:color="C5DBEC"/>
              <w:left w:val="outset" w:sz="6" w:space="0" w:color="C5DBEC"/>
              <w:bottom w:val="outset" w:sz="6" w:space="0" w:color="C5DBEC"/>
              <w:right w:val="single" w:sz="6" w:space="0" w:color="C5DBEC"/>
            </w:tcBorders>
            <w:shd w:val="clear" w:color="auto" w:fill="FFFFFF"/>
            <w:tcMar>
              <w:top w:w="60" w:type="dxa"/>
              <w:left w:w="60" w:type="dxa"/>
              <w:bottom w:w="60" w:type="dxa"/>
              <w:right w:w="60" w:type="dxa"/>
            </w:tcMar>
          </w:tcPr>
          <w:p w:rsidR="003937BD" w:rsidRPr="003D115E" w:rsidP="0076709B" w14:paraId="1DD4F594" w14:textId="77777777">
            <w:pPr>
              <w:widowControl/>
              <w:autoSpaceDE/>
              <w:autoSpaceDN/>
              <w:spacing w:line="225" w:lineRule="atLeast"/>
              <w:rPr>
                <w:rFonts w:ascii="Arial" w:hAnsi="Arial" w:cs="Arial"/>
                <w:color w:val="56606F"/>
                <w:sz w:val="17"/>
                <w:szCs w:val="17"/>
              </w:rPr>
            </w:pPr>
          </w:p>
        </w:tc>
      </w:tr>
    </w:tbl>
    <w:p w:rsidR="00735BDE" w:rsidP="0076709B" w14:paraId="46787183" w14:textId="77777777">
      <w:pPr>
        <w:pStyle w:val="BodyText"/>
      </w:pPr>
    </w:p>
    <w:p w:rsidR="00A4007D" w:rsidP="0076709B" w14:paraId="396DCFDB" w14:textId="77777777">
      <w:pPr>
        <w:pStyle w:val="BodyText"/>
      </w:pPr>
      <w:r>
        <w:t>P</w:t>
      </w:r>
      <w:r w:rsidRPr="003E62E0">
        <w:t>reviously</w:t>
      </w:r>
      <w:r>
        <w:t xml:space="preserve">, FDA </w:t>
      </w:r>
      <w:r w:rsidRPr="003E62E0">
        <w:t xml:space="preserve">calculated burden we believe attributable to requirements in 21 CFR 208.24 and applied our assessment to </w:t>
      </w:r>
      <w:r>
        <w:t xml:space="preserve">manufacturers, </w:t>
      </w:r>
      <w:r w:rsidRPr="003E62E0">
        <w:t>distributors</w:t>
      </w:r>
      <w:r>
        <w:t>,</w:t>
      </w:r>
      <w:r w:rsidRPr="003E62E0">
        <w:t xml:space="preserve"> and authorized dispensers collectively.  Upon reexamination of the information collection requirements applicable to 21 CFR part 208.24, we have separated burden to align with tasks that apply to manufacturers, distributors, and authorized dispensers, respectively, </w:t>
      </w:r>
      <w:r>
        <w:t xml:space="preserve">as reflected </w:t>
      </w:r>
      <w:r w:rsidRPr="003E62E0">
        <w:t>in table 2</w:t>
      </w:r>
      <w:r>
        <w:t xml:space="preserve"> at Question 12</w:t>
      </w:r>
      <w:r>
        <w:t xml:space="preserve"> of this supporting statement, and in our 30-day publication of July 1, 2026</w:t>
      </w:r>
      <w:r w:rsidRPr="003E62E0">
        <w:t xml:space="preserve">.  </w:t>
      </w:r>
    </w:p>
    <w:p w:rsidR="00A4007D" w:rsidP="0076709B" w14:paraId="58EF6574" w14:textId="77777777">
      <w:pPr>
        <w:pStyle w:val="BodyText"/>
      </w:pPr>
    </w:p>
    <w:p w:rsidR="00735BDE" w:rsidP="0076709B" w14:paraId="2A133B92" w14:textId="7E02B4FB">
      <w:pPr>
        <w:pStyle w:val="BodyText"/>
      </w:pPr>
      <w:r>
        <w:t xml:space="preserve">Specifically, </w:t>
      </w:r>
      <w:r w:rsidRPr="00312336">
        <w:t xml:space="preserve">FDA originally proffered 5 seconds in its proposed rule of August 24, 1995 (60 FR 44182) </w:t>
      </w:r>
      <w:r>
        <w:t>for the task of dispensing the Medication Guide</w:t>
      </w:r>
      <w:r w:rsidR="00A4007D">
        <w:t>s to patients</w:t>
      </w:r>
      <w:r>
        <w:t xml:space="preserve">, </w:t>
      </w:r>
      <w:r w:rsidRPr="00312336">
        <w:t>inviting comment under the Paperwork Reduction Act of 1980.  In our final rule on December 1, 1998 (63 FR 66378), after enactment of the Paperwork Reduction Act of 1995, FDA again estimated 5 seconds of burden for the task of dispensing a Medication Guide to a patient and invited public comment.  No comments were posted to the rulemaking docket (Legacy Docket No. 93-0371; RIN 0910-AA37) regarding the 5-second estimate.</w:t>
      </w:r>
    </w:p>
    <w:p w:rsidR="00735BDE" w:rsidP="0076709B" w14:paraId="3EE12250" w14:textId="77777777">
      <w:pPr>
        <w:pStyle w:val="BodyText"/>
      </w:pPr>
    </w:p>
    <w:p w:rsidR="008248C2" w:rsidP="0076709B" w14:paraId="514F464F" w14:textId="7AEE7439">
      <w:pPr>
        <w:pStyle w:val="BodyText"/>
        <w:rPr>
          <w:iCs/>
        </w:rPr>
      </w:pPr>
      <w:r>
        <w:t>U</w:t>
      </w:r>
      <w:r w:rsidRPr="008A3E9B">
        <w:rPr>
          <w:iCs/>
        </w:rPr>
        <w:t xml:space="preserve">pon </w:t>
      </w:r>
      <w:r w:rsidR="00A4007D">
        <w:rPr>
          <w:iCs/>
        </w:rPr>
        <w:t xml:space="preserve">further </w:t>
      </w:r>
      <w:r w:rsidRPr="008A3E9B">
        <w:rPr>
          <w:iCs/>
        </w:rPr>
        <w:t>review</w:t>
      </w:r>
      <w:r w:rsidR="00A4007D">
        <w:rPr>
          <w:iCs/>
        </w:rPr>
        <w:t>,</w:t>
      </w:r>
      <w:r w:rsidRPr="008A3E9B">
        <w:rPr>
          <w:iCs/>
        </w:rPr>
        <w:t xml:space="preserve"> we find that in 2008</w:t>
      </w:r>
      <w:r w:rsidR="004D7F51">
        <w:rPr>
          <w:iCs/>
        </w:rPr>
        <w:t xml:space="preserve"> we</w:t>
      </w:r>
      <w:r w:rsidRPr="008A3E9B">
        <w:rPr>
          <w:iCs/>
        </w:rPr>
        <w:t xml:space="preserve"> revised </w:t>
      </w:r>
      <w:r w:rsidR="004D7F51">
        <w:rPr>
          <w:iCs/>
        </w:rPr>
        <w:t xml:space="preserve">our </w:t>
      </w:r>
      <w:r w:rsidRPr="008A3E9B">
        <w:rPr>
          <w:iCs/>
        </w:rPr>
        <w:t xml:space="preserve">original estimate </w:t>
      </w:r>
      <w:r>
        <w:rPr>
          <w:iCs/>
        </w:rPr>
        <w:t xml:space="preserve">for dispensing the medication guide </w:t>
      </w:r>
      <w:r w:rsidRPr="008A3E9B">
        <w:rPr>
          <w:iCs/>
        </w:rPr>
        <w:t xml:space="preserve">from 5 seconds to 3 minutes based on a public comment that the estimate had remained unchanged since 1998, “while the </w:t>
      </w:r>
      <w:r w:rsidRPr="008A3E9B">
        <w:rPr>
          <w:b/>
          <w:bCs/>
          <w:iCs/>
        </w:rPr>
        <w:t>program</w:t>
      </w:r>
      <w:r w:rsidRPr="008A3E9B">
        <w:rPr>
          <w:iCs/>
        </w:rPr>
        <w:t xml:space="preserve"> continue[d] to expand in an unchecked manner,” (emphasis added), and that FDA’s estimate failed to consider “</w:t>
      </w:r>
      <w:r w:rsidRPr="008A3E9B">
        <w:rPr>
          <w:b/>
          <w:bCs/>
          <w:iCs/>
        </w:rPr>
        <w:t>realities</w:t>
      </w:r>
      <w:r w:rsidRPr="008A3E9B">
        <w:rPr>
          <w:iCs/>
        </w:rPr>
        <w:t xml:space="preserve"> pharmacists face in complying with the program” (emphasis added).  See Docket No. FDA-2008-N-0162.  We </w:t>
      </w:r>
      <w:r>
        <w:rPr>
          <w:iCs/>
        </w:rPr>
        <w:t xml:space="preserve">have now </w:t>
      </w:r>
      <w:r w:rsidRPr="008A3E9B">
        <w:rPr>
          <w:iCs/>
        </w:rPr>
        <w:t>adjust</w:t>
      </w:r>
      <w:r>
        <w:rPr>
          <w:iCs/>
        </w:rPr>
        <w:t>ed</w:t>
      </w:r>
      <w:r w:rsidRPr="008A3E9B">
        <w:rPr>
          <w:iCs/>
        </w:rPr>
        <w:t xml:space="preserve"> that estimate to 10 seconds</w:t>
      </w:r>
      <w:r w:rsidR="004D7F51">
        <w:rPr>
          <w:iCs/>
        </w:rPr>
        <w:t xml:space="preserve"> and believe this is </w:t>
      </w:r>
      <w:r w:rsidRPr="008F390C">
        <w:rPr>
          <w:iCs/>
        </w:rPr>
        <w:t>consistent with current submission figures and the specific tasks required in 21 CFR part 208</w:t>
      </w:r>
      <w:r w:rsidR="004D7F51">
        <w:rPr>
          <w:iCs/>
        </w:rPr>
        <w:t>, noting the following:</w:t>
      </w:r>
    </w:p>
    <w:p w:rsidR="004D7F51" w:rsidRPr="008248C2" w:rsidP="0076709B" w14:paraId="38C5B2FA" w14:textId="77777777">
      <w:pPr>
        <w:pStyle w:val="BodyText"/>
      </w:pPr>
    </w:p>
    <w:p w:rsidR="008248C2" w:rsidRPr="008248C2" w:rsidP="0076709B" w14:paraId="6949183E" w14:textId="77777777">
      <w:pPr>
        <w:pStyle w:val="BodyText"/>
        <w:numPr>
          <w:ilvl w:val="0"/>
          <w:numId w:val="2"/>
        </w:numPr>
        <w:spacing w:before="90"/>
        <w:ind w:right="187"/>
      </w:pPr>
      <w:r w:rsidRPr="008248C2">
        <w:t>As required by the PRA of 1995, FDA has confined its estimate of burden attributable to that we believe is required by 21 CFR 208.24(e), which entails the task of dispensing the Medication Guide.  Effort that may be attributable to counseling patients, dispensing literature not required by 21 CFR 208.24(e), and to patients reading the Medication Guide is not included in our estimate.</w:t>
      </w:r>
    </w:p>
    <w:p w:rsidR="008248C2" w:rsidRPr="008248C2" w:rsidP="0076709B" w14:paraId="3433F0AB" w14:textId="77777777">
      <w:pPr>
        <w:pStyle w:val="BodyText"/>
        <w:numPr>
          <w:ilvl w:val="0"/>
          <w:numId w:val="2"/>
        </w:numPr>
        <w:spacing w:before="90"/>
        <w:ind w:right="187"/>
      </w:pPr>
      <w:r w:rsidRPr="008248C2">
        <w:t xml:space="preserve">As provided for by the PRA of 1995, FDA believes that tasks that may be associated with dispensing a Medication Guide, such as counseling patients, dispensing literature not required by our regulations, and recordkeeping that may be required by other authorities such as State licensing agents and the Drug Enforcement Administration, to be usual and customary as part of the practice of pharmacy.  Therefore, we estimate no </w:t>
      </w:r>
      <w:r w:rsidRPr="008248C2">
        <w:t>burden for efforts relating to tasks that fall beyond the scope of 21 CFR part 208.</w:t>
      </w:r>
    </w:p>
    <w:p w:rsidR="00AD5DF2" w:rsidP="0076709B" w14:paraId="3BB0AAC6" w14:textId="767F42C8">
      <w:pPr>
        <w:pStyle w:val="BodyText"/>
        <w:numPr>
          <w:ilvl w:val="0"/>
          <w:numId w:val="2"/>
        </w:numPr>
        <w:spacing w:before="90"/>
        <w:ind w:right="187"/>
      </w:pPr>
      <w:r>
        <w:t xml:space="preserve">Consistent with the PRA, </w:t>
      </w:r>
      <w:r w:rsidRPr="008248C2" w:rsidR="008248C2">
        <w:t>FDA does account for various tasks that may be performed by authorized dispensers in its active collection inventory including OMB control numbers 0910-0800 (Human Drug Compounding Under Sections 503A and 503B of the Federal Food, Drug, and Cosmetic Act); 0910-0806 (Pharmaceutical Distribution Supply Chain); and 0910-0858 (Human Drug Compounding, Repackaging, and Related Activities Regarding Sections 503A and 503B of the Federal Food, Drug, and Cosmetic Act)</w:t>
      </w:r>
      <w:r w:rsidR="00DE5F09">
        <w:t>.</w:t>
      </w:r>
    </w:p>
    <w:p w:rsidR="00DE5F09" w:rsidP="0076709B" w14:paraId="1275FF54" w14:textId="77777777">
      <w:pPr>
        <w:pStyle w:val="BodyText"/>
        <w:spacing w:before="90"/>
        <w:ind w:left="720" w:right="187"/>
      </w:pPr>
    </w:p>
    <w:p w:rsidR="000C108B" w:rsidP="0076709B" w14:paraId="03943F88" w14:textId="77777777">
      <w:pPr>
        <w:pStyle w:val="ListParagraph"/>
        <w:numPr>
          <w:ilvl w:val="0"/>
          <w:numId w:val="1"/>
        </w:numPr>
        <w:spacing w:before="60"/>
        <w:ind w:left="0" w:hanging="420"/>
        <w:rPr>
          <w:sz w:val="24"/>
          <w:u w:val="none"/>
        </w:rPr>
      </w:pPr>
      <w:r>
        <w:rPr>
          <w:sz w:val="24"/>
        </w:rPr>
        <w:t>Plans</w:t>
      </w:r>
      <w:r>
        <w:rPr>
          <w:spacing w:val="-5"/>
          <w:sz w:val="24"/>
        </w:rPr>
        <w:t xml:space="preserve"> </w:t>
      </w:r>
      <w:r>
        <w:rPr>
          <w:sz w:val="24"/>
        </w:rPr>
        <w:t>for</w:t>
      </w:r>
      <w:r>
        <w:rPr>
          <w:spacing w:val="-1"/>
          <w:sz w:val="24"/>
        </w:rPr>
        <w:t xml:space="preserve"> </w:t>
      </w:r>
      <w:r>
        <w:rPr>
          <w:sz w:val="24"/>
        </w:rPr>
        <w:t>Tabulation</w:t>
      </w:r>
      <w:r>
        <w:rPr>
          <w:spacing w:val="-2"/>
          <w:sz w:val="24"/>
        </w:rPr>
        <w:t xml:space="preserve"> </w:t>
      </w:r>
      <w:r>
        <w:rPr>
          <w:sz w:val="24"/>
        </w:rPr>
        <w:t>and</w:t>
      </w:r>
      <w:r>
        <w:rPr>
          <w:spacing w:val="-1"/>
          <w:sz w:val="24"/>
        </w:rPr>
        <w:t xml:space="preserve"> </w:t>
      </w:r>
      <w:r>
        <w:rPr>
          <w:sz w:val="24"/>
        </w:rPr>
        <w:t>Publication</w:t>
      </w:r>
      <w:r>
        <w:rPr>
          <w:spacing w:val="-1"/>
          <w:sz w:val="24"/>
        </w:rPr>
        <w:t xml:space="preserve"> </w:t>
      </w:r>
      <w:r>
        <w:rPr>
          <w:sz w:val="24"/>
        </w:rPr>
        <w:t>and</w:t>
      </w:r>
      <w:r>
        <w:rPr>
          <w:spacing w:val="-2"/>
          <w:sz w:val="24"/>
        </w:rPr>
        <w:t xml:space="preserve"> </w:t>
      </w:r>
      <w:r>
        <w:rPr>
          <w:sz w:val="24"/>
        </w:rPr>
        <w:t>Project</w:t>
      </w:r>
      <w:r>
        <w:rPr>
          <w:spacing w:val="-1"/>
          <w:sz w:val="24"/>
        </w:rPr>
        <w:t xml:space="preserve"> </w:t>
      </w:r>
      <w:r>
        <w:rPr>
          <w:sz w:val="24"/>
        </w:rPr>
        <w:t>Time</w:t>
      </w:r>
      <w:r>
        <w:rPr>
          <w:spacing w:val="-1"/>
          <w:sz w:val="24"/>
        </w:rPr>
        <w:t xml:space="preserve"> </w:t>
      </w:r>
      <w:r>
        <w:rPr>
          <w:spacing w:val="-2"/>
          <w:sz w:val="24"/>
        </w:rPr>
        <w:t>Schedule</w:t>
      </w:r>
    </w:p>
    <w:p w:rsidR="000C108B" w:rsidP="0076709B" w14:paraId="6955F076" w14:textId="77777777">
      <w:pPr>
        <w:pStyle w:val="BodyText"/>
        <w:spacing w:before="2"/>
        <w:rPr>
          <w:sz w:val="16"/>
        </w:rPr>
      </w:pPr>
    </w:p>
    <w:p w:rsidR="000C108B" w:rsidP="0076709B" w14:paraId="20F6D794" w14:textId="77777777">
      <w:pPr>
        <w:pStyle w:val="BodyText"/>
        <w:spacing w:before="90"/>
      </w:pPr>
      <w:r>
        <w:t>FDA</w:t>
      </w:r>
      <w:r>
        <w:rPr>
          <w:spacing w:val="-2"/>
        </w:rPr>
        <w:t xml:space="preserve"> </w:t>
      </w:r>
      <w:r>
        <w:t>does</w:t>
      </w:r>
      <w:r>
        <w:rPr>
          <w:spacing w:val="-1"/>
        </w:rPr>
        <w:t xml:space="preserve"> </w:t>
      </w:r>
      <w:r>
        <w:t>not intend</w:t>
      </w:r>
      <w:r>
        <w:rPr>
          <w:spacing w:val="-1"/>
        </w:rPr>
        <w:t xml:space="preserve"> </w:t>
      </w:r>
      <w:r>
        <w:t>to</w:t>
      </w:r>
      <w:r>
        <w:rPr>
          <w:spacing w:val="-1"/>
        </w:rPr>
        <w:t xml:space="preserve"> </w:t>
      </w:r>
      <w:r>
        <w:t>publish tabulated</w:t>
      </w:r>
      <w:r>
        <w:rPr>
          <w:spacing w:val="-1"/>
        </w:rPr>
        <w:t xml:space="preserve"> </w:t>
      </w:r>
      <w:r>
        <w:t>results</w:t>
      </w:r>
      <w:r>
        <w:rPr>
          <w:spacing w:val="-1"/>
        </w:rPr>
        <w:t xml:space="preserve"> </w:t>
      </w:r>
      <w:r>
        <w:t>of the</w:t>
      </w:r>
      <w:r>
        <w:rPr>
          <w:spacing w:val="-1"/>
        </w:rPr>
        <w:t xml:space="preserve"> </w:t>
      </w:r>
      <w:r>
        <w:t xml:space="preserve">information </w:t>
      </w:r>
      <w:r>
        <w:rPr>
          <w:spacing w:val="-2"/>
        </w:rPr>
        <w:t>collection.</w:t>
      </w:r>
    </w:p>
    <w:p w:rsidR="000C108B" w:rsidP="0076709B" w14:paraId="38B91425" w14:textId="77777777">
      <w:pPr>
        <w:pStyle w:val="BodyText"/>
      </w:pPr>
    </w:p>
    <w:p w:rsidR="000C108B" w:rsidP="0076709B" w14:paraId="2F469EF1" w14:textId="77777777">
      <w:pPr>
        <w:pStyle w:val="ListParagraph"/>
        <w:numPr>
          <w:ilvl w:val="0"/>
          <w:numId w:val="1"/>
        </w:numPr>
        <w:ind w:left="0" w:hanging="420"/>
        <w:rPr>
          <w:sz w:val="24"/>
          <w:u w:val="none"/>
        </w:rPr>
      </w:pPr>
      <w:r>
        <w:rPr>
          <w:sz w:val="24"/>
        </w:rPr>
        <w:t>Reason(s)</w:t>
      </w:r>
      <w:r>
        <w:rPr>
          <w:spacing w:val="-7"/>
          <w:sz w:val="24"/>
        </w:rPr>
        <w:t xml:space="preserve"> </w:t>
      </w:r>
      <w:r>
        <w:rPr>
          <w:sz w:val="24"/>
        </w:rPr>
        <w:t>Display</w:t>
      </w:r>
      <w:r>
        <w:rPr>
          <w:spacing w:val="-4"/>
          <w:sz w:val="24"/>
        </w:rPr>
        <w:t xml:space="preserve"> </w:t>
      </w:r>
      <w:r>
        <w:rPr>
          <w:sz w:val="24"/>
        </w:rPr>
        <w:t>of</w:t>
      </w:r>
      <w:r>
        <w:rPr>
          <w:spacing w:val="-4"/>
          <w:sz w:val="24"/>
        </w:rPr>
        <w:t xml:space="preserve"> </w:t>
      </w:r>
      <w:r>
        <w:rPr>
          <w:sz w:val="24"/>
        </w:rPr>
        <w:t>OMB</w:t>
      </w:r>
      <w:r>
        <w:rPr>
          <w:spacing w:val="-5"/>
          <w:sz w:val="24"/>
        </w:rPr>
        <w:t xml:space="preserve"> </w:t>
      </w:r>
      <w:r>
        <w:rPr>
          <w:sz w:val="24"/>
        </w:rPr>
        <w:t>Expiration</w:t>
      </w:r>
      <w:r>
        <w:rPr>
          <w:spacing w:val="-4"/>
          <w:sz w:val="24"/>
        </w:rPr>
        <w:t xml:space="preserve"> </w:t>
      </w:r>
      <w:r>
        <w:rPr>
          <w:sz w:val="24"/>
        </w:rPr>
        <w:t>Date</w:t>
      </w:r>
      <w:r>
        <w:rPr>
          <w:spacing w:val="-4"/>
          <w:sz w:val="24"/>
        </w:rPr>
        <w:t xml:space="preserve"> </w:t>
      </w:r>
      <w:r w:rsidR="00A66365">
        <w:rPr>
          <w:sz w:val="24"/>
        </w:rPr>
        <w:t>I</w:t>
      </w:r>
      <w:r>
        <w:rPr>
          <w:sz w:val="24"/>
        </w:rPr>
        <w:t>s</w:t>
      </w:r>
      <w:r>
        <w:rPr>
          <w:spacing w:val="-3"/>
          <w:sz w:val="24"/>
        </w:rPr>
        <w:t xml:space="preserve"> </w:t>
      </w:r>
      <w:r>
        <w:rPr>
          <w:spacing w:val="-2"/>
          <w:sz w:val="24"/>
        </w:rPr>
        <w:t>Inappropriate</w:t>
      </w:r>
    </w:p>
    <w:p w:rsidR="000C108B" w:rsidP="0076709B" w14:paraId="434C52AD" w14:textId="77777777">
      <w:pPr>
        <w:pStyle w:val="BodyText"/>
        <w:spacing w:before="2"/>
        <w:rPr>
          <w:sz w:val="16"/>
        </w:rPr>
      </w:pPr>
    </w:p>
    <w:p w:rsidR="000C108B" w:rsidP="0076709B" w14:paraId="620C897E" w14:textId="77777777">
      <w:pPr>
        <w:pStyle w:val="BodyText"/>
        <w:spacing w:before="90"/>
      </w:pPr>
      <w:r>
        <w:t>The</w:t>
      </w:r>
      <w:r>
        <w:rPr>
          <w:spacing w:val="-3"/>
        </w:rPr>
        <w:t xml:space="preserve"> </w:t>
      </w:r>
      <w:r>
        <w:t>OMB expiration date</w:t>
      </w:r>
      <w:r>
        <w:rPr>
          <w:spacing w:val="-1"/>
        </w:rPr>
        <w:t xml:space="preserve"> </w:t>
      </w:r>
      <w:r>
        <w:t>will be displayed</w:t>
      </w:r>
      <w:r>
        <w:rPr>
          <w:spacing w:val="-1"/>
        </w:rPr>
        <w:t xml:space="preserve"> </w:t>
      </w:r>
      <w:r>
        <w:t>as</w:t>
      </w:r>
      <w:r>
        <w:rPr>
          <w:spacing w:val="-2"/>
        </w:rPr>
        <w:t xml:space="preserve"> </w:t>
      </w:r>
      <w:r>
        <w:t xml:space="preserve">required by </w:t>
      </w:r>
      <w:r w:rsidR="00F861DD">
        <w:t>5</w:t>
      </w:r>
      <w:r w:rsidR="00F65B6A">
        <w:t xml:space="preserve"> CFR </w:t>
      </w:r>
      <w:r>
        <w:rPr>
          <w:spacing w:val="-2"/>
        </w:rPr>
        <w:t>1320.8(b)(1).</w:t>
      </w:r>
    </w:p>
    <w:p w:rsidR="000C108B" w:rsidP="0076709B" w14:paraId="16038E07" w14:textId="77777777">
      <w:pPr>
        <w:pStyle w:val="BodyText"/>
      </w:pPr>
    </w:p>
    <w:p w:rsidR="000C108B" w:rsidP="0076709B" w14:paraId="216C618F" w14:textId="77777777">
      <w:pPr>
        <w:pStyle w:val="ListParagraph"/>
        <w:numPr>
          <w:ilvl w:val="0"/>
          <w:numId w:val="1"/>
        </w:numPr>
        <w:ind w:left="0" w:hanging="421"/>
        <w:rPr>
          <w:sz w:val="24"/>
          <w:u w:val="none"/>
        </w:rPr>
      </w:pPr>
      <w:r>
        <w:rPr>
          <w:sz w:val="24"/>
        </w:rPr>
        <w:t>Exceptions</w:t>
      </w:r>
      <w:r>
        <w:rPr>
          <w:spacing w:val="-4"/>
          <w:sz w:val="24"/>
        </w:rPr>
        <w:t xml:space="preserve"> </w:t>
      </w:r>
      <w:r>
        <w:rPr>
          <w:sz w:val="24"/>
        </w:rPr>
        <w:t>to</w:t>
      </w:r>
      <w:r>
        <w:rPr>
          <w:spacing w:val="-1"/>
          <w:sz w:val="24"/>
        </w:rPr>
        <w:t xml:space="preserve"> </w:t>
      </w:r>
      <w:r>
        <w:rPr>
          <w:sz w:val="24"/>
        </w:rPr>
        <w:t>Certification</w:t>
      </w:r>
      <w:r>
        <w:rPr>
          <w:spacing w:val="-2"/>
          <w:sz w:val="24"/>
        </w:rPr>
        <w:t xml:space="preserve"> </w:t>
      </w:r>
      <w:r>
        <w:rPr>
          <w:sz w:val="24"/>
        </w:rPr>
        <w:t>for</w:t>
      </w:r>
      <w:r>
        <w:rPr>
          <w:spacing w:val="-2"/>
          <w:sz w:val="24"/>
        </w:rPr>
        <w:t xml:space="preserve"> </w:t>
      </w:r>
      <w:r>
        <w:rPr>
          <w:sz w:val="24"/>
        </w:rPr>
        <w:t>Paperwork</w:t>
      </w:r>
      <w:r>
        <w:rPr>
          <w:spacing w:val="-3"/>
          <w:sz w:val="24"/>
        </w:rPr>
        <w:t xml:space="preserve"> </w:t>
      </w:r>
      <w:r>
        <w:rPr>
          <w:sz w:val="24"/>
        </w:rPr>
        <w:t>Reduction</w:t>
      </w:r>
      <w:r>
        <w:rPr>
          <w:spacing w:val="-1"/>
          <w:sz w:val="24"/>
        </w:rPr>
        <w:t xml:space="preserve"> </w:t>
      </w:r>
      <w:r>
        <w:rPr>
          <w:sz w:val="24"/>
        </w:rPr>
        <w:t>Act</w:t>
      </w:r>
      <w:r>
        <w:rPr>
          <w:spacing w:val="-2"/>
          <w:sz w:val="24"/>
        </w:rPr>
        <w:t xml:space="preserve"> Submissions</w:t>
      </w:r>
    </w:p>
    <w:p w:rsidR="000C108B" w:rsidP="0076709B" w14:paraId="55E77B92" w14:textId="77777777">
      <w:pPr>
        <w:pStyle w:val="BodyText"/>
        <w:spacing w:before="2"/>
        <w:rPr>
          <w:sz w:val="16"/>
        </w:rPr>
      </w:pPr>
    </w:p>
    <w:p w:rsidR="000C108B" w:rsidP="0076709B" w14:paraId="2C7C7AF7" w14:textId="77777777">
      <w:pPr>
        <w:pStyle w:val="BodyText"/>
        <w:spacing w:before="90"/>
      </w:pPr>
      <w:r>
        <w:t>There are no</w:t>
      </w:r>
      <w:r>
        <w:rPr>
          <w:spacing w:val="-2"/>
        </w:rPr>
        <w:t xml:space="preserve"> </w:t>
      </w:r>
      <w:r>
        <w:t>exceptions</w:t>
      </w:r>
      <w:r>
        <w:rPr>
          <w:spacing w:val="-1"/>
        </w:rPr>
        <w:t xml:space="preserve"> </w:t>
      </w:r>
      <w:r>
        <w:t xml:space="preserve">to the </w:t>
      </w:r>
      <w:r>
        <w:rPr>
          <w:spacing w:val="-2"/>
        </w:rPr>
        <w:t>certification.</w:t>
      </w:r>
    </w:p>
    <w:sectPr w:rsidSect="004D53D4">
      <w:footerReference w:type="default" r:id="rId11"/>
      <w:pgSz w:w="12240" w:h="15840" w:code="1"/>
      <w:pgMar w:top="1440" w:right="1440" w:bottom="173" w:left="1440" w:header="432" w:footer="1584"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08B" w14:paraId="062C3265"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3810000</wp:posOffset>
              </wp:positionH>
              <wp:positionV relativeFrom="page">
                <wp:posOffset>9284970</wp:posOffset>
              </wp:positionV>
              <wp:extent cx="1651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108B" w14:textId="77777777">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31.1pt;margin-left:30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C108B" w14:paraId="62E3A270" w14:textId="77777777">
                    <w:pPr>
                      <w:pStyle w:val="BodyText"/>
                      <w:spacing w:before="10"/>
                      <w:ind w:left="60"/>
                    </w:pPr>
                    <w:r>
                      <w:fldChar w:fldCharType="begin"/>
                    </w:r>
                    <w: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8C4D30"/>
    <w:multiLevelType w:val="hybridMultilevel"/>
    <w:tmpl w:val="F4A02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A64FAE"/>
    <w:multiLevelType w:val="hybridMultilevel"/>
    <w:tmpl w:val="2F6826FA"/>
    <w:lvl w:ilvl="0">
      <w:start w:val="1"/>
      <w:numFmt w:val="decimal"/>
      <w:lvlText w:val="%1."/>
      <w:lvlJc w:val="left"/>
      <w:pPr>
        <w:ind w:left="420" w:hanging="301"/>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338" w:hanging="301"/>
      </w:pPr>
      <w:rPr>
        <w:rFonts w:hint="default"/>
        <w:lang w:val="en-US" w:eastAsia="en-US" w:bidi="ar-SA"/>
      </w:rPr>
    </w:lvl>
    <w:lvl w:ilvl="2">
      <w:start w:val="0"/>
      <w:numFmt w:val="bullet"/>
      <w:lvlText w:val="•"/>
      <w:lvlJc w:val="left"/>
      <w:pPr>
        <w:ind w:left="2256" w:hanging="301"/>
      </w:pPr>
      <w:rPr>
        <w:rFonts w:hint="default"/>
        <w:lang w:val="en-US" w:eastAsia="en-US" w:bidi="ar-SA"/>
      </w:rPr>
    </w:lvl>
    <w:lvl w:ilvl="3">
      <w:start w:val="0"/>
      <w:numFmt w:val="bullet"/>
      <w:lvlText w:val="•"/>
      <w:lvlJc w:val="left"/>
      <w:pPr>
        <w:ind w:left="3174" w:hanging="301"/>
      </w:pPr>
      <w:rPr>
        <w:rFonts w:hint="default"/>
        <w:lang w:val="en-US" w:eastAsia="en-US" w:bidi="ar-SA"/>
      </w:rPr>
    </w:lvl>
    <w:lvl w:ilvl="4">
      <w:start w:val="0"/>
      <w:numFmt w:val="bullet"/>
      <w:lvlText w:val="•"/>
      <w:lvlJc w:val="left"/>
      <w:pPr>
        <w:ind w:left="4092" w:hanging="301"/>
      </w:pPr>
      <w:rPr>
        <w:rFonts w:hint="default"/>
        <w:lang w:val="en-US" w:eastAsia="en-US" w:bidi="ar-SA"/>
      </w:rPr>
    </w:lvl>
    <w:lvl w:ilvl="5">
      <w:start w:val="0"/>
      <w:numFmt w:val="bullet"/>
      <w:lvlText w:val="•"/>
      <w:lvlJc w:val="left"/>
      <w:pPr>
        <w:ind w:left="5010" w:hanging="301"/>
      </w:pPr>
      <w:rPr>
        <w:rFonts w:hint="default"/>
        <w:lang w:val="en-US" w:eastAsia="en-US" w:bidi="ar-SA"/>
      </w:rPr>
    </w:lvl>
    <w:lvl w:ilvl="6">
      <w:start w:val="0"/>
      <w:numFmt w:val="bullet"/>
      <w:lvlText w:val="•"/>
      <w:lvlJc w:val="left"/>
      <w:pPr>
        <w:ind w:left="5928" w:hanging="301"/>
      </w:pPr>
      <w:rPr>
        <w:rFonts w:hint="default"/>
        <w:lang w:val="en-US" w:eastAsia="en-US" w:bidi="ar-SA"/>
      </w:rPr>
    </w:lvl>
    <w:lvl w:ilvl="7">
      <w:start w:val="0"/>
      <w:numFmt w:val="bullet"/>
      <w:lvlText w:val="•"/>
      <w:lvlJc w:val="left"/>
      <w:pPr>
        <w:ind w:left="6846" w:hanging="301"/>
      </w:pPr>
      <w:rPr>
        <w:rFonts w:hint="default"/>
        <w:lang w:val="en-US" w:eastAsia="en-US" w:bidi="ar-SA"/>
      </w:rPr>
    </w:lvl>
    <w:lvl w:ilvl="8">
      <w:start w:val="0"/>
      <w:numFmt w:val="bullet"/>
      <w:lvlText w:val="•"/>
      <w:lvlJc w:val="left"/>
      <w:pPr>
        <w:ind w:left="7764" w:hanging="301"/>
      </w:pPr>
      <w:rPr>
        <w:rFonts w:hint="default"/>
        <w:lang w:val="en-US" w:eastAsia="en-US" w:bidi="ar-SA"/>
      </w:rPr>
    </w:lvl>
  </w:abstractNum>
  <w:num w:numId="1" w16cid:durableId="1168517361">
    <w:abstractNumId w:val="1"/>
  </w:num>
  <w:num w:numId="2" w16cid:durableId="584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8B"/>
    <w:rsid w:val="00000D67"/>
    <w:rsid w:val="00020AA4"/>
    <w:rsid w:val="00026984"/>
    <w:rsid w:val="00033C76"/>
    <w:rsid w:val="00034F7C"/>
    <w:rsid w:val="00046ADF"/>
    <w:rsid w:val="00047B5D"/>
    <w:rsid w:val="00057E6B"/>
    <w:rsid w:val="000674A6"/>
    <w:rsid w:val="00094D2C"/>
    <w:rsid w:val="000A29D2"/>
    <w:rsid w:val="000B56C2"/>
    <w:rsid w:val="000C108B"/>
    <w:rsid w:val="000D209A"/>
    <w:rsid w:val="000E2A9C"/>
    <w:rsid w:val="000E2C26"/>
    <w:rsid w:val="000F3F16"/>
    <w:rsid w:val="000F58A3"/>
    <w:rsid w:val="000F6216"/>
    <w:rsid w:val="00107E89"/>
    <w:rsid w:val="00113CD9"/>
    <w:rsid w:val="00117C2A"/>
    <w:rsid w:val="001324CA"/>
    <w:rsid w:val="00135072"/>
    <w:rsid w:val="001403D7"/>
    <w:rsid w:val="00151125"/>
    <w:rsid w:val="00160086"/>
    <w:rsid w:val="00164098"/>
    <w:rsid w:val="00165133"/>
    <w:rsid w:val="00182EB3"/>
    <w:rsid w:val="0019433A"/>
    <w:rsid w:val="00194DAE"/>
    <w:rsid w:val="001B1C36"/>
    <w:rsid w:val="001B3411"/>
    <w:rsid w:val="001B622A"/>
    <w:rsid w:val="001D07EE"/>
    <w:rsid w:val="001D5E54"/>
    <w:rsid w:val="001F37B9"/>
    <w:rsid w:val="00203145"/>
    <w:rsid w:val="00203F98"/>
    <w:rsid w:val="002043B4"/>
    <w:rsid w:val="00216878"/>
    <w:rsid w:val="00240AA2"/>
    <w:rsid w:val="00245B35"/>
    <w:rsid w:val="00260EAB"/>
    <w:rsid w:val="0026562A"/>
    <w:rsid w:val="00294CE7"/>
    <w:rsid w:val="00296DD7"/>
    <w:rsid w:val="002A0050"/>
    <w:rsid w:val="002C000D"/>
    <w:rsid w:val="002C52C2"/>
    <w:rsid w:val="002C7C17"/>
    <w:rsid w:val="002D15C1"/>
    <w:rsid w:val="002D7B0C"/>
    <w:rsid w:val="002F1A77"/>
    <w:rsid w:val="003054E6"/>
    <w:rsid w:val="00312336"/>
    <w:rsid w:val="00312F56"/>
    <w:rsid w:val="0031504E"/>
    <w:rsid w:val="00321FBD"/>
    <w:rsid w:val="00325FCE"/>
    <w:rsid w:val="00330BBF"/>
    <w:rsid w:val="00336E89"/>
    <w:rsid w:val="00337D7B"/>
    <w:rsid w:val="00337E3E"/>
    <w:rsid w:val="0034237D"/>
    <w:rsid w:val="0034442A"/>
    <w:rsid w:val="00355129"/>
    <w:rsid w:val="00357C10"/>
    <w:rsid w:val="0036143E"/>
    <w:rsid w:val="00363CE3"/>
    <w:rsid w:val="00382191"/>
    <w:rsid w:val="003937BD"/>
    <w:rsid w:val="0039512B"/>
    <w:rsid w:val="003A3872"/>
    <w:rsid w:val="003A5523"/>
    <w:rsid w:val="003D115E"/>
    <w:rsid w:val="003D67C9"/>
    <w:rsid w:val="003E62E0"/>
    <w:rsid w:val="003E7E2D"/>
    <w:rsid w:val="003F2A92"/>
    <w:rsid w:val="003F6299"/>
    <w:rsid w:val="003F7103"/>
    <w:rsid w:val="003F7F90"/>
    <w:rsid w:val="00415EFC"/>
    <w:rsid w:val="00417272"/>
    <w:rsid w:val="004221D3"/>
    <w:rsid w:val="00422A90"/>
    <w:rsid w:val="00443D43"/>
    <w:rsid w:val="004512DD"/>
    <w:rsid w:val="004618B8"/>
    <w:rsid w:val="004662E7"/>
    <w:rsid w:val="00470C9E"/>
    <w:rsid w:val="004712D9"/>
    <w:rsid w:val="00472FDF"/>
    <w:rsid w:val="00492B46"/>
    <w:rsid w:val="00492FD1"/>
    <w:rsid w:val="004C4C3A"/>
    <w:rsid w:val="004D1280"/>
    <w:rsid w:val="004D53D4"/>
    <w:rsid w:val="004D5949"/>
    <w:rsid w:val="004D7F51"/>
    <w:rsid w:val="004F497F"/>
    <w:rsid w:val="00500A5A"/>
    <w:rsid w:val="00511062"/>
    <w:rsid w:val="00520D28"/>
    <w:rsid w:val="005225BD"/>
    <w:rsid w:val="00535C80"/>
    <w:rsid w:val="00544C7E"/>
    <w:rsid w:val="005465A9"/>
    <w:rsid w:val="00546944"/>
    <w:rsid w:val="005510CA"/>
    <w:rsid w:val="0056290A"/>
    <w:rsid w:val="005659F8"/>
    <w:rsid w:val="00582673"/>
    <w:rsid w:val="00597066"/>
    <w:rsid w:val="005B5BC1"/>
    <w:rsid w:val="005D5685"/>
    <w:rsid w:val="005F1722"/>
    <w:rsid w:val="005F37A1"/>
    <w:rsid w:val="005F75A2"/>
    <w:rsid w:val="00617775"/>
    <w:rsid w:val="00617E47"/>
    <w:rsid w:val="00642687"/>
    <w:rsid w:val="006543A7"/>
    <w:rsid w:val="00662C2C"/>
    <w:rsid w:val="00672462"/>
    <w:rsid w:val="00673084"/>
    <w:rsid w:val="0067347F"/>
    <w:rsid w:val="006859C8"/>
    <w:rsid w:val="00686A28"/>
    <w:rsid w:val="0069570E"/>
    <w:rsid w:val="006B2ED0"/>
    <w:rsid w:val="006D3EAE"/>
    <w:rsid w:val="006D7CA5"/>
    <w:rsid w:val="0071529D"/>
    <w:rsid w:val="007248BC"/>
    <w:rsid w:val="00735BDE"/>
    <w:rsid w:val="00737D01"/>
    <w:rsid w:val="007422EF"/>
    <w:rsid w:val="00754591"/>
    <w:rsid w:val="00755BE9"/>
    <w:rsid w:val="00761750"/>
    <w:rsid w:val="007649CA"/>
    <w:rsid w:val="00764DED"/>
    <w:rsid w:val="0076709B"/>
    <w:rsid w:val="007768D9"/>
    <w:rsid w:val="007B267D"/>
    <w:rsid w:val="007C126B"/>
    <w:rsid w:val="007E4A99"/>
    <w:rsid w:val="007E660B"/>
    <w:rsid w:val="007F4132"/>
    <w:rsid w:val="007F721B"/>
    <w:rsid w:val="00802FD8"/>
    <w:rsid w:val="0081473D"/>
    <w:rsid w:val="008248C2"/>
    <w:rsid w:val="0083046B"/>
    <w:rsid w:val="00830BA8"/>
    <w:rsid w:val="00832685"/>
    <w:rsid w:val="008466F7"/>
    <w:rsid w:val="0086112E"/>
    <w:rsid w:val="00867D0D"/>
    <w:rsid w:val="008776DE"/>
    <w:rsid w:val="00880C53"/>
    <w:rsid w:val="00893AD1"/>
    <w:rsid w:val="008A3E9B"/>
    <w:rsid w:val="008A5671"/>
    <w:rsid w:val="008A7E18"/>
    <w:rsid w:val="008B00FE"/>
    <w:rsid w:val="008D11A8"/>
    <w:rsid w:val="008F390C"/>
    <w:rsid w:val="009061D9"/>
    <w:rsid w:val="00912C46"/>
    <w:rsid w:val="00915947"/>
    <w:rsid w:val="0092248F"/>
    <w:rsid w:val="00924824"/>
    <w:rsid w:val="00934F07"/>
    <w:rsid w:val="0094428F"/>
    <w:rsid w:val="009512E8"/>
    <w:rsid w:val="00952944"/>
    <w:rsid w:val="00962782"/>
    <w:rsid w:val="009657CA"/>
    <w:rsid w:val="00971AD2"/>
    <w:rsid w:val="00972DA7"/>
    <w:rsid w:val="00983528"/>
    <w:rsid w:val="00992CB7"/>
    <w:rsid w:val="009A70F0"/>
    <w:rsid w:val="009C136F"/>
    <w:rsid w:val="009C1728"/>
    <w:rsid w:val="009C276D"/>
    <w:rsid w:val="009E2287"/>
    <w:rsid w:val="009F7AC1"/>
    <w:rsid w:val="00A02EA0"/>
    <w:rsid w:val="00A02FE3"/>
    <w:rsid w:val="00A06042"/>
    <w:rsid w:val="00A067F3"/>
    <w:rsid w:val="00A27D92"/>
    <w:rsid w:val="00A3054D"/>
    <w:rsid w:val="00A375F8"/>
    <w:rsid w:val="00A4007D"/>
    <w:rsid w:val="00A51239"/>
    <w:rsid w:val="00A6183A"/>
    <w:rsid w:val="00A66365"/>
    <w:rsid w:val="00A75A95"/>
    <w:rsid w:val="00A85B45"/>
    <w:rsid w:val="00AA28E6"/>
    <w:rsid w:val="00AA621D"/>
    <w:rsid w:val="00AB5CA6"/>
    <w:rsid w:val="00AC32A0"/>
    <w:rsid w:val="00AC5F59"/>
    <w:rsid w:val="00AD4F76"/>
    <w:rsid w:val="00AD5DF2"/>
    <w:rsid w:val="00AE29F8"/>
    <w:rsid w:val="00B0304E"/>
    <w:rsid w:val="00B0582E"/>
    <w:rsid w:val="00B12ECA"/>
    <w:rsid w:val="00B36CB4"/>
    <w:rsid w:val="00B52441"/>
    <w:rsid w:val="00B53992"/>
    <w:rsid w:val="00B639B8"/>
    <w:rsid w:val="00B715FE"/>
    <w:rsid w:val="00B71A60"/>
    <w:rsid w:val="00B745A0"/>
    <w:rsid w:val="00B96725"/>
    <w:rsid w:val="00BC1789"/>
    <w:rsid w:val="00BC4D5C"/>
    <w:rsid w:val="00BE0FDE"/>
    <w:rsid w:val="00BE203E"/>
    <w:rsid w:val="00BE4651"/>
    <w:rsid w:val="00BE53FF"/>
    <w:rsid w:val="00BF2318"/>
    <w:rsid w:val="00BF5A98"/>
    <w:rsid w:val="00C057CB"/>
    <w:rsid w:val="00C13A3C"/>
    <w:rsid w:val="00C233E5"/>
    <w:rsid w:val="00C51246"/>
    <w:rsid w:val="00C71AFF"/>
    <w:rsid w:val="00C71CCB"/>
    <w:rsid w:val="00C84FEE"/>
    <w:rsid w:val="00C86FF8"/>
    <w:rsid w:val="00C937EE"/>
    <w:rsid w:val="00C94DA5"/>
    <w:rsid w:val="00CA0F94"/>
    <w:rsid w:val="00CA410D"/>
    <w:rsid w:val="00CB5C62"/>
    <w:rsid w:val="00CC4704"/>
    <w:rsid w:val="00CC7602"/>
    <w:rsid w:val="00CC7DA2"/>
    <w:rsid w:val="00CE3835"/>
    <w:rsid w:val="00D005C1"/>
    <w:rsid w:val="00D24E9C"/>
    <w:rsid w:val="00D30886"/>
    <w:rsid w:val="00D35844"/>
    <w:rsid w:val="00D430CC"/>
    <w:rsid w:val="00D6241B"/>
    <w:rsid w:val="00D70ACD"/>
    <w:rsid w:val="00D81044"/>
    <w:rsid w:val="00D8381B"/>
    <w:rsid w:val="00D9010F"/>
    <w:rsid w:val="00DB2D34"/>
    <w:rsid w:val="00DB7E6D"/>
    <w:rsid w:val="00DE2B0A"/>
    <w:rsid w:val="00DE5F09"/>
    <w:rsid w:val="00DF5071"/>
    <w:rsid w:val="00E05104"/>
    <w:rsid w:val="00E21427"/>
    <w:rsid w:val="00E34A66"/>
    <w:rsid w:val="00E53086"/>
    <w:rsid w:val="00E70F18"/>
    <w:rsid w:val="00E778A4"/>
    <w:rsid w:val="00EA64B5"/>
    <w:rsid w:val="00EB4CE0"/>
    <w:rsid w:val="00EC56ED"/>
    <w:rsid w:val="00ED1216"/>
    <w:rsid w:val="00ED5EF4"/>
    <w:rsid w:val="00ED79DA"/>
    <w:rsid w:val="00EF120B"/>
    <w:rsid w:val="00EF5E1B"/>
    <w:rsid w:val="00F0235F"/>
    <w:rsid w:val="00F0498A"/>
    <w:rsid w:val="00F15B23"/>
    <w:rsid w:val="00F529CD"/>
    <w:rsid w:val="00F5556A"/>
    <w:rsid w:val="00F569F2"/>
    <w:rsid w:val="00F64773"/>
    <w:rsid w:val="00F65B6A"/>
    <w:rsid w:val="00F65D47"/>
    <w:rsid w:val="00F809D5"/>
    <w:rsid w:val="00F861DD"/>
    <w:rsid w:val="00F940A7"/>
    <w:rsid w:val="00F95223"/>
    <w:rsid w:val="00F9606E"/>
    <w:rsid w:val="00FA5A7E"/>
    <w:rsid w:val="00FB5283"/>
    <w:rsid w:val="00FB5713"/>
    <w:rsid w:val="00FC1AE3"/>
    <w:rsid w:val="00FC4A55"/>
    <w:rsid w:val="00FD2C65"/>
    <w:rsid w:val="00FD57F0"/>
    <w:rsid w:val="00FE1515"/>
    <w:rsid w:val="00FE5765"/>
    <w:rsid w:val="049C5EFD"/>
    <w:rsid w:val="05131CD4"/>
    <w:rsid w:val="08C895DC"/>
    <w:rsid w:val="0BEDF8DA"/>
    <w:rsid w:val="0C7E6436"/>
    <w:rsid w:val="0E4183D3"/>
    <w:rsid w:val="0E461D03"/>
    <w:rsid w:val="0EC4FB4D"/>
    <w:rsid w:val="10370368"/>
    <w:rsid w:val="10A69889"/>
    <w:rsid w:val="133CD8B5"/>
    <w:rsid w:val="150A52BC"/>
    <w:rsid w:val="158B57A5"/>
    <w:rsid w:val="1BA97CC7"/>
    <w:rsid w:val="2092246C"/>
    <w:rsid w:val="219CF8CE"/>
    <w:rsid w:val="25338844"/>
    <w:rsid w:val="25597451"/>
    <w:rsid w:val="26C4346D"/>
    <w:rsid w:val="2733941A"/>
    <w:rsid w:val="27E6BA4F"/>
    <w:rsid w:val="2A9CD899"/>
    <w:rsid w:val="2C1CDBB7"/>
    <w:rsid w:val="315425F0"/>
    <w:rsid w:val="36326C98"/>
    <w:rsid w:val="365FE2D1"/>
    <w:rsid w:val="37918201"/>
    <w:rsid w:val="38A0EA09"/>
    <w:rsid w:val="38BFDADC"/>
    <w:rsid w:val="3EBAFABC"/>
    <w:rsid w:val="3EDD604D"/>
    <w:rsid w:val="40C3401D"/>
    <w:rsid w:val="418664AE"/>
    <w:rsid w:val="42B71344"/>
    <w:rsid w:val="42C5FBCE"/>
    <w:rsid w:val="4A8A9EC5"/>
    <w:rsid w:val="4AA7A69E"/>
    <w:rsid w:val="4C864B75"/>
    <w:rsid w:val="4CFE2736"/>
    <w:rsid w:val="4D16DAC7"/>
    <w:rsid w:val="4E408014"/>
    <w:rsid w:val="4F973C59"/>
    <w:rsid w:val="50CA0D3E"/>
    <w:rsid w:val="521208BE"/>
    <w:rsid w:val="5284DEB5"/>
    <w:rsid w:val="53ADD91F"/>
    <w:rsid w:val="53D9D630"/>
    <w:rsid w:val="55E27550"/>
    <w:rsid w:val="56E30FE0"/>
    <w:rsid w:val="56E72262"/>
    <w:rsid w:val="57392CF3"/>
    <w:rsid w:val="593364AF"/>
    <w:rsid w:val="5A57A558"/>
    <w:rsid w:val="5D629165"/>
    <w:rsid w:val="5D81226A"/>
    <w:rsid w:val="5E3F410E"/>
    <w:rsid w:val="5F25E063"/>
    <w:rsid w:val="60F6F92A"/>
    <w:rsid w:val="6433D545"/>
    <w:rsid w:val="64B0B322"/>
    <w:rsid w:val="652CE449"/>
    <w:rsid w:val="6A1C9B31"/>
    <w:rsid w:val="6CAA51E8"/>
    <w:rsid w:val="6D317199"/>
    <w:rsid w:val="6EA9E96F"/>
    <w:rsid w:val="70985FC1"/>
    <w:rsid w:val="7280C88D"/>
    <w:rsid w:val="74432DAF"/>
    <w:rsid w:val="7826E6C0"/>
    <w:rsid w:val="79A75A18"/>
    <w:rsid w:val="79C2B721"/>
    <w:rsid w:val="79C94608"/>
    <w:rsid w:val="7BC8ACFB"/>
    <w:rsid w:val="7C40FF03"/>
    <w:rsid w:val="7ED806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7E0543"/>
  <w15:docId w15:val="{F5F87C7B-DC44-4063-A143-11A5FD59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0" w:hanging="301"/>
    </w:pPr>
    <w:rPr>
      <w:u w:val="single" w:color="000000"/>
    </w:rPr>
  </w:style>
  <w:style w:type="paragraph" w:customStyle="1" w:styleId="TableParagraph">
    <w:name w:val="Table Paragraph"/>
    <w:basedOn w:val="Normal"/>
    <w:uiPriority w:val="1"/>
    <w:qFormat/>
  </w:style>
  <w:style w:type="table" w:styleId="TableGrid">
    <w:name w:val="Table Grid"/>
    <w:basedOn w:val="TableNormal"/>
    <w:uiPriority w:val="39"/>
    <w:rsid w:val="00A8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2687"/>
    <w:rPr>
      <w:sz w:val="16"/>
      <w:szCs w:val="16"/>
    </w:rPr>
  </w:style>
  <w:style w:type="paragraph" w:styleId="CommentText">
    <w:name w:val="annotation text"/>
    <w:basedOn w:val="Normal"/>
    <w:link w:val="CommentTextChar"/>
    <w:uiPriority w:val="99"/>
    <w:semiHidden/>
    <w:unhideWhenUsed/>
    <w:rsid w:val="00642687"/>
    <w:rPr>
      <w:sz w:val="20"/>
      <w:szCs w:val="20"/>
    </w:rPr>
  </w:style>
  <w:style w:type="character" w:customStyle="1" w:styleId="CommentTextChar">
    <w:name w:val="Comment Text Char"/>
    <w:basedOn w:val="DefaultParagraphFont"/>
    <w:link w:val="CommentText"/>
    <w:uiPriority w:val="99"/>
    <w:semiHidden/>
    <w:rsid w:val="006426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687"/>
    <w:rPr>
      <w:b/>
      <w:bCs/>
    </w:rPr>
  </w:style>
  <w:style w:type="character" w:customStyle="1" w:styleId="CommentSubjectChar">
    <w:name w:val="Comment Subject Char"/>
    <w:basedOn w:val="CommentTextChar"/>
    <w:link w:val="CommentSubject"/>
    <w:uiPriority w:val="99"/>
    <w:semiHidden/>
    <w:rsid w:val="00642687"/>
    <w:rPr>
      <w:rFonts w:ascii="Times New Roman" w:eastAsia="Times New Roman" w:hAnsi="Times New Roman" w:cs="Times New Roman"/>
      <w:b/>
      <w:bCs/>
      <w:sz w:val="20"/>
      <w:szCs w:val="20"/>
    </w:rPr>
  </w:style>
  <w:style w:type="paragraph" w:styleId="Revision">
    <w:name w:val="Revision"/>
    <w:hidden/>
    <w:uiPriority w:val="99"/>
    <w:semiHidden/>
    <w:rsid w:val="00470C9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597066"/>
    <w:pPr>
      <w:tabs>
        <w:tab w:val="center" w:pos="4680"/>
        <w:tab w:val="right" w:pos="9360"/>
      </w:tabs>
    </w:pPr>
  </w:style>
  <w:style w:type="character" w:customStyle="1" w:styleId="HeaderChar">
    <w:name w:val="Header Char"/>
    <w:basedOn w:val="DefaultParagraphFont"/>
    <w:link w:val="Header"/>
    <w:uiPriority w:val="99"/>
    <w:rsid w:val="00597066"/>
    <w:rPr>
      <w:rFonts w:ascii="Times New Roman" w:eastAsia="Times New Roman" w:hAnsi="Times New Roman" w:cs="Times New Roman"/>
    </w:rPr>
  </w:style>
  <w:style w:type="paragraph" w:styleId="Footer">
    <w:name w:val="footer"/>
    <w:basedOn w:val="Normal"/>
    <w:link w:val="FooterChar"/>
    <w:uiPriority w:val="99"/>
    <w:unhideWhenUsed/>
    <w:rsid w:val="00597066"/>
    <w:pPr>
      <w:tabs>
        <w:tab w:val="center" w:pos="4680"/>
        <w:tab w:val="right" w:pos="9360"/>
      </w:tabs>
    </w:pPr>
  </w:style>
  <w:style w:type="character" w:customStyle="1" w:styleId="FooterChar">
    <w:name w:val="Footer Char"/>
    <w:basedOn w:val="DefaultParagraphFont"/>
    <w:link w:val="Footer"/>
    <w:uiPriority w:val="99"/>
    <w:rsid w:val="00597066"/>
    <w:rPr>
      <w:rFonts w:ascii="Times New Roman" w:eastAsia="Times New Roman" w:hAnsi="Times New Roman" w:cs="Times New Roman"/>
    </w:rPr>
  </w:style>
  <w:style w:type="character" w:styleId="Hyperlink">
    <w:name w:val="Hyperlink"/>
    <w:basedOn w:val="DefaultParagraphFont"/>
    <w:uiPriority w:val="99"/>
    <w:unhideWhenUsed/>
    <w:rsid w:val="006B2ED0"/>
    <w:rPr>
      <w:color w:val="0000FF" w:themeColor="hyperlink"/>
      <w:u w:val="single"/>
    </w:rPr>
  </w:style>
  <w:style w:type="character" w:styleId="UnresolvedMention">
    <w:name w:val="Unresolved Mention"/>
    <w:basedOn w:val="DefaultParagraphFont"/>
    <w:uiPriority w:val="99"/>
    <w:semiHidden/>
    <w:unhideWhenUsed/>
    <w:rsid w:val="006B2ED0"/>
    <w:rPr>
      <w:color w:val="605E5C"/>
      <w:shd w:val="clear" w:color="auto" w:fill="E1DFDD"/>
    </w:rPr>
  </w:style>
  <w:style w:type="character" w:styleId="FollowedHyperlink">
    <w:name w:val="FollowedHyperlink"/>
    <w:basedOn w:val="DefaultParagraphFont"/>
    <w:uiPriority w:val="99"/>
    <w:semiHidden/>
    <w:unhideWhenUsed/>
    <w:rsid w:val="003F71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ocis.gov/rocis/LoadIC.do?TYPE=EDIT&amp;requestId=1818831&amp;ICR_REF_NBR=202607-0910-001&amp;ICID=281295&amp;record_owner_flag=A&amp;menu=currentICRPackage"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drugs/drug-safety-and-availability/medication-guides" TargetMode="External" /><Relationship Id="rId6" Type="http://schemas.openxmlformats.org/officeDocument/2006/relationships/hyperlink" Target="https://www.rocis.gov/rocis/LoadIC.do?TYPE=EDIT&amp;requestId=1818831&amp;ICR_REF_NBR=202607-0910-001&amp;ICID=6050&amp;record_owner_flag=A&amp;menu=currentICRPackage" TargetMode="External" /><Relationship Id="rId7" Type="http://schemas.openxmlformats.org/officeDocument/2006/relationships/hyperlink" Target="https://www.rocis.gov/rocis/LoadIC.do?TYPE=EDIT&amp;requestId=1818831&amp;ICR_REF_NBR=202607-0910-001&amp;ICID=187331&amp;record_owner_flag=A&amp;menu=currentICRPackage" TargetMode="External" /><Relationship Id="rId8" Type="http://schemas.openxmlformats.org/officeDocument/2006/relationships/hyperlink" Target="https://www.rocis.gov/rocis/LoadIC.do?TYPE=EDIT&amp;requestId=1818831&amp;ICR_REF_NBR=202607-0910-001&amp;ICID=188594&amp;record_owner_flag=A&amp;menu=currentICRPackage" TargetMode="External" /><Relationship Id="rId9" Type="http://schemas.openxmlformats.org/officeDocument/2006/relationships/hyperlink" Target="https://www.rocis.gov/rocis/LoadIC.do?TYPE=EDIT&amp;requestId=1818831&amp;ICR_REF_NBR=202607-0910-001&amp;ICID=205325&amp;record_owner_flag=A&amp;menu=currentICRPack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FFD9-3766-46F3-9F78-C464A37068B9}">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 Domini</dc:creator>
  <cp:lastModifiedBy>Bean, Domini</cp:lastModifiedBy>
  <cp:revision>2</cp:revision>
  <dcterms:created xsi:type="dcterms:W3CDTF">2026-07-01T19:05:00Z</dcterms:created>
  <dcterms:modified xsi:type="dcterms:W3CDTF">2026-07-01T19:05:00Z</dcterms:modified>
</cp:coreProperties>
</file>