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465A" w:rsidP="00357C8A" w14:paraId="672A6659" w14:textId="77777777">
      <w:pPr>
        <w:jc w:val="center"/>
      </w:pPr>
    </w:p>
    <w:p w:rsidR="00357C8A" w:rsidP="00357C8A" w14:paraId="77E74B6B" w14:textId="3E9926FE">
      <w:pPr>
        <w:jc w:val="center"/>
        <w:rPr>
          <w:rFonts w:eastAsia="Calibri"/>
        </w:rPr>
      </w:pPr>
      <w:r w:rsidRPr="00357C8A">
        <w:rPr>
          <w:rFonts w:eastAsia="Calibri"/>
        </w:rPr>
        <w:t>UNITED STATES FOOD AND DRUG ADMINISTRATION</w:t>
      </w:r>
    </w:p>
    <w:p w:rsidR="00357C8A" w:rsidRPr="001B1CA1" w:rsidP="00357C8A" w14:paraId="4B94D5A5" w14:textId="77777777">
      <w:pPr>
        <w:jc w:val="center"/>
        <w:rPr>
          <w:rFonts w:eastAsia="Calibri"/>
          <w:color w:val="4472C4" w:themeColor="accent1"/>
        </w:rPr>
      </w:pPr>
    </w:p>
    <w:p w:rsidR="003E5612" w:rsidRPr="000E2F0D" w:rsidP="008C3FEB" w14:paraId="14E7C6D6" w14:textId="60CDB9FA">
      <w:pPr>
        <w:jc w:val="center"/>
        <w:rPr>
          <w:rFonts w:eastAsia="Calibri"/>
        </w:rPr>
      </w:pPr>
      <w:r w:rsidRPr="001A4889">
        <w:t>Drug Establishment Registration and Drug Listing Requirements for Establishments Engaged in Distributed Manufacturing and Certain Foreign Establishments</w:t>
      </w:r>
    </w:p>
    <w:p w:rsidR="008C3FEB" w:rsidP="008C3FEB" w14:paraId="3D8605DB" w14:textId="77777777">
      <w:pPr>
        <w:jc w:val="center"/>
        <w:rPr>
          <w:rFonts w:eastAsia="Calibri"/>
        </w:rPr>
      </w:pPr>
    </w:p>
    <w:p w:rsidR="00357C8A" w:rsidP="00357C8A" w14:paraId="3656B9AB" w14:textId="149FD3B4">
      <w:pPr>
        <w:jc w:val="center"/>
        <w:rPr>
          <w:rFonts w:cstheme="minorHAnsi"/>
        </w:rPr>
      </w:pPr>
      <w:r>
        <w:rPr>
          <w:rFonts w:eastAsia="Calibri"/>
        </w:rPr>
        <w:t>RIN 0910-</w:t>
      </w:r>
      <w:r w:rsidRPr="00F254D4" w:rsidR="003B484B">
        <w:rPr>
          <w:rFonts w:cstheme="minorHAnsi"/>
        </w:rPr>
        <w:t>AI94</w:t>
      </w:r>
    </w:p>
    <w:p w:rsidR="00316F89" w:rsidP="00357C8A" w14:paraId="5887A157" w14:textId="77777777">
      <w:pPr>
        <w:jc w:val="center"/>
        <w:rPr>
          <w:rFonts w:cstheme="minorHAnsi"/>
        </w:rPr>
      </w:pPr>
    </w:p>
    <w:p w:rsidR="00316F89" w:rsidP="00357C8A" w14:paraId="010B9772" w14:textId="3F153BB3">
      <w:pPr>
        <w:jc w:val="center"/>
        <w:rPr>
          <w:rFonts w:eastAsia="Calibri"/>
        </w:rPr>
      </w:pPr>
      <w:r>
        <w:rPr>
          <w:rFonts w:cstheme="minorHAnsi"/>
        </w:rPr>
        <w:t xml:space="preserve">OMB </w:t>
      </w:r>
      <w:r w:rsidR="006A3A77">
        <w:rPr>
          <w:rFonts w:cstheme="minorHAnsi"/>
        </w:rPr>
        <w:t>C</w:t>
      </w:r>
      <w:r>
        <w:rPr>
          <w:rFonts w:cstheme="minorHAnsi"/>
        </w:rPr>
        <w:t xml:space="preserve">ontrol </w:t>
      </w:r>
      <w:r w:rsidR="006A3A77">
        <w:rPr>
          <w:rFonts w:cstheme="minorHAnsi"/>
        </w:rPr>
        <w:t>N</w:t>
      </w:r>
      <w:r>
        <w:rPr>
          <w:rFonts w:cstheme="minorHAnsi"/>
        </w:rPr>
        <w:t>umber 0910-NEW</w:t>
      </w:r>
    </w:p>
    <w:p w:rsidR="00897AAE" w:rsidRPr="000E2F0D" w:rsidP="00357C8A" w14:paraId="5ED28EE8" w14:textId="77777777">
      <w:pPr>
        <w:jc w:val="center"/>
        <w:rPr>
          <w:rFonts w:eastAsia="Calibri"/>
        </w:rPr>
      </w:pPr>
    </w:p>
    <w:p w:rsidR="00357C8A" w:rsidP="00357C8A" w14:paraId="2C2BCB7B" w14:textId="77777777">
      <w:pPr>
        <w:jc w:val="center"/>
        <w:rPr>
          <w:rFonts w:eastAsia="Calibri"/>
        </w:rPr>
      </w:pPr>
      <w:r w:rsidRPr="000E2F0D">
        <w:rPr>
          <w:rFonts w:eastAsia="Calibri"/>
        </w:rPr>
        <w:t>SUPPORTING STATEMENT</w:t>
      </w:r>
    </w:p>
    <w:p w:rsidR="00357C8A" w:rsidRPr="00357C8A" w:rsidP="00357C8A" w14:paraId="049F31CB" w14:textId="77777777">
      <w:pPr>
        <w:rPr>
          <w:rFonts w:eastAsia="Calibri"/>
          <w:b/>
        </w:rPr>
      </w:pPr>
    </w:p>
    <w:p w:rsidR="00357C8A" w:rsidP="000D79CC" w14:paraId="436C6022" w14:textId="77777777">
      <w:pPr>
        <w:rPr>
          <w:rFonts w:eastAsia="Calibri"/>
        </w:rPr>
      </w:pPr>
      <w:r w:rsidRPr="00357C8A">
        <w:rPr>
          <w:rFonts w:eastAsia="Calibri"/>
          <w:b/>
        </w:rPr>
        <w:t>Part A:  Justification</w:t>
      </w:r>
      <w:r w:rsidRPr="00357C8A">
        <w:rPr>
          <w:rFonts w:eastAsia="Calibri"/>
        </w:rPr>
        <w:t>:</w:t>
      </w:r>
    </w:p>
    <w:p w:rsidR="000D79CC" w:rsidRPr="00357C8A" w:rsidP="000D79CC" w14:paraId="53128261" w14:textId="77777777">
      <w:pPr>
        <w:rPr>
          <w:rFonts w:eastAsia="Calibri"/>
        </w:rPr>
      </w:pPr>
    </w:p>
    <w:p w:rsidR="00357C8A" w:rsidRPr="00357C8A" w:rsidP="006705E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A416D7" w:rsidP="00A416D7" w14:paraId="2B4CA9E1" w14:textId="507E6500">
      <w:r w:rsidRPr="009A12FF">
        <w:t>This</w:t>
      </w:r>
      <w:r w:rsidRPr="009A12FF">
        <w:rPr>
          <w:spacing w:val="-7"/>
        </w:rPr>
        <w:t xml:space="preserve"> request </w:t>
      </w:r>
      <w:r w:rsidRPr="009A12FF">
        <w:rPr>
          <w:spacing w:val="-1"/>
        </w:rPr>
        <w:t>is being submitted in support of agency rulemaking in accordance with 5 CFR 1320.11</w:t>
      </w:r>
      <w:r w:rsidRPr="009A12FF">
        <w:rPr>
          <w:rFonts w:ascii="Open Sans" w:hAnsi="Open Sans" w:cs="Open Sans"/>
          <w:sz w:val="21"/>
          <w:szCs w:val="21"/>
          <w:lang w:val="en"/>
        </w:rPr>
        <w:t>.</w:t>
      </w:r>
      <w:r w:rsidRPr="009A12FF" w:rsidR="00474C0C">
        <w:rPr>
          <w:rFonts w:ascii="Open Sans" w:hAnsi="Open Sans" w:cs="Open Sans"/>
          <w:sz w:val="21"/>
          <w:szCs w:val="21"/>
          <w:lang w:val="en"/>
        </w:rPr>
        <w:t xml:space="preserve">  </w:t>
      </w:r>
      <w:r w:rsidRPr="009A12FF" w:rsidR="00150C02">
        <w:t xml:space="preserve">Agency regulations implementing drug establishment and registration provisions are found in part 207 (21 CFR part 207) and include reporting and recordkeeping requirements.  </w:t>
      </w:r>
      <w:r w:rsidRPr="009A12FF" w:rsidR="00474C0C">
        <w:t xml:space="preserve">The proposed </w:t>
      </w:r>
      <w:r w:rsidRPr="009A12FF" w:rsidR="00646FAA">
        <w:t>rulemaking entitled, “</w:t>
      </w:r>
      <w:r w:rsidR="00D41E99">
        <w:t xml:space="preserve">Drug Establishment </w:t>
      </w:r>
      <w:r w:rsidRPr="009A12FF" w:rsidR="00646FAA">
        <w:t xml:space="preserve">Registration and </w:t>
      </w:r>
      <w:r w:rsidR="00D41E99">
        <w:t xml:space="preserve">Drug </w:t>
      </w:r>
      <w:r w:rsidRPr="009A12FF" w:rsidR="00646FAA">
        <w:t xml:space="preserve">Listing Requirements for </w:t>
      </w:r>
      <w:r w:rsidR="00D41E99">
        <w:t xml:space="preserve">Establishments Engaged in Distributed Manufacturing and </w:t>
      </w:r>
      <w:r w:rsidRPr="009A12FF" w:rsidR="00646FAA">
        <w:t xml:space="preserve">Certain Foreign Establishments” </w:t>
      </w:r>
      <w:r w:rsidR="004044B9">
        <w:t>(the proposed rule)</w:t>
      </w:r>
      <w:r w:rsidR="00EE5AFE">
        <w:t>,</w:t>
      </w:r>
      <w:r w:rsidR="004044B9">
        <w:t xml:space="preserve"> </w:t>
      </w:r>
      <w:r w:rsidRPr="009A12FF" w:rsidR="00B011EE">
        <w:t xml:space="preserve">if finalized, </w:t>
      </w:r>
      <w:r w:rsidRPr="009A12FF" w:rsidR="008E2964">
        <w:t xml:space="preserve">would </w:t>
      </w:r>
      <w:r>
        <w:t xml:space="preserve">revise the current registration regulations in part 207 to </w:t>
      </w:r>
      <w:r w:rsidR="00C706DD">
        <w:t xml:space="preserve">distributed manufacturing establishment </w:t>
      </w:r>
      <w:r w:rsidR="00EE1B9E">
        <w:t>provide clear instructions specific to registering</w:t>
      </w:r>
      <w:r w:rsidR="002D342D">
        <w:t xml:space="preserve"> a </w:t>
      </w:r>
      <w:r w:rsidR="008965D4">
        <w:t>distributed manufacturing establishment</w:t>
      </w:r>
      <w:r w:rsidR="00EE1B9E">
        <w:t xml:space="preserve"> </w:t>
      </w:r>
      <w:r w:rsidR="008965D4">
        <w:t>(</w:t>
      </w:r>
      <w:r w:rsidR="00EE1B9E">
        <w:t>DME</w:t>
      </w:r>
      <w:r w:rsidR="008965D4">
        <w:t>)</w:t>
      </w:r>
      <w:r>
        <w:t xml:space="preserve">.  The information required to register a DME would include the same categories of registration requirements that are applicable to establishments engaged in traditional manufacturing, with appropriate revisions to account for differences between DMEs and establishments engaged in traditional manufacturing.  The proposed rule would eliminate duplicate submission of registration information by not treating </w:t>
      </w:r>
      <w:r w:rsidR="008965D4">
        <w:t xml:space="preserve">distributed manufacturing </w:t>
      </w:r>
      <w:r w:rsidR="00747F58">
        <w:t>units (</w:t>
      </w:r>
      <w:r>
        <w:t>DMUs</w:t>
      </w:r>
      <w:r w:rsidR="00747F58">
        <w:t>)</w:t>
      </w:r>
      <w:r>
        <w:t xml:space="preserve"> within a DME as individual establishments requiring separate registrations.  </w:t>
      </w:r>
      <w:r w:rsidR="00AA4B7F">
        <w:t xml:space="preserve">The </w:t>
      </w:r>
      <w:r w:rsidRPr="00DD14AD" w:rsidR="00AA4B7F">
        <w:t>proposed rule would also explicitly provide that registrants of a DME inform FDA of the relocation of a DMU in advance of the move as opposed to the current requirement to notify FDA up to 30 days after a change in address.</w:t>
      </w:r>
    </w:p>
    <w:p w:rsidR="00E867D0" w:rsidP="00A416D7" w14:paraId="243A0C8A" w14:textId="77777777"/>
    <w:p w:rsidR="00C2403F" w:rsidP="00A416D7" w14:paraId="7C1112CC" w14:textId="31584E7E">
      <w:r>
        <w:t xml:space="preserve">The </w:t>
      </w:r>
      <w:r w:rsidRPr="00161833">
        <w:t xml:space="preserve">proposed rule, if finalized, would also align drug establishment registration and drug listing regulations applicable to foreign drug establishments with clarifying changes to statute made by section 2511 of the </w:t>
      </w:r>
      <w:r w:rsidRPr="00591EF8">
        <w:t xml:space="preserve">Prepare for and Respond to Existing Viruses, Emerging New Threats, and Pandemics Act </w:t>
      </w:r>
      <w:r>
        <w:t>(</w:t>
      </w:r>
      <w:r w:rsidRPr="00161833">
        <w:t>PREVENT Pandemics Act</w:t>
      </w:r>
      <w:r>
        <w:t>)</w:t>
      </w:r>
      <w:r w:rsidRPr="00161833">
        <w:t>. Namely, the proposed rule would clarify the requirement of registration of foreign establishments that manufacture, prepare, propagate, compound, or process a drug that is imported or offered for import into the United States, regardless of whether the drug first undergoes further manufacture, preparation, propagation, compounding, or processing at a separate establishment outside the United States. The proposed rule would also clarify that such foreign establishments must list such drugs. The changes made by the PREVENT Pandemics Act to section 510 of the Food, Drug, and Cosmetic Act (FD&amp;C Act) only clarified existing requirements, and we note that these statutory provisions are self-implementing even in the absence of the proposed rule.</w:t>
      </w:r>
      <w:r>
        <w:t xml:space="preserve">  </w:t>
      </w:r>
    </w:p>
    <w:p w:rsidR="00E867D0" w:rsidP="00A416D7" w14:paraId="2F6F696D" w14:textId="77777777"/>
    <w:p w:rsidR="00021A93" w:rsidP="00A416D7" w14:paraId="7875AC19" w14:textId="2FAF7805">
      <w:r>
        <w:t xml:space="preserve">This proposed rule is necessary to provide </w:t>
      </w:r>
      <w:r w:rsidRPr="00BB6867">
        <w:t>clear instructions specific</w:t>
      </w:r>
      <w:r>
        <w:t xml:space="preserve"> to</w:t>
      </w:r>
      <w:r w:rsidRPr="00BB6867">
        <w:t xml:space="preserve"> registering DMEs</w:t>
      </w:r>
      <w:r>
        <w:t xml:space="preserve"> to </w:t>
      </w:r>
      <w:r w:rsidRPr="001D38DA">
        <w:t xml:space="preserve">eliminate </w:t>
      </w:r>
      <w:r>
        <w:t xml:space="preserve">duplicate submission of registration information. </w:t>
      </w:r>
      <w:r w:rsidRPr="00E25FBD">
        <w:t xml:space="preserve"> This proposed rule is </w:t>
      </w:r>
      <w:r>
        <w:t xml:space="preserve">also </w:t>
      </w:r>
      <w:r w:rsidRPr="00E25FBD">
        <w:t xml:space="preserve">necessary to update the drug establishment registration and listing regulations for foreign establishments to </w:t>
      </w:r>
      <w:r w:rsidRPr="00E25FBD">
        <w:t>align them with the recent clarifying changes to the statute made by section 2511 of the PREVENT Pandemics Ac</w:t>
      </w:r>
      <w:r>
        <w:t xml:space="preserve">t.  </w:t>
      </w:r>
    </w:p>
    <w:p w:rsidR="00AC33E6" w:rsidRPr="009E563B" w:rsidP="00AC33E6" w14:paraId="297C436E" w14:textId="77777777">
      <w:pPr>
        <w:rPr>
          <w:rFonts w:eastAsia="Calibri"/>
          <w:color w:val="4472C4" w:themeColor="accent1"/>
        </w:rPr>
      </w:pPr>
    </w:p>
    <w:p w:rsidR="00646FAA" w:rsidRPr="00EE2835" w:rsidP="00EE2835" w14:paraId="34DA3DE9" w14:textId="3140089D">
      <w:pPr>
        <w:pStyle w:val="ListParagraph"/>
        <w:numPr>
          <w:ilvl w:val="0"/>
          <w:numId w:val="6"/>
        </w:numPr>
        <w:spacing w:after="200" w:line="276" w:lineRule="auto"/>
        <w:rPr>
          <w:rFonts w:eastAsia="Calibri"/>
          <w:u w:val="single"/>
        </w:rPr>
      </w:pPr>
      <w:r w:rsidRPr="00EE2835">
        <w:rPr>
          <w:rFonts w:eastAsia="Calibri"/>
          <w:u w:val="single"/>
        </w:rPr>
        <w:t xml:space="preserve">Purpose and Use of the Information Collection </w:t>
      </w:r>
    </w:p>
    <w:p w:rsidR="00AC33E6" w:rsidP="00646FAA" w14:paraId="1BEF0C5B" w14:textId="2ECB03C0">
      <w:pPr>
        <w:rPr>
          <w:color w:val="4472C4" w:themeColor="accent1"/>
        </w:rPr>
      </w:pPr>
      <w:r w:rsidRPr="00984031">
        <w:t>The proposed rule is intended to decrease the regulatory burden for industry, while enabling FDA to obtain the necessary information about manufacturing establishments, in a timely manner, to support FDA programs and public health initiatives.</w:t>
      </w:r>
      <w:r>
        <w:t xml:space="preserve">  </w:t>
      </w:r>
      <w:r w:rsidR="009211F4">
        <w:rPr>
          <w:spacing w:val="2"/>
          <w:position w:val="-1"/>
        </w:rPr>
        <w:t>We use</w:t>
      </w:r>
      <w:r w:rsidRPr="004B6A66">
        <w:rPr>
          <w:spacing w:val="2"/>
          <w:position w:val="-1"/>
        </w:rPr>
        <w:t xml:space="preserve"> drug establishment registration and drug listing information from</w:t>
      </w:r>
      <w:r w:rsidR="00702BAC">
        <w:rPr>
          <w:spacing w:val="2"/>
          <w:position w:val="-1"/>
        </w:rPr>
        <w:t xml:space="preserve"> domestic and</w:t>
      </w:r>
      <w:r w:rsidRPr="004B6A66">
        <w:rPr>
          <w:spacing w:val="2"/>
          <w:position w:val="-1"/>
        </w:rPr>
        <w:t xml:space="preserve"> foreign establishments </w:t>
      </w:r>
      <w:r w:rsidR="00702BAC">
        <w:rPr>
          <w:spacing w:val="2"/>
          <w:position w:val="-1"/>
        </w:rPr>
        <w:t xml:space="preserve">to </w:t>
      </w:r>
      <w:r w:rsidRPr="004B6A66">
        <w:rPr>
          <w:spacing w:val="2"/>
          <w:position w:val="-1"/>
        </w:rPr>
        <w:t xml:space="preserve">enhance </w:t>
      </w:r>
      <w:r w:rsidR="00702BAC">
        <w:rPr>
          <w:spacing w:val="2"/>
          <w:position w:val="-1"/>
        </w:rPr>
        <w:t>our</w:t>
      </w:r>
      <w:r w:rsidRPr="004B6A66">
        <w:rPr>
          <w:spacing w:val="2"/>
          <w:position w:val="-1"/>
        </w:rPr>
        <w:t xml:space="preserve"> visibility into the drug supply chain</w:t>
      </w:r>
      <w:r w:rsidR="00702BAC">
        <w:rPr>
          <w:spacing w:val="2"/>
          <w:position w:val="-1"/>
        </w:rPr>
        <w:t>.</w:t>
      </w:r>
      <w:r w:rsidRPr="004B6A66">
        <w:rPr>
          <w:spacing w:val="2"/>
          <w:position w:val="-1"/>
        </w:rPr>
        <w:t xml:space="preserve"> </w:t>
      </w:r>
      <w:r w:rsidR="008C065B">
        <w:rPr>
          <w:spacing w:val="2"/>
          <w:position w:val="-1"/>
        </w:rPr>
        <w:t xml:space="preserve"> </w:t>
      </w:r>
      <w:r w:rsidR="008C065B">
        <w:rPr>
          <w:iCs/>
        </w:rPr>
        <w:t>We also use</w:t>
      </w:r>
      <w:r w:rsidRPr="003301C6" w:rsidR="008C065B">
        <w:rPr>
          <w:iCs/>
        </w:rPr>
        <w:t xml:space="preserve"> drug establishment registration and drug listing information</w:t>
      </w:r>
      <w:r w:rsidR="008C065B">
        <w:rPr>
          <w:iCs/>
        </w:rPr>
        <w:t xml:space="preserve"> from foreign establishments to</w:t>
      </w:r>
      <w:r w:rsidRPr="003301C6" w:rsidR="008C065B">
        <w:rPr>
          <w:iCs/>
        </w:rPr>
        <w:t xml:space="preserve"> </w:t>
      </w:r>
      <w:r w:rsidRPr="004B6A66">
        <w:rPr>
          <w:spacing w:val="2"/>
          <w:position w:val="-1"/>
        </w:rPr>
        <w:t>enhance our ability to prevent the importation of drugs that do not comply with current good manufacturing practice requirements or are otherwise adulterated or misbranded.</w:t>
      </w:r>
      <w:r w:rsidRPr="00984031" w:rsidR="00E81F0D">
        <w:t xml:space="preserve"> </w:t>
      </w:r>
      <w:r w:rsidRPr="003B5566" w:rsidR="007E7435">
        <w:rPr>
          <w:iCs/>
        </w:rPr>
        <w:t>These statutory provisions provide better visibility into foreign sources of drugs and ingredients, which might enable more narrowly targeted responses to safety concerns related to certain known suppliers.</w:t>
      </w:r>
      <w:r w:rsidR="007E7435">
        <w:rPr>
          <w:iCs/>
        </w:rPr>
        <w:t xml:space="preserve">  </w:t>
      </w:r>
      <w:r w:rsidRPr="00984031" w:rsidR="00984031">
        <w:t xml:space="preserve">We are </w:t>
      </w:r>
      <w:r w:rsidR="003D33E1">
        <w:t xml:space="preserve">also </w:t>
      </w:r>
      <w:r w:rsidRPr="00984031" w:rsidR="00984031">
        <w:t xml:space="preserve">undertaking this rulemaking to establish a registration pathway appropriate for DMEs.  </w:t>
      </w:r>
      <w:r w:rsidR="00B9293A">
        <w:t>As noted, t</w:t>
      </w:r>
      <w:r w:rsidRPr="001D38DA" w:rsidR="00273518">
        <w:t xml:space="preserve">he proposed rule would eliminate </w:t>
      </w:r>
      <w:r w:rsidR="00273518">
        <w:t>duplicate submission of registration information</w:t>
      </w:r>
      <w:r w:rsidRPr="001D38DA" w:rsidR="00273518">
        <w:t xml:space="preserve"> by not treating DMUs within a DME as individual establishments requiring </w:t>
      </w:r>
      <w:r w:rsidRPr="00E10C3F" w:rsidR="00273518">
        <w:t xml:space="preserve">separate registrations.  </w:t>
      </w:r>
    </w:p>
    <w:p w:rsidR="00AC33E6" w:rsidP="00646FAA" w14:paraId="3BD7B9DF" w14:textId="77777777">
      <w:pPr>
        <w:rPr>
          <w:color w:val="4472C4" w:themeColor="accent1"/>
        </w:rPr>
      </w:pPr>
    </w:p>
    <w:p w:rsidR="00CE7C0F" w:rsidP="007939FF" w14:paraId="67E48A15" w14:textId="2B250C4F">
      <w:pPr>
        <w:autoSpaceDE w:val="0"/>
        <w:autoSpaceDN w:val="0"/>
        <w:adjustRightInd w:val="0"/>
      </w:pPr>
      <w:r w:rsidRPr="007071B1">
        <w:t>The information collection is used in support of FDA’s mission to protect the public health through postmarketing surveillance for serious adverse drug reactions, inspection of drug manufacturing and processing facilities, monitoring of drug products imported into the United States, and collection of manufacturing amount information.</w:t>
      </w:r>
      <w:r w:rsidR="009A073D">
        <w:t xml:space="preserve">  </w:t>
      </w:r>
      <w:r w:rsidR="00E3125E">
        <w:t>W</w:t>
      </w:r>
      <w:r w:rsidRPr="00086D6C" w:rsidR="00E3125E">
        <w:t xml:space="preserve">ithout the information provided by respondents regarding </w:t>
      </w:r>
      <w:r w:rsidR="00E3125E">
        <w:t xml:space="preserve">their drug establishments, </w:t>
      </w:r>
      <w:r w:rsidRPr="00086D6C" w:rsidR="00E3125E">
        <w:t>we would not be able to adequately protect the public health by assuring their safety and efficacy.</w:t>
      </w:r>
    </w:p>
    <w:p w:rsidR="00E3125E" w:rsidP="007939FF" w14:paraId="1EAB05D0" w14:textId="77777777">
      <w:pPr>
        <w:autoSpaceDE w:val="0"/>
        <w:autoSpaceDN w:val="0"/>
        <w:adjustRightInd w:val="0"/>
        <w:rPr>
          <w:rFonts w:ascii="TimesNewRomanPSMT" w:eastAsia="Calibri" w:hAnsi="TimesNewRomanPSMT" w:cs="TimesNewRomanPSMT"/>
          <w:color w:val="4472C4" w:themeColor="accent1"/>
        </w:rPr>
      </w:pPr>
    </w:p>
    <w:p w:rsidR="00357C8A" w:rsidRPr="00357C8A" w:rsidP="00EE2835"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FC10E5" w:rsidP="0022425B" w14:paraId="4134D511" w14:textId="7BB2621B">
      <w:pPr>
        <w:spacing w:after="200"/>
        <w:rPr>
          <w:rFonts w:eastAsia="Calibri"/>
        </w:rPr>
      </w:pPr>
      <w:r w:rsidRPr="00FC10E5">
        <w:rPr>
          <w:rFonts w:eastAsia="Calibri"/>
        </w:rPr>
        <w:t>Electronic reporting is mandatory for this information collection; however, respondents may request waivers in individual cases.  Registration of establishments takes place annually during the period beginning on October 1 and ending on December 31. We estimate that all respondents will submit the information electronically, unless exempted.</w:t>
      </w:r>
    </w:p>
    <w:p w:rsidR="00357C8A" w:rsidRPr="00357C8A" w:rsidP="00EE2835"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907304" w:rsidP="0053380B" w14:paraId="298CB76E" w14:textId="60C7452A">
      <w:pPr>
        <w:spacing w:after="200"/>
      </w:pPr>
      <w:r w:rsidRPr="00907304">
        <w:t xml:space="preserve">We are </w:t>
      </w:r>
      <w:r w:rsidR="008E2BBE">
        <w:t xml:space="preserve">not </w:t>
      </w:r>
      <w:r w:rsidRPr="00907304">
        <w:t>aware of duplicative information collection.</w:t>
      </w:r>
      <w:r w:rsidR="004F1F6E">
        <w:t xml:space="preserve">  </w:t>
      </w:r>
    </w:p>
    <w:p w:rsidR="00357C8A" w:rsidRPr="00907304" w:rsidP="00EE2835" w14:paraId="0380A9B1" w14:textId="77777777">
      <w:pPr>
        <w:numPr>
          <w:ilvl w:val="0"/>
          <w:numId w:val="6"/>
        </w:numPr>
        <w:spacing w:after="200" w:line="276" w:lineRule="auto"/>
        <w:rPr>
          <w:rFonts w:eastAsia="Calibri"/>
        </w:rPr>
      </w:pPr>
      <w:r w:rsidRPr="00907304">
        <w:rPr>
          <w:rFonts w:eastAsia="Calibri"/>
          <w:u w:val="single"/>
        </w:rPr>
        <w:t>Impact on Small Businesses or Other Small Entities</w:t>
      </w:r>
    </w:p>
    <w:p w:rsidR="007603EC" w:rsidRPr="00F50E23" w:rsidP="007603EC" w14:paraId="5E3F9332" w14:textId="669F788A">
      <w:pPr>
        <w:spacing w:after="200"/>
      </w:pPr>
      <w:r>
        <w:t xml:space="preserve">We do not believe the proposed information collection poses undue burden on small entities.  At the same time, </w:t>
      </w:r>
      <w:r w:rsidRPr="00C05233">
        <w:t>FDA</w:t>
      </w:r>
      <w:r w:rsidRPr="00D82FEC">
        <w:t xml:space="preserve"> </w:t>
      </w:r>
      <w:r w:rsidRPr="00C05233">
        <w:t>has</w:t>
      </w:r>
      <w:r w:rsidRPr="00D82FEC">
        <w:t xml:space="preserve"> </w:t>
      </w:r>
      <w:r w:rsidRPr="00C05233">
        <w:t>established</w:t>
      </w:r>
      <w:r w:rsidRPr="00D82FEC">
        <w:t xml:space="preserve"> </w:t>
      </w:r>
      <w:r w:rsidRPr="00C05233">
        <w:t>various</w:t>
      </w:r>
      <w:r w:rsidRPr="00D82FEC">
        <w:t xml:space="preserve"> </w:t>
      </w:r>
      <w:r w:rsidRPr="00C05233">
        <w:t>agency</w:t>
      </w:r>
      <w:r w:rsidRPr="00D82FEC">
        <w:t xml:space="preserve"> components </w:t>
      </w:r>
      <w:r w:rsidRPr="00C05233">
        <w:t>to</w:t>
      </w:r>
      <w:r w:rsidRPr="00D82FEC">
        <w:t xml:space="preserve"> </w:t>
      </w:r>
      <w:r w:rsidRPr="00C05233">
        <w:t>assist</w:t>
      </w:r>
      <w:r w:rsidRPr="00D82FEC">
        <w:t xml:space="preserve"> small </w:t>
      </w:r>
      <w:r w:rsidRPr="00C05233">
        <w:t>businesses</w:t>
      </w:r>
      <w:r w:rsidRPr="00D82FEC">
        <w:t xml:space="preserve"> </w:t>
      </w:r>
      <w:r w:rsidRPr="00C05233">
        <w:t>in</w:t>
      </w:r>
      <w:r w:rsidRPr="00D82FEC">
        <w:t xml:space="preserve"> complying </w:t>
      </w:r>
      <w:r w:rsidRPr="00C05233">
        <w:t>with</w:t>
      </w:r>
      <w:r w:rsidRPr="00D82FEC">
        <w:t xml:space="preserve"> </w:t>
      </w:r>
      <w:r w:rsidRPr="00C05233">
        <w:t>our</w:t>
      </w:r>
      <w:r w:rsidRPr="00D82FEC">
        <w:t xml:space="preserve"> </w:t>
      </w:r>
      <w:r w:rsidRPr="00C05233">
        <w:t>regulations</w:t>
      </w:r>
      <w:r w:rsidRPr="00D82FEC">
        <w:t xml:space="preserve">. </w:t>
      </w:r>
      <w:r>
        <w:t xml:space="preserve"> </w:t>
      </w:r>
      <w:r w:rsidRPr="00C05233">
        <w:t>Contact</w:t>
      </w:r>
      <w:r w:rsidRPr="00D82FEC">
        <w:t xml:space="preserve"> information may </w:t>
      </w:r>
      <w:r w:rsidRPr="00C05233">
        <w:t>be</w:t>
      </w:r>
      <w:r w:rsidRPr="00D82FEC">
        <w:t xml:space="preserve"> </w:t>
      </w:r>
      <w:r w:rsidRPr="00C05233">
        <w:t>found</w:t>
      </w:r>
      <w:r w:rsidRPr="00D82FEC">
        <w:t xml:space="preserve"> </w:t>
      </w:r>
      <w:r w:rsidRPr="00C05233">
        <w:t>on</w:t>
      </w:r>
      <w:r w:rsidRPr="00D82FEC">
        <w:t xml:space="preserve"> </w:t>
      </w:r>
      <w:r w:rsidRPr="00C05233">
        <w:t>our</w:t>
      </w:r>
      <w:r w:rsidRPr="00D82FEC">
        <w:t xml:space="preserve"> </w:t>
      </w:r>
      <w:r w:rsidRPr="00C05233">
        <w:t>website</w:t>
      </w:r>
      <w:r w:rsidRPr="00D82FEC">
        <w:t xml:space="preserve"> </w:t>
      </w:r>
      <w:r w:rsidRPr="00C05233">
        <w:t>at</w:t>
      </w:r>
      <w:r w:rsidRPr="00D82FEC">
        <w:t xml:space="preserve"> </w:t>
      </w:r>
      <w:hyperlink r:id="rId7" w:history="1">
        <w:r w:rsidRPr="004808EE">
          <w:rPr>
            <w:color w:val="000000"/>
            <w:spacing w:val="-1"/>
          </w:rPr>
          <w:t>https://www.fda.gov/industry/small-business-assistance</w:t>
        </w:r>
      </w:hyperlink>
      <w:r w:rsidRPr="00FA50D4">
        <w:t>.</w:t>
      </w:r>
    </w:p>
    <w:p w:rsidR="00357C8A" w:rsidRPr="00357C8A" w:rsidP="00EE2835" w14:paraId="0AE88DF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357C8A" w14:paraId="47E61DDE" w14:textId="5B4BE05B">
      <w:pPr>
        <w:spacing w:after="200"/>
        <w:rPr>
          <w:rFonts w:eastAsia="Calibri"/>
        </w:rPr>
      </w:pPr>
      <w:r w:rsidRPr="00AB0424">
        <w:rPr>
          <w:rFonts w:eastAsia="Calibri"/>
        </w:rPr>
        <w:t>The</w:t>
      </w:r>
      <w:r w:rsidR="004F21CC">
        <w:rPr>
          <w:rFonts w:eastAsia="Calibri"/>
        </w:rPr>
        <w:t xml:space="preserve"> proposed </w:t>
      </w:r>
      <w:r w:rsidRPr="00AB0424">
        <w:rPr>
          <w:rFonts w:eastAsia="Calibri"/>
        </w:rPr>
        <w:t>information collection schedule is consistent with statutory and regulatory requirements.</w:t>
      </w:r>
    </w:p>
    <w:p w:rsidR="00462BC9" w:rsidRPr="00E90F69" w:rsidP="00357C8A" w14:paraId="78E1C36C" w14:textId="77777777">
      <w:pPr>
        <w:spacing w:after="200"/>
        <w:rPr>
          <w:rFonts w:eastAsia="Calibri"/>
        </w:rPr>
      </w:pPr>
    </w:p>
    <w:p w:rsidR="00357C8A" w:rsidRPr="00BF48DE" w:rsidP="00EE2835" w14:paraId="513A7D20" w14:textId="77777777">
      <w:pPr>
        <w:numPr>
          <w:ilvl w:val="0"/>
          <w:numId w:val="6"/>
        </w:numPr>
        <w:spacing w:after="200" w:line="276" w:lineRule="auto"/>
        <w:rPr>
          <w:rFonts w:eastAsia="Calibri"/>
        </w:rPr>
      </w:pPr>
      <w:r w:rsidRPr="00357C8A">
        <w:rPr>
          <w:rFonts w:eastAsia="Calibri"/>
          <w:u w:val="single"/>
        </w:rPr>
        <w:t xml:space="preserve">Special Circumstances Relating to the </w:t>
      </w:r>
      <w:r w:rsidRPr="00BF48DE">
        <w:rPr>
          <w:rFonts w:eastAsia="Calibri"/>
          <w:u w:val="single"/>
        </w:rPr>
        <w:t>Guidelines of 5 CFR 1320.5</w:t>
      </w:r>
    </w:p>
    <w:p w:rsidR="00357C8A" w:rsidRPr="00BF48DE" w:rsidP="0022425B" w14:paraId="5E153480" w14:textId="3A904EA8">
      <w:pPr>
        <w:spacing w:after="200"/>
        <w:rPr>
          <w:rFonts w:eastAsia="Calibri"/>
        </w:rPr>
      </w:pPr>
      <w:r w:rsidRPr="002605C6">
        <w:rPr>
          <w:rFonts w:eastAsia="Calibri"/>
        </w:rPr>
        <w:t>No special circumstances are associated with the information collection</w:t>
      </w:r>
      <w:r w:rsidRPr="00BF48DE" w:rsidR="0010493E">
        <w:rPr>
          <w:rFonts w:eastAsia="Calibri"/>
        </w:rPr>
        <w:t>.</w:t>
      </w:r>
    </w:p>
    <w:p w:rsidR="00357C8A" w:rsidRPr="00BF48DE" w:rsidP="00EE2835" w14:paraId="17931CD8" w14:textId="77777777">
      <w:pPr>
        <w:numPr>
          <w:ilvl w:val="0"/>
          <w:numId w:val="6"/>
        </w:numPr>
        <w:spacing w:after="200" w:line="276" w:lineRule="auto"/>
        <w:rPr>
          <w:rFonts w:eastAsia="Calibri"/>
        </w:rPr>
      </w:pPr>
      <w:r w:rsidRPr="00BF48DE">
        <w:rPr>
          <w:rFonts w:eastAsia="Calibri"/>
          <w:u w:val="single"/>
        </w:rPr>
        <w:t>Comments in Response to the Federal Register Notice and Efforts to Consult Outside the Agency</w:t>
      </w:r>
    </w:p>
    <w:p w:rsidR="00357C8A" w:rsidRPr="009B59C8" w:rsidP="00357C8A" w14:paraId="07A8E05C" w14:textId="3567A1E4">
      <w:pPr>
        <w:spacing w:after="200"/>
        <w:rPr>
          <w:rFonts w:eastAsia="Calibri"/>
        </w:rPr>
      </w:pPr>
      <w:r w:rsidRPr="009B59C8">
        <w:rPr>
          <w:rFonts w:eastAsia="Calibri"/>
        </w:rPr>
        <w:t>In accordance with 5 CFR 1320.11</w:t>
      </w:r>
      <w:r w:rsidR="007D330F">
        <w:rPr>
          <w:rFonts w:eastAsia="Calibri"/>
        </w:rPr>
        <w:t>(a)</w:t>
      </w:r>
      <w:r w:rsidRPr="009B59C8">
        <w:rPr>
          <w:rFonts w:eastAsia="Calibri"/>
        </w:rPr>
        <w:t xml:space="preserve">, </w:t>
      </w:r>
      <w:r w:rsidRPr="00756370" w:rsidR="00756370">
        <w:rPr>
          <w:rFonts w:eastAsia="Calibri"/>
        </w:rPr>
        <w:t xml:space="preserve">a statement that the collections of information contained in the proposed rule, and identified as such, have been submitted to OMB for review under </w:t>
      </w:r>
      <w:r w:rsidR="007908FD">
        <w:rPr>
          <w:rFonts w:eastAsia="Calibri"/>
        </w:rPr>
        <w:t xml:space="preserve">44 U.S.C. </w:t>
      </w:r>
      <w:r w:rsidRPr="00756370" w:rsidR="00756370">
        <w:rPr>
          <w:rFonts w:eastAsia="Calibri"/>
        </w:rPr>
        <w:t>3507(d) of the Act</w:t>
      </w:r>
      <w:r w:rsidR="007908FD">
        <w:rPr>
          <w:rFonts w:eastAsia="Calibri"/>
        </w:rPr>
        <w:t xml:space="preserve">, </w:t>
      </w:r>
      <w:r w:rsidR="00755F8B">
        <w:rPr>
          <w:rFonts w:eastAsia="Calibri"/>
        </w:rPr>
        <w:t xml:space="preserve">is </w:t>
      </w:r>
      <w:r w:rsidRPr="00755F8B" w:rsidR="00755F8B">
        <w:rPr>
          <w:rFonts w:eastAsia="Calibri"/>
        </w:rPr>
        <w:t>include</w:t>
      </w:r>
      <w:r w:rsidR="00755F8B">
        <w:rPr>
          <w:rFonts w:eastAsia="Calibri"/>
        </w:rPr>
        <w:t>d in the preamble to the proposed rulemaking</w:t>
      </w:r>
      <w:r w:rsidR="001F38FB">
        <w:rPr>
          <w:rFonts w:eastAsia="Calibri"/>
        </w:rPr>
        <w:t xml:space="preserve">, </w:t>
      </w:r>
      <w:r w:rsidR="004A16D3">
        <w:rPr>
          <w:rFonts w:eastAsia="Calibri"/>
        </w:rPr>
        <w:t>providing for</w:t>
      </w:r>
      <w:r w:rsidR="009908F3">
        <w:rPr>
          <w:rFonts w:eastAsia="Calibri"/>
        </w:rPr>
        <w:t xml:space="preserve"> </w:t>
      </w:r>
      <w:r w:rsidRPr="009B59C8">
        <w:rPr>
          <w:rFonts w:eastAsia="Calibri"/>
        </w:rPr>
        <w:t>a 30-day public comment period on the proposed information collection</w:t>
      </w:r>
      <w:r w:rsidR="0098442B">
        <w:rPr>
          <w:rFonts w:eastAsia="Calibri"/>
        </w:rPr>
        <w:t>,</w:t>
      </w:r>
      <w:r w:rsidR="00305022">
        <w:rPr>
          <w:rFonts w:eastAsia="Calibri"/>
        </w:rPr>
        <w:t xml:space="preserve"> pursuant to the requirements in 5 CFR</w:t>
      </w:r>
      <w:r w:rsidR="001F38FB">
        <w:rPr>
          <w:rFonts w:eastAsia="Calibri"/>
        </w:rPr>
        <w:t xml:space="preserve"> </w:t>
      </w:r>
      <w:r w:rsidR="00305022">
        <w:rPr>
          <w:rFonts w:eastAsia="Calibri"/>
        </w:rPr>
        <w:t>1320.5(a)(1)(iv)</w:t>
      </w:r>
      <w:r w:rsidR="001F38FB">
        <w:rPr>
          <w:rFonts w:eastAsia="Calibri"/>
        </w:rPr>
        <w:t xml:space="preserve"> and 5 CFR 1320.8(d)(1) and (3)</w:t>
      </w:r>
      <w:r w:rsidRPr="009B59C8">
        <w:rPr>
          <w:rFonts w:eastAsia="Calibri"/>
        </w:rPr>
        <w:t>.  In addition, regarding DME registration, FDA requested and received public comment on FDA’s Discussion Paper: Distributed Manufacturing and Point-of-Care Manufacturing of Drugs; Request for Information and Comments (87 FR 62416), which was described in FDA’s report</w:t>
      </w:r>
      <w:r w:rsidR="002E1274">
        <w:rPr>
          <w:rFonts w:eastAsia="Calibri"/>
        </w:rPr>
        <w:t>,</w:t>
      </w:r>
      <w:r w:rsidRPr="009B59C8">
        <w:rPr>
          <w:rFonts w:eastAsia="Calibri"/>
        </w:rPr>
        <w:t xml:space="preserve"> Distributed Manufacturing of Drugs: Stakeholder Feedback and Action Plan (November 2023). The discussion paper and public comments addressed challenges using existing regulatory processes (e.g., establishment registration) that could be a significant burden on both the industry and FDA. The proposed rule incorporates recommendations from industry stakeholders to reduce the burden for manufacturers and provide resource savings for both industry and FDA.</w:t>
      </w:r>
    </w:p>
    <w:p w:rsidR="00357C8A" w:rsidRPr="00357C8A" w:rsidP="00EE2835"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A63D17" w:rsidP="00357C8A" w14:paraId="2A6742FE" w14:textId="765B0044">
      <w:pPr>
        <w:spacing w:after="200"/>
        <w:rPr>
          <w:rFonts w:eastAsia="Calibri"/>
          <w:i/>
        </w:rPr>
      </w:pPr>
      <w:r w:rsidRPr="002074FE">
        <w:rPr>
          <w:rFonts w:eastAsia="Calibri"/>
        </w:rPr>
        <w:t>There are no incentives, payments or gifts associated with this information collection.</w:t>
      </w:r>
    </w:p>
    <w:p w:rsidR="00357C8A" w:rsidRPr="00357C8A" w:rsidP="00EE2835" w14:paraId="51F27BA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016A4" w:rsidP="005016A4" w14:paraId="2B466BE1" w14:textId="77777777">
      <w:pPr>
        <w:spacing w:after="200"/>
        <w:rPr>
          <w:i/>
          <w:iCs/>
        </w:rPr>
      </w:pPr>
      <w:r>
        <w:rPr>
          <w:i/>
          <w:iCs/>
        </w:rPr>
        <w:t>The Privacy Act of 1974 (5 U.S.C. 552a)</w:t>
      </w:r>
    </w:p>
    <w:p w:rsidR="005016A4" w:rsidP="005016A4" w14:paraId="47A56557" w14:textId="77777777">
      <w:pPr>
        <w:spacing w:after="200"/>
      </w:pPr>
      <w:r>
        <w:t>In preparing this Supporting Statement, we consulted our Privacy Office to ensure appropriate identification and handling of information collected.</w:t>
      </w:r>
    </w:p>
    <w:p w:rsidR="005016A4" w:rsidP="005016A4" w14:paraId="2F2D82D6" w14:textId="77777777">
      <w:pPr>
        <w:spacing w:after="200"/>
      </w:pPr>
      <w:r>
        <w:t>This ICR collects personally identifiable information (PII).  PII is collected in the context of the subject individuals’ professional capacity and the FDA-related work they perform for their employer (e.g., point of contact at a regulated entity). The PII submitted via the Registration of Producers of Drugs and Listing of Drugs in Commercial Distribution and Manufacturing Amount Information under Section 3112(e) of the Coronavirus Aid, Relief, and Economic Security (CARES) Act is name, work address, and work telephone numbers for the primary contact at a business.  FDA determined that although PII is collected, the collection is not subject to the Privacy Act of 1974 and the particular notice and other requirements of the Privacy Act do not apply. Specifically, the FDA does not use name or any other personal identifier to retrieve records from the information collected. Through appropriate webpage design, FDA limited submission fields and minimized the PII collected to protect the privacy of the individuals.</w:t>
      </w:r>
    </w:p>
    <w:p w:rsidR="005016A4" w:rsidP="005016A4" w14:paraId="0001297B" w14:textId="77777777">
      <w:pPr>
        <w:spacing w:after="200"/>
      </w:pPr>
      <w:r>
        <w:rPr>
          <w:i/>
          <w:iCs/>
        </w:rPr>
        <w:t>Freedom of Information Act (FOIA)</w:t>
      </w:r>
    </w:p>
    <w:p w:rsidR="005016A4" w:rsidP="005016A4" w14:paraId="47A11013" w14:textId="77777777">
      <w:pPr>
        <w:spacing w:after="200"/>
      </w:pPr>
      <w: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B93DE1" w:rsidP="00EE2835" w14:paraId="7C72B7DD" w14:textId="77777777">
      <w:pPr>
        <w:numPr>
          <w:ilvl w:val="0"/>
          <w:numId w:val="6"/>
        </w:numPr>
        <w:spacing w:after="200" w:line="276" w:lineRule="auto"/>
        <w:rPr>
          <w:rFonts w:eastAsia="Calibri"/>
          <w:iCs/>
        </w:rPr>
      </w:pPr>
      <w:r w:rsidRPr="00357C8A">
        <w:rPr>
          <w:rFonts w:eastAsia="Calibri"/>
          <w:u w:val="single"/>
        </w:rPr>
        <w:t>Justification for Sensitive Questions</w:t>
      </w:r>
    </w:p>
    <w:p w:rsidR="00357C8A" w:rsidRPr="00B93DE1" w:rsidP="0022425B" w14:paraId="56556319" w14:textId="062CD0B0">
      <w:pPr>
        <w:spacing w:after="200"/>
        <w:rPr>
          <w:rFonts w:eastAsia="Calibri"/>
          <w:iCs/>
        </w:rPr>
      </w:pPr>
      <w:r w:rsidRPr="00B93DE1">
        <w:rPr>
          <w:rFonts w:eastAsia="Calibri"/>
          <w:iCs/>
        </w:rPr>
        <w:t>The collection of information does not involve sensitive questions.</w:t>
      </w:r>
    </w:p>
    <w:p w:rsidR="00357C8A" w:rsidRPr="00357C8A" w:rsidP="00EE2835" w14:paraId="25A9650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A416D7" w:rsidP="00A416D7" w14:paraId="200D4F62" w14:textId="0FABFA4A">
      <w:pPr>
        <w:spacing w:after="200"/>
        <w:rPr>
          <w:rFonts w:eastAsia="Calibri"/>
        </w:rPr>
      </w:pPr>
      <w:r w:rsidRPr="00A416D7">
        <w:rPr>
          <w:i/>
          <w:iCs/>
        </w:rPr>
        <w:t>Description of Respondents:</w:t>
      </w:r>
      <w:r>
        <w:t xml:space="preserve"> Respondents to the </w:t>
      </w:r>
      <w:r w:rsidR="000F2863">
        <w:t xml:space="preserve">proposed </w:t>
      </w:r>
      <w:r>
        <w:t>collection of information are entities who manufacture a drug, or an animal feed bearing or containing a new animal drug, and those who manufacture a drug, or an animal feed bearing or containing a new animal drug that is imported or offered for import into the United States.</w:t>
      </w:r>
    </w:p>
    <w:p w:rsidR="00357C8A" w:rsidRPr="005C71CA" w:rsidP="0022425B" w14:paraId="658EF539" w14:textId="23ABACE8">
      <w:pPr>
        <w:spacing w:after="200"/>
        <w:ind w:left="360"/>
        <w:rPr>
          <w:rFonts w:eastAsia="Calibri"/>
        </w:rPr>
      </w:pPr>
      <w:r w:rsidRPr="005C71CA">
        <w:rPr>
          <w:rFonts w:eastAsia="Calibri"/>
        </w:rPr>
        <w:t xml:space="preserve">12a.  </w:t>
      </w:r>
      <w:r w:rsidRPr="006B0A65">
        <w:rPr>
          <w:rFonts w:eastAsia="Calibri"/>
        </w:rPr>
        <w:t>Annualized Hour Burden Estimate</w:t>
      </w:r>
      <w:r w:rsidR="008B7A61">
        <w:rPr>
          <w:rFonts w:eastAsia="Calibri"/>
        </w:rPr>
        <w:t xml:space="preserve">  </w:t>
      </w:r>
    </w:p>
    <w:p w:rsidR="00434D91" w:rsidP="005E51E5" w14:paraId="7D7D7306" w14:textId="77777777">
      <w:pPr>
        <w:spacing w:line="480" w:lineRule="auto"/>
        <w:contextualSpacing/>
        <w:textAlignment w:val="baseline"/>
      </w:pPr>
      <w:r w:rsidRPr="00717D6E">
        <w:t>We estimate the burden of the collection of information as follows:</w:t>
      </w:r>
    </w:p>
    <w:p w:rsidR="00434D91" w:rsidRPr="00763E22" w:rsidP="00434D91" w14:paraId="50B2BB78" w14:textId="15038F83">
      <w:pPr>
        <w:autoSpaceDE w:val="0"/>
        <w:autoSpaceDN w:val="0"/>
        <w:adjustRightInd w:val="0"/>
        <w:jc w:val="center"/>
        <w:rPr>
          <w:rFonts w:eastAsia="Calibri"/>
        </w:rPr>
      </w:pPr>
      <w:r w:rsidRPr="00763E22">
        <w:rPr>
          <w:rFonts w:eastAsia="Calibri"/>
        </w:rPr>
        <w:t xml:space="preserve">Table </w:t>
      </w:r>
      <w:r w:rsidR="00C82C53">
        <w:rPr>
          <w:rFonts w:eastAsia="Calibri"/>
        </w:rPr>
        <w:t>1</w:t>
      </w:r>
      <w:r w:rsidRPr="00763E22">
        <w:rPr>
          <w:rFonts w:eastAsia="Calibri"/>
        </w:rPr>
        <w:t>.--Estimated Annual Reporting Burde</w:t>
      </w:r>
      <w:r w:rsidR="00C82C53">
        <w:rPr>
          <w:rFonts w:eastAsia="Calibri"/>
        </w:rPr>
        <w:t>n</w:t>
      </w:r>
      <w:r w:rsidRPr="45E210CC" w:rsidR="00B42177">
        <w:rPr>
          <w:vertAlign w:val="superscript"/>
        </w:rPr>
        <w:t>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tblPr>
      <w:tblGrid>
        <w:gridCol w:w="2692"/>
        <w:gridCol w:w="1530"/>
        <w:gridCol w:w="1530"/>
        <w:gridCol w:w="1170"/>
        <w:gridCol w:w="1260"/>
        <w:gridCol w:w="993"/>
      </w:tblGrid>
      <w:tr w14:paraId="26F310E2" w14:textId="77777777" w:rsidTr="009F6B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tblPrEx>
        <w:tc>
          <w:tcPr>
            <w:tcW w:w="2692" w:type="dxa"/>
            <w:hideMark/>
          </w:tcPr>
          <w:p w:rsidR="00434D91" w:rsidRPr="00763E22" w:rsidP="00560CDD" w14:paraId="73CEC208" w14:textId="77777777">
            <w:pPr>
              <w:contextualSpacing/>
              <w:jc w:val="center"/>
            </w:pPr>
            <w:r>
              <w:t xml:space="preserve">Proposed </w:t>
            </w:r>
            <w:r w:rsidRPr="00763E22">
              <w:t xml:space="preserve">21 CFR </w:t>
            </w:r>
            <w:r>
              <w:t>Section; Activity</w:t>
            </w:r>
          </w:p>
        </w:tc>
        <w:tc>
          <w:tcPr>
            <w:tcW w:w="1530" w:type="dxa"/>
            <w:hideMark/>
          </w:tcPr>
          <w:p w:rsidR="00434D91" w:rsidRPr="00763E22" w:rsidP="00560CDD" w14:paraId="5DF6AC22" w14:textId="21C5DCBB">
            <w:pPr>
              <w:contextualSpacing/>
              <w:jc w:val="center"/>
            </w:pPr>
            <w:r w:rsidRPr="00763E22">
              <w:t xml:space="preserve">No. of </w:t>
            </w:r>
            <w:r w:rsidR="00890570">
              <w:t xml:space="preserve">Eligible </w:t>
            </w:r>
            <w:r w:rsidRPr="00763E22">
              <w:t>Respondents</w:t>
            </w:r>
          </w:p>
        </w:tc>
        <w:tc>
          <w:tcPr>
            <w:tcW w:w="1530" w:type="dxa"/>
            <w:hideMark/>
          </w:tcPr>
          <w:p w:rsidR="00434D91" w:rsidRPr="00763E22" w:rsidP="00560CDD" w14:paraId="5B367EAC" w14:textId="77777777">
            <w:pPr>
              <w:contextualSpacing/>
              <w:jc w:val="center"/>
            </w:pPr>
            <w:r w:rsidRPr="00763E22">
              <w:t>No. of Responses per Respondent</w:t>
            </w:r>
          </w:p>
        </w:tc>
        <w:tc>
          <w:tcPr>
            <w:tcW w:w="1170" w:type="dxa"/>
            <w:hideMark/>
          </w:tcPr>
          <w:p w:rsidR="00434D91" w:rsidRPr="00763E22" w:rsidP="00560CDD" w14:paraId="54A68305" w14:textId="77777777">
            <w:pPr>
              <w:contextualSpacing/>
              <w:jc w:val="center"/>
            </w:pPr>
            <w:r w:rsidRPr="00763E22">
              <w:t>Total Annual Responses</w:t>
            </w:r>
          </w:p>
        </w:tc>
        <w:tc>
          <w:tcPr>
            <w:tcW w:w="1260" w:type="dxa"/>
            <w:hideMark/>
          </w:tcPr>
          <w:p w:rsidR="00434D91" w:rsidRPr="00763E22" w:rsidP="00560CDD" w14:paraId="12FD3E4C" w14:textId="77777777">
            <w:pPr>
              <w:contextualSpacing/>
              <w:jc w:val="center"/>
            </w:pPr>
            <w:r w:rsidRPr="00763E22">
              <w:t>Average Burden per Response</w:t>
            </w:r>
          </w:p>
        </w:tc>
        <w:tc>
          <w:tcPr>
            <w:tcW w:w="993" w:type="dxa"/>
            <w:hideMark/>
          </w:tcPr>
          <w:p w:rsidR="00434D91" w:rsidRPr="00763E22" w:rsidP="00560CDD" w14:paraId="184B972B" w14:textId="77777777">
            <w:pPr>
              <w:contextualSpacing/>
              <w:jc w:val="center"/>
            </w:pPr>
            <w:r w:rsidRPr="00763E22">
              <w:t>Total Hours</w:t>
            </w:r>
          </w:p>
        </w:tc>
      </w:tr>
      <w:tr w14:paraId="5114638D" w14:textId="77777777" w:rsidTr="009F6B2D">
        <w:tblPrEx>
          <w:tblW w:w="0" w:type="auto"/>
          <w:tblLayout w:type="fixed"/>
          <w:tblCellMar>
            <w:left w:w="101" w:type="dxa"/>
            <w:right w:w="101" w:type="dxa"/>
          </w:tblCellMar>
          <w:tblLook w:val="04A0"/>
        </w:tblPrEx>
        <w:tc>
          <w:tcPr>
            <w:tcW w:w="9175" w:type="dxa"/>
            <w:gridSpan w:val="6"/>
            <w:vAlign w:val="center"/>
          </w:tcPr>
          <w:p w:rsidR="00300D91" w:rsidP="004974EF" w14:paraId="3C7434A5" w14:textId="22451990">
            <w:pPr>
              <w:contextualSpacing/>
            </w:pPr>
            <w:r>
              <w:rPr>
                <w:i/>
                <w:iCs/>
              </w:rPr>
              <w:t>Distributed Manufacturing</w:t>
            </w:r>
          </w:p>
        </w:tc>
      </w:tr>
      <w:tr w14:paraId="441E353B" w14:textId="77777777" w:rsidTr="009F6B2D">
        <w:tblPrEx>
          <w:tblW w:w="0" w:type="auto"/>
          <w:tblLayout w:type="fixed"/>
          <w:tblCellMar>
            <w:left w:w="101" w:type="dxa"/>
            <w:right w:w="101" w:type="dxa"/>
          </w:tblCellMar>
          <w:tblLook w:val="04A0"/>
        </w:tblPrEx>
        <w:tc>
          <w:tcPr>
            <w:tcW w:w="2692" w:type="dxa"/>
            <w:vAlign w:val="center"/>
          </w:tcPr>
          <w:p w:rsidR="00434D91" w:rsidRPr="000808A8" w:rsidP="00560CDD" w14:paraId="55DB73C9" w14:textId="77777777">
            <w:pPr>
              <w:contextualSpacing/>
            </w:pPr>
            <w:r w:rsidRPr="000808A8">
              <w:t xml:space="preserve">Proposed </w:t>
            </w:r>
            <w:r w:rsidRPr="000808A8">
              <w:rPr>
                <w:spacing w:val="1"/>
              </w:rPr>
              <w:t xml:space="preserve">§ </w:t>
            </w:r>
            <w:r w:rsidRPr="000808A8">
              <w:t>207.25(b); Registration of DME</w:t>
            </w:r>
          </w:p>
        </w:tc>
        <w:tc>
          <w:tcPr>
            <w:tcW w:w="1530" w:type="dxa"/>
            <w:vAlign w:val="center"/>
          </w:tcPr>
          <w:p w:rsidR="00434D91" w:rsidRPr="00763E22" w:rsidP="00560CDD" w14:paraId="5EF5BD02" w14:textId="4E51D425">
            <w:pPr>
              <w:contextualSpacing/>
              <w:jc w:val="right"/>
            </w:pPr>
            <w:r>
              <w:t>10,480</w:t>
            </w:r>
          </w:p>
        </w:tc>
        <w:tc>
          <w:tcPr>
            <w:tcW w:w="1530" w:type="dxa"/>
            <w:vAlign w:val="center"/>
          </w:tcPr>
          <w:p w:rsidR="00434D91" w:rsidRPr="00763E22" w:rsidP="00560CDD" w14:paraId="1460F183" w14:textId="2375467A">
            <w:pPr>
              <w:contextualSpacing/>
              <w:jc w:val="right"/>
            </w:pPr>
            <w:r>
              <w:t>&lt;</w:t>
            </w:r>
            <w:r w:rsidRPr="00763E22">
              <w:t>1</w:t>
            </w:r>
          </w:p>
        </w:tc>
        <w:tc>
          <w:tcPr>
            <w:tcW w:w="1170" w:type="dxa"/>
            <w:vAlign w:val="center"/>
          </w:tcPr>
          <w:p w:rsidR="00434D91" w:rsidRPr="00763E22" w:rsidP="00560CDD" w14:paraId="661DE4C3" w14:textId="77777777">
            <w:pPr>
              <w:contextualSpacing/>
              <w:jc w:val="right"/>
            </w:pPr>
            <w:r>
              <w:t>1</w:t>
            </w:r>
          </w:p>
        </w:tc>
        <w:tc>
          <w:tcPr>
            <w:tcW w:w="1260" w:type="dxa"/>
            <w:vAlign w:val="center"/>
          </w:tcPr>
          <w:p w:rsidR="00434D91" w:rsidRPr="00763E22" w:rsidP="00560CDD" w14:paraId="23DDF332" w14:textId="77777777">
            <w:pPr>
              <w:contextualSpacing/>
              <w:jc w:val="right"/>
            </w:pPr>
            <w:r>
              <w:t>1</w:t>
            </w:r>
          </w:p>
        </w:tc>
        <w:tc>
          <w:tcPr>
            <w:tcW w:w="993" w:type="dxa"/>
            <w:vAlign w:val="center"/>
          </w:tcPr>
          <w:p w:rsidR="00434D91" w:rsidRPr="00763E22" w:rsidP="00560CDD" w14:paraId="14C77D4A" w14:textId="77777777">
            <w:pPr>
              <w:contextualSpacing/>
              <w:jc w:val="right"/>
            </w:pPr>
            <w:r>
              <w:t>1</w:t>
            </w:r>
          </w:p>
        </w:tc>
      </w:tr>
      <w:tr w14:paraId="2710D979" w14:textId="77777777" w:rsidTr="009F6B2D">
        <w:tblPrEx>
          <w:tblW w:w="0" w:type="auto"/>
          <w:tblLayout w:type="fixed"/>
          <w:tblCellMar>
            <w:left w:w="101" w:type="dxa"/>
            <w:right w:w="101" w:type="dxa"/>
          </w:tblCellMar>
          <w:tblLook w:val="04A0"/>
        </w:tblPrEx>
        <w:tc>
          <w:tcPr>
            <w:tcW w:w="2692" w:type="dxa"/>
            <w:vAlign w:val="center"/>
          </w:tcPr>
          <w:p w:rsidR="00434D91" w:rsidRPr="000808A8" w:rsidP="00560CDD" w14:paraId="55ECFEDC" w14:textId="77777777">
            <w:pPr>
              <w:contextualSpacing/>
            </w:pPr>
            <w:r w:rsidRPr="000808A8">
              <w:t xml:space="preserve">Proposed </w:t>
            </w:r>
            <w:r w:rsidRPr="000808A8">
              <w:rPr>
                <w:spacing w:val="1"/>
              </w:rPr>
              <w:t>§</w:t>
            </w:r>
            <w:r w:rsidRPr="000808A8">
              <w:t xml:space="preserve"> 207.29(b); Updates to registration, for DMUs</w:t>
            </w:r>
          </w:p>
        </w:tc>
        <w:tc>
          <w:tcPr>
            <w:tcW w:w="1530" w:type="dxa"/>
            <w:vAlign w:val="center"/>
          </w:tcPr>
          <w:p w:rsidR="00434D91" w:rsidP="00560CDD" w14:paraId="7FFA235F" w14:textId="344469E2">
            <w:pPr>
              <w:contextualSpacing/>
              <w:jc w:val="right"/>
            </w:pPr>
            <w:r>
              <w:t>10,480</w:t>
            </w:r>
          </w:p>
        </w:tc>
        <w:tc>
          <w:tcPr>
            <w:tcW w:w="1530" w:type="dxa"/>
            <w:vAlign w:val="center"/>
          </w:tcPr>
          <w:p w:rsidR="00434D91" w:rsidRPr="00763E22" w:rsidP="00560CDD" w14:paraId="3A2BF178" w14:textId="0DC3E9DF">
            <w:pPr>
              <w:contextualSpacing/>
              <w:jc w:val="right"/>
            </w:pPr>
            <w:r>
              <w:t>&lt;1</w:t>
            </w:r>
          </w:p>
        </w:tc>
        <w:tc>
          <w:tcPr>
            <w:tcW w:w="1170" w:type="dxa"/>
            <w:vAlign w:val="center"/>
          </w:tcPr>
          <w:p w:rsidR="00434D91" w:rsidP="00560CDD" w14:paraId="42DB491B" w14:textId="77777777">
            <w:pPr>
              <w:contextualSpacing/>
              <w:jc w:val="right"/>
            </w:pPr>
            <w:r>
              <w:t>4</w:t>
            </w:r>
          </w:p>
        </w:tc>
        <w:tc>
          <w:tcPr>
            <w:tcW w:w="1260" w:type="dxa"/>
            <w:vAlign w:val="center"/>
          </w:tcPr>
          <w:p w:rsidR="00434D91" w:rsidRPr="00042099" w:rsidP="00560CDD" w14:paraId="719079B5" w14:textId="77777777">
            <w:pPr>
              <w:contextualSpacing/>
              <w:jc w:val="right"/>
            </w:pPr>
            <w:r w:rsidRPr="00042099">
              <w:t>0.5</w:t>
            </w:r>
          </w:p>
          <w:p w:rsidR="00434D91" w:rsidRPr="00763E22" w:rsidP="00560CDD" w14:paraId="4E99F9FB" w14:textId="77777777">
            <w:pPr>
              <w:contextualSpacing/>
              <w:jc w:val="right"/>
            </w:pPr>
            <w:r w:rsidRPr="00042099">
              <w:t>(30 minutes)</w:t>
            </w:r>
          </w:p>
        </w:tc>
        <w:tc>
          <w:tcPr>
            <w:tcW w:w="993" w:type="dxa"/>
            <w:vAlign w:val="center"/>
          </w:tcPr>
          <w:p w:rsidR="00434D91" w:rsidP="00560CDD" w14:paraId="0417FB50" w14:textId="77777777">
            <w:pPr>
              <w:contextualSpacing/>
              <w:jc w:val="right"/>
            </w:pPr>
            <w:r>
              <w:t>2</w:t>
            </w:r>
          </w:p>
        </w:tc>
      </w:tr>
      <w:tr w14:paraId="357AF75C" w14:textId="77777777" w:rsidTr="009F6B2D">
        <w:tblPrEx>
          <w:tblW w:w="0" w:type="auto"/>
          <w:tblLayout w:type="fixed"/>
          <w:tblCellMar>
            <w:left w:w="101" w:type="dxa"/>
            <w:right w:w="101" w:type="dxa"/>
          </w:tblCellMar>
          <w:tblLook w:val="04A0"/>
        </w:tblPrEx>
        <w:tc>
          <w:tcPr>
            <w:tcW w:w="9175" w:type="dxa"/>
            <w:gridSpan w:val="6"/>
            <w:vAlign w:val="center"/>
          </w:tcPr>
          <w:p w:rsidR="00300D91" w:rsidP="004974EF" w14:paraId="52A23FEB" w14:textId="2EB17894">
            <w:pPr>
              <w:contextualSpacing/>
            </w:pPr>
            <w:r w:rsidRPr="000A0F6F">
              <w:rPr>
                <w:i/>
                <w:iCs/>
              </w:rPr>
              <w:t>Foreign Drug Establishment Registration and Listing</w:t>
            </w:r>
          </w:p>
        </w:tc>
      </w:tr>
      <w:tr w14:paraId="1CE37CDA" w14:textId="77777777" w:rsidTr="009F6B2D">
        <w:tblPrEx>
          <w:tblW w:w="0" w:type="auto"/>
          <w:tblLayout w:type="fixed"/>
          <w:tblCellMar>
            <w:left w:w="101" w:type="dxa"/>
            <w:right w:w="101" w:type="dxa"/>
          </w:tblCellMar>
          <w:tblLook w:val="04A0"/>
        </w:tblPrEx>
        <w:tc>
          <w:tcPr>
            <w:tcW w:w="2692" w:type="dxa"/>
            <w:vAlign w:val="center"/>
          </w:tcPr>
          <w:p w:rsidR="00515116" w:rsidRPr="00093939" w:rsidP="00515116" w14:paraId="05DD1C08" w14:textId="77777777">
            <w:pPr>
              <w:contextualSpacing/>
            </w:pPr>
            <w:r w:rsidRPr="00093939">
              <w:t xml:space="preserve">21 CFR §§ 207.17, 207.21, and 207.25; </w:t>
            </w:r>
          </w:p>
          <w:p w:rsidR="00515116" w:rsidRPr="00093939" w:rsidP="00515116" w14:paraId="0E892365" w14:textId="77777777">
            <w:pPr>
              <w:contextualSpacing/>
            </w:pPr>
            <w:r w:rsidRPr="00093939">
              <w:t>Initial foreign establishment registration associated with section 2511 of the  PREVENT Pandemics Act</w:t>
            </w:r>
          </w:p>
          <w:p w:rsidR="00515116" w:rsidRPr="000808A8" w:rsidP="00515116" w14:paraId="3C826169" w14:textId="77777777">
            <w:pPr>
              <w:contextualSpacing/>
            </w:pPr>
          </w:p>
        </w:tc>
        <w:tc>
          <w:tcPr>
            <w:tcW w:w="1530" w:type="dxa"/>
            <w:vAlign w:val="center"/>
          </w:tcPr>
          <w:p w:rsidR="00515116" w:rsidP="00515116" w14:paraId="70DFD381" w14:textId="3E1F8DEB">
            <w:pPr>
              <w:contextualSpacing/>
              <w:jc w:val="right"/>
            </w:pPr>
            <w:r w:rsidRPr="00093939">
              <w:t>1,313</w:t>
            </w:r>
          </w:p>
        </w:tc>
        <w:tc>
          <w:tcPr>
            <w:tcW w:w="1530" w:type="dxa"/>
            <w:vAlign w:val="center"/>
          </w:tcPr>
          <w:p w:rsidR="00515116" w:rsidP="00515116" w14:paraId="55C1FE50" w14:textId="5B943B00">
            <w:pPr>
              <w:contextualSpacing/>
              <w:jc w:val="right"/>
            </w:pPr>
            <w:r w:rsidRPr="00093939">
              <w:t>1</w:t>
            </w:r>
            <w:r>
              <w:t>.2376</w:t>
            </w:r>
          </w:p>
        </w:tc>
        <w:tc>
          <w:tcPr>
            <w:tcW w:w="1170" w:type="dxa"/>
            <w:vAlign w:val="center"/>
          </w:tcPr>
          <w:p w:rsidR="00515116" w:rsidP="00515116" w14:paraId="0E46260C" w14:textId="60A8458A">
            <w:pPr>
              <w:contextualSpacing/>
              <w:jc w:val="right"/>
            </w:pPr>
            <w:r w:rsidRPr="00093939">
              <w:t>1</w:t>
            </w:r>
            <w:r>
              <w:t>,625</w:t>
            </w:r>
          </w:p>
        </w:tc>
        <w:tc>
          <w:tcPr>
            <w:tcW w:w="1260" w:type="dxa"/>
            <w:vAlign w:val="center"/>
          </w:tcPr>
          <w:p w:rsidR="00515116" w:rsidRPr="00042099" w:rsidP="00515116" w14:paraId="342E4BD0" w14:textId="14AC4159">
            <w:pPr>
              <w:contextualSpacing/>
              <w:jc w:val="right"/>
            </w:pPr>
            <w:r w:rsidRPr="00093939">
              <w:t>1</w:t>
            </w:r>
            <w:r w:rsidR="00137E8B">
              <w:t>.8</w:t>
            </w:r>
          </w:p>
        </w:tc>
        <w:tc>
          <w:tcPr>
            <w:tcW w:w="993" w:type="dxa"/>
            <w:vAlign w:val="center"/>
          </w:tcPr>
          <w:p w:rsidR="00515116" w:rsidP="00515116" w14:paraId="6F1F3FE7" w14:textId="4AA34C78">
            <w:pPr>
              <w:contextualSpacing/>
              <w:jc w:val="right"/>
            </w:pPr>
            <w:r>
              <w:t>2,925</w:t>
            </w:r>
          </w:p>
        </w:tc>
      </w:tr>
      <w:tr w14:paraId="6F99AAB9" w14:textId="77777777" w:rsidTr="009F6B2D">
        <w:tblPrEx>
          <w:tblW w:w="0" w:type="auto"/>
          <w:tblLayout w:type="fixed"/>
          <w:tblCellMar>
            <w:left w:w="101" w:type="dxa"/>
            <w:right w:w="101" w:type="dxa"/>
          </w:tblCellMar>
          <w:tblLook w:val="04A0"/>
        </w:tblPrEx>
        <w:tc>
          <w:tcPr>
            <w:tcW w:w="2692" w:type="dxa"/>
          </w:tcPr>
          <w:p w:rsidR="00515116" w:rsidRPr="00093939" w:rsidP="00515116" w14:paraId="3E75D6E1" w14:textId="77777777">
            <w:pPr>
              <w:contextualSpacing/>
              <w:rPr>
                <w:rFonts w:eastAsia="Arial"/>
              </w:rPr>
            </w:pPr>
            <w:r w:rsidRPr="00093939">
              <w:rPr>
                <w:rFonts w:eastAsia="Arial"/>
              </w:rPr>
              <w:t>21 CFR § 207.29;</w:t>
            </w:r>
          </w:p>
          <w:p w:rsidR="00515116" w:rsidRPr="000808A8" w:rsidP="00515116" w14:paraId="339E55A4" w14:textId="49C142FD">
            <w:pPr>
              <w:contextualSpacing/>
            </w:pPr>
            <w:r w:rsidRPr="00093939">
              <w:rPr>
                <w:rFonts w:eastAsia="Arial"/>
              </w:rPr>
              <w:t xml:space="preserve">Annual review and update of registration information (including expedited updates); </w:t>
            </w:r>
          </w:p>
        </w:tc>
        <w:tc>
          <w:tcPr>
            <w:tcW w:w="1530" w:type="dxa"/>
          </w:tcPr>
          <w:p w:rsidR="00515116" w:rsidP="00515116" w14:paraId="5C48504A" w14:textId="1633C82B">
            <w:pPr>
              <w:contextualSpacing/>
              <w:jc w:val="right"/>
            </w:pPr>
            <w:r w:rsidRPr="00093939">
              <w:t>1,313</w:t>
            </w:r>
          </w:p>
        </w:tc>
        <w:tc>
          <w:tcPr>
            <w:tcW w:w="1530" w:type="dxa"/>
          </w:tcPr>
          <w:p w:rsidR="00515116" w:rsidP="00515116" w14:paraId="5D3D0D4F" w14:textId="5B92CE72">
            <w:pPr>
              <w:contextualSpacing/>
              <w:jc w:val="right"/>
            </w:pPr>
            <w:r>
              <w:t>1.2376</w:t>
            </w:r>
          </w:p>
        </w:tc>
        <w:tc>
          <w:tcPr>
            <w:tcW w:w="1170" w:type="dxa"/>
          </w:tcPr>
          <w:p w:rsidR="00515116" w:rsidP="00515116" w14:paraId="0A347528" w14:textId="2A06C76D">
            <w:pPr>
              <w:contextualSpacing/>
              <w:jc w:val="right"/>
            </w:pPr>
            <w:r w:rsidRPr="00093939">
              <w:t>1,</w:t>
            </w:r>
            <w:r>
              <w:t>625</w:t>
            </w:r>
          </w:p>
        </w:tc>
        <w:tc>
          <w:tcPr>
            <w:tcW w:w="1260" w:type="dxa"/>
          </w:tcPr>
          <w:p w:rsidR="00515116" w:rsidRPr="00093939" w:rsidP="00515116" w14:paraId="611D7C88" w14:textId="75B9690A">
            <w:pPr>
              <w:ind w:hanging="1"/>
              <w:jc w:val="right"/>
              <w:rPr>
                <w:spacing w:val="8"/>
              </w:rPr>
            </w:pPr>
            <w:r w:rsidRPr="00093939">
              <w:t>0.</w:t>
            </w:r>
            <w:r w:rsidR="00CE4B9B">
              <w:t>9</w:t>
            </w:r>
            <w:r w:rsidRPr="00093939">
              <w:t xml:space="preserve"> </w:t>
            </w:r>
          </w:p>
          <w:p w:rsidR="00515116" w:rsidRPr="00042099" w:rsidP="00515116" w14:paraId="197F30C3" w14:textId="64FF8F7B">
            <w:pPr>
              <w:contextualSpacing/>
              <w:jc w:val="right"/>
            </w:pPr>
            <w:r w:rsidRPr="00093939">
              <w:t>(</w:t>
            </w:r>
            <w:r w:rsidR="00CE4B9B">
              <w:t>54</w:t>
            </w:r>
            <w:r w:rsidRPr="00093939">
              <w:rPr>
                <w:spacing w:val="8"/>
              </w:rPr>
              <w:t xml:space="preserve"> </w:t>
            </w:r>
            <w:r w:rsidRPr="00093939">
              <w:t>minutes)</w:t>
            </w:r>
          </w:p>
        </w:tc>
        <w:tc>
          <w:tcPr>
            <w:tcW w:w="993" w:type="dxa"/>
          </w:tcPr>
          <w:p w:rsidR="00515116" w:rsidP="00515116" w14:paraId="3F7E6947" w14:textId="3B303C6C">
            <w:pPr>
              <w:contextualSpacing/>
              <w:jc w:val="right"/>
            </w:pPr>
            <w:r>
              <w:t>1,463</w:t>
            </w:r>
          </w:p>
        </w:tc>
      </w:tr>
      <w:tr w14:paraId="16F35E0C" w14:textId="77777777" w:rsidTr="009F6B2D">
        <w:tblPrEx>
          <w:tblW w:w="0" w:type="auto"/>
          <w:tblLayout w:type="fixed"/>
          <w:tblCellMar>
            <w:left w:w="101" w:type="dxa"/>
            <w:right w:w="101" w:type="dxa"/>
          </w:tblCellMar>
          <w:tblLook w:val="04A0"/>
        </w:tblPrEx>
        <w:tc>
          <w:tcPr>
            <w:tcW w:w="2692" w:type="dxa"/>
          </w:tcPr>
          <w:p w:rsidR="00515116" w:rsidRPr="00093939" w:rsidP="00515116" w14:paraId="4A10E577" w14:textId="77777777">
            <w:pPr>
              <w:contextualSpacing/>
              <w:rPr>
                <w:rFonts w:eastAsia="Arial"/>
              </w:rPr>
            </w:pPr>
            <w:r w:rsidRPr="00093939">
              <w:rPr>
                <w:rFonts w:eastAsia="Arial"/>
              </w:rPr>
              <w:t>21 CFR §§</w:t>
            </w:r>
            <w:r w:rsidRPr="00093939">
              <w:rPr>
                <w:rFonts w:eastAsia="Arial"/>
                <w:spacing w:val="-19"/>
              </w:rPr>
              <w:t xml:space="preserve"> </w:t>
            </w:r>
            <w:r w:rsidRPr="00093939">
              <w:rPr>
                <w:rFonts w:eastAsia="Arial"/>
              </w:rPr>
              <w:t>207.33, 207.41, 207.45,</w:t>
            </w:r>
            <w:r w:rsidRPr="00093939">
              <w:rPr>
                <w:rFonts w:eastAsia="Arial"/>
                <w:spacing w:val="8"/>
              </w:rPr>
              <w:t xml:space="preserve"> </w:t>
            </w:r>
            <w:r w:rsidRPr="00093939">
              <w:rPr>
                <w:rFonts w:eastAsia="Arial"/>
              </w:rPr>
              <w:t>207.49,</w:t>
            </w:r>
            <w:r w:rsidRPr="00093939">
              <w:rPr>
                <w:rFonts w:eastAsia="Arial"/>
                <w:spacing w:val="8"/>
              </w:rPr>
              <w:t xml:space="preserve"> </w:t>
            </w:r>
            <w:r w:rsidRPr="00093939">
              <w:rPr>
                <w:rFonts w:eastAsia="Arial"/>
              </w:rPr>
              <w:t>207.53,</w:t>
            </w:r>
            <w:r w:rsidRPr="00093939">
              <w:rPr>
                <w:rFonts w:eastAsia="Arial"/>
                <w:spacing w:val="8"/>
              </w:rPr>
              <w:t xml:space="preserve"> </w:t>
            </w:r>
            <w:r w:rsidRPr="00093939">
              <w:rPr>
                <w:rFonts w:eastAsia="Arial"/>
              </w:rPr>
              <w:t>207.54,</w:t>
            </w:r>
            <w:r w:rsidRPr="00093939">
              <w:rPr>
                <w:rFonts w:eastAsia="Arial"/>
                <w:spacing w:val="8"/>
              </w:rPr>
              <w:t xml:space="preserve"> and </w:t>
            </w:r>
            <w:r w:rsidRPr="00093939">
              <w:rPr>
                <w:rFonts w:eastAsia="Arial"/>
              </w:rPr>
              <w:t>207.55;</w:t>
            </w:r>
          </w:p>
          <w:p w:rsidR="00515116" w:rsidRPr="000808A8" w:rsidP="00515116" w14:paraId="6FC4D392" w14:textId="053FE279">
            <w:pPr>
              <w:contextualSpacing/>
            </w:pPr>
            <w:r w:rsidRPr="00093939">
              <w:rPr>
                <w:rFonts w:eastAsia="Arial"/>
              </w:rPr>
              <w:t xml:space="preserve">Initial listing (including National Drug Code (NDC)) </w:t>
            </w:r>
            <w:r w:rsidRPr="00093939">
              <w:t>associated with section 2511 of the  PREVENT Pandemics Act</w:t>
            </w:r>
          </w:p>
        </w:tc>
        <w:tc>
          <w:tcPr>
            <w:tcW w:w="1530" w:type="dxa"/>
          </w:tcPr>
          <w:p w:rsidR="00515116" w:rsidP="00515116" w14:paraId="6CF571C3" w14:textId="7EDFE012">
            <w:pPr>
              <w:contextualSpacing/>
              <w:jc w:val="right"/>
            </w:pPr>
            <w:r w:rsidRPr="00093939">
              <w:t>24,550</w:t>
            </w:r>
          </w:p>
        </w:tc>
        <w:tc>
          <w:tcPr>
            <w:tcW w:w="1530" w:type="dxa"/>
          </w:tcPr>
          <w:p w:rsidR="00515116" w:rsidP="00515116" w14:paraId="1F1A2B12" w14:textId="6DA40181">
            <w:pPr>
              <w:contextualSpacing/>
              <w:jc w:val="right"/>
            </w:pPr>
            <w:r w:rsidRPr="00093939">
              <w:t>1</w:t>
            </w:r>
          </w:p>
        </w:tc>
        <w:tc>
          <w:tcPr>
            <w:tcW w:w="1170" w:type="dxa"/>
          </w:tcPr>
          <w:p w:rsidR="00515116" w:rsidP="00515116" w14:paraId="49F3144D" w14:textId="47DAB284">
            <w:pPr>
              <w:contextualSpacing/>
              <w:jc w:val="right"/>
            </w:pPr>
            <w:r w:rsidRPr="00093939">
              <w:t>24,550</w:t>
            </w:r>
          </w:p>
        </w:tc>
        <w:tc>
          <w:tcPr>
            <w:tcW w:w="1260" w:type="dxa"/>
          </w:tcPr>
          <w:p w:rsidR="00515116" w:rsidRPr="00042099" w:rsidP="00515116" w14:paraId="0D5EA1BF" w14:textId="448AD3CD">
            <w:pPr>
              <w:contextualSpacing/>
              <w:jc w:val="right"/>
            </w:pPr>
            <w:r>
              <w:t>2.7</w:t>
            </w:r>
          </w:p>
        </w:tc>
        <w:tc>
          <w:tcPr>
            <w:tcW w:w="993" w:type="dxa"/>
          </w:tcPr>
          <w:p w:rsidR="00515116" w:rsidP="00515116" w14:paraId="026FD2B7" w14:textId="1CEC2DC6">
            <w:pPr>
              <w:contextualSpacing/>
              <w:jc w:val="right"/>
            </w:pPr>
            <w:r>
              <w:t>66,285</w:t>
            </w:r>
          </w:p>
        </w:tc>
      </w:tr>
      <w:tr w14:paraId="28A92DDC" w14:textId="77777777" w:rsidTr="009F6B2D">
        <w:tblPrEx>
          <w:tblW w:w="0" w:type="auto"/>
          <w:tblLayout w:type="fixed"/>
          <w:tblCellMar>
            <w:left w:w="101" w:type="dxa"/>
            <w:right w:w="101" w:type="dxa"/>
          </w:tblCellMar>
          <w:tblLook w:val="04A0"/>
        </w:tblPrEx>
        <w:tc>
          <w:tcPr>
            <w:tcW w:w="2692" w:type="dxa"/>
          </w:tcPr>
          <w:p w:rsidR="00515116" w:rsidRPr="00093939" w:rsidP="00515116" w14:paraId="2AA3490B" w14:textId="77777777">
            <w:pPr>
              <w:contextualSpacing/>
              <w:rPr>
                <w:rFonts w:eastAsia="Arial"/>
              </w:rPr>
            </w:pPr>
            <w:r w:rsidRPr="00093939">
              <w:rPr>
                <w:rFonts w:eastAsia="Arial"/>
              </w:rPr>
              <w:t>21 CFR §§</w:t>
            </w:r>
            <w:r w:rsidRPr="00093939">
              <w:rPr>
                <w:rFonts w:eastAsia="Arial"/>
                <w:spacing w:val="-19"/>
              </w:rPr>
              <w:t> </w:t>
            </w:r>
            <w:r w:rsidRPr="00093939">
              <w:rPr>
                <w:rFonts w:eastAsia="Arial"/>
              </w:rPr>
              <w:t>207.35 and</w:t>
            </w:r>
            <w:r w:rsidRPr="00093939">
              <w:rPr>
                <w:rFonts w:eastAsia="Arial"/>
                <w:spacing w:val="8"/>
              </w:rPr>
              <w:t xml:space="preserve"> </w:t>
            </w:r>
            <w:r w:rsidRPr="00093939">
              <w:rPr>
                <w:rFonts w:eastAsia="Arial"/>
              </w:rPr>
              <w:t>207.57;</w:t>
            </w:r>
          </w:p>
          <w:p w:rsidR="00515116" w:rsidRPr="000808A8" w:rsidP="00515116" w14:paraId="45004F02" w14:textId="5535E211">
            <w:pPr>
              <w:contextualSpacing/>
            </w:pPr>
            <w:r w:rsidRPr="00093939">
              <w:rPr>
                <w:rFonts w:eastAsia="Arial"/>
              </w:rPr>
              <w:t>June and December review and update</w:t>
            </w:r>
            <w:r w:rsidRPr="00093939">
              <w:rPr>
                <w:rFonts w:eastAsia="Arial"/>
                <w:spacing w:val="2"/>
              </w:rPr>
              <w:t xml:space="preserve"> </w:t>
            </w:r>
            <w:r w:rsidRPr="00093939">
              <w:rPr>
                <w:rFonts w:eastAsia="Arial"/>
              </w:rPr>
              <w:t>(or certification)</w:t>
            </w:r>
            <w:r w:rsidRPr="00093939">
              <w:rPr>
                <w:rFonts w:eastAsia="Arial"/>
                <w:spacing w:val="8"/>
              </w:rPr>
              <w:t xml:space="preserve"> </w:t>
            </w:r>
            <w:r w:rsidRPr="00093939">
              <w:rPr>
                <w:rFonts w:eastAsia="Arial"/>
              </w:rPr>
              <w:t>of</w:t>
            </w:r>
            <w:r w:rsidRPr="00093939">
              <w:rPr>
                <w:rFonts w:eastAsia="Arial"/>
                <w:spacing w:val="8"/>
              </w:rPr>
              <w:t xml:space="preserve"> </w:t>
            </w:r>
            <w:r w:rsidRPr="00093939">
              <w:rPr>
                <w:rFonts w:eastAsia="Arial"/>
              </w:rPr>
              <w:t>listing</w:t>
            </w:r>
          </w:p>
        </w:tc>
        <w:tc>
          <w:tcPr>
            <w:tcW w:w="1530" w:type="dxa"/>
          </w:tcPr>
          <w:p w:rsidR="00515116" w:rsidP="00515116" w14:paraId="37E3D512" w14:textId="0F2E936D">
            <w:pPr>
              <w:contextualSpacing/>
              <w:jc w:val="right"/>
            </w:pPr>
            <w:r w:rsidRPr="00093939">
              <w:t>24,550</w:t>
            </w:r>
          </w:p>
        </w:tc>
        <w:tc>
          <w:tcPr>
            <w:tcW w:w="1530" w:type="dxa"/>
          </w:tcPr>
          <w:p w:rsidR="00515116" w:rsidP="00515116" w14:paraId="3A71E91C" w14:textId="08DA69A2">
            <w:pPr>
              <w:contextualSpacing/>
              <w:jc w:val="right"/>
            </w:pPr>
            <w:r w:rsidRPr="00093939">
              <w:t>1</w:t>
            </w:r>
          </w:p>
        </w:tc>
        <w:tc>
          <w:tcPr>
            <w:tcW w:w="1170" w:type="dxa"/>
          </w:tcPr>
          <w:p w:rsidR="00515116" w:rsidP="00515116" w14:paraId="3F089B48" w14:textId="3E1325B2">
            <w:pPr>
              <w:contextualSpacing/>
              <w:jc w:val="right"/>
            </w:pPr>
            <w:r w:rsidRPr="00093939">
              <w:t>24,550</w:t>
            </w:r>
          </w:p>
        </w:tc>
        <w:tc>
          <w:tcPr>
            <w:tcW w:w="1260" w:type="dxa"/>
          </w:tcPr>
          <w:p w:rsidR="00515116" w:rsidRPr="00093939" w:rsidP="00515116" w14:paraId="7F9A0031" w14:textId="2BA4D7A7">
            <w:pPr>
              <w:jc w:val="right"/>
            </w:pPr>
            <w:r>
              <w:t>1.35</w:t>
            </w:r>
          </w:p>
          <w:p w:rsidR="00515116" w:rsidRPr="00042099" w:rsidP="00515116" w14:paraId="4839F744" w14:textId="1D7CBA56">
            <w:pPr>
              <w:contextualSpacing/>
              <w:jc w:val="right"/>
            </w:pPr>
          </w:p>
        </w:tc>
        <w:tc>
          <w:tcPr>
            <w:tcW w:w="993" w:type="dxa"/>
          </w:tcPr>
          <w:p w:rsidR="00515116" w:rsidP="00515116" w14:paraId="72CFCAEF" w14:textId="5505444A">
            <w:pPr>
              <w:contextualSpacing/>
              <w:jc w:val="right"/>
            </w:pPr>
            <w:r>
              <w:t>33,143</w:t>
            </w:r>
          </w:p>
        </w:tc>
      </w:tr>
      <w:tr w14:paraId="3EE536E3" w14:textId="77777777" w:rsidTr="009F6B2D">
        <w:tblPrEx>
          <w:tblW w:w="0" w:type="auto"/>
          <w:tblLayout w:type="fixed"/>
          <w:tblCellMar>
            <w:left w:w="101" w:type="dxa"/>
            <w:right w:w="101" w:type="dxa"/>
          </w:tblCellMar>
          <w:tblLook w:val="04A0"/>
        </w:tblPrEx>
        <w:tc>
          <w:tcPr>
            <w:tcW w:w="2692" w:type="dxa"/>
            <w:vAlign w:val="center"/>
          </w:tcPr>
          <w:p w:rsidR="00515116" w:rsidRPr="00763E22" w:rsidP="00515116" w14:paraId="4C73AD48" w14:textId="77777777">
            <w:pPr>
              <w:contextualSpacing/>
            </w:pPr>
            <w:r>
              <w:t>Total</w:t>
            </w:r>
          </w:p>
        </w:tc>
        <w:tc>
          <w:tcPr>
            <w:tcW w:w="1530" w:type="dxa"/>
            <w:vAlign w:val="center"/>
          </w:tcPr>
          <w:p w:rsidR="00515116" w:rsidP="00515116" w14:paraId="0CCB7116" w14:textId="77777777">
            <w:pPr>
              <w:contextualSpacing/>
              <w:jc w:val="right"/>
            </w:pPr>
          </w:p>
        </w:tc>
        <w:tc>
          <w:tcPr>
            <w:tcW w:w="1530" w:type="dxa"/>
            <w:vAlign w:val="center"/>
          </w:tcPr>
          <w:p w:rsidR="00515116" w:rsidRPr="00763E22" w:rsidP="00515116" w14:paraId="73BE08DE" w14:textId="77777777">
            <w:pPr>
              <w:contextualSpacing/>
              <w:jc w:val="right"/>
            </w:pPr>
          </w:p>
        </w:tc>
        <w:tc>
          <w:tcPr>
            <w:tcW w:w="1170" w:type="dxa"/>
            <w:vAlign w:val="center"/>
          </w:tcPr>
          <w:p w:rsidR="00515116" w:rsidP="00515116" w14:paraId="5C672F79" w14:textId="71FE122B">
            <w:pPr>
              <w:contextualSpacing/>
              <w:jc w:val="right"/>
            </w:pPr>
            <w:r>
              <w:t>52,355</w:t>
            </w:r>
          </w:p>
        </w:tc>
        <w:tc>
          <w:tcPr>
            <w:tcW w:w="1260" w:type="dxa"/>
            <w:vAlign w:val="center"/>
          </w:tcPr>
          <w:p w:rsidR="00515116" w:rsidRPr="00763E22" w:rsidP="00515116" w14:paraId="7D95147D" w14:textId="77777777">
            <w:pPr>
              <w:contextualSpacing/>
              <w:jc w:val="right"/>
            </w:pPr>
          </w:p>
        </w:tc>
        <w:tc>
          <w:tcPr>
            <w:tcW w:w="993" w:type="dxa"/>
            <w:vAlign w:val="center"/>
          </w:tcPr>
          <w:p w:rsidR="00515116" w:rsidP="00515116" w14:paraId="5B3FEFF3" w14:textId="4619BCEC">
            <w:pPr>
              <w:contextualSpacing/>
              <w:jc w:val="right"/>
            </w:pPr>
            <w:r>
              <w:t>103,8</w:t>
            </w:r>
            <w:r w:rsidR="0094687D">
              <w:t>1</w:t>
            </w:r>
            <w:r w:rsidR="00B660E4">
              <w:t>9</w:t>
            </w:r>
          </w:p>
        </w:tc>
      </w:tr>
    </w:tbl>
    <w:p w:rsidR="00B04BA1" w:rsidRPr="004334BE" w:rsidP="00B04BA1" w14:paraId="275B283C" w14:textId="1F72DE90">
      <w:pPr>
        <w:rPr>
          <w:sz w:val="20"/>
          <w:szCs w:val="20"/>
        </w:rPr>
      </w:pPr>
      <w:r>
        <w:rPr>
          <w:vertAlign w:val="superscript"/>
        </w:rPr>
        <w:t>1</w:t>
      </w:r>
      <w:r w:rsidRPr="45E210CC">
        <w:t xml:space="preserve"> </w:t>
      </w:r>
      <w:r w:rsidRPr="004334BE">
        <w:rPr>
          <w:sz w:val="20"/>
          <w:szCs w:val="20"/>
        </w:rPr>
        <w:t>Some figures have been rounded.</w:t>
      </w:r>
    </w:p>
    <w:p w:rsidR="00C82C53" w:rsidRPr="00C82C53" w:rsidP="00C82C53" w14:paraId="435CD090" w14:textId="77777777"/>
    <w:p w:rsidR="00FC6C17" w:rsidRPr="001F71B3" w:rsidP="00FC6C17" w14:paraId="530B3303" w14:textId="77777777">
      <w:pPr>
        <w:autoSpaceDE w:val="0"/>
        <w:autoSpaceDN w:val="0"/>
        <w:adjustRightInd w:val="0"/>
        <w:rPr>
          <w:rFonts w:eastAsia="Calibri"/>
        </w:rPr>
      </w:pPr>
      <w:r w:rsidRPr="001F71B3">
        <w:rPr>
          <w:i/>
          <w:iCs/>
        </w:rPr>
        <w:t>Distributed Manufacturing</w:t>
      </w:r>
    </w:p>
    <w:p w:rsidR="00434D91" w:rsidP="005E51E5" w14:paraId="76D4F53B" w14:textId="1706EA30">
      <w:pPr>
        <w:contextualSpacing/>
        <w:textAlignment w:val="baseline"/>
      </w:pPr>
      <w:r>
        <w:t>We base our estimates on our experience with drug establishment registration and updates</w:t>
      </w:r>
      <w:r w:rsidR="00FC6C17">
        <w:t>,</w:t>
      </w:r>
      <w:r>
        <w:t xml:space="preserve"> the </w:t>
      </w:r>
      <w:r w:rsidR="001D7FB9">
        <w:t>Preliminary Regulatory Impact Analysis (</w:t>
      </w:r>
      <w:r w:rsidRPr="00563FDC">
        <w:t>PRIA</w:t>
      </w:r>
      <w:r w:rsidR="001D7FB9">
        <w:t>)</w:t>
      </w:r>
      <w:r w:rsidRPr="00563FDC">
        <w:t xml:space="preserve"> (Ref. </w:t>
      </w:r>
      <w:r w:rsidR="00D85D9C">
        <w:t xml:space="preserve">9 </w:t>
      </w:r>
      <w:r w:rsidR="004044B9">
        <w:t>to the proposed rule</w:t>
      </w:r>
      <w:r w:rsidRPr="00563FDC">
        <w:t>)</w:t>
      </w:r>
      <w:r w:rsidR="00FC6C17">
        <w:t xml:space="preserve">, and </w:t>
      </w:r>
      <w:r w:rsidRPr="006B0B88" w:rsidR="00F31BDF">
        <w:t xml:space="preserve">the </w:t>
      </w:r>
      <w:r w:rsidR="00F31BDF">
        <w:t xml:space="preserve">hour </w:t>
      </w:r>
      <w:r w:rsidRPr="006B0B88" w:rsidR="00F31BDF">
        <w:t>burden estimates applicable to the existing requirements of part 207, currently approved in OMB control number 0910-0045</w:t>
      </w:r>
      <w:r>
        <w:t>.  If the proposed rule is finalized</w:t>
      </w:r>
      <w:r w:rsidRPr="00E10C3F">
        <w:t xml:space="preserve">, </w:t>
      </w:r>
      <w:r>
        <w:t xml:space="preserve">DME </w:t>
      </w:r>
      <w:r w:rsidRPr="00E10C3F">
        <w:t xml:space="preserve">registrants would be required </w:t>
      </w:r>
      <w:r>
        <w:t xml:space="preserve">under proposed </w:t>
      </w:r>
      <w:r w:rsidRPr="003301C6">
        <w:rPr>
          <w:spacing w:val="1"/>
        </w:rPr>
        <w:t>§</w:t>
      </w:r>
      <w:r>
        <w:t xml:space="preserve"> 207.25(b) </w:t>
      </w:r>
      <w:r w:rsidRPr="00E10C3F">
        <w:t xml:space="preserve">to submit data elements </w:t>
      </w:r>
      <w:r>
        <w:t>that differ slightly from</w:t>
      </w:r>
      <w:r w:rsidRPr="00E10C3F">
        <w:t xml:space="preserve"> those current</w:t>
      </w:r>
      <w:r>
        <w:t>ly</w:t>
      </w:r>
      <w:r w:rsidRPr="00E10C3F">
        <w:t xml:space="preserve"> required under part 207</w:t>
      </w:r>
      <w:r>
        <w:t xml:space="preserve">.  </w:t>
      </w:r>
      <w:r w:rsidRPr="003301C6">
        <w:rPr>
          <w:spacing w:val="1"/>
        </w:rPr>
        <w:t>Proposed § 207.25(b) would be similar in scope to the information currently required for registration of establishments that are not DMEs but with some notable differences that account for the hub-and-spoke model of a DME</w:t>
      </w:r>
      <w:r>
        <w:t>,</w:t>
      </w:r>
      <w:r w:rsidRPr="00E10C3F">
        <w:t xml:space="preserve"> as described in section V.A.</w:t>
      </w:r>
      <w:r>
        <w:t>4</w:t>
      </w:r>
      <w:r w:rsidRPr="00E10C3F">
        <w:t xml:space="preserve"> of th</w:t>
      </w:r>
      <w:r w:rsidR="00B70247">
        <w:t>e proposed rule</w:t>
      </w:r>
      <w:r w:rsidRPr="00E10C3F">
        <w:t>.</w:t>
      </w:r>
      <w:r>
        <w:t xml:space="preserve">  </w:t>
      </w:r>
      <w:r w:rsidR="00B74A42">
        <w:t>Consistent with our current hour burden estimate for registration approved in OMB control number 0910-0045 (1.0 hour), we estimate that registering a DME will take one hour.</w:t>
      </w:r>
      <w:r w:rsidR="000C5088">
        <w:t xml:space="preserve">  </w:t>
      </w:r>
    </w:p>
    <w:p w:rsidR="005E51E5" w:rsidP="005E51E5" w14:paraId="014ED5C4" w14:textId="77777777"/>
    <w:p w:rsidR="00434D91" w:rsidRPr="00E10C3F" w:rsidP="005E51E5" w14:paraId="62D0D483" w14:textId="294BF74C">
      <w:r w:rsidRPr="003301C6">
        <w:rPr>
          <w:spacing w:val="1"/>
        </w:rPr>
        <w:t>Proposed § 207.29(b) describes the expedited updates for DMEs and the timelines to submit the updates</w:t>
      </w:r>
      <w:r w:rsidRPr="003301C6">
        <w:t xml:space="preserve">.  </w:t>
      </w:r>
      <w:r w:rsidRPr="003301C6">
        <w:rPr>
          <w:spacing w:val="1"/>
        </w:rPr>
        <w:t xml:space="preserve">The same types of expedited updates currently required under § 207.29(a) for establishments that are not DME would apply to DMEs, as well as new categories of expedited updates necessary for DMEs, in particular </w:t>
      </w:r>
      <w:r>
        <w:rPr>
          <w:spacing w:val="1"/>
        </w:rPr>
        <w:t xml:space="preserve">DMEs </w:t>
      </w:r>
      <w:r w:rsidRPr="003301C6">
        <w:rPr>
          <w:spacing w:val="1"/>
        </w:rPr>
        <w:t xml:space="preserve">with DMUs </w:t>
      </w:r>
      <w:r>
        <w:rPr>
          <w:spacing w:val="1"/>
        </w:rPr>
        <w:t>that can move or be moved.  S</w:t>
      </w:r>
      <w:r w:rsidRPr="003301C6">
        <w:rPr>
          <w:spacing w:val="1"/>
        </w:rPr>
        <w:t>ubmission</w:t>
      </w:r>
      <w:r>
        <w:rPr>
          <w:spacing w:val="1"/>
        </w:rPr>
        <w:t>s that would be required</w:t>
      </w:r>
      <w:r w:rsidRPr="003301C6">
        <w:rPr>
          <w:spacing w:val="1"/>
        </w:rPr>
        <w:t xml:space="preserve"> on an expedited basis as part of DME registration are nearly identical to those required in current § </w:t>
      </w:r>
      <w:r w:rsidR="006E7155">
        <w:rPr>
          <w:spacing w:val="1"/>
        </w:rPr>
        <w:t>207.29(a</w:t>
      </w:r>
      <w:r w:rsidRPr="003301C6">
        <w:rPr>
          <w:spacing w:val="1"/>
        </w:rPr>
        <w:t>)(1) for establishments that are not DMEs and follow the same timeline to submit the update no later than 30 calendar days after the change</w:t>
      </w:r>
      <w:r>
        <w:rPr>
          <w:spacing w:val="1"/>
        </w:rPr>
        <w:t>, as discussed in section V.A.5 of th</w:t>
      </w:r>
      <w:r w:rsidR="00D167B8">
        <w:rPr>
          <w:spacing w:val="1"/>
        </w:rPr>
        <w:t>e proposed rule</w:t>
      </w:r>
      <w:r>
        <w:rPr>
          <w:spacing w:val="1"/>
        </w:rPr>
        <w:t>.</w:t>
      </w:r>
      <w:r w:rsidR="00DC6B22">
        <w:rPr>
          <w:spacing w:val="1"/>
        </w:rPr>
        <w:t xml:space="preserve">  </w:t>
      </w:r>
      <w:r w:rsidRPr="004820FE" w:rsidR="004820FE">
        <w:rPr>
          <w:spacing w:val="1"/>
        </w:rPr>
        <w:t>The proposed rule would also explicitly provide that registrants of a DME inform FDA of the relocation of a DMU in advance of the move as opposed to the current requirement to notify FDA up to 30 days after a change in address.</w:t>
      </w:r>
      <w:r w:rsidR="00C04FC2">
        <w:rPr>
          <w:spacing w:val="1"/>
        </w:rPr>
        <w:t xml:space="preserve">  </w:t>
      </w:r>
      <w:r w:rsidR="00C04FC2">
        <w:t>Consistent with our current hour burden estimate for updates to registration approved in OMB control number 0910-0045 (0.5 hour), we estimate that u</w:t>
      </w:r>
      <w:r w:rsidRPr="00434AC5" w:rsidR="00C04FC2">
        <w:t>pdates to registration, for DMUs</w:t>
      </w:r>
      <w:r w:rsidR="00C04FC2">
        <w:t>,</w:t>
      </w:r>
      <w:r w:rsidRPr="00434AC5" w:rsidR="00C04FC2">
        <w:t xml:space="preserve"> </w:t>
      </w:r>
      <w:r w:rsidR="00C04FC2">
        <w:t>will take 0.5 hour.</w:t>
      </w:r>
    </w:p>
    <w:p w:rsidR="005E51E5" w:rsidP="005E51E5" w14:paraId="5E19422F" w14:textId="77777777">
      <w:pPr>
        <w:contextualSpacing/>
        <w:textAlignment w:val="baseline"/>
      </w:pPr>
    </w:p>
    <w:p w:rsidR="00434D91" w:rsidP="005E51E5" w14:paraId="00759E01" w14:textId="29D077EC">
      <w:pPr>
        <w:contextualSpacing/>
        <w:textAlignment w:val="baseline"/>
      </w:pPr>
      <w:r>
        <w:t xml:space="preserve">Our estimate of the number of respondents is based on internal data reflecting </w:t>
      </w:r>
      <w:r w:rsidRPr="00835677">
        <w:t xml:space="preserve">10,480 </w:t>
      </w:r>
      <w:r>
        <w:t xml:space="preserve">registered </w:t>
      </w:r>
      <w:r w:rsidRPr="00835677">
        <w:t>establishments</w:t>
      </w:r>
      <w:r>
        <w:t xml:space="preserve"> subject to the requirements of part 207.</w:t>
      </w:r>
      <w:r w:rsidRPr="00835677">
        <w:t xml:space="preserve"> </w:t>
      </w:r>
      <w:r w:rsidR="008F67B2">
        <w:t xml:space="preserve"> </w:t>
      </w:r>
      <w:r w:rsidR="00A16C37">
        <w:t xml:space="preserve">The proposed rule, if finalized, would introduce requirements applicable only to a subset of these 10,480 respondents, </w:t>
      </w:r>
      <w:r w:rsidR="00F30A67">
        <w:t xml:space="preserve">specifically </w:t>
      </w:r>
      <w:r w:rsidR="00A16C37">
        <w:t xml:space="preserve">those establishments that choose to register as a DME.  </w:t>
      </w:r>
      <w:r w:rsidRPr="009B609B">
        <w:t xml:space="preserve">As discussed in the PRIA, </w:t>
      </w:r>
      <w:r w:rsidR="007F6725">
        <w:t xml:space="preserve">at </w:t>
      </w:r>
      <w:r w:rsidR="00462A4E">
        <w:t>section II.F.</w:t>
      </w:r>
      <w:r w:rsidR="001252D1">
        <w:t>1</w:t>
      </w:r>
      <w:r w:rsidR="007F6725">
        <w:t xml:space="preserve">, </w:t>
      </w:r>
      <w:r w:rsidRPr="009B609B">
        <w:t xml:space="preserve">we are uncertain as to the likely prevalence of distributed manufacturing in the coming years.  We assume that, on average, the drug industry will register zero to two new DMEs in each of the first three years after publication of </w:t>
      </w:r>
      <w:r w:rsidR="00F23BC7">
        <w:t>any</w:t>
      </w:r>
      <w:r w:rsidRPr="009B609B">
        <w:t xml:space="preserve"> </w:t>
      </w:r>
      <w:r w:rsidR="007F6725">
        <w:t xml:space="preserve">final </w:t>
      </w:r>
      <w:r w:rsidRPr="009B609B">
        <w:t xml:space="preserve">rule.  We are also uncertain as to the likely scale of distributed manufacturing operations in the coming years.  We assume that, on average, each DME includes four DMUs. </w:t>
      </w:r>
      <w:r>
        <w:t xml:space="preserve"> </w:t>
      </w:r>
      <w:r w:rsidRPr="009B609B">
        <w:t xml:space="preserve">As such, the proposed rule would avoid four registrations per DME (as only the fixed distributed manufacturing hub would need to register, in place of four individual units plus the hub). </w:t>
      </w:r>
      <w:r>
        <w:t xml:space="preserve"> </w:t>
      </w:r>
      <w:r w:rsidRPr="009B609B">
        <w:t xml:space="preserve">The proposed rule would thereby also avoid a corresponding number of registration renewals per DME in each year after the first.  PRIA, at </w:t>
      </w:r>
      <w:r w:rsidR="004C59EE">
        <w:t>section II.F.1</w:t>
      </w:r>
      <w:r w:rsidRPr="009B609B">
        <w:t>.  Based</w:t>
      </w:r>
      <w:r>
        <w:t xml:space="preserve"> on these assumptions, in the three years following </w:t>
      </w:r>
      <w:r w:rsidR="004549A9">
        <w:t>the effective date</w:t>
      </w:r>
      <w:r>
        <w:t xml:space="preserve"> of a final rule, we estimate that </w:t>
      </w:r>
      <w:r w:rsidR="00936F98">
        <w:t>respondents will</w:t>
      </w:r>
      <w:r w:rsidR="005F11CB">
        <w:t xml:space="preserve"> register </w:t>
      </w:r>
      <w:r>
        <w:t xml:space="preserve">one or fewer DMEs </w:t>
      </w:r>
      <w:r w:rsidR="00BB3DE6">
        <w:t>and</w:t>
      </w:r>
      <w:r>
        <w:t xml:space="preserve"> will submit updates for four DMUs,</w:t>
      </w:r>
      <w:r w:rsidRPr="00300D3D">
        <w:t xml:space="preserve"> </w:t>
      </w:r>
      <w:r>
        <w:t xml:space="preserve">as shown in </w:t>
      </w:r>
      <w:r w:rsidR="009753FD">
        <w:t>T</w:t>
      </w:r>
      <w:r>
        <w:t xml:space="preserve">able </w:t>
      </w:r>
      <w:r w:rsidR="00FB4788">
        <w:t>1</w:t>
      </w:r>
      <w:r>
        <w:t>.</w:t>
      </w:r>
      <w:r w:rsidRPr="002872A0" w:rsidR="002872A0">
        <w:t xml:space="preserve">  Thereafter, due to the expected cost savings from consolidation of DME registrations and </w:t>
      </w:r>
      <w:r w:rsidRPr="002872A0" w:rsidR="002872A0">
        <w:t>renewals, we project that interest will grow and the drug industry will register three to five new DMEs in each of the next three years</w:t>
      </w:r>
      <w:r w:rsidR="00AF1A8A">
        <w:t xml:space="preserve"> (Years 4-6)</w:t>
      </w:r>
      <w:r w:rsidRPr="002872A0" w:rsidR="002872A0">
        <w:t>, and then eight to ten new DMEs per following year</w:t>
      </w:r>
      <w:r w:rsidR="00221573">
        <w:t xml:space="preserve"> (Years 7-10)</w:t>
      </w:r>
      <w:r w:rsidRPr="002872A0" w:rsidR="002872A0">
        <w:t xml:space="preserve">.  PRIA, at </w:t>
      </w:r>
      <w:r w:rsidR="001D0986">
        <w:t>section II.F.1</w:t>
      </w:r>
      <w:r w:rsidRPr="002872A0" w:rsidR="002872A0">
        <w:t xml:space="preserve">.  </w:t>
      </w:r>
      <w:r w:rsidRPr="00F743C5" w:rsidR="001409BA">
        <w:t>We estimate</w:t>
      </w:r>
      <w:r w:rsidR="001409BA">
        <w:t xml:space="preserve"> that it will take a respondent one hour to register a</w:t>
      </w:r>
      <w:r w:rsidRPr="008109C7" w:rsidR="001409BA">
        <w:t xml:space="preserve"> DME</w:t>
      </w:r>
      <w:r w:rsidR="001409BA">
        <w:t xml:space="preserve"> and 30 minutes to update a registration to include a DMU,</w:t>
      </w:r>
      <w:r w:rsidRPr="00300D3D" w:rsidR="001409BA">
        <w:t xml:space="preserve"> </w:t>
      </w:r>
      <w:r w:rsidR="001409BA">
        <w:t xml:space="preserve">as shown in Table </w:t>
      </w:r>
      <w:r w:rsidR="007143F4">
        <w:t>1</w:t>
      </w:r>
      <w:r w:rsidR="001409BA">
        <w:t>.</w:t>
      </w:r>
    </w:p>
    <w:p w:rsidR="008D7B23" w:rsidP="005E51E5" w14:paraId="7838016E" w14:textId="77777777">
      <w:pPr>
        <w:contextualSpacing/>
        <w:textAlignment w:val="baseline"/>
      </w:pPr>
    </w:p>
    <w:p w:rsidR="008D7B23" w:rsidP="005E51E5" w14:paraId="358B8411" w14:textId="39908480">
      <w:pPr>
        <w:contextualSpacing/>
        <w:textAlignment w:val="baseline"/>
      </w:pPr>
      <w:r w:rsidRPr="008D7B23">
        <w:t xml:space="preserve">As noted, the proposed rule would also explicitly provide that registrants of a DME inform FDA of the relocation of a DMU in advance of the move as opposed to the current requirement to notify FDA up to 30 days after a change in address.  We estimate that the timing of this notification imposes no burden in addition to the usual burden for an update, which would be accounted for as an update to registration for DMUs.  </w:t>
      </w:r>
    </w:p>
    <w:p w:rsidR="00D80811" w:rsidP="005E51E5" w14:paraId="5AF343FC" w14:textId="77777777">
      <w:pPr>
        <w:contextualSpacing/>
        <w:textAlignment w:val="baseline"/>
      </w:pPr>
    </w:p>
    <w:p w:rsidR="005E51E5" w:rsidP="005E51E5" w14:paraId="2C23B96C" w14:textId="53CE6C98">
      <w:pPr>
        <w:contextualSpacing/>
        <w:textAlignment w:val="baseline"/>
      </w:pPr>
      <w:r w:rsidRPr="00206EA1">
        <w:rPr>
          <w:i/>
          <w:iCs/>
        </w:rPr>
        <w:t>Foreign Drug Establishment Registration and Listing</w:t>
      </w:r>
    </w:p>
    <w:p w:rsidR="00434D91" w:rsidP="005E51E5" w14:paraId="3B3B3BDE" w14:textId="63A655B4">
      <w:pPr>
        <w:contextualSpacing/>
        <w:textAlignment w:val="baseline"/>
      </w:pPr>
      <w:r w:rsidRPr="008717FF">
        <w:t xml:space="preserve">We base our hour burden estimates on the burden estimates applicable to the existing </w:t>
      </w:r>
      <w:r>
        <w:t xml:space="preserve">registration and listing </w:t>
      </w:r>
      <w:r w:rsidRPr="008717FF">
        <w:t>requirements of part 207, currently approved in OMB control number 0910-0045.</w:t>
      </w:r>
      <w:r>
        <w:t xml:space="preserve">  </w:t>
      </w:r>
      <w:r w:rsidRPr="008D0536" w:rsidR="008D0536">
        <w:t xml:space="preserve">To account for differences in English proficiency, we multiply the hours estimated for compliance tasks by a factor of 1.8, </w:t>
      </w:r>
      <w:r w:rsidR="00FF7C33">
        <w:t xml:space="preserve">consistent with the </w:t>
      </w:r>
      <w:r w:rsidR="00830005">
        <w:t xml:space="preserve">PRIA, section II.K.1.  </w:t>
      </w:r>
      <w:r w:rsidRPr="008D0536" w:rsidR="008D0536">
        <w:t>Hence, we estimate about 1.8 foreign labor hours for each hour spent by a US-based worker on tasks involving English proficiency.</w:t>
      </w:r>
      <w:r w:rsidR="000B466C">
        <w:t xml:space="preserve">  </w:t>
      </w:r>
      <w:r w:rsidRPr="00E229B9">
        <w:t xml:space="preserve">Section 2511 of the PREVENT Pandemics Act amended section 510 of the FD&amp;C Act to expressly require the registration of foreign establishments that manufacture, prepare, propagate, compound, or process a drug that is imported or offered for import into the United States, regardless of whether the drug undergoes further manufacture, preparation, propagation, compounding, or processing at a separate establishment outside the United States prior to being imported or offered for import into the United States. </w:t>
      </w:r>
      <w:r>
        <w:t xml:space="preserve"> </w:t>
      </w:r>
      <w:r w:rsidRPr="00E229B9">
        <w:t xml:space="preserve">Section 2511 of the PREVENT Pandemics Act also amended section 510 of the FD&amp;C Act to </w:t>
      </w:r>
      <w:r w:rsidR="00C46CE7">
        <w:t>clarify the requirement that</w:t>
      </w:r>
      <w:r w:rsidRPr="00E229B9">
        <w:t xml:space="preserve"> such establishments list such drugs.</w:t>
      </w:r>
      <w:r>
        <w:t xml:space="preserve"> </w:t>
      </w:r>
      <w:r w:rsidR="00E627E2">
        <w:t xml:space="preserve"> </w:t>
      </w:r>
      <w:r w:rsidRPr="0027435D" w:rsidR="00E627E2">
        <w:t>These self-implementing changes to statute introduced no new requirements on foreign establishments but rather clarified requirements already in effect at the time.</w:t>
      </w:r>
    </w:p>
    <w:p w:rsidR="005E51E5" w:rsidP="005E51E5" w14:paraId="7FBC1C2D" w14:textId="77777777">
      <w:pPr>
        <w:contextualSpacing/>
        <w:textAlignment w:val="baseline"/>
      </w:pPr>
    </w:p>
    <w:p w:rsidR="00927E65" w:rsidP="00927E65" w14:paraId="588382C7" w14:textId="722150F7">
      <w:pPr>
        <w:contextualSpacing/>
        <w:textAlignment w:val="baseline"/>
      </w:pPr>
      <w:r>
        <w:t>With respect to foreign establishment registration and drug listing requirements in proposed §§ 207.17 and 207.41, if the proposed rule is finalized, we expect that unregistered foreign firms required to register and list with FDA by section 510 of the FD&amp;C Act, as amended by section 2511 of the PREVENT Pandemics Act, would more clearly understand that they are required to register and list. Though changes to statute made by section 2511 of the PREVENT Pandemics Act introduced no new requirements on foreign establishments and only clarified existing requirements, we expect this clarification to increase compliance among covered foreign establishments. As noted, these statutory provisions are self-implementing, even in the absence of the proposed rule.</w:t>
      </w:r>
    </w:p>
    <w:p w:rsidR="004058AC" w:rsidP="00927E65" w14:paraId="78D8AA70" w14:textId="77777777">
      <w:pPr>
        <w:contextualSpacing/>
        <w:textAlignment w:val="baseline"/>
      </w:pPr>
    </w:p>
    <w:p w:rsidR="00927E65" w:rsidP="00927E65" w14:paraId="483D01B5" w14:textId="7CA9E142">
      <w:pPr>
        <w:contextualSpacing/>
        <w:textAlignment w:val="baseline"/>
      </w:pPr>
      <w:r>
        <w:t>Our estimate of the number of foreign registration and listing respondents is based on the PRIA.  A number of foreign manufacturing establishments might not yet have registered with FDA if the drugs they manufacture are only indirectly imported or offered for import into the United States after undergoing further manufacture at another foreign establishment.  These establishments thus would not have yet complied with section 510 of the</w:t>
      </w:r>
      <w:r w:rsidR="00A03E0E">
        <w:t xml:space="preserve"> </w:t>
      </w:r>
      <w:r>
        <w:t xml:space="preserve">FD&amp;C Act, </w:t>
      </w:r>
      <w:r w:rsidR="00A00DD0">
        <w:t>as</w:t>
      </w:r>
      <w:r>
        <w:t xml:space="preserve"> amended by section 2511 of the PREVENT Pandemics Act.  PRIA, section II.D.</w:t>
      </w:r>
    </w:p>
    <w:p w:rsidR="00294495" w:rsidP="00927E65" w14:paraId="0FCE8381" w14:textId="77777777">
      <w:pPr>
        <w:contextualSpacing/>
        <w:textAlignment w:val="baseline"/>
      </w:pPr>
    </w:p>
    <w:p w:rsidR="00927E65" w:rsidP="00927E65" w14:paraId="6777486E" w14:textId="7C7FC2C2">
      <w:pPr>
        <w:contextualSpacing/>
        <w:textAlignment w:val="baseline"/>
      </w:pPr>
      <w:r>
        <w:t xml:space="preserve">If the proposed rule is finalized as proposed, we expect that some unregistered foreign </w:t>
      </w:r>
      <w:r w:rsidR="00C008E6">
        <w:t>firms</w:t>
      </w:r>
      <w:r>
        <w:t xml:space="preserve"> would register.  We estimate that about 25 foreign manufacturing establishments not currently registered with FDA might manufacture a drug subject to an approved application that is imported or offered for import into the United States after undergoing further manufacture at another foreign establishment.  We estimate that about 1,600 foreign manufacturing establishments not currently </w:t>
      </w:r>
      <w:r>
        <w:t xml:space="preserve">registered with FDA might manufacture an over-the-counter (OTC) monograph drug that is imported or offered for import into the United States after undergoing further manufacture at another foreign establishment.  Some registrants may register more than one establishment.  Based on the analysis in the PRIA, we estimate that 1,313 respondents would submit an initial foreign establishment registration for 1,625 currently unregistered foreign manufacturing establishments.  PRIA, section II.D.  </w:t>
      </w:r>
      <w:r w:rsidR="00E82C9B">
        <w:t>Multiplying</w:t>
      </w:r>
      <w:r w:rsidR="00727655">
        <w:t xml:space="preserve"> our current hour burden estimates approved in OMB control number 0910-0045 for registration (1.0 hour) and updates to registration (0.5 hour)</w:t>
      </w:r>
      <w:r w:rsidR="00C53EF7">
        <w:t xml:space="preserve"> </w:t>
      </w:r>
      <w:r w:rsidRPr="00C53EF7" w:rsidR="00C53EF7">
        <w:t>by a factor of 1.8</w:t>
      </w:r>
      <w:r w:rsidR="00A51238">
        <w:t xml:space="preserve"> t</w:t>
      </w:r>
      <w:r w:rsidRPr="00543B4A" w:rsidR="00A51238">
        <w:t>o account for differences in English proficiency</w:t>
      </w:r>
      <w:r w:rsidR="00727655">
        <w:t xml:space="preserve">, </w:t>
      </w:r>
      <w:r w:rsidR="00FC50EE">
        <w:t>w</w:t>
      </w:r>
      <w:r>
        <w:t xml:space="preserve">e estimate that it will take a respondent </w:t>
      </w:r>
      <w:r w:rsidR="00A51238">
        <w:t>1.8</w:t>
      </w:r>
      <w:r>
        <w:t xml:space="preserve"> hour</w:t>
      </w:r>
      <w:r w:rsidR="00C779DE">
        <w:t>s</w:t>
      </w:r>
      <w:r>
        <w:t xml:space="preserve"> to submit an initial foreign establishment registration and </w:t>
      </w:r>
      <w:r w:rsidR="00C779DE">
        <w:t>0.9 hour (54</w:t>
      </w:r>
      <w:r>
        <w:t xml:space="preserve"> minutes</w:t>
      </w:r>
      <w:r w:rsidR="00C779DE">
        <w:t>)</w:t>
      </w:r>
      <w:r>
        <w:t xml:space="preserve"> to update a registration, as shown in Table </w:t>
      </w:r>
      <w:r w:rsidR="007143F4">
        <w:t>1</w:t>
      </w:r>
      <w:r>
        <w:t xml:space="preserve">.  </w:t>
      </w:r>
    </w:p>
    <w:p w:rsidR="00313FBA" w:rsidP="00927E65" w14:paraId="1BB0A8B3" w14:textId="77777777">
      <w:pPr>
        <w:contextualSpacing/>
        <w:textAlignment w:val="baseline"/>
      </w:pPr>
    </w:p>
    <w:p w:rsidR="00C91DBC" w:rsidP="00927E65" w14:paraId="288900AC" w14:textId="09784A18">
      <w:pPr>
        <w:contextualSpacing/>
        <w:textAlignment w:val="baseline"/>
      </w:pPr>
      <w:r>
        <w:t xml:space="preserve">We estimate that these respondent foreign establishments will submit 24,550 drug listings (550 for drugs subject to an approved application and 24,000 for OTC monograph drugs).  PRIA, section II.D.  </w:t>
      </w:r>
      <w:r w:rsidR="00CD23D4">
        <w:t>Multiplying</w:t>
      </w:r>
      <w:r w:rsidR="00C45B0C">
        <w:t xml:space="preserve"> our current hour burden estimates approved in OMB control number 0910-0045 for listing (1.5 hour) and updates to a listing (0.75 hour)</w:t>
      </w:r>
      <w:r w:rsidR="00A840EF">
        <w:t xml:space="preserve"> </w:t>
      </w:r>
      <w:r w:rsidRPr="00C53EF7" w:rsidR="00A840EF">
        <w:t>by a factor of 1.8</w:t>
      </w:r>
      <w:r w:rsidR="00A840EF">
        <w:t xml:space="preserve"> t</w:t>
      </w:r>
      <w:r w:rsidRPr="00543B4A" w:rsidR="00A840EF">
        <w:t>o account for differences in English proficiency</w:t>
      </w:r>
      <w:r w:rsidR="00C45B0C">
        <w:t xml:space="preserve">, </w:t>
      </w:r>
      <w:r w:rsidR="00140075">
        <w:t>w</w:t>
      </w:r>
      <w:r>
        <w:t xml:space="preserve">e estimate that it will take a respondent </w:t>
      </w:r>
      <w:r w:rsidR="00140075">
        <w:t xml:space="preserve">foreign establishment </w:t>
      </w:r>
      <w:r w:rsidR="00A840EF">
        <w:t>2.7</w:t>
      </w:r>
      <w:r>
        <w:t xml:space="preserve"> hours to submit an initial listing and </w:t>
      </w:r>
      <w:r w:rsidR="00A840EF">
        <w:t>1.35 hours</w:t>
      </w:r>
      <w:r>
        <w:t xml:space="preserve"> to update a listing, as shown in Table </w:t>
      </w:r>
      <w:r w:rsidR="007143F4">
        <w:t>1</w:t>
      </w:r>
      <w:r>
        <w:t xml:space="preserve">. </w:t>
      </w:r>
    </w:p>
    <w:p w:rsidR="00FB1C3A" w:rsidP="00927E65" w14:paraId="3C5BB067" w14:textId="0291A58F">
      <w:pPr>
        <w:contextualSpacing/>
        <w:textAlignment w:val="baseline"/>
      </w:pPr>
      <w:r>
        <w:t xml:space="preserve"> </w:t>
      </w:r>
    </w:p>
    <w:p w:rsidR="00434D91" w:rsidP="009F5993" w14:paraId="68D99030" w14:textId="508FA660">
      <w:pPr>
        <w:ind w:firstLine="720"/>
        <w:contextualSpacing/>
        <w:textAlignment w:val="baseline"/>
      </w:pPr>
      <w:r>
        <w:t xml:space="preserve">In sum, if the proposed rule is finalized as proposed, we estimate an increase in burden of 5 responses and 3 hours annually for DME respondents </w:t>
      </w:r>
      <w:r w:rsidRPr="00D97CF3">
        <w:t xml:space="preserve">and 52,350 responses and </w:t>
      </w:r>
      <w:r w:rsidRPr="0017647E" w:rsidR="00C6784E">
        <w:t>103,819</w:t>
      </w:r>
      <w:r w:rsidRPr="00470E66" w:rsidR="00C6784E">
        <w:t xml:space="preserve"> </w:t>
      </w:r>
      <w:r w:rsidRPr="00D97CF3">
        <w:t xml:space="preserve"> hours annually for foreign manufacturing registration and listing respondents, for a total estimated increase in burden of 52,355 responses and </w:t>
      </w:r>
      <w:r w:rsidRPr="00CA1311" w:rsidR="002C4E76">
        <w:t>103,8</w:t>
      </w:r>
      <w:r w:rsidR="002C4E76">
        <w:t xml:space="preserve">22 </w:t>
      </w:r>
      <w:r w:rsidRPr="00D97CF3">
        <w:t>hours, annually.</w:t>
      </w:r>
      <w:r w:rsidRPr="00D97CF3" w:rsidR="002E219C">
        <w:t xml:space="preserve">  We will submit an information collection request under RIN 0910-AI94 for this proposed rule.  Upon publication of a final rule, and subsequent OMB approval of the information collection, we expect</w:t>
      </w:r>
      <w:r w:rsidR="002E219C">
        <w:t xml:space="preserve"> to</w:t>
      </w:r>
      <w:r w:rsidRPr="00366933" w:rsidR="002E219C">
        <w:t xml:space="preserve"> revise currently approved OMB Control No. 0910-0045</w:t>
      </w:r>
      <w:r w:rsidR="002E219C">
        <w:t xml:space="preserve"> to consolidate the burden of the information collection associated with this rulemaking into that control number</w:t>
      </w:r>
      <w:r w:rsidRPr="0003564F" w:rsidR="002E219C">
        <w:t>.</w:t>
      </w:r>
    </w:p>
    <w:p w:rsidR="005E51E5" w:rsidRPr="00086D6C" w:rsidP="005E51E5" w14:paraId="709AA10D" w14:textId="77777777">
      <w:pPr>
        <w:contextualSpacing/>
        <w:textAlignment w:val="baseline"/>
      </w:pPr>
    </w:p>
    <w:p w:rsidR="00357C8A" w:rsidRPr="00357C8A" w:rsidP="00D3623A" w14:paraId="1299C43A" w14:textId="0DFB6D72">
      <w:pPr>
        <w:spacing w:after="200"/>
        <w:ind w:left="360"/>
        <w:rPr>
          <w:rFonts w:eastAsia="Calibri"/>
        </w:rPr>
      </w:pPr>
      <w:r w:rsidRPr="005C71CA">
        <w:rPr>
          <w:rFonts w:eastAsia="Calibri"/>
        </w:rPr>
        <w:t>12b.  Annualized Cost Burden Estimate</w:t>
      </w:r>
    </w:p>
    <w:p w:rsidR="00A707CC" w:rsidP="0022425B" w14:paraId="4DDBEF00" w14:textId="2E7B018C">
      <w:pPr>
        <w:rPr>
          <w:rFonts w:eastAsia="Calibri"/>
        </w:rPr>
      </w:pPr>
      <w:r w:rsidRPr="00DF02B8">
        <w:rPr>
          <w:rFonts w:eastAsia="Calibri"/>
        </w:rPr>
        <w:t xml:space="preserve">We assume an average pharmaceutical industry wage rate of $75.00 per hour to prepare and submit the information collection requirements under </w:t>
      </w:r>
      <w:r w:rsidR="002E193D">
        <w:rPr>
          <w:rFonts w:eastAsia="Calibri"/>
        </w:rPr>
        <w:t>the proposed rule</w:t>
      </w:r>
      <w:r w:rsidRPr="00DF02B8">
        <w:rPr>
          <w:rFonts w:eastAsia="Calibri"/>
        </w:rPr>
        <w:t xml:space="preserve">.  When multiplied by the burden hours above, the cost to </w:t>
      </w:r>
      <w:r w:rsidR="000D5D89">
        <w:rPr>
          <w:rFonts w:eastAsia="Calibri"/>
        </w:rPr>
        <w:t xml:space="preserve">US-based </w:t>
      </w:r>
      <w:r w:rsidRPr="00DF02B8">
        <w:rPr>
          <w:rFonts w:eastAsia="Calibri"/>
        </w:rPr>
        <w:t xml:space="preserve">respondents is estimated at </w:t>
      </w:r>
      <w:r w:rsidRPr="00C66E8F">
        <w:rPr>
          <w:rFonts w:eastAsia="Calibri"/>
        </w:rPr>
        <w:t>$</w:t>
      </w:r>
      <w:r w:rsidRPr="00C66E8F" w:rsidR="00C66E8F">
        <w:rPr>
          <w:rFonts w:eastAsia="Calibri"/>
        </w:rPr>
        <w:t>225.00</w:t>
      </w:r>
      <w:r w:rsidR="00BD5521">
        <w:rPr>
          <w:rFonts w:eastAsia="Calibri"/>
        </w:rPr>
        <w:t xml:space="preserve"> and the cost to unregistered foreign firms </w:t>
      </w:r>
      <w:r w:rsidR="00014825">
        <w:rPr>
          <w:rFonts w:eastAsia="Calibri"/>
        </w:rPr>
        <w:t>is estimated at</w:t>
      </w:r>
      <w:r w:rsidR="008B1208">
        <w:rPr>
          <w:rFonts w:eastAsia="Calibri"/>
        </w:rPr>
        <w:t xml:space="preserve"> </w:t>
      </w:r>
      <w:r w:rsidR="0040640E">
        <w:rPr>
          <w:rFonts w:eastAsia="Calibri"/>
        </w:rPr>
        <w:t>$</w:t>
      </w:r>
      <w:r w:rsidR="008B1208">
        <w:rPr>
          <w:rFonts w:eastAsia="Calibri"/>
        </w:rPr>
        <w:t>7,786,200</w:t>
      </w:r>
      <w:r w:rsidR="00C66E8F">
        <w:rPr>
          <w:rFonts w:eastAsia="Calibri"/>
        </w:rPr>
        <w:t>.</w:t>
      </w:r>
    </w:p>
    <w:p w:rsidR="00357C8A" w:rsidRPr="00357C8A" w:rsidP="00357C8A" w14:paraId="0562CB0E" w14:textId="77777777">
      <w:pPr>
        <w:rPr>
          <w:rFonts w:eastAsia="Calibri"/>
        </w:rPr>
      </w:pPr>
    </w:p>
    <w:p w:rsidR="00357C8A" w:rsidRPr="00357C8A" w:rsidP="00EE2835" w14:paraId="6205AA9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RPr="00E72A4A" w:rsidP="00E72A4A" w14:paraId="3E6D77C2" w14:textId="15412191">
      <w:pPr>
        <w:pStyle w:val="BodyText"/>
        <w:kinsoku w:val="0"/>
        <w:overflowPunct w:val="0"/>
        <w:spacing w:after="200"/>
      </w:pPr>
      <w:r w:rsidRPr="00A32E05">
        <w:t xml:space="preserve">There are no capital costs and operating and maintenance costs associated with this </w:t>
      </w:r>
      <w:r w:rsidRPr="00A32E05" w:rsidR="005C00F5">
        <w:t xml:space="preserve">proposed </w:t>
      </w:r>
      <w:r w:rsidRPr="00A32E05">
        <w:t>collection of information.</w:t>
      </w:r>
      <w:r w:rsidR="00207408">
        <w:t xml:space="preserve"> </w:t>
      </w:r>
    </w:p>
    <w:p w:rsidR="00357C8A" w:rsidRPr="00357C8A" w:rsidP="00EE2835"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44176129" w14:textId="1F905A92">
      <w:pPr>
        <w:spacing w:after="200"/>
        <w:rPr>
          <w:rFonts w:eastAsia="Calibri"/>
        </w:rPr>
      </w:pPr>
      <w:r>
        <w:t xml:space="preserve">If the proposed rule is finalized, </w:t>
      </w:r>
      <w:r w:rsidR="00CD2D3E">
        <w:t>w</w:t>
      </w:r>
      <w:r w:rsidR="00723984">
        <w:t xml:space="preserve">e </w:t>
      </w:r>
      <w:r w:rsidR="00430A53">
        <w:t xml:space="preserve">estimate that FDA </w:t>
      </w:r>
      <w:r w:rsidR="00455644">
        <w:t xml:space="preserve">would </w:t>
      </w:r>
      <w:r w:rsidR="00BF4939">
        <w:t>incur one-time costs</w:t>
      </w:r>
      <w:r w:rsidR="00455644">
        <w:t xml:space="preserve"> of ~</w:t>
      </w:r>
      <w:r w:rsidR="00AE01FF">
        <w:t>$100,000</w:t>
      </w:r>
      <w:r w:rsidR="00BF4939">
        <w:t xml:space="preserve"> to update </w:t>
      </w:r>
      <w:r w:rsidRPr="00C16080" w:rsidR="00167B73">
        <w:rPr>
          <w:shd w:val="clear" w:color="auto" w:fill="FFFFFF"/>
        </w:rPr>
        <w:t>structured product labeling (SPL)</w:t>
      </w:r>
      <w:r w:rsidR="00167B73">
        <w:rPr>
          <w:shd w:val="clear" w:color="auto" w:fill="FFFFFF"/>
        </w:rPr>
        <w:t xml:space="preserve"> </w:t>
      </w:r>
      <w:r w:rsidR="00BF4939">
        <w:t>submission schema, tools, and internal databases.</w:t>
      </w:r>
      <w:r w:rsidR="00AE01FF">
        <w:t xml:space="preserve">  PRIA, at</w:t>
      </w:r>
      <w:r w:rsidR="00F1465F">
        <w:t xml:space="preserve"> section II.F.3</w:t>
      </w:r>
      <w:r w:rsidR="00AE01FF">
        <w:t xml:space="preserve">.  </w:t>
      </w:r>
      <w:r w:rsidR="00A11A46">
        <w:rPr>
          <w:rFonts w:eastAsia="Calibri"/>
        </w:rPr>
        <w:t xml:space="preserve">On </w:t>
      </w:r>
      <w:r w:rsidR="009946FD">
        <w:rPr>
          <w:rFonts w:eastAsia="Calibri"/>
        </w:rPr>
        <w:t>an annualized basis, we estimate this cost to be $</w:t>
      </w:r>
      <w:r w:rsidR="00537EDE">
        <w:rPr>
          <w:rFonts w:eastAsia="Calibri"/>
        </w:rPr>
        <w:t>33,333</w:t>
      </w:r>
      <w:r w:rsidR="0030392B">
        <w:rPr>
          <w:rFonts w:eastAsia="Calibri"/>
        </w:rPr>
        <w:t>.33</w:t>
      </w:r>
      <w:r w:rsidR="009946FD">
        <w:rPr>
          <w:rFonts w:eastAsia="Calibri"/>
        </w:rPr>
        <w:t xml:space="preserve"> per year over 3 years ($</w:t>
      </w:r>
      <w:r w:rsidR="00537EDE">
        <w:rPr>
          <w:rFonts w:eastAsia="Calibri"/>
        </w:rPr>
        <w:t>100,000</w:t>
      </w:r>
      <w:r w:rsidR="009946FD">
        <w:rPr>
          <w:rFonts w:eastAsia="Calibri"/>
        </w:rPr>
        <w:t>/3).</w:t>
      </w:r>
      <w:r w:rsidR="008E1176">
        <w:t xml:space="preserve">  </w:t>
      </w:r>
    </w:p>
    <w:p w:rsidR="00357C8A" w:rsidP="00EE2835" w14:paraId="4C080B4D" w14:textId="55563AC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2E4884" w14:paraId="3E9F8D6E" w14:textId="00E59CD2">
      <w:pPr>
        <w:spacing w:after="200" w:line="276" w:lineRule="auto"/>
      </w:pPr>
      <w:r w:rsidRPr="00055127">
        <w:t>This is a new information collection</w:t>
      </w:r>
      <w:r w:rsidR="00C13CE7">
        <w:t>.</w:t>
      </w:r>
    </w:p>
    <w:p w:rsidR="00CB73E0" w:rsidRPr="002E4884" w:rsidP="002E4884" w14:paraId="3703B236" w14:textId="77777777">
      <w:pPr>
        <w:spacing w:after="200" w:line="276" w:lineRule="auto"/>
      </w:pPr>
    </w:p>
    <w:p w:rsidR="00357C8A" w:rsidRPr="00357C8A" w:rsidP="00EE2835"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A101E6" w14:paraId="086D08AD" w14:textId="1CC025B1">
      <w:pPr>
        <w:pStyle w:val="Default"/>
        <w:rPr>
          <w:rFonts w:eastAsia="Calibri"/>
        </w:rPr>
      </w:pPr>
      <w:r w:rsidRPr="005C71CA">
        <w:rPr>
          <w:rFonts w:eastAsia="Calibri"/>
        </w:rPr>
        <w:t>Th</w:t>
      </w:r>
      <w:r w:rsidR="00A101E6">
        <w:rPr>
          <w:rFonts w:eastAsia="Calibri"/>
        </w:rPr>
        <w:t>e</w:t>
      </w:r>
      <w:r w:rsidRPr="005C71CA">
        <w:rPr>
          <w:rFonts w:eastAsia="Calibri"/>
        </w:rPr>
        <w:t xml:space="preserve"> information collected will not be published or tabulated.</w:t>
      </w:r>
    </w:p>
    <w:p w:rsidR="00A101E6" w:rsidRPr="00A101E6" w:rsidP="00A101E6" w14:paraId="4D4369CA" w14:textId="77777777">
      <w:pPr>
        <w:pStyle w:val="Default"/>
        <w:rPr>
          <w:rFonts w:eastAsia="Calibri"/>
          <w:color w:val="auto"/>
        </w:rPr>
      </w:pPr>
    </w:p>
    <w:p w:rsidR="00357C8A" w:rsidRPr="00357C8A" w:rsidP="00EE2835"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066E7B" w:rsidP="00066E7B" w14:paraId="18D08025" w14:textId="6B6D5F48">
      <w:pPr>
        <w:pStyle w:val="BodyText"/>
        <w:kinsoku w:val="0"/>
        <w:overflowPunct w:val="0"/>
        <w:spacing w:after="200"/>
      </w:pPr>
      <w:r>
        <w:t>FDA</w:t>
      </w:r>
      <w:r w:rsidRPr="00086D6C" w:rsidR="00066E7B">
        <w:t xml:space="preserve"> will display the OMB expiration date as required by 5 CFR 1320.5.</w:t>
      </w:r>
    </w:p>
    <w:p w:rsidR="00357C8A" w:rsidRPr="00357C8A" w:rsidP="00EE2835"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0C363028" w14:textId="143C9C75">
      <w:pPr>
        <w:spacing w:after="200"/>
        <w:rPr>
          <w:rFonts w:eastAsia="Calibri"/>
        </w:rPr>
      </w:pPr>
      <w:r w:rsidRPr="007E59A8">
        <w:rPr>
          <w:rFonts w:eastAsia="Calibri"/>
        </w:rPr>
        <w:t>There are no exceptions to the certification</w:t>
      </w:r>
      <w:r>
        <w:rPr>
          <w:rFonts w:eastAsia="Calibri"/>
        </w:rPr>
        <w:t>.</w:t>
      </w:r>
    </w:p>
    <w:sectPr w:rsidSect="005C71CA">
      <w:headerReference w:type="default" r:id="rId8"/>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rsidP="755C8B3D" w14:paraId="4D823F4D" w14:textId="31F017BB">
    <w:pPr>
      <w:pStyle w:val="Header"/>
      <w:rPr>
        <w:sz w:val="18"/>
        <w:szCs w:val="18"/>
        <w:highlight w:val="yellow"/>
      </w:rPr>
    </w:pPr>
    <w:r>
      <w:tab/>
    </w:r>
    <w:r w:rsidRPr="755C8B3D" w:rsidR="755C8B3D">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C1178"/>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08028559">
    <w:abstractNumId w:val="6"/>
  </w:num>
  <w:num w:numId="2" w16cid:durableId="131295366">
    <w:abstractNumId w:val="2"/>
  </w:num>
  <w:num w:numId="3" w16cid:durableId="580330359">
    <w:abstractNumId w:val="7"/>
  </w:num>
  <w:num w:numId="4" w16cid:durableId="1879396829">
    <w:abstractNumId w:val="4"/>
  </w:num>
  <w:num w:numId="5" w16cid:durableId="1375814954">
    <w:abstractNumId w:val="8"/>
  </w:num>
  <w:num w:numId="6" w16cid:durableId="351735239">
    <w:abstractNumId w:val="1"/>
  </w:num>
  <w:num w:numId="7" w16cid:durableId="1015376130">
    <w:abstractNumId w:val="3"/>
  </w:num>
  <w:num w:numId="8" w16cid:durableId="532426157">
    <w:abstractNumId w:val="5"/>
  </w:num>
  <w:num w:numId="9" w16cid:durableId="13279013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73A1"/>
    <w:rsid w:val="00014825"/>
    <w:rsid w:val="0001515B"/>
    <w:rsid w:val="000151CC"/>
    <w:rsid w:val="000158A1"/>
    <w:rsid w:val="00021A93"/>
    <w:rsid w:val="0002610C"/>
    <w:rsid w:val="000305B3"/>
    <w:rsid w:val="00031A2C"/>
    <w:rsid w:val="0003564F"/>
    <w:rsid w:val="000359C4"/>
    <w:rsid w:val="00035F65"/>
    <w:rsid w:val="00041F9F"/>
    <w:rsid w:val="00042099"/>
    <w:rsid w:val="00042B93"/>
    <w:rsid w:val="00043C7F"/>
    <w:rsid w:val="00045AE4"/>
    <w:rsid w:val="000467A8"/>
    <w:rsid w:val="000505D1"/>
    <w:rsid w:val="00055127"/>
    <w:rsid w:val="00057F02"/>
    <w:rsid w:val="0006149D"/>
    <w:rsid w:val="0006383F"/>
    <w:rsid w:val="0006570F"/>
    <w:rsid w:val="00066E7B"/>
    <w:rsid w:val="00075DE8"/>
    <w:rsid w:val="000808A8"/>
    <w:rsid w:val="00081C74"/>
    <w:rsid w:val="000831C2"/>
    <w:rsid w:val="00086D6C"/>
    <w:rsid w:val="00087439"/>
    <w:rsid w:val="00092350"/>
    <w:rsid w:val="00092F9D"/>
    <w:rsid w:val="00093939"/>
    <w:rsid w:val="000973CB"/>
    <w:rsid w:val="000A0F6F"/>
    <w:rsid w:val="000A618A"/>
    <w:rsid w:val="000B466C"/>
    <w:rsid w:val="000B63C4"/>
    <w:rsid w:val="000B7E88"/>
    <w:rsid w:val="000C1260"/>
    <w:rsid w:val="000C5088"/>
    <w:rsid w:val="000C533D"/>
    <w:rsid w:val="000C560C"/>
    <w:rsid w:val="000C65A7"/>
    <w:rsid w:val="000D080B"/>
    <w:rsid w:val="000D48FD"/>
    <w:rsid w:val="000D5D89"/>
    <w:rsid w:val="000D79CC"/>
    <w:rsid w:val="000E03D3"/>
    <w:rsid w:val="000E1C64"/>
    <w:rsid w:val="000E2F0D"/>
    <w:rsid w:val="000F2863"/>
    <w:rsid w:val="000F59C1"/>
    <w:rsid w:val="000F7119"/>
    <w:rsid w:val="001005B5"/>
    <w:rsid w:val="00100739"/>
    <w:rsid w:val="00103742"/>
    <w:rsid w:val="0010493E"/>
    <w:rsid w:val="001075D3"/>
    <w:rsid w:val="00107885"/>
    <w:rsid w:val="00114FC4"/>
    <w:rsid w:val="00116190"/>
    <w:rsid w:val="00117A04"/>
    <w:rsid w:val="00121F5B"/>
    <w:rsid w:val="0012329C"/>
    <w:rsid w:val="001252D1"/>
    <w:rsid w:val="001323FE"/>
    <w:rsid w:val="00134FA7"/>
    <w:rsid w:val="00137950"/>
    <w:rsid w:val="00137E8B"/>
    <w:rsid w:val="00140075"/>
    <w:rsid w:val="001409BA"/>
    <w:rsid w:val="00141BEF"/>
    <w:rsid w:val="00150C02"/>
    <w:rsid w:val="00152F29"/>
    <w:rsid w:val="0015457C"/>
    <w:rsid w:val="00157F39"/>
    <w:rsid w:val="00161833"/>
    <w:rsid w:val="00163E1C"/>
    <w:rsid w:val="00166EA8"/>
    <w:rsid w:val="00167B73"/>
    <w:rsid w:val="00167BA8"/>
    <w:rsid w:val="00174D54"/>
    <w:rsid w:val="0017647E"/>
    <w:rsid w:val="0017702C"/>
    <w:rsid w:val="001774E9"/>
    <w:rsid w:val="00181379"/>
    <w:rsid w:val="001814AC"/>
    <w:rsid w:val="00185270"/>
    <w:rsid w:val="00190DC4"/>
    <w:rsid w:val="001932F5"/>
    <w:rsid w:val="001938AB"/>
    <w:rsid w:val="00196C4E"/>
    <w:rsid w:val="00197919"/>
    <w:rsid w:val="001A2622"/>
    <w:rsid w:val="001A3B5A"/>
    <w:rsid w:val="001A4889"/>
    <w:rsid w:val="001A7406"/>
    <w:rsid w:val="001B1CA1"/>
    <w:rsid w:val="001B7CE9"/>
    <w:rsid w:val="001C0298"/>
    <w:rsid w:val="001C11C7"/>
    <w:rsid w:val="001C2ABB"/>
    <w:rsid w:val="001C66D9"/>
    <w:rsid w:val="001D0986"/>
    <w:rsid w:val="001D1278"/>
    <w:rsid w:val="001D15EC"/>
    <w:rsid w:val="001D3401"/>
    <w:rsid w:val="001D38DA"/>
    <w:rsid w:val="001D495A"/>
    <w:rsid w:val="001D7FB9"/>
    <w:rsid w:val="001E244C"/>
    <w:rsid w:val="001E4F2D"/>
    <w:rsid w:val="001E6AC9"/>
    <w:rsid w:val="001F1437"/>
    <w:rsid w:val="001F38FB"/>
    <w:rsid w:val="001F71B3"/>
    <w:rsid w:val="001F742F"/>
    <w:rsid w:val="0020124F"/>
    <w:rsid w:val="00203663"/>
    <w:rsid w:val="00206799"/>
    <w:rsid w:val="002069C4"/>
    <w:rsid w:val="00206EA1"/>
    <w:rsid w:val="00207408"/>
    <w:rsid w:val="002074FE"/>
    <w:rsid w:val="00210664"/>
    <w:rsid w:val="0022043F"/>
    <w:rsid w:val="00221573"/>
    <w:rsid w:val="0022208F"/>
    <w:rsid w:val="0022425B"/>
    <w:rsid w:val="002259EF"/>
    <w:rsid w:val="00225F3D"/>
    <w:rsid w:val="002262C9"/>
    <w:rsid w:val="002348BC"/>
    <w:rsid w:val="00242ED1"/>
    <w:rsid w:val="00243356"/>
    <w:rsid w:val="002444BB"/>
    <w:rsid w:val="00246442"/>
    <w:rsid w:val="00254069"/>
    <w:rsid w:val="002605C6"/>
    <w:rsid w:val="00270294"/>
    <w:rsid w:val="00270748"/>
    <w:rsid w:val="00271197"/>
    <w:rsid w:val="00271B51"/>
    <w:rsid w:val="002734E5"/>
    <w:rsid w:val="00273518"/>
    <w:rsid w:val="0027435D"/>
    <w:rsid w:val="002746DB"/>
    <w:rsid w:val="002762DF"/>
    <w:rsid w:val="00277333"/>
    <w:rsid w:val="00280CAF"/>
    <w:rsid w:val="00282F09"/>
    <w:rsid w:val="002872A0"/>
    <w:rsid w:val="0028797D"/>
    <w:rsid w:val="00291810"/>
    <w:rsid w:val="00294495"/>
    <w:rsid w:val="00294D62"/>
    <w:rsid w:val="00297532"/>
    <w:rsid w:val="00297FFD"/>
    <w:rsid w:val="002A1210"/>
    <w:rsid w:val="002A47D2"/>
    <w:rsid w:val="002A4B44"/>
    <w:rsid w:val="002A5B02"/>
    <w:rsid w:val="002A7FB5"/>
    <w:rsid w:val="002B0AF5"/>
    <w:rsid w:val="002B1368"/>
    <w:rsid w:val="002B14D0"/>
    <w:rsid w:val="002B2074"/>
    <w:rsid w:val="002B3C05"/>
    <w:rsid w:val="002B487F"/>
    <w:rsid w:val="002C0D4E"/>
    <w:rsid w:val="002C4E76"/>
    <w:rsid w:val="002C674F"/>
    <w:rsid w:val="002D14D8"/>
    <w:rsid w:val="002D342D"/>
    <w:rsid w:val="002D3685"/>
    <w:rsid w:val="002D4799"/>
    <w:rsid w:val="002D7AA0"/>
    <w:rsid w:val="002E1274"/>
    <w:rsid w:val="002E193D"/>
    <w:rsid w:val="002E219C"/>
    <w:rsid w:val="002E3FA4"/>
    <w:rsid w:val="002E4884"/>
    <w:rsid w:val="002E53A5"/>
    <w:rsid w:val="002E64B8"/>
    <w:rsid w:val="002E6834"/>
    <w:rsid w:val="002F278D"/>
    <w:rsid w:val="002F3073"/>
    <w:rsid w:val="00300D3D"/>
    <w:rsid w:val="00300D91"/>
    <w:rsid w:val="0030392B"/>
    <w:rsid w:val="0030469F"/>
    <w:rsid w:val="00305022"/>
    <w:rsid w:val="003113FF"/>
    <w:rsid w:val="00312622"/>
    <w:rsid w:val="00313FBA"/>
    <w:rsid w:val="003169CA"/>
    <w:rsid w:val="00316A1A"/>
    <w:rsid w:val="00316F89"/>
    <w:rsid w:val="0032277F"/>
    <w:rsid w:val="0032315E"/>
    <w:rsid w:val="003271BC"/>
    <w:rsid w:val="003301C6"/>
    <w:rsid w:val="0033181E"/>
    <w:rsid w:val="00331ADF"/>
    <w:rsid w:val="00336B69"/>
    <w:rsid w:val="003379CD"/>
    <w:rsid w:val="0034302B"/>
    <w:rsid w:val="00350523"/>
    <w:rsid w:val="0035189D"/>
    <w:rsid w:val="00352DF7"/>
    <w:rsid w:val="0035397F"/>
    <w:rsid w:val="00353B68"/>
    <w:rsid w:val="00353D55"/>
    <w:rsid w:val="00354875"/>
    <w:rsid w:val="00354FFD"/>
    <w:rsid w:val="00355B62"/>
    <w:rsid w:val="00357C8A"/>
    <w:rsid w:val="0036098C"/>
    <w:rsid w:val="00364A92"/>
    <w:rsid w:val="00366058"/>
    <w:rsid w:val="00366933"/>
    <w:rsid w:val="00366FB8"/>
    <w:rsid w:val="003679A0"/>
    <w:rsid w:val="003740BC"/>
    <w:rsid w:val="0037456B"/>
    <w:rsid w:val="003779D8"/>
    <w:rsid w:val="003801A3"/>
    <w:rsid w:val="00383D90"/>
    <w:rsid w:val="003870AE"/>
    <w:rsid w:val="00391FDF"/>
    <w:rsid w:val="00392BC9"/>
    <w:rsid w:val="003938C5"/>
    <w:rsid w:val="003956F4"/>
    <w:rsid w:val="00397458"/>
    <w:rsid w:val="003A1A27"/>
    <w:rsid w:val="003A50CC"/>
    <w:rsid w:val="003B2CE4"/>
    <w:rsid w:val="003B38EC"/>
    <w:rsid w:val="003B42B3"/>
    <w:rsid w:val="003B484B"/>
    <w:rsid w:val="003B5566"/>
    <w:rsid w:val="003B6384"/>
    <w:rsid w:val="003C0FE2"/>
    <w:rsid w:val="003C2CA6"/>
    <w:rsid w:val="003C4EBB"/>
    <w:rsid w:val="003D1531"/>
    <w:rsid w:val="003D1F42"/>
    <w:rsid w:val="003D2D47"/>
    <w:rsid w:val="003D2E32"/>
    <w:rsid w:val="003D33E1"/>
    <w:rsid w:val="003D4BC4"/>
    <w:rsid w:val="003D7854"/>
    <w:rsid w:val="003E1ECE"/>
    <w:rsid w:val="003E22CB"/>
    <w:rsid w:val="003E4EC6"/>
    <w:rsid w:val="003E527E"/>
    <w:rsid w:val="003E553E"/>
    <w:rsid w:val="003E5612"/>
    <w:rsid w:val="003E7078"/>
    <w:rsid w:val="003F3DF5"/>
    <w:rsid w:val="003F73B8"/>
    <w:rsid w:val="0040005A"/>
    <w:rsid w:val="0040297E"/>
    <w:rsid w:val="004044B9"/>
    <w:rsid w:val="00404E90"/>
    <w:rsid w:val="004058AC"/>
    <w:rsid w:val="0040640E"/>
    <w:rsid w:val="00411D11"/>
    <w:rsid w:val="00414494"/>
    <w:rsid w:val="00415E23"/>
    <w:rsid w:val="0041670D"/>
    <w:rsid w:val="00421347"/>
    <w:rsid w:val="00423272"/>
    <w:rsid w:val="00424061"/>
    <w:rsid w:val="00430A53"/>
    <w:rsid w:val="00432E4D"/>
    <w:rsid w:val="004334BE"/>
    <w:rsid w:val="00433C76"/>
    <w:rsid w:val="00434AC5"/>
    <w:rsid w:val="00434D91"/>
    <w:rsid w:val="00442A3C"/>
    <w:rsid w:val="00442AA2"/>
    <w:rsid w:val="00443969"/>
    <w:rsid w:val="00446E76"/>
    <w:rsid w:val="00447181"/>
    <w:rsid w:val="004474B5"/>
    <w:rsid w:val="00447D74"/>
    <w:rsid w:val="00450A74"/>
    <w:rsid w:val="00450E18"/>
    <w:rsid w:val="004546BF"/>
    <w:rsid w:val="004549A9"/>
    <w:rsid w:val="00455644"/>
    <w:rsid w:val="00455D89"/>
    <w:rsid w:val="004600A3"/>
    <w:rsid w:val="00460641"/>
    <w:rsid w:val="00462A4E"/>
    <w:rsid w:val="00462BC9"/>
    <w:rsid w:val="00463301"/>
    <w:rsid w:val="00465350"/>
    <w:rsid w:val="00466A63"/>
    <w:rsid w:val="00470E66"/>
    <w:rsid w:val="00473DA1"/>
    <w:rsid w:val="00474C0C"/>
    <w:rsid w:val="00476B91"/>
    <w:rsid w:val="004808EE"/>
    <w:rsid w:val="004820FE"/>
    <w:rsid w:val="0048420B"/>
    <w:rsid w:val="004846BF"/>
    <w:rsid w:val="00484AE9"/>
    <w:rsid w:val="004862AC"/>
    <w:rsid w:val="00486450"/>
    <w:rsid w:val="00493E05"/>
    <w:rsid w:val="00494912"/>
    <w:rsid w:val="004974EF"/>
    <w:rsid w:val="004A01A9"/>
    <w:rsid w:val="004A16D3"/>
    <w:rsid w:val="004A4144"/>
    <w:rsid w:val="004A5323"/>
    <w:rsid w:val="004A5A99"/>
    <w:rsid w:val="004B21F3"/>
    <w:rsid w:val="004B39C8"/>
    <w:rsid w:val="004B4BE0"/>
    <w:rsid w:val="004B5076"/>
    <w:rsid w:val="004B6A66"/>
    <w:rsid w:val="004C59EE"/>
    <w:rsid w:val="004C6979"/>
    <w:rsid w:val="004C75D2"/>
    <w:rsid w:val="004D1380"/>
    <w:rsid w:val="004D13A2"/>
    <w:rsid w:val="004D3E7A"/>
    <w:rsid w:val="004E7E85"/>
    <w:rsid w:val="004F1741"/>
    <w:rsid w:val="004F1F6E"/>
    <w:rsid w:val="004F21CC"/>
    <w:rsid w:val="004F3F29"/>
    <w:rsid w:val="004F594B"/>
    <w:rsid w:val="004F61E1"/>
    <w:rsid w:val="005016A4"/>
    <w:rsid w:val="00503FD2"/>
    <w:rsid w:val="00506C17"/>
    <w:rsid w:val="00514DA7"/>
    <w:rsid w:val="00515116"/>
    <w:rsid w:val="00516EF0"/>
    <w:rsid w:val="00521526"/>
    <w:rsid w:val="0052418C"/>
    <w:rsid w:val="00526C52"/>
    <w:rsid w:val="005278D4"/>
    <w:rsid w:val="00531093"/>
    <w:rsid w:val="0053380B"/>
    <w:rsid w:val="00534284"/>
    <w:rsid w:val="00537EDE"/>
    <w:rsid w:val="00543194"/>
    <w:rsid w:val="00543B4A"/>
    <w:rsid w:val="00544138"/>
    <w:rsid w:val="00554E34"/>
    <w:rsid w:val="00560CDD"/>
    <w:rsid w:val="00563FDC"/>
    <w:rsid w:val="00566610"/>
    <w:rsid w:val="00576BBD"/>
    <w:rsid w:val="00582B01"/>
    <w:rsid w:val="005837F1"/>
    <w:rsid w:val="00584583"/>
    <w:rsid w:val="00587ACD"/>
    <w:rsid w:val="00590E90"/>
    <w:rsid w:val="00590EEB"/>
    <w:rsid w:val="00591EF8"/>
    <w:rsid w:val="0059486D"/>
    <w:rsid w:val="005A4099"/>
    <w:rsid w:val="005C00F5"/>
    <w:rsid w:val="005C132B"/>
    <w:rsid w:val="005C38B2"/>
    <w:rsid w:val="005C5029"/>
    <w:rsid w:val="005C55C2"/>
    <w:rsid w:val="005C71CA"/>
    <w:rsid w:val="005C745C"/>
    <w:rsid w:val="005D4880"/>
    <w:rsid w:val="005D4DF5"/>
    <w:rsid w:val="005E00E2"/>
    <w:rsid w:val="005E14BB"/>
    <w:rsid w:val="005E42BA"/>
    <w:rsid w:val="005E51E5"/>
    <w:rsid w:val="005E5702"/>
    <w:rsid w:val="005F11CB"/>
    <w:rsid w:val="005F13B2"/>
    <w:rsid w:val="005F2E66"/>
    <w:rsid w:val="006029CF"/>
    <w:rsid w:val="00605A43"/>
    <w:rsid w:val="0061111C"/>
    <w:rsid w:val="00611D6B"/>
    <w:rsid w:val="0062090A"/>
    <w:rsid w:val="00625CFD"/>
    <w:rsid w:val="006326EC"/>
    <w:rsid w:val="0063460D"/>
    <w:rsid w:val="00642D68"/>
    <w:rsid w:val="00643A25"/>
    <w:rsid w:val="00645421"/>
    <w:rsid w:val="00646FAA"/>
    <w:rsid w:val="00647EA0"/>
    <w:rsid w:val="00663A42"/>
    <w:rsid w:val="006641C7"/>
    <w:rsid w:val="00665AA6"/>
    <w:rsid w:val="006660F1"/>
    <w:rsid w:val="006705EA"/>
    <w:rsid w:val="00670BE2"/>
    <w:rsid w:val="00674D04"/>
    <w:rsid w:val="00676566"/>
    <w:rsid w:val="00676687"/>
    <w:rsid w:val="00686259"/>
    <w:rsid w:val="006916D9"/>
    <w:rsid w:val="006A0E05"/>
    <w:rsid w:val="006A26C6"/>
    <w:rsid w:val="006A3A77"/>
    <w:rsid w:val="006A465A"/>
    <w:rsid w:val="006A7D5D"/>
    <w:rsid w:val="006B0A65"/>
    <w:rsid w:val="006B0B88"/>
    <w:rsid w:val="006B2EC7"/>
    <w:rsid w:val="006B7BAC"/>
    <w:rsid w:val="006C4089"/>
    <w:rsid w:val="006C77C8"/>
    <w:rsid w:val="006D0C12"/>
    <w:rsid w:val="006D10AE"/>
    <w:rsid w:val="006D5D57"/>
    <w:rsid w:val="006D7713"/>
    <w:rsid w:val="006E0BD0"/>
    <w:rsid w:val="006E2538"/>
    <w:rsid w:val="006E29AA"/>
    <w:rsid w:val="006E302F"/>
    <w:rsid w:val="006E413C"/>
    <w:rsid w:val="006E5954"/>
    <w:rsid w:val="006E7155"/>
    <w:rsid w:val="006F005F"/>
    <w:rsid w:val="006F0F50"/>
    <w:rsid w:val="006F4704"/>
    <w:rsid w:val="006F4D6D"/>
    <w:rsid w:val="00701D6D"/>
    <w:rsid w:val="00702BAC"/>
    <w:rsid w:val="00705086"/>
    <w:rsid w:val="0070668D"/>
    <w:rsid w:val="007071B1"/>
    <w:rsid w:val="00711949"/>
    <w:rsid w:val="007143F4"/>
    <w:rsid w:val="007161F6"/>
    <w:rsid w:val="00717D6E"/>
    <w:rsid w:val="00722001"/>
    <w:rsid w:val="00723984"/>
    <w:rsid w:val="00724BE4"/>
    <w:rsid w:val="00727655"/>
    <w:rsid w:val="007306F3"/>
    <w:rsid w:val="00733E53"/>
    <w:rsid w:val="00740C05"/>
    <w:rsid w:val="00740D26"/>
    <w:rsid w:val="00747F58"/>
    <w:rsid w:val="00751E66"/>
    <w:rsid w:val="00754497"/>
    <w:rsid w:val="00755F8B"/>
    <w:rsid w:val="00756370"/>
    <w:rsid w:val="007603EC"/>
    <w:rsid w:val="00763E22"/>
    <w:rsid w:val="007659AC"/>
    <w:rsid w:val="00765BC1"/>
    <w:rsid w:val="00771E04"/>
    <w:rsid w:val="00772014"/>
    <w:rsid w:val="00773993"/>
    <w:rsid w:val="00773C64"/>
    <w:rsid w:val="00780DDD"/>
    <w:rsid w:val="00782D06"/>
    <w:rsid w:val="007849D5"/>
    <w:rsid w:val="00787C39"/>
    <w:rsid w:val="007908FD"/>
    <w:rsid w:val="007918B7"/>
    <w:rsid w:val="00792947"/>
    <w:rsid w:val="007939FF"/>
    <w:rsid w:val="00795DF3"/>
    <w:rsid w:val="007A1E44"/>
    <w:rsid w:val="007A373C"/>
    <w:rsid w:val="007A3CE0"/>
    <w:rsid w:val="007A4AC4"/>
    <w:rsid w:val="007A687C"/>
    <w:rsid w:val="007A7CA1"/>
    <w:rsid w:val="007B225C"/>
    <w:rsid w:val="007B2FE1"/>
    <w:rsid w:val="007C472C"/>
    <w:rsid w:val="007C6072"/>
    <w:rsid w:val="007C75B1"/>
    <w:rsid w:val="007D1DD9"/>
    <w:rsid w:val="007D264B"/>
    <w:rsid w:val="007D330F"/>
    <w:rsid w:val="007D3DFC"/>
    <w:rsid w:val="007D42EF"/>
    <w:rsid w:val="007D76DA"/>
    <w:rsid w:val="007E0272"/>
    <w:rsid w:val="007E2F07"/>
    <w:rsid w:val="007E3C34"/>
    <w:rsid w:val="007E4B34"/>
    <w:rsid w:val="007E59A8"/>
    <w:rsid w:val="007E7435"/>
    <w:rsid w:val="007F36DA"/>
    <w:rsid w:val="007F6725"/>
    <w:rsid w:val="0080677A"/>
    <w:rsid w:val="00806CCD"/>
    <w:rsid w:val="0080776D"/>
    <w:rsid w:val="00810145"/>
    <w:rsid w:val="008108FA"/>
    <w:rsid w:val="008109C7"/>
    <w:rsid w:val="00810FF1"/>
    <w:rsid w:val="00816EB0"/>
    <w:rsid w:val="0082060D"/>
    <w:rsid w:val="00822336"/>
    <w:rsid w:val="0082329B"/>
    <w:rsid w:val="00823DFA"/>
    <w:rsid w:val="00824F43"/>
    <w:rsid w:val="00830005"/>
    <w:rsid w:val="00830187"/>
    <w:rsid w:val="008301C7"/>
    <w:rsid w:val="008324F7"/>
    <w:rsid w:val="00835677"/>
    <w:rsid w:val="008370D0"/>
    <w:rsid w:val="00842DB7"/>
    <w:rsid w:val="00843752"/>
    <w:rsid w:val="00843A60"/>
    <w:rsid w:val="0084479F"/>
    <w:rsid w:val="0084482A"/>
    <w:rsid w:val="00845820"/>
    <w:rsid w:val="00851A67"/>
    <w:rsid w:val="0085725E"/>
    <w:rsid w:val="008717FF"/>
    <w:rsid w:val="00872CE8"/>
    <w:rsid w:val="00873D4F"/>
    <w:rsid w:val="0087509F"/>
    <w:rsid w:val="00876678"/>
    <w:rsid w:val="0088283C"/>
    <w:rsid w:val="0088302D"/>
    <w:rsid w:val="00885B09"/>
    <w:rsid w:val="00890570"/>
    <w:rsid w:val="00892400"/>
    <w:rsid w:val="00893DC9"/>
    <w:rsid w:val="008965D4"/>
    <w:rsid w:val="008969AB"/>
    <w:rsid w:val="00897AAE"/>
    <w:rsid w:val="00897D1B"/>
    <w:rsid w:val="008A209D"/>
    <w:rsid w:val="008A22BB"/>
    <w:rsid w:val="008B035D"/>
    <w:rsid w:val="008B0E29"/>
    <w:rsid w:val="008B0EFA"/>
    <w:rsid w:val="008B1208"/>
    <w:rsid w:val="008B30AB"/>
    <w:rsid w:val="008B3C26"/>
    <w:rsid w:val="008B7A61"/>
    <w:rsid w:val="008C065B"/>
    <w:rsid w:val="008C2648"/>
    <w:rsid w:val="008C3BB8"/>
    <w:rsid w:val="008C3FEB"/>
    <w:rsid w:val="008C4B65"/>
    <w:rsid w:val="008C6017"/>
    <w:rsid w:val="008D0536"/>
    <w:rsid w:val="008D0FD0"/>
    <w:rsid w:val="008D1D46"/>
    <w:rsid w:val="008D7AB6"/>
    <w:rsid w:val="008D7B23"/>
    <w:rsid w:val="008E1176"/>
    <w:rsid w:val="008E2964"/>
    <w:rsid w:val="008E2BBE"/>
    <w:rsid w:val="008E5CCB"/>
    <w:rsid w:val="008E5F55"/>
    <w:rsid w:val="008F26AF"/>
    <w:rsid w:val="008F326F"/>
    <w:rsid w:val="008F67B2"/>
    <w:rsid w:val="008F7443"/>
    <w:rsid w:val="009009E7"/>
    <w:rsid w:val="00905DEF"/>
    <w:rsid w:val="00906056"/>
    <w:rsid w:val="00907304"/>
    <w:rsid w:val="00907D06"/>
    <w:rsid w:val="00911175"/>
    <w:rsid w:val="00911D13"/>
    <w:rsid w:val="009122AE"/>
    <w:rsid w:val="00913B43"/>
    <w:rsid w:val="00920BA5"/>
    <w:rsid w:val="009211F4"/>
    <w:rsid w:val="009242BB"/>
    <w:rsid w:val="00925A29"/>
    <w:rsid w:val="00927E65"/>
    <w:rsid w:val="00930203"/>
    <w:rsid w:val="009311D2"/>
    <w:rsid w:val="009311E6"/>
    <w:rsid w:val="00931275"/>
    <w:rsid w:val="0093129B"/>
    <w:rsid w:val="00932868"/>
    <w:rsid w:val="00936AC7"/>
    <w:rsid w:val="00936F98"/>
    <w:rsid w:val="00937F5F"/>
    <w:rsid w:val="00943EF5"/>
    <w:rsid w:val="0094687D"/>
    <w:rsid w:val="00953AB9"/>
    <w:rsid w:val="00953B64"/>
    <w:rsid w:val="0095573F"/>
    <w:rsid w:val="009633E3"/>
    <w:rsid w:val="009646A7"/>
    <w:rsid w:val="00966001"/>
    <w:rsid w:val="00970526"/>
    <w:rsid w:val="00970A88"/>
    <w:rsid w:val="009753FD"/>
    <w:rsid w:val="009818A1"/>
    <w:rsid w:val="00982501"/>
    <w:rsid w:val="00982B85"/>
    <w:rsid w:val="00984031"/>
    <w:rsid w:val="0098442B"/>
    <w:rsid w:val="00986CE9"/>
    <w:rsid w:val="009908F3"/>
    <w:rsid w:val="009916CE"/>
    <w:rsid w:val="009946FD"/>
    <w:rsid w:val="009A073D"/>
    <w:rsid w:val="009A12FF"/>
    <w:rsid w:val="009A1674"/>
    <w:rsid w:val="009A5300"/>
    <w:rsid w:val="009A6903"/>
    <w:rsid w:val="009B38BE"/>
    <w:rsid w:val="009B4A4E"/>
    <w:rsid w:val="009B4DF2"/>
    <w:rsid w:val="009B59C8"/>
    <w:rsid w:val="009B609B"/>
    <w:rsid w:val="009C49BE"/>
    <w:rsid w:val="009C684F"/>
    <w:rsid w:val="009D074C"/>
    <w:rsid w:val="009D5763"/>
    <w:rsid w:val="009D6E73"/>
    <w:rsid w:val="009E14F5"/>
    <w:rsid w:val="009E4904"/>
    <w:rsid w:val="009E563B"/>
    <w:rsid w:val="009E6DCD"/>
    <w:rsid w:val="009F1F1D"/>
    <w:rsid w:val="009F2904"/>
    <w:rsid w:val="009F2B4F"/>
    <w:rsid w:val="009F3BCA"/>
    <w:rsid w:val="009F3C63"/>
    <w:rsid w:val="009F5993"/>
    <w:rsid w:val="009F66B5"/>
    <w:rsid w:val="009F6B2D"/>
    <w:rsid w:val="00A00DD0"/>
    <w:rsid w:val="00A02F10"/>
    <w:rsid w:val="00A037BC"/>
    <w:rsid w:val="00A03E0E"/>
    <w:rsid w:val="00A101E6"/>
    <w:rsid w:val="00A1060C"/>
    <w:rsid w:val="00A11A46"/>
    <w:rsid w:val="00A16221"/>
    <w:rsid w:val="00A16C37"/>
    <w:rsid w:val="00A20A7D"/>
    <w:rsid w:val="00A21F69"/>
    <w:rsid w:val="00A24CC7"/>
    <w:rsid w:val="00A27D02"/>
    <w:rsid w:val="00A32E05"/>
    <w:rsid w:val="00A33EF3"/>
    <w:rsid w:val="00A35D42"/>
    <w:rsid w:val="00A416D7"/>
    <w:rsid w:val="00A46CCF"/>
    <w:rsid w:val="00A4707E"/>
    <w:rsid w:val="00A503A9"/>
    <w:rsid w:val="00A506DE"/>
    <w:rsid w:val="00A51238"/>
    <w:rsid w:val="00A522A1"/>
    <w:rsid w:val="00A52C3B"/>
    <w:rsid w:val="00A52D92"/>
    <w:rsid w:val="00A53451"/>
    <w:rsid w:val="00A537F5"/>
    <w:rsid w:val="00A63D17"/>
    <w:rsid w:val="00A63D67"/>
    <w:rsid w:val="00A64075"/>
    <w:rsid w:val="00A66829"/>
    <w:rsid w:val="00A70426"/>
    <w:rsid w:val="00A707CC"/>
    <w:rsid w:val="00A71410"/>
    <w:rsid w:val="00A73945"/>
    <w:rsid w:val="00A74D53"/>
    <w:rsid w:val="00A776E3"/>
    <w:rsid w:val="00A83EEF"/>
    <w:rsid w:val="00A840EF"/>
    <w:rsid w:val="00A86724"/>
    <w:rsid w:val="00A91E9A"/>
    <w:rsid w:val="00A93DA0"/>
    <w:rsid w:val="00A93ED9"/>
    <w:rsid w:val="00A96221"/>
    <w:rsid w:val="00AA4B7F"/>
    <w:rsid w:val="00AA5F26"/>
    <w:rsid w:val="00AB0424"/>
    <w:rsid w:val="00AB0C80"/>
    <w:rsid w:val="00AB682A"/>
    <w:rsid w:val="00AC0AF3"/>
    <w:rsid w:val="00AC2DBB"/>
    <w:rsid w:val="00AC33E6"/>
    <w:rsid w:val="00AC6A99"/>
    <w:rsid w:val="00AD24E9"/>
    <w:rsid w:val="00AD3F32"/>
    <w:rsid w:val="00AD6048"/>
    <w:rsid w:val="00AE01FF"/>
    <w:rsid w:val="00AE4296"/>
    <w:rsid w:val="00AF1A8A"/>
    <w:rsid w:val="00AF427C"/>
    <w:rsid w:val="00B011EE"/>
    <w:rsid w:val="00B01764"/>
    <w:rsid w:val="00B0184E"/>
    <w:rsid w:val="00B04BA1"/>
    <w:rsid w:val="00B055EF"/>
    <w:rsid w:val="00B06B5B"/>
    <w:rsid w:val="00B077AC"/>
    <w:rsid w:val="00B210EB"/>
    <w:rsid w:val="00B233EF"/>
    <w:rsid w:val="00B23769"/>
    <w:rsid w:val="00B30D6D"/>
    <w:rsid w:val="00B30DA1"/>
    <w:rsid w:val="00B40856"/>
    <w:rsid w:val="00B41789"/>
    <w:rsid w:val="00B42177"/>
    <w:rsid w:val="00B50E46"/>
    <w:rsid w:val="00B52EB4"/>
    <w:rsid w:val="00B56191"/>
    <w:rsid w:val="00B56223"/>
    <w:rsid w:val="00B60138"/>
    <w:rsid w:val="00B630B0"/>
    <w:rsid w:val="00B637AA"/>
    <w:rsid w:val="00B660E4"/>
    <w:rsid w:val="00B66725"/>
    <w:rsid w:val="00B66979"/>
    <w:rsid w:val="00B70247"/>
    <w:rsid w:val="00B74A42"/>
    <w:rsid w:val="00B81808"/>
    <w:rsid w:val="00B818A0"/>
    <w:rsid w:val="00B8205D"/>
    <w:rsid w:val="00B832B7"/>
    <w:rsid w:val="00B845AE"/>
    <w:rsid w:val="00B869D2"/>
    <w:rsid w:val="00B86DFA"/>
    <w:rsid w:val="00B9293A"/>
    <w:rsid w:val="00B92A1D"/>
    <w:rsid w:val="00B936D0"/>
    <w:rsid w:val="00B93DE1"/>
    <w:rsid w:val="00B95D59"/>
    <w:rsid w:val="00B97ECC"/>
    <w:rsid w:val="00BA0ACF"/>
    <w:rsid w:val="00BA1909"/>
    <w:rsid w:val="00BB15FB"/>
    <w:rsid w:val="00BB3DE6"/>
    <w:rsid w:val="00BB6867"/>
    <w:rsid w:val="00BB7BBE"/>
    <w:rsid w:val="00BC28F7"/>
    <w:rsid w:val="00BD1AE8"/>
    <w:rsid w:val="00BD3C5A"/>
    <w:rsid w:val="00BD3D5B"/>
    <w:rsid w:val="00BD5521"/>
    <w:rsid w:val="00BE3600"/>
    <w:rsid w:val="00BF48DE"/>
    <w:rsid w:val="00BF4939"/>
    <w:rsid w:val="00C008E6"/>
    <w:rsid w:val="00C01F6F"/>
    <w:rsid w:val="00C041EA"/>
    <w:rsid w:val="00C04FC2"/>
    <w:rsid w:val="00C05233"/>
    <w:rsid w:val="00C10740"/>
    <w:rsid w:val="00C13BBD"/>
    <w:rsid w:val="00C13CE7"/>
    <w:rsid w:val="00C149AB"/>
    <w:rsid w:val="00C16080"/>
    <w:rsid w:val="00C16929"/>
    <w:rsid w:val="00C20690"/>
    <w:rsid w:val="00C20A34"/>
    <w:rsid w:val="00C21F71"/>
    <w:rsid w:val="00C2403F"/>
    <w:rsid w:val="00C2643F"/>
    <w:rsid w:val="00C2676C"/>
    <w:rsid w:val="00C27F81"/>
    <w:rsid w:val="00C32C3C"/>
    <w:rsid w:val="00C36020"/>
    <w:rsid w:val="00C40694"/>
    <w:rsid w:val="00C42C10"/>
    <w:rsid w:val="00C45B0C"/>
    <w:rsid w:val="00C46CE7"/>
    <w:rsid w:val="00C479BF"/>
    <w:rsid w:val="00C5124B"/>
    <w:rsid w:val="00C53524"/>
    <w:rsid w:val="00C53EF7"/>
    <w:rsid w:val="00C62B38"/>
    <w:rsid w:val="00C63101"/>
    <w:rsid w:val="00C66E8F"/>
    <w:rsid w:val="00C6784E"/>
    <w:rsid w:val="00C70542"/>
    <w:rsid w:val="00C706DD"/>
    <w:rsid w:val="00C75CBF"/>
    <w:rsid w:val="00C779DE"/>
    <w:rsid w:val="00C82C53"/>
    <w:rsid w:val="00C84DCB"/>
    <w:rsid w:val="00C91B87"/>
    <w:rsid w:val="00C91DBC"/>
    <w:rsid w:val="00C9290C"/>
    <w:rsid w:val="00C95E09"/>
    <w:rsid w:val="00C96C36"/>
    <w:rsid w:val="00C9792C"/>
    <w:rsid w:val="00CA1311"/>
    <w:rsid w:val="00CA1FA8"/>
    <w:rsid w:val="00CB26B6"/>
    <w:rsid w:val="00CB5EE8"/>
    <w:rsid w:val="00CB6190"/>
    <w:rsid w:val="00CB71FA"/>
    <w:rsid w:val="00CB73E0"/>
    <w:rsid w:val="00CC2018"/>
    <w:rsid w:val="00CC2894"/>
    <w:rsid w:val="00CC3828"/>
    <w:rsid w:val="00CC41E0"/>
    <w:rsid w:val="00CC73C8"/>
    <w:rsid w:val="00CD23D4"/>
    <w:rsid w:val="00CD2D3E"/>
    <w:rsid w:val="00CD4AD8"/>
    <w:rsid w:val="00CD6FBC"/>
    <w:rsid w:val="00CD77C3"/>
    <w:rsid w:val="00CE112C"/>
    <w:rsid w:val="00CE4B9B"/>
    <w:rsid w:val="00CE7C0F"/>
    <w:rsid w:val="00CF3D38"/>
    <w:rsid w:val="00CF55D4"/>
    <w:rsid w:val="00D03352"/>
    <w:rsid w:val="00D05025"/>
    <w:rsid w:val="00D12F95"/>
    <w:rsid w:val="00D167B8"/>
    <w:rsid w:val="00D173EF"/>
    <w:rsid w:val="00D30FAE"/>
    <w:rsid w:val="00D31F14"/>
    <w:rsid w:val="00D3623A"/>
    <w:rsid w:val="00D37E0F"/>
    <w:rsid w:val="00D41E99"/>
    <w:rsid w:val="00D47A4C"/>
    <w:rsid w:val="00D51700"/>
    <w:rsid w:val="00D54897"/>
    <w:rsid w:val="00D608DA"/>
    <w:rsid w:val="00D63082"/>
    <w:rsid w:val="00D730BF"/>
    <w:rsid w:val="00D734CF"/>
    <w:rsid w:val="00D80811"/>
    <w:rsid w:val="00D82FEC"/>
    <w:rsid w:val="00D83EEF"/>
    <w:rsid w:val="00D852F4"/>
    <w:rsid w:val="00D859C1"/>
    <w:rsid w:val="00D85D9C"/>
    <w:rsid w:val="00D87F98"/>
    <w:rsid w:val="00D91066"/>
    <w:rsid w:val="00D97CF3"/>
    <w:rsid w:val="00DA027C"/>
    <w:rsid w:val="00DA23E0"/>
    <w:rsid w:val="00DA4B85"/>
    <w:rsid w:val="00DB1110"/>
    <w:rsid w:val="00DB2D66"/>
    <w:rsid w:val="00DB3730"/>
    <w:rsid w:val="00DC164C"/>
    <w:rsid w:val="00DC371B"/>
    <w:rsid w:val="00DC3788"/>
    <w:rsid w:val="00DC6B22"/>
    <w:rsid w:val="00DC76C7"/>
    <w:rsid w:val="00DD09F5"/>
    <w:rsid w:val="00DD0E02"/>
    <w:rsid w:val="00DD14AD"/>
    <w:rsid w:val="00DD4201"/>
    <w:rsid w:val="00DD5E9F"/>
    <w:rsid w:val="00DE031C"/>
    <w:rsid w:val="00DE3732"/>
    <w:rsid w:val="00DE4348"/>
    <w:rsid w:val="00DE5711"/>
    <w:rsid w:val="00DF02B8"/>
    <w:rsid w:val="00DF0E97"/>
    <w:rsid w:val="00DF26F5"/>
    <w:rsid w:val="00E00EA0"/>
    <w:rsid w:val="00E021CB"/>
    <w:rsid w:val="00E03F04"/>
    <w:rsid w:val="00E061B7"/>
    <w:rsid w:val="00E06818"/>
    <w:rsid w:val="00E06AC8"/>
    <w:rsid w:val="00E10C3F"/>
    <w:rsid w:val="00E12C8E"/>
    <w:rsid w:val="00E138F1"/>
    <w:rsid w:val="00E15C63"/>
    <w:rsid w:val="00E17C9B"/>
    <w:rsid w:val="00E212B4"/>
    <w:rsid w:val="00E21CE7"/>
    <w:rsid w:val="00E229B9"/>
    <w:rsid w:val="00E2309D"/>
    <w:rsid w:val="00E25844"/>
    <w:rsid w:val="00E25FBD"/>
    <w:rsid w:val="00E26758"/>
    <w:rsid w:val="00E3125E"/>
    <w:rsid w:val="00E326AB"/>
    <w:rsid w:val="00E40114"/>
    <w:rsid w:val="00E40402"/>
    <w:rsid w:val="00E4357B"/>
    <w:rsid w:val="00E443A7"/>
    <w:rsid w:val="00E45904"/>
    <w:rsid w:val="00E45D64"/>
    <w:rsid w:val="00E526CA"/>
    <w:rsid w:val="00E54A75"/>
    <w:rsid w:val="00E56DD7"/>
    <w:rsid w:val="00E627E2"/>
    <w:rsid w:val="00E63DE5"/>
    <w:rsid w:val="00E647AF"/>
    <w:rsid w:val="00E647C7"/>
    <w:rsid w:val="00E65A37"/>
    <w:rsid w:val="00E65EF7"/>
    <w:rsid w:val="00E67285"/>
    <w:rsid w:val="00E7139E"/>
    <w:rsid w:val="00E72A4A"/>
    <w:rsid w:val="00E76547"/>
    <w:rsid w:val="00E77B48"/>
    <w:rsid w:val="00E81F0D"/>
    <w:rsid w:val="00E82C9B"/>
    <w:rsid w:val="00E857FB"/>
    <w:rsid w:val="00E867D0"/>
    <w:rsid w:val="00E90104"/>
    <w:rsid w:val="00E90F69"/>
    <w:rsid w:val="00E915E2"/>
    <w:rsid w:val="00E91799"/>
    <w:rsid w:val="00E93CA4"/>
    <w:rsid w:val="00E9537A"/>
    <w:rsid w:val="00E97DF8"/>
    <w:rsid w:val="00EA21FE"/>
    <w:rsid w:val="00EA2D6B"/>
    <w:rsid w:val="00EA34E3"/>
    <w:rsid w:val="00EA550D"/>
    <w:rsid w:val="00EA779E"/>
    <w:rsid w:val="00EB5662"/>
    <w:rsid w:val="00EB5730"/>
    <w:rsid w:val="00EB7538"/>
    <w:rsid w:val="00EC181C"/>
    <w:rsid w:val="00EC1868"/>
    <w:rsid w:val="00EC237F"/>
    <w:rsid w:val="00EC3907"/>
    <w:rsid w:val="00EC484F"/>
    <w:rsid w:val="00ED1875"/>
    <w:rsid w:val="00ED3F7A"/>
    <w:rsid w:val="00ED4C12"/>
    <w:rsid w:val="00EE1269"/>
    <w:rsid w:val="00EE1B9E"/>
    <w:rsid w:val="00EE2835"/>
    <w:rsid w:val="00EE436E"/>
    <w:rsid w:val="00EE4BF5"/>
    <w:rsid w:val="00EE5AFE"/>
    <w:rsid w:val="00EE6468"/>
    <w:rsid w:val="00EE7F33"/>
    <w:rsid w:val="00EF32A8"/>
    <w:rsid w:val="00F03244"/>
    <w:rsid w:val="00F06D7E"/>
    <w:rsid w:val="00F1299B"/>
    <w:rsid w:val="00F1465F"/>
    <w:rsid w:val="00F207A4"/>
    <w:rsid w:val="00F21917"/>
    <w:rsid w:val="00F23BC7"/>
    <w:rsid w:val="00F25173"/>
    <w:rsid w:val="00F254D4"/>
    <w:rsid w:val="00F25953"/>
    <w:rsid w:val="00F30A67"/>
    <w:rsid w:val="00F31BDF"/>
    <w:rsid w:val="00F355AC"/>
    <w:rsid w:val="00F40CF7"/>
    <w:rsid w:val="00F44194"/>
    <w:rsid w:val="00F50E23"/>
    <w:rsid w:val="00F60145"/>
    <w:rsid w:val="00F606F8"/>
    <w:rsid w:val="00F635C6"/>
    <w:rsid w:val="00F64925"/>
    <w:rsid w:val="00F71A5A"/>
    <w:rsid w:val="00F73A1A"/>
    <w:rsid w:val="00F743C5"/>
    <w:rsid w:val="00F769E0"/>
    <w:rsid w:val="00F856F1"/>
    <w:rsid w:val="00F857A0"/>
    <w:rsid w:val="00F87774"/>
    <w:rsid w:val="00F90079"/>
    <w:rsid w:val="00F91621"/>
    <w:rsid w:val="00F91AC4"/>
    <w:rsid w:val="00F91BC4"/>
    <w:rsid w:val="00F91F29"/>
    <w:rsid w:val="00FA120F"/>
    <w:rsid w:val="00FA14D2"/>
    <w:rsid w:val="00FA408B"/>
    <w:rsid w:val="00FA4A46"/>
    <w:rsid w:val="00FA50D4"/>
    <w:rsid w:val="00FA75FE"/>
    <w:rsid w:val="00FB1032"/>
    <w:rsid w:val="00FB1C3A"/>
    <w:rsid w:val="00FB242E"/>
    <w:rsid w:val="00FB25E0"/>
    <w:rsid w:val="00FB39BC"/>
    <w:rsid w:val="00FB4572"/>
    <w:rsid w:val="00FB4788"/>
    <w:rsid w:val="00FB69E0"/>
    <w:rsid w:val="00FB6A53"/>
    <w:rsid w:val="00FC10E5"/>
    <w:rsid w:val="00FC11CA"/>
    <w:rsid w:val="00FC15FB"/>
    <w:rsid w:val="00FC336A"/>
    <w:rsid w:val="00FC4B81"/>
    <w:rsid w:val="00FC50EE"/>
    <w:rsid w:val="00FC6BDE"/>
    <w:rsid w:val="00FC6C17"/>
    <w:rsid w:val="00FD3D16"/>
    <w:rsid w:val="00FD4957"/>
    <w:rsid w:val="00FD6AEB"/>
    <w:rsid w:val="00FE1B62"/>
    <w:rsid w:val="00FE4417"/>
    <w:rsid w:val="00FE4926"/>
    <w:rsid w:val="00FE6791"/>
    <w:rsid w:val="00FF154C"/>
    <w:rsid w:val="00FF5D29"/>
    <w:rsid w:val="00FF6138"/>
    <w:rsid w:val="00FF647B"/>
    <w:rsid w:val="00FF7C33"/>
    <w:rsid w:val="03BC4E10"/>
    <w:rsid w:val="086D0965"/>
    <w:rsid w:val="140345EC"/>
    <w:rsid w:val="17D1FF44"/>
    <w:rsid w:val="186A04D2"/>
    <w:rsid w:val="3C5E9484"/>
    <w:rsid w:val="45E210CC"/>
    <w:rsid w:val="498EF84C"/>
    <w:rsid w:val="4D014090"/>
    <w:rsid w:val="69EDCD08"/>
    <w:rsid w:val="755C8B3D"/>
    <w:rsid w:val="77C14E47"/>
    <w:rsid w:val="7952C2E7"/>
    <w:rsid w:val="7C3022A6"/>
    <w:rsid w:val="7C8A63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15:docId w15:val="{ACBB7559-2CD1-4D30-AA90-C2EF38F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uiPriority w:val="99"/>
    <w:rsid w:val="009E563B"/>
    <w:rPr>
      <w:sz w:val="16"/>
      <w:szCs w:val="16"/>
    </w:rPr>
  </w:style>
  <w:style w:type="paragraph" w:styleId="CommentText">
    <w:name w:val="annotation text"/>
    <w:basedOn w:val="Normal"/>
    <w:link w:val="CommentTextChar"/>
    <w:uiPriority w:val="99"/>
    <w:rsid w:val="009E563B"/>
    <w:rPr>
      <w:sz w:val="20"/>
      <w:szCs w:val="20"/>
    </w:rPr>
  </w:style>
  <w:style w:type="character" w:customStyle="1" w:styleId="CommentTextChar">
    <w:name w:val="Comment Text Char"/>
    <w:basedOn w:val="DefaultParagraphFont"/>
    <w:link w:val="CommentText"/>
    <w:uiPriority w:val="99"/>
    <w:rsid w:val="009E563B"/>
    <w:rPr>
      <w:lang w:eastAsia="en-US"/>
    </w:rPr>
  </w:style>
  <w:style w:type="paragraph" w:styleId="CommentSubject">
    <w:name w:val="annotation subject"/>
    <w:basedOn w:val="CommentText"/>
    <w:next w:val="CommentText"/>
    <w:link w:val="CommentSubjectChar"/>
    <w:rsid w:val="009E563B"/>
    <w:rPr>
      <w:b/>
      <w:bCs/>
    </w:rPr>
  </w:style>
  <w:style w:type="character" w:customStyle="1" w:styleId="CommentSubjectChar">
    <w:name w:val="Comment Subject Char"/>
    <w:basedOn w:val="CommentTextChar"/>
    <w:link w:val="CommentSubject"/>
    <w:rsid w:val="009E563B"/>
    <w:rPr>
      <w:b/>
      <w:bCs/>
      <w:lang w:eastAsia="en-US"/>
    </w:rPr>
  </w:style>
  <w:style w:type="paragraph" w:styleId="Revision">
    <w:name w:val="Revision"/>
    <w:hidden/>
    <w:uiPriority w:val="99"/>
    <w:semiHidden/>
    <w:rsid w:val="004F21CC"/>
    <w:rPr>
      <w:sz w:val="24"/>
      <w:szCs w:val="24"/>
      <w:lang w:eastAsia="en-US"/>
    </w:rPr>
  </w:style>
  <w:style w:type="paragraph" w:styleId="BodyText">
    <w:name w:val="Body Text"/>
    <w:basedOn w:val="Normal"/>
    <w:link w:val="BodyTextChar"/>
    <w:rsid w:val="00506C17"/>
    <w:pPr>
      <w:spacing w:after="120"/>
    </w:pPr>
  </w:style>
  <w:style w:type="character" w:customStyle="1" w:styleId="BodyTextChar">
    <w:name w:val="Body Text Char"/>
    <w:basedOn w:val="DefaultParagraphFont"/>
    <w:link w:val="BodyText"/>
    <w:rsid w:val="00506C17"/>
    <w:rPr>
      <w:sz w:val="24"/>
      <w:szCs w:val="24"/>
      <w:lang w:eastAsia="en-US"/>
    </w:rPr>
  </w:style>
  <w:style w:type="character" w:styleId="Mention">
    <w:name w:val="Mention"/>
    <w:basedOn w:val="DefaultParagraphFont"/>
    <w:uiPriority w:val="99"/>
    <w:unhideWhenUsed/>
    <w:rsid w:val="001C1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industry/small-business-assistanc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A6440224FE146BBF2A581762D661F" ma:contentTypeVersion="24" ma:contentTypeDescription="Create a new document." ma:contentTypeScope="" ma:versionID="33f3f7a92e3dcfbed702ad74e4272cc3">
  <xsd:schema xmlns:xsd="http://www.w3.org/2001/XMLSchema" xmlns:xs="http://www.w3.org/2001/XMLSchema" xmlns:p="http://schemas.microsoft.com/office/2006/metadata/properties" xmlns:ns2="9dffb07a-d0b0-4d1e-9d57-a7b0cf3e395a" xmlns:ns3="b6a906ec-e300-4fa3-8460-f32a40c858c2" xmlns:ns4="20867c8d-1cc9-4acd-a073-94634f6a764f" targetNamespace="http://schemas.microsoft.com/office/2006/metadata/properties" ma:root="true" ma:fieldsID="4a16d2e455c1711da249c80073ad3836" ns2:_="" ns3:_="" ns4:_="">
    <xsd:import namespace="9dffb07a-d0b0-4d1e-9d57-a7b0cf3e395a"/>
    <xsd:import namespace="b6a906ec-e300-4fa3-8460-f32a40c858c2"/>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CDER_x0020_Record_x0020_Series" minOccurs="0"/>
                <xsd:element ref="ns3:Cohort" minOccurs="0"/>
                <xsd:element ref="ns3:Description_x0020_and_x0020_Comments" minOccurs="0"/>
                <xsd:element ref="ns3:Assigned_x0020_to" minOccurs="0"/>
                <xsd:element ref="ns3:Date_x0020_moved_x0020_to_x0020_ECMS_x0020_RM_x0020_date" minOccurs="0"/>
                <xsd:element ref="ns3:_x0023__x0020_of_x0020_docume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fb07a-d0b0-4d1e-9d57-a7b0cf3e3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CDER_x0020_Record_x0020_Series" ma:index="12" nillable="true" ma:displayName="CDER Record Series" ma:hidden="true" ma:internalName="CDER_x0020_Record_x0020_Series" ma:readOnly="false">
      <xsd:complexType>
        <xsd:complexContent>
          <xsd:extension base="dms:MultiChoice">
            <xsd:sequence>
              <xsd:element name="Value" maxOccurs="unbounded" minOccurs="0" nillable="true">
                <xsd:simpleType>
                  <xsd:restriction base="dms:Choice">
                    <xsd:enumeration value="Administration, Program-related - 8420"/>
                    <xsd:enumeration value="Communication materials - 8510"/>
                    <xsd:enumeration value="Compendial Operations and Standards - 8412"/>
                    <xsd:enumeration value="Compliance Programs, Administrative Record - 1310"/>
                    <xsd:enumeration value="Compliance Programs, Development (Drafting) - 8510"/>
                    <xsd:enumeration value="Congressional Hearings and Legislation - 3120"/>
                    <xsd:enumeration value="Controlled Correspondence (finals) (not in ECMS FDA-RM) - 8412"/>
                    <xsd:enumeration value="Controlled Correspondence (working files) - 8112"/>
                    <xsd:enumeration value="Department and Commissioner Briefings - 8510"/>
                    <xsd:enumeration value="External Studies - contacts and grants - 1721"/>
                    <xsd:enumeration value="Federal Register Notices (not associated with rulemaking or guidance) - 9152a"/>
                    <xsd:enumeration value="Government Oversight - 8510"/>
                    <xsd:enumeration value="Guidance, Administrative Record - 1210"/>
                    <xsd:enumeration value="Guidance, Development (Drafting) - 1220"/>
                    <xsd:enumeration value="Inactive Ingredients Database (IID) (not in ECMS FDA-RM) - CDER"/>
                    <xsd:enumeration value="Inactive Ingredients Database (IID), working files – 5400"/>
                    <xsd:enumeration value="Inquiries, OPPQ - 8122"/>
                    <xsd:enumeration value="International Collaboration - 3230"/>
                    <xsd:enumeration value="MAPPs, Development (drafting) - 8510"/>
                    <xsd:enumeration value="Memoranda of Understanding (MOU) - 1711"/>
                    <xsd:enumeration value="OPS Coordinating Committee Facilitation - 8420"/>
                    <xsd:enumeration value="Precedents, final and historical topics - 8411"/>
                    <xsd:enumeration value="Precedents, working files - 8420"/>
                    <xsd:enumeration value="Process Documents:  Administrative record - 1310"/>
                    <xsd:enumeration value="Process Documents: Development Files (drafting) - 8510"/>
                    <xsd:enumeration value="Public meetings  - 2220"/>
                    <xsd:enumeration value="Records for rules that are never proposed - 2270"/>
                    <xsd:enumeration value="Regulations, Final Rule Records (development and final); non-substantial - 2622"/>
                    <xsd:enumeration value="Regulations, Final Rule Records (development and final); substantial - 2621"/>
                    <xsd:enumeration value="Regulations, Proposed Rule - 2624"/>
                    <xsd:enumeration value="Staff Manual Guide, Administrative Record - 1310"/>
                    <xsd:enumeration value="Staff Manual Guide, Development (drafting) - 8510"/>
                    <xsd:enumeration value="Standards: Review of Compendial Proposals and Pharmaceutical Quality Voluntary Consensus Standards Program - 8412"/>
                    <xsd:enumeration value="Training materials – OPPQ - 4911"/>
                    <xsd:enumeration value="Training-taken - Employee records, internal training - 4913"/>
                    <xsd:enumeration value="Working Files (Substantial)- Policy Consult and Review - 8510"/>
                    <xsd:enumeration value="z - Advisory Committee for Pharmaceutical Science - N/A"/>
                    <xsd:enumeration value="z - CDER Technology Transfer Agreements - 1711"/>
                    <xsd:enumeration value="z - GDUFA negotiations - 8412"/>
                  </xsd:restriction>
                </xsd:simpleType>
              </xsd:element>
            </xsd:sequence>
          </xsd:extension>
        </xsd:complexContent>
      </xsd:complexType>
    </xsd:element>
    <xsd:element name="Cohort" ma:index="13" nillable="true" ma:displayName="Cohort" ma:format="Dropdown" ma:internalName="Cohort">
      <xsd:simpleType>
        <xsd:restriction base="dms:Choice">
          <xsd:enumeration value="Pre 2019"/>
          <xsd:enumeration value="2019-2020"/>
          <xsd:enumeration value="2021"/>
          <xsd:enumeration value="Choice 4"/>
        </xsd:restriction>
      </xsd:simpleType>
    </xsd:element>
    <xsd:element name="Description_x0020_and_x0020_Comments" ma:index="14" nillable="true" ma:displayName="Description and Comments" ma:hidden="true" ma:internalName="Description_x0020_and_x0020_Comments" ma:readOnly="false">
      <xsd:simpleType>
        <xsd:restriction base="dms:Note"/>
      </xsd:simpleType>
    </xsd:element>
    <xsd:element name="Assigned_x0020_to" ma:index="15" nillable="true" ma:displayName="Assigned to" ma:hidden="true" ma:list="UserInfo" ma:SharePointGroup="0" ma:internalName="Assign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moved_x0020_to_x0020_ECMS_x0020_RM_x0020_date" ma:index="16" nillable="true" ma:displayName="Date moved to ECMS RM date" ma:format="DateOnly" ma:hidden="true" ma:internalName="Date_x0020_moved_x0020_to_x0020_ECMS_x0020_RM_x0020_date" ma:readOnly="false">
      <xsd:simpleType>
        <xsd:restriction base="dms:DateTime"/>
      </xsd:simpleType>
    </xsd:element>
    <xsd:element name="_x0023__x0020_of_x0020_documents" ma:index="17" nillable="true" ma:displayName="# of documents" ma:decimals="0" ma:hidden="true" ma:internalName="_x0023__x0020_of_x0020_documen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e5ab312-d1f1-43b6-aa22-4fea6f62b491}" ma:internalName="TaxCatchAll" ma:showField="CatchAllData" ma:web="b6a906ec-e300-4fa3-8460-f32a40c85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DER_x0020_Record_x0020_Series xmlns="b6a906ec-e300-4fa3-8460-f32a40c858c2" xsi:nil="true"/>
    <Date_x0020_moved_x0020_to_x0020_ECMS_x0020_RM_x0020_date xmlns="b6a906ec-e300-4fa3-8460-f32a40c858c2" xsi:nil="true"/>
    <TaxCatchAll xmlns="20867c8d-1cc9-4acd-a073-94634f6a764f" xsi:nil="true"/>
    <Cohort xmlns="b6a906ec-e300-4fa3-8460-f32a40c858c2" xsi:nil="true"/>
    <Description_x0020_and_x0020_Comments xmlns="b6a906ec-e300-4fa3-8460-f32a40c858c2" xsi:nil="true"/>
    <_x0023__x0020_of_x0020_documents xmlns="b6a906ec-e300-4fa3-8460-f32a40c858c2" xsi:nil="true"/>
    <Assigned_x0020_to xmlns="b6a906ec-e300-4fa3-8460-f32a40c858c2">
      <UserInfo>
        <DisplayName/>
        <AccountId xsi:nil="true"/>
        <AccountType/>
      </UserInfo>
    </Assigned_x0020_to>
    <lcf76f155ced4ddcb4097134ff3c332f xmlns="9dffb07a-d0b0-4d1e-9d57-a7b0cf3e39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F7C2A-970B-412D-9692-486FA75FE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fb07a-d0b0-4d1e-9d57-a7b0cf3e395a"/>
    <ds:schemaRef ds:uri="b6a906ec-e300-4fa3-8460-f32a40c858c2"/>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D2027-1162-49C1-8425-A563352A5507}">
  <ds:schemaRefs>
    <ds:schemaRef ds:uri="http://schemas.microsoft.com/office/2006/metadata/properties"/>
    <ds:schemaRef ds:uri="http://schemas.microsoft.com/office/infopath/2007/PartnerControls"/>
    <ds:schemaRef ds:uri="b6a906ec-e300-4fa3-8460-f32a40c858c2"/>
    <ds:schemaRef ds:uri="20867c8d-1cc9-4acd-a073-94634f6a764f"/>
    <ds:schemaRef ds:uri="9dffb07a-d0b0-4d1e-9d57-a7b0cf3e395a"/>
  </ds:schemaRefs>
</ds:datastoreItem>
</file>

<file path=customXml/itemProps3.xml><?xml version="1.0" encoding="utf-8"?>
<ds:datastoreItem xmlns:ds="http://schemas.openxmlformats.org/officeDocument/2006/customXml" ds:itemID="{AAFB2F6D-4E7E-4ED2-9D0C-75958EA6403F}">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3107</Words>
  <Characters>19206</Characters>
  <Application>Microsoft Office Word</Application>
  <DocSecurity>0</DocSecurity>
  <Lines>768</Lines>
  <Paragraphs>474</Paragraphs>
  <ScaleCrop>false</ScaleCrop>
  <HeadingPairs>
    <vt:vector size="2" baseType="variant">
      <vt:variant>
        <vt:lpstr>Title</vt:lpstr>
      </vt:variant>
      <vt:variant>
        <vt:i4>1</vt:i4>
      </vt:variant>
    </vt:vector>
  </HeadingPairs>
  <TitlesOfParts>
    <vt:vector size="1" baseType="lpstr">
      <vt:lpstr>PRA</vt:lpstr>
    </vt:vector>
  </TitlesOfParts>
  <Company>US FDA</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jcapezzu</dc:creator>
  <cp:lastModifiedBy>Taylor, Anne</cp:lastModifiedBy>
  <cp:revision>2</cp:revision>
  <cp:lastPrinted>2019-07-03T22:25:00Z</cp:lastPrinted>
  <dcterms:created xsi:type="dcterms:W3CDTF">2026-07-13T12:31:00Z</dcterms:created>
  <dcterms:modified xsi:type="dcterms:W3CDTF">2026-07-13T12:31:00Z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0x01010035DA6440224FE146BBF2A581762D661F</vt:lpwstr>
  </property>
  <property fmtid="{D5CDD505-2E9C-101B-9397-08002B2CF9AE}" pid="3" name="MediaServiceImageTags">
    <vt:lpwstr/>
  </property>
</Properties>
</file>