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B02F7" w:rsidP="002958D9" w14:paraId="0B98267D" w14:textId="49FC0AE9">
      <w:pPr>
        <w:spacing w:line="274" w:lineRule="auto"/>
        <w:jc w:val="center"/>
        <w:rPr>
          <w:rFonts w:asciiTheme="minorHAnsi" w:hAnsiTheme="minorHAnsi" w:cstheme="minorHAnsi"/>
          <w:b/>
        </w:rPr>
      </w:pPr>
      <w:r w:rsidRPr="007E7009">
        <w:rPr>
          <w:rFonts w:asciiTheme="minorHAnsi" w:hAnsiTheme="minorHAnsi" w:cstheme="minorHAnsi"/>
          <w:b/>
        </w:rPr>
        <w:t xml:space="preserve">Supporting Statement </w:t>
      </w:r>
      <w:r w:rsidR="00ED4D1C">
        <w:rPr>
          <w:rFonts w:asciiTheme="minorHAnsi" w:hAnsiTheme="minorHAnsi" w:cstheme="minorHAnsi"/>
          <w:b/>
        </w:rPr>
        <w:t>B</w:t>
      </w:r>
    </w:p>
    <w:p w:rsidR="00ED4D1C" w:rsidRPr="007E7009" w:rsidP="002958D9" w14:paraId="1581D2C8" w14:textId="77777777">
      <w:pPr>
        <w:spacing w:line="274" w:lineRule="auto"/>
        <w:jc w:val="center"/>
        <w:rPr>
          <w:rFonts w:asciiTheme="minorHAnsi" w:hAnsiTheme="minorHAnsi" w:cstheme="minorHAnsi"/>
          <w:b/>
        </w:rPr>
      </w:pPr>
    </w:p>
    <w:p w:rsidR="00FB02F7" w:rsidRPr="007E7009" w:rsidP="002958D9" w14:paraId="67093A7C" w14:textId="0B5773DE">
      <w:pPr>
        <w:spacing w:line="274" w:lineRule="auto"/>
        <w:jc w:val="center"/>
        <w:rPr>
          <w:rFonts w:asciiTheme="minorHAnsi" w:hAnsiTheme="minorHAnsi" w:cstheme="minorHAnsi"/>
          <w:b/>
        </w:rPr>
      </w:pPr>
    </w:p>
    <w:p w:rsidR="00E31815" w:rsidP="002958D9" w14:paraId="79754A76" w14:textId="77777777">
      <w:pPr>
        <w:spacing w:line="274" w:lineRule="auto"/>
        <w:jc w:val="center"/>
        <w:rPr>
          <w:rFonts w:asciiTheme="minorHAnsi" w:hAnsiTheme="minorHAnsi" w:cstheme="minorHAnsi"/>
          <w:b/>
        </w:rPr>
      </w:pPr>
      <w:r w:rsidRPr="007E7009">
        <w:rPr>
          <w:rFonts w:asciiTheme="minorHAnsi" w:hAnsiTheme="minorHAnsi" w:cstheme="minorHAnsi"/>
          <w:b/>
        </w:rPr>
        <w:t xml:space="preserve">The National Center for Health Statistics (NCHS) </w:t>
      </w:r>
    </w:p>
    <w:p w:rsidR="00C8098A" w:rsidP="002958D9" w14:paraId="0ABFF115" w14:textId="77777777">
      <w:pPr>
        <w:spacing w:line="274" w:lineRule="auto"/>
        <w:jc w:val="center"/>
        <w:rPr>
          <w:rFonts w:asciiTheme="minorHAnsi" w:hAnsiTheme="minorHAnsi" w:cstheme="minorHAnsi"/>
          <w:b/>
        </w:rPr>
      </w:pPr>
      <w:r w:rsidRPr="007E7009">
        <w:rPr>
          <w:rFonts w:asciiTheme="minorHAnsi" w:hAnsiTheme="minorHAnsi" w:cstheme="minorHAnsi"/>
          <w:b/>
        </w:rPr>
        <w:t>Data Detectives Camp</w:t>
      </w:r>
      <w:r>
        <w:rPr>
          <w:rFonts w:asciiTheme="minorHAnsi" w:hAnsiTheme="minorHAnsi" w:cstheme="minorHAnsi"/>
          <w:b/>
        </w:rPr>
        <w:t xml:space="preserve"> </w:t>
      </w:r>
    </w:p>
    <w:p w:rsidR="00FB02F7" w:rsidP="002958D9" w14:paraId="2198B59B" w14:textId="770EB844">
      <w:pPr>
        <w:spacing w:line="274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2026-2028 </w:t>
      </w:r>
    </w:p>
    <w:p w:rsidR="00E31815" w:rsidP="002958D9" w14:paraId="57FDFFED" w14:textId="77777777">
      <w:pPr>
        <w:spacing w:line="274" w:lineRule="auto"/>
        <w:jc w:val="center"/>
        <w:rPr>
          <w:rFonts w:asciiTheme="minorHAnsi" w:hAnsiTheme="minorHAnsi" w:cstheme="minorHAnsi"/>
          <w:b/>
        </w:rPr>
      </w:pPr>
    </w:p>
    <w:p w:rsidR="00FB02F7" w:rsidRPr="007E7009" w:rsidP="752BDDB2" w14:paraId="7A7BBD8B" w14:textId="193E5C59">
      <w:pPr>
        <w:spacing w:line="274" w:lineRule="auto"/>
        <w:jc w:val="center"/>
        <w:rPr>
          <w:rFonts w:asciiTheme="minorHAnsi" w:hAnsiTheme="minorHAnsi" w:cstheme="minorBidi"/>
          <w:b/>
          <w:bCs/>
        </w:rPr>
      </w:pPr>
      <w:r w:rsidRPr="752BDDB2">
        <w:rPr>
          <w:rFonts w:asciiTheme="minorHAnsi" w:hAnsiTheme="minorHAnsi" w:cstheme="minorBidi"/>
          <w:b/>
          <w:bCs/>
        </w:rPr>
        <w:t>OMB No. 0920-</w:t>
      </w:r>
      <w:r w:rsidR="00310E40">
        <w:rPr>
          <w:rFonts w:asciiTheme="minorHAnsi" w:hAnsiTheme="minorHAnsi" w:cstheme="minorBidi"/>
          <w:b/>
          <w:bCs/>
        </w:rPr>
        <w:t>XXXX</w:t>
      </w:r>
    </w:p>
    <w:p w:rsidR="00FB02F7" w:rsidRPr="007E7009" w:rsidP="002958D9" w14:paraId="78236D36" w14:textId="77777777">
      <w:pPr>
        <w:spacing w:line="274" w:lineRule="auto"/>
        <w:jc w:val="center"/>
        <w:rPr>
          <w:rFonts w:asciiTheme="minorHAnsi" w:hAnsiTheme="minorHAnsi" w:cstheme="minorHAnsi"/>
          <w:b/>
        </w:rPr>
      </w:pPr>
    </w:p>
    <w:p w:rsidR="00FB02F7" w:rsidP="002958D9" w14:paraId="0221AA3B" w14:textId="77777777">
      <w:pPr>
        <w:spacing w:line="274" w:lineRule="auto"/>
        <w:jc w:val="center"/>
        <w:rPr>
          <w:rFonts w:asciiTheme="minorHAnsi" w:hAnsiTheme="minorHAnsi" w:cstheme="minorHAnsi"/>
          <w:b/>
        </w:rPr>
      </w:pPr>
    </w:p>
    <w:p w:rsidR="00ED4D1C" w:rsidP="002958D9" w14:paraId="550FB321" w14:textId="77777777">
      <w:pPr>
        <w:spacing w:line="274" w:lineRule="auto"/>
        <w:jc w:val="center"/>
        <w:rPr>
          <w:rFonts w:asciiTheme="minorHAnsi" w:hAnsiTheme="minorHAnsi" w:cstheme="minorHAnsi"/>
          <w:b/>
        </w:rPr>
      </w:pPr>
    </w:p>
    <w:p w:rsidR="00ED4D1C" w:rsidRPr="007E7009" w:rsidP="002958D9" w14:paraId="041A2B5A" w14:textId="77777777">
      <w:pPr>
        <w:spacing w:line="274" w:lineRule="auto"/>
        <w:jc w:val="center"/>
        <w:rPr>
          <w:rFonts w:asciiTheme="minorHAnsi" w:hAnsiTheme="minorHAnsi" w:cstheme="minorHAnsi"/>
          <w:b/>
        </w:rPr>
      </w:pPr>
    </w:p>
    <w:p w:rsidR="00FB02F7" w:rsidRPr="007E7009" w:rsidP="002958D9" w14:paraId="608C456A" w14:textId="57B22AAC">
      <w:pPr>
        <w:spacing w:line="274" w:lineRule="auto"/>
        <w:jc w:val="center"/>
        <w:rPr>
          <w:rFonts w:asciiTheme="minorHAnsi" w:hAnsiTheme="minorHAnsi" w:cstheme="minorHAnsi"/>
          <w:b/>
        </w:rPr>
      </w:pPr>
      <w:r w:rsidRPr="007E7009">
        <w:rPr>
          <w:rFonts w:asciiTheme="minorHAnsi" w:hAnsiTheme="minorHAnsi" w:cstheme="minorHAnsi"/>
          <w:b/>
        </w:rPr>
        <w:t>Contact Information</w:t>
      </w:r>
      <w:r w:rsidR="00ED4D1C">
        <w:rPr>
          <w:rFonts w:asciiTheme="minorHAnsi" w:hAnsiTheme="minorHAnsi" w:cstheme="minorHAnsi"/>
          <w:b/>
        </w:rPr>
        <w:t>:</w:t>
      </w:r>
    </w:p>
    <w:p w:rsidR="00FB02F7" w:rsidRPr="007E7009" w:rsidP="002958D9" w14:paraId="004FE541" w14:textId="77777777">
      <w:pPr>
        <w:spacing w:line="274" w:lineRule="auto"/>
        <w:jc w:val="center"/>
        <w:rPr>
          <w:rFonts w:asciiTheme="minorHAnsi" w:hAnsiTheme="minorHAnsi" w:cstheme="minorHAnsi"/>
          <w:b/>
        </w:rPr>
      </w:pPr>
    </w:p>
    <w:p w:rsidR="00FB02F7" w:rsidRPr="007E7009" w:rsidP="002958D9" w14:paraId="141AAEC1" w14:textId="77777777">
      <w:pPr>
        <w:spacing w:line="274" w:lineRule="auto"/>
        <w:jc w:val="center"/>
        <w:rPr>
          <w:rFonts w:asciiTheme="minorHAnsi" w:hAnsiTheme="minorHAnsi" w:cstheme="minorHAnsi"/>
          <w:b/>
        </w:rPr>
      </w:pPr>
      <w:r w:rsidRPr="007E7009">
        <w:rPr>
          <w:rFonts w:asciiTheme="minorHAnsi" w:hAnsiTheme="minorHAnsi" w:cstheme="minorHAnsi"/>
          <w:b/>
        </w:rPr>
        <w:t>Ryne Paulose</w:t>
      </w:r>
    </w:p>
    <w:p w:rsidR="00FB02F7" w:rsidRPr="007E7009" w:rsidP="002958D9" w14:paraId="5EAEE82C" w14:textId="77777777">
      <w:pPr>
        <w:spacing w:line="274" w:lineRule="auto"/>
        <w:jc w:val="center"/>
        <w:rPr>
          <w:rFonts w:asciiTheme="minorHAnsi" w:hAnsiTheme="minorHAnsi" w:cstheme="minorHAnsi"/>
          <w:b/>
        </w:rPr>
      </w:pPr>
      <w:r w:rsidRPr="007E7009">
        <w:rPr>
          <w:rFonts w:asciiTheme="minorHAnsi" w:hAnsiTheme="minorHAnsi" w:cstheme="minorHAnsi"/>
          <w:b/>
        </w:rPr>
        <w:t>National Center for Health Statistics</w:t>
      </w:r>
    </w:p>
    <w:p w:rsidR="00FB02F7" w:rsidRPr="007E7009" w:rsidP="002958D9" w14:paraId="770DC1D2" w14:textId="77777777">
      <w:pPr>
        <w:spacing w:line="274" w:lineRule="auto"/>
        <w:jc w:val="center"/>
        <w:rPr>
          <w:rFonts w:asciiTheme="minorHAnsi" w:hAnsiTheme="minorHAnsi" w:cstheme="minorHAnsi"/>
          <w:b/>
        </w:rPr>
      </w:pPr>
      <w:r w:rsidRPr="007E7009">
        <w:rPr>
          <w:rFonts w:asciiTheme="minorHAnsi" w:hAnsiTheme="minorHAnsi" w:cstheme="minorHAnsi"/>
          <w:b/>
        </w:rPr>
        <w:t>3311 Toledo Rd</w:t>
      </w:r>
    </w:p>
    <w:p w:rsidR="00FB02F7" w:rsidRPr="007E7009" w:rsidP="002958D9" w14:paraId="65D17F89" w14:textId="77777777">
      <w:pPr>
        <w:spacing w:line="274" w:lineRule="auto"/>
        <w:jc w:val="center"/>
        <w:rPr>
          <w:rFonts w:asciiTheme="minorHAnsi" w:hAnsiTheme="minorHAnsi" w:cstheme="minorHAnsi"/>
          <w:b/>
        </w:rPr>
      </w:pPr>
      <w:r w:rsidRPr="007E7009">
        <w:rPr>
          <w:rFonts w:asciiTheme="minorHAnsi" w:hAnsiTheme="minorHAnsi" w:cstheme="minorHAnsi"/>
          <w:b/>
        </w:rPr>
        <w:t>Hyattsville MD 20782</w:t>
      </w:r>
    </w:p>
    <w:p w:rsidR="00FB02F7" w:rsidRPr="007E7009" w:rsidP="002958D9" w14:paraId="31169A7D" w14:textId="77777777">
      <w:pPr>
        <w:spacing w:line="274" w:lineRule="auto"/>
        <w:jc w:val="center"/>
        <w:rPr>
          <w:rFonts w:asciiTheme="minorHAnsi" w:hAnsiTheme="minorHAnsi" w:cstheme="minorHAnsi"/>
          <w:b/>
        </w:rPr>
      </w:pPr>
      <w:r w:rsidRPr="007E7009">
        <w:rPr>
          <w:rFonts w:asciiTheme="minorHAnsi" w:hAnsiTheme="minorHAnsi" w:cstheme="minorHAnsi"/>
          <w:b/>
        </w:rPr>
        <w:t>301-458-4484</w:t>
      </w:r>
    </w:p>
    <w:p w:rsidR="00FB02F7" w:rsidP="002958D9" w14:paraId="4B318095" w14:textId="77777777">
      <w:pPr>
        <w:spacing w:line="274" w:lineRule="auto"/>
        <w:jc w:val="center"/>
        <w:rPr>
          <w:rStyle w:val="Hyperlink"/>
          <w:rFonts w:asciiTheme="minorHAnsi" w:hAnsiTheme="minorHAnsi" w:cstheme="minorHAnsi"/>
          <w:b/>
        </w:rPr>
      </w:pPr>
      <w:hyperlink r:id="rId8" w:history="1">
        <w:r w:rsidRPr="007E7009">
          <w:rPr>
            <w:rStyle w:val="Hyperlink"/>
            <w:rFonts w:asciiTheme="minorHAnsi" w:hAnsiTheme="minorHAnsi" w:cstheme="minorHAnsi"/>
            <w:b/>
          </w:rPr>
          <w:t>RPaulose@cdc.gov</w:t>
        </w:r>
      </w:hyperlink>
    </w:p>
    <w:p w:rsidR="00FB02F7" w:rsidP="002958D9" w14:paraId="451E9F6F" w14:textId="77777777">
      <w:pPr>
        <w:spacing w:line="274" w:lineRule="auto"/>
        <w:jc w:val="center"/>
        <w:rPr>
          <w:rFonts w:asciiTheme="minorHAnsi" w:hAnsiTheme="minorHAnsi" w:cstheme="minorHAnsi"/>
          <w:b/>
        </w:rPr>
      </w:pPr>
    </w:p>
    <w:p w:rsidR="00C8098A" w:rsidP="002958D9" w14:paraId="3ED229AC" w14:textId="77777777">
      <w:pPr>
        <w:spacing w:line="274" w:lineRule="auto"/>
        <w:jc w:val="center"/>
        <w:rPr>
          <w:rFonts w:asciiTheme="minorHAnsi" w:hAnsiTheme="minorHAnsi" w:cstheme="minorHAnsi"/>
          <w:b/>
        </w:rPr>
      </w:pPr>
    </w:p>
    <w:p w:rsidR="00ED4D1C" w:rsidRPr="007E7009" w:rsidP="002958D9" w14:paraId="7785AB32" w14:textId="77777777">
      <w:pPr>
        <w:spacing w:line="274" w:lineRule="auto"/>
        <w:jc w:val="center"/>
        <w:rPr>
          <w:rFonts w:asciiTheme="minorHAnsi" w:hAnsiTheme="minorHAnsi" w:cstheme="minorHAnsi"/>
          <w:b/>
        </w:rPr>
      </w:pPr>
    </w:p>
    <w:p w:rsidR="00FB02F7" w:rsidP="32BD473F" w14:paraId="42D72DDB" w14:textId="15377B40">
      <w:pPr>
        <w:spacing w:line="274" w:lineRule="auto"/>
        <w:jc w:val="center"/>
        <w:rPr>
          <w:rFonts w:asciiTheme="minorHAnsi" w:hAnsiTheme="minorHAnsi" w:cstheme="minorBidi"/>
          <w:b/>
          <w:bCs/>
        </w:rPr>
      </w:pPr>
      <w:r w:rsidRPr="4A240238">
        <w:rPr>
          <w:rFonts w:asciiTheme="minorHAnsi" w:hAnsiTheme="minorHAnsi" w:cstheme="minorBidi"/>
          <w:b/>
          <w:bCs/>
        </w:rPr>
        <w:t>March 30, 2026</w:t>
      </w:r>
    </w:p>
    <w:p w:rsidR="0024631C" w:rsidP="002958D9" w14:paraId="24AEC737" w14:textId="77777777">
      <w:pPr>
        <w:spacing w:line="274" w:lineRule="auto"/>
        <w:jc w:val="center"/>
      </w:pPr>
      <w:r>
        <w:br w:type="page"/>
      </w:r>
    </w:p>
    <w:p w:rsidR="00201FF2" w:rsidP="00201FF2" w14:paraId="6239C5E6" w14:textId="77777777">
      <w:pPr>
        <w:jc w:val="center"/>
        <w:rPr>
          <w:rFonts w:asciiTheme="minorHAnsi" w:hAnsiTheme="minorHAnsi" w:cstheme="minorHAnsi"/>
          <w:b/>
          <w:bCs/>
          <w:iCs/>
          <w:caps/>
        </w:rPr>
      </w:pPr>
      <w:r w:rsidRPr="003F28EF">
        <w:rPr>
          <w:rFonts w:asciiTheme="minorHAnsi" w:hAnsiTheme="minorHAnsi" w:cstheme="minorHAnsi"/>
          <w:b/>
          <w:bCs/>
          <w:iCs/>
          <w:caps/>
        </w:rPr>
        <w:t>Supporting Statement B</w:t>
      </w:r>
    </w:p>
    <w:p w:rsidR="00201FF2" w:rsidRPr="003F28EF" w:rsidP="00201FF2" w14:paraId="5D69F965" w14:textId="77777777">
      <w:pPr>
        <w:jc w:val="center"/>
        <w:rPr>
          <w:rFonts w:asciiTheme="minorHAnsi" w:hAnsiTheme="minorHAnsi" w:cstheme="minorHAnsi"/>
          <w:b/>
          <w:bCs/>
          <w:iCs/>
          <w:caps/>
        </w:rPr>
      </w:pPr>
    </w:p>
    <w:p w:rsidR="00201FF2" w:rsidRPr="003F28EF" w:rsidP="00201FF2" w14:paraId="2BE0BDD3" w14:textId="77777777">
      <w:pPr>
        <w:spacing w:line="360" w:lineRule="auto"/>
        <w:outlineLvl w:val="0"/>
        <w:rPr>
          <w:rFonts w:asciiTheme="minorHAnsi" w:hAnsiTheme="minorHAnsi" w:cstheme="minorHAnsi"/>
          <w:b/>
          <w:bCs/>
        </w:rPr>
      </w:pPr>
      <w:r w:rsidRPr="003F28EF">
        <w:rPr>
          <w:rFonts w:asciiTheme="minorHAnsi" w:hAnsiTheme="minorHAnsi" w:cstheme="minorHAnsi"/>
          <w:b/>
          <w:bCs/>
        </w:rPr>
        <w:t>B.  Collections of Information Employing Statistical Methods</w:t>
      </w:r>
    </w:p>
    <w:p w:rsidR="00201FF2" w:rsidRPr="003F28EF" w:rsidP="00201FF2" w14:paraId="67DF0C82" w14:textId="77777777">
      <w:pPr>
        <w:rPr>
          <w:rFonts w:asciiTheme="minorHAnsi" w:hAnsiTheme="minorHAnsi" w:cstheme="minorHAnsi"/>
        </w:rPr>
      </w:pPr>
    </w:p>
    <w:p w:rsidR="003F28EF" w:rsidRPr="003F28EF" w:rsidP="003F28EF" w14:paraId="78D4AFC2" w14:textId="186A64F3">
      <w:pPr>
        <w:pStyle w:val="ListParagraph"/>
        <w:numPr>
          <w:ilvl w:val="0"/>
          <w:numId w:val="1"/>
        </w:numPr>
        <w:outlineLvl w:val="0"/>
        <w:rPr>
          <w:rFonts w:asciiTheme="minorHAnsi" w:hAnsiTheme="minorHAnsi" w:cstheme="minorHAnsi"/>
        </w:rPr>
      </w:pPr>
      <w:r w:rsidRPr="003F28EF">
        <w:rPr>
          <w:rFonts w:asciiTheme="minorHAnsi" w:hAnsiTheme="minorHAnsi" w:cstheme="minorHAnsi"/>
          <w:b/>
        </w:rPr>
        <w:t>Potential respondent universe and respondent selection method</w:t>
      </w:r>
      <w:r w:rsidRPr="003F28EF">
        <w:rPr>
          <w:rFonts w:asciiTheme="minorHAnsi" w:hAnsiTheme="minorHAnsi" w:cstheme="minorHAnsi"/>
        </w:rPr>
        <w:t xml:space="preserve"> </w:t>
      </w:r>
    </w:p>
    <w:p w:rsidR="00201FF2" w:rsidRPr="003F28EF" w:rsidP="00201FF2" w14:paraId="75BE0D6A" w14:textId="77777777">
      <w:pPr>
        <w:rPr>
          <w:rFonts w:asciiTheme="minorHAnsi" w:hAnsiTheme="minorHAnsi" w:cstheme="minorHAnsi"/>
        </w:rPr>
      </w:pPr>
      <w:r w:rsidRPr="003F28EF">
        <w:rPr>
          <w:rFonts w:asciiTheme="minorHAnsi" w:hAnsiTheme="minorHAnsi" w:cstheme="minorHAnsi"/>
        </w:rPr>
        <w:t xml:space="preserve"> </w:t>
      </w:r>
    </w:p>
    <w:p w:rsidR="00502E4C" w:rsidRPr="003F28EF" w:rsidP="3AE736EA" w14:paraId="17159A5D" w14:textId="6172E816">
      <w:pPr>
        <w:rPr>
          <w:rFonts w:asciiTheme="minorHAnsi" w:hAnsiTheme="minorHAnsi" w:cstheme="minorBidi"/>
        </w:rPr>
      </w:pPr>
      <w:r w:rsidRPr="42CFE58E">
        <w:rPr>
          <w:rFonts w:asciiTheme="minorHAnsi" w:hAnsiTheme="minorHAnsi" w:cstheme="minorBidi"/>
        </w:rPr>
        <w:t>The</w:t>
      </w:r>
      <w:r w:rsidRPr="42CFE58E" w:rsidR="000C1D8A">
        <w:rPr>
          <w:rFonts w:asciiTheme="minorHAnsi" w:hAnsiTheme="minorHAnsi" w:cstheme="minorBidi"/>
        </w:rPr>
        <w:t xml:space="preserve"> potential respondent universe for applicants </w:t>
      </w:r>
      <w:r w:rsidRPr="42CFE58E">
        <w:rPr>
          <w:rFonts w:asciiTheme="minorHAnsi" w:hAnsiTheme="minorHAnsi" w:cstheme="minorBidi"/>
        </w:rPr>
        <w:t>include</w:t>
      </w:r>
      <w:r w:rsidRPr="42CFE58E" w:rsidR="307227CF">
        <w:rPr>
          <w:rFonts w:asciiTheme="minorHAnsi" w:hAnsiTheme="minorHAnsi" w:cstheme="minorBidi"/>
        </w:rPr>
        <w:t>s</w:t>
      </w:r>
      <w:r w:rsidRPr="42CFE58E">
        <w:rPr>
          <w:rFonts w:asciiTheme="minorHAnsi" w:hAnsiTheme="minorHAnsi" w:cstheme="minorBidi"/>
        </w:rPr>
        <w:t xml:space="preserve"> </w:t>
      </w:r>
      <w:r w:rsidRPr="42CFE58E" w:rsidR="00B56473">
        <w:rPr>
          <w:rFonts w:asciiTheme="minorHAnsi" w:hAnsiTheme="minorHAnsi" w:cstheme="minorBidi"/>
        </w:rPr>
        <w:t xml:space="preserve">young people (K through college) and those who support them, such as parents, teachers, counselors, </w:t>
      </w:r>
      <w:r w:rsidRPr="42CFE58E" w:rsidR="0015223D">
        <w:rPr>
          <w:rFonts w:asciiTheme="minorHAnsi" w:hAnsiTheme="minorHAnsi" w:cstheme="minorBidi"/>
        </w:rPr>
        <w:t>etc.</w:t>
      </w:r>
      <w:r w:rsidRPr="42CFE58E">
        <w:rPr>
          <w:rFonts w:asciiTheme="minorHAnsi" w:hAnsiTheme="minorHAnsi" w:cstheme="minorBidi"/>
        </w:rPr>
        <w:t xml:space="preserve">; the broader educational, research, and public health community; and other </w:t>
      </w:r>
      <w:r w:rsidRPr="42CFE58E" w:rsidR="00B56473">
        <w:rPr>
          <w:rFonts w:asciiTheme="minorHAnsi" w:hAnsiTheme="minorHAnsi" w:cstheme="minorBidi"/>
        </w:rPr>
        <w:t>respondents</w:t>
      </w:r>
      <w:r w:rsidRPr="42CFE58E">
        <w:rPr>
          <w:rFonts w:asciiTheme="minorHAnsi" w:hAnsiTheme="minorHAnsi" w:cstheme="minorBidi"/>
        </w:rPr>
        <w:t xml:space="preserve">. Other </w:t>
      </w:r>
      <w:r w:rsidRPr="42CFE58E" w:rsidR="00B56473">
        <w:rPr>
          <w:rFonts w:asciiTheme="minorHAnsi" w:hAnsiTheme="minorHAnsi" w:cstheme="minorBidi"/>
        </w:rPr>
        <w:t>respondents</w:t>
      </w:r>
      <w:r w:rsidRPr="42CFE58E">
        <w:rPr>
          <w:rFonts w:asciiTheme="minorHAnsi" w:hAnsiTheme="minorHAnsi" w:cstheme="minorBidi"/>
        </w:rPr>
        <w:t xml:space="preserve"> may include self-selected broad-based groups of </w:t>
      </w:r>
      <w:r w:rsidRPr="42CFE58E" w:rsidR="00B56473">
        <w:rPr>
          <w:rFonts w:asciiTheme="minorHAnsi" w:hAnsiTheme="minorHAnsi" w:cstheme="minorBidi"/>
        </w:rPr>
        <w:t>individual</w:t>
      </w:r>
      <w:r w:rsidRPr="42CFE58E" w:rsidR="7FFBFED1">
        <w:rPr>
          <w:rFonts w:asciiTheme="minorHAnsi" w:hAnsiTheme="minorHAnsi" w:cstheme="minorBidi"/>
        </w:rPr>
        <w:t>s</w:t>
      </w:r>
      <w:r w:rsidRPr="42CFE58E">
        <w:rPr>
          <w:rFonts w:asciiTheme="minorHAnsi" w:hAnsiTheme="minorHAnsi" w:cstheme="minorBidi"/>
        </w:rPr>
        <w:t xml:space="preserve"> who register for and attend NCHS sponsored </w:t>
      </w:r>
      <w:r w:rsidRPr="42CFE58E" w:rsidR="00B56473">
        <w:rPr>
          <w:rFonts w:asciiTheme="minorHAnsi" w:hAnsiTheme="minorHAnsi" w:cstheme="minorBidi"/>
        </w:rPr>
        <w:t>outreach events and activities</w:t>
      </w:r>
      <w:r w:rsidRPr="42CFE58E">
        <w:rPr>
          <w:rFonts w:asciiTheme="minorHAnsi" w:hAnsiTheme="minorHAnsi" w:cstheme="minorBidi"/>
        </w:rPr>
        <w:t xml:space="preserve">; </w:t>
      </w:r>
      <w:r w:rsidRPr="42CFE58E" w:rsidR="0089770E">
        <w:rPr>
          <w:rFonts w:asciiTheme="minorHAnsi" w:hAnsiTheme="minorHAnsi" w:cstheme="minorBidi"/>
        </w:rPr>
        <w:t>persons who access the NCHS Web</w:t>
      </w:r>
      <w:r w:rsidRPr="42CFE58E">
        <w:rPr>
          <w:rFonts w:asciiTheme="minorHAnsi" w:hAnsiTheme="minorHAnsi" w:cstheme="minorBidi"/>
        </w:rPr>
        <w:t>site or are on NCHS listservs; or those who contact NCHS directly for information.</w:t>
      </w:r>
    </w:p>
    <w:p w:rsidR="00502E4C" w:rsidRPr="003F28EF" w:rsidP="00201FF2" w14:paraId="32CFA931" w14:textId="77777777">
      <w:pPr>
        <w:rPr>
          <w:rFonts w:asciiTheme="minorHAnsi" w:hAnsiTheme="minorHAnsi" w:cstheme="minorHAnsi"/>
        </w:rPr>
      </w:pPr>
    </w:p>
    <w:p w:rsidR="00C33BF0" w:rsidP="32BD473F" w14:paraId="77367A72" w14:textId="125968B0">
      <w:pPr>
        <w:rPr>
          <w:rFonts w:asciiTheme="minorHAnsi" w:hAnsiTheme="minorHAnsi" w:cstheme="minorBidi"/>
        </w:rPr>
      </w:pPr>
      <w:r w:rsidRPr="42CFE58E">
        <w:rPr>
          <w:rFonts w:asciiTheme="minorHAnsi" w:hAnsiTheme="minorHAnsi" w:cstheme="minorBidi"/>
        </w:rPr>
        <w:t xml:space="preserve">The potential </w:t>
      </w:r>
      <w:r w:rsidRPr="42CFE58E" w:rsidR="00061C19">
        <w:rPr>
          <w:rFonts w:asciiTheme="minorHAnsi" w:hAnsiTheme="minorHAnsi" w:cstheme="minorBidi"/>
        </w:rPr>
        <w:t xml:space="preserve">respondent universe for </w:t>
      </w:r>
      <w:r w:rsidRPr="42CFE58E" w:rsidR="009429BE">
        <w:rPr>
          <w:rFonts w:asciiTheme="minorHAnsi" w:hAnsiTheme="minorHAnsi" w:cstheme="minorBidi"/>
        </w:rPr>
        <w:t xml:space="preserve">the </w:t>
      </w:r>
      <w:r w:rsidRPr="42CFE58E" w:rsidR="00A457ED">
        <w:rPr>
          <w:rFonts w:asciiTheme="minorHAnsi" w:hAnsiTheme="minorHAnsi" w:cstheme="minorBidi"/>
        </w:rPr>
        <w:t xml:space="preserve">attendees </w:t>
      </w:r>
      <w:r w:rsidRPr="42CFE58E" w:rsidR="23221FC8">
        <w:rPr>
          <w:rFonts w:asciiTheme="minorHAnsi" w:hAnsiTheme="minorHAnsi" w:cstheme="minorBidi"/>
        </w:rPr>
        <w:t>is</w:t>
      </w:r>
      <w:r w:rsidRPr="42CFE58E" w:rsidR="00A457ED">
        <w:rPr>
          <w:rFonts w:asciiTheme="minorHAnsi" w:hAnsiTheme="minorHAnsi" w:cstheme="minorBidi"/>
        </w:rPr>
        <w:t xml:space="preserve"> a subset of the above applicants of </w:t>
      </w:r>
      <w:r w:rsidRPr="42CFE58E" w:rsidR="000F4D7A">
        <w:rPr>
          <w:rFonts w:asciiTheme="minorHAnsi" w:hAnsiTheme="minorHAnsi" w:cstheme="minorBidi"/>
        </w:rPr>
        <w:t xml:space="preserve">young people and their parents, teachers, and counselors. </w:t>
      </w:r>
    </w:p>
    <w:p w:rsidR="006E5720" w:rsidP="00201FF2" w14:paraId="2F471AAE" w14:textId="77777777">
      <w:pPr>
        <w:rPr>
          <w:rFonts w:asciiTheme="minorHAnsi" w:hAnsiTheme="minorHAnsi" w:cstheme="minorHAnsi"/>
        </w:rPr>
      </w:pPr>
    </w:p>
    <w:p w:rsidR="00201FF2" w:rsidRPr="003F28EF" w:rsidP="00201FF2" w14:paraId="639A9A9C" w14:textId="2647E283">
      <w:pPr>
        <w:rPr>
          <w:rFonts w:asciiTheme="minorHAnsi" w:hAnsiTheme="minorHAnsi" w:cstheme="minorHAnsi"/>
        </w:rPr>
      </w:pPr>
      <w:r w:rsidRPr="003F28EF">
        <w:rPr>
          <w:rFonts w:asciiTheme="minorHAnsi" w:hAnsiTheme="minorHAnsi" w:cstheme="minorHAnsi"/>
        </w:rPr>
        <w:t xml:space="preserve">The data collection in these </w:t>
      </w:r>
      <w:r w:rsidRPr="003F28EF" w:rsidR="00B56473">
        <w:rPr>
          <w:rFonts w:asciiTheme="minorHAnsi" w:hAnsiTheme="minorHAnsi" w:cstheme="minorHAnsi"/>
        </w:rPr>
        <w:t>outreach activities</w:t>
      </w:r>
      <w:r w:rsidRPr="003F28EF">
        <w:rPr>
          <w:rFonts w:asciiTheme="minorHAnsi" w:hAnsiTheme="minorHAnsi" w:cstheme="minorHAnsi"/>
        </w:rPr>
        <w:t xml:space="preserve"> will not, in most cases, use statistical methods to select respondents. In some instances, </w:t>
      </w:r>
      <w:r w:rsidR="003C7C06">
        <w:rPr>
          <w:rFonts w:asciiTheme="minorHAnsi" w:hAnsiTheme="minorHAnsi" w:cstheme="minorHAnsi"/>
        </w:rPr>
        <w:t>w</w:t>
      </w:r>
      <w:r w:rsidRPr="003F28EF">
        <w:rPr>
          <w:rFonts w:asciiTheme="minorHAnsi" w:hAnsiTheme="minorHAnsi" w:cstheme="minorHAnsi"/>
        </w:rPr>
        <w:t xml:space="preserve">hen appropriate, </w:t>
      </w:r>
      <w:r w:rsidRPr="003F28EF" w:rsidR="00B56473">
        <w:rPr>
          <w:rFonts w:asciiTheme="minorHAnsi" w:hAnsiTheme="minorHAnsi" w:cstheme="minorHAnsi"/>
        </w:rPr>
        <w:t xml:space="preserve">random </w:t>
      </w:r>
      <w:r w:rsidRPr="003F28EF">
        <w:rPr>
          <w:rFonts w:asciiTheme="minorHAnsi" w:hAnsiTheme="minorHAnsi" w:cstheme="minorHAnsi"/>
        </w:rPr>
        <w:t xml:space="preserve">sampling techniques will be used to select </w:t>
      </w:r>
      <w:r w:rsidR="00660F7C">
        <w:rPr>
          <w:rFonts w:asciiTheme="minorHAnsi" w:hAnsiTheme="minorHAnsi" w:cstheme="minorHAnsi"/>
        </w:rPr>
        <w:t xml:space="preserve">the subset of attendees. </w:t>
      </w:r>
    </w:p>
    <w:p w:rsidR="00201FF2" w:rsidRPr="003F28EF" w:rsidP="00201FF2" w14:paraId="3D2A3C65" w14:textId="77777777">
      <w:pPr>
        <w:rPr>
          <w:rFonts w:asciiTheme="minorHAnsi" w:hAnsiTheme="minorHAnsi" w:cstheme="minorHAnsi"/>
        </w:rPr>
      </w:pPr>
    </w:p>
    <w:p w:rsidR="00201FF2" w:rsidRPr="003F28EF" w:rsidP="003F28EF" w14:paraId="185BD3D9" w14:textId="0A47D94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3F28EF">
        <w:rPr>
          <w:rFonts w:asciiTheme="minorHAnsi" w:hAnsiTheme="minorHAnsi" w:cstheme="minorHAnsi"/>
          <w:b/>
        </w:rPr>
        <w:t>Procedures for the Collection of Information</w:t>
      </w:r>
    </w:p>
    <w:p w:rsidR="00201FF2" w:rsidRPr="003F28EF" w:rsidP="00201FF2" w14:paraId="15DAE78E" w14:textId="77777777">
      <w:pPr>
        <w:rPr>
          <w:rFonts w:asciiTheme="minorHAnsi" w:hAnsiTheme="minorHAnsi" w:cstheme="minorHAnsi"/>
          <w:b/>
        </w:rPr>
      </w:pPr>
    </w:p>
    <w:p w:rsidR="00AC323F" w:rsidP="00AC323F" w14:paraId="02AB1E62" w14:textId="5909DC6B">
      <w:pPr>
        <w:rPr>
          <w:rFonts w:asciiTheme="minorHAnsi" w:hAnsiTheme="minorHAnsi" w:cstheme="minorHAnsi"/>
        </w:rPr>
      </w:pPr>
      <w:r w:rsidRPr="007E7009">
        <w:rPr>
          <w:rFonts w:asciiTheme="minorHAnsi" w:hAnsiTheme="minorHAnsi" w:cstheme="minorHAnsi"/>
        </w:rPr>
        <w:t xml:space="preserve">The NCHS Data Detective Camp will employ </w:t>
      </w:r>
      <w:r w:rsidR="005D6346">
        <w:rPr>
          <w:rFonts w:asciiTheme="minorHAnsi" w:hAnsiTheme="minorHAnsi" w:cstheme="minorHAnsi"/>
        </w:rPr>
        <w:t xml:space="preserve">automated and electronic technology (e.g., e-mail, </w:t>
      </w:r>
      <w:r w:rsidR="00B76F93">
        <w:rPr>
          <w:rFonts w:asciiTheme="minorHAnsi" w:hAnsiTheme="minorHAnsi" w:cstheme="minorHAnsi"/>
        </w:rPr>
        <w:t xml:space="preserve">CDC web-based surveys) </w:t>
      </w:r>
      <w:r w:rsidRPr="007E7009">
        <w:rPr>
          <w:rFonts w:asciiTheme="minorHAnsi" w:hAnsiTheme="minorHAnsi" w:cstheme="minorHAnsi"/>
        </w:rPr>
        <w:t xml:space="preserve">to collect </w:t>
      </w:r>
      <w:r w:rsidR="0002044D">
        <w:rPr>
          <w:rFonts w:asciiTheme="minorHAnsi" w:hAnsiTheme="minorHAnsi" w:cstheme="minorHAnsi"/>
        </w:rPr>
        <w:t xml:space="preserve">information from application forms, recommendation forms, </w:t>
      </w:r>
      <w:r w:rsidR="00963D23">
        <w:rPr>
          <w:rFonts w:asciiTheme="minorHAnsi" w:hAnsiTheme="minorHAnsi" w:cstheme="minorHAnsi"/>
        </w:rPr>
        <w:t>registration forms, and evaluation forms.</w:t>
      </w:r>
      <w:r w:rsidRPr="007E7009">
        <w:rPr>
          <w:rFonts w:asciiTheme="minorHAnsi" w:hAnsiTheme="minorHAnsi" w:cstheme="minorHAnsi"/>
        </w:rPr>
        <w:t xml:space="preserve"> </w:t>
      </w:r>
      <w:r w:rsidR="00266047">
        <w:rPr>
          <w:rFonts w:asciiTheme="minorHAnsi" w:hAnsiTheme="minorHAnsi" w:cstheme="minorHAnsi"/>
        </w:rPr>
        <w:t>Respondents</w:t>
      </w:r>
      <w:r w:rsidRPr="007E7009">
        <w:rPr>
          <w:rFonts w:asciiTheme="minorHAnsi" w:hAnsiTheme="minorHAnsi" w:cstheme="minorHAnsi"/>
        </w:rPr>
        <w:t xml:space="preserve"> will submit their responses electronically; and responses will be tallied electronically. Electronic collection will minimize the burden on camp applicants and facilitate the most rapid processing of </w:t>
      </w:r>
      <w:r w:rsidR="00266047">
        <w:rPr>
          <w:rFonts w:asciiTheme="minorHAnsi" w:hAnsiTheme="minorHAnsi" w:cstheme="minorHAnsi"/>
        </w:rPr>
        <w:t>information</w:t>
      </w:r>
      <w:r w:rsidRPr="007E7009">
        <w:rPr>
          <w:rFonts w:asciiTheme="minorHAnsi" w:hAnsiTheme="minorHAnsi" w:cstheme="minorHAnsi"/>
        </w:rPr>
        <w:t>. Paper forms will be made available upon request.</w:t>
      </w:r>
      <w:r w:rsidR="00266047">
        <w:rPr>
          <w:rFonts w:asciiTheme="minorHAnsi" w:hAnsiTheme="minorHAnsi" w:cstheme="minorHAnsi"/>
        </w:rPr>
        <w:t xml:space="preserve"> </w:t>
      </w:r>
    </w:p>
    <w:p w:rsidR="00AC323F" w:rsidRPr="003F28EF" w:rsidP="00201FF2" w14:paraId="6F6B4E63" w14:textId="77777777">
      <w:pPr>
        <w:rPr>
          <w:rFonts w:asciiTheme="minorHAnsi" w:hAnsiTheme="minorHAnsi" w:cstheme="minorHAnsi"/>
          <w:b/>
        </w:rPr>
      </w:pPr>
    </w:p>
    <w:p w:rsidR="00201FF2" w:rsidRPr="003F28EF" w:rsidP="003F28EF" w14:paraId="6ED0C672" w14:textId="73EEDB0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3F28EF">
        <w:rPr>
          <w:rFonts w:asciiTheme="minorHAnsi" w:hAnsiTheme="minorHAnsi" w:cstheme="minorHAnsi"/>
          <w:b/>
        </w:rPr>
        <w:t>Methods to Maximize Response Rates and Deal with Nonresponse</w:t>
      </w:r>
    </w:p>
    <w:p w:rsidR="00201FF2" w:rsidRPr="003F28EF" w:rsidP="00201FF2" w14:paraId="5A59F1C8" w14:textId="77777777">
      <w:pPr>
        <w:rPr>
          <w:rFonts w:asciiTheme="minorHAnsi" w:hAnsiTheme="minorHAnsi" w:cstheme="minorHAnsi"/>
          <w:b/>
        </w:rPr>
      </w:pPr>
    </w:p>
    <w:p w:rsidR="00201FF2" w:rsidRPr="003F28EF" w:rsidP="00201FF2" w14:paraId="479D74ED" w14:textId="2A1AB9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N/A</w:t>
      </w:r>
      <w:r w:rsidRPr="003F28E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This is a </w:t>
      </w:r>
      <w:r w:rsidR="00E62801">
        <w:rPr>
          <w:rFonts w:asciiTheme="minorHAnsi" w:hAnsiTheme="minorHAnsi" w:cstheme="minorHAnsi"/>
        </w:rPr>
        <w:t xml:space="preserve">voluntary </w:t>
      </w:r>
      <w:r w:rsidR="00EC7586">
        <w:rPr>
          <w:rFonts w:asciiTheme="minorHAnsi" w:hAnsiTheme="minorHAnsi" w:cstheme="minorHAnsi"/>
        </w:rPr>
        <w:t>activity</w:t>
      </w:r>
      <w:r w:rsidR="00E62801">
        <w:rPr>
          <w:rFonts w:asciiTheme="minorHAnsi" w:hAnsiTheme="minorHAnsi" w:cstheme="minorHAnsi"/>
        </w:rPr>
        <w:t xml:space="preserve"> for children</w:t>
      </w:r>
      <w:r w:rsidR="00E36113">
        <w:rPr>
          <w:rFonts w:asciiTheme="minorHAnsi" w:hAnsiTheme="minorHAnsi" w:cstheme="minorHAnsi"/>
        </w:rPr>
        <w:t xml:space="preserve"> who apply to attend. As such, there is </w:t>
      </w:r>
      <w:r w:rsidR="003C2C30">
        <w:rPr>
          <w:rFonts w:asciiTheme="minorHAnsi" w:hAnsiTheme="minorHAnsi" w:cstheme="minorHAnsi"/>
        </w:rPr>
        <w:t xml:space="preserve">no nonresponse. </w:t>
      </w:r>
    </w:p>
    <w:p w:rsidR="00201FF2" w:rsidRPr="003F28EF" w:rsidP="00201FF2" w14:paraId="7E9B77D1" w14:textId="77777777">
      <w:pPr>
        <w:rPr>
          <w:rFonts w:asciiTheme="minorHAnsi" w:hAnsiTheme="minorHAnsi" w:cstheme="minorHAnsi"/>
          <w:b/>
        </w:rPr>
      </w:pPr>
    </w:p>
    <w:p w:rsidR="00201FF2" w:rsidRPr="00E11EC8" w:rsidP="00201FF2" w14:paraId="684ED9C8" w14:textId="46DDAE16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11EC8">
        <w:rPr>
          <w:rFonts w:asciiTheme="minorHAnsi" w:hAnsiTheme="minorHAnsi" w:cstheme="minorHAnsi"/>
          <w:b/>
        </w:rPr>
        <w:t>Tests of Procedures or Methods to be Undertaken</w:t>
      </w:r>
      <w:r w:rsidR="00E11EC8">
        <w:rPr>
          <w:rFonts w:asciiTheme="minorHAnsi" w:hAnsiTheme="minorHAnsi" w:cstheme="minorHAnsi"/>
          <w:b/>
        </w:rPr>
        <w:t xml:space="preserve"> </w:t>
      </w:r>
      <w:r w:rsidRPr="00E11EC8" w:rsidR="003C2C30">
        <w:rPr>
          <w:rFonts w:asciiTheme="minorHAnsi" w:hAnsiTheme="minorHAnsi" w:cstheme="minorHAnsi"/>
        </w:rPr>
        <w:t>N/A</w:t>
      </w:r>
    </w:p>
    <w:p w:rsidR="00201FF2" w:rsidRPr="003F28EF" w:rsidP="00201FF2" w14:paraId="3405CAB6" w14:textId="77777777">
      <w:pPr>
        <w:rPr>
          <w:rFonts w:asciiTheme="minorHAnsi" w:hAnsiTheme="minorHAnsi" w:cstheme="minorHAnsi"/>
          <w:b/>
        </w:rPr>
      </w:pPr>
    </w:p>
    <w:p w:rsidR="00201FF2" w:rsidRPr="003F28EF" w:rsidP="003F28EF" w14:paraId="5D3E8806" w14:textId="05CA86E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3F28EF">
        <w:rPr>
          <w:rFonts w:asciiTheme="minorHAnsi" w:hAnsiTheme="minorHAnsi" w:cstheme="minorHAnsi"/>
          <w:b/>
        </w:rPr>
        <w:t>Individuals consulted on Statistical Aspects and Individuals Collecting and/or Analyzing    Data</w:t>
      </w:r>
    </w:p>
    <w:p w:rsidR="00781DEA" w:rsidRPr="003F28EF" w:rsidP="00201FF2" w14:paraId="42F53B33" w14:textId="77777777">
      <w:pPr>
        <w:rPr>
          <w:rFonts w:asciiTheme="minorHAnsi" w:hAnsiTheme="minorHAnsi" w:cstheme="minorHAnsi"/>
        </w:rPr>
      </w:pPr>
    </w:p>
    <w:p w:rsidR="00201FF2" w:rsidP="00201FF2" w14:paraId="54ECF861" w14:textId="5519B074">
      <w:pPr>
        <w:rPr>
          <w:rFonts w:asciiTheme="minorHAnsi" w:hAnsiTheme="minorHAnsi" w:cstheme="minorHAnsi"/>
        </w:rPr>
      </w:pPr>
      <w:r w:rsidRPr="00AE34F6">
        <w:rPr>
          <w:rFonts w:asciiTheme="minorHAnsi" w:hAnsiTheme="minorHAnsi" w:cstheme="minorHAnsi"/>
        </w:rPr>
        <w:t>N/A</w:t>
      </w:r>
      <w:r w:rsidR="00505CCE">
        <w:rPr>
          <w:rFonts w:asciiTheme="minorHAnsi" w:hAnsiTheme="minorHAnsi" w:cstheme="minorHAnsi"/>
        </w:rPr>
        <w:t xml:space="preserve">. Statistical consultation </w:t>
      </w:r>
      <w:r w:rsidR="00F4643F">
        <w:rPr>
          <w:rFonts w:asciiTheme="minorHAnsi" w:hAnsiTheme="minorHAnsi" w:cstheme="minorHAnsi"/>
        </w:rPr>
        <w:t>is not necessary for th</w:t>
      </w:r>
      <w:r w:rsidR="00B12A61">
        <w:rPr>
          <w:rFonts w:asciiTheme="minorHAnsi" w:hAnsiTheme="minorHAnsi" w:cstheme="minorHAnsi"/>
        </w:rPr>
        <w:t xml:space="preserve">is type of </w:t>
      </w:r>
      <w:r w:rsidR="00F4643F">
        <w:rPr>
          <w:rFonts w:asciiTheme="minorHAnsi" w:hAnsiTheme="minorHAnsi" w:cstheme="minorHAnsi"/>
        </w:rPr>
        <w:t>data collection</w:t>
      </w:r>
      <w:r w:rsidR="00E11EC8">
        <w:rPr>
          <w:rFonts w:asciiTheme="minorHAnsi" w:hAnsiTheme="minorHAnsi" w:cstheme="minorHAnsi"/>
        </w:rPr>
        <w:t xml:space="preserve"> activity</w:t>
      </w:r>
      <w:r w:rsidR="00B12A61">
        <w:rPr>
          <w:rFonts w:asciiTheme="minorHAnsi" w:hAnsiTheme="minorHAnsi" w:cstheme="minorHAnsi"/>
        </w:rPr>
        <w:t xml:space="preserve">. </w:t>
      </w:r>
    </w:p>
    <w:p w:rsidR="00B12A61" w:rsidP="00201FF2" w14:paraId="631F4ECB" w14:textId="77777777">
      <w:pPr>
        <w:rPr>
          <w:rFonts w:asciiTheme="minorHAnsi" w:hAnsiTheme="minorHAnsi" w:cstheme="minorHAnsi"/>
        </w:rPr>
      </w:pPr>
    </w:p>
    <w:p w:rsidR="00201FF2" w:rsidRPr="003F28EF" w:rsidP="00201FF2" w14:paraId="22018DD0" w14:textId="7E7D853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CDC staff trained in </w:t>
      </w:r>
      <w:r w:rsidR="00874B08">
        <w:rPr>
          <w:rFonts w:asciiTheme="minorHAnsi" w:hAnsiTheme="minorHAnsi" w:cstheme="minorHAnsi"/>
        </w:rPr>
        <w:t xml:space="preserve">data </w:t>
      </w:r>
      <w:r w:rsidR="00F17070">
        <w:rPr>
          <w:rFonts w:asciiTheme="minorHAnsi" w:hAnsiTheme="minorHAnsi" w:cstheme="minorHAnsi"/>
        </w:rPr>
        <w:t xml:space="preserve">protections of privacy and </w:t>
      </w:r>
      <w:r w:rsidR="00874B08">
        <w:rPr>
          <w:rFonts w:asciiTheme="minorHAnsi" w:hAnsiTheme="minorHAnsi" w:cstheme="minorHAnsi"/>
        </w:rPr>
        <w:t xml:space="preserve">confidentiality </w:t>
      </w:r>
      <w:r w:rsidR="00F17070">
        <w:rPr>
          <w:rFonts w:asciiTheme="minorHAnsi" w:hAnsiTheme="minorHAnsi" w:cstheme="minorHAnsi"/>
        </w:rPr>
        <w:t xml:space="preserve">will manage </w:t>
      </w:r>
      <w:r w:rsidR="00E11EC8">
        <w:rPr>
          <w:rFonts w:asciiTheme="minorHAnsi" w:hAnsiTheme="minorHAnsi" w:cstheme="minorHAnsi"/>
        </w:rPr>
        <w:t xml:space="preserve">and process </w:t>
      </w:r>
      <w:r w:rsidR="00F17070">
        <w:rPr>
          <w:rFonts w:asciiTheme="minorHAnsi" w:hAnsiTheme="minorHAnsi" w:cstheme="minorHAnsi"/>
        </w:rPr>
        <w:t xml:space="preserve">all data </w:t>
      </w:r>
      <w:r w:rsidR="00E11EC8">
        <w:rPr>
          <w:rFonts w:asciiTheme="minorHAnsi" w:hAnsiTheme="minorHAnsi" w:cstheme="minorHAnsi"/>
        </w:rPr>
        <w:t xml:space="preserve">collected for this activity. </w:t>
      </w:r>
    </w:p>
    <w:p w:rsidR="00201FF2" w:rsidRPr="008778B6" w:rsidP="0089770E" w14:paraId="098B5C3F" w14:textId="77777777">
      <w:pPr>
        <w:widowControl/>
        <w:autoSpaceDE/>
        <w:autoSpaceDN/>
        <w:adjustRightInd/>
        <w:rPr>
          <w:rFonts w:asciiTheme="minorHAnsi" w:hAnsiTheme="minorHAnsi" w:cstheme="minorHAnsi"/>
          <w:b/>
          <w:u w:val="single"/>
        </w:rPr>
      </w:pPr>
      <w:r w:rsidRPr="003F28EF">
        <w:rPr>
          <w:rFonts w:asciiTheme="minorHAnsi" w:hAnsiTheme="minorHAnsi" w:cstheme="minorHAnsi"/>
          <w:b/>
        </w:rPr>
        <w:br w:type="page"/>
      </w:r>
      <w:r w:rsidRPr="008778B6">
        <w:rPr>
          <w:rFonts w:asciiTheme="minorHAnsi" w:hAnsiTheme="minorHAnsi" w:cstheme="minorHAnsi"/>
          <w:b/>
          <w:u w:val="single"/>
        </w:rPr>
        <w:t>Attachments</w:t>
      </w:r>
    </w:p>
    <w:p w:rsidR="00201FF2" w:rsidRPr="003F28EF" w:rsidP="00201FF2" w14:paraId="425E95AF" w14:textId="77777777">
      <w:pPr>
        <w:rPr>
          <w:rFonts w:asciiTheme="minorHAnsi" w:hAnsiTheme="minorHAnsi" w:cstheme="minorHAnsi"/>
          <w:b/>
        </w:rPr>
      </w:pPr>
    </w:p>
    <w:p w:rsidR="16064F6D" w:rsidP="553365CB" w14:paraId="073F0DC1" w14:textId="0E34CA01">
      <w:pPr>
        <w:rPr>
          <w:rFonts w:ascii="Calibri" w:eastAsia="Calibri" w:hAnsi="Calibri" w:cs="Calibri"/>
          <w:color w:val="000000" w:themeColor="text1"/>
        </w:rPr>
      </w:pPr>
      <w:r w:rsidRPr="553365CB">
        <w:rPr>
          <w:rFonts w:ascii="Calibri" w:eastAsia="Calibri" w:hAnsi="Calibri" w:cs="Calibri"/>
          <w:b/>
          <w:bCs/>
          <w:color w:val="000000" w:themeColor="text1"/>
        </w:rPr>
        <w:t>Attachment A.</w:t>
      </w:r>
      <w:r w:rsidRPr="553365CB">
        <w:rPr>
          <w:rFonts w:ascii="Calibri" w:eastAsia="Calibri" w:hAnsi="Calibri" w:cs="Calibri"/>
          <w:color w:val="000000" w:themeColor="text1"/>
        </w:rPr>
        <w:t xml:space="preserve"> Authorizing Legislation</w:t>
      </w:r>
      <w:r w:rsidRPr="553365CB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:rsidR="16064F6D" w:rsidP="553365CB" w14:paraId="00654A10" w14:textId="3E3C1D37">
      <w:pPr>
        <w:rPr>
          <w:rFonts w:ascii="Calibri" w:eastAsia="Calibri" w:hAnsi="Calibri" w:cs="Calibri"/>
          <w:color w:val="000000" w:themeColor="text1"/>
        </w:rPr>
      </w:pPr>
      <w:r w:rsidRPr="553365CB">
        <w:rPr>
          <w:rFonts w:ascii="Calibri" w:eastAsia="Calibri" w:hAnsi="Calibri" w:cs="Calibri"/>
          <w:b/>
          <w:bCs/>
          <w:color w:val="000000" w:themeColor="text1"/>
        </w:rPr>
        <w:t>Attachment B.</w:t>
      </w:r>
      <w:r w:rsidRPr="553365CB">
        <w:rPr>
          <w:rFonts w:ascii="Calibri" w:eastAsia="Calibri" w:hAnsi="Calibri" w:cs="Calibri"/>
          <w:color w:val="000000" w:themeColor="text1"/>
        </w:rPr>
        <w:t xml:space="preserve"> Camper and Parent Application Form</w:t>
      </w:r>
    </w:p>
    <w:p w:rsidR="16064F6D" w:rsidP="553365CB" w14:paraId="386DEFE4" w14:textId="43012AEE">
      <w:pPr>
        <w:rPr>
          <w:rFonts w:ascii="Calibri" w:eastAsia="Calibri" w:hAnsi="Calibri" w:cs="Calibri"/>
          <w:color w:val="000000" w:themeColor="text1"/>
        </w:rPr>
      </w:pPr>
      <w:r w:rsidRPr="553365CB">
        <w:rPr>
          <w:rFonts w:ascii="Calibri" w:eastAsia="Calibri" w:hAnsi="Calibri" w:cs="Calibri"/>
          <w:b/>
          <w:bCs/>
          <w:color w:val="000000" w:themeColor="text1"/>
        </w:rPr>
        <w:t>Attachment C.</w:t>
      </w:r>
      <w:r w:rsidRPr="553365CB">
        <w:rPr>
          <w:rFonts w:ascii="Calibri" w:eastAsia="Calibri" w:hAnsi="Calibri" w:cs="Calibri"/>
          <w:color w:val="000000" w:themeColor="text1"/>
        </w:rPr>
        <w:t xml:space="preserve"> Teacher Recommendation Form</w:t>
      </w:r>
    </w:p>
    <w:p w:rsidR="16064F6D" w:rsidP="553365CB" w14:paraId="66E0F3D6" w14:textId="2E079E0E">
      <w:pPr>
        <w:rPr>
          <w:rFonts w:ascii="Calibri" w:eastAsia="Calibri" w:hAnsi="Calibri" w:cs="Calibri"/>
          <w:color w:val="000000" w:themeColor="text1"/>
        </w:rPr>
      </w:pPr>
      <w:r w:rsidRPr="553365CB">
        <w:rPr>
          <w:rFonts w:ascii="Calibri" w:eastAsia="Calibri" w:hAnsi="Calibri" w:cs="Calibri"/>
          <w:b/>
          <w:bCs/>
          <w:color w:val="000000" w:themeColor="text1"/>
        </w:rPr>
        <w:t>Attachment D</w:t>
      </w:r>
      <w:r w:rsidRPr="553365CB">
        <w:rPr>
          <w:rFonts w:ascii="Calibri" w:eastAsia="Calibri" w:hAnsi="Calibri" w:cs="Calibri"/>
          <w:color w:val="000000" w:themeColor="text1"/>
        </w:rPr>
        <w:t>. In-Person Camp Registration Form</w:t>
      </w:r>
    </w:p>
    <w:p w:rsidR="16064F6D" w:rsidP="553365CB" w14:paraId="5FDF2441" w14:textId="3DF8A600">
      <w:pPr>
        <w:rPr>
          <w:rFonts w:ascii="Calibri" w:eastAsia="Calibri" w:hAnsi="Calibri" w:cs="Calibri"/>
          <w:color w:val="000000" w:themeColor="text1"/>
        </w:rPr>
      </w:pPr>
      <w:r w:rsidRPr="553365CB">
        <w:rPr>
          <w:rFonts w:ascii="Calibri" w:eastAsia="Calibri" w:hAnsi="Calibri" w:cs="Calibri"/>
          <w:b/>
          <w:bCs/>
          <w:color w:val="000000" w:themeColor="text1"/>
        </w:rPr>
        <w:t>Attachment E.</w:t>
      </w:r>
      <w:r w:rsidRPr="553365CB">
        <w:rPr>
          <w:rFonts w:ascii="Calibri" w:eastAsia="Calibri" w:hAnsi="Calibri" w:cs="Calibri"/>
          <w:color w:val="000000" w:themeColor="text1"/>
        </w:rPr>
        <w:t xml:space="preserve"> Virtual Camp Registration Form</w:t>
      </w:r>
    </w:p>
    <w:p w:rsidR="16064F6D" w:rsidP="553365CB" w14:paraId="5A20B5F4" w14:textId="6C43EADF">
      <w:pPr>
        <w:rPr>
          <w:rFonts w:ascii="Calibri" w:eastAsia="Calibri" w:hAnsi="Calibri" w:cs="Calibri"/>
          <w:color w:val="000000" w:themeColor="text1"/>
        </w:rPr>
      </w:pPr>
      <w:r w:rsidRPr="553365CB">
        <w:rPr>
          <w:rFonts w:ascii="Calibri" w:eastAsia="Calibri" w:hAnsi="Calibri" w:cs="Calibri"/>
          <w:b/>
          <w:bCs/>
          <w:color w:val="000000" w:themeColor="text1"/>
        </w:rPr>
        <w:t>Attachment F.</w:t>
      </w:r>
      <w:r w:rsidRPr="553365CB">
        <w:rPr>
          <w:rFonts w:ascii="Calibri" w:eastAsia="Calibri" w:hAnsi="Calibri" w:cs="Calibri"/>
          <w:color w:val="000000" w:themeColor="text1"/>
        </w:rPr>
        <w:t xml:space="preserve"> Parent Evaluation Form</w:t>
      </w:r>
    </w:p>
    <w:p w:rsidR="16064F6D" w:rsidP="553365CB" w14:paraId="72CF20D8" w14:textId="5946BE90">
      <w:pPr>
        <w:rPr>
          <w:rFonts w:ascii="Calibri" w:eastAsia="Calibri" w:hAnsi="Calibri" w:cs="Calibri"/>
          <w:color w:val="000000" w:themeColor="text1"/>
        </w:rPr>
      </w:pPr>
      <w:r w:rsidRPr="553365CB">
        <w:rPr>
          <w:rFonts w:ascii="Calibri" w:eastAsia="Calibri" w:hAnsi="Calibri" w:cs="Calibri"/>
          <w:b/>
          <w:bCs/>
          <w:color w:val="000000" w:themeColor="text1"/>
        </w:rPr>
        <w:t>Attachment G.</w:t>
      </w:r>
      <w:r w:rsidRPr="553365CB">
        <w:rPr>
          <w:rFonts w:ascii="Calibri" w:eastAsia="Calibri" w:hAnsi="Calibri" w:cs="Calibri"/>
          <w:color w:val="000000" w:themeColor="text1"/>
        </w:rPr>
        <w:t xml:space="preserve"> Student Evaluation Form</w:t>
      </w:r>
    </w:p>
    <w:p w:rsidR="16064F6D" w:rsidP="553365CB" w14:paraId="028D4BC7" w14:textId="076C0110">
      <w:pPr>
        <w:rPr>
          <w:rFonts w:ascii="Calibri" w:eastAsia="Calibri" w:hAnsi="Calibri" w:cs="Calibri"/>
          <w:color w:val="000000" w:themeColor="text1"/>
        </w:rPr>
      </w:pPr>
      <w:r w:rsidRPr="553365CB">
        <w:rPr>
          <w:rFonts w:ascii="Calibri" w:eastAsia="Calibri" w:hAnsi="Calibri" w:cs="Calibri"/>
          <w:b/>
          <w:bCs/>
          <w:color w:val="000000" w:themeColor="text1"/>
        </w:rPr>
        <w:t>Attachment H.</w:t>
      </w:r>
      <w:r w:rsidRPr="553365CB">
        <w:rPr>
          <w:rFonts w:ascii="Calibri" w:eastAsia="Calibri" w:hAnsi="Calibri" w:cs="Calibri"/>
          <w:color w:val="000000" w:themeColor="text1"/>
        </w:rPr>
        <w:t xml:space="preserve"> NCHS Human Subject Research Determination Memorandum</w:t>
      </w:r>
    </w:p>
    <w:p w:rsidR="16064F6D" w:rsidP="553365CB" w14:paraId="0BCFB525" w14:textId="7841B64A">
      <w:pPr>
        <w:rPr>
          <w:rFonts w:ascii="Calibri" w:eastAsia="Calibri" w:hAnsi="Calibri" w:cs="Calibri"/>
          <w:color w:val="000000" w:themeColor="text1"/>
        </w:rPr>
      </w:pPr>
      <w:r w:rsidRPr="553365CB">
        <w:rPr>
          <w:rFonts w:ascii="Calibri" w:eastAsia="Calibri" w:hAnsi="Calibri" w:cs="Calibri"/>
          <w:b/>
          <w:bCs/>
          <w:color w:val="000000" w:themeColor="text1"/>
        </w:rPr>
        <w:t>Attachment I.</w:t>
      </w:r>
      <w:r w:rsidRPr="553365CB">
        <w:rPr>
          <w:rFonts w:ascii="Calibri" w:eastAsia="Calibri" w:hAnsi="Calibri" w:cs="Calibri"/>
          <w:color w:val="000000" w:themeColor="text1"/>
        </w:rPr>
        <w:t xml:space="preserve"> 60-day Federal Register Notice</w:t>
      </w:r>
    </w:p>
    <w:p w:rsidR="553365CB" w:rsidP="553365CB" w14:paraId="0294B50D" w14:textId="6A1CCCA9">
      <w:pPr>
        <w:rPr>
          <w:rFonts w:asciiTheme="minorHAnsi" w:hAnsiTheme="minorHAnsi" w:cstheme="minorBidi"/>
        </w:rPr>
      </w:pPr>
    </w:p>
    <w:sectPr w:rsidSect="00275B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317623970"/>
      <w:docPartObj>
        <w:docPartGallery w:val="Page Numbers (Bottom of Page)"/>
        <w:docPartUnique/>
      </w:docPartObj>
    </w:sdtPr>
    <w:sdtContent>
      <w:p w:rsidR="00DA4023" w14:paraId="083B54B8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1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023" w14:paraId="672DC52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F87CE6"/>
    <w:multiLevelType w:val="hybridMultilevel"/>
    <w:tmpl w:val="37983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232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F2"/>
    <w:rsid w:val="000127F9"/>
    <w:rsid w:val="0002044D"/>
    <w:rsid w:val="00061C19"/>
    <w:rsid w:val="00083712"/>
    <w:rsid w:val="00087BD9"/>
    <w:rsid w:val="000B0295"/>
    <w:rsid w:val="000C1D8A"/>
    <w:rsid w:val="000F4D7A"/>
    <w:rsid w:val="0015223D"/>
    <w:rsid w:val="001D4BEC"/>
    <w:rsid w:val="001E2C56"/>
    <w:rsid w:val="001F17AC"/>
    <w:rsid w:val="00201FF2"/>
    <w:rsid w:val="0022783B"/>
    <w:rsid w:val="0024631C"/>
    <w:rsid w:val="00266047"/>
    <w:rsid w:val="00275B38"/>
    <w:rsid w:val="00275B74"/>
    <w:rsid w:val="002958D9"/>
    <w:rsid w:val="00310E40"/>
    <w:rsid w:val="00320A96"/>
    <w:rsid w:val="003424F2"/>
    <w:rsid w:val="003436BB"/>
    <w:rsid w:val="0034417C"/>
    <w:rsid w:val="003650CF"/>
    <w:rsid w:val="003C2C30"/>
    <w:rsid w:val="003C6101"/>
    <w:rsid w:val="003C7C06"/>
    <w:rsid w:val="003F28EF"/>
    <w:rsid w:val="004671DD"/>
    <w:rsid w:val="00502E4C"/>
    <w:rsid w:val="00505CCE"/>
    <w:rsid w:val="005D6346"/>
    <w:rsid w:val="00621FB6"/>
    <w:rsid w:val="00660F7C"/>
    <w:rsid w:val="00680900"/>
    <w:rsid w:val="006C0FB9"/>
    <w:rsid w:val="006C7553"/>
    <w:rsid w:val="006E5720"/>
    <w:rsid w:val="00710642"/>
    <w:rsid w:val="0071428F"/>
    <w:rsid w:val="00767FAF"/>
    <w:rsid w:val="00781DEA"/>
    <w:rsid w:val="007E2325"/>
    <w:rsid w:val="007E7009"/>
    <w:rsid w:val="007E78E5"/>
    <w:rsid w:val="00815750"/>
    <w:rsid w:val="00874B08"/>
    <w:rsid w:val="008778B6"/>
    <w:rsid w:val="00886867"/>
    <w:rsid w:val="0089770E"/>
    <w:rsid w:val="008A2CD1"/>
    <w:rsid w:val="009429BE"/>
    <w:rsid w:val="00963D23"/>
    <w:rsid w:val="00993001"/>
    <w:rsid w:val="009939B5"/>
    <w:rsid w:val="009C1328"/>
    <w:rsid w:val="009D1B73"/>
    <w:rsid w:val="00A140FD"/>
    <w:rsid w:val="00A457ED"/>
    <w:rsid w:val="00AC323F"/>
    <w:rsid w:val="00AE34F6"/>
    <w:rsid w:val="00B011EB"/>
    <w:rsid w:val="00B12A61"/>
    <w:rsid w:val="00B47B0E"/>
    <w:rsid w:val="00B56473"/>
    <w:rsid w:val="00B650FA"/>
    <w:rsid w:val="00B76F93"/>
    <w:rsid w:val="00B9077C"/>
    <w:rsid w:val="00C26418"/>
    <w:rsid w:val="00C33BF0"/>
    <w:rsid w:val="00C51733"/>
    <w:rsid w:val="00C8098A"/>
    <w:rsid w:val="00C817E4"/>
    <w:rsid w:val="00C9762D"/>
    <w:rsid w:val="00D10B0C"/>
    <w:rsid w:val="00D3518E"/>
    <w:rsid w:val="00D402B4"/>
    <w:rsid w:val="00D407D5"/>
    <w:rsid w:val="00D6790D"/>
    <w:rsid w:val="00DA4023"/>
    <w:rsid w:val="00E11EC8"/>
    <w:rsid w:val="00E31815"/>
    <w:rsid w:val="00E3349D"/>
    <w:rsid w:val="00E36113"/>
    <w:rsid w:val="00E62801"/>
    <w:rsid w:val="00EC7586"/>
    <w:rsid w:val="00ED4D1C"/>
    <w:rsid w:val="00ED4EB6"/>
    <w:rsid w:val="00EE4127"/>
    <w:rsid w:val="00F17070"/>
    <w:rsid w:val="00F276A8"/>
    <w:rsid w:val="00F4643F"/>
    <w:rsid w:val="00F65109"/>
    <w:rsid w:val="00F816DF"/>
    <w:rsid w:val="00F83F60"/>
    <w:rsid w:val="00FB02F7"/>
    <w:rsid w:val="0949A778"/>
    <w:rsid w:val="16064F6D"/>
    <w:rsid w:val="18ECC1A3"/>
    <w:rsid w:val="20BDFE05"/>
    <w:rsid w:val="23221FC8"/>
    <w:rsid w:val="25A5A46B"/>
    <w:rsid w:val="307227CF"/>
    <w:rsid w:val="32BD473F"/>
    <w:rsid w:val="3AE736EA"/>
    <w:rsid w:val="42CFE58E"/>
    <w:rsid w:val="4A240238"/>
    <w:rsid w:val="4E9E047A"/>
    <w:rsid w:val="553365CB"/>
    <w:rsid w:val="5ECCD027"/>
    <w:rsid w:val="752BDDB2"/>
    <w:rsid w:val="78835168"/>
    <w:rsid w:val="7FFBFE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A51951"/>
  <w15:docId w15:val="{F7522970-FCD2-46EA-A96F-3FFC34BA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F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631C"/>
    <w:rPr>
      <w:color w:val="8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0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02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6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8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86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86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8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86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28EF"/>
    <w:pPr>
      <w:ind w:left="720"/>
      <w:contextualSpacing/>
    </w:pPr>
  </w:style>
  <w:style w:type="paragraph" w:styleId="Revision">
    <w:name w:val="Revision"/>
    <w:hidden/>
    <w:uiPriority w:val="99"/>
    <w:semiHidden/>
    <w:rsid w:val="0031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RPaulose@cdc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5B51680A9944AA9BA3C07468511C9" ma:contentTypeVersion="3" ma:contentTypeDescription="Create a new document." ma:contentTypeScope="" ma:versionID="2a2e49db14c21ecc9058ff0dc8fe0af8">
  <xsd:schema xmlns:xsd="http://www.w3.org/2001/XMLSchema" xmlns:xs="http://www.w3.org/2001/XMLSchema" xmlns:p="http://schemas.microsoft.com/office/2006/metadata/properties" xmlns:ns2="8d9aba49-0b2d-4cc1-a0cd-3a53f65dc42e" xmlns:ns3="87b4b848-9963-4245-9a25-bfa05277556f" targetNamespace="http://schemas.microsoft.com/office/2006/metadata/properties" ma:root="true" ma:fieldsID="dd0591a17523f783327377db48bcc286" ns2:_="" ns3:_="">
    <xsd:import namespace="8d9aba49-0b2d-4cc1-a0cd-3a53f65dc42e"/>
    <xsd:import namespace="87b4b848-9963-4245-9a25-bfa0527755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4b848-9963-4245-9a25-bfa052775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MQ3NJPM7XP6Q-259975688-293</_dlc_DocId>
    <_dlc_DocIdUrl xmlns="8d9aba49-0b2d-4cc1-a0cd-3a53f65dc42e">
      <Url>https://cdc.sharepoint.com/sites/NCHS-bizops/clearance/_layouts/15/DocIdRedir.aspx?ID=MQ3NJPM7XP6Q-259975688-293</Url>
      <Description>MQ3NJPM7XP6Q-259975688-293</Description>
    </_dlc_DocIdUrl>
  </documentManagement>
</p:properties>
</file>

<file path=customXml/itemProps1.xml><?xml version="1.0" encoding="utf-8"?>
<ds:datastoreItem xmlns:ds="http://schemas.openxmlformats.org/officeDocument/2006/customXml" ds:itemID="{ED0C4EFF-D3AD-407A-82B1-D2638E3D8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aba49-0b2d-4cc1-a0cd-3a53f65dc42e"/>
    <ds:schemaRef ds:uri="87b4b848-9963-4245-9a25-bfa052775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F361A-14D7-493F-A0CA-B8D6481090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98005D-D715-4EFB-8B41-2919C0EA60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DA16A6-CBE1-4953-ADE3-CDD97AE9CA27}">
  <ds:schemaRefs>
    <ds:schemaRef ds:uri="http://schemas.microsoft.com/office/2006/metadata/properties"/>
    <ds:schemaRef ds:uri="http://schemas.microsoft.com/office/infopath/2007/PartnerControls"/>
    <ds:schemaRef ds:uri="8d9aba49-0b2d-4cc1-a0cd-3a53f65dc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2494</Characters>
  <Application>Microsoft Office Word</Application>
  <DocSecurity>0</DocSecurity>
  <Lines>83</Lines>
  <Paragraphs>44</Paragraphs>
  <ScaleCrop>false</ScaleCrop>
  <Company>CDC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mxm3</dc:creator>
  <cp:lastModifiedBy>Joyce, Kevin J. (CDC/OD/OS)</cp:lastModifiedBy>
  <cp:revision>3</cp:revision>
  <dcterms:created xsi:type="dcterms:W3CDTF">2026-07-06T13:27:00Z</dcterms:created>
  <dcterms:modified xsi:type="dcterms:W3CDTF">2026-07-06T13:28:00Z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0x010100A465B51680A9944AA9BA3C07468511C9</vt:lpwstr>
  </property>
  <property fmtid="{D5CDD505-2E9C-101B-9397-08002B2CF9AE}" pid="3" name="docLang">
    <vt:lpwstr>en</vt:lpwstr>
  </property>
  <property fmtid="{D5CDD505-2E9C-101B-9397-08002B2CF9AE}" pid="4" name="MSIP_Label_7b94a7b8-f06c-4dfe-bdcc-9b548fd58c31_ActionId">
    <vt:lpwstr>134508ce-0646-484c-a2f4-b596c6494150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2025-09-29T18:27:39Z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MSIP_Label_7b94a7b8-f06c-4dfe-bdcc-9b548fd58c31_Tag">
    <vt:lpwstr>10, 0, 1, 1</vt:lpwstr>
  </property>
  <property fmtid="{D5CDD505-2E9C-101B-9397-08002B2CF9AE}" pid="12" name="_dlc_DocIdItemGuid">
    <vt:lpwstr>eb0d82c2-895d-47c4-92c4-501be2f75d5d</vt:lpwstr>
  </property>
</Properties>
</file>