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52E6E" w:rsidRPr="00D515FB" w:rsidP="00352E6E" w14:paraId="0A6A9830" w14:textId="77777777">
      <w:pPr>
        <w:rPr>
          <w:rFonts w:ascii="Times New Roman" w:hAnsi="Times New Roman"/>
          <w:sz w:val="24"/>
          <w:szCs w:val="24"/>
        </w:rPr>
      </w:pPr>
    </w:p>
    <w:p w:rsidR="00352E6E" w:rsidRPr="00D515FB" w:rsidP="00352E6E" w14:paraId="365D2216" w14:textId="77777777">
      <w:pPr>
        <w:spacing w:after="0" w:line="240" w:lineRule="auto"/>
        <w:jc w:val="center"/>
        <w:outlineLvl w:val="0"/>
        <w:rPr>
          <w:rFonts w:ascii="Times New Roman" w:hAnsi="Times New Roman"/>
          <w:b/>
          <w:bCs/>
          <w:sz w:val="24"/>
          <w:szCs w:val="24"/>
        </w:rPr>
      </w:pPr>
    </w:p>
    <w:p w:rsidR="00352E6E" w:rsidRPr="00D515FB" w:rsidP="00352E6E" w14:paraId="2DF165C2" w14:textId="77777777">
      <w:pPr>
        <w:spacing w:after="0" w:line="240" w:lineRule="auto"/>
        <w:jc w:val="center"/>
        <w:outlineLvl w:val="0"/>
        <w:rPr>
          <w:rFonts w:ascii="Times New Roman" w:hAnsi="Times New Roman"/>
          <w:b/>
          <w:bCs/>
          <w:sz w:val="24"/>
          <w:szCs w:val="24"/>
        </w:rPr>
      </w:pPr>
    </w:p>
    <w:p w:rsidR="00352E6E" w:rsidP="00352E6E" w14:paraId="20D98D0F" w14:textId="77777777">
      <w:pPr>
        <w:keepNext/>
        <w:keepLines/>
        <w:jc w:val="center"/>
        <w:outlineLvl w:val="6"/>
        <w:rPr>
          <w:rFonts w:asciiTheme="majorHAnsi" w:eastAsiaTheme="majorEastAsia" w:hAnsiTheme="majorHAnsi" w:cstheme="majorBidi"/>
          <w:i/>
          <w:iCs/>
          <w:color w:val="404040" w:themeColor="text1" w:themeTint="BF"/>
          <w:sz w:val="28"/>
          <w:szCs w:val="28"/>
        </w:rPr>
      </w:pPr>
      <w:r w:rsidRPr="00EA366E">
        <w:rPr>
          <w:rFonts w:eastAsiaTheme="majorEastAsia"/>
          <w:b/>
          <w:i/>
          <w:iCs/>
          <w:color w:val="404040" w:themeColor="text1" w:themeTint="BF"/>
          <w:sz w:val="28"/>
          <w:szCs w:val="28"/>
        </w:rPr>
        <w:t xml:space="preserve">SUPPORTING STATEMENT:  </w:t>
      </w:r>
      <w:r>
        <w:rPr>
          <w:rFonts w:asciiTheme="majorHAnsi" w:eastAsiaTheme="majorEastAsia" w:hAnsiTheme="majorHAnsi" w:cstheme="majorBidi"/>
          <w:i/>
          <w:iCs/>
          <w:color w:val="404040" w:themeColor="text1" w:themeTint="BF"/>
          <w:sz w:val="28"/>
          <w:szCs w:val="28"/>
        </w:rPr>
        <w:t>PART B</w:t>
      </w:r>
    </w:p>
    <w:p w:rsidR="00352E6E" w:rsidRPr="00EA366E" w:rsidP="00352E6E" w14:paraId="55053A29" w14:textId="77777777">
      <w:pPr>
        <w:keepNext/>
        <w:keepLines/>
        <w:jc w:val="center"/>
        <w:outlineLvl w:val="6"/>
        <w:rPr>
          <w:rFonts w:asciiTheme="majorHAnsi" w:eastAsiaTheme="majorEastAsia" w:hAnsiTheme="majorHAnsi" w:cstheme="majorBidi"/>
          <w:i/>
          <w:iCs/>
          <w:color w:val="404040" w:themeColor="text1" w:themeTint="BF"/>
          <w:sz w:val="28"/>
          <w:szCs w:val="28"/>
        </w:rPr>
      </w:pPr>
    </w:p>
    <w:p w:rsidR="00352E6E" w:rsidP="00352E6E" w14:paraId="44951C33" w14:textId="77777777">
      <w:pPr>
        <w:jc w:val="center"/>
        <w:rPr>
          <w:b/>
          <w:sz w:val="24"/>
          <w:szCs w:val="24"/>
        </w:rPr>
      </w:pPr>
    </w:p>
    <w:p w:rsidR="00352E6E" w:rsidRPr="00B73C3C" w:rsidP="00352E6E" w14:paraId="27679A2F" w14:textId="286D13C7">
      <w:pPr>
        <w:jc w:val="center"/>
        <w:rPr>
          <w:rFonts w:ascii="Times New Roman" w:hAnsi="Times New Roman"/>
          <w:b/>
          <w:sz w:val="24"/>
          <w:szCs w:val="24"/>
        </w:rPr>
      </w:pPr>
      <w:r>
        <w:rPr>
          <w:rFonts w:ascii="Times New Roman" w:hAnsi="Times New Roman"/>
          <w:b/>
          <w:sz w:val="24"/>
          <w:szCs w:val="24"/>
        </w:rPr>
        <w:t>Public Health</w:t>
      </w:r>
      <w:r w:rsidR="00BF1E3D">
        <w:rPr>
          <w:rFonts w:ascii="Times New Roman" w:hAnsi="Times New Roman"/>
          <w:b/>
          <w:sz w:val="24"/>
          <w:szCs w:val="24"/>
        </w:rPr>
        <w:t>/</w:t>
      </w:r>
      <w:r>
        <w:rPr>
          <w:rFonts w:ascii="Times New Roman" w:hAnsi="Times New Roman"/>
          <w:b/>
          <w:sz w:val="24"/>
          <w:szCs w:val="24"/>
        </w:rPr>
        <w:t>Public Safety Strategies to Reduce Drug Overdose</w:t>
      </w:r>
      <w:r w:rsidR="00BF1E3D">
        <w:rPr>
          <w:rFonts w:ascii="Times New Roman" w:hAnsi="Times New Roman"/>
          <w:b/>
          <w:sz w:val="24"/>
          <w:szCs w:val="24"/>
        </w:rPr>
        <w:t>: Data Collection</w:t>
      </w:r>
    </w:p>
    <w:p w:rsidR="00352E6E" w:rsidRPr="00B73C3C" w:rsidP="00352E6E" w14:paraId="4C92C5C1" w14:textId="77777777">
      <w:pPr>
        <w:jc w:val="center"/>
        <w:rPr>
          <w:rFonts w:ascii="Times New Roman" w:hAnsi="Times New Roman"/>
          <w:sz w:val="24"/>
          <w:szCs w:val="24"/>
        </w:rPr>
      </w:pPr>
    </w:p>
    <w:p w:rsidR="00352E6E" w:rsidRPr="00B73C3C" w:rsidP="00352E6E" w14:paraId="35B95E4C" w14:textId="77777777">
      <w:pPr>
        <w:jc w:val="center"/>
        <w:rPr>
          <w:rFonts w:ascii="Times New Roman" w:hAnsi="Times New Roman"/>
          <w:sz w:val="24"/>
          <w:szCs w:val="24"/>
        </w:rPr>
      </w:pPr>
    </w:p>
    <w:p w:rsidR="00352E6E" w:rsidRPr="00B73C3C" w:rsidP="00352E6E" w14:paraId="236353A4" w14:textId="77777777">
      <w:pPr>
        <w:jc w:val="center"/>
        <w:rPr>
          <w:rFonts w:ascii="Times New Roman" w:hAnsi="Times New Roman"/>
          <w:sz w:val="24"/>
          <w:szCs w:val="24"/>
        </w:rPr>
      </w:pPr>
    </w:p>
    <w:p w:rsidR="00352E6E" w:rsidRPr="00B73C3C" w:rsidP="00352E6E" w14:paraId="348C7FBD" w14:textId="2A40375E">
      <w:pPr>
        <w:jc w:val="center"/>
        <w:rPr>
          <w:rFonts w:ascii="Times New Roman" w:hAnsi="Times New Roman"/>
          <w:b/>
          <w:sz w:val="24"/>
          <w:szCs w:val="24"/>
        </w:rPr>
      </w:pPr>
      <w:r w:rsidRPr="00B73C3C">
        <w:rPr>
          <w:rFonts w:ascii="Times New Roman" w:hAnsi="Times New Roman"/>
          <w:b/>
          <w:sz w:val="24"/>
          <w:szCs w:val="24"/>
        </w:rPr>
        <w:t xml:space="preserve">OMB# </w:t>
      </w:r>
      <w:r w:rsidR="009E43A9">
        <w:rPr>
          <w:rFonts w:ascii="Times New Roman" w:hAnsi="Times New Roman"/>
          <w:b/>
          <w:sz w:val="24"/>
          <w:szCs w:val="24"/>
        </w:rPr>
        <w:t>0920-1419</w:t>
      </w:r>
    </w:p>
    <w:p w:rsidR="00352E6E" w:rsidRPr="00B73C3C" w:rsidP="00352E6E" w14:paraId="0D0D423E" w14:textId="77777777">
      <w:pPr>
        <w:jc w:val="center"/>
        <w:rPr>
          <w:rFonts w:ascii="Times New Roman" w:hAnsi="Times New Roman"/>
          <w:sz w:val="24"/>
          <w:szCs w:val="24"/>
        </w:rPr>
      </w:pPr>
    </w:p>
    <w:p w:rsidR="00352E6E" w:rsidRPr="00782B71" w:rsidP="00352E6E" w14:paraId="3C485536" w14:textId="55800E17">
      <w:pPr>
        <w:jc w:val="center"/>
        <w:rPr>
          <w:sz w:val="24"/>
          <w:szCs w:val="24"/>
        </w:rPr>
      </w:pPr>
      <w:r>
        <w:rPr>
          <w:sz w:val="24"/>
          <w:szCs w:val="24"/>
        </w:rPr>
        <w:fldChar w:fldCharType="begin"/>
      </w:r>
      <w:r>
        <w:rPr>
          <w:sz w:val="24"/>
          <w:szCs w:val="24"/>
        </w:rPr>
        <w:instrText xml:space="preserve"> DATE \@ "MMMM d, yyyy" </w:instrText>
      </w:r>
      <w:r>
        <w:rPr>
          <w:sz w:val="24"/>
          <w:szCs w:val="24"/>
        </w:rPr>
        <w:fldChar w:fldCharType="separate"/>
      </w:r>
      <w:r w:rsidR="00154AE8">
        <w:rPr>
          <w:noProof/>
          <w:sz w:val="24"/>
          <w:szCs w:val="24"/>
        </w:rPr>
        <w:t>June 15, 2026</w:t>
      </w:r>
      <w:r>
        <w:rPr>
          <w:sz w:val="24"/>
          <w:szCs w:val="24"/>
        </w:rPr>
        <w:fldChar w:fldCharType="end"/>
      </w:r>
    </w:p>
    <w:p w:rsidR="00352E6E" w:rsidP="00352E6E" w14:paraId="3DF9CDF6" w14:textId="77777777">
      <w:pPr>
        <w:jc w:val="center"/>
        <w:rPr>
          <w:sz w:val="24"/>
          <w:szCs w:val="24"/>
        </w:rPr>
      </w:pPr>
    </w:p>
    <w:p w:rsidR="003875E3" w:rsidP="00352E6E" w14:paraId="56DDD1FA" w14:textId="77777777">
      <w:pPr>
        <w:jc w:val="center"/>
        <w:rPr>
          <w:sz w:val="24"/>
          <w:szCs w:val="24"/>
        </w:rPr>
      </w:pPr>
    </w:p>
    <w:p w:rsidR="003875E3" w:rsidP="00352E6E" w14:paraId="5064178C" w14:textId="77777777">
      <w:pPr>
        <w:jc w:val="center"/>
        <w:rPr>
          <w:sz w:val="24"/>
          <w:szCs w:val="24"/>
        </w:rPr>
      </w:pPr>
    </w:p>
    <w:p w:rsidR="003875E3" w:rsidP="00352E6E" w14:paraId="77E159A2" w14:textId="77777777">
      <w:pPr>
        <w:jc w:val="center"/>
        <w:rPr>
          <w:sz w:val="24"/>
          <w:szCs w:val="24"/>
        </w:rPr>
      </w:pPr>
    </w:p>
    <w:p w:rsidR="003875E3" w:rsidP="00352E6E" w14:paraId="75CE440D" w14:textId="77777777">
      <w:pPr>
        <w:jc w:val="center"/>
        <w:rPr>
          <w:sz w:val="24"/>
          <w:szCs w:val="24"/>
        </w:rPr>
      </w:pPr>
    </w:p>
    <w:p w:rsidR="003875E3" w:rsidP="00352E6E" w14:paraId="65012F51" w14:textId="77777777">
      <w:pPr>
        <w:jc w:val="center"/>
        <w:rPr>
          <w:sz w:val="24"/>
          <w:szCs w:val="24"/>
        </w:rPr>
      </w:pPr>
    </w:p>
    <w:p w:rsidR="003875E3" w:rsidRPr="00782B71" w:rsidP="00352E6E" w14:paraId="5093A393" w14:textId="77777777">
      <w:pPr>
        <w:jc w:val="center"/>
        <w:rPr>
          <w:sz w:val="24"/>
          <w:szCs w:val="24"/>
        </w:rPr>
      </w:pPr>
    </w:p>
    <w:p w:rsidR="00352E6E" w:rsidRPr="00B436C1" w:rsidP="00DE4A58" w14:paraId="335F2BF0" w14:textId="77777777">
      <w:pPr>
        <w:rPr>
          <w:sz w:val="24"/>
          <w:szCs w:val="24"/>
        </w:rPr>
      </w:pPr>
      <w:r w:rsidRPr="00B436C1">
        <w:rPr>
          <w:sz w:val="24"/>
          <w:szCs w:val="24"/>
        </w:rPr>
        <w:t>Point of Contact:</w:t>
      </w:r>
    </w:p>
    <w:p w:rsidR="00352E6E" w:rsidRPr="00DC64DC" w:rsidP="00DE4A58" w14:paraId="65255A4C" w14:textId="2CA97142">
      <w:pPr>
        <w:spacing w:line="240" w:lineRule="auto"/>
        <w:rPr>
          <w:sz w:val="24"/>
          <w:szCs w:val="24"/>
        </w:rPr>
      </w:pPr>
      <w:r>
        <w:rPr>
          <w:sz w:val="24"/>
          <w:szCs w:val="24"/>
        </w:rPr>
        <w:t>Nancy Worthington</w:t>
      </w:r>
    </w:p>
    <w:p w:rsidR="00352E6E" w:rsidRPr="00DE4A58" w:rsidP="00DE4A58" w14:paraId="6505F3B8" w14:textId="77777777">
      <w:pPr>
        <w:spacing w:line="240" w:lineRule="auto"/>
        <w:rPr>
          <w:sz w:val="24"/>
          <w:szCs w:val="24"/>
        </w:rPr>
      </w:pPr>
      <w:r w:rsidRPr="00DE4A58">
        <w:rPr>
          <w:sz w:val="24"/>
          <w:szCs w:val="24"/>
        </w:rPr>
        <w:t>Centers for Disease Control and Prevention</w:t>
      </w:r>
    </w:p>
    <w:p w:rsidR="00352E6E" w:rsidRPr="00DE4A58" w:rsidP="00DE4A58" w14:paraId="3063B914" w14:textId="77777777">
      <w:pPr>
        <w:spacing w:line="240" w:lineRule="auto"/>
        <w:rPr>
          <w:sz w:val="24"/>
          <w:szCs w:val="24"/>
        </w:rPr>
      </w:pPr>
      <w:r w:rsidRPr="00DE4A58">
        <w:rPr>
          <w:sz w:val="24"/>
          <w:szCs w:val="24"/>
        </w:rPr>
        <w:t>National Center for Injury Prevention and Control</w:t>
      </w:r>
    </w:p>
    <w:p w:rsidR="00352E6E" w:rsidRPr="00DE4A58" w:rsidP="00DE4A58" w14:paraId="7CC008EE" w14:textId="77777777">
      <w:pPr>
        <w:spacing w:line="240" w:lineRule="auto"/>
        <w:rPr>
          <w:sz w:val="24"/>
          <w:szCs w:val="24"/>
        </w:rPr>
      </w:pPr>
      <w:r w:rsidRPr="00DE4A58">
        <w:rPr>
          <w:sz w:val="24"/>
          <w:szCs w:val="24"/>
        </w:rPr>
        <w:t>Division of Overdose Prevention</w:t>
      </w:r>
    </w:p>
    <w:p w:rsidR="00352E6E" w:rsidRPr="00ED24EF" w:rsidP="00352E6E" w14:paraId="44E1898D" w14:textId="77777777">
      <w:pPr>
        <w:pStyle w:val="Body1"/>
        <w:tabs>
          <w:tab w:val="left" w:pos="720"/>
          <w:tab w:val="left" w:pos="1440"/>
          <w:tab w:val="left" w:pos="2160"/>
          <w:tab w:val="left" w:pos="2880"/>
        </w:tabs>
        <w:spacing w:line="360" w:lineRule="auto"/>
        <w:rPr>
          <w:b/>
          <w:szCs w:val="24"/>
        </w:rPr>
      </w:pPr>
    </w:p>
    <w:p w:rsidR="00352E6E" w:rsidRPr="00ED24EF" w:rsidP="00352E6E" w14:paraId="1B66B5CD" w14:textId="77777777">
      <w:pPr>
        <w:spacing w:after="0" w:line="360" w:lineRule="auto"/>
        <w:rPr>
          <w:rFonts w:ascii="Times New Roman" w:eastAsia="Arial Unicode MS" w:hAnsi="Times New Roman"/>
          <w:sz w:val="24"/>
          <w:szCs w:val="24"/>
          <w:u w:color="000000"/>
        </w:rPr>
      </w:pPr>
    </w:p>
    <w:p w:rsidR="00352E6E" w:rsidRPr="00ED24EF" w:rsidP="00352E6E" w14:paraId="4E592934" w14:textId="77777777">
      <w:pPr>
        <w:pStyle w:val="Body1"/>
        <w:tabs>
          <w:tab w:val="left" w:pos="720"/>
          <w:tab w:val="left" w:pos="1440"/>
          <w:tab w:val="left" w:pos="2160"/>
          <w:tab w:val="left" w:pos="2880"/>
        </w:tabs>
        <w:spacing w:line="360" w:lineRule="auto"/>
        <w:rPr>
          <w:szCs w:val="24"/>
        </w:rPr>
      </w:pPr>
      <w:r w:rsidRPr="00ED24EF">
        <w:rPr>
          <w:szCs w:val="24"/>
        </w:rPr>
        <w:t>B.</w:t>
      </w:r>
      <w:r w:rsidRPr="00ED24EF">
        <w:rPr>
          <w:szCs w:val="24"/>
        </w:rPr>
        <w:tab/>
        <w:t>Collections of Information Employing Statistical Methods</w:t>
      </w:r>
    </w:p>
    <w:p w:rsidR="00352E6E" w:rsidRPr="00ED24EF" w:rsidP="00352E6E" w14:paraId="4D8E7E6A" w14:textId="77777777">
      <w:pPr>
        <w:pStyle w:val="Body1"/>
        <w:tabs>
          <w:tab w:val="left" w:pos="720"/>
          <w:tab w:val="left" w:pos="1440"/>
          <w:tab w:val="left" w:pos="2160"/>
          <w:tab w:val="left" w:pos="2880"/>
        </w:tabs>
        <w:spacing w:line="360" w:lineRule="auto"/>
        <w:rPr>
          <w:szCs w:val="24"/>
        </w:rPr>
      </w:pPr>
    </w:p>
    <w:p w:rsidR="00352E6E" w:rsidRPr="00ED24EF" w:rsidP="00352E6E" w14:paraId="6E949022" w14:textId="0AD0F30E">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1.</w:t>
      </w:r>
      <w:r w:rsidRPr="00ED24EF">
        <w:rPr>
          <w:rFonts w:ascii="Times New Roman" w:eastAsia="Arial Unicode MS" w:hAnsi="Times New Roman"/>
          <w:sz w:val="24"/>
          <w:szCs w:val="24"/>
          <w:u w:color="000000"/>
        </w:rPr>
        <w:tab/>
        <w:t xml:space="preserve">Respondent Universe </w:t>
      </w:r>
    </w:p>
    <w:p w:rsidR="00352E6E" w:rsidRPr="00ED24EF" w:rsidP="00352E6E" w14:paraId="546A4A35"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2.</w:t>
      </w:r>
      <w:r w:rsidRPr="00ED24EF">
        <w:rPr>
          <w:rFonts w:ascii="Times New Roman" w:eastAsia="Arial Unicode MS" w:hAnsi="Times New Roman"/>
          <w:sz w:val="24"/>
          <w:szCs w:val="24"/>
          <w:u w:color="000000"/>
        </w:rPr>
        <w:tab/>
        <w:t>Procedures for the Collection of Information</w:t>
      </w:r>
    </w:p>
    <w:p w:rsidR="00352E6E" w:rsidRPr="00ED24EF" w:rsidP="00352E6E" w14:paraId="0CADB5CA" w14:textId="77777777">
      <w:pPr>
        <w:tabs>
          <w:tab w:val="left" w:pos="720"/>
          <w:tab w:val="left" w:pos="1440"/>
        </w:tabs>
        <w:spacing w:after="0" w:line="360" w:lineRule="auto"/>
        <w:ind w:left="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3. </w:t>
      </w:r>
      <w:r w:rsidRPr="00ED24EF">
        <w:rPr>
          <w:rFonts w:ascii="Times New Roman" w:eastAsia="Arial Unicode MS" w:hAnsi="Times New Roman"/>
          <w:sz w:val="24"/>
          <w:szCs w:val="24"/>
          <w:u w:color="000000"/>
        </w:rPr>
        <w:tab/>
        <w:t>Methods to Maximize Response Rates and Deal with No Response</w:t>
      </w:r>
    </w:p>
    <w:p w:rsidR="00352E6E" w:rsidRPr="00ED24EF" w:rsidP="00352E6E" w14:paraId="7F23B463" w14:textId="77777777">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 xml:space="preserve">4. </w:t>
      </w:r>
      <w:r w:rsidRPr="00ED24EF">
        <w:rPr>
          <w:rFonts w:ascii="Times New Roman" w:eastAsia="Arial Unicode MS" w:hAnsi="Times New Roman"/>
          <w:sz w:val="24"/>
          <w:szCs w:val="24"/>
          <w:u w:color="000000"/>
        </w:rPr>
        <w:tab/>
        <w:t>Test of Procedures or Methods to be Undertaken</w:t>
      </w:r>
    </w:p>
    <w:p w:rsidR="00352E6E" w:rsidRPr="00ED24EF" w:rsidP="00352E6E" w14:paraId="17CC280A" w14:textId="77777777">
      <w:pPr>
        <w:tabs>
          <w:tab w:val="left" w:pos="1440"/>
        </w:tabs>
        <w:spacing w:after="0" w:line="360" w:lineRule="auto"/>
        <w:ind w:left="1440" w:hanging="720"/>
        <w:rPr>
          <w:rFonts w:ascii="Times New Roman" w:eastAsia="Arial Unicode MS" w:hAnsi="Times New Roman"/>
          <w:sz w:val="24"/>
          <w:szCs w:val="24"/>
          <w:u w:color="000000"/>
        </w:rPr>
      </w:pPr>
      <w:r w:rsidRPr="00ED24EF">
        <w:rPr>
          <w:rFonts w:ascii="Times New Roman" w:eastAsia="Arial Unicode MS" w:hAnsi="Times New Roman"/>
          <w:sz w:val="24"/>
          <w:szCs w:val="24"/>
          <w:u w:color="000000"/>
        </w:rPr>
        <w:t>5.</w:t>
      </w:r>
      <w:r w:rsidRPr="00ED24EF">
        <w:rPr>
          <w:rFonts w:ascii="Times New Roman" w:eastAsia="Arial Unicode MS" w:hAnsi="Times New Roman"/>
          <w:sz w:val="24"/>
          <w:szCs w:val="24"/>
          <w:u w:color="000000"/>
        </w:rPr>
        <w:tab/>
        <w:t>Individuals Consulted on Statistical Aspects and Individuals Collecting and/or Analyzing Data</w:t>
      </w:r>
    </w:p>
    <w:p w:rsidR="00352E6E" w:rsidRPr="00ED24EF" w:rsidP="00352E6E" w14:paraId="0E28B4AB" w14:textId="77777777">
      <w:pPr>
        <w:pStyle w:val="Body1"/>
        <w:tabs>
          <w:tab w:val="left" w:pos="720"/>
          <w:tab w:val="left" w:pos="1440"/>
          <w:tab w:val="left" w:pos="2160"/>
          <w:tab w:val="left" w:pos="2880"/>
        </w:tabs>
        <w:spacing w:line="360" w:lineRule="auto"/>
        <w:rPr>
          <w:b/>
          <w:szCs w:val="24"/>
        </w:rPr>
      </w:pPr>
    </w:p>
    <w:p w:rsidR="00352E6E" w:rsidRPr="00ED24EF" w:rsidP="00352E6E" w14:paraId="4AA7BDF7" w14:textId="77777777">
      <w:pPr>
        <w:tabs>
          <w:tab w:val="left" w:pos="0"/>
          <w:tab w:val="left" w:pos="720"/>
          <w:tab w:val="left" w:pos="1440"/>
        </w:tabs>
        <w:spacing w:after="0" w:line="360" w:lineRule="auto"/>
        <w:rPr>
          <w:rFonts w:ascii="Times New Roman" w:eastAsia="Arial Unicode MS" w:hAnsi="Times New Roman"/>
          <w:b/>
          <w:sz w:val="24"/>
          <w:szCs w:val="24"/>
          <w:u w:color="000000"/>
        </w:rPr>
      </w:pPr>
    </w:p>
    <w:p w:rsidR="00352E6E" w:rsidRPr="00ED24EF" w:rsidP="00352E6E" w14:paraId="202F8F43" w14:textId="77777777">
      <w:pPr>
        <w:tabs>
          <w:tab w:val="left" w:pos="0"/>
          <w:tab w:val="left" w:pos="720"/>
          <w:tab w:val="left" w:pos="1440"/>
        </w:tabs>
        <w:spacing w:line="360" w:lineRule="auto"/>
        <w:rPr>
          <w:rFonts w:ascii="Times New Roman" w:hAnsi="Times New Roman"/>
          <w:b/>
          <w:bCs/>
          <w:sz w:val="24"/>
          <w:szCs w:val="24"/>
          <w:u w:val="single"/>
        </w:rPr>
      </w:pPr>
      <w:r w:rsidRPr="00ED24EF">
        <w:rPr>
          <w:rFonts w:ascii="Times New Roman" w:eastAsia="Arial Unicode MS" w:hAnsi="Times New Roman"/>
          <w:sz w:val="24"/>
          <w:szCs w:val="24"/>
          <w:u w:color="000000"/>
        </w:rPr>
        <w:br w:type="page"/>
      </w:r>
      <w:r w:rsidRPr="00ED24EF">
        <w:rPr>
          <w:rFonts w:ascii="Times New Roman" w:hAnsi="Times New Roman"/>
          <w:b/>
          <w:bCs/>
          <w:sz w:val="24"/>
          <w:szCs w:val="24"/>
        </w:rPr>
        <w:t xml:space="preserve">B. </w:t>
      </w:r>
      <w:r w:rsidRPr="00ED24EF">
        <w:rPr>
          <w:rFonts w:ascii="Times New Roman" w:hAnsi="Times New Roman"/>
          <w:b/>
          <w:bCs/>
          <w:sz w:val="24"/>
          <w:szCs w:val="24"/>
        </w:rPr>
        <w:tab/>
      </w:r>
      <w:r w:rsidRPr="00ED24EF">
        <w:rPr>
          <w:rFonts w:ascii="Times New Roman" w:hAnsi="Times New Roman"/>
          <w:b/>
          <w:bCs/>
          <w:sz w:val="24"/>
          <w:szCs w:val="24"/>
          <w:u w:val="single"/>
        </w:rPr>
        <w:t>Collections of Information Employing Statistical Methods</w:t>
      </w:r>
    </w:p>
    <w:p w:rsidR="00352E6E" w:rsidRPr="00ED24EF" w:rsidP="00352E6E" w14:paraId="5B97D1B5" w14:textId="77777777">
      <w:pPr>
        <w:pStyle w:val="BodyTextIndent3"/>
        <w:tabs>
          <w:tab w:val="left" w:pos="1080"/>
        </w:tabs>
        <w:rPr>
          <w:b/>
          <w:bCs/>
        </w:rPr>
      </w:pPr>
    </w:p>
    <w:p w:rsidR="00352E6E" w:rsidRPr="00ED24EF" w:rsidP="00B56D3E" w14:paraId="6A54FAD2" w14:textId="7D10DBE6">
      <w:pPr>
        <w:pStyle w:val="BodyTextIndent3"/>
        <w:numPr>
          <w:ilvl w:val="0"/>
          <w:numId w:val="7"/>
        </w:numPr>
        <w:tabs>
          <w:tab w:val="clear" w:pos="1800"/>
        </w:tabs>
        <w:rPr>
          <w:b/>
          <w:bCs/>
        </w:rPr>
      </w:pPr>
      <w:r w:rsidRPr="00ED24EF">
        <w:rPr>
          <w:b/>
          <w:bCs/>
        </w:rPr>
        <w:t xml:space="preserve">Respondent Universe </w:t>
      </w:r>
    </w:p>
    <w:p w:rsidR="00352E6E" w:rsidRPr="00ED24EF" w:rsidP="00B56D3E" w14:paraId="592743F9" w14:textId="77777777">
      <w:pPr>
        <w:pStyle w:val="BodyTextIndent3"/>
        <w:tabs>
          <w:tab w:val="num" w:pos="720"/>
          <w:tab w:val="clear" w:pos="1800"/>
        </w:tabs>
        <w:ind w:left="360"/>
      </w:pPr>
    </w:p>
    <w:p w:rsidR="00352E6E" w:rsidRPr="00ED24EF" w:rsidP="005C2CE3" w14:paraId="526780B2" w14:textId="784ECCD5">
      <w:pPr>
        <w:pStyle w:val="BodyTextIndent3"/>
        <w:tabs>
          <w:tab w:val="clear" w:pos="1800"/>
        </w:tabs>
        <w:ind w:left="0"/>
      </w:pPr>
      <w:r w:rsidRPr="00ED24EF">
        <w:t xml:space="preserve">CDC, in collaboration with the state or local </w:t>
      </w:r>
      <w:r>
        <w:t>agency</w:t>
      </w:r>
      <w:r w:rsidRPr="00ED24EF">
        <w:t xml:space="preserve"> requesting assistance</w:t>
      </w:r>
      <w:r>
        <w:t>,</w:t>
      </w:r>
      <w:r w:rsidRPr="00ED24EF">
        <w:t xml:space="preserve"> will identify the respondent universe for each </w:t>
      </w:r>
      <w:r w:rsidR="0002453A">
        <w:t>investigation</w:t>
      </w:r>
      <w:r w:rsidR="00900940">
        <w:t>.</w:t>
      </w:r>
      <w:r w:rsidR="00A074DE">
        <w:t xml:space="preserve"> The respondent universe will be </w:t>
      </w:r>
      <w:r w:rsidRPr="00ED24EF">
        <w:t xml:space="preserve">based on the </w:t>
      </w:r>
      <w:r w:rsidR="005156A7">
        <w:t xml:space="preserve">jurisdictional context and the </w:t>
      </w:r>
      <w:r w:rsidRPr="00ED24EF">
        <w:t xml:space="preserve">information needed to understand </w:t>
      </w:r>
      <w:r w:rsidR="00C12BF0">
        <w:t>overdose prevention strategies that involve</w:t>
      </w:r>
      <w:r w:rsidR="006260E8">
        <w:t xml:space="preserve"> public health and public safety </w:t>
      </w:r>
      <w:r w:rsidR="00FD6078">
        <w:t xml:space="preserve">(PH/PS) </w:t>
      </w:r>
      <w:r w:rsidR="006260E8">
        <w:t>sectors</w:t>
      </w:r>
      <w:r w:rsidRPr="00ED24EF">
        <w:t xml:space="preserve">. </w:t>
      </w:r>
      <w:r w:rsidR="00A03F7D">
        <w:t>For each information collection, r</w:t>
      </w:r>
      <w:r w:rsidRPr="00ED24EF">
        <w:t>espondents could include</w:t>
      </w:r>
      <w:r w:rsidR="00A03F7D">
        <w:t xml:space="preserve"> one or more of the following categories</w:t>
      </w:r>
      <w:r w:rsidRPr="00ED24EF">
        <w:t>:</w:t>
      </w:r>
    </w:p>
    <w:p w:rsidR="00DF34D5" w:rsidRPr="00DF34D5" w:rsidP="00DF34D5" w14:paraId="55E6B51B"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Public health professionals</w:t>
      </w:r>
    </w:p>
    <w:p w:rsidR="00DF34D5" w:rsidRPr="00DF34D5" w:rsidP="00DF34D5" w14:paraId="0EBEA59A" w14:textId="77FCDE5D">
      <w:pPr>
        <w:pStyle w:val="NoSpacing"/>
        <w:numPr>
          <w:ilvl w:val="0"/>
          <w:numId w:val="13"/>
        </w:numPr>
        <w:rPr>
          <w:rFonts w:ascii="Times New Roman" w:hAnsi="Times New Roman"/>
          <w:sz w:val="24"/>
          <w:szCs w:val="24"/>
        </w:rPr>
      </w:pPr>
      <w:r w:rsidRPr="00DF34D5">
        <w:rPr>
          <w:rFonts w:ascii="Times New Roman" w:hAnsi="Times New Roman"/>
          <w:sz w:val="24"/>
          <w:szCs w:val="24"/>
        </w:rPr>
        <w:t>Public safety professionals (i.e.</w:t>
      </w:r>
      <w:r>
        <w:rPr>
          <w:rFonts w:ascii="Times New Roman" w:hAnsi="Times New Roman"/>
          <w:sz w:val="24"/>
          <w:szCs w:val="24"/>
        </w:rPr>
        <w:t>,</w:t>
      </w:r>
      <w:r w:rsidRPr="00DF34D5">
        <w:rPr>
          <w:rFonts w:ascii="Times New Roman" w:hAnsi="Times New Roman"/>
          <w:sz w:val="24"/>
          <w:szCs w:val="24"/>
        </w:rPr>
        <w:t xml:space="preserve"> police officers, correctional staff, emergency medical personnel, fire</w:t>
      </w:r>
      <w:r>
        <w:rPr>
          <w:rFonts w:ascii="Times New Roman" w:hAnsi="Times New Roman"/>
          <w:sz w:val="24"/>
          <w:szCs w:val="24"/>
        </w:rPr>
        <w:t>,</w:t>
      </w:r>
      <w:r w:rsidRPr="00DF34D5">
        <w:rPr>
          <w:rFonts w:ascii="Times New Roman" w:hAnsi="Times New Roman"/>
          <w:sz w:val="24"/>
          <w:szCs w:val="24"/>
        </w:rPr>
        <w:t xml:space="preserve"> and rescue)</w:t>
      </w:r>
    </w:p>
    <w:p w:rsidR="00DF34D5" w:rsidRPr="00DF34D5" w:rsidP="00DF34D5" w14:paraId="42E3C1CA"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Medical examiners</w:t>
      </w:r>
    </w:p>
    <w:p w:rsidR="00DF34D5" w:rsidRPr="00DF34D5" w:rsidP="00DF34D5" w14:paraId="368E28BE"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 xml:space="preserve">Individuals served by policies or programs to reduce overdose </w:t>
      </w:r>
    </w:p>
    <w:p w:rsidR="00DF34D5" w:rsidRPr="00DF34D5" w:rsidP="00DF34D5" w14:paraId="06BDCA02"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Individuals who use drugs or have a history of drug use or criminal-legal involvement</w:t>
      </w:r>
    </w:p>
    <w:p w:rsidR="00DF34D5" w:rsidRPr="00DF34D5" w:rsidP="00DF34D5" w14:paraId="39FB5F0E"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Families and friends of individuals who use drugs or have a history of drug use or criminal legal involvement</w:t>
      </w:r>
    </w:p>
    <w:p w:rsidR="00DF34D5" w:rsidRPr="00DF34D5" w:rsidP="00DF34D5" w14:paraId="7B7A7BFE"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Health care providers, including substance use service providers</w:t>
      </w:r>
      <w:r w:rsidRPr="00DF34D5">
        <w:rPr>
          <w:rFonts w:ascii="Times New Roman" w:hAnsi="Times New Roman"/>
          <w:sz w:val="24"/>
          <w:szCs w:val="24"/>
        </w:rPr>
        <w:t xml:space="preserve"> </w:t>
      </w:r>
    </w:p>
    <w:p w:rsidR="00DF34D5" w:rsidRPr="00DF34D5" w:rsidP="00DF34D5" w14:paraId="0EECDCA0" w14:textId="77777777">
      <w:pPr>
        <w:pStyle w:val="NoSpacing"/>
        <w:numPr>
          <w:ilvl w:val="0"/>
          <w:numId w:val="13"/>
        </w:numPr>
        <w:rPr>
          <w:rFonts w:ascii="Times New Roman" w:hAnsi="Times New Roman"/>
          <w:sz w:val="24"/>
          <w:szCs w:val="24"/>
        </w:rPr>
      </w:pPr>
      <w:r w:rsidRPr="00DF34D5">
        <w:rPr>
          <w:rFonts w:ascii="Times New Roman" w:hAnsi="Times New Roman"/>
          <w:sz w:val="24"/>
          <w:szCs w:val="24"/>
        </w:rPr>
        <w:t>Pharmacists</w:t>
      </w:r>
    </w:p>
    <w:p w:rsidR="00352E6E" w:rsidRPr="00DF34D5" w:rsidP="00DF34D5" w14:paraId="66E59C89" w14:textId="155C3F16">
      <w:pPr>
        <w:pStyle w:val="NoSpacing"/>
        <w:numPr>
          <w:ilvl w:val="0"/>
          <w:numId w:val="13"/>
        </w:numPr>
        <w:rPr>
          <w:rFonts w:ascii="Times New Roman" w:hAnsi="Times New Roman"/>
          <w:sz w:val="24"/>
          <w:szCs w:val="24"/>
        </w:rPr>
      </w:pPr>
      <w:r w:rsidRPr="00DF34D5">
        <w:rPr>
          <w:rFonts w:ascii="Times New Roman" w:hAnsi="Times New Roman"/>
          <w:sz w:val="24"/>
          <w:szCs w:val="24"/>
        </w:rPr>
        <w:t>Representatives of harm reduction, peer recovery drug prevention or other community organizations</w:t>
      </w:r>
    </w:p>
    <w:p w:rsidR="00DF34D5" w:rsidRPr="00DF34D5" w:rsidP="00DF34D5" w14:paraId="2718B19F" w14:textId="77777777">
      <w:pPr>
        <w:pStyle w:val="ListParagraph"/>
        <w:tabs>
          <w:tab w:val="left" w:pos="-576"/>
          <w:tab w:val="left" w:pos="720"/>
          <w:tab w:val="left" w:pos="1440"/>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left="1505"/>
        <w:rPr>
          <w:sz w:val="24"/>
          <w:szCs w:val="24"/>
        </w:rPr>
      </w:pPr>
    </w:p>
    <w:p w:rsidR="00352E6E" w:rsidRPr="00ED24EF" w:rsidP="005C2CE3" w14:paraId="11B32C08" w14:textId="45CAA4AF">
      <w:pPr>
        <w:pStyle w:val="BodyTextIndent3"/>
        <w:tabs>
          <w:tab w:val="clear" w:pos="1800"/>
        </w:tabs>
        <w:ind w:left="0"/>
      </w:pPr>
      <w:r>
        <w:t xml:space="preserve">Based on previous investigations conducted through Epi-Aid Mechanisms, </w:t>
      </w:r>
      <w:r w:rsidR="008F4C58">
        <w:t xml:space="preserve">information will be collected from </w:t>
      </w:r>
      <w:r w:rsidR="00844A91">
        <w:t xml:space="preserve">an average of 5,000 respondents in </w:t>
      </w:r>
      <w:r w:rsidR="008F4C58">
        <w:t xml:space="preserve">up to </w:t>
      </w:r>
      <w:r w:rsidR="00844A91">
        <w:t xml:space="preserve">53 jurisdictions </w:t>
      </w:r>
      <w:r w:rsidR="00CA5766">
        <w:t>per year</w:t>
      </w:r>
      <w:r>
        <w:t xml:space="preserve">. </w:t>
      </w:r>
    </w:p>
    <w:p w:rsidR="00352E6E" w:rsidRPr="00ED24EF" w:rsidP="00B56D3E" w14:paraId="21ACF6D7" w14:textId="77777777">
      <w:pPr>
        <w:pStyle w:val="BodyTextIndent3"/>
        <w:tabs>
          <w:tab w:val="num" w:pos="1440"/>
          <w:tab w:val="clear" w:pos="1800"/>
        </w:tabs>
        <w:ind w:left="360"/>
      </w:pPr>
    </w:p>
    <w:p w:rsidR="00352E6E" w:rsidRPr="00ED24EF" w:rsidP="0068193A" w14:paraId="4291BEDF" w14:textId="2B5D7832">
      <w:pPr>
        <w:pStyle w:val="BodyTextIndent3"/>
        <w:tabs>
          <w:tab w:val="clear" w:pos="1800"/>
        </w:tabs>
        <w:ind w:left="0"/>
      </w:pPr>
      <w:r w:rsidRPr="00ED24EF">
        <w:t>Response rates from previous investigations range dramatically, depending on the type of respondent, method and mode of data collection, and urgency of the event.</w:t>
      </w:r>
      <w:r w:rsidR="00470289">
        <w:fldChar w:fldCharType="begin"/>
      </w:r>
      <w:r w:rsidR="00470289">
        <w:instrText xml:space="preserve"> ADDIN EN.CITE &lt;EndNote&gt;&lt;Cite&gt;&lt;Author&gt;Manfreda&lt;/Author&gt;&lt;Year&gt;2008&lt;/Year&gt;&lt;RecNum&gt;3930&lt;/RecNum&gt;&lt;DisplayText&gt;&lt;style face="superscript"&gt;1&lt;/style&gt;&lt;/DisplayText&gt;&lt;record&gt;&lt;rec-number&gt;3930&lt;/rec-number&gt;&lt;foreign-keys&gt;&lt;key app="EN" db-id="frfxpe9ddfdsepexfs4502axp5wfxpt90pzs" timestamp="1684438134"&gt;3930&lt;/key&gt;&lt;/foreign-keys&gt;&lt;ref-type name="Journal Article"&gt;17&lt;/ref-type&gt;&lt;contributors&gt;&lt;authors&gt;&lt;author&gt;Manfreda, Katja Lozar&lt;/author&gt;&lt;author&gt;Bosnjak, Michael&lt;/author&gt;&lt;author&gt;Berzelak, Jernej&lt;/author&gt;&lt;author&gt;Haas, Iris&lt;/author&gt;&lt;author&gt;Vehovar, Vasja&lt;/author&gt;&lt;/authors&gt;&lt;/contributors&gt;&lt;titles&gt;&lt;title&gt;Web surveys versus other survey modes: A meta-analysis comparing response rates&lt;/title&gt;&lt;secondary-title&gt;International journal of market research&lt;/secondary-title&gt;&lt;/titles&gt;&lt;periodical&gt;&lt;full-title&gt;International journal of market research&lt;/full-title&gt;&lt;/periodical&gt;&lt;pages&gt;79-104&lt;/pages&gt;&lt;volume&gt;50&lt;/volume&gt;&lt;number&gt;1&lt;/number&gt;&lt;dates&gt;&lt;year&gt;2008&lt;/year&gt;&lt;/dates&gt;&lt;isbn&gt;1470-7853&lt;/isbn&gt;&lt;urls&gt;&lt;/urls&gt;&lt;/record&gt;&lt;/Cite&gt;&lt;/EndNote&gt;</w:instrText>
      </w:r>
      <w:r w:rsidR="00470289">
        <w:fldChar w:fldCharType="separate"/>
      </w:r>
      <w:r w:rsidRPr="00470289" w:rsidR="00470289">
        <w:rPr>
          <w:noProof/>
          <w:vertAlign w:val="superscript"/>
        </w:rPr>
        <w:t>1</w:t>
      </w:r>
      <w:r w:rsidR="00470289">
        <w:fldChar w:fldCharType="end"/>
      </w:r>
      <w:r w:rsidRPr="00ED24EF">
        <w:t xml:space="preserve">  While response rates </w:t>
      </w:r>
      <w:r w:rsidR="00152C09">
        <w:t xml:space="preserve">of </w:t>
      </w:r>
      <w:r w:rsidRPr="00ED24EF">
        <w:t>80% or higher are desired, in many investigations lower response rates are acceptable</w:t>
      </w:r>
      <w:r w:rsidR="00792A33">
        <w:t>.</w:t>
      </w:r>
      <w:r w:rsidR="00470289">
        <w:fldChar w:fldCharType="begin"/>
      </w:r>
      <w:r w:rsidR="00470289">
        <w:instrText xml:space="preserve"> ADDIN EN.CITE &lt;EndNote&gt;&lt;Cite&gt;&lt;Author&gt;Jager&lt;/Author&gt;&lt;Year&gt;2017&lt;/Year&gt;&lt;RecNum&gt;3931&lt;/RecNum&gt;&lt;DisplayText&gt;&lt;style face="superscript"&gt;2&lt;/style&gt;&lt;/DisplayText&gt;&lt;record&gt;&lt;rec-number&gt;3931&lt;/rec-number&gt;&lt;foreign-keys&gt;&lt;key app="EN" db-id="frfxpe9ddfdsepexfs4502axp5wfxpt90pzs" timestamp="1684438257"&gt;3931&lt;/key&gt;&lt;/foreign-keys&gt;&lt;ref-type name="Journal Article"&gt;17&lt;/ref-type&gt;&lt;contributors&gt;&lt;authors&gt;&lt;author&gt;Jager, Justin&lt;/author&gt;&lt;author&gt;Putnick, Diane L&lt;/author&gt;&lt;author&gt;Bornstein, Marc H&lt;/author&gt;&lt;/authors&gt;&lt;/contributors&gt;&lt;titles&gt;&lt;title&gt;II. More than just convenient: The scientific merits of homogeneous convenience samples&lt;/title&gt;&lt;secondary-title&gt;Monographs of the Society for Research in Child Development&lt;/secondary-title&gt;&lt;/titles&gt;&lt;periodical&gt;&lt;full-title&gt;Monographs of the Society for Research in Child Development&lt;/full-title&gt;&lt;/periodical&gt;&lt;pages&gt;13-30&lt;/pages&gt;&lt;volume&gt;82&lt;/volume&gt;&lt;number&gt;2&lt;/number&gt;&lt;dates&gt;&lt;year&gt;2017&lt;/year&gt;&lt;/dates&gt;&lt;isbn&gt;0037-976X&lt;/isbn&gt;&lt;urls&gt;&lt;/urls&gt;&lt;/record&gt;&lt;/Cite&gt;&lt;/EndNote&gt;</w:instrText>
      </w:r>
      <w:r w:rsidR="00470289">
        <w:fldChar w:fldCharType="separate"/>
      </w:r>
      <w:r w:rsidRPr="00470289" w:rsidR="00470289">
        <w:rPr>
          <w:noProof/>
          <w:vertAlign w:val="superscript"/>
        </w:rPr>
        <w:t>2</w:t>
      </w:r>
      <w:r w:rsidR="00470289">
        <w:fldChar w:fldCharType="end"/>
      </w:r>
      <w:r w:rsidR="00792A33">
        <w:t xml:space="preserve"> This is because the goal is to understand currently implemented overdose prevention strategies</w:t>
      </w:r>
      <w:r w:rsidR="00973F82">
        <w:t xml:space="preserve">, not to contribute </w:t>
      </w:r>
      <w:r w:rsidRPr="00ED24EF">
        <w:t xml:space="preserve">to the generalizable knowledge. </w:t>
      </w:r>
    </w:p>
    <w:p w:rsidR="00352E6E" w:rsidRPr="00ED24EF" w:rsidP="00B56D3E" w14:paraId="6C543A70" w14:textId="77777777">
      <w:pPr>
        <w:pStyle w:val="BodyTextIndent3"/>
        <w:tabs>
          <w:tab w:val="num" w:pos="1440"/>
          <w:tab w:val="clear" w:pos="1800"/>
        </w:tabs>
        <w:ind w:left="1080"/>
      </w:pPr>
    </w:p>
    <w:p w:rsidR="00352E6E" w:rsidRPr="00ED24EF" w:rsidP="0068193A" w14:paraId="7652DB30" w14:textId="77777777">
      <w:pPr>
        <w:pStyle w:val="BodyTextIndent3"/>
        <w:numPr>
          <w:ilvl w:val="0"/>
          <w:numId w:val="7"/>
        </w:numPr>
        <w:tabs>
          <w:tab w:val="clear" w:pos="1800"/>
        </w:tabs>
        <w:rPr>
          <w:b/>
          <w:bCs/>
        </w:rPr>
      </w:pPr>
      <w:r w:rsidRPr="00ED24EF">
        <w:rPr>
          <w:b/>
          <w:bCs/>
        </w:rPr>
        <w:t>Procedures for the Collection of Information</w:t>
      </w:r>
    </w:p>
    <w:p w:rsidR="00352E6E" w:rsidRPr="00ED24EF" w:rsidP="00B56D3E" w14:paraId="63AFAE0E" w14:textId="77777777">
      <w:pPr>
        <w:pStyle w:val="BodyTextIndent3"/>
        <w:tabs>
          <w:tab w:val="num" w:pos="720"/>
          <w:tab w:val="clear" w:pos="1800"/>
        </w:tabs>
        <w:ind w:left="360"/>
        <w:rPr>
          <w:b/>
          <w:bCs/>
        </w:rPr>
      </w:pPr>
    </w:p>
    <w:p w:rsidR="00326A0D" w:rsidRPr="00ED24EF" w:rsidP="00326A0D" w14:paraId="45FD3F3F" w14:textId="72B13DBD">
      <w:pPr>
        <w:pStyle w:val="BodyTextIndent3"/>
        <w:ind w:left="0"/>
      </w:pPr>
      <w:r w:rsidRPr="00ED24EF">
        <w:t xml:space="preserve">Procedures for each investigation, including specific data collection </w:t>
      </w:r>
      <w:r w:rsidR="0042018D">
        <w:t>procedures</w:t>
      </w:r>
      <w:r w:rsidRPr="00ED24EF">
        <w:t>, depend on the time and resources available, number of persons involved, and other circumstances unique to the conditions at hand.</w:t>
      </w:r>
      <w:r w:rsidR="00866639">
        <w:fldChar w:fldCharType="begin"/>
      </w:r>
      <w:r w:rsidR="00866639">
        <w:instrText xml:space="preserve"> ADDIN EN.CITE &lt;EndNote&gt;&lt;Cite&gt;&lt;Author&gt;Rasmussen&lt;/Author&gt;&lt;Year&gt;2018&lt;/Year&gt;&lt;RecNum&gt;3932&lt;/RecNum&gt;&lt;DisplayText&gt;&lt;style face="superscript"&gt;3&lt;/style&gt;&lt;/DisplayText&gt;&lt;record&gt;&lt;rec-number&gt;3932&lt;/rec-number&gt;&lt;foreign-keys&gt;&lt;key app="EN" db-id="frfxpe9ddfdsepexfs4502axp5wfxpt90pzs" timestamp="1684439322"&gt;3932&lt;/key&gt;&lt;/foreign-keys&gt;&lt;ref-type name="Book"&gt;6&lt;/ref-type&gt;&lt;contributors&gt;&lt;authors&gt;&lt;author&gt;Rasmussen, S.A.&lt;/author&gt;&lt;author&gt;Goodman, R.A.&lt;/author&gt;&lt;/authors&gt;&lt;/contributors&gt;&lt;titles&gt;&lt;title&gt;The CDC Field Epidemiology Manual&lt;/title&gt;&lt;/titles&gt;&lt;dates&gt;&lt;year&gt;2018&lt;/year&gt;&lt;/dates&gt;&lt;publisher&gt;Oxford University Press&lt;/publisher&gt;&lt;isbn&gt;9780190624262&lt;/isbn&gt;&lt;urls&gt;&lt;related-urls&gt;&lt;url&gt;https://books.google.com/books?id=ldB2DwAAQBAJ&lt;/url&gt;&lt;/related-urls&gt;&lt;/urls&gt;&lt;/record&gt;&lt;/Cite&gt;&lt;/EndNote&gt;</w:instrText>
      </w:r>
      <w:r w:rsidR="00866639">
        <w:fldChar w:fldCharType="separate"/>
      </w:r>
      <w:r w:rsidRPr="00866639" w:rsidR="00866639">
        <w:rPr>
          <w:noProof/>
          <w:vertAlign w:val="superscript"/>
        </w:rPr>
        <w:t>3</w:t>
      </w:r>
      <w:r w:rsidR="00866639">
        <w:fldChar w:fldCharType="end"/>
      </w:r>
      <w:r w:rsidRPr="00ED24EF">
        <w:t xml:space="preserve"> </w:t>
      </w:r>
      <w:r w:rsidR="000B5F16">
        <w:t>One or more of the following methods may be used with each investigation:</w:t>
      </w:r>
    </w:p>
    <w:p w:rsidR="00307349" w:rsidP="00326A0D" w14:paraId="08E90CCD" w14:textId="77777777">
      <w:pPr>
        <w:pStyle w:val="ListParagraph"/>
        <w:numPr>
          <w:ilvl w:val="4"/>
          <w:numId w:val="11"/>
        </w:numPr>
        <w:rPr>
          <w:rFonts w:eastAsia="Calibri"/>
          <w:sz w:val="24"/>
          <w:szCs w:val="24"/>
        </w:rPr>
      </w:pPr>
      <w:r>
        <w:rPr>
          <w:rFonts w:eastAsia="Calibri"/>
          <w:sz w:val="24"/>
          <w:szCs w:val="24"/>
        </w:rPr>
        <w:t>Document Review</w:t>
      </w:r>
    </w:p>
    <w:p w:rsidR="00307349" w:rsidP="00326A0D" w14:paraId="60CA743D" w14:textId="77777777">
      <w:pPr>
        <w:pStyle w:val="ListParagraph"/>
        <w:numPr>
          <w:ilvl w:val="4"/>
          <w:numId w:val="11"/>
        </w:numPr>
        <w:rPr>
          <w:rFonts w:eastAsia="Calibri"/>
          <w:sz w:val="24"/>
          <w:szCs w:val="24"/>
        </w:rPr>
      </w:pPr>
      <w:r>
        <w:rPr>
          <w:rFonts w:eastAsia="Calibri"/>
          <w:sz w:val="24"/>
          <w:szCs w:val="24"/>
        </w:rPr>
        <w:t>Observation</w:t>
      </w:r>
    </w:p>
    <w:p w:rsidR="00326A0D" w:rsidRPr="00215B76" w:rsidP="00326A0D" w14:paraId="1F7036A5" w14:textId="1FAD9218">
      <w:pPr>
        <w:pStyle w:val="ListParagraph"/>
        <w:numPr>
          <w:ilvl w:val="4"/>
          <w:numId w:val="11"/>
        </w:numPr>
        <w:rPr>
          <w:rFonts w:eastAsia="Calibri"/>
          <w:sz w:val="24"/>
          <w:szCs w:val="24"/>
        </w:rPr>
      </w:pPr>
      <w:r w:rsidRPr="00215B76">
        <w:rPr>
          <w:rFonts w:eastAsia="Calibri"/>
          <w:sz w:val="24"/>
          <w:szCs w:val="24"/>
        </w:rPr>
        <w:t>Face-to-Face Interview</w:t>
      </w:r>
    </w:p>
    <w:p w:rsidR="00326A0D" w:rsidRPr="00215B76" w:rsidP="00326A0D" w14:paraId="2EED1ADB" w14:textId="0EA80898">
      <w:pPr>
        <w:pStyle w:val="ListParagraph"/>
        <w:numPr>
          <w:ilvl w:val="4"/>
          <w:numId w:val="11"/>
        </w:numPr>
        <w:rPr>
          <w:rFonts w:eastAsia="Calibri"/>
          <w:sz w:val="24"/>
          <w:szCs w:val="24"/>
        </w:rPr>
      </w:pPr>
      <w:r w:rsidRPr="00215B76">
        <w:rPr>
          <w:rFonts w:eastAsia="Calibri"/>
          <w:sz w:val="24"/>
          <w:szCs w:val="24"/>
        </w:rPr>
        <w:t xml:space="preserve">Telephone </w:t>
      </w:r>
      <w:r w:rsidR="000B5F16">
        <w:rPr>
          <w:rFonts w:eastAsia="Calibri"/>
          <w:sz w:val="24"/>
          <w:szCs w:val="24"/>
        </w:rPr>
        <w:t xml:space="preserve">or Virtual </w:t>
      </w:r>
      <w:r w:rsidRPr="00215B76">
        <w:rPr>
          <w:rFonts w:eastAsia="Calibri"/>
          <w:sz w:val="24"/>
          <w:szCs w:val="24"/>
        </w:rPr>
        <w:t>Interview</w:t>
      </w:r>
    </w:p>
    <w:p w:rsidR="00326A0D" w:rsidRPr="00215B76" w:rsidP="00326A0D" w14:paraId="592BFEE7" w14:textId="071E82C1">
      <w:pPr>
        <w:pStyle w:val="ListParagraph"/>
        <w:numPr>
          <w:ilvl w:val="4"/>
          <w:numId w:val="11"/>
        </w:numPr>
        <w:rPr>
          <w:rFonts w:eastAsia="Calibri"/>
          <w:sz w:val="24"/>
          <w:szCs w:val="24"/>
        </w:rPr>
      </w:pPr>
      <w:r>
        <w:rPr>
          <w:rFonts w:eastAsia="Calibri"/>
          <w:sz w:val="24"/>
          <w:szCs w:val="24"/>
        </w:rPr>
        <w:t>Web-based</w:t>
      </w:r>
      <w:r w:rsidRPr="00215B76">
        <w:rPr>
          <w:rFonts w:eastAsia="Calibri"/>
          <w:sz w:val="24"/>
          <w:szCs w:val="24"/>
        </w:rPr>
        <w:t xml:space="preserve"> Questionnaire</w:t>
      </w:r>
    </w:p>
    <w:p w:rsidR="00326A0D" w:rsidRPr="00307349" w:rsidP="00307349" w14:paraId="4FBFFC11" w14:textId="55BE31F5">
      <w:pPr>
        <w:pStyle w:val="ListParagraph"/>
        <w:numPr>
          <w:ilvl w:val="4"/>
          <w:numId w:val="11"/>
        </w:numPr>
        <w:rPr>
          <w:rFonts w:eastAsia="Calibri"/>
          <w:sz w:val="24"/>
          <w:szCs w:val="24"/>
        </w:rPr>
      </w:pPr>
      <w:r w:rsidRPr="00215B76">
        <w:rPr>
          <w:rFonts w:eastAsia="Calibri"/>
          <w:sz w:val="24"/>
          <w:szCs w:val="24"/>
        </w:rPr>
        <w:t>Self-administered Questionnaire</w:t>
      </w:r>
    </w:p>
    <w:p w:rsidR="002C2555" w:rsidP="00307349" w14:paraId="5B56DE02" w14:textId="377F8E56">
      <w:pPr>
        <w:pStyle w:val="BodyTextIndent3"/>
        <w:ind w:left="0"/>
      </w:pPr>
      <w:r w:rsidRPr="00ED24EF">
        <w:t>Telephone</w:t>
      </w:r>
      <w:r>
        <w:t xml:space="preserve">, </w:t>
      </w:r>
      <w:r w:rsidR="00C3281F">
        <w:t>virtual, and web-based</w:t>
      </w:r>
      <w:r w:rsidRPr="00ED24EF">
        <w:t xml:space="preserve"> </w:t>
      </w:r>
      <w:r w:rsidR="00FC15A0">
        <w:t>procedures</w:t>
      </w:r>
      <w:r w:rsidRPr="00ED24EF">
        <w:t xml:space="preserve"> </w:t>
      </w:r>
      <w:r>
        <w:t>will be</w:t>
      </w:r>
      <w:r w:rsidRPr="00ED24EF">
        <w:t xml:space="preserve"> common</w:t>
      </w:r>
      <w:r>
        <w:t>ly used</w:t>
      </w:r>
      <w:r w:rsidRPr="00ED24EF">
        <w:t xml:space="preserve"> because they allow for rapid data collection</w:t>
      </w:r>
      <w:r w:rsidR="00FC15A0">
        <w:t>.</w:t>
      </w:r>
      <w:r w:rsidR="00813850">
        <w:t xml:space="preserve"> Interviews will also be common as they </w:t>
      </w:r>
      <w:r w:rsidRPr="00ED24EF">
        <w:t xml:space="preserve">are conducive to open-ended </w:t>
      </w:r>
      <w:r w:rsidRPr="00ED24EF">
        <w:t xml:space="preserve">responses that are particularly useful during the </w:t>
      </w:r>
      <w:r w:rsidR="00813850">
        <w:t>exploration</w:t>
      </w:r>
      <w:r w:rsidRPr="00ED24EF">
        <w:t xml:space="preserve"> stage of the investigation. Self-administered </w:t>
      </w:r>
      <w:r>
        <w:t xml:space="preserve">and web-based </w:t>
      </w:r>
      <w:r w:rsidRPr="00ED24EF">
        <w:t>questionnaires are often used when information</w:t>
      </w:r>
      <w:r>
        <w:t>al</w:t>
      </w:r>
      <w:r w:rsidRPr="00ED24EF">
        <w:t xml:space="preserve"> interviews are not feasible and the information to be collected can be captured using straight-forward questions with fixed response options. </w:t>
      </w:r>
    </w:p>
    <w:p w:rsidR="002C2555" w:rsidP="00307349" w14:paraId="60F7A232" w14:textId="77777777">
      <w:pPr>
        <w:pStyle w:val="BodyTextIndent3"/>
        <w:ind w:left="0"/>
      </w:pPr>
    </w:p>
    <w:p w:rsidR="002C2555" w:rsidP="00307349" w14:paraId="5C1BECA4" w14:textId="77777777">
      <w:pPr>
        <w:pStyle w:val="BodyTextIndent3"/>
        <w:ind w:left="0"/>
      </w:pPr>
      <w:r>
        <w:t xml:space="preserve">Document reviews, including record abstractions, are a low-burden methods of gathering information and allow investigators to explore program components, characteristics of participants, and information disseminated to populations served. Observation of programs (e.g., post-overdose outreach, naloxone distribution) are another low-burden way of understanding strategy implementation. </w:t>
      </w:r>
    </w:p>
    <w:p w:rsidR="00326A0D" w:rsidRPr="00ED24EF" w:rsidP="008462F0" w14:paraId="495E695F" w14:textId="77777777">
      <w:pPr>
        <w:pStyle w:val="Body1"/>
        <w:rPr>
          <w:szCs w:val="24"/>
        </w:rPr>
      </w:pPr>
    </w:p>
    <w:p w:rsidR="0099580B" w:rsidP="000E268E" w14:paraId="49006D3F" w14:textId="6E1940F4">
      <w:pPr>
        <w:pStyle w:val="Body1"/>
        <w:rPr>
          <w:szCs w:val="24"/>
        </w:rPr>
      </w:pPr>
      <w:r>
        <w:rPr>
          <w:b/>
          <w:bCs/>
          <w:szCs w:val="24"/>
        </w:rPr>
        <w:t>Collecting information via document review.</w:t>
      </w:r>
      <w:r w:rsidRPr="00ED24EF" w:rsidR="00352E6E">
        <w:rPr>
          <w:szCs w:val="24"/>
        </w:rPr>
        <w:t xml:space="preserve"> </w:t>
      </w:r>
      <w:r>
        <w:rPr>
          <w:szCs w:val="24"/>
        </w:rPr>
        <w:t>Documents and records</w:t>
      </w:r>
      <w:r w:rsidRPr="00ED24EF" w:rsidR="00352E6E">
        <w:rPr>
          <w:szCs w:val="24"/>
        </w:rPr>
        <w:t xml:space="preserve"> from</w:t>
      </w:r>
      <w:r w:rsidR="00171886">
        <w:rPr>
          <w:szCs w:val="24"/>
        </w:rPr>
        <w:t xml:space="preserve"> service providers, including</w:t>
      </w:r>
      <w:r w:rsidRPr="00ED24EF" w:rsidR="00352E6E">
        <w:rPr>
          <w:szCs w:val="24"/>
        </w:rPr>
        <w:t xml:space="preserve"> </w:t>
      </w:r>
      <w:r w:rsidR="00352E6E">
        <w:rPr>
          <w:szCs w:val="24"/>
        </w:rPr>
        <w:t xml:space="preserve">community-based service providers, law enforcement and other public safety authorities, </w:t>
      </w:r>
      <w:r w:rsidR="00171886">
        <w:rPr>
          <w:szCs w:val="24"/>
        </w:rPr>
        <w:t xml:space="preserve">courts, </w:t>
      </w:r>
      <w:r w:rsidRPr="00ED24EF" w:rsidR="00352E6E">
        <w:rPr>
          <w:szCs w:val="24"/>
        </w:rPr>
        <w:t>hospitals, outpatient facilities, and medical examiners/coroners</w:t>
      </w:r>
      <w:r w:rsidR="00A60742">
        <w:rPr>
          <w:szCs w:val="24"/>
        </w:rPr>
        <w:t xml:space="preserve"> can</w:t>
      </w:r>
      <w:r w:rsidRPr="00ED24EF" w:rsidR="00352E6E">
        <w:rPr>
          <w:szCs w:val="24"/>
        </w:rPr>
        <w:t xml:space="preserve"> provide useful</w:t>
      </w:r>
      <w:r w:rsidR="00A60742">
        <w:rPr>
          <w:szCs w:val="24"/>
        </w:rPr>
        <w:t xml:space="preserve"> information on implementation of overdose prevention strategies.</w:t>
      </w:r>
      <w:r w:rsidRPr="00ED24EF" w:rsidR="00352E6E">
        <w:rPr>
          <w:szCs w:val="24"/>
        </w:rPr>
        <w:t xml:space="preserve"> </w:t>
      </w:r>
      <w:r w:rsidR="00BF331F">
        <w:rPr>
          <w:szCs w:val="24"/>
        </w:rPr>
        <w:t>When it is</w:t>
      </w:r>
      <w:r w:rsidRPr="00ED24EF" w:rsidR="00352E6E">
        <w:rPr>
          <w:szCs w:val="24"/>
        </w:rPr>
        <w:t xml:space="preserve"> necessary to collect </w:t>
      </w:r>
      <w:r w:rsidR="00BF331F">
        <w:rPr>
          <w:szCs w:val="24"/>
        </w:rPr>
        <w:t>documents or records</w:t>
      </w:r>
      <w:r w:rsidRPr="00ED24EF" w:rsidR="00352E6E">
        <w:rPr>
          <w:szCs w:val="24"/>
        </w:rPr>
        <w:t xml:space="preserve"> from 10 or more </w:t>
      </w:r>
      <w:r w:rsidR="00352E6E">
        <w:rPr>
          <w:szCs w:val="24"/>
        </w:rPr>
        <w:t>service providers</w:t>
      </w:r>
      <w:r w:rsidR="00BF331F">
        <w:rPr>
          <w:szCs w:val="24"/>
        </w:rPr>
        <w:t>, document review</w:t>
      </w:r>
      <w:r w:rsidRPr="00ED24EF" w:rsidR="00352E6E">
        <w:rPr>
          <w:szCs w:val="24"/>
        </w:rPr>
        <w:t xml:space="preserve"> will be included in the </w:t>
      </w:r>
      <w:r w:rsidR="00F94222">
        <w:rPr>
          <w:szCs w:val="24"/>
        </w:rPr>
        <w:t>g</w:t>
      </w:r>
      <w:r w:rsidRPr="00ED24EF" w:rsidR="00352E6E">
        <w:rPr>
          <w:szCs w:val="24"/>
        </w:rPr>
        <w:t xml:space="preserve">enIC approval request. Information extracted from </w:t>
      </w:r>
      <w:r w:rsidR="00BF331F">
        <w:rPr>
          <w:szCs w:val="24"/>
        </w:rPr>
        <w:t>documents</w:t>
      </w:r>
      <w:r w:rsidRPr="00ED24EF" w:rsidR="00352E6E">
        <w:rPr>
          <w:szCs w:val="24"/>
        </w:rPr>
        <w:t xml:space="preserve"> could include type of data source (e.g., </w:t>
      </w:r>
      <w:r w:rsidR="0085307B">
        <w:rPr>
          <w:szCs w:val="24"/>
        </w:rPr>
        <w:t xml:space="preserve">screening tool, referral card, training manual, </w:t>
      </w:r>
      <w:r w:rsidRPr="00ED24EF" w:rsidR="00352E6E">
        <w:rPr>
          <w:szCs w:val="24"/>
        </w:rPr>
        <w:t>toxicology report, medical records, EMS run sheet</w:t>
      </w:r>
      <w:r w:rsidR="0085307B">
        <w:rPr>
          <w:szCs w:val="24"/>
        </w:rPr>
        <w:t>)</w:t>
      </w:r>
      <w:r w:rsidR="007429DF">
        <w:rPr>
          <w:szCs w:val="24"/>
        </w:rPr>
        <w:t>, participant characteristics, information</w:t>
      </w:r>
      <w:r w:rsidR="00743A88">
        <w:rPr>
          <w:szCs w:val="24"/>
        </w:rPr>
        <w:t xml:space="preserve"> or services</w:t>
      </w:r>
      <w:r w:rsidR="007429DF">
        <w:rPr>
          <w:szCs w:val="24"/>
        </w:rPr>
        <w:t xml:space="preserve"> provided, </w:t>
      </w:r>
      <w:r w:rsidR="00743A88">
        <w:rPr>
          <w:szCs w:val="24"/>
        </w:rPr>
        <w:t xml:space="preserve">or </w:t>
      </w:r>
      <w:r w:rsidR="00976891">
        <w:rPr>
          <w:szCs w:val="24"/>
        </w:rPr>
        <w:t>program/service components</w:t>
      </w:r>
      <w:r w:rsidR="00743A88">
        <w:rPr>
          <w:szCs w:val="24"/>
        </w:rPr>
        <w:t xml:space="preserve">. All information collected from </w:t>
      </w:r>
      <w:r w:rsidR="003C6275">
        <w:rPr>
          <w:szCs w:val="24"/>
        </w:rPr>
        <w:t xml:space="preserve">documents will be de-identified to ensure no personal identifying information is included. </w:t>
      </w:r>
    </w:p>
    <w:p w:rsidR="000D0588" w:rsidRPr="000D0588" w:rsidP="000D0588" w14:paraId="15017B63" w14:textId="77777777">
      <w:pPr>
        <w:pStyle w:val="Body1"/>
        <w:ind w:left="1080"/>
        <w:rPr>
          <w:szCs w:val="24"/>
        </w:rPr>
      </w:pPr>
    </w:p>
    <w:p w:rsidR="000D0588" w:rsidP="007F0871" w14:paraId="3DF17B07" w14:textId="5EF07F80">
      <w:pPr>
        <w:pStyle w:val="Body1"/>
        <w:rPr>
          <w:szCs w:val="24"/>
        </w:rPr>
      </w:pPr>
      <w:r w:rsidRPr="00141807">
        <w:rPr>
          <w:b/>
          <w:bCs/>
          <w:szCs w:val="24"/>
        </w:rPr>
        <w:t>Collection of information from representatives from 10 or more agencies</w:t>
      </w:r>
      <w:r w:rsidRPr="0099580B">
        <w:rPr>
          <w:szCs w:val="24"/>
        </w:rPr>
        <w:t xml:space="preserve">. There are many </w:t>
      </w:r>
      <w:r w:rsidR="007F0871">
        <w:rPr>
          <w:szCs w:val="24"/>
        </w:rPr>
        <w:t xml:space="preserve">PH/PS </w:t>
      </w:r>
      <w:r w:rsidRPr="0099580B">
        <w:rPr>
          <w:szCs w:val="24"/>
        </w:rPr>
        <w:t xml:space="preserve">organizations and agencies involved </w:t>
      </w:r>
      <w:r w:rsidR="00420F04">
        <w:rPr>
          <w:szCs w:val="24"/>
        </w:rPr>
        <w:t>implementing overdose prevention strategies</w:t>
      </w:r>
      <w:r w:rsidRPr="0099580B">
        <w:rPr>
          <w:szCs w:val="24"/>
        </w:rPr>
        <w:t xml:space="preserve">. It is anticipated that representatives from 10 or more agencies could be asked to participate in </w:t>
      </w:r>
      <w:r w:rsidR="007F0871">
        <w:rPr>
          <w:szCs w:val="24"/>
        </w:rPr>
        <w:t>information collection</w:t>
      </w:r>
      <w:r w:rsidRPr="0099580B">
        <w:rPr>
          <w:szCs w:val="24"/>
        </w:rPr>
        <w:t xml:space="preserve"> on the same topic</w:t>
      </w:r>
      <w:r w:rsidR="001A5BA2">
        <w:rPr>
          <w:szCs w:val="24"/>
        </w:rPr>
        <w:t>,</w:t>
      </w:r>
      <w:r w:rsidRPr="0099580B">
        <w:rPr>
          <w:szCs w:val="24"/>
        </w:rPr>
        <w:t xml:space="preserve"> us</w:t>
      </w:r>
      <w:r w:rsidR="001A5BA2">
        <w:rPr>
          <w:szCs w:val="24"/>
        </w:rPr>
        <w:t>ing</w:t>
      </w:r>
      <w:r w:rsidRPr="0099580B">
        <w:rPr>
          <w:szCs w:val="24"/>
        </w:rPr>
        <w:t xml:space="preserve"> similarly structured questions. For example, an agency representative from 10 or more </w:t>
      </w:r>
      <w:r w:rsidR="007B05BE">
        <w:rPr>
          <w:szCs w:val="24"/>
        </w:rPr>
        <w:t>law enforcement agencies</w:t>
      </w:r>
      <w:r w:rsidRPr="0099580B">
        <w:rPr>
          <w:szCs w:val="24"/>
        </w:rPr>
        <w:t xml:space="preserve"> could be asked about their professional history, experience with drug overdose cases or investigations, </w:t>
      </w:r>
      <w:r w:rsidR="00C730BF">
        <w:rPr>
          <w:szCs w:val="24"/>
        </w:rPr>
        <w:t xml:space="preserve">receipt of job training, </w:t>
      </w:r>
      <w:r w:rsidRPr="0099580B">
        <w:rPr>
          <w:szCs w:val="24"/>
        </w:rPr>
        <w:t xml:space="preserve">prevention or intervention policies and programs implemented, professional experience implementing overdose prevention and response strategies, locations of overdoses (e.g., hot spots), experience collaborating with other agencies, and challenges and barriers encountered. </w:t>
      </w:r>
    </w:p>
    <w:p w:rsidR="000D0588" w:rsidRPr="000D0588" w:rsidP="000D0588" w14:paraId="30B72B20" w14:textId="77777777">
      <w:pPr>
        <w:pStyle w:val="Body1"/>
        <w:ind w:left="1080"/>
        <w:rPr>
          <w:szCs w:val="24"/>
        </w:rPr>
      </w:pPr>
    </w:p>
    <w:p w:rsidR="000D0588" w:rsidP="00C730BF" w14:paraId="79CFB435" w14:textId="6D56DDC2">
      <w:pPr>
        <w:pStyle w:val="Body1"/>
        <w:rPr>
          <w:szCs w:val="24"/>
        </w:rPr>
      </w:pPr>
      <w:r w:rsidRPr="00141807">
        <w:rPr>
          <w:b/>
          <w:bCs/>
          <w:szCs w:val="24"/>
        </w:rPr>
        <w:t>Collection of information from 10 or more representatives from a specific agency</w:t>
      </w:r>
      <w:r w:rsidRPr="00141807">
        <w:rPr>
          <w:szCs w:val="24"/>
        </w:rPr>
        <w:t>.</w:t>
      </w:r>
      <w:r w:rsidRPr="000D0588">
        <w:rPr>
          <w:szCs w:val="24"/>
        </w:rPr>
        <w:t xml:space="preserve"> Because </w:t>
      </w:r>
      <w:r w:rsidR="006D5DE0">
        <w:rPr>
          <w:szCs w:val="24"/>
        </w:rPr>
        <w:t xml:space="preserve">agency </w:t>
      </w:r>
      <w:r w:rsidR="00473DB4">
        <w:rPr>
          <w:szCs w:val="24"/>
        </w:rPr>
        <w:t>representatives</w:t>
      </w:r>
      <w:r w:rsidRPr="000D0588">
        <w:rPr>
          <w:szCs w:val="24"/>
        </w:rPr>
        <w:t xml:space="preserve"> serve different roles, it is possible that respondents from these agencies would be asked different questions about their role, knowledge, attitudes, and experiences. For example, the role played by </w:t>
      </w:r>
      <w:r w:rsidR="00856372">
        <w:rPr>
          <w:szCs w:val="24"/>
        </w:rPr>
        <w:t>behavioral healthcare workers</w:t>
      </w:r>
      <w:r w:rsidRPr="000D0588">
        <w:rPr>
          <w:szCs w:val="24"/>
        </w:rPr>
        <w:t xml:space="preserve"> is different from the role played by law enforcement personnel. However, 10 or more representatives within a specific agency could be asked to participate in surveys or interviews that are on the same topic and use similarly structured questions. For example, 10 or more </w:t>
      </w:r>
      <w:r w:rsidR="003E4C00">
        <w:rPr>
          <w:szCs w:val="24"/>
        </w:rPr>
        <w:t>law enforcement personnel</w:t>
      </w:r>
      <w:r w:rsidRPr="000D0588">
        <w:rPr>
          <w:szCs w:val="24"/>
        </w:rPr>
        <w:t xml:space="preserve"> in </w:t>
      </w:r>
      <w:r w:rsidR="006F2E0F">
        <w:rPr>
          <w:szCs w:val="24"/>
        </w:rPr>
        <w:t xml:space="preserve">a state </w:t>
      </w:r>
      <w:r w:rsidR="00A95A0A">
        <w:rPr>
          <w:szCs w:val="24"/>
        </w:rPr>
        <w:t>police department</w:t>
      </w:r>
      <w:r w:rsidRPr="000D0588">
        <w:rPr>
          <w:szCs w:val="24"/>
        </w:rPr>
        <w:t xml:space="preserve"> could be asked about professional experience, standard procedures followed in responding to drug overdose, </w:t>
      </w:r>
      <w:r w:rsidR="00A95A0A">
        <w:rPr>
          <w:szCs w:val="24"/>
        </w:rPr>
        <w:t>implementation of post-overdose response</w:t>
      </w:r>
      <w:r w:rsidRPr="000D0588">
        <w:rPr>
          <w:szCs w:val="24"/>
        </w:rPr>
        <w:t xml:space="preserve">, naloxone </w:t>
      </w:r>
      <w:r w:rsidR="00A95A0A">
        <w:rPr>
          <w:szCs w:val="24"/>
        </w:rPr>
        <w:t>distribution</w:t>
      </w:r>
      <w:r w:rsidRPr="000D0588">
        <w:rPr>
          <w:szCs w:val="24"/>
        </w:rPr>
        <w:t xml:space="preserve">, and trends in overdose cases seen. Or 10 or more representatives from a substance use prevention and treatment community organization could be asked about their prevention </w:t>
      </w:r>
      <w:r w:rsidR="00A95A0A">
        <w:rPr>
          <w:szCs w:val="24"/>
        </w:rPr>
        <w:t>strategies</w:t>
      </w:r>
      <w:r w:rsidRPr="000D0588">
        <w:rPr>
          <w:szCs w:val="24"/>
        </w:rPr>
        <w:t xml:space="preserve">, </w:t>
      </w:r>
      <w:r w:rsidR="00A95A0A">
        <w:rPr>
          <w:szCs w:val="24"/>
        </w:rPr>
        <w:t xml:space="preserve">collaboration with public safety partners, </w:t>
      </w:r>
      <w:r w:rsidRPr="000D0588">
        <w:rPr>
          <w:szCs w:val="24"/>
        </w:rPr>
        <w:t xml:space="preserve">services provided, barriers to </w:t>
      </w:r>
      <w:r w:rsidR="00A95A0A">
        <w:rPr>
          <w:szCs w:val="24"/>
        </w:rPr>
        <w:t>service utilization</w:t>
      </w:r>
      <w:r w:rsidRPr="000D0588">
        <w:rPr>
          <w:szCs w:val="24"/>
        </w:rPr>
        <w:t xml:space="preserve">, </w:t>
      </w:r>
      <w:r w:rsidR="00A95A0A">
        <w:rPr>
          <w:szCs w:val="24"/>
        </w:rPr>
        <w:t>client needs</w:t>
      </w:r>
      <w:r w:rsidRPr="000D0588">
        <w:rPr>
          <w:szCs w:val="24"/>
        </w:rPr>
        <w:t xml:space="preserve">, and so forth. Finally, 10 or more representatives from the state/county/city health </w:t>
      </w:r>
      <w:r w:rsidRPr="000D0588">
        <w:rPr>
          <w:szCs w:val="24"/>
        </w:rPr>
        <w:t xml:space="preserve">department could be asked about their coordination with </w:t>
      </w:r>
      <w:r w:rsidR="000D3D33">
        <w:rPr>
          <w:szCs w:val="24"/>
        </w:rPr>
        <w:t xml:space="preserve">public safety </w:t>
      </w:r>
      <w:r w:rsidRPr="000D0588">
        <w:rPr>
          <w:szCs w:val="24"/>
        </w:rPr>
        <w:t xml:space="preserve">agencies, prevention and treatment programs </w:t>
      </w:r>
      <w:r w:rsidR="000D3D33">
        <w:rPr>
          <w:szCs w:val="24"/>
        </w:rPr>
        <w:t>implemented</w:t>
      </w:r>
      <w:r w:rsidRPr="000D0588">
        <w:rPr>
          <w:szCs w:val="24"/>
        </w:rPr>
        <w:t>, local trends in drug overdose, policy implementation, and resources available for rapid response to control</w:t>
      </w:r>
      <w:r>
        <w:rPr>
          <w:szCs w:val="24"/>
        </w:rPr>
        <w:t xml:space="preserve"> </w:t>
      </w:r>
      <w:r w:rsidRPr="000D0588">
        <w:rPr>
          <w:szCs w:val="24"/>
        </w:rPr>
        <w:t xml:space="preserve">epidemics. </w:t>
      </w:r>
    </w:p>
    <w:p w:rsidR="000D0588" w:rsidP="000D0588" w14:paraId="5744268F" w14:textId="77777777">
      <w:pPr>
        <w:pStyle w:val="Body1"/>
        <w:ind w:left="1080"/>
        <w:rPr>
          <w:szCs w:val="24"/>
        </w:rPr>
      </w:pPr>
    </w:p>
    <w:p w:rsidR="000D0588" w:rsidP="00141807" w14:paraId="4D5AA92A" w14:textId="4323A41D">
      <w:pPr>
        <w:pStyle w:val="Body1"/>
        <w:rPr>
          <w:szCs w:val="24"/>
        </w:rPr>
      </w:pPr>
      <w:r w:rsidRPr="008E133F">
        <w:rPr>
          <w:b/>
          <w:bCs/>
          <w:szCs w:val="24"/>
        </w:rPr>
        <w:t xml:space="preserve">Collection of information from populations at risk, participants of overdose prevention and response services, </w:t>
      </w:r>
      <w:r w:rsidRPr="008E133F" w:rsidR="000D3D33">
        <w:rPr>
          <w:b/>
          <w:bCs/>
          <w:szCs w:val="24"/>
        </w:rPr>
        <w:t>persons who experience overdose</w:t>
      </w:r>
      <w:r w:rsidRPr="008E133F">
        <w:rPr>
          <w:b/>
          <w:bCs/>
          <w:szCs w:val="24"/>
        </w:rPr>
        <w:t>, friends, and family.</w:t>
      </w:r>
      <w:r w:rsidRPr="000D0588">
        <w:rPr>
          <w:szCs w:val="24"/>
        </w:rPr>
        <w:t xml:space="preserve"> Information about the context of drug overdose </w:t>
      </w:r>
      <w:r w:rsidR="00F60116">
        <w:rPr>
          <w:szCs w:val="24"/>
        </w:rPr>
        <w:t xml:space="preserve">and strategies to reduce overdose </w:t>
      </w:r>
      <w:r w:rsidRPr="000D0588">
        <w:rPr>
          <w:szCs w:val="24"/>
        </w:rPr>
        <w:t xml:space="preserve">can often be obtained from those directly affected, </w:t>
      </w:r>
      <w:r w:rsidRPr="008E133F">
        <w:rPr>
          <w:szCs w:val="24"/>
        </w:rPr>
        <w:t xml:space="preserve">including populations at risk, participants of overdose prevention and response services, </w:t>
      </w:r>
      <w:r w:rsidRPr="008E133F" w:rsidR="00C0415D">
        <w:rPr>
          <w:szCs w:val="24"/>
        </w:rPr>
        <w:t xml:space="preserve">people who have experienced </w:t>
      </w:r>
      <w:r w:rsidRPr="008E133F">
        <w:rPr>
          <w:szCs w:val="24"/>
        </w:rPr>
        <w:t xml:space="preserve">nonfatal overdose, friends, and family. </w:t>
      </w:r>
      <w:r w:rsidRPr="008E133F" w:rsidR="00C0415D">
        <w:rPr>
          <w:szCs w:val="24"/>
        </w:rPr>
        <w:t xml:space="preserve">These may include people with a history of involvement in the criminal </w:t>
      </w:r>
      <w:r w:rsidR="008C0E0C">
        <w:rPr>
          <w:szCs w:val="24"/>
        </w:rPr>
        <w:t>legal</w:t>
      </w:r>
      <w:r w:rsidR="00C0415D">
        <w:rPr>
          <w:szCs w:val="24"/>
        </w:rPr>
        <w:t xml:space="preserve"> system. </w:t>
      </w:r>
      <w:r w:rsidRPr="000D0588">
        <w:rPr>
          <w:szCs w:val="24"/>
        </w:rPr>
        <w:t xml:space="preserve">It is anticipated that 10 or more of these individuals could be asked to participate in surveys or interviews that are on the same topic and use similarly structured questions. For example, these individuals could be asked to report on </w:t>
      </w:r>
      <w:r w:rsidR="002A0F0A">
        <w:rPr>
          <w:szCs w:val="24"/>
        </w:rPr>
        <w:t>drug</w:t>
      </w:r>
      <w:r w:rsidRPr="000D0588">
        <w:rPr>
          <w:szCs w:val="24"/>
        </w:rPr>
        <w:t xml:space="preserve"> use history, service use history and experience,</w:t>
      </w:r>
      <w:r w:rsidR="00E40850">
        <w:rPr>
          <w:szCs w:val="24"/>
        </w:rPr>
        <w:t xml:space="preserve"> barriers</w:t>
      </w:r>
      <w:r w:rsidR="008E133F">
        <w:rPr>
          <w:szCs w:val="24"/>
        </w:rPr>
        <w:t>,</w:t>
      </w:r>
      <w:r w:rsidR="00E40850">
        <w:rPr>
          <w:szCs w:val="24"/>
        </w:rPr>
        <w:t xml:space="preserve"> and facilitators to engaging in overdose prevention strategies, </w:t>
      </w:r>
      <w:r w:rsidRPr="000D0588">
        <w:rPr>
          <w:szCs w:val="24"/>
        </w:rPr>
        <w:t xml:space="preserve">number of providers and </w:t>
      </w:r>
      <w:r w:rsidR="00E40850">
        <w:rPr>
          <w:szCs w:val="24"/>
        </w:rPr>
        <w:t>services</w:t>
      </w:r>
      <w:r w:rsidRPr="000D0588">
        <w:rPr>
          <w:szCs w:val="24"/>
        </w:rPr>
        <w:t xml:space="preserve"> used, </w:t>
      </w:r>
      <w:r w:rsidR="003742EE">
        <w:rPr>
          <w:szCs w:val="24"/>
        </w:rPr>
        <w:t xml:space="preserve">and </w:t>
      </w:r>
      <w:r w:rsidRPr="000D0588">
        <w:rPr>
          <w:szCs w:val="24"/>
        </w:rPr>
        <w:t>co-occurring health</w:t>
      </w:r>
      <w:r w:rsidR="00E40850">
        <w:rPr>
          <w:szCs w:val="24"/>
        </w:rPr>
        <w:t xml:space="preserve"> and social</w:t>
      </w:r>
      <w:r w:rsidRPr="000D0588">
        <w:rPr>
          <w:szCs w:val="24"/>
        </w:rPr>
        <w:t xml:space="preserve"> conditions (e.g., </w:t>
      </w:r>
      <w:r w:rsidR="00E40850">
        <w:rPr>
          <w:bCs/>
          <w:szCs w:val="24"/>
        </w:rPr>
        <w:t xml:space="preserve">homelessness, </w:t>
      </w:r>
      <w:r w:rsidR="00D46FB3">
        <w:rPr>
          <w:bCs/>
          <w:szCs w:val="24"/>
        </w:rPr>
        <w:t>wounds</w:t>
      </w:r>
      <w:r w:rsidRPr="000D0588">
        <w:rPr>
          <w:szCs w:val="24"/>
        </w:rPr>
        <w:t>).</w:t>
      </w:r>
    </w:p>
    <w:p w:rsidR="00A60742" w:rsidP="00141807" w14:paraId="495BC0D4" w14:textId="77777777">
      <w:pPr>
        <w:pStyle w:val="Body1"/>
        <w:rPr>
          <w:szCs w:val="24"/>
        </w:rPr>
      </w:pPr>
    </w:p>
    <w:p w:rsidR="00352E6E" w:rsidRPr="00A60742" w:rsidP="00856051" w14:paraId="2F8B5C9E" w14:textId="06A0E1A5">
      <w:pPr>
        <w:pStyle w:val="Body1"/>
        <w:numPr>
          <w:ilvl w:val="0"/>
          <w:numId w:val="7"/>
        </w:numPr>
        <w:rPr>
          <w:b/>
          <w:bCs/>
          <w:szCs w:val="24"/>
        </w:rPr>
      </w:pPr>
      <w:r w:rsidRPr="00A60742">
        <w:rPr>
          <w:b/>
          <w:bCs/>
        </w:rPr>
        <w:t>Statistical method for stratification and sample selection</w:t>
      </w:r>
    </w:p>
    <w:p w:rsidR="00352E6E" w:rsidRPr="00ED24EF" w:rsidP="00B56D3E" w14:paraId="106CED65" w14:textId="77777777">
      <w:pPr>
        <w:pStyle w:val="BodyTextIndent3"/>
        <w:ind w:left="1080"/>
      </w:pPr>
    </w:p>
    <w:p w:rsidR="00352E6E" w:rsidRPr="00ED24EF" w:rsidP="00856051" w14:paraId="3DDC06EB" w14:textId="209AB0FE">
      <w:pPr>
        <w:pStyle w:val="BodyTextIndent3"/>
        <w:ind w:left="0"/>
      </w:pPr>
      <w:r w:rsidRPr="00ED24EF">
        <w:t xml:space="preserve">Most investigations of smaller scale </w:t>
      </w:r>
      <w:r w:rsidR="00D60314">
        <w:t>overdose prevention strategies or individuals at risk of overdose</w:t>
      </w:r>
      <w:r w:rsidRPr="00ED24EF">
        <w:t xml:space="preserve"> require collecting information from all individuals </w:t>
      </w:r>
      <w:r w:rsidR="00084D0C">
        <w:t>i</w:t>
      </w:r>
      <w:r w:rsidR="009956FA">
        <w:t>nvolved in or affected by the strategy</w:t>
      </w:r>
      <w:r w:rsidRPr="00ED24EF">
        <w:t xml:space="preserve">. However, with </w:t>
      </w:r>
      <w:r w:rsidR="00D312D9">
        <w:t>strategies</w:t>
      </w:r>
      <w:r w:rsidRPr="00ED24EF">
        <w:t xml:space="preserve"> involving larger numbers of individuals, investigators may choose to collect information from a sample of affected individuals and appropriate controls.  When statistical methods are employed in the collection of information, expert statistical assistance is available at CDC relating to sampling methodology and selection of controls. For example, cases may be randomly selected from a line list and controls may be selected based on pair-matching (i.e., one or more matching controls selected for each case based on certain characteristics such as age, sex, geographic location, having a particular risk factor, etc.).  Respondents will be chosen based on the </w:t>
      </w:r>
      <w:r w:rsidR="00255FDD">
        <w:t xml:space="preserve">type of </w:t>
      </w:r>
      <w:r w:rsidRPr="00ED24EF">
        <w:t xml:space="preserve">organizations responsible for implementing </w:t>
      </w:r>
      <w:r w:rsidR="00255FDD">
        <w:t>overdose prevention strategies</w:t>
      </w:r>
      <w:r w:rsidRPr="00ED24EF">
        <w:t xml:space="preserve">. Advance notice will be provided to respondents. </w:t>
      </w:r>
    </w:p>
    <w:p w:rsidR="00352E6E" w:rsidRPr="00ED24EF" w:rsidP="00B56D3E" w14:paraId="48FB6B7F" w14:textId="77777777">
      <w:pPr>
        <w:pStyle w:val="BodyTextIndent3"/>
        <w:ind w:left="1440"/>
      </w:pPr>
    </w:p>
    <w:p w:rsidR="00850DAF" w:rsidP="0029036A" w14:paraId="7256B992" w14:textId="3E8DE1B5">
      <w:pPr>
        <w:pStyle w:val="BodyTextIndent3"/>
        <w:ind w:left="0"/>
      </w:pPr>
      <w:r w:rsidRPr="0029036A">
        <w:rPr>
          <w:rFonts w:eastAsia="Arial Unicode MS"/>
          <w:b/>
          <w:bCs/>
          <w:color w:val="000000"/>
          <w:u w:color="000000"/>
        </w:rPr>
        <w:t>Estimation procedure</w:t>
      </w:r>
      <w:r w:rsidRPr="0029036A" w:rsidR="0029036A">
        <w:rPr>
          <w:b/>
          <w:bCs/>
        </w:rPr>
        <w:t>.</w:t>
      </w:r>
      <w:r w:rsidR="0029036A">
        <w:t xml:space="preserve"> </w:t>
      </w:r>
      <w:r w:rsidRPr="00ED24EF">
        <w:t xml:space="preserve">Data analysis is conducted under the advice of a statistician/data analyst from CDC or the requesting </w:t>
      </w:r>
      <w:r w:rsidR="00F764EB">
        <w:t>agency</w:t>
      </w:r>
      <w:r w:rsidRPr="00ED24EF">
        <w:t xml:space="preserve"> and will involve descriptive statistics</w:t>
      </w:r>
      <w:r>
        <w:t xml:space="preserve"> and various qualitative data analysis</w:t>
      </w:r>
      <w:r w:rsidR="00F764EB">
        <w:t xml:space="preserve"> techniques</w:t>
      </w:r>
      <w:r w:rsidRPr="00ED24EF">
        <w:t xml:space="preserve">. Additional bivariate and multivariate analyses </w:t>
      </w:r>
      <w:r>
        <w:t>are</w:t>
      </w:r>
      <w:r w:rsidRPr="00ED24EF">
        <w:t xml:space="preserve"> conducted as needed to identify </w:t>
      </w:r>
      <w:r w:rsidR="001B490D">
        <w:t>barriers</w:t>
      </w:r>
      <w:r w:rsidR="006A28D5">
        <w:t xml:space="preserve"> </w:t>
      </w:r>
      <w:r w:rsidR="00434809">
        <w:t>to</w:t>
      </w:r>
      <w:r w:rsidR="001B490D">
        <w:t>, facilitators</w:t>
      </w:r>
      <w:r w:rsidR="006A28D5">
        <w:t xml:space="preserve"> </w:t>
      </w:r>
      <w:r w:rsidR="00434809">
        <w:t>to</w:t>
      </w:r>
      <w:r w:rsidR="001B490D">
        <w:t xml:space="preserve">, </w:t>
      </w:r>
      <w:r w:rsidR="006A28D5">
        <w:t xml:space="preserve">and </w:t>
      </w:r>
      <w:r w:rsidR="001B490D">
        <w:t>best practices</w:t>
      </w:r>
      <w:r w:rsidR="006A28D5">
        <w:t xml:space="preserve"> </w:t>
      </w:r>
      <w:r w:rsidR="00434809">
        <w:t>of, and disparities in implementing</w:t>
      </w:r>
      <w:r w:rsidR="00D43936">
        <w:t xml:space="preserve"> overdose prevention strategies or addressing risk among justice-involved populations, </w:t>
      </w:r>
      <w:r w:rsidRPr="00ED24EF">
        <w:t xml:space="preserve">so that effective prevention measures can be </w:t>
      </w:r>
      <w:r w:rsidR="0046306A">
        <w:t>identified</w:t>
      </w:r>
      <w:r w:rsidRPr="00ED24EF">
        <w:t xml:space="preserve">. </w:t>
      </w:r>
    </w:p>
    <w:p w:rsidR="00850DAF" w:rsidP="00850DAF" w14:paraId="75C33210" w14:textId="77777777">
      <w:pPr>
        <w:pStyle w:val="BodyTextIndent3"/>
        <w:ind w:left="720"/>
      </w:pPr>
    </w:p>
    <w:p w:rsidR="00850DAF" w:rsidP="00941B01" w14:paraId="5B330634" w14:textId="1990C7BB">
      <w:pPr>
        <w:pStyle w:val="BodyTextIndent3"/>
        <w:tabs>
          <w:tab w:val="clear" w:pos="1800"/>
        </w:tabs>
        <w:ind w:left="0"/>
      </w:pPr>
      <w:r w:rsidRPr="00941B01">
        <w:rPr>
          <w:rFonts w:eastAsia="Arial Unicode MS"/>
          <w:b/>
          <w:bCs/>
          <w:color w:val="000000"/>
          <w:u w:color="000000"/>
        </w:rPr>
        <w:t>Unusual problems requiring specialized sampling procedures</w:t>
      </w:r>
      <w:r w:rsidRPr="00941B01" w:rsidR="00941B01">
        <w:rPr>
          <w:rFonts w:eastAsia="Arial Unicode MS"/>
          <w:b/>
          <w:bCs/>
          <w:color w:val="000000"/>
          <w:u w:color="000000"/>
        </w:rPr>
        <w:t xml:space="preserve">. </w:t>
      </w:r>
      <w:r w:rsidRPr="00ED24EF">
        <w:t>CDC does not expect unusual problems requiring specialized sampling.</w:t>
      </w:r>
    </w:p>
    <w:p w:rsidR="00850DAF" w:rsidP="00850DAF" w14:paraId="45FC1963" w14:textId="77777777">
      <w:pPr>
        <w:pStyle w:val="BodyTextIndent3"/>
        <w:ind w:left="720"/>
      </w:pPr>
    </w:p>
    <w:p w:rsidR="00352E6E" w:rsidRPr="00ED24EF" w:rsidP="00941B01" w14:paraId="3BB5B30B" w14:textId="76F4F507">
      <w:pPr>
        <w:pStyle w:val="BodyTextIndent3"/>
        <w:ind w:left="0"/>
      </w:pPr>
      <w:r w:rsidRPr="00941B01">
        <w:rPr>
          <w:rFonts w:eastAsia="Arial Unicode MS"/>
          <w:b/>
          <w:bCs/>
          <w:color w:val="000000"/>
          <w:u w:color="000000"/>
        </w:rPr>
        <w:t>Any use of periodic (less frequent than annual) data collection cycles to reduce burden</w:t>
      </w:r>
      <w:r w:rsidRPr="00941B01" w:rsidR="00941B01">
        <w:rPr>
          <w:rFonts w:eastAsia="Arial Unicode MS"/>
          <w:b/>
          <w:bCs/>
          <w:color w:val="000000"/>
          <w:u w:color="000000"/>
        </w:rPr>
        <w:t>.</w:t>
      </w:r>
      <w:r w:rsidR="00941B01">
        <w:rPr>
          <w:rFonts w:eastAsia="Arial Unicode MS"/>
          <w:color w:val="000000"/>
          <w:u w:color="000000"/>
        </w:rPr>
        <w:t xml:space="preserve"> </w:t>
      </w:r>
      <w:r w:rsidR="008D4A64">
        <w:rPr>
          <w:rFonts w:eastAsia="Arial Unicode MS"/>
          <w:color w:val="000000"/>
          <w:u w:color="000000"/>
        </w:rPr>
        <w:t>P</w:t>
      </w:r>
      <w:r w:rsidRPr="00850DAF">
        <w:rPr>
          <w:rFonts w:eastAsia="Arial Unicode MS"/>
          <w:color w:val="000000"/>
          <w:u w:color="000000"/>
        </w:rPr>
        <w:t xml:space="preserve">eriodic data collection is not being employed. The purpose of data collection is to </w:t>
      </w:r>
      <w:r w:rsidR="00B37F1F">
        <w:rPr>
          <w:rFonts w:eastAsia="Arial Unicode MS"/>
          <w:color w:val="000000"/>
          <w:u w:color="000000"/>
        </w:rPr>
        <w:t>understand</w:t>
      </w:r>
      <w:r w:rsidR="00A96BA0">
        <w:rPr>
          <w:rFonts w:eastAsia="Arial Unicode MS"/>
          <w:color w:val="000000"/>
          <w:u w:color="000000"/>
        </w:rPr>
        <w:t xml:space="preserve"> implementation of overdose prevention strategies that involve public safety or target justice-involved populations</w:t>
      </w:r>
      <w:r w:rsidRPr="00850DAF">
        <w:rPr>
          <w:rFonts w:eastAsia="Arial Unicode MS"/>
          <w:color w:val="000000"/>
          <w:u w:color="000000"/>
        </w:rPr>
        <w:t xml:space="preserve">. </w:t>
      </w:r>
      <w:r w:rsidR="008D4A64">
        <w:rPr>
          <w:rFonts w:eastAsia="Arial Unicode MS"/>
          <w:color w:val="000000"/>
          <w:u w:color="000000"/>
        </w:rPr>
        <w:t xml:space="preserve">Therefore, data collection will only take place when jurisdictional agencies request assistance from CDC in investigating these prevention strategies. </w:t>
      </w:r>
    </w:p>
    <w:p w:rsidR="00352E6E" w:rsidRPr="00ED24EF" w:rsidP="0044385A" w14:paraId="2BB0DF2E" w14:textId="77777777">
      <w:pPr>
        <w:pStyle w:val="BodyTextIndent3"/>
        <w:numPr>
          <w:ilvl w:val="0"/>
          <w:numId w:val="7"/>
        </w:numPr>
        <w:tabs>
          <w:tab w:val="clear" w:pos="1800"/>
        </w:tabs>
        <w:rPr>
          <w:b/>
          <w:bCs/>
        </w:rPr>
      </w:pPr>
      <w:r w:rsidRPr="00ED24EF">
        <w:rPr>
          <w:b/>
          <w:bCs/>
        </w:rPr>
        <w:t>Methods to Maximize Response Rates and Deal with No Response</w:t>
      </w:r>
    </w:p>
    <w:p w:rsidR="00352E6E" w:rsidRPr="00ED24EF" w:rsidP="00B56D3E" w14:paraId="3B6EBB7B" w14:textId="77777777">
      <w:pPr>
        <w:pStyle w:val="BodyTextIndent3"/>
        <w:tabs>
          <w:tab w:val="num" w:pos="720"/>
          <w:tab w:val="clear" w:pos="1800"/>
        </w:tabs>
        <w:ind w:left="360"/>
        <w:rPr>
          <w:b/>
          <w:bCs/>
        </w:rPr>
      </w:pPr>
    </w:p>
    <w:p w:rsidR="0044385A" w:rsidP="00D3195C" w14:paraId="653193C6" w14:textId="59DDBD36">
      <w:pPr>
        <w:pStyle w:val="BodyTextIndent3"/>
        <w:tabs>
          <w:tab w:val="clear" w:pos="1800"/>
        </w:tabs>
        <w:ind w:left="0"/>
      </w:pPr>
      <w:r w:rsidRPr="00ED24EF">
        <w:t>Because of the involvement of state</w:t>
      </w:r>
      <w:r w:rsidR="006772B7">
        <w:t>,</w:t>
      </w:r>
      <w:r w:rsidRPr="00ED24EF">
        <w:t xml:space="preserve"> local</w:t>
      </w:r>
      <w:r w:rsidR="006772B7">
        <w:t xml:space="preserve">, and community-based </w:t>
      </w:r>
      <w:r>
        <w:t>agencies</w:t>
      </w:r>
      <w:r w:rsidRPr="00ED24EF">
        <w:t xml:space="preserve">, and the general interest and concern surrounding drug overdose events, response rates </w:t>
      </w:r>
      <w:r w:rsidR="00B30170">
        <w:t xml:space="preserve">for this </w:t>
      </w:r>
      <w:r w:rsidR="00F94222">
        <w:t xml:space="preserve">Generic information IC request </w:t>
      </w:r>
      <w:r w:rsidR="00CA0082">
        <w:t>are expected</w:t>
      </w:r>
      <w:r w:rsidRPr="00ED24EF">
        <w:t xml:space="preserve"> to be high but can vary. For each </w:t>
      </w:r>
      <w:r w:rsidR="00616687">
        <w:t>data collection</w:t>
      </w:r>
      <w:r w:rsidRPr="00ED24EF">
        <w:t xml:space="preserve">, response rates are maximized by informing potential respondents of the critical nature of the event and the importance of collecting information to </w:t>
      </w:r>
      <w:r w:rsidR="009B5E70">
        <w:t>improve</w:t>
      </w:r>
      <w:r w:rsidRPr="00ED24EF">
        <w:t xml:space="preserve"> effective</w:t>
      </w:r>
      <w:r w:rsidR="009B5E70">
        <w:t>ness of</w:t>
      </w:r>
      <w:r w:rsidRPr="00ED24EF">
        <w:t xml:space="preserve"> prevention </w:t>
      </w:r>
      <w:r w:rsidR="009B5E70">
        <w:t>strategies</w:t>
      </w:r>
      <w:r w:rsidRPr="00ED24EF">
        <w:t>. Before collecting information, investigators inform respondents that participation is voluntary, that respondents are not personally identified in any published reports of the study, and that their privacy will be protected to the extent allowed under Federal law.</w:t>
      </w:r>
      <w:r w:rsidR="00B73625">
        <w:t xml:space="preserve"> Other efforts to improve response rates will </w:t>
      </w:r>
      <w:r w:rsidR="00695416">
        <w:t>include</w:t>
      </w:r>
      <w:r w:rsidR="00B73625">
        <w:t xml:space="preserve"> keeping surveys and questionnaires as brief as possible, </w:t>
      </w:r>
      <w:r w:rsidR="0036242F">
        <w:t xml:space="preserve">requiring little effort from participants, and giving potential participants </w:t>
      </w:r>
      <w:r w:rsidR="00695416">
        <w:t xml:space="preserve">gentle reminders to participate. </w:t>
      </w:r>
    </w:p>
    <w:p w:rsidR="0044385A" w:rsidP="0044385A" w14:paraId="04103045" w14:textId="77777777">
      <w:pPr>
        <w:pStyle w:val="BodyTextIndent3"/>
        <w:tabs>
          <w:tab w:val="clear" w:pos="1800"/>
        </w:tabs>
        <w:ind w:left="0"/>
      </w:pPr>
    </w:p>
    <w:p w:rsidR="00352E6E" w:rsidRPr="0044385A" w:rsidP="0044385A" w14:paraId="1E9ECAEF" w14:textId="39FEEE7E">
      <w:pPr>
        <w:pStyle w:val="BodyTextIndent3"/>
        <w:numPr>
          <w:ilvl w:val="0"/>
          <w:numId w:val="7"/>
        </w:numPr>
        <w:tabs>
          <w:tab w:val="clear" w:pos="1800"/>
        </w:tabs>
      </w:pPr>
      <w:r w:rsidRPr="00ED24EF">
        <w:rPr>
          <w:b/>
          <w:bCs/>
        </w:rPr>
        <w:t>Test of Procedures or Methods to be Undertaken</w:t>
      </w:r>
    </w:p>
    <w:p w:rsidR="00352E6E" w:rsidRPr="00ED24EF" w:rsidP="00B56D3E" w14:paraId="4CDBE8EC" w14:textId="77777777">
      <w:pPr>
        <w:pStyle w:val="BodyTextIndent3"/>
        <w:tabs>
          <w:tab w:val="num" w:pos="720"/>
          <w:tab w:val="clear" w:pos="1800"/>
        </w:tabs>
        <w:ind w:left="360"/>
        <w:rPr>
          <w:b/>
          <w:bCs/>
        </w:rPr>
      </w:pPr>
    </w:p>
    <w:p w:rsidR="00352E6E" w:rsidRPr="00ED24EF" w:rsidP="00695416" w14:paraId="2B83851F" w14:textId="340E78E2">
      <w:pPr>
        <w:pStyle w:val="BodyTextIndent3"/>
        <w:tabs>
          <w:tab w:val="clear" w:pos="1800"/>
        </w:tabs>
        <w:ind w:left="0"/>
      </w:pPr>
      <w:r w:rsidRPr="00ED24EF">
        <w:t xml:space="preserve">Pilot tests of procedures for </w:t>
      </w:r>
      <w:r w:rsidR="00176B6D">
        <w:t>data collections</w:t>
      </w:r>
      <w:r w:rsidRPr="00ED24EF">
        <w:t xml:space="preserve"> </w:t>
      </w:r>
      <w:r w:rsidR="00176B6D">
        <w:t>will be</w:t>
      </w:r>
      <w:r w:rsidRPr="00ED24EF">
        <w:t xml:space="preserve"> </w:t>
      </w:r>
      <w:r w:rsidR="00D83426">
        <w:t xml:space="preserve">conducted, where time allows. </w:t>
      </w:r>
      <w:r w:rsidR="000665BA">
        <w:t>Q</w:t>
      </w:r>
      <w:r w:rsidRPr="00ED24EF">
        <w:t xml:space="preserve">uestions from instruments employed in previous investigations are </w:t>
      </w:r>
      <w:r w:rsidRPr="00ED24EF" w:rsidR="000665BA">
        <w:t>used,</w:t>
      </w:r>
      <w:r w:rsidRPr="00ED24EF">
        <w:t xml:space="preserve"> when possible</w:t>
      </w:r>
      <w:r w:rsidR="007668E4">
        <w:t>, t</w:t>
      </w:r>
      <w:r w:rsidRPr="00ED24EF" w:rsidR="007668E4">
        <w:t xml:space="preserve">hough each data collection instrument </w:t>
      </w:r>
      <w:r w:rsidR="000665BA">
        <w:t>will be</w:t>
      </w:r>
      <w:r w:rsidRPr="00ED24EF" w:rsidR="007668E4">
        <w:t xml:space="preserve"> tailored to the needs of each specific event</w:t>
      </w:r>
      <w:r w:rsidR="007668E4">
        <w:t>.</w:t>
      </w:r>
      <w:r w:rsidRPr="00ED24EF">
        <w:t xml:space="preserve"> A data collection instrument library </w:t>
      </w:r>
      <w:r w:rsidR="007668E4">
        <w:t>will be</w:t>
      </w:r>
      <w:r w:rsidRPr="00ED24EF">
        <w:t xml:space="preserve"> maintained by archiving the final data collection instruments administered in </w:t>
      </w:r>
      <w:r w:rsidR="007668E4">
        <w:t>data collections</w:t>
      </w:r>
      <w:r w:rsidRPr="00ED24EF">
        <w:t xml:space="preserve"> under this </w:t>
      </w:r>
      <w:r>
        <w:t>g</w:t>
      </w:r>
      <w:r w:rsidRPr="00ED24EF">
        <w:t xml:space="preserve">eneric clearance. </w:t>
      </w:r>
    </w:p>
    <w:p w:rsidR="00352E6E" w:rsidRPr="00ED24EF" w:rsidP="00B56D3E" w14:paraId="6F96B280" w14:textId="77777777">
      <w:pPr>
        <w:pStyle w:val="BodyTextIndent3"/>
        <w:tabs>
          <w:tab w:val="num" w:pos="1440"/>
          <w:tab w:val="clear" w:pos="1800"/>
        </w:tabs>
        <w:ind w:left="1080" w:hanging="720"/>
        <w:rPr>
          <w:b/>
          <w:bCs/>
        </w:rPr>
      </w:pPr>
    </w:p>
    <w:p w:rsidR="00352E6E" w:rsidRPr="00ED24EF" w:rsidP="006028C6" w14:paraId="034ADA34" w14:textId="77777777">
      <w:pPr>
        <w:pStyle w:val="BodyTextIndent3"/>
        <w:numPr>
          <w:ilvl w:val="0"/>
          <w:numId w:val="7"/>
        </w:numPr>
        <w:tabs>
          <w:tab w:val="clear" w:pos="1800"/>
        </w:tabs>
        <w:rPr>
          <w:b/>
          <w:bCs/>
        </w:rPr>
      </w:pPr>
      <w:r w:rsidRPr="00ED24EF">
        <w:rPr>
          <w:b/>
          <w:bCs/>
        </w:rPr>
        <w:t>Individuals Consulted on Statistical Aspects and Individuals Collecting and/or Analyzing Data</w:t>
      </w:r>
    </w:p>
    <w:p w:rsidR="00352E6E" w:rsidRPr="00ED24EF" w:rsidP="00B56D3E" w14:paraId="69A1C08C" w14:textId="77777777">
      <w:pPr>
        <w:pStyle w:val="BodyTextIndent3"/>
        <w:tabs>
          <w:tab w:val="num" w:pos="720"/>
          <w:tab w:val="clear" w:pos="1800"/>
        </w:tabs>
        <w:ind w:left="360"/>
        <w:rPr>
          <w:b/>
          <w:bCs/>
        </w:rPr>
      </w:pPr>
    </w:p>
    <w:p w:rsidR="00352E6E" w:rsidP="007333E0" w14:paraId="7D64BBE3" w14:textId="7A6D5F82">
      <w:pPr>
        <w:pStyle w:val="BodyTextIndent3"/>
        <w:tabs>
          <w:tab w:val="clear" w:pos="1800"/>
        </w:tabs>
        <w:ind w:left="0"/>
      </w:pPr>
      <w:r w:rsidRPr="00ED24EF">
        <w:t xml:space="preserve">CDC </w:t>
      </w:r>
      <w:r w:rsidR="00F9489D">
        <w:t>PH/PS Strategies data collections</w:t>
      </w:r>
      <w:r w:rsidRPr="00ED24EF">
        <w:t xml:space="preserve"> investigators are trained in biostatistics</w:t>
      </w:r>
      <w:r>
        <w:t>,</w:t>
      </w:r>
      <w:r w:rsidRPr="00ED24EF">
        <w:t xml:space="preserve"> epidemiology</w:t>
      </w:r>
      <w:r>
        <w:t>, and the social sciences</w:t>
      </w:r>
      <w:r w:rsidRPr="00ED24EF">
        <w:t xml:space="preserve">. In most cases, investigators collaborate extensively with health </w:t>
      </w:r>
      <w:r w:rsidR="00F9489D">
        <w:t xml:space="preserve">and public safety </w:t>
      </w:r>
      <w:r w:rsidRPr="00ED24EF">
        <w:t xml:space="preserve">officials of the state or local </w:t>
      </w:r>
      <w:r>
        <w:t>agencies</w:t>
      </w:r>
      <w:r w:rsidRPr="00ED24EF">
        <w:t xml:space="preserve"> requesting assistance. </w:t>
      </w:r>
      <w:r w:rsidR="00EF62E0">
        <w:t xml:space="preserve">For each request, investigators will complete appropriate human subjects training prior to data collection. They will also receive </w:t>
      </w:r>
      <w:r w:rsidR="00D112B5">
        <w:t>training specific to that request (e.g., harm reduction, drug courts)</w:t>
      </w:r>
      <w:r w:rsidR="00EF62E0">
        <w:t xml:space="preserve"> </w:t>
      </w:r>
      <w:r w:rsidR="009975B9">
        <w:t xml:space="preserve">and corresponding data collection tools. </w:t>
      </w:r>
      <w:r w:rsidRPr="00ED24EF">
        <w:t>All investigations are supervised by CDC’s experienced epidemiologists</w:t>
      </w:r>
      <w:r w:rsidR="00C91F2E">
        <w:t xml:space="preserve"> and health scientists, trained at the doctoral level in</w:t>
      </w:r>
      <w:r w:rsidRPr="00ED24EF">
        <w:t xml:space="preserve"> </w:t>
      </w:r>
      <w:r w:rsidR="00C51165">
        <w:t>quantitative</w:t>
      </w:r>
      <w:r w:rsidRPr="00ED24EF">
        <w:t xml:space="preserve"> </w:t>
      </w:r>
      <w:r>
        <w:t xml:space="preserve">and qualitative </w:t>
      </w:r>
      <w:r w:rsidR="00E87C70">
        <w:t>data collection, analysis, and management</w:t>
      </w:r>
      <w:r w:rsidRPr="00ED24EF">
        <w:t>.</w:t>
      </w:r>
      <w:r w:rsidR="005238E2">
        <w:t xml:space="preserve"> </w:t>
      </w:r>
    </w:p>
    <w:p w:rsidR="00470289" w14:paraId="33CC3E9A" w14:textId="77777777"/>
    <w:p w:rsidR="00470289" w:rsidRPr="00470289" w14:paraId="01D3CB5A" w14:textId="1480070B">
      <w:pPr>
        <w:rPr>
          <w:b/>
          <w:bCs/>
        </w:rPr>
      </w:pPr>
      <w:r w:rsidRPr="00470289">
        <w:rPr>
          <w:b/>
          <w:bCs/>
        </w:rPr>
        <w:t>References</w:t>
      </w:r>
    </w:p>
    <w:p w:rsidR="00866639" w:rsidRPr="00866639" w:rsidP="00866639" w14:paraId="230EF783" w14:textId="77777777">
      <w:pPr>
        <w:pStyle w:val="EndNoteBibliography"/>
        <w:spacing w:after="0"/>
      </w:pPr>
      <w:r>
        <w:fldChar w:fldCharType="begin"/>
      </w:r>
      <w:r>
        <w:instrText xml:space="preserve"> ADDIN EN.REFLIST </w:instrText>
      </w:r>
      <w:r>
        <w:fldChar w:fldCharType="separate"/>
      </w:r>
      <w:r w:rsidRPr="00866639">
        <w:t>1.</w:t>
      </w:r>
      <w:r w:rsidRPr="00866639">
        <w:tab/>
        <w:t xml:space="preserve">Manfreda KL, Bosnjak M, Berzelak J, Haas I, Vehovar V. Web surveys versus other survey modes: A meta-analysis comparing response rates. </w:t>
      </w:r>
      <w:r w:rsidRPr="00866639">
        <w:rPr>
          <w:i/>
        </w:rPr>
        <w:t>International journal of market research</w:t>
      </w:r>
      <w:r w:rsidRPr="00866639">
        <w:t xml:space="preserve">. 2008;50(1):79-104. </w:t>
      </w:r>
    </w:p>
    <w:p w:rsidR="00866639" w:rsidRPr="00866639" w:rsidP="00866639" w14:paraId="5BEE8644" w14:textId="77777777">
      <w:pPr>
        <w:pStyle w:val="EndNoteBibliography"/>
        <w:spacing w:after="0"/>
      </w:pPr>
      <w:r w:rsidRPr="00866639">
        <w:t>2.</w:t>
      </w:r>
      <w:r w:rsidRPr="00866639">
        <w:tab/>
        <w:t xml:space="preserve">Jager J, Putnick DL, Bornstein MH. II. More than just convenient: The scientific merits of homogeneous convenience samples. </w:t>
      </w:r>
      <w:r w:rsidRPr="00866639">
        <w:rPr>
          <w:i/>
        </w:rPr>
        <w:t>Monographs of the Society for Research in Child Development</w:t>
      </w:r>
      <w:r w:rsidRPr="00866639">
        <w:t xml:space="preserve">. 2017;82(2):13-30. </w:t>
      </w:r>
    </w:p>
    <w:p w:rsidR="00CA474C" w:rsidP="00DE4A58" w14:paraId="76A4FC19" w14:textId="3ABC3CF4">
      <w:pPr>
        <w:pStyle w:val="EndNoteBibliography"/>
      </w:pPr>
      <w:r w:rsidRPr="00866639">
        <w:t>3.</w:t>
      </w:r>
      <w:r w:rsidRPr="00866639">
        <w:tab/>
        <w:t xml:space="preserve">Rasmussen SA, Goodman RA. </w:t>
      </w:r>
      <w:r w:rsidRPr="00866639">
        <w:rPr>
          <w:i/>
        </w:rPr>
        <w:t>The CDC Field Epidemiology Manual</w:t>
      </w:r>
      <w:r w:rsidRPr="00866639">
        <w:t>. Oxford University Press; 2018.</w:t>
      </w:r>
      <w:r w:rsidR="00470289">
        <w:fldChar w:fldCharType="end"/>
      </w:r>
    </w:p>
    <w:sectPr w:rsidSect="002F605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6529DA0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6057" w14:paraId="247C534B" w14:textId="77777777">
    <w:pPr>
      <w:pStyle w:val="Footer"/>
      <w:jc w:val="right"/>
    </w:pPr>
    <w:r>
      <w:fldChar w:fldCharType="begin"/>
    </w:r>
    <w:r>
      <w:instrText xml:space="preserve"> PAGE   \* MERGEFORMAT </w:instrText>
    </w:r>
    <w:r>
      <w:fldChar w:fldCharType="separate"/>
    </w:r>
    <w:r>
      <w:rPr>
        <w:noProof/>
      </w:rPr>
      <w:t>8</w:t>
    </w:r>
    <w:r>
      <w:rPr>
        <w:noProof/>
      </w:rPr>
      <w:fldChar w:fldCharType="end"/>
    </w:r>
  </w:p>
  <w:p w:rsidR="002F6057" w14:paraId="509428A8"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3B4148E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02B47FE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09AC254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6639" w14:paraId="0060E57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2D0DAD"/>
    <w:multiLevelType w:val="multilevel"/>
    <w:tmpl w:val="E272D8CC"/>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
    <w:nsid w:val="07CF3EC7"/>
    <w:multiLevelType w:val="hybridMultilevel"/>
    <w:tmpl w:val="8674ACB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DA81A34"/>
    <w:multiLevelType w:val="hybridMultilevel"/>
    <w:tmpl w:val="2AC8AD9A"/>
    <w:lvl w:ilvl="0">
      <w:start w:val="1"/>
      <w:numFmt w:val="upperLetter"/>
      <w:lvlText w:val="%1."/>
      <w:lvlJc w:val="left"/>
      <w:pPr>
        <w:tabs>
          <w:tab w:val="num" w:pos="1080"/>
        </w:tabs>
        <w:ind w:left="1080" w:hanging="720"/>
      </w:pPr>
      <w:rPr>
        <w:rFonts w:cs="Times New Roman" w:hint="default"/>
      </w:rPr>
    </w:lvl>
    <w:lvl w:ilvl="1">
      <w:start w:val="1"/>
      <w:numFmt w:val="decimal"/>
      <w:lvlText w:val="%2."/>
      <w:lvlJc w:val="left"/>
      <w:pPr>
        <w:tabs>
          <w:tab w:val="num" w:pos="1800"/>
        </w:tabs>
        <w:ind w:left="1800" w:hanging="720"/>
      </w:pPr>
      <w:rPr>
        <w:rFonts w:cs="Times New Roman" w:hint="default"/>
      </w:rPr>
    </w:lvl>
    <w:lvl w:ilvl="2">
      <w:start w:val="1"/>
      <w:numFmt w:val="upperLetter"/>
      <w:lvlText w:val="%3."/>
      <w:lvlJc w:val="left"/>
      <w:pPr>
        <w:tabs>
          <w:tab w:val="num" w:pos="2340"/>
        </w:tabs>
        <w:ind w:left="2340" w:hanging="360"/>
      </w:pPr>
      <w:rPr>
        <w:rFonts w:cs="Times New Roman" w:hint="default"/>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nsid w:val="113D137B"/>
    <w:multiLevelType w:val="multilevel"/>
    <w:tmpl w:val="03AC5D00"/>
    <w:lvl w:ilvl="0">
      <w:start w:val="1"/>
      <w:numFmt w:val="decimal"/>
      <w:lvlText w:val="%1."/>
      <w:lvlJc w:val="left"/>
      <w:pPr>
        <w:ind w:left="360" w:hanging="360"/>
      </w:pPr>
      <w:rPr>
        <w:rFonts w:hint="default"/>
      </w:rPr>
    </w:lvl>
    <w:lvl w:ilvl="1">
      <w:start w:val="1"/>
      <w:numFmt w:val="decimal"/>
      <w:lvlText w:val="%2."/>
      <w:lvlJc w:val="left"/>
      <w:pPr>
        <w:ind w:left="720" w:hanging="360"/>
      </w:p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1EF960EB"/>
    <w:multiLevelType w:val="hybridMultilevel"/>
    <w:tmpl w:val="358218E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1264EBF"/>
    <w:multiLevelType w:val="multilevel"/>
    <w:tmpl w:val="45BCCC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3BAC6714"/>
    <w:multiLevelType w:val="hybridMultilevel"/>
    <w:tmpl w:val="8732096E"/>
    <w:lvl w:ilvl="0">
      <w:start w:val="1"/>
      <w:numFmt w:val="bullet"/>
      <w:lvlText w:val=""/>
      <w:lvlJc w:val="left"/>
      <w:pPr>
        <w:ind w:left="2160" w:hanging="360"/>
      </w:pPr>
      <w:rPr>
        <w:rFonts w:ascii="Wingdings" w:hAnsi="Wingdings"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7">
    <w:nsid w:val="49AC0AF5"/>
    <w:multiLevelType w:val="hybridMultilevel"/>
    <w:tmpl w:val="F33628FC"/>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4DD80FF0"/>
    <w:multiLevelType w:val="hybridMultilevel"/>
    <w:tmpl w:val="5A8AD6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FE1251D"/>
    <w:multiLevelType w:val="hybridMultilevel"/>
    <w:tmpl w:val="0A1408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2CD3F44"/>
    <w:multiLevelType w:val="hybridMultilevel"/>
    <w:tmpl w:val="4AFE7FB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5D7B736F"/>
    <w:multiLevelType w:val="multilevel"/>
    <w:tmpl w:val="8CCCEED2"/>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bullet"/>
      <w:lvlText w:val="o"/>
      <w:lvlJc w:val="left"/>
      <w:pPr>
        <w:ind w:left="1800" w:hanging="360"/>
      </w:pPr>
      <w:rPr>
        <w:rFonts w:ascii="Courier New" w:hAnsi="Courier New" w:cs="Courier New"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60F31835"/>
    <w:multiLevelType w:val="multilevel"/>
    <w:tmpl w:val="45BCCC9A"/>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7458622">
    <w:abstractNumId w:val="2"/>
  </w:num>
  <w:num w:numId="2" w16cid:durableId="931470657">
    <w:abstractNumId w:val="1"/>
  </w:num>
  <w:num w:numId="3" w16cid:durableId="1813057893">
    <w:abstractNumId w:val="10"/>
  </w:num>
  <w:num w:numId="4" w16cid:durableId="100347547">
    <w:abstractNumId w:val="7"/>
  </w:num>
  <w:num w:numId="5" w16cid:durableId="554895977">
    <w:abstractNumId w:val="6"/>
  </w:num>
  <w:num w:numId="6" w16cid:durableId="2087411148">
    <w:abstractNumId w:val="4"/>
  </w:num>
  <w:num w:numId="7" w16cid:durableId="1209418816">
    <w:abstractNumId w:val="3"/>
  </w:num>
  <w:num w:numId="8" w16cid:durableId="1341737484">
    <w:abstractNumId w:val="0"/>
  </w:num>
  <w:num w:numId="9" w16cid:durableId="133564511">
    <w:abstractNumId w:val="9"/>
  </w:num>
  <w:num w:numId="10" w16cid:durableId="1019937497">
    <w:abstractNumId w:val="12"/>
  </w:num>
  <w:num w:numId="11" w16cid:durableId="954286235">
    <w:abstractNumId w:val="11"/>
  </w:num>
  <w:num w:numId="12" w16cid:durableId="1854762192">
    <w:abstractNumId w:val="5"/>
  </w:num>
  <w:num w:numId="13" w16cid:durableId="8712634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7BA34"/>
    <w:rsid w:val="00005D83"/>
    <w:rsid w:val="0002453A"/>
    <w:rsid w:val="00040049"/>
    <w:rsid w:val="00053C46"/>
    <w:rsid w:val="000665BA"/>
    <w:rsid w:val="00084D0C"/>
    <w:rsid w:val="000A7056"/>
    <w:rsid w:val="000B5F16"/>
    <w:rsid w:val="000D0588"/>
    <w:rsid w:val="000D3D33"/>
    <w:rsid w:val="000E268E"/>
    <w:rsid w:val="000F4444"/>
    <w:rsid w:val="00111C72"/>
    <w:rsid w:val="001303C2"/>
    <w:rsid w:val="00141807"/>
    <w:rsid w:val="00152C09"/>
    <w:rsid w:val="00154AE8"/>
    <w:rsid w:val="001655D0"/>
    <w:rsid w:val="00171886"/>
    <w:rsid w:val="00176B6D"/>
    <w:rsid w:val="001932BF"/>
    <w:rsid w:val="001A5BA2"/>
    <w:rsid w:val="001B490D"/>
    <w:rsid w:val="00215B76"/>
    <w:rsid w:val="002246F2"/>
    <w:rsid w:val="00233D0D"/>
    <w:rsid w:val="00255FDD"/>
    <w:rsid w:val="00267681"/>
    <w:rsid w:val="00283F5B"/>
    <w:rsid w:val="0029036A"/>
    <w:rsid w:val="002A0F0A"/>
    <w:rsid w:val="002C2555"/>
    <w:rsid w:val="002C29C9"/>
    <w:rsid w:val="002F6057"/>
    <w:rsid w:val="00307349"/>
    <w:rsid w:val="00326A0D"/>
    <w:rsid w:val="00352E6E"/>
    <w:rsid w:val="0036242F"/>
    <w:rsid w:val="003742EE"/>
    <w:rsid w:val="003875E3"/>
    <w:rsid w:val="0039165A"/>
    <w:rsid w:val="003C6275"/>
    <w:rsid w:val="003E053B"/>
    <w:rsid w:val="003E072D"/>
    <w:rsid w:val="003E4C00"/>
    <w:rsid w:val="0042018D"/>
    <w:rsid w:val="00420ADE"/>
    <w:rsid w:val="00420F04"/>
    <w:rsid w:val="00434809"/>
    <w:rsid w:val="0044385A"/>
    <w:rsid w:val="004524CF"/>
    <w:rsid w:val="0046306A"/>
    <w:rsid w:val="00470289"/>
    <w:rsid w:val="00473DB4"/>
    <w:rsid w:val="00475D86"/>
    <w:rsid w:val="004A760B"/>
    <w:rsid w:val="004D4120"/>
    <w:rsid w:val="004F2D2E"/>
    <w:rsid w:val="00501AAC"/>
    <w:rsid w:val="005156A7"/>
    <w:rsid w:val="005238E2"/>
    <w:rsid w:val="00552597"/>
    <w:rsid w:val="005903F4"/>
    <w:rsid w:val="005C2CE3"/>
    <w:rsid w:val="005E4487"/>
    <w:rsid w:val="0060158D"/>
    <w:rsid w:val="006028C6"/>
    <w:rsid w:val="0061073D"/>
    <w:rsid w:val="00616687"/>
    <w:rsid w:val="006260E8"/>
    <w:rsid w:val="0066362C"/>
    <w:rsid w:val="006772B7"/>
    <w:rsid w:val="0068193A"/>
    <w:rsid w:val="00695416"/>
    <w:rsid w:val="006A28D5"/>
    <w:rsid w:val="006D5DE0"/>
    <w:rsid w:val="006F2E0F"/>
    <w:rsid w:val="006F39B7"/>
    <w:rsid w:val="007333E0"/>
    <w:rsid w:val="007429DF"/>
    <w:rsid w:val="00743A88"/>
    <w:rsid w:val="007668E4"/>
    <w:rsid w:val="00782B71"/>
    <w:rsid w:val="00792A33"/>
    <w:rsid w:val="007B05BE"/>
    <w:rsid w:val="007F0871"/>
    <w:rsid w:val="00813850"/>
    <w:rsid w:val="00833E72"/>
    <w:rsid w:val="00844A91"/>
    <w:rsid w:val="008462F0"/>
    <w:rsid w:val="00850DAF"/>
    <w:rsid w:val="0085307B"/>
    <w:rsid w:val="00856051"/>
    <w:rsid w:val="00856372"/>
    <w:rsid w:val="00866639"/>
    <w:rsid w:val="00880E17"/>
    <w:rsid w:val="00892EC5"/>
    <w:rsid w:val="008A7786"/>
    <w:rsid w:val="008C0E0C"/>
    <w:rsid w:val="008D1584"/>
    <w:rsid w:val="008D439E"/>
    <w:rsid w:val="008D4A64"/>
    <w:rsid w:val="008E133F"/>
    <w:rsid w:val="008F0F2F"/>
    <w:rsid w:val="008F4C58"/>
    <w:rsid w:val="00900940"/>
    <w:rsid w:val="00941B01"/>
    <w:rsid w:val="009657D3"/>
    <w:rsid w:val="009678B1"/>
    <w:rsid w:val="00973F82"/>
    <w:rsid w:val="00974386"/>
    <w:rsid w:val="00976891"/>
    <w:rsid w:val="009944E7"/>
    <w:rsid w:val="009956FA"/>
    <w:rsid w:val="0099580B"/>
    <w:rsid w:val="009975B9"/>
    <w:rsid w:val="009B5E70"/>
    <w:rsid w:val="009E43A9"/>
    <w:rsid w:val="009E6375"/>
    <w:rsid w:val="00A0193C"/>
    <w:rsid w:val="00A03F7D"/>
    <w:rsid w:val="00A074DE"/>
    <w:rsid w:val="00A25EDC"/>
    <w:rsid w:val="00A60742"/>
    <w:rsid w:val="00A836D6"/>
    <w:rsid w:val="00A95A0A"/>
    <w:rsid w:val="00A96BA0"/>
    <w:rsid w:val="00AC1927"/>
    <w:rsid w:val="00B05FF2"/>
    <w:rsid w:val="00B15209"/>
    <w:rsid w:val="00B30170"/>
    <w:rsid w:val="00B3357B"/>
    <w:rsid w:val="00B37F1F"/>
    <w:rsid w:val="00B436C1"/>
    <w:rsid w:val="00B56D3E"/>
    <w:rsid w:val="00B73625"/>
    <w:rsid w:val="00B73C3C"/>
    <w:rsid w:val="00BC4885"/>
    <w:rsid w:val="00BD208D"/>
    <w:rsid w:val="00BF1E3D"/>
    <w:rsid w:val="00BF331F"/>
    <w:rsid w:val="00C0415D"/>
    <w:rsid w:val="00C12BF0"/>
    <w:rsid w:val="00C1404D"/>
    <w:rsid w:val="00C3281F"/>
    <w:rsid w:val="00C51165"/>
    <w:rsid w:val="00C51EA2"/>
    <w:rsid w:val="00C5628C"/>
    <w:rsid w:val="00C730BF"/>
    <w:rsid w:val="00C91F2E"/>
    <w:rsid w:val="00CA0082"/>
    <w:rsid w:val="00CA474C"/>
    <w:rsid w:val="00CA5766"/>
    <w:rsid w:val="00CB268F"/>
    <w:rsid w:val="00D112B5"/>
    <w:rsid w:val="00D312D9"/>
    <w:rsid w:val="00D3195C"/>
    <w:rsid w:val="00D43936"/>
    <w:rsid w:val="00D46FB3"/>
    <w:rsid w:val="00D515FB"/>
    <w:rsid w:val="00D60314"/>
    <w:rsid w:val="00D83426"/>
    <w:rsid w:val="00DC64DC"/>
    <w:rsid w:val="00DE4A58"/>
    <w:rsid w:val="00DF34D5"/>
    <w:rsid w:val="00E40850"/>
    <w:rsid w:val="00E45907"/>
    <w:rsid w:val="00E75B44"/>
    <w:rsid w:val="00E87C70"/>
    <w:rsid w:val="00EA366E"/>
    <w:rsid w:val="00ED24EF"/>
    <w:rsid w:val="00EE68E9"/>
    <w:rsid w:val="00EF62E0"/>
    <w:rsid w:val="00F0120E"/>
    <w:rsid w:val="00F27ED0"/>
    <w:rsid w:val="00F60116"/>
    <w:rsid w:val="00F764EB"/>
    <w:rsid w:val="00F94222"/>
    <w:rsid w:val="00F9489D"/>
    <w:rsid w:val="00FC15A0"/>
    <w:rsid w:val="00FD6078"/>
    <w:rsid w:val="31D7BA34"/>
  </w:rsids>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rfxpe9ddfdsepexfs4502axp5wfxpt90pzs&quot;&gt;Mital_Opioid Overdose Prevention_03_17_2021&lt;record-ids&gt;&lt;item&gt;3930&lt;/item&gt;&lt;item&gt;3931&lt;/item&gt;&lt;item&gt;3932&lt;/item&gt;&lt;/record-ids&gt;&lt;/item&gt;&lt;/Libraries&gt;"/>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1D7BA34"/>
  <w15:chartTrackingRefBased/>
  <w15:docId w15:val="{5C3A2E82-848F-4785-94C2-A25E2510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E6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link w:val="BodyTextIndent3Char"/>
    <w:rsid w:val="00352E6E"/>
    <w:pPr>
      <w:tabs>
        <w:tab w:val="left" w:pos="1800"/>
      </w:tabs>
      <w:spacing w:after="0" w:line="240" w:lineRule="auto"/>
      <w:ind w:left="2340"/>
    </w:pPr>
    <w:rPr>
      <w:rFonts w:ascii="Times New Roman" w:eastAsia="Calibri" w:hAnsi="Times New Roman"/>
      <w:sz w:val="24"/>
      <w:szCs w:val="24"/>
    </w:rPr>
  </w:style>
  <w:style w:type="character" w:customStyle="1" w:styleId="BodyTextIndent3Char">
    <w:name w:val="Body Text Indent 3 Char"/>
    <w:basedOn w:val="DefaultParagraphFont"/>
    <w:link w:val="BodyTextIndent3"/>
    <w:rsid w:val="00352E6E"/>
    <w:rPr>
      <w:rFonts w:ascii="Times New Roman" w:eastAsia="Calibri" w:hAnsi="Times New Roman" w:cs="Times New Roman"/>
      <w:sz w:val="24"/>
      <w:szCs w:val="24"/>
    </w:rPr>
  </w:style>
  <w:style w:type="paragraph" w:customStyle="1" w:styleId="Body1">
    <w:name w:val="Body 1"/>
    <w:rsid w:val="00352E6E"/>
    <w:pPr>
      <w:spacing w:after="0" w:line="240" w:lineRule="auto"/>
      <w:outlineLvl w:val="0"/>
    </w:pPr>
    <w:rPr>
      <w:rFonts w:ascii="Times New Roman" w:eastAsia="Arial Unicode MS" w:hAnsi="Times New Roman" w:cs="Times New Roman"/>
      <w:color w:val="000000"/>
      <w:sz w:val="24"/>
      <w:szCs w:val="20"/>
      <w:u w:color="000000"/>
    </w:rPr>
  </w:style>
  <w:style w:type="paragraph" w:styleId="Header">
    <w:name w:val="header"/>
    <w:basedOn w:val="Normal"/>
    <w:link w:val="HeaderChar"/>
    <w:rsid w:val="00352E6E"/>
    <w:pPr>
      <w:tabs>
        <w:tab w:val="center" w:pos="4680"/>
        <w:tab w:val="right" w:pos="9360"/>
      </w:tabs>
    </w:pPr>
  </w:style>
  <w:style w:type="character" w:customStyle="1" w:styleId="HeaderChar">
    <w:name w:val="Header Char"/>
    <w:basedOn w:val="DefaultParagraphFont"/>
    <w:link w:val="Header"/>
    <w:rsid w:val="00352E6E"/>
    <w:rPr>
      <w:rFonts w:ascii="Calibri" w:eastAsia="Times New Roman" w:hAnsi="Calibri" w:cs="Times New Roman"/>
    </w:rPr>
  </w:style>
  <w:style w:type="paragraph" w:styleId="Footer">
    <w:name w:val="footer"/>
    <w:basedOn w:val="Normal"/>
    <w:link w:val="FooterChar"/>
    <w:uiPriority w:val="99"/>
    <w:rsid w:val="00352E6E"/>
    <w:pPr>
      <w:tabs>
        <w:tab w:val="center" w:pos="4680"/>
        <w:tab w:val="right" w:pos="9360"/>
      </w:tabs>
    </w:pPr>
  </w:style>
  <w:style w:type="character" w:customStyle="1" w:styleId="FooterChar">
    <w:name w:val="Footer Char"/>
    <w:basedOn w:val="DefaultParagraphFont"/>
    <w:link w:val="Footer"/>
    <w:uiPriority w:val="99"/>
    <w:rsid w:val="00352E6E"/>
    <w:rPr>
      <w:rFonts w:ascii="Calibri" w:eastAsia="Times New Roman" w:hAnsi="Calibri" w:cs="Times New Roman"/>
    </w:rPr>
  </w:style>
  <w:style w:type="paragraph" w:styleId="ListParagraph">
    <w:name w:val="List Paragraph"/>
    <w:basedOn w:val="Normal"/>
    <w:uiPriority w:val="34"/>
    <w:qFormat/>
    <w:rsid w:val="00352E6E"/>
    <w:pPr>
      <w:spacing w:after="0" w:line="240" w:lineRule="auto"/>
      <w:ind w:left="720"/>
      <w:contextualSpacing/>
    </w:pPr>
    <w:rPr>
      <w:rFonts w:ascii="Times New Roman" w:hAnsi="Times New Roman"/>
      <w:sz w:val="20"/>
      <w:szCs w:val="20"/>
    </w:rPr>
  </w:style>
  <w:style w:type="paragraph" w:styleId="NoSpacing">
    <w:name w:val="No Spacing"/>
    <w:uiPriority w:val="1"/>
    <w:qFormat/>
    <w:rsid w:val="00DF34D5"/>
    <w:pPr>
      <w:spacing w:after="0" w:line="240" w:lineRule="auto"/>
    </w:pPr>
    <w:rPr>
      <w:rFonts w:ascii="Calibri" w:eastAsia="Times New Roman" w:hAnsi="Calibri" w:cs="Times New Roman"/>
    </w:rPr>
  </w:style>
  <w:style w:type="character" w:styleId="CommentReference">
    <w:name w:val="annotation reference"/>
    <w:basedOn w:val="DefaultParagraphFont"/>
    <w:uiPriority w:val="99"/>
    <w:semiHidden/>
    <w:unhideWhenUsed/>
    <w:rsid w:val="0046306A"/>
    <w:rPr>
      <w:sz w:val="16"/>
      <w:szCs w:val="16"/>
    </w:rPr>
  </w:style>
  <w:style w:type="paragraph" w:styleId="CommentText">
    <w:name w:val="annotation text"/>
    <w:basedOn w:val="Normal"/>
    <w:link w:val="CommentTextChar"/>
    <w:uiPriority w:val="99"/>
    <w:semiHidden/>
    <w:unhideWhenUsed/>
    <w:rsid w:val="0046306A"/>
    <w:pPr>
      <w:spacing w:line="240" w:lineRule="auto"/>
    </w:pPr>
    <w:rPr>
      <w:sz w:val="20"/>
      <w:szCs w:val="20"/>
    </w:rPr>
  </w:style>
  <w:style w:type="character" w:customStyle="1" w:styleId="CommentTextChar">
    <w:name w:val="Comment Text Char"/>
    <w:basedOn w:val="DefaultParagraphFont"/>
    <w:link w:val="CommentText"/>
    <w:uiPriority w:val="99"/>
    <w:semiHidden/>
    <w:rsid w:val="0046306A"/>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6306A"/>
    <w:rPr>
      <w:b/>
      <w:bCs/>
    </w:rPr>
  </w:style>
  <w:style w:type="character" w:customStyle="1" w:styleId="CommentSubjectChar">
    <w:name w:val="Comment Subject Char"/>
    <w:basedOn w:val="CommentTextChar"/>
    <w:link w:val="CommentSubject"/>
    <w:uiPriority w:val="99"/>
    <w:semiHidden/>
    <w:rsid w:val="0046306A"/>
    <w:rPr>
      <w:rFonts w:ascii="Calibri" w:eastAsia="Times New Roman" w:hAnsi="Calibri" w:cs="Times New Roman"/>
      <w:b/>
      <w:bCs/>
      <w:sz w:val="20"/>
      <w:szCs w:val="20"/>
    </w:rPr>
  </w:style>
  <w:style w:type="paragraph" w:styleId="Revision">
    <w:name w:val="Revision"/>
    <w:hidden/>
    <w:uiPriority w:val="99"/>
    <w:semiHidden/>
    <w:rsid w:val="0046306A"/>
    <w:pPr>
      <w:spacing w:after="0" w:line="240" w:lineRule="auto"/>
    </w:pPr>
    <w:rPr>
      <w:rFonts w:ascii="Calibri" w:eastAsia="Times New Roman" w:hAnsi="Calibri" w:cs="Times New Roman"/>
    </w:rPr>
  </w:style>
  <w:style w:type="paragraph" w:customStyle="1" w:styleId="EndNoteBibliographyTitle">
    <w:name w:val="EndNote Bibliography Title"/>
    <w:basedOn w:val="Normal"/>
    <w:link w:val="EndNoteBibliographyTitleChar"/>
    <w:rsid w:val="00470289"/>
    <w:pPr>
      <w:spacing w:after="0"/>
      <w:jc w:val="center"/>
    </w:pPr>
    <w:rPr>
      <w:rFonts w:cs="Calibri"/>
      <w:noProof/>
    </w:rPr>
  </w:style>
  <w:style w:type="character" w:customStyle="1" w:styleId="EndNoteBibliographyTitleChar">
    <w:name w:val="EndNote Bibliography Title Char"/>
    <w:basedOn w:val="BodyTextIndent3Char"/>
    <w:link w:val="EndNoteBibliographyTitle"/>
    <w:rsid w:val="00470289"/>
    <w:rPr>
      <w:rFonts w:ascii="Calibri" w:eastAsia="Times New Roman" w:hAnsi="Calibri" w:cs="Calibri"/>
      <w:noProof/>
      <w:sz w:val="24"/>
      <w:szCs w:val="24"/>
    </w:rPr>
  </w:style>
  <w:style w:type="paragraph" w:customStyle="1" w:styleId="EndNoteBibliography">
    <w:name w:val="EndNote Bibliography"/>
    <w:basedOn w:val="Normal"/>
    <w:link w:val="EndNoteBibliographyChar"/>
    <w:rsid w:val="00470289"/>
    <w:pPr>
      <w:spacing w:line="240" w:lineRule="auto"/>
    </w:pPr>
    <w:rPr>
      <w:rFonts w:cs="Calibri"/>
      <w:noProof/>
    </w:rPr>
  </w:style>
  <w:style w:type="character" w:customStyle="1" w:styleId="EndNoteBibliographyChar">
    <w:name w:val="EndNote Bibliography Char"/>
    <w:basedOn w:val="BodyTextIndent3Char"/>
    <w:link w:val="EndNoteBibliography"/>
    <w:rsid w:val="00470289"/>
    <w:rPr>
      <w:rFonts w:ascii="Calibri" w:eastAsia="Times New Roman" w:hAnsi="Calibri" w:cs="Calibri"/>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urisdiction xmlns="a4df2a28-3b5c-4941-a196-04bc355c40d7" xsi:nil="true"/>
    <lcf76f155ced4ddcb4097134ff3c332f xmlns="a4df2a28-3b5c-4941-a196-04bc355c40d7">
      <Terms xmlns="http://schemas.microsoft.com/office/infopath/2007/PartnerControls"/>
    </lcf76f155ced4ddcb4097134ff3c332f>
    <FormType xmlns="a4df2a28-3b5c-4941-a196-04bc355c40d7" xsi:nil="true"/>
    <TaxCatchAll xmlns="0e8cfd8d-583f-4403-bb95-47f0fedc7ca7" xsi:nil="true"/>
    <Status xmlns="a4df2a28-3b5c-4941-a196-04bc355c40d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A5BD290783154F9EE9288554486AEF" ma:contentTypeVersion="21" ma:contentTypeDescription="Create a new document." ma:contentTypeScope="" ma:versionID="bb591f5e2a50e460a188a2bf446d24b6">
  <xsd:schema xmlns:xsd="http://www.w3.org/2001/XMLSchema" xmlns:xs="http://www.w3.org/2001/XMLSchema" xmlns:p="http://schemas.microsoft.com/office/2006/metadata/properties" xmlns:ns2="a4df2a28-3b5c-4941-a196-04bc355c40d7" xmlns:ns3="0e8cfd8d-583f-4403-bb95-47f0fedc7ca7" targetNamespace="http://schemas.microsoft.com/office/2006/metadata/properties" ma:root="true" ma:fieldsID="ea7ddfbbc958507458eb3212fea01d63" ns2:_="" ns3:_="">
    <xsd:import namespace="a4df2a28-3b5c-4941-a196-04bc355c40d7"/>
    <xsd:import namespace="0e8cfd8d-583f-4403-bb95-47f0fedc7ca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FormType" minOccurs="0"/>
                <xsd:element ref="ns2:Jurisdiction" minOccurs="0"/>
                <xsd:element ref="ns2:lcf76f155ced4ddcb4097134ff3c332f" minOccurs="0"/>
                <xsd:element ref="ns3: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df2a28-3b5c-4941-a196-04bc355c4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FormType" ma:index="18" nillable="true" ma:displayName="Document Type" ma:format="Dropdown" ma:internalName="FormType">
      <xsd:simpleType>
        <xsd:restriction base="dms:Text">
          <xsd:maxLength value="255"/>
        </xsd:restriction>
      </xsd:simpleType>
    </xsd:element>
    <xsd:element name="Jurisdiction" ma:index="19" nillable="true" ma:displayName="Jurisdiction" ma:format="Dropdown" ma:internalName="Jurisdiction">
      <xsd:simpleType>
        <xsd:restriction base="dms:Text">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Status" ma:index="23" nillable="true" ma:displayName="Status" ma:description="Status on materials/deliverables for ASTHO. " ma:format="Dropdown" ma:internalName="Status">
      <xsd:simpleType>
        <xsd:restriction base="dms:Choice">
          <xsd:enumeration value="To Review"/>
          <xsd:enumeration value="Completed"/>
          <xsd:enumeration value="Final Version"/>
        </xsd:restriction>
      </xsd:simpleType>
    </xsd:element>
  </xsd:schema>
  <xsd:schema xmlns:xsd="http://www.w3.org/2001/XMLSchema" xmlns:xs="http://www.w3.org/2001/XMLSchema" xmlns:dms="http://schemas.microsoft.com/office/2006/documentManagement/types" xmlns:pc="http://schemas.microsoft.com/office/infopath/2007/PartnerControls" targetNamespace="0e8cfd8d-583f-4403-bb95-47f0fedc7ca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07b581-fe8a-4b51-a8a3-5190daa36b58}" ma:internalName="TaxCatchAll" ma:showField="CatchAllData" ma:web="0e8cfd8d-583f-4403-bb95-47f0fedc7c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A15C72-2982-4713-A963-49A22F1A648E}">
  <ds:schemaRefs>
    <ds:schemaRef ds:uri="http://schemas.microsoft.com/sharepoint/v3/contenttype/forms"/>
  </ds:schemaRefs>
</ds:datastoreItem>
</file>

<file path=customXml/itemProps2.xml><?xml version="1.0" encoding="utf-8"?>
<ds:datastoreItem xmlns:ds="http://schemas.openxmlformats.org/officeDocument/2006/customXml" ds:itemID="{1A049220-F225-464C-8687-A419B9B5BEF0}">
  <ds:schemaRefs>
    <ds:schemaRef ds:uri="http://schemas.microsoft.com/office/2006/metadata/properties"/>
    <ds:schemaRef ds:uri="http://schemas.microsoft.com/office/infopath/2007/PartnerControls"/>
    <ds:schemaRef ds:uri="a4df2a28-3b5c-4941-a196-04bc355c40d7"/>
    <ds:schemaRef ds:uri="0e8cfd8d-583f-4403-bb95-47f0fedc7ca7"/>
  </ds:schemaRefs>
</ds:datastoreItem>
</file>

<file path=customXml/itemProps3.xml><?xml version="1.0" encoding="utf-8"?>
<ds:datastoreItem xmlns:ds="http://schemas.openxmlformats.org/officeDocument/2006/customXml" ds:itemID="{F1F47CF4-AE52-492A-8670-BB2C5EDC5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df2a28-3b5c-4941-a196-04bc355c40d7"/>
    <ds:schemaRef ds:uri="0e8cfd8d-583f-4403-bb95-47f0fedc7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2157</Words>
  <Characters>13590</Characters>
  <Application>Microsoft Office Word</Application>
  <DocSecurity>0</DocSecurity>
  <Lines>251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Mital, Sasha (CDC/DDNID/NCIPC/DOP)</dc:creator>
  <cp:lastModifiedBy>Halstead, Mary (CDC/NCIPC/OD)</cp:lastModifiedBy>
  <cp:revision>2</cp:revision>
  <dcterms:created xsi:type="dcterms:W3CDTF">2026-06-15T13:21:00Z</dcterms:created>
  <dcterms:modified xsi:type="dcterms:W3CDTF">2026-06-15T13:21:00Z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0x0101007DA5BD290783154F9EE9288554486AEF</vt:lpwstr>
  </property>
  <property fmtid="{D5CDD505-2E9C-101B-9397-08002B2CF9AE}" pid="3" name="MediaServiceImageTags">
    <vt:lpwstr/>
  </property>
  <property fmtid="{D5CDD505-2E9C-101B-9397-08002B2CF9AE}" pid="4" name="MSIP_Label_7b94a7b8-f06c-4dfe-bdcc-9b548fd58c31_ActionId">
    <vt:lpwstr>677c0f7a-6fab-47ad-b67a-312ff2e79c91</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2023-01-26T17:51:52Z</vt:lpwstr>
  </property>
  <property fmtid="{D5CDD505-2E9C-101B-9397-08002B2CF9AE}" pid="10" name="MSIP_Label_7b94a7b8-f06c-4dfe-bdcc-9b548fd58c31_SiteId">
    <vt:lpwstr>9ce70869-60db-44fd-abe8-d2767077fc8f</vt:lpwstr>
  </property>
</Properties>
</file>