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RPr="00B372FB" w:rsidP="00F06866" w14:paraId="5FCA51D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6FB2EF8F" w14:textId="77777777">
      <w:pPr>
        <w:ind w:left="187"/>
        <w:jc w:val="center"/>
        <w:rPr>
          <w:rFonts w:ascii="Arial" w:hAnsi="Arial" w:cs="Arial"/>
          <w:b/>
          <w:sz w:val="24"/>
          <w:szCs w:val="24"/>
        </w:rPr>
      </w:pPr>
      <w:r>
        <w:rPr>
          <w:rFonts w:ascii="Arial" w:hAnsi="Arial" w:cs="Arial"/>
          <w:b/>
          <w:sz w:val="24"/>
          <w:szCs w:val="24"/>
        </w:rPr>
        <w:t>Performance Measures Project</w:t>
      </w:r>
    </w:p>
    <w:p w:rsidR="00460349" w:rsidRPr="00B372FB" w:rsidP="00EA2C4C" w14:paraId="45E45C13" w14:textId="70903EB7">
      <w:pPr>
        <w:jc w:val="center"/>
        <w:rPr>
          <w:rFonts w:ascii="Arial" w:hAnsi="Arial" w:cs="Arial"/>
          <w:b/>
          <w:sz w:val="24"/>
          <w:szCs w:val="24"/>
        </w:rPr>
      </w:pPr>
      <w:r>
        <w:rPr>
          <w:rFonts w:ascii="Arial" w:hAnsi="Arial" w:cs="Arial"/>
          <w:b/>
          <w:sz w:val="24"/>
          <w:szCs w:val="24"/>
        </w:rPr>
        <w:t xml:space="preserve">OMB Control Number </w:t>
      </w:r>
      <w:r w:rsidRPr="00B372FB" w:rsidR="00EA2C4C">
        <w:rPr>
          <w:rFonts w:ascii="Arial" w:hAnsi="Arial" w:cs="Arial"/>
          <w:b/>
          <w:sz w:val="24"/>
          <w:szCs w:val="24"/>
        </w:rPr>
        <w:t>0920-</w:t>
      </w:r>
      <w:r>
        <w:rPr>
          <w:rFonts w:ascii="Arial" w:hAnsi="Arial" w:cs="Arial"/>
          <w:b/>
          <w:sz w:val="24"/>
          <w:szCs w:val="24"/>
        </w:rPr>
        <w:t>1282</w:t>
      </w:r>
    </w:p>
    <w:p w:rsidR="00B372FB" w:rsidP="00434E33" w14:paraId="30A894A0" w14:textId="09854DD1">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4600B0">
        <w:rPr>
          <w:rFonts w:ascii="Arial" w:hAnsi="Arial"/>
          <w:b/>
        </w:rPr>
        <w:t xml:space="preserve">  </w:t>
      </w:r>
      <w:r w:rsidRPr="004600B0" w:rsidR="004600B0">
        <w:rPr>
          <w:rFonts w:ascii="Arial" w:hAnsi="Arial"/>
        </w:rPr>
        <w:t>NCHHSTP/Division of STD Prevention</w:t>
      </w:r>
    </w:p>
    <w:p w:rsidR="00B46F2C" w:rsidRPr="00B372FB" w:rsidP="00434E33" w14:paraId="4E5A86F4" w14:textId="60127826">
      <w:pPr>
        <w:rPr>
          <w:rFonts w:ascii="Arial" w:hAnsi="Arial"/>
          <w:b/>
        </w:rPr>
      </w:pPr>
      <w:r>
        <w:rPr>
          <w:rFonts w:ascii="Arial" w:hAnsi="Arial"/>
          <w:b/>
        </w:rPr>
        <w:t>PROJECT TITLE:</w:t>
      </w:r>
      <w:r w:rsidRPr="00B372FB">
        <w:rPr>
          <w:rFonts w:ascii="Arial" w:hAnsi="Arial"/>
        </w:rPr>
        <w:t xml:space="preserve"> </w:t>
      </w:r>
      <w:r w:rsidR="004600B0">
        <w:rPr>
          <w:rFonts w:ascii="Arial" w:hAnsi="Arial"/>
        </w:rPr>
        <w:t xml:space="preserve"> Performance Measurement for STD </w:t>
      </w:r>
      <w:r w:rsidR="00E377ED">
        <w:rPr>
          <w:rFonts w:ascii="Arial" w:hAnsi="Arial"/>
        </w:rPr>
        <w:t>PCHD</w:t>
      </w:r>
      <w:r w:rsidR="00FD5DC9">
        <w:rPr>
          <w:rFonts w:ascii="Arial" w:hAnsi="Arial"/>
        </w:rPr>
        <w:t xml:space="preserve"> (2026-2028)</w:t>
      </w:r>
    </w:p>
    <w:p w:rsidR="00B46F2C" w:rsidP="00840FCA" w14:paraId="01F82DC3" w14:textId="21061EDF">
      <w:pPr>
        <w:rPr>
          <w:rFonts w:ascii="Arial" w:hAnsi="Arial"/>
          <w:sz w:val="22"/>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4600B0">
        <w:rPr>
          <w:rFonts w:ascii="Arial" w:hAnsi="Arial"/>
          <w:b/>
        </w:rPr>
        <w:t xml:space="preserve">  </w:t>
      </w:r>
      <w:r w:rsidRPr="004600B0" w:rsidR="004600B0">
        <w:rPr>
          <w:rFonts w:ascii="Arial" w:hAnsi="Arial"/>
          <w:sz w:val="22"/>
        </w:rPr>
        <w:t>The goal of this project is to guide performance measurement efforts among the 59 health departments that receive funding from CDC to conduct STD surveillance, prevention and control through cooperative agreement PS19-1901. The purpose is to assess recipients’ individual and collective progress towards the larger aims of the cooperative agreement, direct technical assistance to recipients, and obtain information needed to help assess the cooperative agreement’s public health impact.</w:t>
      </w:r>
      <w:r w:rsidRPr="004600B0" w:rsidR="004600B0">
        <w:rPr>
          <w:rFonts w:ascii="Arial" w:hAnsi="Arial"/>
          <w:b/>
          <w:sz w:val="22"/>
        </w:rPr>
        <w:t xml:space="preserve"> </w:t>
      </w:r>
      <w:r w:rsidRPr="004600B0" w:rsidR="004600B0">
        <w:rPr>
          <w:rFonts w:ascii="Arial" w:hAnsi="Arial"/>
          <w:sz w:val="22"/>
        </w:rPr>
        <w:t>The resulting data will be used to rapidly generate reports that compare and contrast recipients’ progress. Findings will be disseminated to all STD PCHD recipients and key CDC staff working to support these recipients, in order to stimulate discussion of areas for program improvement and technical assistance.</w:t>
      </w:r>
    </w:p>
    <w:p w:rsidR="00D0293D" w:rsidRPr="00B17838" w:rsidP="00840FCA" w14:paraId="2369701B" w14:textId="4BB4A117">
      <w:pPr>
        <w:rPr>
          <w:rFonts w:ascii="Arial" w:hAnsi="Arial"/>
          <w:bCs/>
        </w:rPr>
      </w:pPr>
      <w:r w:rsidRPr="00B17838">
        <w:rPr>
          <w:rFonts w:ascii="Arial" w:hAnsi="Arial"/>
          <w:bCs/>
        </w:rPr>
        <w:t xml:space="preserve">The </w:t>
      </w:r>
      <w:r w:rsidRPr="00B17838" w:rsidR="00F66A65">
        <w:rPr>
          <w:rFonts w:ascii="Arial" w:hAnsi="Arial"/>
          <w:bCs/>
        </w:rPr>
        <w:t>Congenital Syphilis (</w:t>
      </w:r>
      <w:r w:rsidRPr="00B17838">
        <w:rPr>
          <w:rFonts w:ascii="Arial" w:hAnsi="Arial"/>
          <w:bCs/>
        </w:rPr>
        <w:t>CS</w:t>
      </w:r>
      <w:r w:rsidRPr="00B17838" w:rsidR="00F66A65">
        <w:rPr>
          <w:rFonts w:ascii="Arial" w:hAnsi="Arial"/>
          <w:bCs/>
        </w:rPr>
        <w:t>)</w:t>
      </w:r>
      <w:r w:rsidRPr="00B17838">
        <w:rPr>
          <w:rFonts w:ascii="Arial" w:hAnsi="Arial"/>
          <w:bCs/>
        </w:rPr>
        <w:t xml:space="preserve"> Supplement Addendum applies only to the subset of STD PCHD recipients that receive the CS supplement funded under CDC-RFA-PS19-1901. The addendum collects aggregate, programmatic data on point-of-care testing (POCT) procurement and utilization, clinical outcomes, and data quality for the supplement budget period of July 1, 2026 – February 28, 2027. No personally identifiable information (PII) is collected or submitted to CDC; all data are reported in the aggregate.</w:t>
      </w:r>
    </w:p>
    <w:p w:rsidR="00D663F0" w:rsidP="00840FCA" w14:paraId="290053A1" w14:textId="70E01EF3">
      <w:pPr>
        <w:rPr>
          <w:rFonts w:ascii="Arial" w:hAnsi="Arial"/>
          <w:b/>
        </w:rPr>
      </w:pPr>
      <w:r>
        <w:rPr>
          <w:rFonts w:ascii="Arial" w:hAnsi="Arial"/>
          <w:b/>
        </w:rPr>
        <w:t>NUMBER AND TITLE OF NOFO:</w:t>
      </w:r>
      <w:r w:rsidR="004600B0">
        <w:rPr>
          <w:rFonts w:ascii="Arial" w:hAnsi="Arial"/>
          <w:b/>
        </w:rPr>
        <w:t xml:space="preserve">  </w:t>
      </w:r>
      <w:r w:rsidRPr="004600B0" w:rsidR="004600B0">
        <w:rPr>
          <w:rFonts w:ascii="Arial" w:hAnsi="Arial"/>
        </w:rPr>
        <w:t>PS19-1901 Sexually Transmitted Diseases Prevention and Control for Health Departments (STD PCHD)</w:t>
      </w:r>
    </w:p>
    <w:p w:rsidR="00D663F0" w:rsidRPr="00B372FB" w:rsidP="00840FCA" w14:paraId="0C950D67" w14:textId="6281BD8E">
      <w:pPr>
        <w:rPr>
          <w:rFonts w:ascii="Arial" w:hAnsi="Arial"/>
          <w:b/>
        </w:rPr>
      </w:pPr>
      <w:r>
        <w:rPr>
          <w:rFonts w:ascii="Arial" w:hAnsi="Arial"/>
          <w:b/>
        </w:rPr>
        <w:t>NUMBER OF PARTICIPATING RECIPIENTS:</w:t>
      </w:r>
      <w:r w:rsidR="004600B0">
        <w:rPr>
          <w:rFonts w:ascii="Arial" w:hAnsi="Arial"/>
          <w:b/>
        </w:rPr>
        <w:t xml:space="preserve">  </w:t>
      </w:r>
      <w:r w:rsidRPr="004600B0" w:rsidR="004600B0">
        <w:rPr>
          <w:rFonts w:ascii="Arial" w:hAnsi="Arial"/>
        </w:rPr>
        <w:t>50 state, 7 local, and 2 territorial health departments</w:t>
      </w:r>
    </w:p>
    <w:p w:rsidR="00B46F2C" w:rsidRPr="00B372FB" w:rsidP="00434E33" w14:paraId="407B2D35" w14:textId="77777777">
      <w:pPr>
        <w:pStyle w:val="Header"/>
        <w:tabs>
          <w:tab w:val="clear" w:pos="4320"/>
          <w:tab w:val="clear" w:pos="8640"/>
        </w:tabs>
        <w:rPr>
          <w:rFonts w:ascii="Arial" w:hAnsi="Arial"/>
          <w:b/>
        </w:rPr>
      </w:pP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2329CE5B">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Funds all 50 states</w:t>
      </w:r>
    </w:p>
    <w:p w:rsidR="00D663F0" w:rsidP="00840FCA" w14:paraId="3B9E40F0" w14:textId="15DE4B55">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budget higher than $10 million per year</w:t>
      </w:r>
    </w:p>
    <w:p w:rsidR="00D663F0" w:rsidRPr="00B372FB" w:rsidP="00840FCA" w14:paraId="412E1CA4" w14:textId="02220141">
      <w:pPr>
        <w:pStyle w:val="Header"/>
        <w:tabs>
          <w:tab w:val="clear" w:pos="4320"/>
          <w:tab w:val="clear" w:pos="8640"/>
        </w:tabs>
        <w:rPr>
          <w:rFonts w:ascii="Arial" w:hAnsi="Arial"/>
        </w:rPr>
      </w:pPr>
      <w:r>
        <w:rPr>
          <w:rFonts w:ascii="Arial" w:hAnsi="Arial"/>
        </w:rPr>
        <w:t>_</w:t>
      </w:r>
      <w:r w:rsidR="004600B0">
        <w:rPr>
          <w:rFonts w:ascii="Arial" w:hAnsi="Arial"/>
        </w:rPr>
        <w:t>X</w:t>
      </w:r>
      <w:r>
        <w:rPr>
          <w:rFonts w:ascii="Arial" w:hAnsi="Arial"/>
        </w:rPr>
        <w:t>_</w:t>
      </w:r>
      <w:r>
        <w:rPr>
          <w:rFonts w:ascii="Arial" w:hAnsi="Arial"/>
        </w:rPr>
        <w:tab/>
        <w:t>Has significant stakeholder interest (e.g. partners, Congress)</w:t>
      </w:r>
    </w:p>
    <w:p w:rsidR="00B46F2C" w14:paraId="210D972C" w14:textId="77777777">
      <w:pPr>
        <w:rPr>
          <w:rFonts w:ascii="Arial" w:hAnsi="Arial"/>
        </w:rPr>
      </w:pPr>
      <w:r w:rsidRPr="004600B0">
        <w:rPr>
          <w:rFonts w:ascii="Arial" w:hAnsi="Arial"/>
          <w:b/>
        </w:rPr>
        <w:t>Please elaborate</w:t>
      </w:r>
      <w:r>
        <w:rPr>
          <w:rFonts w:ascii="Arial" w:hAnsi="Arial"/>
        </w:rPr>
        <w:t>:</w:t>
      </w:r>
    </w:p>
    <w:p w:rsidR="00214E5F" w14:paraId="5536978D" w14:textId="7CC60244">
      <w:pPr>
        <w:rPr>
          <w:rFonts w:ascii="Arial" w:hAnsi="Arial"/>
          <w:b/>
        </w:rPr>
      </w:pPr>
      <w:r>
        <w:rPr>
          <w:rFonts w:ascii="Arial" w:hAnsi="Arial"/>
        </w:rPr>
        <w:t>Through PS19-1901 STD PCHD, the Division of STD Prevention awards nearly $100,000,000 annually for comprehensive STD surveillance, prevention, and control to 59 state, local, and territorial entities. As DSTDP’s flagship cooperative agreement, many stakeholders inside and outside of DSTDP are invested and interested in the program and its outcomes.</w:t>
      </w:r>
      <w:r w:rsidR="001E58F5">
        <w:rPr>
          <w:rFonts w:ascii="Arial" w:hAnsi="Arial"/>
        </w:rPr>
        <w:t xml:space="preserve"> </w:t>
      </w:r>
      <w:r w:rsidR="00F66A65">
        <w:rPr>
          <w:rFonts w:ascii="Arial" w:hAnsi="Arial"/>
        </w:rPr>
        <w:t>The</w:t>
      </w:r>
      <w:r w:rsidRPr="00D0293D" w:rsidR="00D0293D">
        <w:rPr>
          <w:rFonts w:ascii="Arial" w:hAnsi="Arial"/>
        </w:rPr>
        <w:t xml:space="preserve"> time-limited Congenital Syphilis (CS) Supplement to PS19-1901 provid</w:t>
      </w:r>
      <w:r w:rsidR="00F66A65">
        <w:rPr>
          <w:rFonts w:ascii="Arial" w:hAnsi="Arial"/>
        </w:rPr>
        <w:t>es</w:t>
      </w:r>
      <w:r w:rsidRPr="00D0293D" w:rsidR="00D0293D">
        <w:rPr>
          <w:rFonts w:ascii="Arial" w:hAnsi="Arial"/>
        </w:rPr>
        <w:t xml:space="preserve"> up to $3,250,000 to eligible recipients to purchase and deploy syphilis point-of-care tests (POCTs) and treatment medications in high-</w:t>
      </w:r>
      <w:r w:rsidRPr="00D0293D" w:rsidR="00D0293D">
        <w:rPr>
          <w:rFonts w:ascii="Arial" w:hAnsi="Arial"/>
        </w:rPr>
        <w:t>burden community settings. Congenital syphilis cases have increased markedly over the last decade, with nearly 4,000 cases reported in 2024, driven by surging syphilis rates among women of childbearing age and inadequate testing and treatment during pregnancy. The CS supplement represents a targeted, one-time investment directed by HHS leadership to address this public health emergency. Performance measurement for the supplement is a critical accountability mechanism and will inform future CS-related funding</w:t>
      </w:r>
      <w:r w:rsidR="00D0293D">
        <w:rPr>
          <w:rFonts w:ascii="Arial" w:hAnsi="Arial"/>
        </w:rPr>
        <w:t xml:space="preserve"> </w:t>
      </w:r>
      <w:r w:rsidRPr="00D0293D" w:rsidR="00D0293D">
        <w:rPr>
          <w:rFonts w:ascii="Arial" w:hAnsi="Arial"/>
        </w:rPr>
        <w:t>decisions.</w:t>
      </w:r>
    </w:p>
    <w:p w:rsidR="00E64372" w14:paraId="755A982A" w14:textId="7FDFA58E">
      <w:pPr>
        <w:rPr>
          <w:rFonts w:ascii="Arial" w:hAnsi="Arial"/>
        </w:rPr>
      </w:pPr>
      <w:r>
        <w:rPr>
          <w:rFonts w:ascii="Arial" w:hAnsi="Arial"/>
          <w:b/>
        </w:rPr>
        <w:t>PERFORMANCE METRICS USED &amp; JUSTIFICATIONS:</w:t>
      </w:r>
    </w:p>
    <w:p w:rsidR="004600B0" w:rsidRPr="004600B0" w:rsidP="004600B0" w14:paraId="41A32A1C" w14:textId="438BFCF2">
      <w:pPr>
        <w:rPr>
          <w:rFonts w:ascii="Arial" w:hAnsi="Arial"/>
        </w:rPr>
      </w:pPr>
      <w:r w:rsidRPr="004600B0">
        <w:rPr>
          <w:rFonts w:ascii="Arial" w:hAnsi="Arial"/>
        </w:rPr>
        <w:t xml:space="preserve">Health departments play a critical role in addressing </w:t>
      </w:r>
      <w:r w:rsidR="005619DB">
        <w:rPr>
          <w:rFonts w:ascii="Arial" w:hAnsi="Arial"/>
        </w:rPr>
        <w:t>sexually transmitted disease (</w:t>
      </w:r>
      <w:r w:rsidRPr="004600B0">
        <w:rPr>
          <w:rFonts w:ascii="Arial" w:hAnsi="Arial"/>
        </w:rPr>
        <w:t>STD</w:t>
      </w:r>
      <w:r w:rsidR="005619DB">
        <w:rPr>
          <w:rFonts w:ascii="Arial" w:hAnsi="Arial"/>
        </w:rPr>
        <w:t>)</w:t>
      </w:r>
      <w:r w:rsidRPr="004600B0">
        <w:rPr>
          <w:rFonts w:ascii="Arial" w:hAnsi="Arial"/>
        </w:rPr>
        <w:t xml:space="preserve"> prevention and control and are well-positioned to monitor local trends in STDs through case-based surveillance and to respond to emerging threats and outbreaks. Health department STD programs also have the authority and skills to conduct disease investigation activities including partner services, an effective intervention to prevent STD transmission in some populations. Given that most STDs are diagnosed outside of public STD clinics, health departments must also work with primary care and other health care providers and organizations to promote the delivery of recommended, evidence-based STD screening, timely treatment, and other prevention services.  </w:t>
      </w:r>
    </w:p>
    <w:p w:rsidR="004600B0" w:rsidRPr="004600B0" w:rsidP="004600B0" w14:paraId="2B934E9D" w14:textId="5271D3DB">
      <w:pPr>
        <w:rPr>
          <w:rFonts w:ascii="Arial" w:hAnsi="Arial"/>
        </w:rPr>
      </w:pPr>
      <w:r w:rsidRPr="004600B0">
        <w:rPr>
          <w:rFonts w:ascii="Arial" w:hAnsi="Arial"/>
        </w:rPr>
        <w:t xml:space="preserve">Federal support for state, local, and territorial health departments to carry out these functions has been in place for decades and remains a critical source of funding to monitor and fight STDs across the US. The STD PCHD cooperative agreement is the latest iteration of this support, covering the </w:t>
      </w:r>
      <w:r w:rsidR="000E70F2">
        <w:rPr>
          <w:rFonts w:ascii="Arial" w:hAnsi="Arial"/>
        </w:rPr>
        <w:t>7</w:t>
      </w:r>
      <w:r w:rsidRPr="004600B0">
        <w:rPr>
          <w:rFonts w:ascii="Arial" w:hAnsi="Arial"/>
        </w:rPr>
        <w:t>-year period 2019-202</w:t>
      </w:r>
      <w:r w:rsidR="00B72E95">
        <w:rPr>
          <w:rFonts w:ascii="Arial" w:hAnsi="Arial"/>
        </w:rPr>
        <w:t>5</w:t>
      </w:r>
      <w:r w:rsidRPr="004600B0">
        <w:rPr>
          <w:rFonts w:ascii="Arial" w:hAnsi="Arial"/>
        </w:rPr>
        <w:t>. In 2019, approximately $92.5 million dollars were awarded by CDC to 59 state, local, and territorial health departments</w:t>
      </w:r>
      <w:r w:rsidR="00B536CF">
        <w:rPr>
          <w:rFonts w:ascii="Arial" w:hAnsi="Arial"/>
        </w:rPr>
        <w:t xml:space="preserve"> </w:t>
      </w:r>
      <w:r w:rsidRPr="004600B0">
        <w:rPr>
          <w:rFonts w:ascii="Arial" w:hAnsi="Arial"/>
        </w:rPr>
        <w:t>to carry out a focused scope of work that reflects the core public health functions of assessment, assurance, and policy and aligns with STD epidemiology and best practices. CDC supports these health department recipients to:</w:t>
      </w:r>
    </w:p>
    <w:p w:rsidR="004600B0" w:rsidRPr="004600B0" w:rsidP="004600B0" w14:paraId="4D3B99BA" w14:textId="664F37E6">
      <w:pPr>
        <w:pStyle w:val="ListParagraph"/>
        <w:numPr>
          <w:ilvl w:val="0"/>
          <w:numId w:val="24"/>
        </w:numPr>
        <w:rPr>
          <w:rFonts w:ascii="Arial" w:hAnsi="Arial"/>
        </w:rPr>
      </w:pPr>
      <w:r w:rsidRPr="004600B0">
        <w:rPr>
          <w:rFonts w:ascii="Arial" w:hAnsi="Arial"/>
        </w:rPr>
        <w:t>Conduct STD surveillance</w:t>
      </w:r>
    </w:p>
    <w:p w:rsidR="004600B0" w:rsidRPr="004600B0" w:rsidP="004600B0" w14:paraId="0285535C" w14:textId="542AB0A5">
      <w:pPr>
        <w:pStyle w:val="ListParagraph"/>
        <w:numPr>
          <w:ilvl w:val="0"/>
          <w:numId w:val="24"/>
        </w:numPr>
        <w:rPr>
          <w:rFonts w:ascii="Arial" w:hAnsi="Arial"/>
        </w:rPr>
      </w:pPr>
      <w:r w:rsidRPr="004600B0">
        <w:rPr>
          <w:rFonts w:ascii="Arial" w:hAnsi="Arial"/>
        </w:rPr>
        <w:t>Respond to STD-related outbreak</w:t>
      </w:r>
    </w:p>
    <w:p w:rsidR="004600B0" w:rsidRPr="004600B0" w:rsidP="004600B0" w14:paraId="4FDB9B48" w14:textId="1A9977D4">
      <w:pPr>
        <w:pStyle w:val="ListParagraph"/>
        <w:numPr>
          <w:ilvl w:val="0"/>
          <w:numId w:val="24"/>
        </w:numPr>
        <w:rPr>
          <w:rFonts w:ascii="Arial" w:hAnsi="Arial"/>
        </w:rPr>
      </w:pPr>
      <w:r w:rsidRPr="004600B0">
        <w:rPr>
          <w:rFonts w:ascii="Arial" w:hAnsi="Arial"/>
        </w:rPr>
        <w:t>Identify persons with STDs and link them and their partners to care and to treatment through targeted disease investigation and intervention</w:t>
      </w:r>
    </w:p>
    <w:p w:rsidR="004600B0" w:rsidRPr="004600B0" w:rsidP="004600B0" w14:paraId="36E0EF1A" w14:textId="76BAEB8E">
      <w:pPr>
        <w:pStyle w:val="ListParagraph"/>
        <w:numPr>
          <w:ilvl w:val="0"/>
          <w:numId w:val="24"/>
        </w:numPr>
        <w:rPr>
          <w:rFonts w:ascii="Arial" w:hAnsi="Arial"/>
        </w:rPr>
      </w:pPr>
      <w:r w:rsidRPr="004600B0">
        <w:rPr>
          <w:rFonts w:ascii="Arial" w:hAnsi="Arial"/>
        </w:rPr>
        <w:t>Promote CDC-recommended screening, diagnosis, and treatment practices among relevant providers</w:t>
      </w:r>
    </w:p>
    <w:p w:rsidR="004600B0" w:rsidRPr="004600B0" w:rsidP="004600B0" w14:paraId="6E419009" w14:textId="0464CED3">
      <w:pPr>
        <w:pStyle w:val="ListParagraph"/>
        <w:numPr>
          <w:ilvl w:val="0"/>
          <w:numId w:val="24"/>
        </w:numPr>
        <w:rPr>
          <w:rFonts w:ascii="Arial" w:hAnsi="Arial"/>
        </w:rPr>
      </w:pPr>
      <w:r w:rsidRPr="004600B0">
        <w:rPr>
          <w:rFonts w:ascii="Arial" w:hAnsi="Arial"/>
        </w:rPr>
        <w:t>Disseminate local data and information to the health care community and public; monitor and develop STD-related policy</w:t>
      </w:r>
    </w:p>
    <w:p w:rsidR="004600B0" w:rsidRPr="004600B0" w:rsidP="004600B0" w14:paraId="643F9012" w14:textId="3D3357DD">
      <w:pPr>
        <w:pStyle w:val="ListParagraph"/>
        <w:numPr>
          <w:ilvl w:val="0"/>
          <w:numId w:val="24"/>
        </w:numPr>
        <w:rPr>
          <w:rFonts w:ascii="Arial" w:hAnsi="Arial"/>
        </w:rPr>
      </w:pPr>
      <w:r w:rsidRPr="004600B0">
        <w:rPr>
          <w:rFonts w:ascii="Arial" w:hAnsi="Arial"/>
        </w:rPr>
        <w:t>Develop and strengthen multi-sector partnerships to support STD prevention and control</w:t>
      </w:r>
    </w:p>
    <w:p w:rsidR="004600B0" w:rsidRPr="004600B0" w:rsidP="004600B0" w14:paraId="7586E478" w14:textId="5BDD1F8E">
      <w:pPr>
        <w:pStyle w:val="ListParagraph"/>
        <w:numPr>
          <w:ilvl w:val="0"/>
          <w:numId w:val="24"/>
        </w:numPr>
        <w:rPr>
          <w:rFonts w:ascii="Arial" w:hAnsi="Arial"/>
        </w:rPr>
      </w:pPr>
      <w:r w:rsidRPr="004600B0">
        <w:rPr>
          <w:rFonts w:ascii="Arial" w:hAnsi="Arial"/>
        </w:rPr>
        <w:t xml:space="preserve">Support HIV prevention goals and collaborate with health department HIV programs; and </w:t>
      </w:r>
    </w:p>
    <w:p w:rsidR="004600B0" w:rsidRPr="00B536CF" w:rsidP="004600B0" w14:paraId="047EDE61" w14:textId="538D6168">
      <w:pPr>
        <w:pStyle w:val="ListParagraph"/>
        <w:numPr>
          <w:ilvl w:val="0"/>
          <w:numId w:val="24"/>
        </w:numPr>
        <w:rPr>
          <w:rFonts w:ascii="Arial" w:hAnsi="Arial"/>
        </w:rPr>
      </w:pPr>
      <w:r w:rsidRPr="004600B0">
        <w:rPr>
          <w:rFonts w:ascii="Arial" w:hAnsi="Arial"/>
        </w:rPr>
        <w:t>Analyze and use data for increased program insights and program improvement.</w:t>
      </w:r>
    </w:p>
    <w:p w:rsidR="004600B0" w:rsidRPr="004600B0" w:rsidP="004600B0" w14:paraId="5320F085" w14:textId="723DF01B">
      <w:pPr>
        <w:rPr>
          <w:rFonts w:ascii="Arial" w:hAnsi="Arial"/>
        </w:rPr>
      </w:pPr>
      <w:r w:rsidRPr="004600B0">
        <w:rPr>
          <w:rFonts w:ascii="Arial" w:hAnsi="Arial"/>
        </w:rPr>
        <w:t xml:space="preserve">STD PCHD </w:t>
      </w:r>
      <w:r w:rsidR="00B536CF">
        <w:rPr>
          <w:rFonts w:ascii="Arial" w:hAnsi="Arial"/>
        </w:rPr>
        <w:t xml:space="preserve">explicitly </w:t>
      </w:r>
      <w:r w:rsidRPr="004600B0">
        <w:rPr>
          <w:rFonts w:ascii="Arial" w:hAnsi="Arial"/>
        </w:rPr>
        <w:t>emphasizes three Strategy Areas: Surveillance (Strategy Area I), Disease investigation and intervention (Strategy Area II), and the Promotion of CDC-Recommended Screening, Diagnosis, and Treatment (Strategy Area III).</w:t>
      </w:r>
    </w:p>
    <w:p w:rsidR="004600B0" w:rsidRPr="004600B0" w:rsidP="004600B0" w14:paraId="7D751D22" w14:textId="7C27A860">
      <w:pPr>
        <w:rPr>
          <w:rFonts w:ascii="Arial" w:hAnsi="Arial"/>
        </w:rPr>
      </w:pPr>
      <w:r w:rsidRPr="004600B0">
        <w:rPr>
          <w:rFonts w:ascii="Arial" w:hAnsi="Arial"/>
        </w:rPr>
        <w:t xml:space="preserve">CDC requests OMB approval to collect aggregate data from the recipients of cooperative agreement PS19-1901 STD PCHD. Recipients will report progress on a select set of performance measures on </w:t>
      </w:r>
      <w:r w:rsidRPr="00DF3627">
        <w:rPr>
          <w:rFonts w:ascii="Arial" w:hAnsi="Arial"/>
        </w:rPr>
        <w:t>an annual</w:t>
      </w:r>
      <w:r w:rsidRPr="004600B0">
        <w:rPr>
          <w:rFonts w:ascii="Arial" w:hAnsi="Arial"/>
        </w:rPr>
        <w:t xml:space="preserve"> basis.</w:t>
      </w:r>
      <w:r w:rsidR="003A6612">
        <w:rPr>
          <w:rFonts w:ascii="Arial" w:hAnsi="Arial"/>
        </w:rPr>
        <w:t xml:space="preserve"> </w:t>
      </w:r>
      <w:r w:rsidRPr="004600B0">
        <w:rPr>
          <w:rFonts w:ascii="Arial" w:hAnsi="Arial"/>
        </w:rPr>
        <w:t xml:space="preserve">Information will be transmitted electronically to a designated contact person at CDC and through the federal system (GrantSolutions) that houses official communication between CDC and cooperative agreement recipients. </w:t>
      </w:r>
    </w:p>
    <w:p w:rsidR="0036025B" w:rsidP="00B536CF" w14:paraId="63E14CD4" w14:textId="60742634">
      <w:pPr>
        <w:rPr>
          <w:rFonts w:ascii="Arial" w:hAnsi="Arial"/>
        </w:rPr>
      </w:pPr>
      <w:r w:rsidRPr="004600B0">
        <w:rPr>
          <w:rFonts w:ascii="Arial" w:hAnsi="Arial"/>
        </w:rPr>
        <w:t>It is important to collect performance measures</w:t>
      </w:r>
      <w:r w:rsidR="00983A1B">
        <w:rPr>
          <w:rFonts w:ascii="Arial" w:hAnsi="Arial"/>
        </w:rPr>
        <w:t xml:space="preserve"> now </w:t>
      </w:r>
      <w:r w:rsidRPr="004600B0" w:rsidR="00983A1B">
        <w:rPr>
          <w:rFonts w:ascii="Arial" w:hAnsi="Arial"/>
        </w:rPr>
        <w:t>because recipients</w:t>
      </w:r>
      <w:r w:rsidR="00983A1B">
        <w:rPr>
          <w:rFonts w:ascii="Arial" w:hAnsi="Arial"/>
        </w:rPr>
        <w:t xml:space="preserve"> are</w:t>
      </w:r>
      <w:r w:rsidRPr="004600B0" w:rsidR="00983A1B">
        <w:rPr>
          <w:rFonts w:ascii="Arial" w:hAnsi="Arial"/>
        </w:rPr>
        <w:t xml:space="preserve"> currently implementing strategies under the cooperative agreement. The information can only be used to direct program improvement if it is collected concurrently with implementation.</w:t>
      </w:r>
      <w:r w:rsidRPr="00B536CF" w:rsidR="00983A1B">
        <w:rPr>
          <w:rFonts w:ascii="Arial" w:hAnsi="Arial"/>
        </w:rPr>
        <w:t xml:space="preserve"> </w:t>
      </w:r>
      <w:r w:rsidR="0022284E">
        <w:rPr>
          <w:rFonts w:ascii="Arial" w:hAnsi="Arial"/>
        </w:rPr>
        <w:t xml:space="preserve"> </w:t>
      </w:r>
      <w:r w:rsidRPr="00B536CF">
        <w:rPr>
          <w:rFonts w:ascii="Arial" w:hAnsi="Arial"/>
        </w:rPr>
        <w:t>CDC developed a Microsoft Excel-based Data Collection Tool (</w:t>
      </w:r>
      <w:r w:rsidRPr="00B17838" w:rsidR="00475753">
        <w:rPr>
          <w:rFonts w:ascii="Arial" w:hAnsi="Arial"/>
          <w:b/>
          <w:bCs/>
        </w:rPr>
        <w:t>Attachment 1</w:t>
      </w:r>
      <w:r w:rsidRPr="00B536CF">
        <w:rPr>
          <w:rFonts w:ascii="Arial" w:hAnsi="Arial"/>
        </w:rPr>
        <w:t xml:space="preserve">) to document progress toward the intended outcomes of the STD PCHD cooperative agreement in line with the strategies, activities, and outputs encompassed under STD PCHD. CDC’s performance measurements include both process and outcome measures and are consistent with the logic model and approach specified in the STD PCHD cooperative agreement. </w:t>
      </w:r>
    </w:p>
    <w:p w:rsidR="00B536CF" w:rsidRPr="00B536CF" w:rsidP="00B536CF" w14:paraId="06270AFB" w14:textId="146A1D5E">
      <w:pPr>
        <w:rPr>
          <w:rFonts w:ascii="Arial" w:hAnsi="Arial"/>
        </w:rPr>
      </w:pPr>
      <w:r w:rsidRPr="00B536CF">
        <w:rPr>
          <w:rFonts w:ascii="Arial" w:hAnsi="Arial"/>
        </w:rPr>
        <w:t xml:space="preserve">Each worksheet supplies performance measure data related to STD PCHD’s overarching goals for improved 1) surveillance, 2) disease intervention and investigation, and 3) uptake of CDC-recommendations for screening, diagnosis, and treatment for STD prevention. Relevant expected outcomes include improved completion and timeliness of public health surveillance data on reportable STDs, increased treatment of reported syphilis cases and their partners, increased identification of persons living with HIV, increased screening and diagnosis of STDs, and increased use of recommended, timely treatment for syphilis and for gonorrhea. </w:t>
      </w:r>
    </w:p>
    <w:p w:rsidR="00B536CF" w:rsidRPr="00B536CF" w:rsidP="00B536CF" w14:paraId="22DCF00A" w14:textId="799D0E9B">
      <w:pPr>
        <w:rPr>
          <w:rFonts w:ascii="Arial" w:hAnsi="Arial"/>
        </w:rPr>
      </w:pPr>
      <w:r w:rsidRPr="00B536CF">
        <w:rPr>
          <w:rFonts w:ascii="Arial" w:hAnsi="Arial"/>
        </w:rPr>
        <w:t xml:space="preserve">Specifically, the Data Collection Tool </w:t>
      </w:r>
      <w:r w:rsidR="006A7877">
        <w:rPr>
          <w:rFonts w:ascii="Arial" w:hAnsi="Arial"/>
        </w:rPr>
        <w:t>(</w:t>
      </w:r>
      <w:r w:rsidRPr="00B17838" w:rsidR="006A7877">
        <w:rPr>
          <w:rFonts w:ascii="Arial" w:hAnsi="Arial"/>
          <w:b/>
          <w:bCs/>
        </w:rPr>
        <w:t>Attachment 1</w:t>
      </w:r>
      <w:r w:rsidR="006A7877">
        <w:rPr>
          <w:rFonts w:ascii="Arial" w:hAnsi="Arial"/>
        </w:rPr>
        <w:t xml:space="preserve">) </w:t>
      </w:r>
      <w:r w:rsidRPr="00B536CF">
        <w:rPr>
          <w:rFonts w:ascii="Arial" w:hAnsi="Arial"/>
        </w:rPr>
        <w:t xml:space="preserve">is comprised of a cover page and </w:t>
      </w:r>
      <w:r w:rsidR="00D41FA2">
        <w:rPr>
          <w:rFonts w:ascii="Arial" w:hAnsi="Arial"/>
        </w:rPr>
        <w:t>7</w:t>
      </w:r>
      <w:r w:rsidR="001F4F00">
        <w:rPr>
          <w:rFonts w:ascii="Arial" w:hAnsi="Arial"/>
        </w:rPr>
        <w:t xml:space="preserve"> </w:t>
      </w:r>
      <w:r w:rsidRPr="00B536CF">
        <w:rPr>
          <w:rFonts w:ascii="Arial" w:hAnsi="Arial"/>
        </w:rPr>
        <w:t>data entry worksheets</w:t>
      </w:r>
      <w:r w:rsidR="005145F1">
        <w:rPr>
          <w:rFonts w:ascii="Arial" w:hAnsi="Arial"/>
        </w:rPr>
        <w:t>:</w:t>
      </w:r>
    </w:p>
    <w:p w:rsidR="00B536CF" w:rsidP="00B536CF" w14:paraId="19EC5E65" w14:textId="3B157192">
      <w:pPr>
        <w:pStyle w:val="ListParagraph"/>
        <w:numPr>
          <w:ilvl w:val="0"/>
          <w:numId w:val="25"/>
        </w:numPr>
        <w:rPr>
          <w:rFonts w:ascii="Arial" w:hAnsi="Arial"/>
        </w:rPr>
      </w:pPr>
      <w:r w:rsidRPr="00B536CF">
        <w:rPr>
          <w:rFonts w:ascii="Arial" w:hAnsi="Arial"/>
          <w:u w:val="single"/>
        </w:rPr>
        <w:t>Pregnancy Ascertainment</w:t>
      </w:r>
      <w:r w:rsidRPr="00B536CF">
        <w:rPr>
          <w:rFonts w:ascii="Arial" w:hAnsi="Arial"/>
        </w:rPr>
        <w:t>.  Items in this worksheet are used to obtain information on the timeliness of pregnancy ascertainment for female syphilis cases, which is essential to timely public health follow-up to prevent congenital syphilis.</w:t>
      </w:r>
    </w:p>
    <w:p w:rsidR="00B536CF" w:rsidP="00B536CF" w14:paraId="1BEE09CE" w14:textId="7281710A">
      <w:pPr>
        <w:pStyle w:val="ListParagraph"/>
        <w:numPr>
          <w:ilvl w:val="0"/>
          <w:numId w:val="25"/>
        </w:numPr>
        <w:rPr>
          <w:rFonts w:ascii="Arial" w:hAnsi="Arial"/>
        </w:rPr>
      </w:pPr>
      <w:r w:rsidRPr="00B536CF">
        <w:rPr>
          <w:rFonts w:ascii="Arial" w:hAnsi="Arial"/>
          <w:u w:val="single"/>
        </w:rPr>
        <w:t>Congenital Syphilis</w:t>
      </w:r>
      <w:r w:rsidRPr="00B536CF">
        <w:rPr>
          <w:rFonts w:ascii="Arial" w:hAnsi="Arial"/>
        </w:rPr>
        <w:t>.  Items in this worksheet are used to estimate the number of potential cases averted through interventions in mother-to-child transmission. Congenital syphilis has been increasing markedly, and this information provides additional context on prevention efforts not obtained through congenital syphilis surveillance.</w:t>
      </w:r>
    </w:p>
    <w:p w:rsidR="001840EE" w:rsidP="00B536CF" w14:paraId="30066CEC" w14:textId="77777777">
      <w:pPr>
        <w:pStyle w:val="ListParagraph"/>
        <w:numPr>
          <w:ilvl w:val="0"/>
          <w:numId w:val="25"/>
        </w:numPr>
        <w:rPr>
          <w:rFonts w:ascii="Arial" w:hAnsi="Arial"/>
        </w:rPr>
      </w:pPr>
      <w:r w:rsidRPr="00B536CF">
        <w:rPr>
          <w:rFonts w:ascii="Arial" w:hAnsi="Arial"/>
          <w:u w:val="single"/>
        </w:rPr>
        <w:t>Outbreak Response</w:t>
      </w:r>
      <w:r w:rsidRPr="00B536CF">
        <w:rPr>
          <w:rFonts w:ascii="Arial" w:hAnsi="Arial"/>
        </w:rPr>
        <w:t xml:space="preserve">. Items in this worksheet record activations of the STD outbreak response plan and estimate the personnel contributions that STD programs make towards STD and other (non-STD) outbreaks that these health departments respond to. Outbreak response is a high priority for all health departments, and STD program staff often are asked to assist with non-STD outbreaks.  These measures help capture this work and service. </w:t>
      </w:r>
    </w:p>
    <w:p w:rsidR="00B536CF" w:rsidP="00B536CF" w14:paraId="57FF91BC" w14:textId="468175D7">
      <w:pPr>
        <w:pStyle w:val="ListParagraph"/>
        <w:numPr>
          <w:ilvl w:val="0"/>
          <w:numId w:val="25"/>
        </w:numPr>
        <w:rPr>
          <w:rFonts w:ascii="Arial" w:hAnsi="Arial"/>
        </w:rPr>
      </w:pPr>
      <w:r w:rsidRPr="00B536CF">
        <w:rPr>
          <w:rFonts w:ascii="Arial" w:hAnsi="Arial"/>
          <w:u w:val="single"/>
        </w:rPr>
        <w:t>Early Syphilis Cases: Disease Investigation and Intervention</w:t>
      </w:r>
      <w:r w:rsidRPr="00B536CF">
        <w:rPr>
          <w:rFonts w:ascii="Arial" w:hAnsi="Arial"/>
        </w:rPr>
        <w:t>. Items in this worksheet record standard disease investigation and intervention metrics for four key subpopulations: pregnant women, other women of reproductive age, men who have sex with women, and men who have sex with men (or men and women).  Disease investigation and intervention is a core prevention and control strategy for syphilis, and significant resources are devoted to it in most health departments. These measures capture key outcomes associated with that work</w:t>
      </w:r>
      <w:r w:rsidR="009538AA">
        <w:rPr>
          <w:rFonts w:ascii="Arial" w:hAnsi="Arial"/>
        </w:rPr>
        <w:t>, including how priority medical practices in each jurisdiction offer DoxyPEP and their successes and challenges in patient uptake</w:t>
      </w:r>
      <w:r w:rsidRPr="00B536CF">
        <w:rPr>
          <w:rFonts w:ascii="Arial" w:hAnsi="Arial"/>
        </w:rPr>
        <w:t xml:space="preserve">. </w:t>
      </w:r>
    </w:p>
    <w:p w:rsidR="00B536CF" w:rsidP="00B536CF" w14:paraId="0286C559" w14:textId="48FAB6B9">
      <w:pPr>
        <w:pStyle w:val="ListParagraph"/>
        <w:numPr>
          <w:ilvl w:val="0"/>
          <w:numId w:val="25"/>
        </w:numPr>
        <w:rPr>
          <w:rFonts w:ascii="Arial" w:hAnsi="Arial"/>
        </w:rPr>
      </w:pPr>
      <w:r w:rsidRPr="00B536CF">
        <w:rPr>
          <w:rFonts w:ascii="Arial" w:hAnsi="Arial"/>
          <w:u w:val="single"/>
        </w:rPr>
        <w:t>STD-related HIV prevention in Disease Investigation</w:t>
      </w:r>
      <w:r w:rsidRPr="00B536CF">
        <w:rPr>
          <w:rFonts w:ascii="Arial" w:hAnsi="Arial"/>
        </w:rPr>
        <w:t>. Items in this worksheet record select, high priority HIV-related outcomes that are routinely addressed in the course of syphilis disease investigation:  new HIV diagnoses, linkage to care for people with HIV, and referral to PrEP (pre-exposure prophylaxis for HIV), for the four subpopulations outlined</w:t>
      </w:r>
      <w:r w:rsidR="003E7003">
        <w:rPr>
          <w:rFonts w:ascii="Arial" w:hAnsi="Arial"/>
        </w:rPr>
        <w:t xml:space="preserve"> above</w:t>
      </w:r>
      <w:r w:rsidR="00D30331">
        <w:rPr>
          <w:rFonts w:ascii="Arial" w:hAnsi="Arial"/>
        </w:rPr>
        <w:t xml:space="preserve">. </w:t>
      </w:r>
      <w:r w:rsidRPr="00B536CF">
        <w:rPr>
          <w:rFonts w:ascii="Arial" w:hAnsi="Arial"/>
        </w:rPr>
        <w:t xml:space="preserve"> </w:t>
      </w:r>
      <w:r w:rsidRPr="00B536CF">
        <w:rPr>
          <w:rFonts w:ascii="Arial" w:hAnsi="Arial"/>
        </w:rPr>
        <w:t>These items are intended to assess key aspects of STD programs’ contributions to HIV prevention, a national priority.</w:t>
      </w:r>
    </w:p>
    <w:p w:rsidR="00B536CF" w:rsidP="00B536CF" w14:paraId="074D97F7" w14:textId="3324B3EA">
      <w:pPr>
        <w:pStyle w:val="ListParagraph"/>
        <w:numPr>
          <w:ilvl w:val="0"/>
          <w:numId w:val="25"/>
        </w:numPr>
        <w:rPr>
          <w:rFonts w:ascii="Arial" w:hAnsi="Arial"/>
        </w:rPr>
      </w:pPr>
      <w:r w:rsidRPr="00B536CF">
        <w:rPr>
          <w:rFonts w:ascii="Arial" w:hAnsi="Arial"/>
          <w:u w:val="single"/>
        </w:rPr>
        <w:t>Treatment</w:t>
      </w:r>
      <w:r w:rsidRPr="00B536CF">
        <w:rPr>
          <w:rFonts w:ascii="Arial" w:hAnsi="Arial"/>
        </w:rPr>
        <w:t>. Items in this worksheet record the extent of timely, recommended treatment of reported cases for syphilis and gonorrhea. Assurance of appropriate treatment is a core function of health departments.</w:t>
      </w:r>
    </w:p>
    <w:p w:rsidR="00F54814" w:rsidP="00F54814" w14:paraId="75F7D86C" w14:textId="2F7DBE62">
      <w:pPr>
        <w:pStyle w:val="ListParagraph"/>
        <w:numPr>
          <w:ilvl w:val="0"/>
          <w:numId w:val="25"/>
        </w:numPr>
        <w:rPr>
          <w:rFonts w:ascii="Arial" w:hAnsi="Arial"/>
        </w:rPr>
      </w:pPr>
      <w:r>
        <w:rPr>
          <w:rFonts w:ascii="Arial" w:hAnsi="Arial"/>
          <w:u w:val="single"/>
        </w:rPr>
        <w:t>Dashboard</w:t>
      </w:r>
      <w:r w:rsidRPr="00F03D05">
        <w:rPr>
          <w:rFonts w:ascii="Arial" w:hAnsi="Arial"/>
        </w:rPr>
        <w:t>.</w:t>
      </w:r>
      <w:r>
        <w:rPr>
          <w:rFonts w:ascii="Arial" w:hAnsi="Arial"/>
        </w:rPr>
        <w:t xml:space="preserve"> </w:t>
      </w:r>
      <w:r w:rsidR="00E71B13">
        <w:rPr>
          <w:rFonts w:ascii="Arial" w:hAnsi="Arial"/>
        </w:rPr>
        <w:t xml:space="preserve">This worksheet </w:t>
      </w:r>
      <w:r w:rsidR="00FB3523">
        <w:rPr>
          <w:rFonts w:ascii="Arial" w:hAnsi="Arial"/>
        </w:rPr>
        <w:t>auto populates</w:t>
      </w:r>
      <w:r w:rsidR="00E71B13">
        <w:rPr>
          <w:rFonts w:ascii="Arial" w:hAnsi="Arial"/>
        </w:rPr>
        <w:t xml:space="preserve"> with data visuals from the data entered on the previous worksheets. Recipients </w:t>
      </w:r>
      <w:r w:rsidR="00304564">
        <w:rPr>
          <w:rFonts w:ascii="Arial" w:hAnsi="Arial"/>
        </w:rPr>
        <w:t>are not asked to enter any additional information</w:t>
      </w:r>
      <w:r w:rsidR="00472934">
        <w:rPr>
          <w:rFonts w:ascii="Arial" w:hAnsi="Arial"/>
        </w:rPr>
        <w:t>.</w:t>
      </w:r>
      <w:r w:rsidR="00304564">
        <w:rPr>
          <w:rFonts w:ascii="Arial" w:hAnsi="Arial"/>
        </w:rPr>
        <w:t xml:space="preserve"> The purpose of this worksheet is to provide </w:t>
      </w:r>
      <w:r w:rsidR="00F46D72">
        <w:rPr>
          <w:rFonts w:ascii="Arial" w:hAnsi="Arial"/>
        </w:rPr>
        <w:t xml:space="preserve">each recipient an instant visual on each of their performance measures that they can use in their own reporting and documentation. </w:t>
      </w:r>
    </w:p>
    <w:p w:rsidR="00891BFA" w:rsidRPr="0038065A" w:rsidP="00F54814" w14:paraId="6BC58342" w14:textId="011265C1">
      <w:pPr>
        <w:pStyle w:val="ListParagraph"/>
        <w:numPr>
          <w:ilvl w:val="0"/>
          <w:numId w:val="25"/>
        </w:numPr>
        <w:rPr>
          <w:rFonts w:ascii="Arial" w:hAnsi="Arial"/>
        </w:rPr>
      </w:pPr>
      <w:r w:rsidRPr="00F03D05">
        <w:rPr>
          <w:rFonts w:ascii="Arial" w:hAnsi="Arial"/>
          <w:u w:val="single"/>
        </w:rPr>
        <w:t>Feedback.</w:t>
      </w:r>
      <w:r>
        <w:rPr>
          <w:rFonts w:ascii="Arial" w:hAnsi="Arial"/>
        </w:rPr>
        <w:t xml:space="preserve"> </w:t>
      </w:r>
      <w:r w:rsidR="00F03D05">
        <w:rPr>
          <w:rFonts w:ascii="Arial" w:hAnsi="Arial"/>
        </w:rPr>
        <w:t>These questions request</w:t>
      </w:r>
      <w:r w:rsidR="004D414F">
        <w:rPr>
          <w:rFonts w:ascii="Arial" w:hAnsi="Arial"/>
        </w:rPr>
        <w:t xml:space="preserve"> feedback on the</w:t>
      </w:r>
      <w:r w:rsidR="000E42D5">
        <w:rPr>
          <w:rFonts w:ascii="Arial" w:hAnsi="Arial"/>
        </w:rPr>
        <w:t xml:space="preserve"> </w:t>
      </w:r>
      <w:r w:rsidR="001B4F23">
        <w:rPr>
          <w:rFonts w:ascii="Arial" w:hAnsi="Arial"/>
        </w:rPr>
        <w:t>data collection tool and</w:t>
      </w:r>
      <w:r w:rsidR="004D414F">
        <w:rPr>
          <w:rFonts w:ascii="Arial" w:hAnsi="Arial"/>
        </w:rPr>
        <w:t xml:space="preserve"> dashboard</w:t>
      </w:r>
      <w:r w:rsidR="00AC58B5">
        <w:rPr>
          <w:rFonts w:ascii="Arial" w:hAnsi="Arial"/>
        </w:rPr>
        <w:t>. Recipients can voluntarily provide this information and share their input on whether the</w:t>
      </w:r>
      <w:r w:rsidR="001B4F23">
        <w:rPr>
          <w:rFonts w:ascii="Arial" w:hAnsi="Arial"/>
        </w:rPr>
        <w:t xml:space="preserve"> data quality checks were helpful and if the</w:t>
      </w:r>
      <w:r w:rsidR="00AC58B5">
        <w:rPr>
          <w:rFonts w:ascii="Arial" w:hAnsi="Arial"/>
        </w:rPr>
        <w:t xml:space="preserve"> dashboard was </w:t>
      </w:r>
      <w:r w:rsidR="001B4F23">
        <w:rPr>
          <w:rFonts w:ascii="Arial" w:hAnsi="Arial"/>
        </w:rPr>
        <w:t xml:space="preserve">useful. </w:t>
      </w:r>
    </w:p>
    <w:p w:rsidR="00560C0F" w:rsidRPr="00B17838" w:rsidP="00560C0F" w14:paraId="028BC3C4" w14:textId="694DAEC2">
      <w:pPr>
        <w:rPr>
          <w:rFonts w:ascii="Arial" w:hAnsi="Arial"/>
          <w:bCs/>
        </w:rPr>
      </w:pPr>
      <w:r w:rsidRPr="00B17838">
        <w:rPr>
          <w:rFonts w:ascii="Arial" w:hAnsi="Arial"/>
          <w:bCs/>
        </w:rPr>
        <w:t>The CS Supplement Addendum is applicable only to recipients awarded the CS supplement and covers the supplement budget period of July 1, 2026 – February 28, 2027, with data to be reported to CDC no later than May 31, 2027.</w:t>
      </w:r>
      <w:r w:rsidR="001E58F5">
        <w:rPr>
          <w:rFonts w:ascii="Arial" w:hAnsi="Arial"/>
          <w:bCs/>
        </w:rPr>
        <w:t xml:space="preserve"> </w:t>
      </w:r>
      <w:r w:rsidRPr="006C79BB" w:rsidR="001E58F5">
        <w:rPr>
          <w:rFonts w:ascii="Arial" w:hAnsi="Arial"/>
          <w:bCs/>
        </w:rPr>
        <w:t>CDC developed a standalone CS Supplement Performance Measure Data Collection Tool (</w:t>
      </w:r>
      <w:r w:rsidRPr="001E58F5" w:rsidR="001E58F5">
        <w:rPr>
          <w:rFonts w:ascii="Arial" w:hAnsi="Arial"/>
          <w:b/>
        </w:rPr>
        <w:t>Attachment 4</w:t>
      </w:r>
      <w:r w:rsidRPr="006C79BB" w:rsidR="001E58F5">
        <w:rPr>
          <w:rFonts w:ascii="Arial" w:hAnsi="Arial"/>
          <w:bCs/>
        </w:rPr>
        <w:t>) to document progress toward the intended outcomes of the supplement.</w:t>
      </w:r>
    </w:p>
    <w:p w:rsidR="00560C0F" w:rsidRPr="00B17838" w:rsidP="00560C0F" w14:paraId="46E1F717" w14:textId="77777777">
      <w:pPr>
        <w:rPr>
          <w:rFonts w:ascii="Arial" w:hAnsi="Arial"/>
          <w:bCs/>
        </w:rPr>
      </w:pPr>
      <w:r w:rsidRPr="00B17838">
        <w:rPr>
          <w:rFonts w:ascii="Arial" w:hAnsi="Arial"/>
          <w:bCs/>
        </w:rPr>
        <w:t>The CS Supplement Addendum is organized into five sections:</w:t>
      </w:r>
    </w:p>
    <w:p w:rsidR="00560C0F" w:rsidRPr="00B17838" w:rsidP="00560C0F" w14:paraId="65D112BC" w14:textId="77777777">
      <w:pPr>
        <w:numPr>
          <w:ilvl w:val="0"/>
          <w:numId w:val="30"/>
        </w:numPr>
        <w:rPr>
          <w:rFonts w:ascii="Arial" w:hAnsi="Arial"/>
          <w:bCs/>
        </w:rPr>
      </w:pPr>
      <w:r w:rsidRPr="00B17838">
        <w:rPr>
          <w:rFonts w:ascii="Arial" w:hAnsi="Arial"/>
          <w:bCs/>
        </w:rPr>
        <w:t>Procurement — Number of POCT syphilis tests purchased (cs_1), number of other syphilis tests purchased (cs_2), amount and type of syphilis treatment medications purchased (cs_3, cs_3a).</w:t>
      </w:r>
    </w:p>
    <w:p w:rsidR="00560C0F" w:rsidRPr="00B17838" w:rsidP="00560C0F" w14:paraId="20C89DED" w14:textId="77777777">
      <w:pPr>
        <w:numPr>
          <w:ilvl w:val="0"/>
          <w:numId w:val="30"/>
        </w:numPr>
        <w:rPr>
          <w:rFonts w:ascii="Arial" w:hAnsi="Arial"/>
          <w:bCs/>
        </w:rPr>
      </w:pPr>
      <w:r w:rsidRPr="00B17838">
        <w:rPr>
          <w:rFonts w:ascii="Arial" w:hAnsi="Arial"/>
          <w:bCs/>
        </w:rPr>
        <w:t>Test Utilization — Number of supplement-purchased syphilis tests used during the reporting period, disaggregated by population (total clients, women of reproductive age 15–44, pregnant women) and by venue type (cs_4, cs_4a), including emergency departments, labor and delivery/OB-GYN settings, STD specialty clinics, family planning/reproductive health clinics, FQHCs, community-based organizations, correctional facilities, mobile or field-based testing sites, and other.</w:t>
      </w:r>
    </w:p>
    <w:p w:rsidR="00560C0F" w:rsidRPr="00B17838" w:rsidP="00560C0F" w14:paraId="4B5F4897" w14:textId="77777777">
      <w:pPr>
        <w:numPr>
          <w:ilvl w:val="0"/>
          <w:numId w:val="30"/>
        </w:numPr>
        <w:rPr>
          <w:rFonts w:ascii="Arial" w:hAnsi="Arial"/>
          <w:bCs/>
        </w:rPr>
      </w:pPr>
      <w:r w:rsidRPr="00B17838">
        <w:rPr>
          <w:rFonts w:ascii="Arial" w:hAnsi="Arial"/>
          <w:bCs/>
        </w:rPr>
        <w:t>POCT Results and Confirmatory Testing — Number of positive/reactive POCT results; number for whom confirmatory serologic testing was initiated; confirmatory results (positive, negative); number with no confirmatory testing documented; and calculated concordance rate (cs_5 through cs_5e).</w:t>
      </w:r>
    </w:p>
    <w:p w:rsidR="00560C0F" w:rsidRPr="00B17838" w:rsidP="00560C0F" w14:paraId="2170AB3D" w14:textId="77777777">
      <w:pPr>
        <w:numPr>
          <w:ilvl w:val="0"/>
          <w:numId w:val="30"/>
        </w:numPr>
        <w:rPr>
          <w:rFonts w:ascii="Arial" w:hAnsi="Arial"/>
          <w:bCs/>
        </w:rPr>
      </w:pPr>
      <w:r w:rsidRPr="00B17838">
        <w:rPr>
          <w:rFonts w:ascii="Arial" w:hAnsi="Arial"/>
          <w:bCs/>
        </w:rPr>
        <w:t>Clinical Outcomes — Number of women newly diagnosed with syphilis via supplement-funded POCT, disaggregated by pregnancy status; number completely and correctly treated; treatment type (BPG, Doxycycline); and timeliness of treatment (within 14 days of specimen collection) (cs_7 through cs_8c).</w:t>
      </w:r>
    </w:p>
    <w:p w:rsidR="00560C0F" w:rsidRPr="00B17838" w:rsidP="00560C0F" w14:paraId="7A660997" w14:textId="77777777">
      <w:pPr>
        <w:numPr>
          <w:ilvl w:val="0"/>
          <w:numId w:val="30"/>
        </w:numPr>
        <w:rPr>
          <w:rFonts w:ascii="Arial" w:hAnsi="Arial"/>
          <w:bCs/>
        </w:rPr>
      </w:pPr>
      <w:r w:rsidRPr="00B17838">
        <w:rPr>
          <w:rFonts w:ascii="Arial" w:hAnsi="Arial"/>
          <w:bCs/>
        </w:rPr>
        <w:t>Data Quality and Limitations — Overall data quality rating; description of data limitations (attribution gaps, missing confirmatory results, venue data gaps, linkage failures, period-alignment issues); subgrantee/contracted partner use; supplement period dates; and months during which POCT activities were actively underway (cs_9 through cs_14).</w:t>
      </w:r>
    </w:p>
    <w:p w:rsidR="00560C0F" w:rsidRPr="00B17838" w:rsidP="00560C0F" w14:paraId="378ADC2B" w14:textId="77777777">
      <w:pPr>
        <w:rPr>
          <w:rFonts w:ascii="Arial" w:hAnsi="Arial"/>
          <w:bCs/>
        </w:rPr>
      </w:pPr>
      <w:r w:rsidRPr="00B17838">
        <w:rPr>
          <w:rFonts w:ascii="Arial" w:hAnsi="Arial"/>
          <w:bCs/>
        </w:rPr>
        <w:t>All data submitted to CDC under the CS Supplement Addendum are reported exclusively in the aggregate. No PII is submitted to or accepted by CDC. Individually identifiable testing and treatment records are retained solely by the recipient jurisdiction in accordance with applicable federal, state, and local confidentiality requirements.</w:t>
      </w:r>
    </w:p>
    <w:p w:rsidR="00560C0F" w:rsidRPr="001E58F5" w:rsidP="00B536CF" w14:paraId="223D37D6" w14:textId="1ECD7CF5">
      <w:pPr>
        <w:rPr>
          <w:rFonts w:ascii="Arial" w:hAnsi="Arial"/>
          <w:bCs/>
        </w:rPr>
      </w:pPr>
      <w:r w:rsidRPr="00B17838">
        <w:rPr>
          <w:rFonts w:ascii="Arial" w:hAnsi="Arial"/>
          <w:bCs/>
        </w:rPr>
        <w:t xml:space="preserve">It is important to collect these performance measures concurrently with implementation so that data can be used to direct program improvement, assess supplement reach and effectiveness, and inform future CS-related investment and policy decisions. </w:t>
      </w:r>
    </w:p>
    <w:p w:rsidR="00B536CF" w:rsidRPr="00B17838" w:rsidP="00B536CF" w14:paraId="4CD95C57" w14:textId="7AD6EC89">
      <w:pPr>
        <w:rPr>
          <w:rFonts w:ascii="Arial" w:hAnsi="Arial"/>
          <w:b/>
        </w:rPr>
      </w:pPr>
      <w:r w:rsidRPr="00B536CF">
        <w:rPr>
          <w:rFonts w:ascii="Arial" w:hAnsi="Arial"/>
        </w:rPr>
        <w:t xml:space="preserve">CDC minimized the scope of this data collection by identifying other ways to obtain desired data. For example, the current information collection includes relatively few measures related to surveillance, because CDC will use the STD surveillance data already submitted by recipients to assess surveillance data quality and completeness (see OMB No. 0920-0728 National Notifiable Disease Surveillance System). CDC also reviewed other information collections that affect many STD PCHD recipients to determine the need for new data collection (see OMB No. 0920-1072 Enhanced STD Surveillance Network; OMB No. 0920-0573 National HIV Surveillance System; OMB No. 0920-0696 National HIV Prevention Program Monitoring and Evaluation). </w:t>
      </w:r>
      <w:r w:rsidRPr="001E58F5" w:rsidR="006A7877">
        <w:rPr>
          <w:rFonts w:ascii="Arial" w:hAnsi="Arial"/>
        </w:rPr>
        <w:t xml:space="preserve">Further, </w:t>
      </w:r>
      <w:r w:rsidRPr="00B17838" w:rsidR="006A7877">
        <w:rPr>
          <w:rFonts w:ascii="Arial" w:hAnsi="Arial"/>
        </w:rPr>
        <w:t>CDC minimized the scope of this data collection by limiting the CS Supplement Addendum to aggregate programmatic and expenditure data directly tied to supplement activities and outcomes. No new individually identifiable data are collected by or submitted to CDC.</w:t>
      </w:r>
    </w:p>
    <w:p w:rsidR="00B536CF" w:rsidRPr="00D663F0" w:rsidP="00B536CF" w14:paraId="6BAD565F" w14:textId="1F7762A2">
      <w:pPr>
        <w:rPr>
          <w:rFonts w:ascii="Arial" w:hAnsi="Arial"/>
        </w:rPr>
      </w:pPr>
      <w:r>
        <w:rPr>
          <w:rFonts w:ascii="Arial" w:hAnsi="Arial"/>
        </w:rPr>
        <w:t>Finally, this PPEO Generic IC matches the intent of this ICR by being directly related to performance measurement for a CDC cooperative agreement, to cover regular (in this case, annual) submission of select, aggregate data points from recipients to CDC for performance measurement purposes.  The data collection template for this STD submission – while different in some ways from the template provided in the PPEO Generic IC – is also fully in alignment with this Generic IC, in terms of the format, type, and level of data to be collected.  The STD program and PPEO had prior discussions about the potential fit of the STD program’s proposed performance measurement template and the ICR in general and concluded that it seemed appropriate for this mechanism.</w:t>
      </w:r>
    </w:p>
    <w:p w:rsidR="002F2EF9" w:rsidP="008101A5" w14:paraId="392F5F22" w14:textId="76B5E460">
      <w:pPr>
        <w:rPr>
          <w:rFonts w:ascii="Arial" w:hAnsi="Arial"/>
          <w:b/>
        </w:rPr>
      </w:pPr>
      <w:r w:rsidRPr="00B372FB">
        <w:rPr>
          <w:rFonts w:ascii="Arial" w:hAnsi="Arial"/>
          <w:b/>
        </w:rPr>
        <w:t>CERTIFICATION:</w:t>
      </w:r>
      <w:r>
        <w:rPr>
          <w:rFonts w:ascii="Arial" w:hAnsi="Arial"/>
          <w:b/>
        </w:rPr>
        <w:t xml:space="preserve"> </w:t>
      </w:r>
    </w:p>
    <w:p w:rsidR="00B46F2C" w:rsidRPr="00B536CF" w:rsidP="008101A5" w14:paraId="6961799C" w14:textId="77777777">
      <w:pPr>
        <w:rPr>
          <w:rFonts w:ascii="Arial" w:hAnsi="Arial" w:cs="Arial"/>
        </w:rPr>
      </w:pPr>
      <w:r w:rsidRPr="00B536CF">
        <w:rPr>
          <w:rFonts w:ascii="Arial" w:hAnsi="Arial" w:cs="Arial"/>
        </w:rPr>
        <w:t xml:space="preserve">I certify the following to be true: </w:t>
      </w:r>
    </w:p>
    <w:p w:rsidR="00B46F2C" w:rsidRPr="00B536CF" w:rsidP="00BC3BA2" w14:paraId="5B8342D7" w14:textId="77777777">
      <w:pPr>
        <w:pStyle w:val="ListParagraph"/>
        <w:numPr>
          <w:ilvl w:val="0"/>
          <w:numId w:val="14"/>
        </w:numPr>
        <w:rPr>
          <w:rFonts w:ascii="Arial" w:hAnsi="Arial" w:cs="Arial"/>
        </w:rPr>
      </w:pPr>
      <w:r w:rsidRPr="00B536CF">
        <w:rPr>
          <w:rFonts w:ascii="Arial" w:hAnsi="Arial" w:cs="Arial"/>
        </w:rPr>
        <w:t xml:space="preserve">The collection is non-controversial and does </w:t>
      </w:r>
      <w:r w:rsidRPr="00B536CF">
        <w:rPr>
          <w:rFonts w:ascii="Arial" w:hAnsi="Arial" w:cs="Arial"/>
          <w:u w:val="single"/>
        </w:rPr>
        <w:t>not</w:t>
      </w:r>
      <w:r w:rsidRPr="00B536CF">
        <w:rPr>
          <w:rFonts w:ascii="Arial" w:hAnsi="Arial" w:cs="Arial"/>
        </w:rPr>
        <w:t xml:space="preserve"> raise issues of concern to other federal agencies.</w:t>
      </w:r>
    </w:p>
    <w:p w:rsidR="00B46F2C" w:rsidRPr="00B536CF" w:rsidP="008101A5" w14:paraId="55A824E5" w14:textId="0555FE51">
      <w:pPr>
        <w:pStyle w:val="ListParagraph"/>
        <w:numPr>
          <w:ilvl w:val="0"/>
          <w:numId w:val="14"/>
        </w:numPr>
        <w:rPr>
          <w:rFonts w:ascii="Arial" w:hAnsi="Arial" w:cs="Arial"/>
        </w:rPr>
      </w:pPr>
      <w:r w:rsidRPr="00B536CF">
        <w:rPr>
          <w:rFonts w:ascii="Arial" w:hAnsi="Arial" w:cs="Arial"/>
        </w:rPr>
        <w:t xml:space="preserve">Information gathered </w:t>
      </w:r>
      <w:r w:rsidRPr="00B536CF" w:rsidR="00205530">
        <w:rPr>
          <w:rFonts w:ascii="Arial" w:hAnsi="Arial" w:cs="Arial"/>
        </w:rPr>
        <w:t>is meant primarily for program improvement and accountability; it is not intended to be used as the principal basis for policy decisions</w:t>
      </w:r>
      <w:r w:rsidRPr="00B536CF">
        <w:rPr>
          <w:rFonts w:ascii="Arial" w:hAnsi="Arial" w:cs="Arial"/>
        </w:rPr>
        <w:t xml:space="preserve"> </w:t>
      </w:r>
    </w:p>
    <w:p w:rsidR="00B536CF" w:rsidP="009C13B9" w14:paraId="639760A9" w14:textId="77777777">
      <w:pPr>
        <w:rPr>
          <w:rFonts w:ascii="Arial" w:hAnsi="Arial"/>
        </w:rPr>
      </w:pPr>
    </w:p>
    <w:p w:rsidR="00440BD7" w:rsidRPr="00B372FB" w:rsidP="009C13B9" w14:paraId="2C43510E" w14:textId="38CBAFA8">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w:t>
      </w:r>
      <w:r>
        <w:rPr>
          <w:rFonts w:ascii="Arial" w:hAnsi="Arial"/>
        </w:rPr>
        <w:t>Lindsey Evans (6/15/2026)</w:t>
      </w:r>
    </w:p>
    <w:p w:rsidR="00B536CF" w:rsidP="009C13B9" w14:paraId="557694F6" w14:textId="77777777">
      <w:pPr>
        <w:rPr>
          <w:rFonts w:ascii="Arial" w:hAnsi="Arial"/>
        </w:rPr>
      </w:pPr>
    </w:p>
    <w:p w:rsidR="00B46F2C" w:rsidRPr="00B372FB" w:rsidP="009C13B9" w14:paraId="3CBD5579" w14:textId="2E2CE4D1">
      <w:pPr>
        <w:rPr>
          <w:rFonts w:ascii="Arial" w:hAnsi="Arial"/>
        </w:rPr>
      </w:pPr>
      <w:r>
        <w:rPr>
          <w:rFonts w:ascii="Arial" w:hAnsi="Arial"/>
        </w:rPr>
        <w:br w:type="page"/>
      </w: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B17838" w14:paraId="71CC9324" w14:textId="791E9BF7">
      <w:pPr>
        <w:rPr>
          <w:rFonts w:ascii="Arial" w:hAnsi="Arial"/>
          <w:b/>
        </w:rPr>
      </w:pPr>
      <w:r w:rsidRPr="00B372FB">
        <w:rPr>
          <w:rFonts w:ascii="Arial" w:hAnsi="Arial"/>
          <w:b/>
        </w:rPr>
        <w:t>BURDEN HOURS</w:t>
      </w:r>
      <w:r w:rsidRPr="00B372FB">
        <w:rPr>
          <w:rFonts w:ascii="Arial" w:hAnsi="Arial"/>
        </w:rPr>
        <w:t xml:space="preserve"> </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5"/>
        <w:gridCol w:w="1710"/>
        <w:gridCol w:w="1620"/>
        <w:gridCol w:w="1440"/>
        <w:gridCol w:w="1283"/>
        <w:gridCol w:w="1237"/>
      </w:tblGrid>
      <w:tr w14:paraId="6C86445C" w14:textId="77777777" w:rsidTr="009354C7">
        <w:tblPrEx>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245" w:type="dxa"/>
          </w:tcPr>
          <w:p w:rsidR="00B536CF" w:rsidRPr="00B536CF" w:rsidP="00512DE5" w14:paraId="32C1EC25" w14:textId="77777777">
            <w:pPr>
              <w:rPr>
                <w:rFonts w:ascii="Arial" w:hAnsi="Arial" w:cs="Arial"/>
                <w:b/>
                <w:bCs/>
              </w:rPr>
            </w:pPr>
            <w:r w:rsidRPr="00B536CF">
              <w:rPr>
                <w:rFonts w:ascii="Arial" w:hAnsi="Arial" w:cs="Arial"/>
                <w:b/>
                <w:bCs/>
              </w:rPr>
              <w:t>Type of Respondents</w:t>
            </w:r>
          </w:p>
        </w:tc>
        <w:tc>
          <w:tcPr>
            <w:tcW w:w="1710" w:type="dxa"/>
          </w:tcPr>
          <w:p w:rsidR="00B536CF" w:rsidRPr="00B536CF" w:rsidP="00512DE5" w14:paraId="548D06E8" w14:textId="77777777">
            <w:pPr>
              <w:rPr>
                <w:rFonts w:ascii="Arial" w:hAnsi="Arial" w:cs="Arial"/>
                <w:b/>
                <w:bCs/>
              </w:rPr>
            </w:pPr>
            <w:r w:rsidRPr="00B536CF">
              <w:rPr>
                <w:rFonts w:ascii="Arial" w:hAnsi="Arial" w:cs="Arial"/>
                <w:b/>
                <w:bCs/>
              </w:rPr>
              <w:t>Form Name</w:t>
            </w:r>
          </w:p>
        </w:tc>
        <w:tc>
          <w:tcPr>
            <w:tcW w:w="1620" w:type="dxa"/>
          </w:tcPr>
          <w:p w:rsidR="00B536CF" w:rsidRPr="00B536CF" w:rsidP="00512DE5" w14:paraId="414ED1DA" w14:textId="77777777">
            <w:pPr>
              <w:rPr>
                <w:rFonts w:ascii="Arial" w:hAnsi="Arial" w:cs="Arial"/>
                <w:b/>
                <w:bCs/>
              </w:rPr>
            </w:pPr>
            <w:r w:rsidRPr="00B536CF">
              <w:rPr>
                <w:rFonts w:ascii="Arial" w:hAnsi="Arial" w:cs="Arial"/>
                <w:b/>
                <w:bCs/>
              </w:rPr>
              <w:t>No. of Respondents</w:t>
            </w:r>
          </w:p>
        </w:tc>
        <w:tc>
          <w:tcPr>
            <w:tcW w:w="1440" w:type="dxa"/>
          </w:tcPr>
          <w:p w:rsidR="00B536CF" w:rsidRPr="00B536CF" w:rsidP="00512DE5" w14:paraId="07D57902" w14:textId="77777777">
            <w:pPr>
              <w:rPr>
                <w:rFonts w:ascii="Arial" w:hAnsi="Arial" w:cs="Arial"/>
                <w:b/>
                <w:bCs/>
              </w:rPr>
            </w:pPr>
            <w:r w:rsidRPr="00B536CF">
              <w:rPr>
                <w:rFonts w:ascii="Arial" w:hAnsi="Arial" w:cs="Arial"/>
                <w:b/>
                <w:bCs/>
              </w:rPr>
              <w:t>No. Responses per Respondent</w:t>
            </w:r>
          </w:p>
        </w:tc>
        <w:tc>
          <w:tcPr>
            <w:tcW w:w="1283" w:type="dxa"/>
          </w:tcPr>
          <w:p w:rsidR="00B536CF" w:rsidRPr="00B536CF" w:rsidP="00512DE5" w14:paraId="238FE8EB" w14:textId="1734648B">
            <w:pPr>
              <w:rPr>
                <w:rFonts w:ascii="Arial" w:hAnsi="Arial" w:cs="Arial"/>
                <w:b/>
                <w:bCs/>
              </w:rPr>
            </w:pPr>
            <w:r w:rsidRPr="00B536CF">
              <w:rPr>
                <w:rFonts w:ascii="Arial" w:hAnsi="Arial" w:cs="Arial"/>
                <w:b/>
                <w:bCs/>
              </w:rPr>
              <w:t>Average Burden per Response (in hours)</w:t>
            </w:r>
          </w:p>
        </w:tc>
        <w:tc>
          <w:tcPr>
            <w:tcW w:w="1237" w:type="dxa"/>
          </w:tcPr>
          <w:p w:rsidR="00B536CF" w:rsidRPr="00B536CF" w:rsidP="00512DE5" w14:paraId="62E732C5" w14:textId="77777777">
            <w:pPr>
              <w:rPr>
                <w:rFonts w:ascii="Arial" w:hAnsi="Arial" w:cs="Arial"/>
                <w:b/>
                <w:bCs/>
              </w:rPr>
            </w:pPr>
            <w:r w:rsidRPr="00B536CF">
              <w:rPr>
                <w:rFonts w:ascii="Arial" w:hAnsi="Arial" w:cs="Arial"/>
                <w:b/>
                <w:bCs/>
              </w:rPr>
              <w:t>Total Burden</w:t>
            </w:r>
          </w:p>
          <w:p w:rsidR="00B536CF" w:rsidRPr="00B536CF" w:rsidP="00512DE5" w14:paraId="5A93A0A2" w14:textId="77777777">
            <w:pPr>
              <w:rPr>
                <w:rFonts w:ascii="Arial" w:hAnsi="Arial" w:cs="Arial"/>
                <w:b/>
                <w:bCs/>
              </w:rPr>
            </w:pPr>
            <w:r w:rsidRPr="00B536CF">
              <w:rPr>
                <w:rFonts w:ascii="Arial" w:hAnsi="Arial" w:cs="Arial"/>
                <w:b/>
                <w:bCs/>
              </w:rPr>
              <w:t>Hours</w:t>
            </w:r>
          </w:p>
        </w:tc>
      </w:tr>
      <w:tr w14:paraId="10C35E61" w14:textId="77777777" w:rsidTr="009354C7">
        <w:tblPrEx>
          <w:tblW w:w="9535" w:type="dxa"/>
          <w:tblLayout w:type="fixed"/>
          <w:tblLook w:val="04A0"/>
        </w:tblPrEx>
        <w:tc>
          <w:tcPr>
            <w:tcW w:w="2245" w:type="dxa"/>
          </w:tcPr>
          <w:p w:rsidR="00B536CF" w:rsidRPr="00B536CF" w:rsidP="00512DE5" w14:paraId="75F971A2" w14:textId="77777777">
            <w:pPr>
              <w:rPr>
                <w:rFonts w:ascii="Arial" w:hAnsi="Arial" w:cs="Arial"/>
                <w:bCs/>
              </w:rPr>
            </w:pPr>
            <w:r w:rsidRPr="00B536CF">
              <w:rPr>
                <w:rFonts w:ascii="Arial" w:hAnsi="Arial" w:cs="Arial"/>
                <w:bCs/>
              </w:rPr>
              <w:t>State health departments</w:t>
            </w:r>
          </w:p>
        </w:tc>
        <w:tc>
          <w:tcPr>
            <w:tcW w:w="1710" w:type="dxa"/>
          </w:tcPr>
          <w:p w:rsidR="00B536CF" w:rsidRPr="00B536CF" w:rsidP="00512DE5" w14:paraId="7D89498F" w14:textId="5F8944F7">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1</w:t>
            </w:r>
            <w:r w:rsidR="00560C0F">
              <w:rPr>
                <w:rFonts w:ascii="Arial" w:hAnsi="Arial" w:cs="Arial"/>
                <w:bCs/>
              </w:rPr>
              <w:t>)</w:t>
            </w:r>
            <w:r w:rsidRPr="00B536CF">
              <w:rPr>
                <w:rFonts w:ascii="Arial" w:hAnsi="Arial" w:cs="Arial"/>
                <w:bCs/>
              </w:rPr>
              <w:t xml:space="preserve"> </w:t>
            </w:r>
          </w:p>
        </w:tc>
        <w:tc>
          <w:tcPr>
            <w:tcW w:w="1620" w:type="dxa"/>
            <w:vAlign w:val="center"/>
          </w:tcPr>
          <w:p w:rsidR="00B536CF" w:rsidRPr="00B536CF" w:rsidP="00512DE5" w14:paraId="16D800F1" w14:textId="77777777">
            <w:pPr>
              <w:jc w:val="center"/>
              <w:rPr>
                <w:rFonts w:ascii="Arial" w:hAnsi="Arial" w:cs="Arial"/>
                <w:bCs/>
              </w:rPr>
            </w:pPr>
            <w:r w:rsidRPr="00B536CF">
              <w:rPr>
                <w:rFonts w:ascii="Arial" w:hAnsi="Arial" w:cs="Arial"/>
                <w:bCs/>
              </w:rPr>
              <w:t>50</w:t>
            </w:r>
          </w:p>
        </w:tc>
        <w:tc>
          <w:tcPr>
            <w:tcW w:w="1440" w:type="dxa"/>
            <w:vAlign w:val="center"/>
          </w:tcPr>
          <w:p w:rsidR="00B536CF" w:rsidRPr="00B536CF" w:rsidP="00512DE5" w14:paraId="77A8D91E" w14:textId="37FD2162">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239E3D40" w14:textId="4FCD06D1">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08A082B7" w14:textId="325651F6">
            <w:pPr>
              <w:jc w:val="center"/>
              <w:rPr>
                <w:rFonts w:ascii="Arial" w:hAnsi="Arial" w:cs="Arial"/>
                <w:bCs/>
              </w:rPr>
            </w:pPr>
            <w:r w:rsidRPr="00B536CF">
              <w:rPr>
                <w:rFonts w:ascii="Arial" w:hAnsi="Arial" w:cs="Arial"/>
                <w:bCs/>
              </w:rPr>
              <w:t>1500</w:t>
            </w:r>
          </w:p>
        </w:tc>
      </w:tr>
      <w:tr w14:paraId="06D603F8" w14:textId="77777777" w:rsidTr="009354C7">
        <w:tblPrEx>
          <w:tblW w:w="9535" w:type="dxa"/>
          <w:tblLayout w:type="fixed"/>
          <w:tblLook w:val="04A0"/>
        </w:tblPrEx>
        <w:tc>
          <w:tcPr>
            <w:tcW w:w="2245" w:type="dxa"/>
          </w:tcPr>
          <w:p w:rsidR="00B536CF" w:rsidRPr="00B536CF" w:rsidP="00512DE5" w14:paraId="3208760C" w14:textId="77777777">
            <w:pPr>
              <w:rPr>
                <w:rFonts w:ascii="Arial" w:hAnsi="Arial" w:cs="Arial"/>
                <w:bCs/>
              </w:rPr>
            </w:pPr>
            <w:r w:rsidRPr="00B536CF">
              <w:rPr>
                <w:rFonts w:ascii="Arial" w:hAnsi="Arial" w:cs="Arial"/>
                <w:bCs/>
              </w:rPr>
              <w:t>Local health departments</w:t>
            </w:r>
          </w:p>
        </w:tc>
        <w:tc>
          <w:tcPr>
            <w:tcW w:w="1710" w:type="dxa"/>
          </w:tcPr>
          <w:p w:rsidR="00B536CF" w:rsidRPr="00B536CF" w:rsidP="00512DE5" w14:paraId="09A576CA" w14:textId="1B907159">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1</w:t>
            </w:r>
            <w:r w:rsidR="00560C0F">
              <w:rPr>
                <w:rFonts w:ascii="Arial" w:hAnsi="Arial" w:cs="Arial"/>
                <w:bCs/>
              </w:rPr>
              <w:t>)</w:t>
            </w:r>
          </w:p>
        </w:tc>
        <w:tc>
          <w:tcPr>
            <w:tcW w:w="1620" w:type="dxa"/>
            <w:vAlign w:val="center"/>
          </w:tcPr>
          <w:p w:rsidR="00B536CF" w:rsidRPr="00B536CF" w:rsidP="00512DE5" w14:paraId="2BCAE15A" w14:textId="77777777">
            <w:pPr>
              <w:jc w:val="center"/>
              <w:rPr>
                <w:rFonts w:ascii="Arial" w:hAnsi="Arial" w:cs="Arial"/>
                <w:bCs/>
              </w:rPr>
            </w:pPr>
            <w:r w:rsidRPr="00B536CF">
              <w:rPr>
                <w:rFonts w:ascii="Arial" w:hAnsi="Arial" w:cs="Arial"/>
                <w:bCs/>
              </w:rPr>
              <w:t>7</w:t>
            </w:r>
          </w:p>
        </w:tc>
        <w:tc>
          <w:tcPr>
            <w:tcW w:w="1440" w:type="dxa"/>
            <w:vAlign w:val="center"/>
          </w:tcPr>
          <w:p w:rsidR="00B536CF" w:rsidRPr="00B536CF" w:rsidP="00512DE5" w14:paraId="2133F57E" w14:textId="43F04E76">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615D944D" w14:textId="3498D231">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5E0F2A48" w14:textId="5E4366B5">
            <w:pPr>
              <w:jc w:val="center"/>
              <w:rPr>
                <w:rFonts w:ascii="Arial" w:hAnsi="Arial" w:cs="Arial"/>
                <w:bCs/>
              </w:rPr>
            </w:pPr>
            <w:r w:rsidRPr="00B536CF">
              <w:rPr>
                <w:rFonts w:ascii="Arial" w:hAnsi="Arial" w:cs="Arial"/>
                <w:bCs/>
              </w:rPr>
              <w:t>210</w:t>
            </w:r>
          </w:p>
        </w:tc>
      </w:tr>
      <w:tr w14:paraId="728936FC" w14:textId="77777777" w:rsidTr="009354C7">
        <w:tblPrEx>
          <w:tblW w:w="9535" w:type="dxa"/>
          <w:tblLayout w:type="fixed"/>
          <w:tblLook w:val="04A0"/>
        </w:tblPrEx>
        <w:tc>
          <w:tcPr>
            <w:tcW w:w="2245" w:type="dxa"/>
          </w:tcPr>
          <w:p w:rsidR="00B536CF" w:rsidRPr="00B536CF" w:rsidP="00512DE5" w14:paraId="5B630594" w14:textId="77777777">
            <w:pPr>
              <w:rPr>
                <w:rFonts w:ascii="Arial" w:hAnsi="Arial" w:cs="Arial"/>
                <w:bCs/>
              </w:rPr>
            </w:pPr>
            <w:r w:rsidRPr="00B536CF">
              <w:rPr>
                <w:rFonts w:ascii="Arial" w:hAnsi="Arial" w:cs="Arial"/>
                <w:bCs/>
              </w:rPr>
              <w:t>Territorial health departments</w:t>
            </w:r>
          </w:p>
        </w:tc>
        <w:tc>
          <w:tcPr>
            <w:tcW w:w="1710" w:type="dxa"/>
          </w:tcPr>
          <w:p w:rsidR="00B536CF" w:rsidRPr="00B536CF" w:rsidP="00512DE5" w14:paraId="00D9D95C" w14:textId="406F8A1D">
            <w:pPr>
              <w:rPr>
                <w:rFonts w:ascii="Arial" w:hAnsi="Arial" w:cs="Arial"/>
                <w:bCs/>
              </w:rPr>
            </w:pPr>
            <w:r>
              <w:rPr>
                <w:rFonts w:ascii="Arial" w:hAnsi="Arial" w:cs="Arial"/>
                <w:bCs/>
              </w:rPr>
              <w:t xml:space="preserve">STD PCHD </w:t>
            </w:r>
            <w:r w:rsidRPr="00B536CF">
              <w:rPr>
                <w:rFonts w:ascii="Arial" w:hAnsi="Arial" w:cs="Arial"/>
                <w:bCs/>
              </w:rPr>
              <w:t xml:space="preserve">Performance Measures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1</w:t>
            </w:r>
            <w:r w:rsidR="00560C0F">
              <w:rPr>
                <w:rFonts w:ascii="Arial" w:hAnsi="Arial" w:cs="Arial"/>
                <w:bCs/>
              </w:rPr>
              <w:t>)</w:t>
            </w:r>
          </w:p>
        </w:tc>
        <w:tc>
          <w:tcPr>
            <w:tcW w:w="1620" w:type="dxa"/>
            <w:vAlign w:val="center"/>
          </w:tcPr>
          <w:p w:rsidR="00B536CF" w:rsidRPr="00B536CF" w:rsidP="00512DE5" w14:paraId="407442B0" w14:textId="77777777">
            <w:pPr>
              <w:jc w:val="center"/>
              <w:rPr>
                <w:rFonts w:ascii="Arial" w:hAnsi="Arial" w:cs="Arial"/>
                <w:bCs/>
              </w:rPr>
            </w:pPr>
            <w:r w:rsidRPr="00B536CF">
              <w:rPr>
                <w:rFonts w:ascii="Arial" w:hAnsi="Arial" w:cs="Arial"/>
                <w:bCs/>
              </w:rPr>
              <w:t>2</w:t>
            </w:r>
          </w:p>
        </w:tc>
        <w:tc>
          <w:tcPr>
            <w:tcW w:w="1440" w:type="dxa"/>
            <w:vAlign w:val="center"/>
          </w:tcPr>
          <w:p w:rsidR="00B536CF" w:rsidRPr="00B536CF" w:rsidP="00512DE5" w14:paraId="472F307B" w14:textId="576F2FB8">
            <w:pPr>
              <w:jc w:val="center"/>
              <w:rPr>
                <w:rFonts w:ascii="Arial" w:hAnsi="Arial" w:cs="Arial"/>
                <w:bCs/>
              </w:rPr>
            </w:pPr>
            <w:r w:rsidRPr="00B536CF">
              <w:rPr>
                <w:rFonts w:ascii="Arial" w:hAnsi="Arial" w:cs="Arial"/>
                <w:bCs/>
              </w:rPr>
              <w:t>1</w:t>
            </w:r>
          </w:p>
        </w:tc>
        <w:tc>
          <w:tcPr>
            <w:tcW w:w="1283" w:type="dxa"/>
            <w:vAlign w:val="center"/>
          </w:tcPr>
          <w:p w:rsidR="00B536CF" w:rsidRPr="00B536CF" w:rsidP="00512DE5" w14:paraId="7863BC1E" w14:textId="34BFC149">
            <w:pPr>
              <w:jc w:val="center"/>
              <w:rPr>
                <w:rFonts w:ascii="Arial" w:hAnsi="Arial" w:cs="Arial"/>
                <w:bCs/>
              </w:rPr>
            </w:pPr>
            <w:r w:rsidRPr="00B536CF">
              <w:rPr>
                <w:rFonts w:ascii="Arial" w:hAnsi="Arial" w:cs="Arial"/>
                <w:bCs/>
              </w:rPr>
              <w:t>30</w:t>
            </w:r>
          </w:p>
        </w:tc>
        <w:tc>
          <w:tcPr>
            <w:tcW w:w="1237" w:type="dxa"/>
            <w:vAlign w:val="center"/>
          </w:tcPr>
          <w:p w:rsidR="00B536CF" w:rsidRPr="00B536CF" w:rsidP="00512DE5" w14:paraId="2534B825" w14:textId="71B59BD6">
            <w:pPr>
              <w:jc w:val="center"/>
              <w:rPr>
                <w:rFonts w:ascii="Arial" w:hAnsi="Arial" w:cs="Arial"/>
                <w:bCs/>
              </w:rPr>
            </w:pPr>
            <w:r w:rsidRPr="00B536CF">
              <w:rPr>
                <w:rFonts w:ascii="Arial" w:hAnsi="Arial" w:cs="Arial"/>
                <w:bCs/>
              </w:rPr>
              <w:t>60</w:t>
            </w:r>
          </w:p>
        </w:tc>
      </w:tr>
      <w:tr w14:paraId="71285F1F" w14:textId="77777777" w:rsidTr="009354C7">
        <w:tblPrEx>
          <w:tblW w:w="9535" w:type="dxa"/>
          <w:tblLayout w:type="fixed"/>
          <w:tblLook w:val="04A0"/>
        </w:tblPrEx>
        <w:tc>
          <w:tcPr>
            <w:tcW w:w="2245" w:type="dxa"/>
          </w:tcPr>
          <w:p w:rsidR="00440BD7" w:rsidRPr="00B536CF" w:rsidP="00440BD7" w14:paraId="6F9E8BA5" w14:textId="11F7F674">
            <w:pPr>
              <w:rPr>
                <w:rFonts w:ascii="Arial" w:hAnsi="Arial" w:cs="Arial"/>
                <w:bCs/>
              </w:rPr>
            </w:pPr>
            <w:r w:rsidRPr="00B536CF">
              <w:rPr>
                <w:rFonts w:ascii="Arial" w:hAnsi="Arial" w:cs="Arial"/>
                <w:bCs/>
              </w:rPr>
              <w:t>State health departments</w:t>
            </w:r>
          </w:p>
        </w:tc>
        <w:tc>
          <w:tcPr>
            <w:tcW w:w="1710" w:type="dxa"/>
          </w:tcPr>
          <w:p w:rsidR="00440BD7" w:rsidP="00440BD7" w14:paraId="306039AB" w14:textId="43B2AE76">
            <w:pPr>
              <w:rPr>
                <w:rFonts w:ascii="Arial" w:hAnsi="Arial" w:cs="Arial"/>
                <w:bCs/>
              </w:rPr>
            </w:pPr>
            <w:r>
              <w:rPr>
                <w:rFonts w:ascii="Arial" w:hAnsi="Arial" w:cs="Arial"/>
                <w:bCs/>
              </w:rPr>
              <w:t>CS Supplement Performance Measures</w:t>
            </w:r>
            <w:r w:rsidRPr="00B536CF">
              <w:rPr>
                <w:rFonts w:ascii="Arial" w:hAnsi="Arial" w:cs="Arial"/>
                <w:bCs/>
              </w:rPr>
              <w:t xml:space="preserve">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4</w:t>
            </w:r>
            <w:r w:rsidR="00560C0F">
              <w:rPr>
                <w:rFonts w:ascii="Arial" w:hAnsi="Arial" w:cs="Arial"/>
                <w:bCs/>
              </w:rPr>
              <w:t>)</w:t>
            </w:r>
            <w:r w:rsidRPr="00B536CF">
              <w:rPr>
                <w:rFonts w:ascii="Arial" w:hAnsi="Arial" w:cs="Arial"/>
                <w:bCs/>
              </w:rPr>
              <w:t xml:space="preserve"> </w:t>
            </w:r>
          </w:p>
        </w:tc>
        <w:tc>
          <w:tcPr>
            <w:tcW w:w="1620" w:type="dxa"/>
            <w:vAlign w:val="center"/>
          </w:tcPr>
          <w:p w:rsidR="00440BD7" w:rsidRPr="00B536CF" w:rsidP="00440BD7" w14:paraId="7691315B" w14:textId="246CAFD4">
            <w:pPr>
              <w:jc w:val="center"/>
              <w:rPr>
                <w:rFonts w:ascii="Arial" w:hAnsi="Arial" w:cs="Arial"/>
                <w:bCs/>
              </w:rPr>
            </w:pPr>
            <w:r w:rsidRPr="00B536CF">
              <w:rPr>
                <w:rFonts w:ascii="Arial" w:hAnsi="Arial" w:cs="Arial"/>
                <w:bCs/>
              </w:rPr>
              <w:t>50</w:t>
            </w:r>
          </w:p>
        </w:tc>
        <w:tc>
          <w:tcPr>
            <w:tcW w:w="1440" w:type="dxa"/>
            <w:vAlign w:val="center"/>
          </w:tcPr>
          <w:p w:rsidR="00440BD7" w:rsidRPr="00B536CF" w:rsidP="00440BD7" w14:paraId="3B1F60E7" w14:textId="78A21F45">
            <w:pPr>
              <w:jc w:val="center"/>
              <w:rPr>
                <w:rFonts w:ascii="Arial" w:hAnsi="Arial" w:cs="Arial"/>
                <w:bCs/>
              </w:rPr>
            </w:pPr>
            <w:r w:rsidRPr="00B536CF">
              <w:rPr>
                <w:rFonts w:ascii="Arial" w:hAnsi="Arial" w:cs="Arial"/>
                <w:bCs/>
              </w:rPr>
              <w:t>1</w:t>
            </w:r>
          </w:p>
        </w:tc>
        <w:tc>
          <w:tcPr>
            <w:tcW w:w="1283" w:type="dxa"/>
            <w:vAlign w:val="center"/>
          </w:tcPr>
          <w:p w:rsidR="00440BD7" w:rsidRPr="00B536CF" w:rsidP="00440BD7" w14:paraId="3DD546AC" w14:textId="738AAB58">
            <w:pPr>
              <w:jc w:val="center"/>
              <w:rPr>
                <w:rFonts w:ascii="Arial" w:hAnsi="Arial" w:cs="Arial"/>
                <w:bCs/>
              </w:rPr>
            </w:pPr>
            <w:r>
              <w:rPr>
                <w:rFonts w:ascii="Arial" w:hAnsi="Arial" w:cs="Arial"/>
                <w:bCs/>
              </w:rPr>
              <w:t>3</w:t>
            </w:r>
          </w:p>
        </w:tc>
        <w:tc>
          <w:tcPr>
            <w:tcW w:w="1237" w:type="dxa"/>
            <w:vAlign w:val="center"/>
          </w:tcPr>
          <w:p w:rsidR="00440BD7" w:rsidRPr="00B536CF" w:rsidP="00440BD7" w14:paraId="3A051CA3" w14:textId="28F3A2CA">
            <w:pPr>
              <w:jc w:val="center"/>
              <w:rPr>
                <w:rFonts w:ascii="Arial" w:hAnsi="Arial" w:cs="Arial"/>
                <w:bCs/>
              </w:rPr>
            </w:pPr>
            <w:r>
              <w:rPr>
                <w:rFonts w:ascii="Arial" w:hAnsi="Arial" w:cs="Arial"/>
                <w:bCs/>
              </w:rPr>
              <w:t>150</w:t>
            </w:r>
          </w:p>
        </w:tc>
      </w:tr>
      <w:tr w14:paraId="33CC2BD8" w14:textId="77777777" w:rsidTr="009354C7">
        <w:tblPrEx>
          <w:tblW w:w="9535" w:type="dxa"/>
          <w:tblLayout w:type="fixed"/>
          <w:tblLook w:val="04A0"/>
        </w:tblPrEx>
        <w:tc>
          <w:tcPr>
            <w:tcW w:w="2245" w:type="dxa"/>
          </w:tcPr>
          <w:p w:rsidR="00440BD7" w:rsidRPr="00B536CF" w:rsidP="00440BD7" w14:paraId="1E4E1816" w14:textId="7E96904D">
            <w:pPr>
              <w:rPr>
                <w:rFonts w:ascii="Arial" w:hAnsi="Arial" w:cs="Arial"/>
                <w:bCs/>
              </w:rPr>
            </w:pPr>
            <w:r w:rsidRPr="00B536CF">
              <w:rPr>
                <w:rFonts w:ascii="Arial" w:hAnsi="Arial" w:cs="Arial"/>
                <w:bCs/>
              </w:rPr>
              <w:t>Local health departments</w:t>
            </w:r>
          </w:p>
        </w:tc>
        <w:tc>
          <w:tcPr>
            <w:tcW w:w="1710" w:type="dxa"/>
          </w:tcPr>
          <w:p w:rsidR="00440BD7" w:rsidP="00440BD7" w14:paraId="34FEC149" w14:textId="00D4839A">
            <w:pPr>
              <w:rPr>
                <w:rFonts w:ascii="Arial" w:hAnsi="Arial" w:cs="Arial"/>
                <w:bCs/>
              </w:rPr>
            </w:pPr>
            <w:r>
              <w:rPr>
                <w:rFonts w:ascii="Arial" w:hAnsi="Arial" w:cs="Arial"/>
                <w:bCs/>
              </w:rPr>
              <w:t xml:space="preserve">CS Supplement </w:t>
            </w:r>
            <w:r>
              <w:rPr>
                <w:rFonts w:ascii="Arial" w:hAnsi="Arial" w:cs="Arial"/>
                <w:bCs/>
              </w:rPr>
              <w:t xml:space="preserve"> </w:t>
            </w:r>
            <w:r w:rsidRPr="00B536CF">
              <w:rPr>
                <w:rFonts w:ascii="Arial" w:hAnsi="Arial" w:cs="Arial"/>
                <w:bCs/>
              </w:rPr>
              <w:t xml:space="preserve">Performance Measures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4</w:t>
            </w:r>
            <w:r w:rsidR="00560C0F">
              <w:rPr>
                <w:rFonts w:ascii="Arial" w:hAnsi="Arial" w:cs="Arial"/>
                <w:bCs/>
              </w:rPr>
              <w:t>)</w:t>
            </w:r>
          </w:p>
        </w:tc>
        <w:tc>
          <w:tcPr>
            <w:tcW w:w="1620" w:type="dxa"/>
            <w:vAlign w:val="center"/>
          </w:tcPr>
          <w:p w:rsidR="00440BD7" w:rsidRPr="00B536CF" w:rsidP="00440BD7" w14:paraId="2C49D753" w14:textId="11E45A69">
            <w:pPr>
              <w:jc w:val="center"/>
              <w:rPr>
                <w:rFonts w:ascii="Arial" w:hAnsi="Arial" w:cs="Arial"/>
                <w:bCs/>
              </w:rPr>
            </w:pPr>
            <w:r w:rsidRPr="00B536CF">
              <w:rPr>
                <w:rFonts w:ascii="Arial" w:hAnsi="Arial" w:cs="Arial"/>
                <w:bCs/>
              </w:rPr>
              <w:t>7</w:t>
            </w:r>
          </w:p>
        </w:tc>
        <w:tc>
          <w:tcPr>
            <w:tcW w:w="1440" w:type="dxa"/>
            <w:vAlign w:val="center"/>
          </w:tcPr>
          <w:p w:rsidR="00440BD7" w:rsidRPr="00B536CF" w:rsidP="00440BD7" w14:paraId="27D661C5" w14:textId="006D2FB6">
            <w:pPr>
              <w:jc w:val="center"/>
              <w:rPr>
                <w:rFonts w:ascii="Arial" w:hAnsi="Arial" w:cs="Arial"/>
                <w:bCs/>
              </w:rPr>
            </w:pPr>
            <w:r w:rsidRPr="00B536CF">
              <w:rPr>
                <w:rFonts w:ascii="Arial" w:hAnsi="Arial" w:cs="Arial"/>
                <w:bCs/>
              </w:rPr>
              <w:t>1</w:t>
            </w:r>
          </w:p>
        </w:tc>
        <w:tc>
          <w:tcPr>
            <w:tcW w:w="1283" w:type="dxa"/>
            <w:vAlign w:val="center"/>
          </w:tcPr>
          <w:p w:rsidR="00440BD7" w:rsidRPr="00B536CF" w:rsidP="00440BD7" w14:paraId="66719B81" w14:textId="5F33742D">
            <w:pPr>
              <w:jc w:val="center"/>
              <w:rPr>
                <w:rFonts w:ascii="Arial" w:hAnsi="Arial" w:cs="Arial"/>
                <w:bCs/>
              </w:rPr>
            </w:pPr>
            <w:r>
              <w:rPr>
                <w:rFonts w:ascii="Arial" w:hAnsi="Arial" w:cs="Arial"/>
                <w:bCs/>
              </w:rPr>
              <w:t>3</w:t>
            </w:r>
          </w:p>
        </w:tc>
        <w:tc>
          <w:tcPr>
            <w:tcW w:w="1237" w:type="dxa"/>
            <w:vAlign w:val="center"/>
          </w:tcPr>
          <w:p w:rsidR="00440BD7" w:rsidRPr="00B536CF" w:rsidP="00440BD7" w14:paraId="2F679502" w14:textId="4BB74631">
            <w:pPr>
              <w:jc w:val="center"/>
              <w:rPr>
                <w:rFonts w:ascii="Arial" w:hAnsi="Arial" w:cs="Arial"/>
                <w:bCs/>
              </w:rPr>
            </w:pPr>
            <w:r>
              <w:rPr>
                <w:rFonts w:ascii="Arial" w:hAnsi="Arial" w:cs="Arial"/>
                <w:bCs/>
              </w:rPr>
              <w:t>21</w:t>
            </w:r>
          </w:p>
        </w:tc>
      </w:tr>
      <w:tr w14:paraId="10FB3F1B" w14:textId="77777777" w:rsidTr="009354C7">
        <w:tblPrEx>
          <w:tblW w:w="9535" w:type="dxa"/>
          <w:tblLayout w:type="fixed"/>
          <w:tblLook w:val="04A0"/>
        </w:tblPrEx>
        <w:tc>
          <w:tcPr>
            <w:tcW w:w="2245" w:type="dxa"/>
          </w:tcPr>
          <w:p w:rsidR="00440BD7" w:rsidRPr="00B536CF" w:rsidP="00440BD7" w14:paraId="21225920" w14:textId="77CC0A1E">
            <w:pPr>
              <w:rPr>
                <w:rFonts w:ascii="Arial" w:hAnsi="Arial" w:cs="Arial"/>
                <w:bCs/>
              </w:rPr>
            </w:pPr>
            <w:r w:rsidRPr="00B536CF">
              <w:rPr>
                <w:rFonts w:ascii="Arial" w:hAnsi="Arial" w:cs="Arial"/>
                <w:bCs/>
              </w:rPr>
              <w:t>Territorial health departments</w:t>
            </w:r>
          </w:p>
        </w:tc>
        <w:tc>
          <w:tcPr>
            <w:tcW w:w="1710" w:type="dxa"/>
          </w:tcPr>
          <w:p w:rsidR="00440BD7" w:rsidP="00440BD7" w14:paraId="3DC1F751" w14:textId="370FB7D0">
            <w:pPr>
              <w:rPr>
                <w:rFonts w:ascii="Arial" w:hAnsi="Arial" w:cs="Arial"/>
                <w:bCs/>
              </w:rPr>
            </w:pPr>
            <w:r>
              <w:rPr>
                <w:rFonts w:ascii="Arial" w:hAnsi="Arial" w:cs="Arial"/>
                <w:bCs/>
              </w:rPr>
              <w:t>CS Supplement</w:t>
            </w:r>
            <w:r>
              <w:rPr>
                <w:rFonts w:ascii="Arial" w:hAnsi="Arial" w:cs="Arial"/>
                <w:bCs/>
              </w:rPr>
              <w:t xml:space="preserve"> </w:t>
            </w:r>
            <w:r w:rsidRPr="00B536CF">
              <w:rPr>
                <w:rFonts w:ascii="Arial" w:hAnsi="Arial" w:cs="Arial"/>
                <w:bCs/>
              </w:rPr>
              <w:t xml:space="preserve">Performance Measures </w:t>
            </w:r>
            <w:r>
              <w:rPr>
                <w:rFonts w:ascii="Arial" w:hAnsi="Arial" w:cs="Arial"/>
                <w:bCs/>
              </w:rPr>
              <w:t>Data Collection Tool</w:t>
            </w:r>
            <w:r w:rsidR="00560C0F">
              <w:rPr>
                <w:rFonts w:ascii="Arial" w:hAnsi="Arial" w:cs="Arial"/>
                <w:bCs/>
              </w:rPr>
              <w:t xml:space="preserve"> (</w:t>
            </w:r>
            <w:r w:rsidRPr="00B17838" w:rsidR="00560C0F">
              <w:rPr>
                <w:rFonts w:ascii="Arial" w:hAnsi="Arial" w:cs="Arial"/>
                <w:b/>
              </w:rPr>
              <w:t>Attachment 4</w:t>
            </w:r>
            <w:r w:rsidR="00560C0F">
              <w:rPr>
                <w:rFonts w:ascii="Arial" w:hAnsi="Arial" w:cs="Arial"/>
                <w:bCs/>
              </w:rPr>
              <w:t>)</w:t>
            </w:r>
          </w:p>
        </w:tc>
        <w:tc>
          <w:tcPr>
            <w:tcW w:w="1620" w:type="dxa"/>
            <w:vAlign w:val="center"/>
          </w:tcPr>
          <w:p w:rsidR="00440BD7" w:rsidRPr="00B536CF" w:rsidP="00440BD7" w14:paraId="5539BE55" w14:textId="30AB0D71">
            <w:pPr>
              <w:jc w:val="center"/>
              <w:rPr>
                <w:rFonts w:ascii="Arial" w:hAnsi="Arial" w:cs="Arial"/>
                <w:bCs/>
              </w:rPr>
            </w:pPr>
            <w:r w:rsidRPr="00B536CF">
              <w:rPr>
                <w:rFonts w:ascii="Arial" w:hAnsi="Arial" w:cs="Arial"/>
                <w:bCs/>
              </w:rPr>
              <w:t>2</w:t>
            </w:r>
          </w:p>
        </w:tc>
        <w:tc>
          <w:tcPr>
            <w:tcW w:w="1440" w:type="dxa"/>
            <w:vAlign w:val="center"/>
          </w:tcPr>
          <w:p w:rsidR="00440BD7" w:rsidRPr="00B536CF" w:rsidP="00440BD7" w14:paraId="2347AFE7" w14:textId="2D2F6FD5">
            <w:pPr>
              <w:jc w:val="center"/>
              <w:rPr>
                <w:rFonts w:ascii="Arial" w:hAnsi="Arial" w:cs="Arial"/>
                <w:bCs/>
              </w:rPr>
            </w:pPr>
            <w:r w:rsidRPr="00B536CF">
              <w:rPr>
                <w:rFonts w:ascii="Arial" w:hAnsi="Arial" w:cs="Arial"/>
                <w:bCs/>
              </w:rPr>
              <w:t>1</w:t>
            </w:r>
          </w:p>
        </w:tc>
        <w:tc>
          <w:tcPr>
            <w:tcW w:w="1283" w:type="dxa"/>
            <w:vAlign w:val="center"/>
          </w:tcPr>
          <w:p w:rsidR="00440BD7" w:rsidRPr="00B536CF" w:rsidP="00440BD7" w14:paraId="1033EF69" w14:textId="0E8E5678">
            <w:pPr>
              <w:jc w:val="center"/>
              <w:rPr>
                <w:rFonts w:ascii="Arial" w:hAnsi="Arial" w:cs="Arial"/>
                <w:bCs/>
              </w:rPr>
            </w:pPr>
            <w:r>
              <w:rPr>
                <w:rFonts w:ascii="Arial" w:hAnsi="Arial" w:cs="Arial"/>
                <w:bCs/>
              </w:rPr>
              <w:t>3</w:t>
            </w:r>
          </w:p>
        </w:tc>
        <w:tc>
          <w:tcPr>
            <w:tcW w:w="1237" w:type="dxa"/>
            <w:vAlign w:val="center"/>
          </w:tcPr>
          <w:p w:rsidR="00440BD7" w:rsidRPr="00B536CF" w:rsidP="00440BD7" w14:paraId="3374555A" w14:textId="0968A670">
            <w:pPr>
              <w:jc w:val="center"/>
              <w:rPr>
                <w:rFonts w:ascii="Arial" w:hAnsi="Arial" w:cs="Arial"/>
                <w:bCs/>
              </w:rPr>
            </w:pPr>
            <w:r>
              <w:rPr>
                <w:rFonts w:ascii="Arial" w:hAnsi="Arial" w:cs="Arial"/>
                <w:bCs/>
              </w:rPr>
              <w:t>6</w:t>
            </w:r>
          </w:p>
        </w:tc>
      </w:tr>
      <w:tr w14:paraId="3FC527FF" w14:textId="77777777" w:rsidTr="009354C7">
        <w:tblPrEx>
          <w:tblW w:w="9535" w:type="dxa"/>
          <w:tblLayout w:type="fixed"/>
          <w:tblLook w:val="04A0"/>
        </w:tblPrEx>
        <w:tc>
          <w:tcPr>
            <w:tcW w:w="2245" w:type="dxa"/>
          </w:tcPr>
          <w:p w:rsidR="00440BD7" w:rsidRPr="00B536CF" w:rsidP="00440BD7" w14:paraId="150F4FB2" w14:textId="77777777">
            <w:pPr>
              <w:rPr>
                <w:rFonts w:ascii="Arial" w:hAnsi="Arial" w:cs="Arial"/>
                <w:bCs/>
              </w:rPr>
            </w:pPr>
            <w:r w:rsidRPr="00B536CF">
              <w:rPr>
                <w:rFonts w:ascii="Arial" w:hAnsi="Arial" w:cs="Arial"/>
                <w:bCs/>
              </w:rPr>
              <w:t>Total</w:t>
            </w:r>
          </w:p>
        </w:tc>
        <w:tc>
          <w:tcPr>
            <w:tcW w:w="1710" w:type="dxa"/>
          </w:tcPr>
          <w:p w:rsidR="00440BD7" w:rsidRPr="00B536CF" w:rsidP="00440BD7" w14:paraId="180F1CB8" w14:textId="77777777">
            <w:pPr>
              <w:rPr>
                <w:rFonts w:ascii="Arial" w:hAnsi="Arial" w:cs="Arial"/>
                <w:bCs/>
              </w:rPr>
            </w:pPr>
          </w:p>
        </w:tc>
        <w:tc>
          <w:tcPr>
            <w:tcW w:w="1620" w:type="dxa"/>
            <w:vAlign w:val="center"/>
          </w:tcPr>
          <w:p w:rsidR="00440BD7" w:rsidRPr="00B536CF" w:rsidP="00440BD7" w14:paraId="16CD7745" w14:textId="77777777">
            <w:pPr>
              <w:jc w:val="center"/>
              <w:rPr>
                <w:rFonts w:ascii="Arial" w:hAnsi="Arial" w:cs="Arial"/>
                <w:bCs/>
              </w:rPr>
            </w:pPr>
          </w:p>
        </w:tc>
        <w:tc>
          <w:tcPr>
            <w:tcW w:w="1440" w:type="dxa"/>
            <w:vAlign w:val="center"/>
          </w:tcPr>
          <w:p w:rsidR="00440BD7" w:rsidRPr="00B536CF" w:rsidP="00440BD7" w14:paraId="63653CEC" w14:textId="77777777">
            <w:pPr>
              <w:jc w:val="center"/>
              <w:rPr>
                <w:rFonts w:ascii="Arial" w:hAnsi="Arial" w:cs="Arial"/>
                <w:bCs/>
              </w:rPr>
            </w:pPr>
          </w:p>
        </w:tc>
        <w:tc>
          <w:tcPr>
            <w:tcW w:w="1283" w:type="dxa"/>
            <w:vAlign w:val="center"/>
          </w:tcPr>
          <w:p w:rsidR="00440BD7" w:rsidRPr="00B536CF" w:rsidP="00440BD7" w14:paraId="3DDF260A" w14:textId="77777777">
            <w:pPr>
              <w:jc w:val="center"/>
              <w:rPr>
                <w:rFonts w:ascii="Arial" w:hAnsi="Arial" w:cs="Arial"/>
                <w:bCs/>
              </w:rPr>
            </w:pPr>
          </w:p>
        </w:tc>
        <w:tc>
          <w:tcPr>
            <w:tcW w:w="1237" w:type="dxa"/>
            <w:vAlign w:val="center"/>
          </w:tcPr>
          <w:p w:rsidR="00440BD7" w:rsidRPr="00B536CF" w:rsidP="00440BD7" w14:paraId="34C33496" w14:textId="26524E10">
            <w:pPr>
              <w:jc w:val="center"/>
              <w:rPr>
                <w:rFonts w:ascii="Arial" w:hAnsi="Arial" w:cs="Arial"/>
                <w:bCs/>
              </w:rPr>
            </w:pPr>
            <w:r>
              <w:rPr>
                <w:rFonts w:ascii="Arial" w:hAnsi="Arial" w:cs="Arial"/>
                <w:bCs/>
              </w:rPr>
              <w:t>1,947</w:t>
            </w:r>
          </w:p>
        </w:tc>
      </w:tr>
    </w:tbl>
    <w:p w:rsidR="00B46F2C" w:rsidP="00F3170F" w14:paraId="22BD2C1D" w14:textId="052E2FA0">
      <w:pPr>
        <w:rPr>
          <w:rFonts w:ascii="Arial" w:hAnsi="Arial"/>
        </w:rPr>
      </w:pPr>
    </w:p>
    <w:p w:rsidR="00062578" w:rsidRPr="00B17838" w:rsidP="009354C7" w14:paraId="776E2AD8" w14:textId="7895A05F">
      <w:pPr>
        <w:rPr>
          <w:rFonts w:ascii="Arial" w:hAnsi="Arial" w:cs="Arial"/>
          <w:b/>
          <w:bCs/>
        </w:rPr>
      </w:pPr>
      <w:r w:rsidRPr="00B17838">
        <w:rPr>
          <w:rFonts w:ascii="Arial" w:hAnsi="Arial" w:cs="Arial"/>
          <w:b/>
          <w:bCs/>
        </w:rPr>
        <w:t>RESPONDENT COST BURDEN</w:t>
      </w:r>
    </w:p>
    <w:p w:rsidR="009354C7" w:rsidRPr="004E47D7" w:rsidP="009354C7" w14:paraId="3992BD94" w14:textId="1E0A1E3E">
      <w:pPr>
        <w:rPr>
          <w:rFonts w:ascii="Arial" w:hAnsi="Arial" w:cs="Arial"/>
        </w:rPr>
      </w:pPr>
      <w:r w:rsidRPr="004E47D7">
        <w:rPr>
          <w:rFonts w:ascii="Arial" w:hAnsi="Arial" w:cs="Arial"/>
        </w:rPr>
        <w:t>The STD Program Manager at each site will complete the Data Collection Tool. The average hourly wage for an STD Program Manager is based on the US Bureau of Labor Statistics job category for Epidemiologist (code 19-1041), with a mean hourly wage of $</w:t>
      </w:r>
      <w:r w:rsidRPr="00B17838" w:rsidR="00062578">
        <w:rPr>
          <w:rFonts w:ascii="Arial" w:hAnsi="Arial" w:cs="Arial"/>
        </w:rPr>
        <w:t>44.47</w:t>
      </w:r>
      <w:r w:rsidRPr="004E47D7">
        <w:rPr>
          <w:rFonts w:ascii="Arial" w:hAnsi="Arial" w:cs="Arial"/>
        </w:rPr>
        <w:t xml:space="preserve"> as of May </w:t>
      </w:r>
      <w:r w:rsidRPr="004E47D7" w:rsidR="00737033">
        <w:rPr>
          <w:rFonts w:ascii="Arial" w:hAnsi="Arial" w:cs="Arial"/>
        </w:rPr>
        <w:t>202</w:t>
      </w:r>
      <w:r w:rsidRPr="00B17838" w:rsidR="00062578">
        <w:rPr>
          <w:rFonts w:ascii="Arial" w:hAnsi="Arial" w:cs="Arial"/>
        </w:rPr>
        <w:t>4</w:t>
      </w:r>
      <w:r w:rsidRPr="004E47D7">
        <w:rPr>
          <w:rFonts w:ascii="Arial" w:hAnsi="Arial" w:cs="Arial"/>
        </w:rPr>
        <w:t xml:space="preserve">. </w:t>
      </w:r>
      <w:r w:rsidRPr="00B17838" w:rsidR="00560C0F">
        <w:rPr>
          <w:rFonts w:ascii="Arial" w:hAnsi="Arial" w:cs="Arial"/>
        </w:rPr>
        <w:t xml:space="preserve">A wage rate multiplier has been applied to ensure the value represents a </w:t>
      </w:r>
      <w:r w:rsidRPr="00B17838" w:rsidR="004E47D7">
        <w:rPr>
          <w:rFonts w:ascii="Arial" w:hAnsi="Arial" w:cs="Arial"/>
        </w:rPr>
        <w:t>fully loaded</w:t>
      </w:r>
      <w:r w:rsidRPr="00B17838" w:rsidR="00560C0F">
        <w:rPr>
          <w:rFonts w:ascii="Arial" w:hAnsi="Arial" w:cs="Arial"/>
        </w:rPr>
        <w:t xml:space="preserve"> </w:t>
      </w:r>
      <w:r w:rsidR="00DA0B44">
        <w:rPr>
          <w:rFonts w:ascii="Arial" w:hAnsi="Arial" w:cs="Arial"/>
        </w:rPr>
        <w:t>respondent</w:t>
      </w:r>
      <w:r w:rsidRPr="00B17838" w:rsidR="00560C0F">
        <w:rPr>
          <w:rFonts w:ascii="Arial" w:hAnsi="Arial" w:cs="Arial"/>
        </w:rPr>
        <w:t xml:space="preserve"> cost</w:t>
      </w:r>
      <w:r w:rsidR="00DA0B44">
        <w:rPr>
          <w:rFonts w:ascii="Arial" w:hAnsi="Arial" w:cs="Arial"/>
        </w:rPr>
        <w:t xml:space="preserve"> burden</w:t>
      </w:r>
      <w:r w:rsidRPr="00B17838" w:rsidR="00560C0F">
        <w:rPr>
          <w:rFonts w:ascii="Arial" w:hAnsi="Arial" w:cs="Arial"/>
        </w:rPr>
        <w:t xml:space="preserve"> that accounts for all applicable costs, such as benefits, overheads, and fringes. </w:t>
      </w:r>
      <w:r w:rsidRPr="004E47D7">
        <w:rPr>
          <w:rFonts w:ascii="Arial" w:hAnsi="Arial" w:cs="Arial"/>
        </w:rPr>
        <w:t xml:space="preserve"> </w:t>
      </w:r>
    </w:p>
    <w:p w:rsidR="00062578" w:rsidP="00062578" w14:paraId="2CA31F75" w14:textId="77777777">
      <w:pPr>
        <w:ind w:left="720"/>
        <w:rPr>
          <w:sz w:val="22"/>
          <w:szCs w:val="22"/>
        </w:rPr>
      </w:pPr>
    </w:p>
    <w:tbl>
      <w:tblPr>
        <w:tblpPr w:leftFromText="180" w:rightFromText="180" w:vertAnchor="text"/>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04"/>
        <w:gridCol w:w="1826"/>
        <w:gridCol w:w="1019"/>
        <w:gridCol w:w="1045"/>
        <w:gridCol w:w="1268"/>
        <w:gridCol w:w="1194"/>
        <w:gridCol w:w="1384"/>
      </w:tblGrid>
      <w:tr w14:paraId="11C47449" w14:textId="77777777" w:rsidTr="00B17838">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862" w:type="pct"/>
            <w:tcMar>
              <w:top w:w="0" w:type="dxa"/>
              <w:left w:w="108" w:type="dxa"/>
              <w:bottom w:w="0" w:type="dxa"/>
              <w:right w:w="108" w:type="dxa"/>
            </w:tcMar>
            <w:vAlign w:val="center"/>
            <w:hideMark/>
          </w:tcPr>
          <w:p w:rsidR="00062578" w:rsidRPr="00B17838" w14:paraId="08FA8BA5" w14:textId="77777777">
            <w:pPr>
              <w:autoSpaceDE w:val="0"/>
              <w:autoSpaceDN w:val="0"/>
              <w:jc w:val="center"/>
              <w:rPr>
                <w:rFonts w:ascii="Arial" w:hAnsi="Arial" w:cs="Arial"/>
                <w:b/>
                <w:bCs/>
                <w:color w:val="000000"/>
                <w:sz w:val="24"/>
                <w:szCs w:val="24"/>
              </w:rPr>
            </w:pPr>
            <w:r w:rsidRPr="00B17838">
              <w:rPr>
                <w:rFonts w:ascii="Arial" w:hAnsi="Arial" w:cs="Arial"/>
                <w:b/>
                <w:bCs/>
                <w:color w:val="000000"/>
              </w:rPr>
              <w:t>Type of Respondents</w:t>
            </w:r>
          </w:p>
        </w:tc>
        <w:tc>
          <w:tcPr>
            <w:tcW w:w="980" w:type="pct"/>
            <w:tcMar>
              <w:top w:w="0" w:type="dxa"/>
              <w:left w:w="108" w:type="dxa"/>
              <w:bottom w:w="0" w:type="dxa"/>
              <w:right w:w="108" w:type="dxa"/>
            </w:tcMar>
            <w:vAlign w:val="center"/>
            <w:hideMark/>
          </w:tcPr>
          <w:p w:rsidR="00062578" w:rsidRPr="00B17838" w14:paraId="0ECBFF01" w14:textId="77777777">
            <w:pPr>
              <w:autoSpaceDE w:val="0"/>
              <w:autoSpaceDN w:val="0"/>
              <w:jc w:val="center"/>
              <w:rPr>
                <w:rFonts w:ascii="Arial" w:hAnsi="Arial" w:cs="Arial"/>
                <w:b/>
                <w:bCs/>
                <w:color w:val="000000"/>
              </w:rPr>
            </w:pPr>
            <w:r w:rsidRPr="00B17838">
              <w:rPr>
                <w:rFonts w:ascii="Arial" w:hAnsi="Arial" w:cs="Arial"/>
                <w:b/>
                <w:bCs/>
                <w:color w:val="000000"/>
              </w:rPr>
              <w:t>Form Name</w:t>
            </w:r>
          </w:p>
        </w:tc>
        <w:tc>
          <w:tcPr>
            <w:tcW w:w="548" w:type="pct"/>
            <w:tcMar>
              <w:top w:w="0" w:type="dxa"/>
              <w:left w:w="108" w:type="dxa"/>
              <w:bottom w:w="0" w:type="dxa"/>
              <w:right w:w="108" w:type="dxa"/>
            </w:tcMar>
            <w:vAlign w:val="center"/>
            <w:hideMark/>
          </w:tcPr>
          <w:p w:rsidR="00062578" w:rsidRPr="00B17838" w14:paraId="43027678" w14:textId="77777777">
            <w:pPr>
              <w:autoSpaceDE w:val="0"/>
              <w:autoSpaceDN w:val="0"/>
              <w:jc w:val="center"/>
              <w:rPr>
                <w:rFonts w:ascii="Arial" w:hAnsi="Arial" w:cs="Arial"/>
                <w:b/>
                <w:bCs/>
                <w:color w:val="000000"/>
              </w:rPr>
            </w:pPr>
            <w:r w:rsidRPr="00B17838">
              <w:rPr>
                <w:rFonts w:ascii="Arial" w:hAnsi="Arial" w:cs="Arial"/>
                <w:b/>
                <w:bCs/>
                <w:color w:val="000000"/>
              </w:rPr>
              <w:t>Total Burden</w:t>
            </w:r>
          </w:p>
          <w:p w:rsidR="00062578" w:rsidRPr="00B17838" w14:paraId="5087C0C5" w14:textId="77777777">
            <w:pPr>
              <w:autoSpaceDE w:val="0"/>
              <w:autoSpaceDN w:val="0"/>
              <w:jc w:val="center"/>
              <w:rPr>
                <w:rFonts w:ascii="Arial" w:hAnsi="Arial" w:cs="Arial"/>
                <w:color w:val="000000"/>
              </w:rPr>
            </w:pPr>
            <w:r w:rsidRPr="00B17838">
              <w:rPr>
                <w:rFonts w:ascii="Arial" w:hAnsi="Arial" w:cs="Arial"/>
                <w:b/>
                <w:bCs/>
                <w:color w:val="000000"/>
              </w:rPr>
              <w:t>(in hrs.)</w:t>
            </w:r>
          </w:p>
        </w:tc>
        <w:tc>
          <w:tcPr>
            <w:tcW w:w="548" w:type="pct"/>
            <w:tcMar>
              <w:top w:w="0" w:type="dxa"/>
              <w:left w:w="108" w:type="dxa"/>
              <w:bottom w:w="0" w:type="dxa"/>
              <w:right w:w="108" w:type="dxa"/>
            </w:tcMar>
            <w:vAlign w:val="center"/>
            <w:hideMark/>
          </w:tcPr>
          <w:p w:rsidR="00062578" w:rsidRPr="00B17838" w14:paraId="02FB23FB" w14:textId="77777777">
            <w:pPr>
              <w:autoSpaceDE w:val="0"/>
              <w:autoSpaceDN w:val="0"/>
              <w:jc w:val="center"/>
              <w:rPr>
                <w:rFonts w:ascii="Arial" w:hAnsi="Arial" w:cs="Arial"/>
                <w:b/>
                <w:bCs/>
                <w:color w:val="000000"/>
              </w:rPr>
            </w:pPr>
            <w:r w:rsidRPr="00B17838">
              <w:rPr>
                <w:rFonts w:ascii="Arial" w:hAnsi="Arial" w:cs="Arial"/>
                <w:b/>
                <w:bCs/>
                <w:color w:val="000000"/>
              </w:rPr>
              <w:t>Average Hourly Wage Rate</w:t>
            </w:r>
          </w:p>
        </w:tc>
        <w:tc>
          <w:tcPr>
            <w:tcW w:w="679" w:type="pct"/>
            <w:tcMar>
              <w:top w:w="0" w:type="dxa"/>
              <w:left w:w="108" w:type="dxa"/>
              <w:bottom w:w="0" w:type="dxa"/>
              <w:right w:w="108" w:type="dxa"/>
            </w:tcMar>
            <w:hideMark/>
          </w:tcPr>
          <w:p w:rsidR="00062578" w:rsidRPr="00B17838" w14:paraId="77A00290" w14:textId="77777777">
            <w:pPr>
              <w:autoSpaceDE w:val="0"/>
              <w:autoSpaceDN w:val="0"/>
              <w:jc w:val="center"/>
              <w:rPr>
                <w:rFonts w:ascii="Arial" w:hAnsi="Arial" w:cs="Arial"/>
                <w:b/>
                <w:bCs/>
                <w:color w:val="000000"/>
              </w:rPr>
            </w:pPr>
            <w:r w:rsidRPr="00B17838">
              <w:rPr>
                <w:rFonts w:ascii="Arial" w:hAnsi="Arial" w:cs="Arial"/>
                <w:b/>
                <w:bCs/>
                <w:color w:val="000000"/>
              </w:rPr>
              <w:t>Total Cost Burden</w:t>
            </w:r>
          </w:p>
        </w:tc>
        <w:tc>
          <w:tcPr>
            <w:tcW w:w="642" w:type="pct"/>
            <w:tcMar>
              <w:top w:w="0" w:type="dxa"/>
              <w:left w:w="108" w:type="dxa"/>
              <w:bottom w:w="0" w:type="dxa"/>
              <w:right w:w="108" w:type="dxa"/>
            </w:tcMar>
            <w:vAlign w:val="center"/>
            <w:hideMark/>
          </w:tcPr>
          <w:p w:rsidR="00062578" w:rsidRPr="00B17838" w14:paraId="508F38DD" w14:textId="438540B7">
            <w:pPr>
              <w:autoSpaceDE w:val="0"/>
              <w:autoSpaceDN w:val="0"/>
              <w:jc w:val="center"/>
              <w:rPr>
                <w:rFonts w:ascii="Arial" w:hAnsi="Arial" w:cs="Arial"/>
                <w:b/>
                <w:bCs/>
                <w:color w:val="000000"/>
              </w:rPr>
            </w:pPr>
            <w:r w:rsidRPr="00B17838">
              <w:rPr>
                <w:rFonts w:ascii="Arial" w:hAnsi="Arial" w:cs="Arial"/>
                <w:b/>
                <w:bCs/>
                <w:color w:val="000000"/>
              </w:rPr>
              <w:t xml:space="preserve">Wage </w:t>
            </w:r>
            <w:r w:rsidRPr="00B17838" w:rsidR="001A45B0">
              <w:rPr>
                <w:rFonts w:ascii="Arial" w:hAnsi="Arial" w:cs="Arial"/>
                <w:b/>
                <w:bCs/>
                <w:color w:val="000000"/>
              </w:rPr>
              <w:t>R</w:t>
            </w:r>
            <w:r w:rsidRPr="00B17838">
              <w:rPr>
                <w:rFonts w:ascii="Arial" w:hAnsi="Arial" w:cs="Arial"/>
                <w:b/>
                <w:bCs/>
                <w:color w:val="000000"/>
              </w:rPr>
              <w:t xml:space="preserve">ate </w:t>
            </w:r>
            <w:r w:rsidRPr="00B17838" w:rsidR="00E97DEB">
              <w:rPr>
                <w:rFonts w:ascii="Arial" w:hAnsi="Arial" w:cs="Arial"/>
                <w:b/>
                <w:bCs/>
                <w:color w:val="000000"/>
              </w:rPr>
              <w:t>M</w:t>
            </w:r>
            <w:r w:rsidRPr="00B17838">
              <w:rPr>
                <w:rFonts w:ascii="Arial" w:hAnsi="Arial" w:cs="Arial"/>
                <w:b/>
                <w:bCs/>
                <w:color w:val="000000"/>
              </w:rPr>
              <w:t>ultiplier</w:t>
            </w:r>
          </w:p>
        </w:tc>
        <w:tc>
          <w:tcPr>
            <w:tcW w:w="741" w:type="pct"/>
            <w:tcMar>
              <w:top w:w="0" w:type="dxa"/>
              <w:left w:w="108" w:type="dxa"/>
              <w:bottom w:w="0" w:type="dxa"/>
              <w:right w:w="108" w:type="dxa"/>
            </w:tcMar>
            <w:vAlign w:val="center"/>
            <w:hideMark/>
          </w:tcPr>
          <w:p w:rsidR="00062578" w:rsidRPr="00B17838" w14:paraId="21854C15" w14:textId="4A1C27B5">
            <w:pPr>
              <w:autoSpaceDE w:val="0"/>
              <w:autoSpaceDN w:val="0"/>
              <w:jc w:val="center"/>
              <w:rPr>
                <w:rFonts w:ascii="Arial" w:hAnsi="Arial" w:cs="Arial"/>
                <w:b/>
                <w:bCs/>
                <w:color w:val="000000"/>
              </w:rPr>
            </w:pPr>
            <w:r w:rsidRPr="00B17838">
              <w:rPr>
                <w:rFonts w:ascii="Arial" w:hAnsi="Arial" w:cs="Arial"/>
                <w:b/>
                <w:bCs/>
                <w:color w:val="000000"/>
              </w:rPr>
              <w:t xml:space="preserve">Fully </w:t>
            </w:r>
            <w:r w:rsidRPr="00B17838" w:rsidR="001A45B0">
              <w:rPr>
                <w:rFonts w:ascii="Arial" w:hAnsi="Arial" w:cs="Arial"/>
                <w:b/>
                <w:bCs/>
                <w:color w:val="000000"/>
              </w:rPr>
              <w:t>L</w:t>
            </w:r>
            <w:r w:rsidRPr="00B17838">
              <w:rPr>
                <w:rFonts w:ascii="Arial" w:hAnsi="Arial" w:cs="Arial"/>
                <w:b/>
                <w:bCs/>
                <w:color w:val="000000"/>
              </w:rPr>
              <w:t>oaded Cost Burden</w:t>
            </w:r>
          </w:p>
        </w:tc>
      </w:tr>
      <w:tr w14:paraId="537009DE" w14:textId="77777777" w:rsidTr="00B17838">
        <w:tblPrEx>
          <w:tblW w:w="5000" w:type="pct"/>
          <w:tblCellMar>
            <w:left w:w="0" w:type="dxa"/>
            <w:right w:w="0" w:type="dxa"/>
          </w:tblCellMar>
          <w:tblLook w:val="04A0"/>
        </w:tblPrEx>
        <w:tc>
          <w:tcPr>
            <w:tcW w:w="862" w:type="pct"/>
            <w:tcMar>
              <w:top w:w="0" w:type="dxa"/>
              <w:left w:w="108" w:type="dxa"/>
              <w:bottom w:w="0" w:type="dxa"/>
              <w:right w:w="108" w:type="dxa"/>
            </w:tcMar>
            <w:vAlign w:val="center"/>
            <w:hideMark/>
          </w:tcPr>
          <w:p w:rsidR="00062578" w:rsidRPr="00B17838" w14:paraId="38ADBFE7" w14:textId="55429357">
            <w:pPr>
              <w:autoSpaceDE w:val="0"/>
              <w:autoSpaceDN w:val="0"/>
              <w:rPr>
                <w:rFonts w:ascii="Arial" w:hAnsi="Arial" w:cs="Arial"/>
                <w:color w:val="000000"/>
              </w:rPr>
            </w:pPr>
            <w:r w:rsidRPr="00B17838">
              <w:rPr>
                <w:rFonts w:ascii="Arial" w:hAnsi="Arial" w:cs="Arial"/>
              </w:rPr>
              <w:t>STD Program Manager</w:t>
            </w:r>
          </w:p>
        </w:tc>
        <w:tc>
          <w:tcPr>
            <w:tcW w:w="980" w:type="pct"/>
            <w:tcMar>
              <w:top w:w="0" w:type="dxa"/>
              <w:left w:w="108" w:type="dxa"/>
              <w:bottom w:w="0" w:type="dxa"/>
              <w:right w:w="108" w:type="dxa"/>
            </w:tcMar>
            <w:vAlign w:val="center"/>
            <w:hideMark/>
          </w:tcPr>
          <w:p w:rsidR="00062578" w:rsidRPr="00B17838" w14:paraId="7CA7E146" w14:textId="2699C483">
            <w:pPr>
              <w:autoSpaceDE w:val="0"/>
              <w:autoSpaceDN w:val="0"/>
              <w:jc w:val="center"/>
              <w:rPr>
                <w:rFonts w:ascii="Arial" w:hAnsi="Arial" w:cs="Arial"/>
                <w:color w:val="000000"/>
              </w:rPr>
            </w:pPr>
            <w:r w:rsidRPr="00B17838">
              <w:rPr>
                <w:rFonts w:ascii="Arial" w:hAnsi="Arial" w:cs="Arial"/>
                <w:color w:val="000000"/>
              </w:rPr>
              <w:t>STD PCHD Performance Measures Data Collection Tool</w:t>
            </w:r>
            <w:r w:rsidRPr="00B17838" w:rsidR="001A45B0">
              <w:rPr>
                <w:rFonts w:ascii="Arial" w:hAnsi="Arial" w:cs="Arial"/>
                <w:color w:val="000000"/>
              </w:rPr>
              <w:t xml:space="preserve"> (</w:t>
            </w:r>
            <w:r w:rsidRPr="00B17838" w:rsidR="001A45B0">
              <w:rPr>
                <w:rFonts w:ascii="Arial" w:hAnsi="Arial" w:cs="Arial"/>
                <w:b/>
                <w:bCs/>
                <w:color w:val="000000"/>
              </w:rPr>
              <w:t>Attachment 1</w:t>
            </w:r>
            <w:r w:rsidRPr="00B17838" w:rsidR="001A45B0">
              <w:rPr>
                <w:rFonts w:ascii="Arial" w:hAnsi="Arial" w:cs="Arial"/>
                <w:color w:val="000000"/>
              </w:rPr>
              <w:t>)</w:t>
            </w:r>
          </w:p>
        </w:tc>
        <w:tc>
          <w:tcPr>
            <w:tcW w:w="548" w:type="pct"/>
            <w:tcMar>
              <w:top w:w="0" w:type="dxa"/>
              <w:left w:w="108" w:type="dxa"/>
              <w:bottom w:w="0" w:type="dxa"/>
              <w:right w:w="108" w:type="dxa"/>
            </w:tcMar>
            <w:vAlign w:val="center"/>
            <w:hideMark/>
          </w:tcPr>
          <w:p w:rsidR="00062578" w:rsidRPr="00B17838" w14:paraId="4F7A2AE5" w14:textId="5C50BD08">
            <w:pPr>
              <w:autoSpaceDE w:val="0"/>
              <w:autoSpaceDN w:val="0"/>
              <w:jc w:val="center"/>
              <w:rPr>
                <w:rFonts w:ascii="Arial" w:hAnsi="Arial" w:cs="Arial"/>
                <w:color w:val="000000"/>
                <w:highlight w:val="yellow"/>
              </w:rPr>
            </w:pPr>
            <w:r w:rsidRPr="00B17838">
              <w:rPr>
                <w:rFonts w:ascii="Arial" w:hAnsi="Arial" w:cs="Arial"/>
                <w:color w:val="000000"/>
              </w:rPr>
              <w:t>1</w:t>
            </w:r>
            <w:r w:rsidRPr="00B17838" w:rsidR="00560C0F">
              <w:rPr>
                <w:rFonts w:ascii="Arial" w:hAnsi="Arial" w:cs="Arial"/>
                <w:color w:val="000000"/>
              </w:rPr>
              <w:t>,</w:t>
            </w:r>
            <w:r w:rsidRPr="00B17838">
              <w:rPr>
                <w:rFonts w:ascii="Arial" w:hAnsi="Arial" w:cs="Arial"/>
                <w:color w:val="000000"/>
              </w:rPr>
              <w:t>770</w:t>
            </w:r>
          </w:p>
        </w:tc>
        <w:tc>
          <w:tcPr>
            <w:tcW w:w="548" w:type="pct"/>
            <w:tcMar>
              <w:top w:w="0" w:type="dxa"/>
              <w:left w:w="108" w:type="dxa"/>
              <w:bottom w:w="0" w:type="dxa"/>
              <w:right w:w="108" w:type="dxa"/>
            </w:tcMar>
            <w:vAlign w:val="center"/>
            <w:hideMark/>
          </w:tcPr>
          <w:p w:rsidR="00062578" w:rsidRPr="00B17838" w14:paraId="1CCC85C2" w14:textId="195E60B5">
            <w:pPr>
              <w:autoSpaceDE w:val="0"/>
              <w:autoSpaceDN w:val="0"/>
              <w:jc w:val="center"/>
              <w:rPr>
                <w:rFonts w:ascii="Arial" w:hAnsi="Arial" w:cs="Arial"/>
              </w:rPr>
            </w:pPr>
            <w:r w:rsidRPr="00B17838">
              <w:rPr>
                <w:rFonts w:ascii="Arial" w:hAnsi="Arial" w:cs="Arial"/>
              </w:rPr>
              <w:t>$44.17</w:t>
            </w:r>
          </w:p>
        </w:tc>
        <w:tc>
          <w:tcPr>
            <w:tcW w:w="679" w:type="pct"/>
            <w:tcMar>
              <w:top w:w="0" w:type="dxa"/>
              <w:left w:w="108" w:type="dxa"/>
              <w:bottom w:w="0" w:type="dxa"/>
              <w:right w:w="108" w:type="dxa"/>
            </w:tcMar>
            <w:vAlign w:val="center"/>
            <w:hideMark/>
          </w:tcPr>
          <w:p w:rsidR="00062578" w:rsidRPr="00B17838" w14:paraId="6D3432E6" w14:textId="28AB2815">
            <w:pPr>
              <w:autoSpaceDE w:val="0"/>
              <w:autoSpaceDN w:val="0"/>
              <w:jc w:val="center"/>
              <w:rPr>
                <w:rFonts w:ascii="Arial" w:hAnsi="Arial" w:cs="Arial"/>
                <w:highlight w:val="yellow"/>
              </w:rPr>
            </w:pPr>
            <w:r w:rsidRPr="00B17838">
              <w:rPr>
                <w:rFonts w:ascii="Arial" w:hAnsi="Arial" w:cs="Arial"/>
              </w:rPr>
              <w:t>$78,180.9</w:t>
            </w:r>
            <w:r w:rsidRPr="00B17838" w:rsidR="00560C0F">
              <w:rPr>
                <w:rFonts w:ascii="Arial" w:hAnsi="Arial" w:cs="Arial"/>
              </w:rPr>
              <w:t>0</w:t>
            </w:r>
          </w:p>
        </w:tc>
        <w:tc>
          <w:tcPr>
            <w:tcW w:w="642" w:type="pct"/>
            <w:tcMar>
              <w:top w:w="0" w:type="dxa"/>
              <w:left w:w="108" w:type="dxa"/>
              <w:bottom w:w="0" w:type="dxa"/>
              <w:right w:w="108" w:type="dxa"/>
            </w:tcMar>
            <w:vAlign w:val="center"/>
            <w:hideMark/>
          </w:tcPr>
          <w:p w:rsidR="00062578" w:rsidRPr="00B17838" w14:paraId="06919014" w14:textId="77777777">
            <w:pPr>
              <w:autoSpaceDE w:val="0"/>
              <w:autoSpaceDN w:val="0"/>
              <w:jc w:val="center"/>
              <w:rPr>
                <w:rFonts w:ascii="Arial" w:hAnsi="Arial" w:cs="Arial"/>
              </w:rPr>
            </w:pPr>
            <w:r w:rsidRPr="00B17838">
              <w:rPr>
                <w:rFonts w:ascii="Arial" w:hAnsi="Arial" w:cs="Arial"/>
              </w:rPr>
              <w:t>x 2</w:t>
            </w:r>
          </w:p>
        </w:tc>
        <w:tc>
          <w:tcPr>
            <w:tcW w:w="741" w:type="pct"/>
            <w:tcMar>
              <w:top w:w="0" w:type="dxa"/>
              <w:left w:w="108" w:type="dxa"/>
              <w:bottom w:w="0" w:type="dxa"/>
              <w:right w:w="108" w:type="dxa"/>
            </w:tcMar>
            <w:vAlign w:val="center"/>
            <w:hideMark/>
          </w:tcPr>
          <w:p w:rsidR="00062578" w:rsidRPr="00B17838" w14:paraId="1950FFBF" w14:textId="687F258E">
            <w:pPr>
              <w:autoSpaceDE w:val="0"/>
              <w:autoSpaceDN w:val="0"/>
              <w:jc w:val="center"/>
              <w:rPr>
                <w:rFonts w:ascii="Arial" w:hAnsi="Arial" w:cs="Arial"/>
              </w:rPr>
            </w:pPr>
            <w:r w:rsidRPr="00B17838">
              <w:rPr>
                <w:rFonts w:ascii="Arial" w:hAnsi="Arial" w:cs="Arial"/>
              </w:rPr>
              <w:t>$156,361.8</w:t>
            </w:r>
            <w:r w:rsidRPr="00B17838" w:rsidR="00560C0F">
              <w:rPr>
                <w:rFonts w:ascii="Arial" w:hAnsi="Arial" w:cs="Arial"/>
              </w:rPr>
              <w:t>0</w:t>
            </w:r>
          </w:p>
        </w:tc>
      </w:tr>
      <w:tr w14:paraId="049F8883" w14:textId="77777777" w:rsidTr="00B17838">
        <w:tblPrEx>
          <w:tblW w:w="5000" w:type="pct"/>
          <w:tblCellMar>
            <w:left w:w="0" w:type="dxa"/>
            <w:right w:w="0" w:type="dxa"/>
          </w:tblCellMar>
          <w:tblLook w:val="04A0"/>
        </w:tblPrEx>
        <w:tc>
          <w:tcPr>
            <w:tcW w:w="862" w:type="pct"/>
            <w:tcMar>
              <w:top w:w="0" w:type="dxa"/>
              <w:left w:w="108" w:type="dxa"/>
              <w:bottom w:w="0" w:type="dxa"/>
              <w:right w:w="108" w:type="dxa"/>
            </w:tcMar>
            <w:vAlign w:val="center"/>
            <w:hideMark/>
          </w:tcPr>
          <w:p w:rsidR="00062578" w:rsidRPr="00B17838" w14:paraId="0C376E6E" w14:textId="173E7D3E">
            <w:pPr>
              <w:autoSpaceDE w:val="0"/>
              <w:autoSpaceDN w:val="0"/>
              <w:rPr>
                <w:rFonts w:ascii="Arial" w:hAnsi="Arial" w:cs="Arial"/>
                <w:color w:val="000000"/>
              </w:rPr>
            </w:pPr>
            <w:r w:rsidRPr="00B17838">
              <w:rPr>
                <w:rFonts w:ascii="Arial" w:hAnsi="Arial" w:cs="Arial"/>
              </w:rPr>
              <w:t>STD Program Manager</w:t>
            </w:r>
          </w:p>
        </w:tc>
        <w:tc>
          <w:tcPr>
            <w:tcW w:w="980" w:type="pct"/>
            <w:tcMar>
              <w:top w:w="0" w:type="dxa"/>
              <w:left w:w="108" w:type="dxa"/>
              <w:bottom w:w="0" w:type="dxa"/>
              <w:right w:w="108" w:type="dxa"/>
            </w:tcMar>
            <w:vAlign w:val="center"/>
            <w:hideMark/>
          </w:tcPr>
          <w:p w:rsidR="00062578" w:rsidRPr="00B17838" w14:paraId="45943133" w14:textId="62748926">
            <w:pPr>
              <w:autoSpaceDE w:val="0"/>
              <w:autoSpaceDN w:val="0"/>
              <w:jc w:val="center"/>
              <w:rPr>
                <w:rFonts w:ascii="Arial" w:hAnsi="Arial" w:cs="Arial"/>
                <w:color w:val="000000"/>
              </w:rPr>
            </w:pPr>
            <w:r w:rsidRPr="00B17838">
              <w:rPr>
                <w:rFonts w:ascii="Arial" w:hAnsi="Arial" w:cs="Arial"/>
                <w:color w:val="000000"/>
              </w:rPr>
              <w:t>CS Supplement Performance Measures Data Collection Tool</w:t>
            </w:r>
            <w:r w:rsidRPr="00B17838" w:rsidR="001A45B0">
              <w:rPr>
                <w:rFonts w:ascii="Arial" w:hAnsi="Arial" w:cs="Arial"/>
                <w:color w:val="000000"/>
              </w:rPr>
              <w:t xml:space="preserve"> (</w:t>
            </w:r>
            <w:r w:rsidRPr="00B17838" w:rsidR="001A45B0">
              <w:rPr>
                <w:rFonts w:ascii="Arial" w:hAnsi="Arial" w:cs="Arial"/>
                <w:b/>
                <w:bCs/>
                <w:color w:val="000000"/>
              </w:rPr>
              <w:t>Attachment 4</w:t>
            </w:r>
            <w:r w:rsidRPr="00B17838" w:rsidR="001A45B0">
              <w:rPr>
                <w:rFonts w:ascii="Arial" w:hAnsi="Arial" w:cs="Arial"/>
                <w:color w:val="000000"/>
              </w:rPr>
              <w:t>)</w:t>
            </w:r>
          </w:p>
        </w:tc>
        <w:tc>
          <w:tcPr>
            <w:tcW w:w="548" w:type="pct"/>
            <w:tcMar>
              <w:top w:w="0" w:type="dxa"/>
              <w:left w:w="108" w:type="dxa"/>
              <w:bottom w:w="0" w:type="dxa"/>
              <w:right w:w="108" w:type="dxa"/>
            </w:tcMar>
            <w:vAlign w:val="center"/>
            <w:hideMark/>
          </w:tcPr>
          <w:p w:rsidR="00062578" w:rsidRPr="00B17838" w14:paraId="6130570E" w14:textId="70FDCB4F">
            <w:pPr>
              <w:autoSpaceDE w:val="0"/>
              <w:autoSpaceDN w:val="0"/>
              <w:jc w:val="center"/>
              <w:rPr>
                <w:rFonts w:ascii="Arial" w:hAnsi="Arial" w:cs="Arial"/>
                <w:color w:val="000000"/>
                <w:highlight w:val="yellow"/>
              </w:rPr>
            </w:pPr>
            <w:r w:rsidRPr="00B17838">
              <w:rPr>
                <w:rFonts w:ascii="Arial" w:hAnsi="Arial" w:cs="Arial"/>
                <w:color w:val="000000"/>
              </w:rPr>
              <w:t>177</w:t>
            </w:r>
          </w:p>
        </w:tc>
        <w:tc>
          <w:tcPr>
            <w:tcW w:w="548" w:type="pct"/>
            <w:tcMar>
              <w:top w:w="0" w:type="dxa"/>
              <w:left w:w="108" w:type="dxa"/>
              <w:bottom w:w="0" w:type="dxa"/>
              <w:right w:w="108" w:type="dxa"/>
            </w:tcMar>
            <w:vAlign w:val="center"/>
            <w:hideMark/>
          </w:tcPr>
          <w:p w:rsidR="00062578" w:rsidRPr="00B17838" w14:paraId="168892A6" w14:textId="017492FB">
            <w:pPr>
              <w:autoSpaceDE w:val="0"/>
              <w:autoSpaceDN w:val="0"/>
              <w:jc w:val="center"/>
              <w:rPr>
                <w:rFonts w:ascii="Arial" w:hAnsi="Arial" w:cs="Arial"/>
              </w:rPr>
            </w:pPr>
            <w:r w:rsidRPr="00B17838">
              <w:rPr>
                <w:rFonts w:ascii="Arial" w:hAnsi="Arial" w:cs="Arial"/>
              </w:rPr>
              <w:t>$44.17</w:t>
            </w:r>
          </w:p>
        </w:tc>
        <w:tc>
          <w:tcPr>
            <w:tcW w:w="679" w:type="pct"/>
            <w:tcMar>
              <w:top w:w="0" w:type="dxa"/>
              <w:left w:w="108" w:type="dxa"/>
              <w:bottom w:w="0" w:type="dxa"/>
              <w:right w:w="108" w:type="dxa"/>
            </w:tcMar>
            <w:vAlign w:val="center"/>
            <w:hideMark/>
          </w:tcPr>
          <w:p w:rsidR="00062578" w:rsidRPr="00B17838" w14:paraId="106EA6A0" w14:textId="68D0F79E">
            <w:pPr>
              <w:autoSpaceDE w:val="0"/>
              <w:autoSpaceDN w:val="0"/>
              <w:jc w:val="center"/>
              <w:rPr>
                <w:rFonts w:ascii="Arial" w:hAnsi="Arial" w:cs="Arial"/>
              </w:rPr>
            </w:pPr>
            <w:r w:rsidRPr="00B17838">
              <w:rPr>
                <w:rFonts w:ascii="Arial" w:hAnsi="Arial" w:cs="Arial"/>
              </w:rPr>
              <w:t>$7,818.09</w:t>
            </w:r>
          </w:p>
        </w:tc>
        <w:tc>
          <w:tcPr>
            <w:tcW w:w="642" w:type="pct"/>
            <w:tcMar>
              <w:top w:w="0" w:type="dxa"/>
              <w:left w:w="108" w:type="dxa"/>
              <w:bottom w:w="0" w:type="dxa"/>
              <w:right w:w="108" w:type="dxa"/>
            </w:tcMar>
            <w:vAlign w:val="center"/>
            <w:hideMark/>
          </w:tcPr>
          <w:p w:rsidR="00062578" w:rsidRPr="00B17838" w14:paraId="7FFB0410" w14:textId="77777777">
            <w:pPr>
              <w:autoSpaceDE w:val="0"/>
              <w:autoSpaceDN w:val="0"/>
              <w:jc w:val="center"/>
              <w:rPr>
                <w:rFonts w:ascii="Arial" w:hAnsi="Arial" w:cs="Arial"/>
              </w:rPr>
            </w:pPr>
            <w:r w:rsidRPr="00B17838">
              <w:rPr>
                <w:rFonts w:ascii="Arial" w:hAnsi="Arial" w:cs="Arial"/>
              </w:rPr>
              <w:t>x 2</w:t>
            </w:r>
          </w:p>
        </w:tc>
        <w:tc>
          <w:tcPr>
            <w:tcW w:w="741" w:type="pct"/>
            <w:tcMar>
              <w:top w:w="0" w:type="dxa"/>
              <w:left w:w="108" w:type="dxa"/>
              <w:bottom w:w="0" w:type="dxa"/>
              <w:right w:w="108" w:type="dxa"/>
            </w:tcMar>
            <w:vAlign w:val="center"/>
            <w:hideMark/>
          </w:tcPr>
          <w:p w:rsidR="00062578" w:rsidRPr="00B17838" w14:paraId="5BD7E601" w14:textId="57847369">
            <w:pPr>
              <w:autoSpaceDE w:val="0"/>
              <w:autoSpaceDN w:val="0"/>
              <w:jc w:val="center"/>
              <w:rPr>
                <w:rFonts w:ascii="Arial" w:hAnsi="Arial" w:cs="Arial"/>
              </w:rPr>
            </w:pPr>
            <w:r w:rsidRPr="00B17838">
              <w:rPr>
                <w:rFonts w:ascii="Arial" w:hAnsi="Arial" w:cs="Arial"/>
              </w:rPr>
              <w:t>$15,636.18</w:t>
            </w:r>
          </w:p>
        </w:tc>
      </w:tr>
      <w:tr w14:paraId="3F451D66" w14:textId="77777777" w:rsidTr="00B17838">
        <w:tblPrEx>
          <w:tblW w:w="5000" w:type="pct"/>
          <w:tblCellMar>
            <w:left w:w="0" w:type="dxa"/>
            <w:right w:w="0" w:type="dxa"/>
          </w:tblCellMar>
          <w:tblLook w:val="04A0"/>
        </w:tblPrEx>
        <w:tc>
          <w:tcPr>
            <w:tcW w:w="862" w:type="pct"/>
            <w:tcMar>
              <w:top w:w="0" w:type="dxa"/>
              <w:left w:w="108" w:type="dxa"/>
              <w:bottom w:w="0" w:type="dxa"/>
              <w:right w:w="108" w:type="dxa"/>
            </w:tcMar>
            <w:vAlign w:val="center"/>
            <w:hideMark/>
          </w:tcPr>
          <w:p w:rsidR="00062578" w:rsidRPr="00B17838" w14:paraId="7744BC63" w14:textId="77777777">
            <w:pPr>
              <w:autoSpaceDE w:val="0"/>
              <w:autoSpaceDN w:val="0"/>
              <w:rPr>
                <w:rFonts w:ascii="Arial" w:hAnsi="Arial" w:cs="Arial"/>
              </w:rPr>
            </w:pPr>
            <w:r w:rsidRPr="00B17838">
              <w:rPr>
                <w:rFonts w:ascii="Arial" w:hAnsi="Arial" w:cs="Arial"/>
              </w:rPr>
              <w:t>Total</w:t>
            </w:r>
          </w:p>
        </w:tc>
        <w:tc>
          <w:tcPr>
            <w:tcW w:w="980" w:type="pct"/>
            <w:tcMar>
              <w:top w:w="0" w:type="dxa"/>
              <w:left w:w="108" w:type="dxa"/>
              <w:bottom w:w="0" w:type="dxa"/>
              <w:right w:w="108" w:type="dxa"/>
            </w:tcMar>
            <w:vAlign w:val="center"/>
          </w:tcPr>
          <w:p w:rsidR="00062578" w:rsidRPr="00B17838" w14:paraId="22FC2803" w14:textId="77777777">
            <w:pPr>
              <w:autoSpaceDE w:val="0"/>
              <w:autoSpaceDN w:val="0"/>
              <w:jc w:val="center"/>
              <w:rPr>
                <w:rFonts w:ascii="Arial" w:hAnsi="Arial" w:cs="Arial"/>
                <w:color w:val="000000"/>
              </w:rPr>
            </w:pPr>
          </w:p>
        </w:tc>
        <w:tc>
          <w:tcPr>
            <w:tcW w:w="548" w:type="pct"/>
            <w:tcMar>
              <w:top w:w="0" w:type="dxa"/>
              <w:left w:w="108" w:type="dxa"/>
              <w:bottom w:w="0" w:type="dxa"/>
              <w:right w:w="108" w:type="dxa"/>
            </w:tcMar>
            <w:vAlign w:val="center"/>
          </w:tcPr>
          <w:p w:rsidR="00062578" w:rsidRPr="00B17838" w14:paraId="3E97D348" w14:textId="72902112">
            <w:pPr>
              <w:autoSpaceDE w:val="0"/>
              <w:autoSpaceDN w:val="0"/>
              <w:jc w:val="center"/>
              <w:rPr>
                <w:rFonts w:ascii="Arial" w:hAnsi="Arial" w:cs="Arial"/>
                <w:color w:val="000000"/>
              </w:rPr>
            </w:pPr>
            <w:r>
              <w:rPr>
                <w:rFonts w:ascii="Arial" w:hAnsi="Arial" w:cs="Arial"/>
                <w:color w:val="000000"/>
              </w:rPr>
              <w:t>1,947</w:t>
            </w:r>
          </w:p>
        </w:tc>
        <w:tc>
          <w:tcPr>
            <w:tcW w:w="548" w:type="pct"/>
            <w:tcMar>
              <w:top w:w="0" w:type="dxa"/>
              <w:left w:w="108" w:type="dxa"/>
              <w:bottom w:w="0" w:type="dxa"/>
              <w:right w:w="108" w:type="dxa"/>
            </w:tcMar>
            <w:vAlign w:val="center"/>
          </w:tcPr>
          <w:p w:rsidR="00062578" w:rsidRPr="00B17838" w14:paraId="619142FA" w14:textId="77777777">
            <w:pPr>
              <w:autoSpaceDE w:val="0"/>
              <w:autoSpaceDN w:val="0"/>
              <w:jc w:val="center"/>
              <w:rPr>
                <w:rFonts w:ascii="Arial" w:hAnsi="Arial" w:cs="Arial"/>
              </w:rPr>
            </w:pPr>
          </w:p>
        </w:tc>
        <w:tc>
          <w:tcPr>
            <w:tcW w:w="679" w:type="pct"/>
            <w:tcMar>
              <w:top w:w="0" w:type="dxa"/>
              <w:left w:w="108" w:type="dxa"/>
              <w:bottom w:w="0" w:type="dxa"/>
              <w:right w:w="108" w:type="dxa"/>
            </w:tcMar>
            <w:vAlign w:val="center"/>
            <w:hideMark/>
          </w:tcPr>
          <w:p w:rsidR="00062578" w:rsidRPr="00B17838" w14:paraId="1CC35826" w14:textId="22310FFA">
            <w:pPr>
              <w:autoSpaceDE w:val="0"/>
              <w:autoSpaceDN w:val="0"/>
              <w:jc w:val="center"/>
              <w:rPr>
                <w:rFonts w:ascii="Arial" w:hAnsi="Arial" w:cs="Arial"/>
              </w:rPr>
            </w:pPr>
            <w:r w:rsidRPr="00B17838">
              <w:rPr>
                <w:rFonts w:ascii="Arial" w:hAnsi="Arial" w:cs="Arial"/>
              </w:rPr>
              <w:t>$85,998.99</w:t>
            </w:r>
          </w:p>
        </w:tc>
        <w:tc>
          <w:tcPr>
            <w:tcW w:w="642" w:type="pct"/>
            <w:tcMar>
              <w:top w:w="0" w:type="dxa"/>
              <w:left w:w="108" w:type="dxa"/>
              <w:bottom w:w="0" w:type="dxa"/>
              <w:right w:w="108" w:type="dxa"/>
            </w:tcMar>
            <w:vAlign w:val="center"/>
            <w:hideMark/>
          </w:tcPr>
          <w:p w:rsidR="00062578" w:rsidRPr="00B17838" w14:paraId="0D196FCB" w14:textId="77777777">
            <w:pPr>
              <w:autoSpaceDE w:val="0"/>
              <w:autoSpaceDN w:val="0"/>
              <w:jc w:val="center"/>
              <w:rPr>
                <w:rFonts w:ascii="Arial" w:hAnsi="Arial" w:cs="Arial"/>
              </w:rPr>
            </w:pPr>
            <w:r w:rsidRPr="00B17838">
              <w:rPr>
                <w:rFonts w:ascii="Arial" w:hAnsi="Arial" w:cs="Arial"/>
              </w:rPr>
              <w:t>x 2</w:t>
            </w:r>
          </w:p>
        </w:tc>
        <w:tc>
          <w:tcPr>
            <w:tcW w:w="741" w:type="pct"/>
            <w:tcMar>
              <w:top w:w="0" w:type="dxa"/>
              <w:left w:w="108" w:type="dxa"/>
              <w:bottom w:w="0" w:type="dxa"/>
              <w:right w:w="108" w:type="dxa"/>
            </w:tcMar>
            <w:vAlign w:val="center"/>
            <w:hideMark/>
          </w:tcPr>
          <w:p w:rsidR="00062578" w:rsidRPr="00B17838" w14:paraId="23E264E3" w14:textId="699DF575">
            <w:pPr>
              <w:autoSpaceDE w:val="0"/>
              <w:autoSpaceDN w:val="0"/>
              <w:jc w:val="center"/>
              <w:rPr>
                <w:rFonts w:ascii="Arial" w:hAnsi="Arial" w:cs="Arial"/>
              </w:rPr>
            </w:pPr>
            <w:r w:rsidRPr="00B17838">
              <w:rPr>
                <w:rFonts w:ascii="Arial" w:hAnsi="Arial" w:cs="Arial"/>
              </w:rPr>
              <w:t>$171,997.98</w:t>
            </w:r>
          </w:p>
        </w:tc>
      </w:tr>
    </w:tbl>
    <w:p w:rsidR="00ED48B8" w:rsidP="00A600EE" w14:paraId="4F85024F" w14:textId="77777777">
      <w:pPr>
        <w:rPr>
          <w:rFonts w:ascii="Arial" w:hAnsi="Arial"/>
          <w:b/>
        </w:rPr>
      </w:pPr>
    </w:p>
    <w:p w:rsidR="00A600EE" w:rsidRPr="00752FA9" w:rsidP="00A600EE" w14:paraId="477F58BF" w14:textId="169AE662">
      <w:pPr>
        <w:rPr>
          <w:rFonts w:ascii="Arial" w:hAnsi="Arial"/>
        </w:rPr>
      </w:pPr>
      <w:r w:rsidRPr="00752FA9">
        <w:rPr>
          <w:rFonts w:ascii="Arial" w:hAnsi="Arial"/>
          <w:b/>
        </w:rPr>
        <w:t>TOTAL BURDEN HOURS FOR THIS GENIC:</w:t>
      </w:r>
      <w:r w:rsidRPr="00752FA9">
        <w:rPr>
          <w:rFonts w:ascii="Arial" w:hAnsi="Arial"/>
        </w:rPr>
        <w:t xml:space="preserve"> </w:t>
      </w:r>
    </w:p>
    <w:p w:rsidR="00A600EE" w:rsidRPr="00752FA9" w:rsidP="00A600EE" w14:paraId="7B7C6C5A" w14:textId="77777777">
      <w:pPr>
        <w:rPr>
          <w:rFonts w:ascii="Arial" w:hAnsi="Arial"/>
          <w:i/>
        </w:rPr>
      </w:pPr>
      <w:r w:rsidRPr="00752FA9">
        <w:rPr>
          <w:rFonts w:ascii="Arial" w:hAnsi="Arial"/>
        </w:rPr>
        <w:t>This table specifies the calendar years in which information will be collected and calculates the total burden hours requested over the approved timeframe of the generic.</w:t>
      </w:r>
    </w:p>
    <w:tbl>
      <w:tblPr>
        <w:tblStyle w:val="TableGrid"/>
        <w:tblW w:w="9805" w:type="dxa"/>
        <w:tblLook w:val="04A0"/>
      </w:tblPr>
      <w:tblGrid>
        <w:gridCol w:w="4405"/>
        <w:gridCol w:w="1440"/>
        <w:gridCol w:w="1800"/>
        <w:gridCol w:w="2160"/>
      </w:tblGrid>
      <w:tr w14:paraId="51BF1CE0" w14:textId="77777777" w:rsidTr="00F34598">
        <w:tblPrEx>
          <w:tblW w:w="9805" w:type="dxa"/>
          <w:tblLook w:val="04A0"/>
        </w:tblPrEx>
        <w:tc>
          <w:tcPr>
            <w:tcW w:w="4405" w:type="dxa"/>
            <w:vAlign w:val="center"/>
          </w:tcPr>
          <w:p w:rsidR="00A600EE" w:rsidRPr="00752FA9" w:rsidP="00F34598" w14:paraId="6F55B825" w14:textId="77777777">
            <w:pPr>
              <w:rPr>
                <w:rFonts w:ascii="Arial" w:hAnsi="Arial" w:cs="Arial"/>
                <w:b/>
                <w:bCs/>
                <w:sz w:val="21"/>
                <w:szCs w:val="21"/>
              </w:rPr>
            </w:pPr>
            <w:r w:rsidRPr="00752FA9">
              <w:rPr>
                <w:rFonts w:ascii="Arial" w:hAnsi="Arial" w:cs="Arial"/>
                <w:b/>
                <w:bCs/>
              </w:rPr>
              <w:t xml:space="preserve">Data Collection Timeframe (List </w:t>
            </w:r>
            <w:r w:rsidRPr="00752FA9">
              <w:rPr>
                <w:rFonts w:ascii="Arial" w:hAnsi="Arial" w:cs="Arial"/>
                <w:b/>
                <w:bCs/>
                <w:sz w:val="21"/>
                <w:szCs w:val="21"/>
              </w:rPr>
              <w:t xml:space="preserve">up to 3 </w:t>
            </w:r>
            <w:r w:rsidRPr="00752FA9">
              <w:rPr>
                <w:rFonts w:ascii="Arial" w:hAnsi="Arial" w:cs="Arial"/>
                <w:b/>
                <w:bCs/>
              </w:rPr>
              <w:t>Years)</w:t>
            </w:r>
          </w:p>
        </w:tc>
        <w:tc>
          <w:tcPr>
            <w:tcW w:w="1440" w:type="dxa"/>
            <w:vAlign w:val="center"/>
          </w:tcPr>
          <w:p w:rsidR="00A600EE" w:rsidRPr="00752FA9" w:rsidP="00F34598" w14:paraId="46866298" w14:textId="77777777">
            <w:pPr>
              <w:rPr>
                <w:rFonts w:ascii="Arial" w:hAnsi="Arial" w:cs="Arial"/>
                <w:b/>
                <w:bCs/>
                <w:sz w:val="21"/>
                <w:szCs w:val="21"/>
              </w:rPr>
            </w:pPr>
            <w:r w:rsidRPr="00752FA9">
              <w:rPr>
                <w:rFonts w:ascii="Arial" w:hAnsi="Arial" w:cs="Arial"/>
                <w:b/>
                <w:bCs/>
              </w:rPr>
              <w:t>No. Years Requested</w:t>
            </w:r>
          </w:p>
        </w:tc>
        <w:tc>
          <w:tcPr>
            <w:tcW w:w="1800" w:type="dxa"/>
            <w:vAlign w:val="center"/>
          </w:tcPr>
          <w:p w:rsidR="00A600EE" w:rsidRPr="00752FA9" w:rsidP="00F34598" w14:paraId="2C814480" w14:textId="77777777">
            <w:pPr>
              <w:rPr>
                <w:rFonts w:ascii="Arial" w:hAnsi="Arial" w:cs="Arial"/>
                <w:b/>
                <w:bCs/>
                <w:sz w:val="21"/>
                <w:szCs w:val="21"/>
              </w:rPr>
            </w:pPr>
            <w:r w:rsidRPr="00752FA9">
              <w:rPr>
                <w:rFonts w:ascii="Arial" w:hAnsi="Arial" w:cs="Arial"/>
                <w:b/>
                <w:bCs/>
              </w:rPr>
              <w:t>Annualized Burden Hours</w:t>
            </w:r>
          </w:p>
        </w:tc>
        <w:tc>
          <w:tcPr>
            <w:tcW w:w="2160" w:type="dxa"/>
            <w:vAlign w:val="center"/>
          </w:tcPr>
          <w:p w:rsidR="00A600EE" w:rsidRPr="00752FA9" w:rsidP="00F34598" w14:paraId="762DAFD3" w14:textId="77777777">
            <w:pPr>
              <w:rPr>
                <w:rFonts w:ascii="Arial" w:hAnsi="Arial" w:cs="Arial"/>
                <w:b/>
                <w:bCs/>
                <w:sz w:val="21"/>
                <w:szCs w:val="21"/>
              </w:rPr>
            </w:pPr>
            <w:r w:rsidRPr="00752FA9">
              <w:rPr>
                <w:rFonts w:ascii="Arial" w:hAnsi="Arial" w:cs="Arial"/>
                <w:b/>
                <w:bCs/>
              </w:rPr>
              <w:t xml:space="preserve">Total Burden Hours </w:t>
            </w:r>
            <w:r w:rsidRPr="00752FA9">
              <w:rPr>
                <w:rFonts w:ascii="Arial" w:hAnsi="Arial" w:cs="Arial"/>
                <w:b/>
                <w:bCs/>
                <w:sz w:val="21"/>
                <w:szCs w:val="21"/>
              </w:rPr>
              <w:t>for this GENIC</w:t>
            </w:r>
          </w:p>
        </w:tc>
      </w:tr>
      <w:tr w14:paraId="489B9A51" w14:textId="77777777" w:rsidTr="00F34598">
        <w:tblPrEx>
          <w:tblW w:w="9805" w:type="dxa"/>
          <w:tblLook w:val="04A0"/>
        </w:tblPrEx>
        <w:tc>
          <w:tcPr>
            <w:tcW w:w="4405" w:type="dxa"/>
            <w:vAlign w:val="center"/>
          </w:tcPr>
          <w:p w:rsidR="00A600EE" w:rsidRPr="00752FA9" w:rsidP="00F34598" w14:paraId="2BC39485" w14:textId="6147E9ED">
            <w:pPr>
              <w:rPr>
                <w:rFonts w:ascii="Arial" w:hAnsi="Arial" w:cs="Arial"/>
                <w:sz w:val="21"/>
                <w:szCs w:val="21"/>
              </w:rPr>
            </w:pPr>
            <w:r>
              <w:rPr>
                <w:rFonts w:ascii="Arial" w:hAnsi="Arial" w:cs="Arial"/>
                <w:sz w:val="21"/>
                <w:szCs w:val="21"/>
              </w:rPr>
              <w:t>202</w:t>
            </w:r>
            <w:r w:rsidR="00D717E2">
              <w:rPr>
                <w:rFonts w:ascii="Arial" w:hAnsi="Arial" w:cs="Arial"/>
                <w:sz w:val="21"/>
                <w:szCs w:val="21"/>
              </w:rPr>
              <w:t>6</w:t>
            </w:r>
            <w:r>
              <w:rPr>
                <w:rFonts w:ascii="Arial" w:hAnsi="Arial" w:cs="Arial"/>
                <w:sz w:val="21"/>
                <w:szCs w:val="21"/>
              </w:rPr>
              <w:t>, 202</w:t>
            </w:r>
            <w:r w:rsidR="00D717E2">
              <w:rPr>
                <w:rFonts w:ascii="Arial" w:hAnsi="Arial" w:cs="Arial"/>
                <w:sz w:val="21"/>
                <w:szCs w:val="21"/>
              </w:rPr>
              <w:t>7, 2028</w:t>
            </w:r>
          </w:p>
        </w:tc>
        <w:tc>
          <w:tcPr>
            <w:tcW w:w="1440" w:type="dxa"/>
            <w:vAlign w:val="center"/>
          </w:tcPr>
          <w:p w:rsidR="00A600EE" w:rsidRPr="00752FA9" w:rsidP="00F34598" w14:paraId="09256F50" w14:textId="67879C69">
            <w:pPr>
              <w:jc w:val="center"/>
              <w:rPr>
                <w:rFonts w:ascii="Arial" w:hAnsi="Arial" w:cs="Arial"/>
                <w:sz w:val="21"/>
                <w:szCs w:val="21"/>
              </w:rPr>
            </w:pPr>
            <w:r>
              <w:rPr>
                <w:rFonts w:ascii="Arial" w:hAnsi="Arial" w:cs="Arial"/>
                <w:sz w:val="21"/>
                <w:szCs w:val="21"/>
              </w:rPr>
              <w:t>3</w:t>
            </w:r>
          </w:p>
        </w:tc>
        <w:tc>
          <w:tcPr>
            <w:tcW w:w="1800" w:type="dxa"/>
            <w:vAlign w:val="center"/>
          </w:tcPr>
          <w:p w:rsidR="00A600EE" w:rsidRPr="00752FA9" w:rsidP="00F34598" w14:paraId="7C2BFDFD" w14:textId="0536F217">
            <w:pPr>
              <w:jc w:val="center"/>
              <w:rPr>
                <w:rFonts w:ascii="Arial" w:hAnsi="Arial" w:cs="Arial"/>
                <w:sz w:val="21"/>
                <w:szCs w:val="21"/>
              </w:rPr>
            </w:pPr>
            <w:r>
              <w:rPr>
                <w:rFonts w:ascii="Arial" w:hAnsi="Arial" w:cs="Arial"/>
              </w:rPr>
              <w:t>1,947</w:t>
            </w:r>
          </w:p>
        </w:tc>
        <w:tc>
          <w:tcPr>
            <w:tcW w:w="2160" w:type="dxa"/>
            <w:vAlign w:val="center"/>
          </w:tcPr>
          <w:p w:rsidR="00A600EE" w:rsidRPr="00752FA9" w:rsidP="00F34598" w14:paraId="3EBBE060" w14:textId="27F20D5C">
            <w:pPr>
              <w:jc w:val="center"/>
              <w:rPr>
                <w:rFonts w:ascii="Arial" w:hAnsi="Arial" w:cs="Arial"/>
                <w:sz w:val="21"/>
                <w:szCs w:val="21"/>
              </w:rPr>
            </w:pPr>
            <w:r>
              <w:rPr>
                <w:rFonts w:ascii="Arial" w:hAnsi="Arial" w:cs="Arial"/>
              </w:rPr>
              <w:t>5,841</w:t>
            </w:r>
          </w:p>
        </w:tc>
      </w:tr>
    </w:tbl>
    <w:p w:rsidR="009354C7" w:rsidRPr="00B372FB" w:rsidP="00F3170F" w14:paraId="470F85F4" w14:textId="77777777">
      <w:pPr>
        <w:rPr>
          <w:rFonts w:ascii="Arial" w:hAnsi="Arial"/>
        </w:rPr>
      </w:pPr>
    </w:p>
    <w:p w:rsidR="00B46F2C" w:rsidRPr="00B372FB" w14:paraId="4E521E90" w14:textId="0BF75452">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w:t>
      </w:r>
      <w:r w:rsidRPr="006E2E10" w:rsidR="00B536CF">
        <w:rPr>
          <w:rFonts w:ascii="Courier New" w:hAnsi="Courier New" w:cs="Courier New"/>
        </w:rPr>
        <w:t>$</w:t>
      </w:r>
      <w:r w:rsidR="001A45B0">
        <w:rPr>
          <w:rFonts w:ascii="Courier New" w:hAnsi="Courier New" w:cs="Courier New"/>
        </w:rPr>
        <w:t>216,516.56</w:t>
      </w:r>
      <w:r w:rsidRPr="00B372FB">
        <w:rPr>
          <w:rFonts w:ascii="Arial" w:hAnsi="Arial"/>
        </w:rPr>
        <w:t>__</w:t>
      </w:r>
    </w:p>
    <w:p w:rsidR="00E97DEB" w:rsidRPr="00E97DEB" w:rsidP="00E97DEB" w14:paraId="2485EA16" w14:textId="77777777">
      <w:pPr>
        <w:rPr>
          <w:rFonts w:ascii="Arial" w:eastAsia="Calibri" w:hAnsi="Arial" w:cs="Arial"/>
          <w:sz w:val="22"/>
          <w:szCs w:val="22"/>
        </w:rPr>
      </w:pPr>
      <w:r w:rsidRPr="00752FA9">
        <w:rPr>
          <w:rFonts w:ascii="Arial" w:hAnsi="Arial"/>
          <w:bCs/>
        </w:rPr>
        <w:t>The cost is based on providing technical assistance to jurisdictions on the Data Collection Tools and review, analysis, and reporting of the submitted data by three personnel: one GS-1</w:t>
      </w:r>
      <w:r w:rsidR="00A43888">
        <w:rPr>
          <w:rFonts w:ascii="Arial" w:hAnsi="Arial"/>
          <w:bCs/>
        </w:rPr>
        <w:t>3</w:t>
      </w:r>
      <w:r w:rsidRPr="00752FA9">
        <w:rPr>
          <w:rFonts w:ascii="Arial" w:hAnsi="Arial"/>
          <w:bCs/>
        </w:rPr>
        <w:t xml:space="preserve">, Step </w:t>
      </w:r>
      <w:r w:rsidR="00A43888">
        <w:rPr>
          <w:rFonts w:ascii="Arial" w:hAnsi="Arial"/>
          <w:bCs/>
        </w:rPr>
        <w:t>5</w:t>
      </w:r>
      <w:r w:rsidRPr="00752FA9">
        <w:rPr>
          <w:rFonts w:ascii="Arial" w:hAnsi="Arial"/>
          <w:bCs/>
        </w:rPr>
        <w:t xml:space="preserve"> staff at 37.5% time effort (annual salary: $</w:t>
      </w:r>
      <w:r w:rsidR="00BF3F72">
        <w:rPr>
          <w:rFonts w:ascii="Arial" w:hAnsi="Arial"/>
          <w:bCs/>
        </w:rPr>
        <w:t>126,302</w:t>
      </w:r>
      <w:r w:rsidRPr="00752FA9">
        <w:rPr>
          <w:rFonts w:ascii="Arial" w:hAnsi="Arial"/>
          <w:bCs/>
        </w:rPr>
        <w:t>); one GS-1</w:t>
      </w:r>
      <w:r w:rsidR="00A43888">
        <w:rPr>
          <w:rFonts w:ascii="Arial" w:hAnsi="Arial"/>
          <w:bCs/>
        </w:rPr>
        <w:t>3</w:t>
      </w:r>
      <w:r w:rsidRPr="00752FA9">
        <w:rPr>
          <w:rFonts w:ascii="Arial" w:hAnsi="Arial"/>
          <w:bCs/>
        </w:rPr>
        <w:t>, Step 4 staff at 37.5% time effort staff (annual salary: $</w:t>
      </w:r>
      <w:r w:rsidR="00BF3F72">
        <w:rPr>
          <w:rFonts w:ascii="Arial" w:hAnsi="Arial"/>
          <w:bCs/>
        </w:rPr>
        <w:t>122,587</w:t>
      </w:r>
      <w:r w:rsidRPr="00752FA9">
        <w:rPr>
          <w:rFonts w:ascii="Arial" w:hAnsi="Arial"/>
          <w:bCs/>
        </w:rPr>
        <w:t>); and one GS-14, Step 5 staff at 10% (annual salary: $14</w:t>
      </w:r>
      <w:r w:rsidR="00302B97">
        <w:rPr>
          <w:rFonts w:ascii="Arial" w:hAnsi="Arial"/>
          <w:bCs/>
        </w:rPr>
        <w:t>9,249</w:t>
      </w:r>
      <w:r w:rsidRPr="00752FA9">
        <w:rPr>
          <w:rFonts w:ascii="Arial" w:hAnsi="Arial"/>
          <w:bCs/>
        </w:rPr>
        <w:t>)</w:t>
      </w:r>
      <w:r w:rsidR="007E6412">
        <w:rPr>
          <w:rFonts w:ascii="Arial" w:hAnsi="Arial"/>
          <w:bCs/>
        </w:rPr>
        <w:t xml:space="preserve"> </w:t>
      </w:r>
      <w:hyperlink r:id="rId7" w:history="1">
        <w:r w:rsidRPr="007E6412" w:rsidR="007E6412">
          <w:rPr>
            <w:rStyle w:val="Hyperlink"/>
            <w:rFonts w:ascii="Arial" w:hAnsi="Arial"/>
            <w:bCs/>
          </w:rPr>
          <w:t>Pay &amp; Leave : Salaries &amp; Wages - OPM.gov</w:t>
        </w:r>
      </w:hyperlink>
      <w:r w:rsidRPr="00752FA9">
        <w:rPr>
          <w:rFonts w:ascii="Arial" w:hAnsi="Arial" w:cs="Arial"/>
          <w:sz w:val="20"/>
          <w:szCs w:val="20"/>
        </w:rPr>
        <w:t>.</w:t>
      </w:r>
      <w:r w:rsidRPr="00B17838">
        <w:rPr>
          <w:rFonts w:ascii="Arial" w:hAnsi="Arial" w:cs="Arial"/>
        </w:rPr>
        <w:t xml:space="preserve"> </w:t>
      </w:r>
      <w:r w:rsidRPr="00B17838">
        <w:rPr>
          <w:rFonts w:ascii="Arial" w:eastAsia="Calibri" w:hAnsi="Arial" w:cs="Arial"/>
        </w:rPr>
        <w:t xml:space="preserve">A wage rate multiplier has been applied to ensure the value </w:t>
      </w:r>
      <w:r w:rsidRPr="00B17838">
        <w:rPr>
          <w:rFonts w:ascii="Arial" w:eastAsia="Calibri" w:hAnsi="Arial" w:cs="Arial"/>
        </w:rPr>
        <w:t>represents a fully loaded federal cost that accounts for all applicable costs, such as benefits, overheads, and fringes.</w:t>
      </w:r>
      <w:r w:rsidRPr="00E97DEB">
        <w:rPr>
          <w:rFonts w:ascii="Arial" w:eastAsia="Calibri" w:hAnsi="Arial" w:cs="Arial"/>
          <w:sz w:val="22"/>
          <w:szCs w:val="22"/>
        </w:rPr>
        <w:t xml:space="preserve"> </w:t>
      </w:r>
    </w:p>
    <w:p w:rsidR="00986A70" w:rsidRPr="00752FA9" w:rsidP="00986A70" w14:paraId="4E07027D" w14:textId="55FE9C11">
      <w:pPr>
        <w:rPr>
          <w:rFonts w:ascii="Arial" w:hAnsi="Arial"/>
          <w:bCs/>
        </w:rPr>
      </w:pPr>
      <w:r w:rsidRPr="00752FA9">
        <w:rPr>
          <w:rFonts w:ascii="Arial" w:hAnsi="Arial" w:cs="Arial"/>
          <w:sz w:val="20"/>
          <w:szCs w:val="20"/>
        </w:rPr>
        <w:t xml:space="preserve">Total: </w:t>
      </w:r>
      <w:r w:rsidR="00E97DEB">
        <w:rPr>
          <w:rFonts w:ascii="Arial" w:hAnsi="Arial" w:cs="Arial"/>
          <w:sz w:val="20"/>
          <w:szCs w:val="20"/>
        </w:rPr>
        <w:t>[</w:t>
      </w:r>
      <w:r w:rsidRPr="00752FA9">
        <w:rPr>
          <w:rFonts w:ascii="Arial" w:hAnsi="Arial"/>
          <w:bCs/>
        </w:rPr>
        <w:t>$</w:t>
      </w:r>
      <w:r w:rsidR="002E0C35">
        <w:rPr>
          <w:rFonts w:ascii="Arial" w:hAnsi="Arial"/>
          <w:bCs/>
        </w:rPr>
        <w:t>47,363.25</w:t>
      </w:r>
      <w:r w:rsidR="00E97DEB">
        <w:rPr>
          <w:rFonts w:ascii="Arial" w:hAnsi="Arial"/>
          <w:bCs/>
        </w:rPr>
        <w:t xml:space="preserve"> </w:t>
      </w:r>
      <w:r w:rsidR="00E97DEB">
        <w:rPr>
          <w:rFonts w:ascii="Symbol" w:hAnsi="Symbol"/>
          <w:bCs/>
        </w:rPr>
        <w:sym w:font="Symbol" w:char="F02A"/>
      </w:r>
      <w:r w:rsidR="00E97DEB">
        <w:rPr>
          <w:rFonts w:ascii="Arial" w:hAnsi="Arial"/>
          <w:bCs/>
        </w:rPr>
        <w:t xml:space="preserve"> 2]</w:t>
      </w:r>
      <w:r w:rsidRPr="00752FA9">
        <w:rPr>
          <w:rFonts w:ascii="Arial" w:hAnsi="Arial"/>
          <w:bCs/>
        </w:rPr>
        <w:t xml:space="preserve"> + </w:t>
      </w:r>
      <w:r w:rsidR="00E97DEB">
        <w:rPr>
          <w:rFonts w:ascii="Arial" w:hAnsi="Arial"/>
          <w:bCs/>
        </w:rPr>
        <w:t>[</w:t>
      </w:r>
      <w:r w:rsidRPr="00752FA9">
        <w:rPr>
          <w:rFonts w:ascii="Arial" w:hAnsi="Arial"/>
          <w:bCs/>
        </w:rPr>
        <w:t>$</w:t>
      </w:r>
      <w:r w:rsidR="002E0C35">
        <w:rPr>
          <w:rFonts w:ascii="Arial" w:hAnsi="Arial"/>
          <w:bCs/>
        </w:rPr>
        <w:t>45,970.13</w:t>
      </w:r>
      <w:r w:rsidR="00E97DEB">
        <w:rPr>
          <w:rFonts w:ascii="Arial" w:hAnsi="Arial"/>
          <w:bCs/>
        </w:rPr>
        <w:t xml:space="preserve"> </w:t>
      </w:r>
      <w:r w:rsidRPr="00E97DEB" w:rsidR="00E97DEB">
        <w:rPr>
          <w:rFonts w:ascii="Symbol" w:hAnsi="Symbol"/>
          <w:bCs/>
        </w:rPr>
        <w:sym w:font="Symbol" w:char="F02A"/>
      </w:r>
      <w:r w:rsidR="00E97DEB">
        <w:rPr>
          <w:rFonts w:ascii="Arial" w:hAnsi="Arial"/>
          <w:bCs/>
        </w:rPr>
        <w:t xml:space="preserve"> 2]</w:t>
      </w:r>
      <w:r w:rsidRPr="00752FA9">
        <w:rPr>
          <w:rFonts w:ascii="Arial" w:hAnsi="Arial"/>
          <w:bCs/>
        </w:rPr>
        <w:t xml:space="preserve"> + </w:t>
      </w:r>
      <w:r w:rsidR="00E97DEB">
        <w:rPr>
          <w:rFonts w:ascii="Arial" w:hAnsi="Arial"/>
          <w:bCs/>
        </w:rPr>
        <w:t>[</w:t>
      </w:r>
      <w:r w:rsidRPr="00752FA9">
        <w:rPr>
          <w:rFonts w:ascii="Arial" w:hAnsi="Arial"/>
          <w:bCs/>
        </w:rPr>
        <w:t>$14,</w:t>
      </w:r>
      <w:r w:rsidR="00A43888">
        <w:rPr>
          <w:rFonts w:ascii="Arial" w:hAnsi="Arial"/>
          <w:bCs/>
        </w:rPr>
        <w:t>924</w:t>
      </w:r>
      <w:r w:rsidRPr="00752FA9">
        <w:rPr>
          <w:rFonts w:ascii="Arial" w:hAnsi="Arial"/>
          <w:bCs/>
        </w:rPr>
        <w:t>.</w:t>
      </w:r>
      <w:r w:rsidR="00A43888">
        <w:rPr>
          <w:rFonts w:ascii="Arial" w:hAnsi="Arial"/>
          <w:bCs/>
        </w:rPr>
        <w:t>9</w:t>
      </w:r>
      <w:r w:rsidRPr="00752FA9">
        <w:rPr>
          <w:rFonts w:ascii="Arial" w:hAnsi="Arial"/>
          <w:bCs/>
        </w:rPr>
        <w:t>0</w:t>
      </w:r>
      <w:r w:rsidR="00E97DEB">
        <w:rPr>
          <w:rFonts w:ascii="Arial" w:hAnsi="Arial"/>
          <w:bCs/>
        </w:rPr>
        <w:t xml:space="preserve"> </w:t>
      </w:r>
      <w:r w:rsidRPr="00E97DEB" w:rsidR="00E97DEB">
        <w:rPr>
          <w:rFonts w:ascii="Symbol" w:hAnsi="Symbol"/>
          <w:bCs/>
        </w:rPr>
        <w:sym w:font="Symbol" w:char="F02A"/>
      </w:r>
      <w:r w:rsidR="00E97DEB">
        <w:rPr>
          <w:rFonts w:ascii="Arial" w:hAnsi="Arial"/>
          <w:bCs/>
        </w:rPr>
        <w:t xml:space="preserve"> 2]</w:t>
      </w:r>
      <w:r w:rsidRPr="00752FA9">
        <w:rPr>
          <w:rFonts w:ascii="Arial" w:hAnsi="Arial"/>
          <w:bCs/>
        </w:rPr>
        <w:t xml:space="preserve"> = $</w:t>
      </w:r>
      <w:r w:rsidR="00E97DEB">
        <w:rPr>
          <w:rFonts w:ascii="Arial" w:hAnsi="Arial"/>
          <w:bCs/>
        </w:rPr>
        <w:t>216,516.56</w:t>
      </w:r>
    </w:p>
    <w:p w:rsidR="00B46F2C" w:rsidRPr="00B372FB" w:rsidP="00A403BB" w14:paraId="3F6B65D6" w14:textId="77777777">
      <w:pPr>
        <w:rPr>
          <w:rFonts w:ascii="Arial" w:hAnsi="Arial"/>
          <w:b/>
        </w:rPr>
      </w:pPr>
    </w:p>
    <w:p w:rsidR="00B46F2C" w:rsidRPr="00B372FB" w:rsidP="00A403BB" w14:paraId="162E8F52" w14:textId="77777777">
      <w:pPr>
        <w:rPr>
          <w:rFonts w:ascii="Arial" w:hAnsi="Arial"/>
          <w:b/>
        </w:rPr>
      </w:pPr>
      <w:r w:rsidRPr="00B372FB">
        <w:rPr>
          <w:rFonts w:ascii="Arial" w:hAnsi="Arial"/>
          <w:b/>
        </w:rPr>
        <w:t>Administration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048545EE">
      <w:pPr>
        <w:ind w:left="720"/>
        <w:rPr>
          <w:rFonts w:ascii="Arial" w:hAnsi="Arial"/>
        </w:rPr>
      </w:pPr>
      <w:r w:rsidRPr="00B372FB">
        <w:rPr>
          <w:rFonts w:ascii="Arial" w:hAnsi="Arial"/>
        </w:rPr>
        <w:t>[</w:t>
      </w:r>
      <w:r w:rsidR="00445814">
        <w:rPr>
          <w:rFonts w:ascii="Arial" w:hAnsi="Arial"/>
        </w:rPr>
        <w:t>X</w:t>
      </w:r>
      <w:r w:rsidRPr="00B372FB">
        <w:rPr>
          <w:rFonts w:ascii="Arial" w:hAnsi="Arial"/>
        </w:rPr>
        <w:t xml:space="preserve">] Web-based </w:t>
      </w:r>
    </w:p>
    <w:p w:rsidR="00B46F2C" w:rsidRPr="00B372FB" w:rsidP="001B0AAA" w14:paraId="72763E9E" w14:textId="38030271">
      <w:pPr>
        <w:ind w:left="720"/>
        <w:rPr>
          <w:rFonts w:ascii="Arial" w:hAnsi="Arial"/>
        </w:rPr>
      </w:pPr>
      <w:r w:rsidRPr="00B372FB">
        <w:rPr>
          <w:rFonts w:ascii="Arial" w:hAnsi="Arial"/>
        </w:rPr>
        <w:t>[</w:t>
      </w:r>
      <w:r w:rsidR="00B536CF">
        <w:rPr>
          <w:rFonts w:ascii="Arial" w:hAnsi="Arial"/>
        </w:rPr>
        <w:t>X</w:t>
      </w:r>
      <w:r w:rsidRPr="00B372FB">
        <w:rPr>
          <w:rFonts w:ascii="Arial" w:hAnsi="Arial"/>
        </w:rPr>
        <w:t xml:space="preserve">]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B95F5A" w:rsidRPr="00B536CF" w:rsidP="00B95F5A" w14:paraId="1428F353" w14:textId="132BF99D">
      <w:pPr>
        <w:rPr>
          <w:rFonts w:ascii="Arial" w:hAnsi="Arial" w:eastAsiaTheme="majorEastAsia" w:cstheme="majorBidi"/>
          <w:sz w:val="28"/>
          <w:szCs w:val="32"/>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132793"/>
      <w:docPartObj>
        <w:docPartGallery w:val="Page Numbers (Bottom of Page)"/>
        <w:docPartUnique/>
      </w:docPartObj>
    </w:sdtPr>
    <w:sdtEndPr>
      <w:rPr>
        <w:noProof/>
      </w:rPr>
    </w:sdtEndPr>
    <w:sdtContent>
      <w:p w:rsidR="00EF25F7" w14:paraId="15DBA091" w14:textId="44843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D000F" w14:paraId="61B3B01A" w14:textId="5F4C86C8">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05CD9"/>
    <w:multiLevelType w:val="hybridMultilevel"/>
    <w:tmpl w:val="6C6E3714"/>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65DFA"/>
    <w:multiLevelType w:val="hybridMultilevel"/>
    <w:tmpl w:val="EE3E4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67709"/>
    <w:multiLevelType w:val="hybridMultilevel"/>
    <w:tmpl w:val="B1B889C2"/>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BC1713C"/>
    <w:multiLevelType w:val="hybridMultilevel"/>
    <w:tmpl w:val="318C158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92E1523"/>
    <w:multiLevelType w:val="hybridMultilevel"/>
    <w:tmpl w:val="215C4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510FA2"/>
    <w:multiLevelType w:val="multilevel"/>
    <w:tmpl w:val="C4FC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8712A2"/>
    <w:multiLevelType w:val="hybridMultilevel"/>
    <w:tmpl w:val="51A4559E"/>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52F53970"/>
    <w:multiLevelType w:val="hybridMultilevel"/>
    <w:tmpl w:val="6F22E7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A14C02"/>
    <w:multiLevelType w:val="hybridMultilevel"/>
    <w:tmpl w:val="3AEA8B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6">
    <w:nsid w:val="7B165395"/>
    <w:multiLevelType w:val="hybridMultilevel"/>
    <w:tmpl w:val="A60A6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E793043"/>
    <w:multiLevelType w:val="hybridMultilevel"/>
    <w:tmpl w:val="69EE4EA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59151">
    <w:abstractNumId w:val="16"/>
  </w:num>
  <w:num w:numId="2" w16cid:durableId="1723095422">
    <w:abstractNumId w:val="27"/>
  </w:num>
  <w:num w:numId="3" w16cid:durableId="529341960">
    <w:abstractNumId w:val="25"/>
  </w:num>
  <w:num w:numId="4" w16cid:durableId="1874809892">
    <w:abstractNumId w:val="28"/>
  </w:num>
  <w:num w:numId="5" w16cid:durableId="760835578">
    <w:abstractNumId w:val="6"/>
  </w:num>
  <w:num w:numId="6" w16cid:durableId="1117093842">
    <w:abstractNumId w:val="1"/>
  </w:num>
  <w:num w:numId="7" w16cid:durableId="1169176218">
    <w:abstractNumId w:val="14"/>
  </w:num>
  <w:num w:numId="8" w16cid:durableId="1891840480">
    <w:abstractNumId w:val="23"/>
  </w:num>
  <w:num w:numId="9" w16cid:durableId="1442919007">
    <w:abstractNumId w:val="15"/>
  </w:num>
  <w:num w:numId="10" w16cid:durableId="1003774606">
    <w:abstractNumId w:val="2"/>
  </w:num>
  <w:num w:numId="11" w16cid:durableId="838927914">
    <w:abstractNumId w:val="10"/>
  </w:num>
  <w:num w:numId="12" w16cid:durableId="386489707">
    <w:abstractNumId w:val="11"/>
  </w:num>
  <w:num w:numId="13" w16cid:durableId="1053772138">
    <w:abstractNumId w:val="0"/>
  </w:num>
  <w:num w:numId="14" w16cid:durableId="604390290">
    <w:abstractNumId w:val="24"/>
  </w:num>
  <w:num w:numId="15" w16cid:durableId="291058530">
    <w:abstractNumId w:val="22"/>
  </w:num>
  <w:num w:numId="16" w16cid:durableId="600526335">
    <w:abstractNumId w:val="19"/>
  </w:num>
  <w:num w:numId="17" w16cid:durableId="125512765">
    <w:abstractNumId w:val="7"/>
  </w:num>
  <w:num w:numId="18" w16cid:durableId="702052920">
    <w:abstractNumId w:val="8"/>
  </w:num>
  <w:num w:numId="19" w16cid:durableId="677541522">
    <w:abstractNumId w:val="13"/>
  </w:num>
  <w:num w:numId="20" w16cid:durableId="1611890025">
    <w:abstractNumId w:val="9"/>
  </w:num>
  <w:num w:numId="21" w16cid:durableId="1261833047">
    <w:abstractNumId w:val="18"/>
  </w:num>
  <w:num w:numId="22" w16cid:durableId="1535842928">
    <w:abstractNumId w:val="26"/>
  </w:num>
  <w:num w:numId="23" w16cid:durableId="2045401533">
    <w:abstractNumId w:val="3"/>
  </w:num>
  <w:num w:numId="24" w16cid:durableId="41102736">
    <w:abstractNumId w:val="5"/>
  </w:num>
  <w:num w:numId="25" w16cid:durableId="448663693">
    <w:abstractNumId w:val="12"/>
  </w:num>
  <w:num w:numId="26" w16cid:durableId="1851947944">
    <w:abstractNumId w:val="29"/>
  </w:num>
  <w:num w:numId="27" w16cid:durableId="695619786">
    <w:abstractNumId w:val="4"/>
  </w:num>
  <w:num w:numId="28" w16cid:durableId="1462263982">
    <w:abstractNumId w:val="21"/>
  </w:num>
  <w:num w:numId="29" w16cid:durableId="1403679991">
    <w:abstractNumId w:val="20"/>
  </w:num>
  <w:num w:numId="30" w16cid:durableId="522670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ABB"/>
    <w:rsid w:val="00006A6E"/>
    <w:rsid w:val="00015606"/>
    <w:rsid w:val="00023A57"/>
    <w:rsid w:val="00031536"/>
    <w:rsid w:val="000375DB"/>
    <w:rsid w:val="000477DF"/>
    <w:rsid w:val="00047A64"/>
    <w:rsid w:val="00056EEF"/>
    <w:rsid w:val="00062578"/>
    <w:rsid w:val="00062F3A"/>
    <w:rsid w:val="00067329"/>
    <w:rsid w:val="000A632E"/>
    <w:rsid w:val="000B2838"/>
    <w:rsid w:val="000C1F80"/>
    <w:rsid w:val="000C5B6B"/>
    <w:rsid w:val="000D44CA"/>
    <w:rsid w:val="000D56E4"/>
    <w:rsid w:val="000E200B"/>
    <w:rsid w:val="000E42D5"/>
    <w:rsid w:val="000E6A31"/>
    <w:rsid w:val="000E70F2"/>
    <w:rsid w:val="000F30EE"/>
    <w:rsid w:val="000F68BE"/>
    <w:rsid w:val="00113944"/>
    <w:rsid w:val="00117A69"/>
    <w:rsid w:val="0013066E"/>
    <w:rsid w:val="00132FDB"/>
    <w:rsid w:val="001527D6"/>
    <w:rsid w:val="00157609"/>
    <w:rsid w:val="001600C9"/>
    <w:rsid w:val="00162F5D"/>
    <w:rsid w:val="0018337F"/>
    <w:rsid w:val="001840EE"/>
    <w:rsid w:val="0018707B"/>
    <w:rsid w:val="001903C5"/>
    <w:rsid w:val="001927A4"/>
    <w:rsid w:val="00194AC6"/>
    <w:rsid w:val="001A23B0"/>
    <w:rsid w:val="001A25CC"/>
    <w:rsid w:val="001A45B0"/>
    <w:rsid w:val="001B0AAA"/>
    <w:rsid w:val="001B4F23"/>
    <w:rsid w:val="001C39F7"/>
    <w:rsid w:val="001C4E3E"/>
    <w:rsid w:val="001D0776"/>
    <w:rsid w:val="001D613B"/>
    <w:rsid w:val="001E58F5"/>
    <w:rsid w:val="001E5954"/>
    <w:rsid w:val="001E5F40"/>
    <w:rsid w:val="001F135F"/>
    <w:rsid w:val="001F4F00"/>
    <w:rsid w:val="001F73A8"/>
    <w:rsid w:val="00205520"/>
    <w:rsid w:val="00205530"/>
    <w:rsid w:val="00206776"/>
    <w:rsid w:val="00214E5F"/>
    <w:rsid w:val="00220987"/>
    <w:rsid w:val="0022284E"/>
    <w:rsid w:val="00237B48"/>
    <w:rsid w:val="0024521E"/>
    <w:rsid w:val="00262F7B"/>
    <w:rsid w:val="00263C3D"/>
    <w:rsid w:val="002715CC"/>
    <w:rsid w:val="00274D0B"/>
    <w:rsid w:val="002821FF"/>
    <w:rsid w:val="002861CC"/>
    <w:rsid w:val="002B3C95"/>
    <w:rsid w:val="002B4973"/>
    <w:rsid w:val="002B7289"/>
    <w:rsid w:val="002C1AC7"/>
    <w:rsid w:val="002C5FBF"/>
    <w:rsid w:val="002D0B92"/>
    <w:rsid w:val="002D2BF8"/>
    <w:rsid w:val="002E0C35"/>
    <w:rsid w:val="002F2CDE"/>
    <w:rsid w:val="002F2EF9"/>
    <w:rsid w:val="00301B29"/>
    <w:rsid w:val="00302B97"/>
    <w:rsid w:val="00303F23"/>
    <w:rsid w:val="00304564"/>
    <w:rsid w:val="00304B6B"/>
    <w:rsid w:val="00325CD6"/>
    <w:rsid w:val="00327090"/>
    <w:rsid w:val="0033655B"/>
    <w:rsid w:val="003418A9"/>
    <w:rsid w:val="0034307A"/>
    <w:rsid w:val="00344159"/>
    <w:rsid w:val="00345B01"/>
    <w:rsid w:val="00360207"/>
    <w:rsid w:val="0036025B"/>
    <w:rsid w:val="0036646F"/>
    <w:rsid w:val="003675DB"/>
    <w:rsid w:val="0038065A"/>
    <w:rsid w:val="00381303"/>
    <w:rsid w:val="00381A31"/>
    <w:rsid w:val="003869CC"/>
    <w:rsid w:val="003914EB"/>
    <w:rsid w:val="003964C5"/>
    <w:rsid w:val="003A6612"/>
    <w:rsid w:val="003C0B83"/>
    <w:rsid w:val="003D5BBE"/>
    <w:rsid w:val="003E1C99"/>
    <w:rsid w:val="003E3C61"/>
    <w:rsid w:val="003E4463"/>
    <w:rsid w:val="003E7003"/>
    <w:rsid w:val="003F1C5B"/>
    <w:rsid w:val="003F7A4D"/>
    <w:rsid w:val="00411C20"/>
    <w:rsid w:val="0041337D"/>
    <w:rsid w:val="00413E04"/>
    <w:rsid w:val="004200BD"/>
    <w:rsid w:val="00434E33"/>
    <w:rsid w:val="004404D3"/>
    <w:rsid w:val="00440BD7"/>
    <w:rsid w:val="00441434"/>
    <w:rsid w:val="00444F09"/>
    <w:rsid w:val="00445814"/>
    <w:rsid w:val="00445CD9"/>
    <w:rsid w:val="0045264C"/>
    <w:rsid w:val="004600B0"/>
    <w:rsid w:val="00460349"/>
    <w:rsid w:val="00463CD0"/>
    <w:rsid w:val="00466543"/>
    <w:rsid w:val="00472934"/>
    <w:rsid w:val="00475652"/>
    <w:rsid w:val="00475753"/>
    <w:rsid w:val="0048127F"/>
    <w:rsid w:val="00484D6E"/>
    <w:rsid w:val="004876EC"/>
    <w:rsid w:val="00487B0F"/>
    <w:rsid w:val="00487BA8"/>
    <w:rsid w:val="00491065"/>
    <w:rsid w:val="004A3BE8"/>
    <w:rsid w:val="004C0C3C"/>
    <w:rsid w:val="004C4EAA"/>
    <w:rsid w:val="004C5D93"/>
    <w:rsid w:val="004D19D1"/>
    <w:rsid w:val="004D4147"/>
    <w:rsid w:val="004D414F"/>
    <w:rsid w:val="004D6E14"/>
    <w:rsid w:val="004E47D7"/>
    <w:rsid w:val="004E50F3"/>
    <w:rsid w:val="004E51EC"/>
    <w:rsid w:val="004E559E"/>
    <w:rsid w:val="005009B0"/>
    <w:rsid w:val="00512CA7"/>
    <w:rsid w:val="00512DE5"/>
    <w:rsid w:val="005145F1"/>
    <w:rsid w:val="00522726"/>
    <w:rsid w:val="00524413"/>
    <w:rsid w:val="00530309"/>
    <w:rsid w:val="00534D40"/>
    <w:rsid w:val="00550598"/>
    <w:rsid w:val="00552C0A"/>
    <w:rsid w:val="0055650D"/>
    <w:rsid w:val="00557503"/>
    <w:rsid w:val="00560C0F"/>
    <w:rsid w:val="005619DB"/>
    <w:rsid w:val="00566981"/>
    <w:rsid w:val="005972BC"/>
    <w:rsid w:val="005A1006"/>
    <w:rsid w:val="005B0884"/>
    <w:rsid w:val="005B4451"/>
    <w:rsid w:val="005B7837"/>
    <w:rsid w:val="005D46C6"/>
    <w:rsid w:val="005E714A"/>
    <w:rsid w:val="006140A0"/>
    <w:rsid w:val="0062780C"/>
    <w:rsid w:val="00630C17"/>
    <w:rsid w:val="00634515"/>
    <w:rsid w:val="00636621"/>
    <w:rsid w:val="00637414"/>
    <w:rsid w:val="00642B49"/>
    <w:rsid w:val="00674090"/>
    <w:rsid w:val="006754D7"/>
    <w:rsid w:val="0067687C"/>
    <w:rsid w:val="006826B6"/>
    <w:rsid w:val="006832D9"/>
    <w:rsid w:val="0069403B"/>
    <w:rsid w:val="006A466B"/>
    <w:rsid w:val="006A7877"/>
    <w:rsid w:val="006C79BB"/>
    <w:rsid w:val="006C7EB1"/>
    <w:rsid w:val="006D05E9"/>
    <w:rsid w:val="006D72BB"/>
    <w:rsid w:val="006E12B5"/>
    <w:rsid w:val="006E2E10"/>
    <w:rsid w:val="006F3DDE"/>
    <w:rsid w:val="00704678"/>
    <w:rsid w:val="00713B2E"/>
    <w:rsid w:val="00723437"/>
    <w:rsid w:val="00733C56"/>
    <w:rsid w:val="00737033"/>
    <w:rsid w:val="00737CAD"/>
    <w:rsid w:val="007425E7"/>
    <w:rsid w:val="0074490F"/>
    <w:rsid w:val="00750082"/>
    <w:rsid w:val="00750693"/>
    <w:rsid w:val="00752FA9"/>
    <w:rsid w:val="00756099"/>
    <w:rsid w:val="00757C59"/>
    <w:rsid w:val="007809C0"/>
    <w:rsid w:val="00784784"/>
    <w:rsid w:val="00786963"/>
    <w:rsid w:val="00793387"/>
    <w:rsid w:val="007A3232"/>
    <w:rsid w:val="007A57A8"/>
    <w:rsid w:val="007A7075"/>
    <w:rsid w:val="007B55DE"/>
    <w:rsid w:val="007C3742"/>
    <w:rsid w:val="007C43EA"/>
    <w:rsid w:val="007C6002"/>
    <w:rsid w:val="007C6A83"/>
    <w:rsid w:val="007C7F87"/>
    <w:rsid w:val="007D4A19"/>
    <w:rsid w:val="007D5D6B"/>
    <w:rsid w:val="007D694E"/>
    <w:rsid w:val="007E2AC1"/>
    <w:rsid w:val="007E6412"/>
    <w:rsid w:val="007F2205"/>
    <w:rsid w:val="007F44B7"/>
    <w:rsid w:val="00802607"/>
    <w:rsid w:val="00803979"/>
    <w:rsid w:val="0080507B"/>
    <w:rsid w:val="008101A5"/>
    <w:rsid w:val="00816104"/>
    <w:rsid w:val="00821A5D"/>
    <w:rsid w:val="00822664"/>
    <w:rsid w:val="00840FCA"/>
    <w:rsid w:val="00843796"/>
    <w:rsid w:val="00846B36"/>
    <w:rsid w:val="00853A99"/>
    <w:rsid w:val="00853CD4"/>
    <w:rsid w:val="00870E47"/>
    <w:rsid w:val="00873326"/>
    <w:rsid w:val="00874AE6"/>
    <w:rsid w:val="00874BFC"/>
    <w:rsid w:val="00882422"/>
    <w:rsid w:val="00885B37"/>
    <w:rsid w:val="00890179"/>
    <w:rsid w:val="00891BFA"/>
    <w:rsid w:val="00893A47"/>
    <w:rsid w:val="00895229"/>
    <w:rsid w:val="008B17DC"/>
    <w:rsid w:val="008B214B"/>
    <w:rsid w:val="008D694F"/>
    <w:rsid w:val="008E4782"/>
    <w:rsid w:val="008F0203"/>
    <w:rsid w:val="008F50D4"/>
    <w:rsid w:val="00903C29"/>
    <w:rsid w:val="009239AA"/>
    <w:rsid w:val="00930879"/>
    <w:rsid w:val="009340B1"/>
    <w:rsid w:val="009354C7"/>
    <w:rsid w:val="00935ADA"/>
    <w:rsid w:val="00946B6C"/>
    <w:rsid w:val="009471E4"/>
    <w:rsid w:val="00952706"/>
    <w:rsid w:val="009538AA"/>
    <w:rsid w:val="00955220"/>
    <w:rsid w:val="00955A71"/>
    <w:rsid w:val="00956E55"/>
    <w:rsid w:val="0096108F"/>
    <w:rsid w:val="009725B5"/>
    <w:rsid w:val="00977616"/>
    <w:rsid w:val="00983A1B"/>
    <w:rsid w:val="00986A70"/>
    <w:rsid w:val="00991F8D"/>
    <w:rsid w:val="009931E9"/>
    <w:rsid w:val="009B3AAA"/>
    <w:rsid w:val="009C13B9"/>
    <w:rsid w:val="009C44D6"/>
    <w:rsid w:val="009D01A2"/>
    <w:rsid w:val="009D2D26"/>
    <w:rsid w:val="009D48CE"/>
    <w:rsid w:val="009D4B6F"/>
    <w:rsid w:val="009E1903"/>
    <w:rsid w:val="009E6C02"/>
    <w:rsid w:val="009F415E"/>
    <w:rsid w:val="009F5923"/>
    <w:rsid w:val="009F7482"/>
    <w:rsid w:val="00A0326A"/>
    <w:rsid w:val="00A04D20"/>
    <w:rsid w:val="00A13253"/>
    <w:rsid w:val="00A13E0A"/>
    <w:rsid w:val="00A22F9C"/>
    <w:rsid w:val="00A313C6"/>
    <w:rsid w:val="00A348B3"/>
    <w:rsid w:val="00A403BB"/>
    <w:rsid w:val="00A43888"/>
    <w:rsid w:val="00A600EE"/>
    <w:rsid w:val="00A674DF"/>
    <w:rsid w:val="00A83AA6"/>
    <w:rsid w:val="00A87AF0"/>
    <w:rsid w:val="00A92438"/>
    <w:rsid w:val="00AA4272"/>
    <w:rsid w:val="00AA4C5F"/>
    <w:rsid w:val="00AB0952"/>
    <w:rsid w:val="00AC58B5"/>
    <w:rsid w:val="00AD000F"/>
    <w:rsid w:val="00AD751E"/>
    <w:rsid w:val="00AE113E"/>
    <w:rsid w:val="00AE1809"/>
    <w:rsid w:val="00AE6D8F"/>
    <w:rsid w:val="00AE754F"/>
    <w:rsid w:val="00AE7A00"/>
    <w:rsid w:val="00AF00FA"/>
    <w:rsid w:val="00AF1A5E"/>
    <w:rsid w:val="00AF3C34"/>
    <w:rsid w:val="00B11558"/>
    <w:rsid w:val="00B151BA"/>
    <w:rsid w:val="00B17838"/>
    <w:rsid w:val="00B17B2F"/>
    <w:rsid w:val="00B23E66"/>
    <w:rsid w:val="00B316F3"/>
    <w:rsid w:val="00B32078"/>
    <w:rsid w:val="00B372FB"/>
    <w:rsid w:val="00B46F2C"/>
    <w:rsid w:val="00B52916"/>
    <w:rsid w:val="00B536CF"/>
    <w:rsid w:val="00B542E0"/>
    <w:rsid w:val="00B55FD6"/>
    <w:rsid w:val="00B63ADF"/>
    <w:rsid w:val="00B71EFF"/>
    <w:rsid w:val="00B72E95"/>
    <w:rsid w:val="00B80D76"/>
    <w:rsid w:val="00B85006"/>
    <w:rsid w:val="00B86774"/>
    <w:rsid w:val="00B95787"/>
    <w:rsid w:val="00B95F5A"/>
    <w:rsid w:val="00BA2105"/>
    <w:rsid w:val="00BA621E"/>
    <w:rsid w:val="00BA7E06"/>
    <w:rsid w:val="00BB43B5"/>
    <w:rsid w:val="00BB6219"/>
    <w:rsid w:val="00BC3BA2"/>
    <w:rsid w:val="00BD290F"/>
    <w:rsid w:val="00BD4FE4"/>
    <w:rsid w:val="00BE3E1A"/>
    <w:rsid w:val="00BE6CD6"/>
    <w:rsid w:val="00BF0BF1"/>
    <w:rsid w:val="00BF3F72"/>
    <w:rsid w:val="00C0213F"/>
    <w:rsid w:val="00C0376B"/>
    <w:rsid w:val="00C139F5"/>
    <w:rsid w:val="00C1435C"/>
    <w:rsid w:val="00C14CC4"/>
    <w:rsid w:val="00C20ADA"/>
    <w:rsid w:val="00C247AB"/>
    <w:rsid w:val="00C33C52"/>
    <w:rsid w:val="00C35303"/>
    <w:rsid w:val="00C40D8B"/>
    <w:rsid w:val="00C624AD"/>
    <w:rsid w:val="00C64AEF"/>
    <w:rsid w:val="00C679FA"/>
    <w:rsid w:val="00C75696"/>
    <w:rsid w:val="00C77027"/>
    <w:rsid w:val="00C80D4D"/>
    <w:rsid w:val="00C834CF"/>
    <w:rsid w:val="00C8407A"/>
    <w:rsid w:val="00C8488C"/>
    <w:rsid w:val="00C86E91"/>
    <w:rsid w:val="00C922C9"/>
    <w:rsid w:val="00C92459"/>
    <w:rsid w:val="00C93201"/>
    <w:rsid w:val="00CA2650"/>
    <w:rsid w:val="00CB1078"/>
    <w:rsid w:val="00CB5525"/>
    <w:rsid w:val="00CB7F4D"/>
    <w:rsid w:val="00CC4BE9"/>
    <w:rsid w:val="00CC6FAF"/>
    <w:rsid w:val="00CD1A26"/>
    <w:rsid w:val="00CD1C73"/>
    <w:rsid w:val="00CD6D71"/>
    <w:rsid w:val="00CE7036"/>
    <w:rsid w:val="00CF4C17"/>
    <w:rsid w:val="00D01D37"/>
    <w:rsid w:val="00D0293D"/>
    <w:rsid w:val="00D0764F"/>
    <w:rsid w:val="00D0799E"/>
    <w:rsid w:val="00D24698"/>
    <w:rsid w:val="00D30331"/>
    <w:rsid w:val="00D3126E"/>
    <w:rsid w:val="00D35668"/>
    <w:rsid w:val="00D40C57"/>
    <w:rsid w:val="00D414D4"/>
    <w:rsid w:val="00D41FA2"/>
    <w:rsid w:val="00D55453"/>
    <w:rsid w:val="00D6383F"/>
    <w:rsid w:val="00D649C4"/>
    <w:rsid w:val="00D663F0"/>
    <w:rsid w:val="00D71221"/>
    <w:rsid w:val="00D717E2"/>
    <w:rsid w:val="00D82C88"/>
    <w:rsid w:val="00D84089"/>
    <w:rsid w:val="00D84D58"/>
    <w:rsid w:val="00D8579E"/>
    <w:rsid w:val="00D97DB9"/>
    <w:rsid w:val="00D97E1A"/>
    <w:rsid w:val="00DA024A"/>
    <w:rsid w:val="00DA0B44"/>
    <w:rsid w:val="00DA4112"/>
    <w:rsid w:val="00DA48CC"/>
    <w:rsid w:val="00DB344C"/>
    <w:rsid w:val="00DB3595"/>
    <w:rsid w:val="00DB59D0"/>
    <w:rsid w:val="00DC1A1D"/>
    <w:rsid w:val="00DC33D3"/>
    <w:rsid w:val="00DD2B62"/>
    <w:rsid w:val="00DD31AE"/>
    <w:rsid w:val="00DD3602"/>
    <w:rsid w:val="00DD4595"/>
    <w:rsid w:val="00DD5414"/>
    <w:rsid w:val="00DE50DE"/>
    <w:rsid w:val="00DE6E7F"/>
    <w:rsid w:val="00DF3627"/>
    <w:rsid w:val="00E13AA6"/>
    <w:rsid w:val="00E14DD0"/>
    <w:rsid w:val="00E14F8E"/>
    <w:rsid w:val="00E24A6E"/>
    <w:rsid w:val="00E2594A"/>
    <w:rsid w:val="00E25ACE"/>
    <w:rsid w:val="00E26329"/>
    <w:rsid w:val="00E314DE"/>
    <w:rsid w:val="00E377ED"/>
    <w:rsid w:val="00E40B50"/>
    <w:rsid w:val="00E44B80"/>
    <w:rsid w:val="00E50293"/>
    <w:rsid w:val="00E53307"/>
    <w:rsid w:val="00E55CAE"/>
    <w:rsid w:val="00E566D6"/>
    <w:rsid w:val="00E6036C"/>
    <w:rsid w:val="00E64372"/>
    <w:rsid w:val="00E65FFC"/>
    <w:rsid w:val="00E6785D"/>
    <w:rsid w:val="00E7174D"/>
    <w:rsid w:val="00E71B13"/>
    <w:rsid w:val="00E749EA"/>
    <w:rsid w:val="00E8045D"/>
    <w:rsid w:val="00E80951"/>
    <w:rsid w:val="00E854FE"/>
    <w:rsid w:val="00E86CC6"/>
    <w:rsid w:val="00E873C9"/>
    <w:rsid w:val="00E8746E"/>
    <w:rsid w:val="00E97BC5"/>
    <w:rsid w:val="00E97DEB"/>
    <w:rsid w:val="00EA2BFE"/>
    <w:rsid w:val="00EA2C4C"/>
    <w:rsid w:val="00EB56B3"/>
    <w:rsid w:val="00EB67A5"/>
    <w:rsid w:val="00EC78FE"/>
    <w:rsid w:val="00ED48B8"/>
    <w:rsid w:val="00ED4CE3"/>
    <w:rsid w:val="00ED4EB8"/>
    <w:rsid w:val="00ED6492"/>
    <w:rsid w:val="00EE24A3"/>
    <w:rsid w:val="00EE525B"/>
    <w:rsid w:val="00EE621C"/>
    <w:rsid w:val="00EF2095"/>
    <w:rsid w:val="00EF25F7"/>
    <w:rsid w:val="00F03D05"/>
    <w:rsid w:val="00F06866"/>
    <w:rsid w:val="00F11416"/>
    <w:rsid w:val="00F14BFD"/>
    <w:rsid w:val="00F15956"/>
    <w:rsid w:val="00F16582"/>
    <w:rsid w:val="00F206BE"/>
    <w:rsid w:val="00F24CFC"/>
    <w:rsid w:val="00F25244"/>
    <w:rsid w:val="00F3170F"/>
    <w:rsid w:val="00F34598"/>
    <w:rsid w:val="00F362EA"/>
    <w:rsid w:val="00F4017B"/>
    <w:rsid w:val="00F45E35"/>
    <w:rsid w:val="00F46D72"/>
    <w:rsid w:val="00F54814"/>
    <w:rsid w:val="00F575A2"/>
    <w:rsid w:val="00F66A65"/>
    <w:rsid w:val="00F73BC7"/>
    <w:rsid w:val="00F8405A"/>
    <w:rsid w:val="00F976B0"/>
    <w:rsid w:val="00FA6DE7"/>
    <w:rsid w:val="00FB3523"/>
    <w:rsid w:val="00FB35FC"/>
    <w:rsid w:val="00FC0A8E"/>
    <w:rsid w:val="00FD5DC9"/>
    <w:rsid w:val="00FD6F92"/>
    <w:rsid w:val="00FE214A"/>
    <w:rsid w:val="00FE2FA6"/>
    <w:rsid w:val="00FE3DF2"/>
    <w:rsid w:val="00FE77CD"/>
    <w:rsid w:val="00FF2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Revision">
    <w:name w:val="Revision"/>
    <w:hidden/>
    <w:uiPriority w:val="99"/>
    <w:semiHidden/>
    <w:rsid w:val="00460349"/>
    <w:pPr>
      <w:spacing w:after="0" w:line="240" w:lineRule="auto"/>
    </w:pPr>
  </w:style>
  <w:style w:type="character" w:styleId="Hyperlink">
    <w:name w:val="Hyperlink"/>
    <w:basedOn w:val="DefaultParagraphFont"/>
    <w:uiPriority w:val="99"/>
    <w:unhideWhenUsed/>
    <w:rsid w:val="00534D40"/>
    <w:rPr>
      <w:color w:val="0000FF" w:themeColor="hyperlink"/>
      <w:u w:val="single"/>
    </w:rPr>
  </w:style>
  <w:style w:type="character" w:styleId="UnresolvedMention">
    <w:name w:val="Unresolved Mention"/>
    <w:basedOn w:val="DefaultParagraphFont"/>
    <w:uiPriority w:val="99"/>
    <w:semiHidden/>
    <w:unhideWhenUsed/>
    <w:rsid w:val="00534D40"/>
    <w:rPr>
      <w:color w:val="605E5C"/>
      <w:shd w:val="clear" w:color="auto" w:fill="E1DFDD"/>
    </w:rPr>
  </w:style>
  <w:style w:type="character" w:styleId="FollowedHyperlink">
    <w:name w:val="FollowedHyperlink"/>
    <w:basedOn w:val="DefaultParagraphFont"/>
    <w:uiPriority w:val="99"/>
    <w:semiHidden/>
    <w:unhideWhenUsed/>
    <w:rsid w:val="007E64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5Tables/html/ATL.aspx"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0949f-626a-49d6-852e-c228d1c319f6">
      <Terms xmlns="http://schemas.microsoft.com/office/infopath/2007/PartnerControls"/>
    </lcf76f155ced4ddcb4097134ff3c332f>
    <TaxCatchAll xmlns="de0ff53e-eb3b-47a6-83fe-860ceef9a5ca" xsi:nil="true"/>
    <Order0 xmlns="2730949f-626a-49d6-852e-c228d1c319f6">1</Order0>
    <Notes xmlns="2730949f-626a-49d6-852e-c228d1c319f6" xsi:nil="true"/>
  </documentManagement>
</p:properties>
</file>

<file path=customXml/itemProps1.xml><?xml version="1.0" encoding="utf-8"?>
<ds:datastoreItem xmlns:ds="http://schemas.openxmlformats.org/officeDocument/2006/customXml" ds:itemID="{12892C01-41E0-4F38-9142-5464CA84F05C}">
  <ds:schemaRefs>
    <ds:schemaRef ds:uri="http://schemas.microsoft.com/sharepoint/v3/contenttype/forms"/>
  </ds:schemaRefs>
</ds:datastoreItem>
</file>

<file path=customXml/itemProps2.xml><?xml version="1.0" encoding="utf-8"?>
<ds:datastoreItem xmlns:ds="http://schemas.openxmlformats.org/officeDocument/2006/customXml" ds:itemID="{E6809BEC-FE19-4466-984D-0589614F4A6C}">
  <ds:schemaRefs/>
</ds:datastoreItem>
</file>

<file path=customXml/itemProps3.xml><?xml version="1.0" encoding="utf-8"?>
<ds:datastoreItem xmlns:ds="http://schemas.openxmlformats.org/officeDocument/2006/customXml" ds:itemID="{593272B6-B9FD-4733-86E3-2B1DCD059074}">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2637</Words>
  <Characters>15614</Characters>
  <Application>Microsoft Office Word</Application>
  <DocSecurity>0</DocSecurity>
  <Lines>380</Lines>
  <Paragraphs>178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Cody, Aisha (CDC/NCHHSTP/OD)</cp:lastModifiedBy>
  <cp:revision>2</cp:revision>
  <cp:lastPrinted>2012-08-06T16:52:00Z</cp:lastPrinted>
  <dcterms:created xsi:type="dcterms:W3CDTF">2026-06-29T16:00:00Z</dcterms:created>
  <dcterms:modified xsi:type="dcterms:W3CDTF">2026-06-29T16:00:00Z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c41b1275-bdc4-4a14-8587-e13ebbd25217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2025-04-07T19:09:26Z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