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F5A08" w:rsidRPr="00851BBB" w:rsidP="007C1DCF" w14:paraId="7643DD99" w14:textId="3EC46DA9">
      <w:pPr>
        <w:pStyle w:val="Heading1"/>
        <w:jc w:val="center"/>
        <w:rPr>
          <w:b w:val="0"/>
          <w:bCs w:val="0"/>
        </w:rPr>
      </w:pPr>
      <w:r w:rsidRPr="00851BBB">
        <w:rPr>
          <w:b w:val="0"/>
          <w:bCs w:val="0"/>
        </w:rPr>
        <w:t>Supporting Statement A</w:t>
      </w:r>
    </w:p>
    <w:p w:rsidR="000878DA" w:rsidRPr="00851BBB" w:rsidP="007C1DCF" w14:paraId="6FCB992F" w14:textId="517BF946">
      <w:pPr>
        <w:pStyle w:val="Heading1"/>
        <w:jc w:val="center"/>
        <w:rPr>
          <w:b w:val="0"/>
          <w:bCs w:val="0"/>
        </w:rPr>
      </w:pPr>
      <w:r w:rsidRPr="00851BBB">
        <w:rPr>
          <w:b w:val="0"/>
          <w:bCs w:val="0"/>
        </w:rPr>
        <w:t xml:space="preserve">Rural Health Transformation </w:t>
      </w:r>
      <w:r w:rsidRPr="00851BBB" w:rsidR="00323A3C">
        <w:rPr>
          <w:b w:val="0"/>
          <w:bCs w:val="0"/>
        </w:rPr>
        <w:t xml:space="preserve">(RHT) </w:t>
      </w:r>
      <w:r w:rsidRPr="00851BBB">
        <w:rPr>
          <w:b w:val="0"/>
          <w:bCs w:val="0"/>
        </w:rPr>
        <w:t>Program Reporting</w:t>
      </w:r>
    </w:p>
    <w:p w:rsidR="000878DA" w:rsidRPr="00851BBB" w:rsidP="007C1DCF" w14:paraId="70C0A046" w14:textId="6430132F">
      <w:pPr>
        <w:pStyle w:val="Heading1"/>
        <w:jc w:val="center"/>
        <w:rPr>
          <w:b w:val="0"/>
          <w:bCs w:val="0"/>
        </w:rPr>
      </w:pPr>
      <w:r w:rsidRPr="00851BBB">
        <w:rPr>
          <w:b w:val="0"/>
          <w:bCs w:val="0"/>
        </w:rPr>
        <w:t>CMS-10</w:t>
      </w:r>
      <w:r w:rsidRPr="00851BBB" w:rsidR="00FC0F6E">
        <w:rPr>
          <w:b w:val="0"/>
          <w:bCs w:val="0"/>
        </w:rPr>
        <w:t>949</w:t>
      </w:r>
      <w:r w:rsidRPr="00851BBB">
        <w:rPr>
          <w:b w:val="0"/>
          <w:bCs w:val="0"/>
        </w:rPr>
        <w:t>,</w:t>
      </w:r>
      <w:r w:rsidRPr="00851BBB">
        <w:rPr>
          <w:b w:val="0"/>
          <w:bCs w:val="0"/>
          <w:spacing w:val="-2"/>
        </w:rPr>
        <w:t xml:space="preserve"> </w:t>
      </w:r>
      <w:r w:rsidRPr="00851BBB">
        <w:rPr>
          <w:b w:val="0"/>
          <w:bCs w:val="0"/>
        </w:rPr>
        <w:t>OMB</w:t>
      </w:r>
      <w:r w:rsidRPr="00851BBB">
        <w:rPr>
          <w:b w:val="0"/>
          <w:bCs w:val="0"/>
          <w:spacing w:val="-3"/>
        </w:rPr>
        <w:t xml:space="preserve"> </w:t>
      </w:r>
      <w:r w:rsidRPr="00851BBB">
        <w:rPr>
          <w:b w:val="0"/>
          <w:bCs w:val="0"/>
        </w:rPr>
        <w:t>0938-</w:t>
      </w:r>
      <w:r w:rsidRPr="00851BBB" w:rsidR="00FC0F6E">
        <w:rPr>
          <w:b w:val="0"/>
          <w:bCs w:val="0"/>
        </w:rPr>
        <w:t>TBD (New)</w:t>
      </w:r>
    </w:p>
    <w:p w:rsidR="00F53417" w:rsidRPr="00851BBB" w:rsidP="00805EBD" w14:paraId="476F5CF0" w14:textId="77777777">
      <w:pPr>
        <w:pStyle w:val="BodyText"/>
      </w:pPr>
    </w:p>
    <w:p w:rsidR="007A6C84" w:rsidRPr="0042530A" w:rsidP="00805EBD" w14:paraId="339BEAAD" w14:textId="5FCA617E">
      <w:pPr>
        <w:pStyle w:val="BodyText"/>
      </w:pPr>
      <w:r w:rsidRPr="0042530A">
        <w:t xml:space="preserve">The contents of this Supporting Statement and the associated attachments have been reviewed to ensure that they are consistent with the Trump administration’s policies, goals, and objectives. </w:t>
      </w:r>
    </w:p>
    <w:p w:rsidR="007A6C84" w:rsidRPr="0042530A" w:rsidP="00805EBD" w14:paraId="232E2F13" w14:textId="77777777">
      <w:pPr>
        <w:pStyle w:val="BodyText"/>
      </w:pPr>
    </w:p>
    <w:p w:rsidR="000878DA" w:rsidRPr="0042530A" w:rsidP="00805EBD" w14:paraId="0B62AF92" w14:textId="77777777">
      <w:pPr>
        <w:pStyle w:val="Heading1"/>
        <w:spacing w:before="0"/>
        <w:ind w:left="0" w:firstLine="0"/>
        <w:rPr>
          <w:bCs w:val="0"/>
        </w:rPr>
      </w:pPr>
      <w:bookmarkStart w:id="0" w:name="Background"/>
      <w:bookmarkEnd w:id="0"/>
      <w:r w:rsidRPr="0042530A">
        <w:rPr>
          <w:bCs w:val="0"/>
          <w:spacing w:val="-2"/>
        </w:rPr>
        <w:t>Background</w:t>
      </w:r>
    </w:p>
    <w:p w:rsidR="000878DA" w:rsidRPr="0042530A" w:rsidP="00805EBD" w14:paraId="63F61EBF" w14:textId="77777777">
      <w:pPr>
        <w:pStyle w:val="BodyText"/>
      </w:pPr>
    </w:p>
    <w:p w:rsidR="00415457" w:rsidRPr="0042530A" w:rsidP="00580D4C" w14:paraId="2E81D143" w14:textId="43E03E0A">
      <w:pPr>
        <w:pStyle w:val="BodyText"/>
      </w:pPr>
      <w:r>
        <w:t xml:space="preserve">On July 4, 2025, President Trump signed Public Law 119-21, </w:t>
      </w:r>
      <w:r w:rsidR="5BE7806B">
        <w:t xml:space="preserve">which the Centers for Medicare &amp; Medicaid Services (CMS) refers to as the “Working Families Tax Cut” (WFTC) legislation, into law. The legislation authorized the </w:t>
      </w:r>
      <w:r w:rsidR="2B647BB8">
        <w:t>Rural Health Transformation (RHT) Program</w:t>
      </w:r>
      <w:r w:rsidR="5BE7806B">
        <w:t xml:space="preserve">, marking </w:t>
      </w:r>
      <w:r w:rsidR="246A3E07">
        <w:t xml:space="preserve">a significant federal investment of $50 billion over five years and is designed to empower as many as 50 State awardees to catalyze transformative improvements within their rural healthcare </w:t>
      </w:r>
      <w:r w:rsidR="4C7B0105">
        <w:t>ecosystems.</w:t>
      </w:r>
      <w:r w:rsidR="00B4172C">
        <w:t xml:space="preserve"> </w:t>
      </w:r>
      <w:r w:rsidR="4C7B0105">
        <w:t>The</w:t>
      </w:r>
      <w:r w:rsidR="246A3E07">
        <w:t xml:space="preserve"> principal objective is to enhance healthcare access, quality, and outcomes through innovative, system-wide change, thereby investing in the health of rural communities for future generations. </w:t>
      </w:r>
      <w:r w:rsidR="35670A26">
        <w:t xml:space="preserve"> </w:t>
      </w:r>
    </w:p>
    <w:p w:rsidR="00415457" w:rsidRPr="0042530A" w:rsidP="00415457" w14:paraId="4545C8B6" w14:textId="77777777">
      <w:pPr>
        <w:pStyle w:val="BodyText"/>
      </w:pPr>
    </w:p>
    <w:p w:rsidR="00E424B0" w:rsidRPr="0042530A" w:rsidP="00415457" w14:paraId="237B1F73" w14:textId="0FBD38E2">
      <w:pPr>
        <w:pStyle w:val="BodyText"/>
      </w:pPr>
      <w:r>
        <w:t xml:space="preserve">Funding for approved State awardees is determined through a formal scoring and allocation process. The financial architecture of the program is composed of two primary streams: baseline funding, distributed equally among all awardees, and performance-based workload funding, </w:t>
      </w:r>
      <w:r w:rsidR="3B34C2C0">
        <w:t xml:space="preserve">which is allocated based on the scoring of specific </w:t>
      </w:r>
      <w:r w:rsidR="09BA96B1">
        <w:t xml:space="preserve">rural and technical score </w:t>
      </w:r>
      <w:r w:rsidR="3B34C2C0">
        <w:t xml:space="preserve">factors within each State's application and their subsequent annual performance. </w:t>
      </w:r>
    </w:p>
    <w:p w:rsidR="00E424B0" w:rsidRPr="0042530A" w:rsidP="00415457" w14:paraId="4C0CA2B2" w14:textId="77777777">
      <w:pPr>
        <w:pStyle w:val="BodyText"/>
      </w:pPr>
    </w:p>
    <w:p w:rsidR="00877FDA" w:rsidP="14C70CCF" w14:paraId="6F3DEA48" w14:textId="3845BCF7">
      <w:pPr>
        <w:pStyle w:val="BodyText"/>
        <w:widowControl/>
        <w:autoSpaceDE/>
        <w:autoSpaceDN/>
        <w:spacing w:after="160" w:line="259" w:lineRule="auto"/>
      </w:pPr>
      <w:r>
        <w:t xml:space="preserve">To ensure continued eligibility and funding, State awardees must adhere to key program requirements, including the submission of annual and quarterly </w:t>
      </w:r>
      <w:r w:rsidR="00BA0746">
        <w:t>reports. This</w:t>
      </w:r>
      <w:r w:rsidR="00DC2A14">
        <w:t xml:space="preserve"> data serves multiple critical functions: it details State progress against their goals, informs the annual rescoring process used to determine funding for subsequent years, and provides valuable data for broader program analysis.</w:t>
      </w:r>
      <w:r>
        <w:t xml:space="preserve"> CMS will award funding in five budget periods: </w:t>
      </w:r>
      <w:bookmarkStart w:id="1" w:name="_Hlk210041507"/>
    </w:p>
    <w:p w:rsidR="00877FDA" w:rsidRPr="001F0C32" w:rsidP="00877FDA" w14:paraId="5B93D6C1" w14:textId="7B1C04C3">
      <w:pPr>
        <w:pStyle w:val="BodyText"/>
        <w:widowControl/>
        <w:numPr>
          <w:ilvl w:val="0"/>
          <w:numId w:val="17"/>
        </w:numPr>
        <w:autoSpaceDE/>
        <w:autoSpaceDN/>
        <w:spacing w:after="160" w:line="259" w:lineRule="auto"/>
      </w:pPr>
      <w:r w:rsidRPr="001F0C32">
        <w:t xml:space="preserve">Budget period 1: December </w:t>
      </w:r>
      <w:r w:rsidRPr="001F0C32" w:rsidR="7CA2736F">
        <w:t>29</w:t>
      </w:r>
      <w:r w:rsidRPr="001F0C32">
        <w:t xml:space="preserve">, 2025 </w:t>
      </w:r>
      <w:r w:rsidRPr="001F0C32" w:rsidR="003B639A">
        <w:t xml:space="preserve">through </w:t>
      </w:r>
      <w:r w:rsidRPr="001F0C32">
        <w:t>October 30, 2026 (10 months)</w:t>
      </w:r>
    </w:p>
    <w:p w:rsidR="00877FDA" w:rsidRPr="001F0C32" w:rsidP="00877FDA" w14:paraId="51A28DB1" w14:textId="36157575">
      <w:pPr>
        <w:pStyle w:val="BodyText"/>
        <w:widowControl/>
        <w:numPr>
          <w:ilvl w:val="0"/>
          <w:numId w:val="17"/>
        </w:numPr>
        <w:autoSpaceDE/>
        <w:autoSpaceDN/>
        <w:spacing w:after="160" w:line="259" w:lineRule="auto"/>
      </w:pPr>
      <w:r w:rsidRPr="001F0C32">
        <w:t xml:space="preserve">Budget period 2: October 31, 2026 </w:t>
      </w:r>
      <w:r w:rsidRPr="001F0C32" w:rsidR="003B639A">
        <w:t xml:space="preserve">through </w:t>
      </w:r>
      <w:r w:rsidRPr="001F0C32">
        <w:t xml:space="preserve">October 30, 2027 </w:t>
      </w:r>
    </w:p>
    <w:p w:rsidR="00877FDA" w:rsidRPr="001F0C32" w:rsidP="00877FDA" w14:paraId="6422A880" w14:textId="58A202EC">
      <w:pPr>
        <w:pStyle w:val="BodyText"/>
        <w:widowControl/>
        <w:numPr>
          <w:ilvl w:val="0"/>
          <w:numId w:val="17"/>
        </w:numPr>
        <w:autoSpaceDE/>
        <w:autoSpaceDN/>
        <w:spacing w:after="160" w:line="259" w:lineRule="auto"/>
      </w:pPr>
      <w:r w:rsidRPr="001F0C32">
        <w:t xml:space="preserve">Budget period 3: October 31, 2027 </w:t>
      </w:r>
      <w:r w:rsidRPr="001F0C32" w:rsidR="003B639A">
        <w:t xml:space="preserve">through </w:t>
      </w:r>
      <w:r w:rsidRPr="001F0C32">
        <w:t xml:space="preserve">October 30, 2028 </w:t>
      </w:r>
    </w:p>
    <w:p w:rsidR="00877FDA" w:rsidRPr="001F0C32" w:rsidP="00877FDA" w14:paraId="20A7113E" w14:textId="0ABAD89C">
      <w:pPr>
        <w:pStyle w:val="BodyText"/>
        <w:widowControl/>
        <w:numPr>
          <w:ilvl w:val="0"/>
          <w:numId w:val="17"/>
        </w:numPr>
        <w:autoSpaceDE/>
        <w:autoSpaceDN/>
        <w:spacing w:after="160" w:line="259" w:lineRule="auto"/>
      </w:pPr>
      <w:r w:rsidRPr="001F0C32">
        <w:t xml:space="preserve">Budget period 4: October 31, 2028 </w:t>
      </w:r>
      <w:r w:rsidRPr="001F0C32" w:rsidR="003B639A">
        <w:t xml:space="preserve">through </w:t>
      </w:r>
      <w:r w:rsidRPr="001F0C32">
        <w:t xml:space="preserve">October 30, 2029 </w:t>
      </w:r>
    </w:p>
    <w:p w:rsidR="00877FDA" w:rsidRPr="001F0C32" w:rsidP="00877FDA" w14:paraId="444D29BA" w14:textId="4DDAEA61">
      <w:pPr>
        <w:pStyle w:val="BodyText"/>
        <w:widowControl/>
        <w:numPr>
          <w:ilvl w:val="0"/>
          <w:numId w:val="17"/>
        </w:numPr>
        <w:autoSpaceDE/>
        <w:autoSpaceDN/>
        <w:spacing w:after="160" w:line="259" w:lineRule="auto"/>
      </w:pPr>
      <w:r w:rsidRPr="001F0C32">
        <w:t xml:space="preserve">Budget period 5: October 31, 2029 </w:t>
      </w:r>
      <w:r w:rsidRPr="001F0C32" w:rsidR="003B639A">
        <w:t xml:space="preserve">through </w:t>
      </w:r>
      <w:r w:rsidRPr="001F0C32">
        <w:t>October 30, 2030</w:t>
      </w:r>
    </w:p>
    <w:bookmarkEnd w:id="1"/>
    <w:p w:rsidR="009C6F3B" w:rsidRPr="0042530A" w:rsidP="009C6F3B" w14:paraId="3D7C96AE" w14:textId="454C5D14">
      <w:pPr>
        <w:pStyle w:val="BodyText"/>
      </w:pPr>
      <w:r>
        <w:t xml:space="preserve">CMS will re-calculate each approved State’s technical score and corresponding </w:t>
      </w:r>
      <w:r w:rsidR="492E341F">
        <w:t>w</w:t>
      </w:r>
      <w:r>
        <w:t>orkload funding amount for each subsequent budget period based on the information and data the approved State provides in the required annual reporting each year.</w:t>
      </w:r>
    </w:p>
    <w:p w:rsidR="009C6F3B" w:rsidP="000E6466" w14:paraId="0579DC74" w14:textId="77777777">
      <w:pPr>
        <w:pStyle w:val="BodyText"/>
      </w:pPr>
    </w:p>
    <w:p w:rsidR="001D240D" w:rsidP="42792612" w14:paraId="6294BC32" w14:textId="1CD6BC29">
      <w:pPr>
        <w:pStyle w:val="BodyText"/>
        <w:shd w:val="clear" w:color="auto" w:fill="FFFFFF" w:themeFill="background1"/>
      </w:pPr>
      <w:r>
        <w:t>In these reports, States will provide updates on programmatic milestones, report on performance and evaluation metrics, and detail the expenditure of funds.</w:t>
      </w:r>
      <w:r w:rsidRPr="42792612" w:rsidR="140B8F2B">
        <w:t xml:space="preserve"> </w:t>
      </w:r>
      <w:r w:rsidR="003C01F5">
        <w:t xml:space="preserve">CMS will provide States with </w:t>
      </w:r>
      <w:r w:rsidR="0050701E">
        <w:t xml:space="preserve">relevant guidance on how to complete the annual and quarterly reports </w:t>
      </w:r>
      <w:r w:rsidR="003C01F5">
        <w:t xml:space="preserve">including </w:t>
      </w:r>
      <w:r w:rsidR="0050701E">
        <w:t>a checkpoint guidance document, sample project plan template, and informational webinars.</w:t>
      </w:r>
    </w:p>
    <w:p w:rsidR="000454E7" w:rsidP="001D240D" w14:paraId="143CBD0D" w14:textId="77777777">
      <w:pPr>
        <w:rPr>
          <w:color w:val="000000"/>
          <w:sz w:val="24"/>
          <w:szCs w:val="24"/>
          <w:shd w:val="clear" w:color="auto" w:fill="FFFFFF"/>
        </w:rPr>
      </w:pPr>
    </w:p>
    <w:p w:rsidR="002A4C4D" w:rsidRPr="00317CD3" w:rsidP="002A4C4D" w14:paraId="79097116" w14:textId="1DB61D2A">
      <w:pPr>
        <w:pStyle w:val="BodyText"/>
        <w:spacing w:before="240" w:after="240"/>
      </w:pPr>
      <w:r>
        <w:t xml:space="preserve">Overall, we estimate a </w:t>
      </w:r>
      <w:r w:rsidRPr="00317CD3">
        <w:t>burden</w:t>
      </w:r>
      <w:r w:rsidRPr="00317CD3">
        <w:rPr>
          <w:spacing w:val="-3"/>
        </w:rPr>
        <w:t xml:space="preserve"> </w:t>
      </w:r>
      <w:r>
        <w:rPr>
          <w:spacing w:val="-3"/>
        </w:rPr>
        <w:t xml:space="preserve">of </w:t>
      </w:r>
      <w:r>
        <w:rPr>
          <w:spacing w:val="-4"/>
        </w:rPr>
        <w:t>20,000</w:t>
      </w:r>
      <w:r w:rsidRPr="00317CD3">
        <w:rPr>
          <w:spacing w:val="-4"/>
        </w:rPr>
        <w:t xml:space="preserve"> hours at a cost of </w:t>
      </w:r>
      <w:r w:rsidRPr="00317CD3">
        <w:t>$</w:t>
      </w:r>
      <w:r>
        <w:t>1,709,200</w:t>
      </w:r>
      <w:r>
        <w:t xml:space="preserve"> (see section 12 for details)</w:t>
      </w:r>
      <w:r>
        <w:t>.</w:t>
      </w:r>
      <w:r w:rsidRPr="00317CD3">
        <w:rPr>
          <w:spacing w:val="-1"/>
        </w:rPr>
        <w:t xml:space="preserve"> </w:t>
      </w:r>
    </w:p>
    <w:p w:rsidR="002A4C4D" w:rsidRPr="0019777D" w:rsidP="001D240D" w14:paraId="3037011C" w14:textId="77777777">
      <w:pPr>
        <w:rPr>
          <w:color w:val="000000"/>
          <w:sz w:val="24"/>
          <w:szCs w:val="24"/>
          <w:shd w:val="clear" w:color="auto" w:fill="FFFFFF"/>
        </w:rPr>
      </w:pPr>
    </w:p>
    <w:p w:rsidR="000878DA" w:rsidRPr="0049088B" w:rsidP="14C70CCF" w14:paraId="6C041E42" w14:textId="12FC26BF">
      <w:pPr>
        <w:pStyle w:val="ListParagraph"/>
        <w:numPr>
          <w:ilvl w:val="0"/>
          <w:numId w:val="5"/>
        </w:numPr>
      </w:pPr>
      <w:r w:rsidRPr="14C70CCF">
        <w:rPr>
          <w:b/>
          <w:bCs/>
          <w:sz w:val="24"/>
          <w:szCs w:val="24"/>
        </w:rPr>
        <w:t>Justification</w:t>
      </w:r>
    </w:p>
    <w:p w:rsidR="000878DA" w:rsidRPr="0042530A" w:rsidP="0042530A" w14:paraId="0EFDCDBE" w14:textId="21155B47">
      <w:pPr>
        <w:pStyle w:val="ListParagraph"/>
        <w:numPr>
          <w:ilvl w:val="1"/>
          <w:numId w:val="5"/>
        </w:numPr>
        <w:tabs>
          <w:tab w:val="left" w:pos="551"/>
          <w:tab w:val="left" w:pos="552"/>
        </w:tabs>
        <w:spacing w:before="240" w:after="240"/>
        <w:ind w:left="0" w:firstLine="0"/>
        <w:rPr>
          <w:sz w:val="24"/>
          <w:szCs w:val="24"/>
        </w:rPr>
      </w:pPr>
      <w:bookmarkStart w:id="2" w:name="1._Need_and_Legal_Basis"/>
      <w:bookmarkEnd w:id="2"/>
      <w:r w:rsidRPr="0042530A">
        <w:rPr>
          <w:sz w:val="24"/>
          <w:szCs w:val="24"/>
          <w:u w:val="single"/>
        </w:rPr>
        <w:t>Need</w:t>
      </w:r>
      <w:r w:rsidRPr="0042530A">
        <w:rPr>
          <w:spacing w:val="-3"/>
          <w:sz w:val="24"/>
          <w:szCs w:val="24"/>
          <w:u w:val="single"/>
        </w:rPr>
        <w:t xml:space="preserve"> </w:t>
      </w:r>
      <w:r w:rsidRPr="0042530A">
        <w:rPr>
          <w:sz w:val="24"/>
          <w:szCs w:val="24"/>
          <w:u w:val="single"/>
        </w:rPr>
        <w:t xml:space="preserve">and Legal </w:t>
      </w:r>
      <w:r w:rsidRPr="0042530A">
        <w:rPr>
          <w:spacing w:val="-4"/>
          <w:sz w:val="24"/>
          <w:szCs w:val="24"/>
          <w:u w:val="single"/>
        </w:rPr>
        <w:t>Basis</w:t>
      </w:r>
    </w:p>
    <w:p w:rsidR="00714EF6" w:rsidRPr="0042530A" w:rsidP="0042530A" w14:paraId="631E6DA0" w14:textId="64EFC9AC">
      <w:pPr>
        <w:pStyle w:val="BodyText"/>
        <w:spacing w:before="240" w:after="240"/>
      </w:pPr>
      <w:r w:rsidRPr="0042530A">
        <w:t>This information collection is grounded in the</w:t>
      </w:r>
      <w:r w:rsidRPr="0042530A" w:rsidR="00FC4C3E">
        <w:t xml:space="preserve"> R</w:t>
      </w:r>
      <w:r w:rsidRPr="0042530A" w:rsidR="003B3788">
        <w:t>HT</w:t>
      </w:r>
      <w:r w:rsidRPr="0042530A">
        <w:t xml:space="preserve"> </w:t>
      </w:r>
      <w:r w:rsidRPr="0042530A" w:rsidR="00FC4C3E">
        <w:t>P</w:t>
      </w:r>
      <w:r w:rsidRPr="0042530A">
        <w:t>rogram's authorizing legislation u</w:t>
      </w:r>
      <w:r w:rsidRPr="0042530A" w:rsidR="00415457">
        <w:t xml:space="preserve">nder </w:t>
      </w:r>
      <w:r w:rsidR="001E2ACE">
        <w:t>Section</w:t>
      </w:r>
      <w:r w:rsidRPr="0042530A" w:rsidR="00415457">
        <w:t xml:space="preserve"> 71401</w:t>
      </w:r>
      <w:r w:rsidRPr="0042530A" w:rsidR="00EA19F8">
        <w:rPr>
          <w:spacing w:val="-4"/>
        </w:rPr>
        <w:t xml:space="preserve"> </w:t>
      </w:r>
      <w:r w:rsidRPr="0042530A" w:rsidR="00EA19F8">
        <w:t>of</w:t>
      </w:r>
      <w:r w:rsidRPr="0042530A" w:rsidR="00EA19F8">
        <w:rPr>
          <w:spacing w:val="-4"/>
        </w:rPr>
        <w:t xml:space="preserve"> </w:t>
      </w:r>
      <w:r w:rsidRPr="0042530A" w:rsidR="00415457">
        <w:rPr>
          <w:spacing w:val="-4"/>
        </w:rPr>
        <w:t xml:space="preserve">Public Law 119-21, </w:t>
      </w:r>
      <w:r w:rsidRPr="0042530A" w:rsidR="00EA19F8">
        <w:t>the</w:t>
      </w:r>
      <w:r w:rsidRPr="0042530A" w:rsidR="00EA19F8">
        <w:rPr>
          <w:spacing w:val="-4"/>
        </w:rPr>
        <w:t xml:space="preserve"> </w:t>
      </w:r>
      <w:r w:rsidRPr="00CF17CB" w:rsidR="00FE0B88">
        <w:t>WFTC legislation</w:t>
      </w:r>
      <w:r w:rsidRPr="0042530A" w:rsidR="00EA19F8">
        <w:rPr>
          <w:spacing w:val="-3"/>
        </w:rPr>
        <w:t xml:space="preserve"> </w:t>
      </w:r>
      <w:r w:rsidRPr="0042530A" w:rsidR="00EA19F8">
        <w:t>si</w:t>
      </w:r>
      <w:r w:rsidRPr="0042530A" w:rsidR="002A48A2">
        <w:t>g</w:t>
      </w:r>
      <w:r w:rsidRPr="0042530A" w:rsidR="00EA19F8">
        <w:t>ned</w:t>
      </w:r>
      <w:r w:rsidRPr="0042530A" w:rsidR="00EA19F8">
        <w:rPr>
          <w:spacing w:val="-3"/>
        </w:rPr>
        <w:t xml:space="preserve"> </w:t>
      </w:r>
      <w:r w:rsidRPr="0042530A" w:rsidR="00EA19F8">
        <w:t>into</w:t>
      </w:r>
      <w:r w:rsidRPr="0042530A" w:rsidR="00EA19F8">
        <w:rPr>
          <w:spacing w:val="-3"/>
        </w:rPr>
        <w:t xml:space="preserve"> </w:t>
      </w:r>
      <w:r w:rsidRPr="0042530A" w:rsidR="00EA19F8">
        <w:t>law</w:t>
      </w:r>
      <w:r w:rsidRPr="0042530A" w:rsidR="00EA19F8">
        <w:rPr>
          <w:spacing w:val="-4"/>
        </w:rPr>
        <w:t xml:space="preserve"> </w:t>
      </w:r>
      <w:r w:rsidRPr="0042530A" w:rsidR="00EA19F8">
        <w:t>on</w:t>
      </w:r>
      <w:r w:rsidRPr="0042530A" w:rsidR="00EA19F8">
        <w:rPr>
          <w:spacing w:val="-1"/>
        </w:rPr>
        <w:t xml:space="preserve"> </w:t>
      </w:r>
      <w:r w:rsidRPr="0042530A" w:rsidR="00415457">
        <w:t>July 4, 2025, an</w:t>
      </w:r>
      <w:r w:rsidRPr="0042530A" w:rsidR="003B3788">
        <w:t>d</w:t>
      </w:r>
      <w:r w:rsidRPr="0042530A" w:rsidR="00EE7406">
        <w:t xml:space="preserve"> </w:t>
      </w:r>
      <w:r w:rsidRPr="0042530A" w:rsidR="00EA19F8">
        <w:t xml:space="preserve">added </w:t>
      </w:r>
      <w:r w:rsidRPr="0042530A" w:rsidR="00415457">
        <w:t>to 42 U.S.C. 1397ee, Sec</w:t>
      </w:r>
      <w:r w:rsidR="001E2ACE">
        <w:t>tion</w:t>
      </w:r>
      <w:r w:rsidRPr="0042530A" w:rsidR="00415457">
        <w:t xml:space="preserve"> 2105 of the Social Security </w:t>
      </w:r>
      <w:r w:rsidRPr="0042530A" w:rsidR="00EA19F8">
        <w:t>Act</w:t>
      </w:r>
      <w:r w:rsidRPr="0042530A">
        <w:t>.</w:t>
      </w:r>
      <w:r>
        <w:rPr>
          <w:rStyle w:val="FootnoteReference"/>
        </w:rPr>
        <w:footnoteReference w:id="2"/>
      </w:r>
      <w:r w:rsidRPr="0042530A">
        <w:t xml:space="preserve"> </w:t>
      </w:r>
      <w:r w:rsidRPr="0042530A" w:rsidR="004079B2">
        <w:t xml:space="preserve">This framework is designed to </w:t>
      </w:r>
      <w:r w:rsidR="005E0CA4">
        <w:t>promote</w:t>
      </w:r>
      <w:r w:rsidRPr="0042530A" w:rsidR="004079B2">
        <w:t xml:space="preserve"> robust oversight, fiscal accountability, and data-driven performance management across all awardees. Adherence to these reporting mandates is a condition of continued eligibility and is fundamental to the integrity and success of the program.</w:t>
      </w:r>
    </w:p>
    <w:p w:rsidR="000878DA" w:rsidRPr="0042530A" w:rsidP="0042530A" w14:paraId="4C517D2C" w14:textId="69978A2C">
      <w:pPr>
        <w:pStyle w:val="ListParagraph"/>
        <w:numPr>
          <w:ilvl w:val="1"/>
          <w:numId w:val="5"/>
        </w:numPr>
        <w:tabs>
          <w:tab w:val="left" w:pos="551"/>
          <w:tab w:val="left" w:pos="552"/>
        </w:tabs>
        <w:spacing w:before="240" w:after="240"/>
        <w:ind w:left="0" w:firstLine="0"/>
        <w:rPr>
          <w:sz w:val="24"/>
          <w:szCs w:val="24"/>
        </w:rPr>
      </w:pPr>
      <w:bookmarkStart w:id="3" w:name="2._Information_Users"/>
      <w:bookmarkEnd w:id="3"/>
      <w:r w:rsidRPr="0042530A">
        <w:rPr>
          <w:sz w:val="24"/>
          <w:szCs w:val="24"/>
          <w:u w:val="single"/>
        </w:rPr>
        <w:t>Information</w:t>
      </w:r>
      <w:r w:rsidRPr="0042530A">
        <w:rPr>
          <w:spacing w:val="-7"/>
          <w:sz w:val="24"/>
          <w:szCs w:val="24"/>
          <w:u w:val="single"/>
        </w:rPr>
        <w:t xml:space="preserve"> </w:t>
      </w:r>
      <w:r w:rsidRPr="0042530A">
        <w:rPr>
          <w:spacing w:val="-4"/>
          <w:sz w:val="24"/>
          <w:szCs w:val="24"/>
          <w:u w:val="single"/>
        </w:rPr>
        <w:t>Users</w:t>
      </w:r>
    </w:p>
    <w:p w:rsidR="00E7233A" w:rsidP="0042530A" w14:paraId="320B1CCA" w14:textId="1856CB5E">
      <w:pPr>
        <w:pStyle w:val="BodyText"/>
        <w:spacing w:before="240" w:after="240"/>
      </w:pPr>
      <w:r w:rsidRPr="00A30A91">
        <w:t>The primary purpose of this information collection is to support the effective administration, oversight, and evaluation of the RHT Program. The data will be used to monitor State awardees' progress against their approved workplan milestones and to monitor compliance with the terms and conditions of the award. The information is essential for the annual reassessment of each State's technical score, which directly determines their performance-based workload funding for subsequent budget periods. This reporting provides visibility into how programmatic funds are spent by States, including allocation by subrecipients (e.g., State agencies, Tribal entities, etc.), distribution across initiatives, and compliance with program-specific limitations. Additionally, in the initial Annual Report, States will provide the definition of a "rural</w:t>
      </w:r>
      <w:r w:rsidRPr="00A30A91" w:rsidR="00A10130">
        <w:t xml:space="preserve"> </w:t>
      </w:r>
      <w:r w:rsidRPr="00A30A91">
        <w:t>area</w:t>
      </w:r>
      <w:r w:rsidRPr="00A30A91" w:rsidR="00A10130">
        <w:t>”</w:t>
      </w:r>
      <w:r w:rsidRPr="00A30A91">
        <w:t xml:space="preserve"> they used </w:t>
      </w:r>
      <w:r w:rsidRPr="00A30A91" w:rsidR="00650282">
        <w:t>for the purposes of</w:t>
      </w:r>
      <w:r w:rsidRPr="00A30A91">
        <w:t xml:space="preserve"> determin</w:t>
      </w:r>
      <w:r w:rsidRPr="00A30A91" w:rsidR="00650282">
        <w:t>ing the most appropriate entity type in their reporting.</w:t>
      </w:r>
      <w:r w:rsidRPr="00A30A91">
        <w:t xml:space="preserve"> States will use this same definition to determine rural entities throughout the duration of the RHT Program; therefore, it does not need to be provided in subsequent reporting. Lastly, State-reported data provides a valuable basis for broader program analysis, enabling CMS to identify trends, share lessons learned, and inform future technical assistance.</w:t>
      </w:r>
    </w:p>
    <w:p w:rsidR="00E30EA7" w:rsidP="0042530A" w14:paraId="763F989D" w14:textId="33C89BBB">
      <w:pPr>
        <w:pStyle w:val="BodyText"/>
        <w:spacing w:before="240" w:after="240"/>
      </w:pPr>
      <w:r w:rsidRPr="0042530A">
        <w:t xml:space="preserve">The information will be used primarily by CMS program staff and leadership who are responsible for the administration and oversight of the RHT Program. </w:t>
      </w:r>
      <w:r w:rsidRPr="00E30EA7">
        <w:t xml:space="preserve">The data collection and review methodology consists of two main cycles: a quarterly process to monitor short-term progress and a formal annual </w:t>
      </w:r>
      <w:r>
        <w:t>re</w:t>
      </w:r>
      <w:r w:rsidRPr="00E30EA7">
        <w:t xml:space="preserve">assessment. The annual </w:t>
      </w:r>
      <w:r>
        <w:t>re</w:t>
      </w:r>
      <w:r w:rsidRPr="00E30EA7">
        <w:t>assessment involves the calculation of performance scores, which serve as the basis for funding allocation decisions</w:t>
      </w:r>
      <w:r>
        <w:t xml:space="preserve"> as detailed above.</w:t>
      </w:r>
    </w:p>
    <w:p w:rsidR="000878DA" w:rsidRPr="0042530A" w:rsidP="0042530A" w14:paraId="11B212FA" w14:textId="4B1ACD1D">
      <w:pPr>
        <w:pStyle w:val="ListParagraph"/>
        <w:numPr>
          <w:ilvl w:val="1"/>
          <w:numId w:val="5"/>
        </w:numPr>
        <w:tabs>
          <w:tab w:val="left" w:pos="551"/>
          <w:tab w:val="left" w:pos="552"/>
        </w:tabs>
        <w:spacing w:before="240" w:after="240"/>
        <w:ind w:left="0" w:firstLine="0"/>
        <w:rPr>
          <w:sz w:val="24"/>
          <w:szCs w:val="24"/>
        </w:rPr>
      </w:pPr>
      <w:bookmarkStart w:id="4" w:name="3._Use_of_Information_Technology"/>
      <w:bookmarkEnd w:id="4"/>
      <w:r w:rsidRPr="0042530A">
        <w:rPr>
          <w:sz w:val="24"/>
          <w:szCs w:val="24"/>
          <w:u w:val="single"/>
        </w:rPr>
        <w:t>Use</w:t>
      </w:r>
      <w:r w:rsidRPr="0042530A">
        <w:rPr>
          <w:spacing w:val="-3"/>
          <w:sz w:val="24"/>
          <w:szCs w:val="24"/>
          <w:u w:val="single"/>
        </w:rPr>
        <w:t xml:space="preserve"> </w:t>
      </w:r>
      <w:r w:rsidRPr="0042530A">
        <w:rPr>
          <w:sz w:val="24"/>
          <w:szCs w:val="24"/>
          <w:u w:val="single"/>
        </w:rPr>
        <w:t>of</w:t>
      </w:r>
      <w:r w:rsidRPr="0042530A">
        <w:rPr>
          <w:spacing w:val="-1"/>
          <w:sz w:val="24"/>
          <w:szCs w:val="24"/>
          <w:u w:val="single"/>
        </w:rPr>
        <w:t xml:space="preserve"> </w:t>
      </w:r>
      <w:r w:rsidRPr="0042530A">
        <w:rPr>
          <w:sz w:val="24"/>
          <w:szCs w:val="24"/>
          <w:u w:val="single"/>
        </w:rPr>
        <w:t>Information</w:t>
      </w:r>
      <w:r w:rsidRPr="0042530A">
        <w:rPr>
          <w:spacing w:val="-2"/>
          <w:sz w:val="24"/>
          <w:szCs w:val="24"/>
          <w:u w:val="single"/>
        </w:rPr>
        <w:t xml:space="preserve"> Technology</w:t>
      </w:r>
    </w:p>
    <w:p w:rsidR="00E30EA7" w:rsidP="0042530A" w14:paraId="5D29E0EE" w14:textId="49572DFB">
      <w:pPr>
        <w:pStyle w:val="BodyText"/>
        <w:spacing w:before="240" w:after="240"/>
      </w:pPr>
      <w:r w:rsidRPr="00E30EA7">
        <w:t xml:space="preserve">Awardees must submit all required information for the first annual reporting period, which </w:t>
      </w:r>
      <w:r w:rsidR="009C6E14">
        <w:t>covers</w:t>
      </w:r>
      <w:r w:rsidRPr="00E30EA7" w:rsidR="009C6E14">
        <w:t xml:space="preserve"> </w:t>
      </w:r>
      <w:r w:rsidRPr="00E30EA7">
        <w:t xml:space="preserve">December 29, 2025, to July 31, 2026. Submissions must be made in the provided standardized Microsoft Excel format and uploaded to GrantSolutions no later than August 30, </w:t>
      </w:r>
      <w:r w:rsidRPr="00E30EA7">
        <w:t>2026.</w:t>
      </w:r>
    </w:p>
    <w:p w:rsidR="005A4E66" w:rsidRPr="000C37E0" w:rsidP="0042530A" w14:paraId="6E8CC1A5" w14:textId="5DA30C57">
      <w:pPr>
        <w:pStyle w:val="BodyText"/>
        <w:spacing w:before="240" w:after="240"/>
        <w:rPr>
          <w:spacing w:val="-4"/>
        </w:rPr>
      </w:pPr>
      <w:r w:rsidRPr="00D03D22">
        <w:t xml:space="preserve">For all subsequent </w:t>
      </w:r>
      <w:r w:rsidRPr="00D03D22" w:rsidR="00E67A8E">
        <w:t>reporting periods</w:t>
      </w:r>
      <w:r w:rsidRPr="00D03D22">
        <w:t>, the program will transition to a dedicated web-based</w:t>
      </w:r>
      <w:r w:rsidRPr="0042530A">
        <w:t xml:space="preserve"> reporting tool, which is currently in early development by the CMCS-MDCT Team.</w:t>
      </w:r>
      <w:r w:rsidRPr="0042530A" w:rsidR="002A48A2">
        <w:t xml:space="preserve"> </w:t>
      </w:r>
      <w:r w:rsidRPr="0042530A" w:rsidR="006708A0">
        <w:t>Please note submission to GrantSolutions</w:t>
      </w:r>
      <w:r w:rsidRPr="0042530A" w:rsidR="001D7129">
        <w:t xml:space="preserve"> will still</w:t>
      </w:r>
      <w:r w:rsidRPr="0042530A" w:rsidR="006708A0">
        <w:t xml:space="preserve"> </w:t>
      </w:r>
      <w:r w:rsidRPr="0042530A" w:rsidR="001D7129">
        <w:t xml:space="preserve">be </w:t>
      </w:r>
      <w:r w:rsidRPr="0042530A" w:rsidR="006708A0">
        <w:t xml:space="preserve">required by the program and State awardees </w:t>
      </w:r>
      <w:r w:rsidRPr="0042530A" w:rsidR="001D7129">
        <w:t xml:space="preserve">for each </w:t>
      </w:r>
      <w:r w:rsidRPr="000C37E0" w:rsidR="001D7129">
        <w:t xml:space="preserve">subsequent year of the year program, as the platform serves as the official system of record. </w:t>
      </w:r>
    </w:p>
    <w:p w:rsidR="000878DA" w:rsidRPr="000C37E0" w:rsidP="0042530A" w14:paraId="2BB725FD" w14:textId="40B725B0">
      <w:pPr>
        <w:pStyle w:val="BodyText"/>
        <w:spacing w:before="240" w:after="240"/>
      </w:pPr>
      <w:r w:rsidRPr="000C37E0">
        <w:t xml:space="preserve">Please note that instructional verbiage within the web-based tool (MDCT RHTP) may undergo minor refinements based on ongoing user testing and feedback. Any such adjustments will be </w:t>
      </w:r>
      <w:r w:rsidRPr="000C37E0" w:rsidR="00501ACA">
        <w:t xml:space="preserve">strictly </w:t>
      </w:r>
      <w:r w:rsidRPr="000C37E0">
        <w:t>limited to improving clarity and user experience, and will not alter the nature, scope, or substance</w:t>
      </w:r>
      <w:r w:rsidRPr="000C37E0" w:rsidR="10930004">
        <w:t xml:space="preserve"> of the actual data elements or information collection from respondents. </w:t>
      </w:r>
      <w:r w:rsidRPr="000C37E0" w:rsidR="004300DC">
        <w:t>This</w:t>
      </w:r>
      <w:r w:rsidRPr="000C37E0" w:rsidR="004300DC">
        <w:rPr>
          <w:spacing w:val="-2"/>
        </w:rPr>
        <w:t xml:space="preserve"> </w:t>
      </w:r>
      <w:r w:rsidRPr="000C37E0" w:rsidR="004300DC">
        <w:t>collection</w:t>
      </w:r>
      <w:r w:rsidRPr="000C37E0" w:rsidR="004300DC">
        <w:rPr>
          <w:spacing w:val="-2"/>
        </w:rPr>
        <w:t xml:space="preserve"> </w:t>
      </w:r>
      <w:r w:rsidRPr="000C37E0" w:rsidR="004300DC">
        <w:t>does</w:t>
      </w:r>
      <w:r w:rsidRPr="000C37E0" w:rsidR="004300DC">
        <w:rPr>
          <w:spacing w:val="-2"/>
        </w:rPr>
        <w:t xml:space="preserve"> </w:t>
      </w:r>
      <w:r w:rsidRPr="000C37E0" w:rsidR="004300DC">
        <w:t>not</w:t>
      </w:r>
      <w:r w:rsidRPr="000C37E0" w:rsidR="004300DC">
        <w:rPr>
          <w:spacing w:val="-1"/>
        </w:rPr>
        <w:t xml:space="preserve"> </w:t>
      </w:r>
      <w:r w:rsidRPr="000C37E0" w:rsidR="004300DC">
        <w:t>require</w:t>
      </w:r>
      <w:r w:rsidRPr="000C37E0" w:rsidR="004300DC">
        <w:rPr>
          <w:spacing w:val="-1"/>
        </w:rPr>
        <w:t xml:space="preserve"> </w:t>
      </w:r>
      <w:r w:rsidRPr="000C37E0" w:rsidR="004300DC">
        <w:t>a</w:t>
      </w:r>
      <w:r w:rsidRPr="000C37E0" w:rsidR="004300DC">
        <w:rPr>
          <w:spacing w:val="-3"/>
        </w:rPr>
        <w:t xml:space="preserve"> </w:t>
      </w:r>
      <w:r w:rsidRPr="000C37E0" w:rsidR="004300DC">
        <w:t>signature</w:t>
      </w:r>
      <w:r w:rsidRPr="000C37E0" w:rsidR="004300DC">
        <w:rPr>
          <w:spacing w:val="-3"/>
        </w:rPr>
        <w:t xml:space="preserve"> </w:t>
      </w:r>
      <w:r w:rsidRPr="000C37E0" w:rsidR="004300DC">
        <w:t>from</w:t>
      </w:r>
      <w:r w:rsidRPr="000C37E0" w:rsidR="004300DC">
        <w:rPr>
          <w:spacing w:val="-1"/>
        </w:rPr>
        <w:t xml:space="preserve"> </w:t>
      </w:r>
      <w:r w:rsidRPr="000C37E0" w:rsidR="004300DC">
        <w:rPr>
          <w:spacing w:val="-2"/>
        </w:rPr>
        <w:t xml:space="preserve">respondents. </w:t>
      </w:r>
    </w:p>
    <w:p w:rsidR="000878DA" w:rsidRPr="000C37E0" w:rsidP="0042530A" w14:paraId="29420014" w14:textId="7E12AD9F">
      <w:pPr>
        <w:pStyle w:val="ListParagraph"/>
        <w:numPr>
          <w:ilvl w:val="1"/>
          <w:numId w:val="5"/>
        </w:numPr>
        <w:tabs>
          <w:tab w:val="left" w:pos="551"/>
          <w:tab w:val="left" w:pos="552"/>
        </w:tabs>
        <w:spacing w:before="240" w:after="240"/>
        <w:ind w:left="0" w:firstLine="0"/>
        <w:rPr>
          <w:sz w:val="24"/>
          <w:szCs w:val="24"/>
        </w:rPr>
      </w:pPr>
      <w:bookmarkStart w:id="5" w:name="4._Duplication_of_Efforts"/>
      <w:bookmarkEnd w:id="5"/>
      <w:r w:rsidRPr="000C37E0">
        <w:rPr>
          <w:sz w:val="24"/>
          <w:szCs w:val="24"/>
          <w:u w:val="single"/>
        </w:rPr>
        <w:t>Duplication</w:t>
      </w:r>
      <w:r w:rsidRPr="000C37E0">
        <w:rPr>
          <w:spacing w:val="-2"/>
          <w:sz w:val="24"/>
          <w:szCs w:val="24"/>
          <w:u w:val="single"/>
        </w:rPr>
        <w:t xml:space="preserve"> </w:t>
      </w:r>
      <w:r w:rsidRPr="000C37E0">
        <w:rPr>
          <w:sz w:val="24"/>
          <w:szCs w:val="24"/>
          <w:u w:val="single"/>
        </w:rPr>
        <w:t>of</w:t>
      </w:r>
      <w:r w:rsidRPr="000C37E0">
        <w:rPr>
          <w:spacing w:val="-2"/>
          <w:sz w:val="24"/>
          <w:szCs w:val="24"/>
          <w:u w:val="single"/>
        </w:rPr>
        <w:t xml:space="preserve"> Efforts</w:t>
      </w:r>
    </w:p>
    <w:p w:rsidR="00E01140" w:rsidRPr="002E300A" w:rsidP="0042530A" w14:paraId="0016E2EF" w14:textId="76F548EE">
      <w:pPr>
        <w:pStyle w:val="BodyText"/>
        <w:spacing w:before="240" w:after="240"/>
      </w:pPr>
      <w:r w:rsidRPr="00E01140">
        <w:t xml:space="preserve">This information collection will not duplicate any other reporting effort, as the information cannot be obtained from another source. </w:t>
      </w:r>
    </w:p>
    <w:p w:rsidR="000878DA" w:rsidRPr="0042530A" w:rsidP="0042530A" w14:paraId="3D2D6220" w14:textId="28414929">
      <w:pPr>
        <w:pStyle w:val="ListParagraph"/>
        <w:numPr>
          <w:ilvl w:val="1"/>
          <w:numId w:val="5"/>
        </w:numPr>
        <w:tabs>
          <w:tab w:val="left" w:pos="551"/>
          <w:tab w:val="left" w:pos="552"/>
        </w:tabs>
        <w:spacing w:before="240" w:after="240"/>
        <w:ind w:left="0" w:firstLine="0"/>
        <w:rPr>
          <w:sz w:val="24"/>
          <w:szCs w:val="24"/>
        </w:rPr>
      </w:pPr>
      <w:bookmarkStart w:id="6" w:name="5._Small_Businesses"/>
      <w:bookmarkEnd w:id="6"/>
      <w:r w:rsidRPr="002E300A">
        <w:rPr>
          <w:sz w:val="24"/>
          <w:szCs w:val="24"/>
          <w:u w:val="single"/>
        </w:rPr>
        <w:t>Small</w:t>
      </w:r>
      <w:r w:rsidRPr="002E300A">
        <w:rPr>
          <w:spacing w:val="-1"/>
          <w:sz w:val="24"/>
          <w:szCs w:val="24"/>
          <w:u w:val="single"/>
        </w:rPr>
        <w:t xml:space="preserve"> </w:t>
      </w:r>
      <w:r w:rsidRPr="002E300A">
        <w:rPr>
          <w:spacing w:val="-2"/>
          <w:sz w:val="24"/>
          <w:szCs w:val="24"/>
          <w:u w:val="single"/>
        </w:rPr>
        <w:t>Businesses</w:t>
      </w:r>
    </w:p>
    <w:p w:rsidR="000878DA" w:rsidRPr="002E300A" w:rsidP="0042530A" w14:paraId="33B46FED" w14:textId="6BA069BB">
      <w:pPr>
        <w:pStyle w:val="BodyText"/>
        <w:spacing w:before="240" w:after="240"/>
      </w:pPr>
      <w:r w:rsidRPr="002E300A">
        <w:t>This</w:t>
      </w:r>
      <w:r w:rsidRPr="002E300A">
        <w:rPr>
          <w:spacing w:val="-4"/>
        </w:rPr>
        <w:t xml:space="preserve"> </w:t>
      </w:r>
      <w:r w:rsidRPr="002E300A">
        <w:t>collection</w:t>
      </w:r>
      <w:r w:rsidRPr="002E300A">
        <w:rPr>
          <w:spacing w:val="-1"/>
        </w:rPr>
        <w:t xml:space="preserve"> </w:t>
      </w:r>
      <w:r w:rsidRPr="002E300A">
        <w:t>does</w:t>
      </w:r>
      <w:r w:rsidRPr="002E300A">
        <w:rPr>
          <w:spacing w:val="-1"/>
        </w:rPr>
        <w:t xml:space="preserve"> </w:t>
      </w:r>
      <w:r w:rsidRPr="002E300A">
        <w:t>not</w:t>
      </w:r>
      <w:r w:rsidRPr="002E300A">
        <w:rPr>
          <w:spacing w:val="-1"/>
        </w:rPr>
        <w:t xml:space="preserve"> </w:t>
      </w:r>
      <w:r w:rsidRPr="002E300A">
        <w:t>impact</w:t>
      </w:r>
      <w:r w:rsidRPr="002E300A">
        <w:rPr>
          <w:spacing w:val="-2"/>
        </w:rPr>
        <w:t xml:space="preserve"> </w:t>
      </w:r>
      <w:r w:rsidRPr="002E300A">
        <w:t>small</w:t>
      </w:r>
      <w:r w:rsidRPr="002E300A">
        <w:rPr>
          <w:spacing w:val="-1"/>
        </w:rPr>
        <w:t xml:space="preserve"> </w:t>
      </w:r>
      <w:r w:rsidRPr="002E300A">
        <w:t>businesses</w:t>
      </w:r>
      <w:r w:rsidRPr="002E300A">
        <w:rPr>
          <w:spacing w:val="-1"/>
        </w:rPr>
        <w:t xml:space="preserve"> </w:t>
      </w:r>
      <w:r w:rsidRPr="002E300A">
        <w:t>or</w:t>
      </w:r>
      <w:r w:rsidRPr="002E300A">
        <w:rPr>
          <w:spacing w:val="-2"/>
        </w:rPr>
        <w:t xml:space="preserve"> </w:t>
      </w:r>
      <w:r w:rsidRPr="002E300A">
        <w:t>other</w:t>
      </w:r>
      <w:r w:rsidRPr="002E300A">
        <w:rPr>
          <w:spacing w:val="-2"/>
        </w:rPr>
        <w:t xml:space="preserve"> </w:t>
      </w:r>
      <w:r w:rsidRPr="002E300A">
        <w:t>small</w:t>
      </w:r>
      <w:r w:rsidRPr="002E300A">
        <w:rPr>
          <w:spacing w:val="-1"/>
        </w:rPr>
        <w:t xml:space="preserve"> </w:t>
      </w:r>
      <w:r w:rsidRPr="002E300A">
        <w:rPr>
          <w:spacing w:val="-2"/>
        </w:rPr>
        <w:t>entities.</w:t>
      </w:r>
    </w:p>
    <w:p w:rsidR="000878DA" w:rsidRPr="0042530A" w:rsidP="0042530A" w14:paraId="46B65550" w14:textId="6FE8079C">
      <w:pPr>
        <w:pStyle w:val="ListParagraph"/>
        <w:numPr>
          <w:ilvl w:val="1"/>
          <w:numId w:val="5"/>
        </w:numPr>
        <w:tabs>
          <w:tab w:val="left" w:pos="551"/>
          <w:tab w:val="left" w:pos="552"/>
        </w:tabs>
        <w:spacing w:before="240" w:after="240"/>
        <w:ind w:left="0" w:firstLine="0"/>
        <w:rPr>
          <w:sz w:val="24"/>
          <w:szCs w:val="24"/>
        </w:rPr>
      </w:pPr>
      <w:bookmarkStart w:id="7" w:name="6._Less_Frequent_Collection"/>
      <w:bookmarkEnd w:id="7"/>
      <w:r w:rsidRPr="002E300A">
        <w:rPr>
          <w:sz w:val="24"/>
          <w:szCs w:val="24"/>
          <w:u w:val="single"/>
        </w:rPr>
        <w:t>Less</w:t>
      </w:r>
      <w:r w:rsidRPr="002E300A">
        <w:rPr>
          <w:spacing w:val="-2"/>
          <w:sz w:val="24"/>
          <w:szCs w:val="24"/>
          <w:u w:val="single"/>
        </w:rPr>
        <w:t xml:space="preserve"> </w:t>
      </w:r>
      <w:r w:rsidRPr="002E300A">
        <w:rPr>
          <w:sz w:val="24"/>
          <w:szCs w:val="24"/>
          <w:u w:val="single"/>
        </w:rPr>
        <w:t>Frequent</w:t>
      </w:r>
      <w:r w:rsidRPr="002E300A">
        <w:rPr>
          <w:spacing w:val="-3"/>
          <w:sz w:val="24"/>
          <w:szCs w:val="24"/>
          <w:u w:val="single"/>
        </w:rPr>
        <w:t xml:space="preserve"> </w:t>
      </w:r>
      <w:r w:rsidRPr="002E300A">
        <w:rPr>
          <w:spacing w:val="-2"/>
          <w:sz w:val="24"/>
          <w:szCs w:val="24"/>
          <w:u w:val="single"/>
        </w:rPr>
        <w:t>Collection</w:t>
      </w:r>
    </w:p>
    <w:p w:rsidR="003A6DD1" w:rsidP="0042530A" w14:paraId="2EDF5C4D" w14:textId="77777777">
      <w:pPr>
        <w:pStyle w:val="BodyText"/>
        <w:spacing w:before="240" w:after="240"/>
      </w:pPr>
      <w:r w:rsidRPr="00500C22">
        <w:t xml:space="preserve">Per the </w:t>
      </w:r>
      <w:r w:rsidRPr="00500C22" w:rsidR="767657A3">
        <w:t xml:space="preserve">RHT Program’s </w:t>
      </w:r>
      <w:r w:rsidRPr="00500C22">
        <w:t>N</w:t>
      </w:r>
      <w:r w:rsidRPr="00500C22" w:rsidR="4429A2B8">
        <w:t>otice of Funding of Opportunity (N</w:t>
      </w:r>
      <w:r w:rsidRPr="00500C22">
        <w:t>OFO</w:t>
      </w:r>
      <w:r w:rsidRPr="00500C22" w:rsidR="4429A2B8">
        <w:t>)</w:t>
      </w:r>
      <w:r w:rsidRPr="00500C22">
        <w:t xml:space="preserve">, CMS will re-calculate each </w:t>
      </w:r>
      <w:r w:rsidRPr="003A6DD1">
        <w:t xml:space="preserve">approved State’s technical score and corresponding </w:t>
      </w:r>
      <w:r w:rsidRPr="003A6DD1" w:rsidR="4881A1BF">
        <w:t>w</w:t>
      </w:r>
      <w:r w:rsidRPr="003A6DD1">
        <w:t>orkload funding amount for each</w:t>
      </w:r>
      <w:r w:rsidRPr="00500C22">
        <w:t xml:space="preserve"> subsequent budget period based on the information and data the approved State provides in the required annual reporting each year.</w:t>
      </w:r>
      <w:r>
        <w:rPr>
          <w:rStyle w:val="FootnoteReference"/>
        </w:rPr>
        <w:footnoteReference w:id="3"/>
      </w:r>
      <w:r w:rsidRPr="00500C22" w:rsidR="2794F9C1">
        <w:t xml:space="preserve"> The data gathered from this annual reporting is critical as it is used directly to determine funding for State awardees in subsequent years. </w:t>
      </w:r>
    </w:p>
    <w:p w:rsidR="00D539C4" w:rsidRPr="00500C22" w:rsidP="0042530A" w14:paraId="028D8733" w14:textId="75F0B868">
      <w:pPr>
        <w:pStyle w:val="BodyText"/>
        <w:spacing w:before="240" w:after="240"/>
      </w:pPr>
      <w:r w:rsidRPr="003A6DD1">
        <w:t>Quarterly reporting is also required to track progress on State initiatives</w:t>
      </w:r>
      <w:r w:rsidRPr="003A6DD1" w:rsidR="007308AF">
        <w:t xml:space="preserve"> and monitor performance and </w:t>
      </w:r>
      <w:r w:rsidRPr="003A6DD1">
        <w:t>compliance. To reduce burden on States, only 3 quarterly reports are due</w:t>
      </w:r>
      <w:r w:rsidRPr="003A6DD1" w:rsidR="007308AF">
        <w:t xml:space="preserve"> each year, as the annual report is submitted in place of the fourth quarterly report. Data provided in the quarterly reports rolls up into and informs the annual report.</w:t>
      </w:r>
    </w:p>
    <w:p w:rsidR="00FA03F2" w:rsidRPr="002E300A" w:rsidP="0042530A" w14:paraId="4DBBF81E" w14:textId="2E61723C">
      <w:pPr>
        <w:pStyle w:val="BodyText"/>
        <w:numPr>
          <w:ilvl w:val="1"/>
          <w:numId w:val="5"/>
        </w:numPr>
        <w:spacing w:before="240" w:after="240"/>
      </w:pPr>
      <w:r w:rsidRPr="002E300A">
        <w:rPr>
          <w:u w:val="single"/>
        </w:rPr>
        <w:t>Special</w:t>
      </w:r>
      <w:r w:rsidRPr="002E300A">
        <w:rPr>
          <w:spacing w:val="-3"/>
          <w:u w:val="single"/>
        </w:rPr>
        <w:t xml:space="preserve"> </w:t>
      </w:r>
      <w:r w:rsidRPr="002E300A">
        <w:rPr>
          <w:spacing w:val="-2"/>
          <w:u w:val="single"/>
        </w:rPr>
        <w:t>Circumstances</w:t>
      </w:r>
    </w:p>
    <w:p w:rsidR="00FA03F2" w:rsidRPr="002E300A" w:rsidP="0042530A" w14:paraId="7C5BC461" w14:textId="02E56D73">
      <w:pPr>
        <w:pStyle w:val="BodyText"/>
        <w:numPr>
          <w:ilvl w:val="0"/>
          <w:numId w:val="16"/>
        </w:numPr>
        <w:spacing w:before="240" w:after="240"/>
        <w:rPr>
          <w:color w:val="000000" w:themeColor="text1"/>
        </w:rPr>
      </w:pPr>
      <w:r w:rsidRPr="002E300A">
        <w:rPr>
          <w:color w:val="000000" w:themeColor="text1"/>
        </w:rPr>
        <w:t>Prepare</w:t>
      </w:r>
      <w:r w:rsidRPr="002E300A">
        <w:rPr>
          <w:color w:val="000000" w:themeColor="text1"/>
          <w:spacing w:val="-2"/>
        </w:rPr>
        <w:t xml:space="preserve"> </w:t>
      </w:r>
      <w:r w:rsidRPr="002E300A">
        <w:rPr>
          <w:color w:val="000000" w:themeColor="text1"/>
        </w:rPr>
        <w:t>a</w:t>
      </w:r>
      <w:r w:rsidRPr="002E300A">
        <w:rPr>
          <w:color w:val="000000" w:themeColor="text1"/>
          <w:spacing w:val="-4"/>
        </w:rPr>
        <w:t xml:space="preserve"> </w:t>
      </w:r>
      <w:r w:rsidRPr="002E300A">
        <w:rPr>
          <w:color w:val="000000" w:themeColor="text1"/>
        </w:rPr>
        <w:t>written</w:t>
      </w:r>
      <w:r w:rsidRPr="002E300A">
        <w:rPr>
          <w:color w:val="000000" w:themeColor="text1"/>
          <w:spacing w:val="-3"/>
        </w:rPr>
        <w:t xml:space="preserve"> </w:t>
      </w:r>
      <w:r w:rsidRPr="002E300A">
        <w:rPr>
          <w:color w:val="000000" w:themeColor="text1"/>
        </w:rPr>
        <w:t>response</w:t>
      </w:r>
      <w:r w:rsidRPr="002E300A">
        <w:rPr>
          <w:color w:val="000000" w:themeColor="text1"/>
          <w:spacing w:val="-4"/>
        </w:rPr>
        <w:t xml:space="preserve"> </w:t>
      </w:r>
      <w:r w:rsidRPr="002E300A">
        <w:rPr>
          <w:color w:val="000000" w:themeColor="text1"/>
        </w:rPr>
        <w:t>to</w:t>
      </w:r>
      <w:r w:rsidRPr="002E300A">
        <w:rPr>
          <w:color w:val="000000" w:themeColor="text1"/>
          <w:spacing w:val="-3"/>
        </w:rPr>
        <w:t xml:space="preserve"> </w:t>
      </w:r>
      <w:r w:rsidRPr="002E300A">
        <w:rPr>
          <w:color w:val="000000" w:themeColor="text1"/>
        </w:rPr>
        <w:t>a</w:t>
      </w:r>
      <w:r w:rsidRPr="002E300A">
        <w:rPr>
          <w:color w:val="000000" w:themeColor="text1"/>
          <w:spacing w:val="-4"/>
        </w:rPr>
        <w:t xml:space="preserve"> </w:t>
      </w:r>
      <w:r w:rsidRPr="002E300A">
        <w:rPr>
          <w:color w:val="000000" w:themeColor="text1"/>
        </w:rPr>
        <w:t>collection</w:t>
      </w:r>
      <w:r w:rsidRPr="002E300A">
        <w:rPr>
          <w:color w:val="000000" w:themeColor="text1"/>
          <w:spacing w:val="-3"/>
        </w:rPr>
        <w:t xml:space="preserve"> </w:t>
      </w:r>
      <w:r w:rsidRPr="002E300A">
        <w:rPr>
          <w:color w:val="000000" w:themeColor="text1"/>
        </w:rPr>
        <w:t>of</w:t>
      </w:r>
      <w:r w:rsidRPr="002E300A">
        <w:rPr>
          <w:color w:val="000000" w:themeColor="text1"/>
          <w:spacing w:val="-4"/>
        </w:rPr>
        <w:t xml:space="preserve"> </w:t>
      </w:r>
      <w:r w:rsidRPr="002E300A">
        <w:rPr>
          <w:color w:val="000000" w:themeColor="text1"/>
        </w:rPr>
        <w:t>information</w:t>
      </w:r>
      <w:r w:rsidRPr="002E300A">
        <w:rPr>
          <w:color w:val="000000" w:themeColor="text1"/>
          <w:spacing w:val="-3"/>
        </w:rPr>
        <w:t xml:space="preserve"> </w:t>
      </w:r>
      <w:r w:rsidRPr="002E300A">
        <w:rPr>
          <w:color w:val="000000" w:themeColor="text1"/>
        </w:rPr>
        <w:t>in</w:t>
      </w:r>
      <w:r w:rsidRPr="002E300A">
        <w:rPr>
          <w:color w:val="000000" w:themeColor="text1"/>
          <w:spacing w:val="-3"/>
        </w:rPr>
        <w:t xml:space="preserve"> </w:t>
      </w:r>
      <w:r w:rsidRPr="002E300A">
        <w:rPr>
          <w:color w:val="000000" w:themeColor="text1"/>
        </w:rPr>
        <w:t>fewer</w:t>
      </w:r>
      <w:r w:rsidRPr="002E300A">
        <w:rPr>
          <w:color w:val="000000" w:themeColor="text1"/>
          <w:spacing w:val="-4"/>
        </w:rPr>
        <w:t xml:space="preserve"> </w:t>
      </w:r>
      <w:r w:rsidRPr="002E300A">
        <w:rPr>
          <w:color w:val="000000" w:themeColor="text1"/>
        </w:rPr>
        <w:t>than</w:t>
      </w:r>
      <w:r w:rsidRPr="002E300A">
        <w:rPr>
          <w:color w:val="000000" w:themeColor="text1"/>
          <w:spacing w:val="-3"/>
        </w:rPr>
        <w:t xml:space="preserve"> </w:t>
      </w:r>
      <w:r w:rsidRPr="002E300A">
        <w:rPr>
          <w:color w:val="000000" w:themeColor="text1"/>
        </w:rPr>
        <w:t>30</w:t>
      </w:r>
      <w:r w:rsidRPr="002E300A">
        <w:rPr>
          <w:color w:val="000000" w:themeColor="text1"/>
          <w:spacing w:val="-1"/>
        </w:rPr>
        <w:t xml:space="preserve"> </w:t>
      </w:r>
      <w:r w:rsidRPr="002E300A">
        <w:rPr>
          <w:color w:val="000000" w:themeColor="text1"/>
        </w:rPr>
        <w:t>days</w:t>
      </w:r>
      <w:r w:rsidRPr="002E300A">
        <w:rPr>
          <w:color w:val="000000" w:themeColor="text1"/>
          <w:spacing w:val="-1"/>
        </w:rPr>
        <w:t xml:space="preserve"> </w:t>
      </w:r>
      <w:r w:rsidRPr="002E300A">
        <w:rPr>
          <w:color w:val="000000" w:themeColor="text1"/>
        </w:rPr>
        <w:t>after</w:t>
      </w:r>
      <w:r w:rsidRPr="002E300A">
        <w:rPr>
          <w:color w:val="000000" w:themeColor="text1"/>
          <w:spacing w:val="-2"/>
        </w:rPr>
        <w:t xml:space="preserve"> </w:t>
      </w:r>
      <w:r w:rsidRPr="002E300A">
        <w:rPr>
          <w:color w:val="000000" w:themeColor="text1"/>
        </w:rPr>
        <w:t>receipt of it</w:t>
      </w:r>
      <w:r w:rsidRPr="00014101" w:rsidR="009F750C">
        <w:t>;</w:t>
      </w:r>
    </w:p>
    <w:p w:rsidR="00C67631" w:rsidRPr="0042530A" w:rsidP="0042530A" w14:paraId="468794C1" w14:textId="4BD3F24C">
      <w:pPr>
        <w:pStyle w:val="BodyText"/>
        <w:numPr>
          <w:ilvl w:val="1"/>
          <w:numId w:val="16"/>
        </w:numPr>
        <w:spacing w:before="240" w:after="240"/>
      </w:pPr>
      <w:r>
        <w:t>Please note the</w:t>
      </w:r>
      <w:r w:rsidRPr="00C67631">
        <w:t xml:space="preserve"> projected 190- to 210-day timeframe for the PRA</w:t>
      </w:r>
      <w:r w:rsidR="0019777D">
        <w:t xml:space="preserve"> clearance</w:t>
      </w:r>
      <w:r w:rsidRPr="00C67631">
        <w:t xml:space="preserve"> process </w:t>
      </w:r>
      <w:r w:rsidR="0019777D">
        <w:t xml:space="preserve">may jeopardize </w:t>
      </w:r>
      <w:r w:rsidRPr="00C67631">
        <w:t xml:space="preserve">the ability of State awardees to submit the first Annual Progress Report by its August </w:t>
      </w:r>
      <w:r w:rsidRPr="00C67631" w:rsidR="000454E7">
        <w:t>3</w:t>
      </w:r>
      <w:r w:rsidR="000454E7">
        <w:t>0</w:t>
      </w:r>
      <w:r w:rsidRPr="00C67631">
        <w:t xml:space="preserve">, 2026 deadline. Under this timeline, the response period for awardees would be reduced to less than 30 days. In the event the PRA process requires the full 210 days, the response window would be eliminated entirely, as </w:t>
      </w:r>
      <w:r w:rsidRPr="00C67631">
        <w:t>approval would occur on the same day the report is due.</w:t>
      </w:r>
    </w:p>
    <w:p w:rsidR="008C6CC0" w:rsidRPr="00C67631" w:rsidP="0042530A" w14:paraId="02078AD4" w14:textId="02811CCB">
      <w:pPr>
        <w:pStyle w:val="ListParagraph"/>
        <w:numPr>
          <w:ilvl w:val="0"/>
          <w:numId w:val="16"/>
        </w:numPr>
        <w:tabs>
          <w:tab w:val="left" w:pos="839"/>
          <w:tab w:val="left" w:pos="840"/>
        </w:tabs>
        <w:spacing w:before="240" w:after="240"/>
        <w:rPr>
          <w:sz w:val="24"/>
          <w:szCs w:val="24"/>
        </w:rPr>
      </w:pPr>
      <w:r w:rsidRPr="00C67631">
        <w:rPr>
          <w:sz w:val="24"/>
          <w:szCs w:val="24"/>
        </w:rPr>
        <w:t>Retain</w:t>
      </w:r>
      <w:r w:rsidRPr="00C67631">
        <w:rPr>
          <w:spacing w:val="-4"/>
          <w:sz w:val="24"/>
          <w:szCs w:val="24"/>
        </w:rPr>
        <w:t xml:space="preserve"> </w:t>
      </w:r>
      <w:r w:rsidRPr="00C67631">
        <w:rPr>
          <w:sz w:val="24"/>
          <w:szCs w:val="24"/>
        </w:rPr>
        <w:t>records,</w:t>
      </w:r>
      <w:r w:rsidRPr="00C67631">
        <w:rPr>
          <w:spacing w:val="-4"/>
          <w:sz w:val="24"/>
          <w:szCs w:val="24"/>
        </w:rPr>
        <w:t xml:space="preserve"> </w:t>
      </w:r>
      <w:r w:rsidRPr="00C67631">
        <w:rPr>
          <w:sz w:val="24"/>
          <w:szCs w:val="24"/>
        </w:rPr>
        <w:t>other</w:t>
      </w:r>
      <w:r w:rsidRPr="00C67631">
        <w:rPr>
          <w:spacing w:val="-5"/>
          <w:sz w:val="24"/>
          <w:szCs w:val="24"/>
        </w:rPr>
        <w:t xml:space="preserve"> </w:t>
      </w:r>
      <w:r w:rsidRPr="00C67631">
        <w:rPr>
          <w:sz w:val="24"/>
          <w:szCs w:val="24"/>
        </w:rPr>
        <w:t>than</w:t>
      </w:r>
      <w:r w:rsidRPr="00C67631">
        <w:rPr>
          <w:spacing w:val="-4"/>
          <w:sz w:val="24"/>
          <w:szCs w:val="24"/>
        </w:rPr>
        <w:t xml:space="preserve"> </w:t>
      </w:r>
      <w:r w:rsidRPr="00C67631">
        <w:rPr>
          <w:sz w:val="24"/>
          <w:szCs w:val="24"/>
        </w:rPr>
        <w:t>health,</w:t>
      </w:r>
      <w:r w:rsidRPr="00C67631">
        <w:rPr>
          <w:spacing w:val="-4"/>
          <w:sz w:val="24"/>
          <w:szCs w:val="24"/>
        </w:rPr>
        <w:t xml:space="preserve"> </w:t>
      </w:r>
      <w:r w:rsidRPr="00C67631">
        <w:rPr>
          <w:sz w:val="24"/>
          <w:szCs w:val="24"/>
        </w:rPr>
        <w:t>medical,</w:t>
      </w:r>
      <w:r w:rsidRPr="00C67631">
        <w:rPr>
          <w:spacing w:val="-2"/>
          <w:sz w:val="24"/>
          <w:szCs w:val="24"/>
        </w:rPr>
        <w:t xml:space="preserve"> </w:t>
      </w:r>
      <w:r w:rsidRPr="00C67631">
        <w:rPr>
          <w:sz w:val="24"/>
          <w:szCs w:val="24"/>
        </w:rPr>
        <w:t>government</w:t>
      </w:r>
      <w:r w:rsidRPr="00C67631">
        <w:rPr>
          <w:spacing w:val="-4"/>
          <w:sz w:val="24"/>
          <w:szCs w:val="24"/>
        </w:rPr>
        <w:t xml:space="preserve"> </w:t>
      </w:r>
      <w:r w:rsidRPr="00C67631">
        <w:rPr>
          <w:sz w:val="24"/>
          <w:szCs w:val="24"/>
        </w:rPr>
        <w:t>contract,</w:t>
      </w:r>
      <w:r w:rsidRPr="00C67631">
        <w:rPr>
          <w:spacing w:val="-2"/>
          <w:sz w:val="24"/>
          <w:szCs w:val="24"/>
        </w:rPr>
        <w:t xml:space="preserve"> </w:t>
      </w:r>
      <w:r w:rsidRPr="00C67631">
        <w:rPr>
          <w:sz w:val="24"/>
          <w:szCs w:val="24"/>
        </w:rPr>
        <w:t>grant-in-aid,</w:t>
      </w:r>
      <w:r w:rsidRPr="00C67631">
        <w:rPr>
          <w:spacing w:val="-4"/>
          <w:sz w:val="24"/>
          <w:szCs w:val="24"/>
        </w:rPr>
        <w:t xml:space="preserve"> </w:t>
      </w:r>
      <w:r w:rsidRPr="00C67631">
        <w:rPr>
          <w:sz w:val="24"/>
          <w:szCs w:val="24"/>
        </w:rPr>
        <w:t>or</w:t>
      </w:r>
      <w:r w:rsidRPr="00C67631">
        <w:rPr>
          <w:spacing w:val="-5"/>
          <w:sz w:val="24"/>
          <w:szCs w:val="24"/>
        </w:rPr>
        <w:t xml:space="preserve"> </w:t>
      </w:r>
      <w:r w:rsidRPr="00C67631">
        <w:rPr>
          <w:sz w:val="24"/>
          <w:szCs w:val="24"/>
        </w:rPr>
        <w:t>tax</w:t>
      </w:r>
      <w:r w:rsidRPr="00C67631">
        <w:rPr>
          <w:spacing w:val="-2"/>
          <w:sz w:val="24"/>
          <w:szCs w:val="24"/>
        </w:rPr>
        <w:t xml:space="preserve"> </w:t>
      </w:r>
      <w:r w:rsidRPr="00C67631">
        <w:rPr>
          <w:sz w:val="24"/>
          <w:szCs w:val="24"/>
        </w:rPr>
        <w:t>records for more than three years</w:t>
      </w:r>
      <w:r w:rsidR="002819AC">
        <w:rPr>
          <w:sz w:val="24"/>
          <w:szCs w:val="24"/>
        </w:rPr>
        <w:t>;</w:t>
      </w:r>
    </w:p>
    <w:p w:rsidR="00C67631" w:rsidRPr="002E300A" w:rsidP="0042530A" w14:paraId="5420F27D" w14:textId="2EE83FC3">
      <w:pPr>
        <w:pStyle w:val="BodyText"/>
        <w:numPr>
          <w:ilvl w:val="1"/>
          <w:numId w:val="16"/>
        </w:numPr>
        <w:tabs>
          <w:tab w:val="num" w:pos="1877"/>
        </w:tabs>
        <w:spacing w:before="240" w:after="240"/>
      </w:pPr>
      <w:r>
        <w:t xml:space="preserve">The </w:t>
      </w:r>
      <w:r w:rsidRPr="002E300A" w:rsidR="005A4E66">
        <w:t xml:space="preserve">RHT Program </w:t>
      </w:r>
      <w:r>
        <w:t>spans 5</w:t>
      </w:r>
      <w:r w:rsidRPr="002E300A" w:rsidR="005A4E66">
        <w:t xml:space="preserve"> </w:t>
      </w:r>
      <w:r w:rsidRPr="002E300A">
        <w:t>years,</w:t>
      </w:r>
      <w:r>
        <w:t xml:space="preserve"> therefore</w:t>
      </w:r>
      <w:r>
        <w:t>,</w:t>
      </w:r>
      <w:r w:rsidRPr="002E300A" w:rsidR="005A4E66">
        <w:t xml:space="preserve"> progress reports and other </w:t>
      </w:r>
      <w:r w:rsidR="009C6E14">
        <w:t>p</w:t>
      </w:r>
      <w:r w:rsidRPr="002E300A" w:rsidR="005A4E66">
        <w:t>rogram data will be retained for more than three years.</w:t>
      </w:r>
    </w:p>
    <w:p w:rsidR="000878DA" w:rsidRPr="002E300A" w:rsidP="0042530A" w14:paraId="53C82DB4" w14:textId="3788973A">
      <w:pPr>
        <w:pStyle w:val="BodyText"/>
        <w:spacing w:before="240" w:after="240"/>
      </w:pPr>
      <w:r>
        <w:t>Otherwise, t</w:t>
      </w:r>
      <w:r w:rsidRPr="002E300A" w:rsidR="00EA19F8">
        <w:t>here</w:t>
      </w:r>
      <w:r w:rsidRPr="002E300A" w:rsidR="00EA19F8">
        <w:rPr>
          <w:spacing w:val="-2"/>
        </w:rPr>
        <w:t xml:space="preserve"> </w:t>
      </w:r>
      <w:r w:rsidRPr="002E300A" w:rsidR="00EA19F8">
        <w:t>are</w:t>
      </w:r>
      <w:r w:rsidRPr="002E300A" w:rsidR="00EA19F8">
        <w:rPr>
          <w:spacing w:val="-4"/>
        </w:rPr>
        <w:t xml:space="preserve"> </w:t>
      </w:r>
      <w:r w:rsidRPr="002E300A" w:rsidR="00EA19F8">
        <w:t>no</w:t>
      </w:r>
      <w:r w:rsidRPr="002E300A" w:rsidR="00EA19F8">
        <w:rPr>
          <w:spacing w:val="-3"/>
        </w:rPr>
        <w:t xml:space="preserve"> </w:t>
      </w:r>
      <w:r w:rsidRPr="002E300A" w:rsidR="00EA19F8">
        <w:t>special</w:t>
      </w:r>
      <w:r w:rsidRPr="002E300A" w:rsidR="00EA19F8">
        <w:rPr>
          <w:spacing w:val="-3"/>
        </w:rPr>
        <w:t xml:space="preserve"> </w:t>
      </w:r>
      <w:r w:rsidRPr="002E300A" w:rsidR="00EA19F8">
        <w:t>circumstances</w:t>
      </w:r>
      <w:r w:rsidRPr="002E300A" w:rsidR="00EA19F8">
        <w:rPr>
          <w:spacing w:val="-3"/>
        </w:rPr>
        <w:t xml:space="preserve"> </w:t>
      </w:r>
      <w:r w:rsidRPr="002E300A" w:rsidR="00EA19F8">
        <w:t>that</w:t>
      </w:r>
      <w:r w:rsidRPr="002E300A" w:rsidR="00EA19F8">
        <w:rPr>
          <w:spacing w:val="-3"/>
        </w:rPr>
        <w:t xml:space="preserve"> </w:t>
      </w:r>
      <w:r w:rsidRPr="002E300A" w:rsidR="00EA19F8">
        <w:t>would</w:t>
      </w:r>
      <w:r w:rsidRPr="002E300A" w:rsidR="00EA19F8">
        <w:rPr>
          <w:spacing w:val="-3"/>
        </w:rPr>
        <w:t xml:space="preserve"> </w:t>
      </w:r>
      <w:r w:rsidRPr="002E300A" w:rsidR="00EA19F8">
        <w:t>require</w:t>
      </w:r>
      <w:r w:rsidRPr="002E300A" w:rsidR="00EA19F8">
        <w:rPr>
          <w:spacing w:val="-4"/>
        </w:rPr>
        <w:t xml:space="preserve"> </w:t>
      </w:r>
      <w:r w:rsidRPr="002E300A" w:rsidR="00EA19F8">
        <w:t>an</w:t>
      </w:r>
      <w:r w:rsidRPr="002E300A" w:rsidR="00EA19F8">
        <w:rPr>
          <w:spacing w:val="-3"/>
        </w:rPr>
        <w:t xml:space="preserve"> </w:t>
      </w:r>
      <w:r w:rsidRPr="002E300A" w:rsidR="00EA19F8">
        <w:t>information</w:t>
      </w:r>
      <w:r w:rsidRPr="002E300A" w:rsidR="00EA19F8">
        <w:rPr>
          <w:spacing w:val="-3"/>
        </w:rPr>
        <w:t xml:space="preserve"> </w:t>
      </w:r>
      <w:r w:rsidRPr="002E300A" w:rsidR="00EA19F8">
        <w:t>collection</w:t>
      </w:r>
      <w:r w:rsidRPr="002E300A" w:rsidR="00EA19F8">
        <w:rPr>
          <w:spacing w:val="-3"/>
        </w:rPr>
        <w:t xml:space="preserve"> </w:t>
      </w:r>
      <w:r w:rsidRPr="002E300A" w:rsidR="00EA19F8">
        <w:t>to</w:t>
      </w:r>
      <w:r w:rsidRPr="002E300A" w:rsidR="00EA19F8">
        <w:rPr>
          <w:spacing w:val="-3"/>
        </w:rPr>
        <w:t xml:space="preserve"> </w:t>
      </w:r>
      <w:r w:rsidRPr="002E300A" w:rsidR="00EA19F8">
        <w:t>be</w:t>
      </w:r>
      <w:r w:rsidRPr="002E300A" w:rsidR="00EA19F8">
        <w:rPr>
          <w:spacing w:val="-4"/>
        </w:rPr>
        <w:t xml:space="preserve"> </w:t>
      </w:r>
      <w:r w:rsidRPr="002E300A" w:rsidR="00EA19F8">
        <w:t>conducted</w:t>
      </w:r>
      <w:r w:rsidRPr="002E300A" w:rsidR="00EA19F8">
        <w:rPr>
          <w:spacing w:val="-3"/>
        </w:rPr>
        <w:t xml:space="preserve"> </w:t>
      </w:r>
      <w:r w:rsidRPr="002E300A" w:rsidR="00EA19F8">
        <w:t>in a manner that requires respondents to:</w:t>
      </w:r>
    </w:p>
    <w:p w:rsidR="000878DA" w:rsidRPr="002E300A" w:rsidP="00564A8E" w14:paraId="418E2616" w14:textId="7FE94DA3">
      <w:pPr>
        <w:pStyle w:val="BodyText"/>
        <w:widowControl/>
        <w:numPr>
          <w:ilvl w:val="0"/>
          <w:numId w:val="17"/>
        </w:numPr>
        <w:autoSpaceDE/>
        <w:autoSpaceDN/>
        <w:spacing w:after="160" w:line="259" w:lineRule="auto"/>
      </w:pPr>
      <w:r w:rsidRPr="002E300A">
        <w:t>Report information to the agency more often than quarterl</w:t>
      </w:r>
      <w:r w:rsidRPr="002E300A" w:rsidR="004927B9">
        <w:t>y</w:t>
      </w:r>
      <w:r w:rsidR="002439BB">
        <w:t>;</w:t>
      </w:r>
    </w:p>
    <w:p w:rsidR="0084666D" w:rsidRPr="002E300A" w:rsidP="00564A8E" w14:paraId="4D244865" w14:textId="34545B54">
      <w:pPr>
        <w:pStyle w:val="BodyText"/>
        <w:widowControl/>
        <w:numPr>
          <w:ilvl w:val="0"/>
          <w:numId w:val="17"/>
        </w:numPr>
        <w:autoSpaceDE/>
        <w:autoSpaceDN/>
        <w:spacing w:after="160" w:line="259" w:lineRule="auto"/>
      </w:pPr>
      <w:r w:rsidRPr="002E300A">
        <w:t>Submit more than an original and two copies of any document</w:t>
      </w:r>
      <w:r w:rsidR="002439BB">
        <w:t>;</w:t>
      </w:r>
    </w:p>
    <w:p w:rsidR="000878DA" w:rsidRPr="002E300A" w:rsidP="00564A8E" w14:paraId="668D2B9B" w14:textId="23407BC3">
      <w:pPr>
        <w:pStyle w:val="BodyText"/>
        <w:widowControl/>
        <w:numPr>
          <w:ilvl w:val="0"/>
          <w:numId w:val="17"/>
        </w:numPr>
        <w:autoSpaceDE/>
        <w:autoSpaceDN/>
        <w:spacing w:after="160" w:line="259" w:lineRule="auto"/>
      </w:pPr>
      <w:r w:rsidRPr="002E300A">
        <w:t>Collect data in connection with a statistical survey that is not designed to produce vali</w:t>
      </w:r>
      <w:r w:rsidRPr="002E300A" w:rsidR="0075553D">
        <w:t>d</w:t>
      </w:r>
      <w:r w:rsidRPr="002E300A" w:rsidR="0084666D">
        <w:t xml:space="preserve"> </w:t>
      </w:r>
      <w:r w:rsidRPr="002E300A">
        <w:t>and reliable results that can be generalized to the universe of study</w:t>
      </w:r>
      <w:r w:rsidR="002439BB">
        <w:t>;</w:t>
      </w:r>
    </w:p>
    <w:p w:rsidR="000878DA" w:rsidRPr="002E300A" w:rsidP="00564A8E" w14:paraId="50CECD4C" w14:textId="7BD89DEF">
      <w:pPr>
        <w:pStyle w:val="BodyText"/>
        <w:widowControl/>
        <w:numPr>
          <w:ilvl w:val="0"/>
          <w:numId w:val="17"/>
        </w:numPr>
        <w:autoSpaceDE/>
        <w:autoSpaceDN/>
        <w:spacing w:after="160" w:line="259" w:lineRule="auto"/>
      </w:pPr>
      <w:r w:rsidRPr="002E300A">
        <w:t xml:space="preserve">Use </w:t>
      </w:r>
      <w:r w:rsidRPr="002E300A" w:rsidR="000454E7">
        <w:t>statistical</w:t>
      </w:r>
      <w:r w:rsidRPr="002E300A">
        <w:t xml:space="preserve"> data classification that has not been reviewed and approved by OMB</w:t>
      </w:r>
      <w:r w:rsidR="002439BB">
        <w:t>;</w:t>
      </w:r>
    </w:p>
    <w:p w:rsidR="000878DA" w:rsidRPr="009C6E14" w:rsidP="00564A8E" w14:paraId="28A6BD58" w14:textId="76DBDEDD">
      <w:pPr>
        <w:pStyle w:val="BodyText"/>
        <w:widowControl/>
        <w:numPr>
          <w:ilvl w:val="0"/>
          <w:numId w:val="17"/>
        </w:numPr>
        <w:autoSpaceDE/>
        <w:autoSpaceDN/>
        <w:spacing w:after="160" w:line="259" w:lineRule="auto"/>
      </w:pPr>
      <w:r w:rsidRPr="002E300A">
        <w:t>Include a pledge of confidentiality that is not supported by authority established in statute</w:t>
      </w:r>
      <w:r w:rsidR="009C6E14">
        <w:t xml:space="preserve"> </w:t>
      </w:r>
      <w:r w:rsidRPr="009C6E14">
        <w:t>or regulation that is not supported by disclosure and data security policies that are consistent with the pledge, or which unnecessarily impedes sharing of data with other agencies for compatible confidential use; or</w:t>
      </w:r>
    </w:p>
    <w:p w:rsidR="000878DA" w:rsidRPr="0042530A" w:rsidP="00564A8E" w14:paraId="1584ED89" w14:textId="18562FB4">
      <w:pPr>
        <w:pStyle w:val="BodyText"/>
        <w:widowControl/>
        <w:numPr>
          <w:ilvl w:val="0"/>
          <w:numId w:val="17"/>
        </w:numPr>
        <w:autoSpaceDE/>
        <w:autoSpaceDN/>
        <w:spacing w:after="160" w:line="259" w:lineRule="auto"/>
      </w:pPr>
      <w:r w:rsidRPr="002E300A">
        <w:t xml:space="preserve">Submit proprietary trade </w:t>
      </w:r>
      <w:r w:rsidRPr="002E300A" w:rsidR="000454E7">
        <w:t>secrets</w:t>
      </w:r>
      <w:r w:rsidRPr="002E300A">
        <w:t>, or other confidential information unless the agency can demonstrate that it has instituted procedures to protect the information's confidentiality to the</w:t>
      </w:r>
      <w:r w:rsidRPr="002E300A" w:rsidR="00CE41F8">
        <w:t xml:space="preserve"> </w:t>
      </w:r>
      <w:r w:rsidRPr="002E300A">
        <w:t>extent permitted by law.</w:t>
      </w:r>
    </w:p>
    <w:p w:rsidR="000878DA" w:rsidRPr="004301C2" w:rsidP="0042530A" w14:paraId="418C57B0" w14:textId="7C05034E">
      <w:pPr>
        <w:pStyle w:val="ListParagraph"/>
        <w:numPr>
          <w:ilvl w:val="1"/>
          <w:numId w:val="5"/>
        </w:numPr>
        <w:tabs>
          <w:tab w:val="left" w:pos="551"/>
          <w:tab w:val="left" w:pos="552"/>
        </w:tabs>
        <w:spacing w:before="240" w:after="240"/>
        <w:ind w:left="0" w:firstLine="0"/>
        <w:rPr>
          <w:sz w:val="24"/>
          <w:szCs w:val="24"/>
        </w:rPr>
      </w:pPr>
      <w:bookmarkStart w:id="8" w:name="8._Federal_Register/Outside_Consultation"/>
      <w:bookmarkEnd w:id="8"/>
      <w:r w:rsidRPr="004301C2">
        <w:rPr>
          <w:sz w:val="24"/>
          <w:szCs w:val="24"/>
          <w:u w:val="single"/>
        </w:rPr>
        <w:t>Federal</w:t>
      </w:r>
      <w:r w:rsidRPr="004301C2">
        <w:rPr>
          <w:spacing w:val="-2"/>
          <w:sz w:val="24"/>
          <w:szCs w:val="24"/>
          <w:u w:val="single"/>
        </w:rPr>
        <w:t xml:space="preserve"> </w:t>
      </w:r>
      <w:r w:rsidRPr="004301C2">
        <w:rPr>
          <w:sz w:val="24"/>
          <w:szCs w:val="24"/>
          <w:u w:val="single"/>
        </w:rPr>
        <w:t>Register/Outside</w:t>
      </w:r>
      <w:r w:rsidRPr="004301C2">
        <w:rPr>
          <w:spacing w:val="1"/>
          <w:sz w:val="24"/>
          <w:szCs w:val="24"/>
          <w:u w:val="single"/>
        </w:rPr>
        <w:t xml:space="preserve"> </w:t>
      </w:r>
      <w:r w:rsidRPr="004301C2">
        <w:rPr>
          <w:spacing w:val="-2"/>
          <w:sz w:val="24"/>
          <w:szCs w:val="24"/>
          <w:u w:val="single"/>
        </w:rPr>
        <w:t>Consultation</w:t>
      </w:r>
    </w:p>
    <w:p w:rsidR="004301C2" w:rsidP="0042530A" w14:paraId="23C56DEE" w14:textId="2C1BDC5B">
      <w:pPr>
        <w:pStyle w:val="BodyText"/>
        <w:spacing w:before="240" w:after="240"/>
        <w:rPr>
          <w:spacing w:val="-3"/>
        </w:rPr>
      </w:pPr>
      <w:r w:rsidRPr="004301C2">
        <w:t>The</w:t>
      </w:r>
      <w:r w:rsidRPr="004301C2">
        <w:rPr>
          <w:spacing w:val="-5"/>
        </w:rPr>
        <w:t xml:space="preserve"> </w:t>
      </w:r>
      <w:r w:rsidRPr="004301C2">
        <w:t>60-day</w:t>
      </w:r>
      <w:r w:rsidRPr="004301C2">
        <w:rPr>
          <w:spacing w:val="-8"/>
        </w:rPr>
        <w:t xml:space="preserve"> </w:t>
      </w:r>
      <w:r w:rsidRPr="004301C2">
        <w:t>notice</w:t>
      </w:r>
      <w:r w:rsidRPr="004301C2" w:rsidR="0037431F">
        <w:t xml:space="preserve"> </w:t>
      </w:r>
      <w:r w:rsidRPr="004301C2">
        <w:t>published</w:t>
      </w:r>
      <w:r w:rsidRPr="004301C2">
        <w:rPr>
          <w:spacing w:val="-4"/>
        </w:rPr>
        <w:t xml:space="preserve"> </w:t>
      </w:r>
      <w:r w:rsidRPr="004301C2">
        <w:t>in</w:t>
      </w:r>
      <w:r w:rsidRPr="004301C2">
        <w:rPr>
          <w:spacing w:val="-4"/>
        </w:rPr>
        <w:t xml:space="preserve"> </w:t>
      </w:r>
      <w:r w:rsidRPr="004301C2">
        <w:t>the</w:t>
      </w:r>
      <w:r w:rsidRPr="004301C2">
        <w:rPr>
          <w:spacing w:val="-3"/>
        </w:rPr>
        <w:t xml:space="preserve"> </w:t>
      </w:r>
      <w:r w:rsidRPr="004301C2">
        <w:t>Federal</w:t>
      </w:r>
      <w:r w:rsidRPr="004301C2">
        <w:rPr>
          <w:spacing w:val="-3"/>
        </w:rPr>
        <w:t xml:space="preserve"> </w:t>
      </w:r>
      <w:r w:rsidRPr="004301C2">
        <w:t>Register</w:t>
      </w:r>
      <w:r w:rsidRPr="004301C2">
        <w:rPr>
          <w:spacing w:val="-4"/>
        </w:rPr>
        <w:t xml:space="preserve"> </w:t>
      </w:r>
      <w:r w:rsidRPr="004301C2">
        <w:t>on</w:t>
      </w:r>
      <w:r w:rsidRPr="004301C2">
        <w:rPr>
          <w:spacing w:val="-3"/>
        </w:rPr>
        <w:t xml:space="preserve"> </w:t>
      </w:r>
      <w:r>
        <w:rPr>
          <w:spacing w:val="-3"/>
        </w:rPr>
        <w:t xml:space="preserve">March </w:t>
      </w:r>
      <w:r w:rsidRPr="004301C2" w:rsidR="00357A00">
        <w:rPr>
          <w:spacing w:val="-3"/>
        </w:rPr>
        <w:t>11</w:t>
      </w:r>
      <w:r>
        <w:rPr>
          <w:spacing w:val="-3"/>
        </w:rPr>
        <w:t xml:space="preserve">, </w:t>
      </w:r>
      <w:r w:rsidRPr="004301C2" w:rsidR="00357A00">
        <w:rPr>
          <w:spacing w:val="-3"/>
        </w:rPr>
        <w:t>2026</w:t>
      </w:r>
      <w:r w:rsidRPr="004301C2">
        <w:rPr>
          <w:spacing w:val="-2"/>
        </w:rPr>
        <w:t xml:space="preserve"> </w:t>
      </w:r>
      <w:r w:rsidRPr="004301C2">
        <w:t>(</w:t>
      </w:r>
      <w:r w:rsidRPr="004301C2" w:rsidR="00357815">
        <w:t>9</w:t>
      </w:r>
      <w:r w:rsidRPr="004301C2" w:rsidR="00357A00">
        <w:t>1</w:t>
      </w:r>
      <w:r w:rsidRPr="004301C2">
        <w:rPr>
          <w:spacing w:val="-3"/>
        </w:rPr>
        <w:t xml:space="preserve"> </w:t>
      </w:r>
      <w:r w:rsidRPr="004301C2">
        <w:t>FR</w:t>
      </w:r>
      <w:r w:rsidRPr="004301C2">
        <w:rPr>
          <w:spacing w:val="-3"/>
        </w:rPr>
        <w:t xml:space="preserve"> </w:t>
      </w:r>
      <w:r w:rsidRPr="004301C2" w:rsidR="00357A00">
        <w:rPr>
          <w:spacing w:val="-3"/>
        </w:rPr>
        <w:t>11978</w:t>
      </w:r>
      <w:r w:rsidRPr="004301C2">
        <w:t>).</w:t>
      </w:r>
      <w:r w:rsidRPr="004301C2">
        <w:rPr>
          <w:spacing w:val="-3"/>
        </w:rPr>
        <w:t xml:space="preserve"> </w:t>
      </w:r>
      <w:bookmarkStart w:id="9" w:name="9._Payments/Gifts_to_Respondents"/>
      <w:bookmarkEnd w:id="9"/>
      <w:r w:rsidRPr="004301C2" w:rsidR="006A059D">
        <w:rPr>
          <w:spacing w:val="-3"/>
        </w:rPr>
        <w:t xml:space="preserve">Public comments </w:t>
      </w:r>
      <w:r>
        <w:rPr>
          <w:spacing w:val="-3"/>
        </w:rPr>
        <w:t xml:space="preserve">were </w:t>
      </w:r>
      <w:r w:rsidRPr="004301C2" w:rsidR="006A059D">
        <w:rPr>
          <w:spacing w:val="-3"/>
        </w:rPr>
        <w:t xml:space="preserve">received </w:t>
      </w:r>
      <w:r>
        <w:rPr>
          <w:spacing w:val="-3"/>
        </w:rPr>
        <w:t>and are attached to this collection of information request along with our response to such comments</w:t>
      </w:r>
      <w:r w:rsidRPr="004301C2" w:rsidR="006A059D">
        <w:rPr>
          <w:spacing w:val="-3"/>
        </w:rPr>
        <w:t>.</w:t>
      </w:r>
    </w:p>
    <w:p w:rsidR="009A49E0" w:rsidRPr="004301C2" w:rsidP="009A49E0" w14:paraId="3D6CEC40" w14:textId="78016D07">
      <w:pPr>
        <w:pStyle w:val="BodyText"/>
        <w:spacing w:before="240" w:after="240"/>
        <w:rPr>
          <w:spacing w:val="-3"/>
        </w:rPr>
      </w:pPr>
      <w:r w:rsidRPr="004301C2">
        <w:t xml:space="preserve">In </w:t>
      </w:r>
      <w:r>
        <w:t xml:space="preserve">summary, we </w:t>
      </w:r>
      <w:r w:rsidRPr="004301C2">
        <w:t xml:space="preserve">CMS increased </w:t>
      </w:r>
      <w:r>
        <w:t xml:space="preserve">our </w:t>
      </w:r>
      <w:r w:rsidRPr="004301C2">
        <w:t>burden estimates to be commensurate with the required RHT Program reporting activities. The increased burden estimates also account for the addition of reporting fields intended to ensure State tracking and oversight of subrecipient information and monitoring of program-specific limitations.</w:t>
      </w:r>
    </w:p>
    <w:p w:rsidR="000878DA" w:rsidRPr="004301C2" w:rsidP="0042530A" w14:paraId="45322026" w14:textId="4913F6AD">
      <w:pPr>
        <w:pStyle w:val="BodyText"/>
        <w:spacing w:before="240" w:after="240"/>
        <w:rPr>
          <w:spacing w:val="-3"/>
        </w:rPr>
      </w:pPr>
      <w:r>
        <w:rPr>
          <w:spacing w:val="-3"/>
        </w:rPr>
        <w:t>Other c</w:t>
      </w:r>
      <w:r w:rsidRPr="004301C2" w:rsidR="001B0B6D">
        <w:rPr>
          <w:spacing w:val="-3"/>
        </w:rPr>
        <w:t>omments indicated a general desire for more reporting guidance, an interest in capturing subrecipient information, and a consideration for more resources to help conduct reporting. To address this, CMS will provide reporting resources</w:t>
      </w:r>
      <w:r w:rsidRPr="004301C2" w:rsidR="008B13B2">
        <w:rPr>
          <w:spacing w:val="-3"/>
        </w:rPr>
        <w:t xml:space="preserve"> </w:t>
      </w:r>
      <w:r w:rsidRPr="004301C2" w:rsidR="001B0B6D">
        <w:rPr>
          <w:spacing w:val="-3"/>
        </w:rPr>
        <w:t>such as</w:t>
      </w:r>
      <w:r w:rsidRPr="004301C2" w:rsidR="008B13B2">
        <w:rPr>
          <w:spacing w:val="-3"/>
        </w:rPr>
        <w:t>,</w:t>
      </w:r>
      <w:r w:rsidRPr="004301C2" w:rsidR="001B0B6D">
        <w:rPr>
          <w:spacing w:val="-3"/>
        </w:rPr>
        <w:t xml:space="preserve"> guidance documents, instructions, and webinars to help States </w:t>
      </w:r>
      <w:r w:rsidRPr="004301C2" w:rsidR="009C6E14">
        <w:rPr>
          <w:spacing w:val="-3"/>
        </w:rPr>
        <w:t xml:space="preserve">complete </w:t>
      </w:r>
      <w:r w:rsidRPr="004301C2" w:rsidR="001B0B6D">
        <w:rPr>
          <w:spacing w:val="-3"/>
        </w:rPr>
        <w:t>reporting.</w:t>
      </w:r>
    </w:p>
    <w:p w:rsidR="004301C2" w:rsidP="004301C2" w14:paraId="7E1C5DA8" w14:textId="37D53CB5">
      <w:pPr>
        <w:pStyle w:val="BodyText"/>
        <w:spacing w:before="240" w:after="240"/>
        <w:rPr>
          <w:spacing w:val="-3"/>
        </w:rPr>
      </w:pPr>
      <w:r w:rsidRPr="004301C2">
        <w:t>The</w:t>
      </w:r>
      <w:r w:rsidRPr="004301C2">
        <w:rPr>
          <w:spacing w:val="-5"/>
        </w:rPr>
        <w:t xml:space="preserve"> </w:t>
      </w:r>
      <w:r>
        <w:rPr>
          <w:spacing w:val="-5"/>
        </w:rPr>
        <w:t>3</w:t>
      </w:r>
      <w:r w:rsidRPr="004301C2">
        <w:t>0-day</w:t>
      </w:r>
      <w:r w:rsidRPr="004301C2">
        <w:rPr>
          <w:spacing w:val="-8"/>
        </w:rPr>
        <w:t xml:space="preserve"> </w:t>
      </w:r>
      <w:r w:rsidRPr="004301C2">
        <w:t>notice published</w:t>
      </w:r>
      <w:r w:rsidRPr="004301C2">
        <w:rPr>
          <w:spacing w:val="-4"/>
        </w:rPr>
        <w:t xml:space="preserve"> </w:t>
      </w:r>
      <w:r w:rsidRPr="004301C2">
        <w:t>in</w:t>
      </w:r>
      <w:r w:rsidRPr="004301C2">
        <w:rPr>
          <w:spacing w:val="-4"/>
        </w:rPr>
        <w:t xml:space="preserve"> </w:t>
      </w:r>
      <w:r w:rsidRPr="004301C2">
        <w:t>the</w:t>
      </w:r>
      <w:r w:rsidRPr="004301C2">
        <w:rPr>
          <w:spacing w:val="-3"/>
        </w:rPr>
        <w:t xml:space="preserve"> </w:t>
      </w:r>
      <w:r w:rsidRPr="004301C2">
        <w:t>Federal</w:t>
      </w:r>
      <w:r w:rsidRPr="004301C2">
        <w:rPr>
          <w:spacing w:val="-3"/>
        </w:rPr>
        <w:t xml:space="preserve"> </w:t>
      </w:r>
      <w:r w:rsidRPr="004301C2">
        <w:t>Register</w:t>
      </w:r>
      <w:r w:rsidRPr="004301C2">
        <w:rPr>
          <w:spacing w:val="-4"/>
        </w:rPr>
        <w:t xml:space="preserve"> </w:t>
      </w:r>
      <w:r w:rsidRPr="004301C2">
        <w:t>on</w:t>
      </w:r>
      <w:r w:rsidRPr="004301C2">
        <w:rPr>
          <w:spacing w:val="-3"/>
        </w:rPr>
        <w:t xml:space="preserve"> </w:t>
      </w:r>
      <w:r>
        <w:rPr>
          <w:spacing w:val="-3"/>
        </w:rPr>
        <w:t>July 6, 2026</w:t>
      </w:r>
      <w:r w:rsidRPr="004301C2">
        <w:rPr>
          <w:spacing w:val="-2"/>
        </w:rPr>
        <w:t xml:space="preserve"> </w:t>
      </w:r>
      <w:r w:rsidRPr="004301C2">
        <w:t>(91</w:t>
      </w:r>
      <w:r w:rsidRPr="004301C2">
        <w:rPr>
          <w:spacing w:val="-3"/>
        </w:rPr>
        <w:t xml:space="preserve"> </w:t>
      </w:r>
      <w:r w:rsidRPr="004301C2">
        <w:t>FR</w:t>
      </w:r>
      <w:r>
        <w:t xml:space="preserve"> 41039</w:t>
      </w:r>
      <w:r w:rsidRPr="004301C2">
        <w:t>).</w:t>
      </w:r>
      <w:r w:rsidRPr="004301C2">
        <w:rPr>
          <w:spacing w:val="-3"/>
        </w:rPr>
        <w:t xml:space="preserve"> </w:t>
      </w:r>
    </w:p>
    <w:p w:rsidR="000878DA" w:rsidRPr="0042530A" w:rsidP="00B2414C" w14:paraId="67EF4591" w14:textId="209F5E8B">
      <w:pPr>
        <w:pStyle w:val="ListParagraph"/>
        <w:numPr>
          <w:ilvl w:val="1"/>
          <w:numId w:val="5"/>
        </w:numPr>
        <w:tabs>
          <w:tab w:val="left" w:pos="551"/>
          <w:tab w:val="left" w:pos="552"/>
        </w:tabs>
        <w:spacing w:before="240" w:after="240"/>
        <w:rPr>
          <w:sz w:val="24"/>
          <w:szCs w:val="24"/>
        </w:rPr>
      </w:pPr>
      <w:r w:rsidRPr="002E300A">
        <w:rPr>
          <w:sz w:val="24"/>
          <w:szCs w:val="24"/>
          <w:u w:val="single"/>
        </w:rPr>
        <w:t xml:space="preserve">Payments/Gifts to </w:t>
      </w:r>
      <w:r w:rsidRPr="002E300A">
        <w:rPr>
          <w:spacing w:val="-2"/>
          <w:sz w:val="24"/>
          <w:szCs w:val="24"/>
          <w:u w:val="single"/>
        </w:rPr>
        <w:t>Respondents</w:t>
      </w:r>
    </w:p>
    <w:p w:rsidR="000878DA" w:rsidRPr="002E300A" w:rsidP="0042530A" w14:paraId="590E35BB" w14:textId="32B7CE21">
      <w:pPr>
        <w:pStyle w:val="BodyText"/>
        <w:spacing w:before="240" w:after="240"/>
      </w:pPr>
      <w:bookmarkStart w:id="10" w:name="10._Confidentiality"/>
      <w:bookmarkEnd w:id="10"/>
      <w:r w:rsidRPr="002E300A">
        <w:t>Payments</w:t>
      </w:r>
      <w:r w:rsidRPr="002E300A">
        <w:rPr>
          <w:spacing w:val="-4"/>
        </w:rPr>
        <w:t xml:space="preserve"> </w:t>
      </w:r>
      <w:r w:rsidRPr="002E300A">
        <w:t>or gifts</w:t>
      </w:r>
      <w:r w:rsidRPr="002E300A">
        <w:rPr>
          <w:spacing w:val="-1"/>
        </w:rPr>
        <w:t xml:space="preserve"> </w:t>
      </w:r>
      <w:r w:rsidRPr="002E300A">
        <w:t>will</w:t>
      </w:r>
      <w:r w:rsidRPr="002E300A">
        <w:rPr>
          <w:spacing w:val="-2"/>
        </w:rPr>
        <w:t xml:space="preserve"> </w:t>
      </w:r>
      <w:r w:rsidRPr="002E300A">
        <w:t>not</w:t>
      </w:r>
      <w:r w:rsidRPr="002E300A">
        <w:rPr>
          <w:spacing w:val="-1"/>
        </w:rPr>
        <w:t xml:space="preserve"> </w:t>
      </w:r>
      <w:r w:rsidRPr="002E300A">
        <w:t>be</w:t>
      </w:r>
      <w:r w:rsidRPr="002E300A">
        <w:rPr>
          <w:spacing w:val="-2"/>
        </w:rPr>
        <w:t xml:space="preserve"> </w:t>
      </w:r>
      <w:r w:rsidRPr="002E300A">
        <w:t>provided</w:t>
      </w:r>
      <w:r w:rsidRPr="002E300A">
        <w:rPr>
          <w:spacing w:val="-2"/>
        </w:rPr>
        <w:t xml:space="preserve"> </w:t>
      </w:r>
      <w:r w:rsidRPr="002E300A">
        <w:t>to</w:t>
      </w:r>
      <w:r w:rsidRPr="002E300A">
        <w:rPr>
          <w:spacing w:val="-2"/>
        </w:rPr>
        <w:t xml:space="preserve"> respondents.</w:t>
      </w:r>
    </w:p>
    <w:p w:rsidR="000878DA" w:rsidRPr="0042530A" w:rsidP="0042530A" w14:paraId="7EB3BA1B" w14:textId="134D5808">
      <w:pPr>
        <w:pStyle w:val="ListParagraph"/>
        <w:numPr>
          <w:ilvl w:val="1"/>
          <w:numId w:val="5"/>
        </w:numPr>
        <w:tabs>
          <w:tab w:val="left" w:pos="552"/>
        </w:tabs>
        <w:spacing w:before="240" w:after="240"/>
        <w:rPr>
          <w:sz w:val="24"/>
          <w:szCs w:val="24"/>
        </w:rPr>
      </w:pPr>
      <w:r w:rsidRPr="002E300A">
        <w:rPr>
          <w:spacing w:val="-2"/>
          <w:sz w:val="24"/>
          <w:szCs w:val="24"/>
          <w:u w:val="single"/>
        </w:rPr>
        <w:t>Confidentiality</w:t>
      </w:r>
    </w:p>
    <w:p w:rsidR="000878DA" w:rsidRPr="002E300A" w:rsidP="0042530A" w14:paraId="4E58C2C8" w14:textId="1936DF35">
      <w:pPr>
        <w:pStyle w:val="BodyText"/>
        <w:spacing w:before="240" w:after="240"/>
      </w:pPr>
      <w:r w:rsidRPr="009C3A19">
        <w:t xml:space="preserve">Assurances of confidentiality will not be provided to respondents. </w:t>
      </w:r>
      <w:r w:rsidRPr="009C3A19" w:rsidR="004A1E18">
        <w:t>T</w:t>
      </w:r>
      <w:r w:rsidRPr="009C3A19">
        <w:t xml:space="preserve">he information being requested for this data collection is intended to be publicly available upon request. </w:t>
      </w:r>
      <w:bookmarkStart w:id="11" w:name="11._Sensitive_Questions"/>
      <w:bookmarkEnd w:id="11"/>
    </w:p>
    <w:p w:rsidR="007F74CD" w:rsidRPr="002E300A" w:rsidP="0042530A" w14:paraId="22D5488E" w14:textId="26337DAA">
      <w:pPr>
        <w:pStyle w:val="BodyText"/>
        <w:numPr>
          <w:ilvl w:val="1"/>
          <w:numId w:val="5"/>
        </w:numPr>
        <w:spacing w:before="240" w:after="240"/>
      </w:pPr>
      <w:r w:rsidRPr="002E300A">
        <w:rPr>
          <w:u w:val="single"/>
        </w:rPr>
        <w:t>Sensitive</w:t>
      </w:r>
      <w:r w:rsidRPr="002E300A">
        <w:rPr>
          <w:spacing w:val="-9"/>
          <w:u w:val="single"/>
        </w:rPr>
        <w:t xml:space="preserve"> </w:t>
      </w:r>
      <w:r w:rsidRPr="002E300A">
        <w:rPr>
          <w:spacing w:val="-2"/>
          <w:u w:val="single"/>
        </w:rPr>
        <w:t>Questions</w:t>
      </w:r>
    </w:p>
    <w:p w:rsidR="000878DA" w:rsidRPr="00317CD3" w:rsidP="0042530A" w14:paraId="20A73493" w14:textId="691DC5D9">
      <w:pPr>
        <w:pStyle w:val="BodyText"/>
        <w:spacing w:before="240" w:after="240"/>
        <w:jc w:val="both"/>
      </w:pPr>
      <w:r w:rsidRPr="002E300A">
        <w:t>There are no sensitive questions associated with this collection. Specifically, the collection does not</w:t>
      </w:r>
      <w:r w:rsidRPr="002E300A">
        <w:rPr>
          <w:spacing w:val="-3"/>
        </w:rPr>
        <w:t xml:space="preserve"> </w:t>
      </w:r>
      <w:r w:rsidRPr="002E300A">
        <w:t>solicit</w:t>
      </w:r>
      <w:r w:rsidRPr="002E300A">
        <w:rPr>
          <w:spacing w:val="-3"/>
        </w:rPr>
        <w:t xml:space="preserve"> </w:t>
      </w:r>
      <w:r w:rsidRPr="002E300A">
        <w:t>questions</w:t>
      </w:r>
      <w:r w:rsidRPr="002E300A">
        <w:rPr>
          <w:spacing w:val="-3"/>
        </w:rPr>
        <w:t xml:space="preserve"> </w:t>
      </w:r>
      <w:r w:rsidRPr="002E300A">
        <w:t>of</w:t>
      </w:r>
      <w:r w:rsidRPr="002E300A">
        <w:rPr>
          <w:spacing w:val="-4"/>
        </w:rPr>
        <w:t xml:space="preserve"> </w:t>
      </w:r>
      <w:r w:rsidRPr="002E300A">
        <w:t>a</w:t>
      </w:r>
      <w:r w:rsidRPr="002E300A">
        <w:rPr>
          <w:spacing w:val="-4"/>
        </w:rPr>
        <w:t xml:space="preserve"> </w:t>
      </w:r>
      <w:r w:rsidRPr="002E300A">
        <w:t>sensitive</w:t>
      </w:r>
      <w:r w:rsidRPr="002E300A">
        <w:rPr>
          <w:spacing w:val="-5"/>
        </w:rPr>
        <w:t xml:space="preserve"> </w:t>
      </w:r>
      <w:r w:rsidRPr="002E300A">
        <w:t>nature,</w:t>
      </w:r>
      <w:r w:rsidRPr="002E300A">
        <w:rPr>
          <w:spacing w:val="-4"/>
        </w:rPr>
        <w:t xml:space="preserve"> </w:t>
      </w:r>
      <w:r w:rsidRPr="002E300A">
        <w:t>such as</w:t>
      </w:r>
      <w:r w:rsidRPr="002E300A">
        <w:rPr>
          <w:spacing w:val="-3"/>
        </w:rPr>
        <w:t xml:space="preserve"> </w:t>
      </w:r>
      <w:r w:rsidRPr="002E300A">
        <w:t>sexual</w:t>
      </w:r>
      <w:r w:rsidRPr="002E300A">
        <w:rPr>
          <w:spacing w:val="-3"/>
        </w:rPr>
        <w:t xml:space="preserve"> </w:t>
      </w:r>
      <w:r w:rsidRPr="002E300A">
        <w:t>behavior</w:t>
      </w:r>
      <w:r w:rsidRPr="002E300A">
        <w:rPr>
          <w:spacing w:val="-4"/>
        </w:rPr>
        <w:t xml:space="preserve"> </w:t>
      </w:r>
      <w:r w:rsidRPr="002E300A">
        <w:t>and</w:t>
      </w:r>
      <w:r w:rsidRPr="002E300A">
        <w:rPr>
          <w:spacing w:val="-4"/>
        </w:rPr>
        <w:t xml:space="preserve"> </w:t>
      </w:r>
      <w:r w:rsidRPr="002E300A">
        <w:t>attitudes,</w:t>
      </w:r>
      <w:r w:rsidRPr="002E300A">
        <w:rPr>
          <w:spacing w:val="-4"/>
        </w:rPr>
        <w:t xml:space="preserve"> </w:t>
      </w:r>
      <w:r w:rsidRPr="002E300A">
        <w:t>religious</w:t>
      </w:r>
      <w:r w:rsidRPr="002E300A">
        <w:rPr>
          <w:spacing w:val="-3"/>
        </w:rPr>
        <w:t xml:space="preserve"> </w:t>
      </w:r>
      <w:r w:rsidRPr="002E300A">
        <w:t xml:space="preserve">beliefs, </w:t>
      </w:r>
      <w:bookmarkStart w:id="12" w:name="12._Burden_Estimates_(Hours_&amp;_Wages)"/>
      <w:bookmarkEnd w:id="12"/>
      <w:r w:rsidRPr="002E300A">
        <w:t>and other matters that are commonly considered private.</w:t>
      </w:r>
    </w:p>
    <w:p w:rsidR="000878DA" w:rsidRPr="0042530A" w:rsidP="0042530A" w14:paraId="01447632" w14:textId="4F3A2FC9">
      <w:pPr>
        <w:pStyle w:val="ListParagraph"/>
        <w:numPr>
          <w:ilvl w:val="1"/>
          <w:numId w:val="5"/>
        </w:numPr>
        <w:tabs>
          <w:tab w:val="left" w:pos="552"/>
        </w:tabs>
        <w:spacing w:before="240" w:after="240"/>
        <w:rPr>
          <w:sz w:val="24"/>
          <w:szCs w:val="24"/>
        </w:rPr>
      </w:pPr>
      <w:r w:rsidRPr="00317CD3">
        <w:rPr>
          <w:sz w:val="24"/>
          <w:szCs w:val="24"/>
          <w:u w:val="single"/>
        </w:rPr>
        <w:t>Burden Estimates</w:t>
      </w:r>
    </w:p>
    <w:p w:rsidR="000878DA" w:rsidRPr="0042530A" w:rsidP="0042530A" w14:paraId="04DC358A" w14:textId="06481454">
      <w:pPr>
        <w:spacing w:before="240" w:after="240"/>
        <w:jc w:val="both"/>
        <w:rPr>
          <w:i/>
          <w:iCs/>
          <w:sz w:val="24"/>
          <w:szCs w:val="24"/>
        </w:rPr>
      </w:pPr>
      <w:r w:rsidRPr="00317CD3">
        <w:rPr>
          <w:i/>
          <w:iCs/>
          <w:sz w:val="24"/>
          <w:szCs w:val="24"/>
        </w:rPr>
        <w:t>Wage</w:t>
      </w:r>
      <w:r w:rsidRPr="00317CD3">
        <w:rPr>
          <w:i/>
          <w:iCs/>
          <w:spacing w:val="-1"/>
          <w:sz w:val="24"/>
          <w:szCs w:val="24"/>
        </w:rPr>
        <w:t xml:space="preserve"> </w:t>
      </w:r>
      <w:r w:rsidRPr="00317CD3">
        <w:rPr>
          <w:i/>
          <w:iCs/>
          <w:spacing w:val="-2"/>
          <w:sz w:val="24"/>
          <w:szCs w:val="24"/>
        </w:rPr>
        <w:t>Estimates</w:t>
      </w:r>
    </w:p>
    <w:p w:rsidR="000878DA" w:rsidRPr="00317CD3" w:rsidP="0042530A" w14:paraId="66EF3DED" w14:textId="164099FC">
      <w:pPr>
        <w:pStyle w:val="BodyText"/>
        <w:spacing w:before="240" w:after="240"/>
      </w:pPr>
      <w:r w:rsidRPr="001B60FF">
        <w:t>To</w:t>
      </w:r>
      <w:r w:rsidRPr="001B60FF">
        <w:rPr>
          <w:spacing w:val="-2"/>
        </w:rPr>
        <w:t xml:space="preserve"> </w:t>
      </w:r>
      <w:r w:rsidRPr="001B60FF">
        <w:t>derive</w:t>
      </w:r>
      <w:r w:rsidRPr="001B60FF">
        <w:rPr>
          <w:spacing w:val="-4"/>
        </w:rPr>
        <w:t xml:space="preserve"> </w:t>
      </w:r>
      <w:r w:rsidRPr="001B60FF">
        <w:t>average</w:t>
      </w:r>
      <w:r w:rsidRPr="001B60FF">
        <w:rPr>
          <w:spacing w:val="-4"/>
        </w:rPr>
        <w:t xml:space="preserve"> </w:t>
      </w:r>
      <w:r w:rsidRPr="001B60FF">
        <w:t>costs,</w:t>
      </w:r>
      <w:r w:rsidRPr="001B60FF">
        <w:rPr>
          <w:spacing w:val="-1"/>
        </w:rPr>
        <w:t xml:space="preserve"> </w:t>
      </w:r>
      <w:r w:rsidRPr="001B60FF">
        <w:t>we</w:t>
      </w:r>
      <w:r w:rsidRPr="001B60FF">
        <w:rPr>
          <w:spacing w:val="-3"/>
        </w:rPr>
        <w:t xml:space="preserve"> </w:t>
      </w:r>
      <w:r w:rsidRPr="001B60FF">
        <w:t>are</w:t>
      </w:r>
      <w:r w:rsidRPr="001B60FF">
        <w:rPr>
          <w:spacing w:val="-3"/>
        </w:rPr>
        <w:t xml:space="preserve"> </w:t>
      </w:r>
      <w:r w:rsidRPr="001B60FF">
        <w:t>using</w:t>
      </w:r>
      <w:r w:rsidRPr="001B60FF">
        <w:rPr>
          <w:spacing w:val="-5"/>
        </w:rPr>
        <w:t xml:space="preserve"> </w:t>
      </w:r>
      <w:r w:rsidRPr="001B60FF">
        <w:t>data</w:t>
      </w:r>
      <w:r w:rsidRPr="001B60FF">
        <w:rPr>
          <w:spacing w:val="-3"/>
        </w:rPr>
        <w:t xml:space="preserve"> </w:t>
      </w:r>
      <w:r w:rsidRPr="001B60FF">
        <w:t>from</w:t>
      </w:r>
      <w:r w:rsidRPr="001B60FF">
        <w:rPr>
          <w:spacing w:val="-2"/>
        </w:rPr>
        <w:t xml:space="preserve"> </w:t>
      </w:r>
      <w:r w:rsidRPr="001B60FF">
        <w:t>the</w:t>
      </w:r>
      <w:r w:rsidRPr="001B60FF">
        <w:rPr>
          <w:spacing w:val="-4"/>
        </w:rPr>
        <w:t xml:space="preserve"> </w:t>
      </w:r>
      <w:r w:rsidRPr="001B60FF">
        <w:t>U.S.</w:t>
      </w:r>
      <w:r w:rsidRPr="001B60FF">
        <w:rPr>
          <w:spacing w:val="-4"/>
        </w:rPr>
        <w:t xml:space="preserve"> </w:t>
      </w:r>
      <w:r w:rsidRPr="001B60FF">
        <w:t>Bureau</w:t>
      </w:r>
      <w:r w:rsidRPr="001B60FF">
        <w:rPr>
          <w:spacing w:val="-3"/>
        </w:rPr>
        <w:t xml:space="preserve"> </w:t>
      </w:r>
      <w:r w:rsidRPr="001B60FF">
        <w:t>of Labor</w:t>
      </w:r>
      <w:r w:rsidRPr="001B60FF">
        <w:rPr>
          <w:spacing w:val="-4"/>
        </w:rPr>
        <w:t xml:space="preserve"> </w:t>
      </w:r>
      <w:r w:rsidRPr="001B60FF">
        <w:t>Statistics’</w:t>
      </w:r>
      <w:r w:rsidRPr="001B60FF">
        <w:rPr>
          <w:spacing w:val="-3"/>
        </w:rPr>
        <w:t xml:space="preserve"> </w:t>
      </w:r>
      <w:r w:rsidRPr="001B60FF">
        <w:t>May</w:t>
      </w:r>
      <w:r w:rsidRPr="001B60FF">
        <w:rPr>
          <w:spacing w:val="-6"/>
        </w:rPr>
        <w:t xml:space="preserve"> </w:t>
      </w:r>
      <w:r w:rsidRPr="001B60FF" w:rsidR="001A3CAF">
        <w:t>2024</w:t>
      </w:r>
      <w:r w:rsidRPr="001B60FF">
        <w:t xml:space="preserve"> </w:t>
      </w:r>
      <w:r w:rsidRPr="008034E1">
        <w:t xml:space="preserve">National Occupational Employment and Wage Estimates for all salary estimates </w:t>
      </w:r>
      <w:hyperlink r:id="rId11">
        <w:r w:rsidRPr="008034E1">
          <w:t>(</w:t>
        </w:r>
        <w:r w:rsidRPr="008034E1">
          <w:rPr>
            <w:u w:val="single" w:color="0562C1"/>
          </w:rPr>
          <w:t>http://www.bls.gov/oes/current/oes_nat.htm</w:t>
        </w:r>
        <w:r w:rsidRPr="008034E1">
          <w:t>)</w:t>
        </w:r>
      </w:hyperlink>
      <w:r w:rsidRPr="008034E1">
        <w:t>. In this regard, the following table presents BLS’</w:t>
      </w:r>
      <w:r w:rsidRPr="008034E1" w:rsidR="00433660">
        <w:t xml:space="preserve"> </w:t>
      </w:r>
      <w:r w:rsidRPr="008034E1">
        <w:t>mean hourly wage, our estimated cost of fringe benefits and o</w:t>
      </w:r>
      <w:r w:rsidRPr="008034E1" w:rsidR="001A3CAF">
        <w:t>ther indirect costs</w:t>
      </w:r>
      <w:r w:rsidRPr="008034E1">
        <w:t xml:space="preserve"> (calculated at </w:t>
      </w:r>
      <w:r w:rsidRPr="00317CD3">
        <w:t>100 percent of salary), and our adjusted hourly wage.</w:t>
      </w:r>
    </w:p>
    <w:tbl>
      <w:tblPr>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0"/>
        <w:gridCol w:w="1530"/>
        <w:gridCol w:w="1510"/>
        <w:gridCol w:w="1320"/>
        <w:gridCol w:w="1980"/>
      </w:tblGrid>
      <w:tr w14:paraId="43D0995D" w14:textId="77777777" w:rsidTr="00317CD3">
        <w:tblPrEx>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64"/>
        </w:trPr>
        <w:tc>
          <w:tcPr>
            <w:tcW w:w="2120" w:type="dxa"/>
          </w:tcPr>
          <w:p w:rsidR="000878DA" w:rsidRPr="00482535" w:rsidP="00D35597" w14:paraId="03F9D916" w14:textId="77777777">
            <w:pPr>
              <w:pStyle w:val="TableParagraph"/>
            </w:pPr>
            <w:r w:rsidRPr="00482535">
              <w:t>Occupation Title</w:t>
            </w:r>
          </w:p>
        </w:tc>
        <w:tc>
          <w:tcPr>
            <w:tcW w:w="1530" w:type="dxa"/>
          </w:tcPr>
          <w:p w:rsidR="000878DA" w:rsidRPr="00482535" w:rsidP="00D35597" w14:paraId="2309D9DD" w14:textId="77777777">
            <w:pPr>
              <w:pStyle w:val="TableParagraph"/>
            </w:pPr>
            <w:r w:rsidRPr="00482535">
              <w:t>Occupation Code</w:t>
            </w:r>
          </w:p>
        </w:tc>
        <w:tc>
          <w:tcPr>
            <w:tcW w:w="1510" w:type="dxa"/>
          </w:tcPr>
          <w:p w:rsidR="000878DA" w:rsidRPr="00482535" w:rsidP="00D35597" w14:paraId="4BF7C7F4" w14:textId="77777777">
            <w:pPr>
              <w:pStyle w:val="TableParagraph"/>
            </w:pPr>
            <w:r w:rsidRPr="00482535">
              <w:t>Mean Hourly Wage ($/hr)</w:t>
            </w:r>
          </w:p>
        </w:tc>
        <w:tc>
          <w:tcPr>
            <w:tcW w:w="1320" w:type="dxa"/>
          </w:tcPr>
          <w:p w:rsidR="000878DA" w:rsidRPr="00482535" w:rsidP="00D35597" w14:paraId="7BBEBF38" w14:textId="650A571F">
            <w:pPr>
              <w:pStyle w:val="TableParagraph"/>
            </w:pPr>
            <w:r w:rsidRPr="00482535">
              <w:t>Fringe Benefits and O</w:t>
            </w:r>
            <w:r w:rsidRPr="00482535" w:rsidR="001A3CAF">
              <w:t xml:space="preserve">ther </w:t>
            </w:r>
            <w:r w:rsidRPr="00482535" w:rsidR="00281138">
              <w:t>I</w:t>
            </w:r>
            <w:r w:rsidRPr="00482535" w:rsidR="001A3CAF">
              <w:t>ndirect Costs</w:t>
            </w:r>
          </w:p>
          <w:p w:rsidR="000878DA" w:rsidRPr="00482535" w:rsidP="00D35597" w14:paraId="5FBAB08B" w14:textId="77777777">
            <w:pPr>
              <w:pStyle w:val="TableParagraph"/>
            </w:pPr>
            <w:r w:rsidRPr="00482535">
              <w:t>($/hr)</w:t>
            </w:r>
          </w:p>
        </w:tc>
        <w:tc>
          <w:tcPr>
            <w:tcW w:w="1980" w:type="dxa"/>
          </w:tcPr>
          <w:p w:rsidR="000878DA" w:rsidRPr="00482535" w:rsidP="00D35597" w14:paraId="18139F3D" w14:textId="77777777">
            <w:pPr>
              <w:pStyle w:val="TableParagraph"/>
            </w:pPr>
            <w:r w:rsidRPr="00482535">
              <w:t>Adjusted Hourly Wage ($/hr)</w:t>
            </w:r>
          </w:p>
        </w:tc>
      </w:tr>
      <w:tr w14:paraId="746FDD6E" w14:textId="77777777" w:rsidTr="00317CD3">
        <w:tblPrEx>
          <w:tblW w:w="0" w:type="auto"/>
          <w:tblInd w:w="665" w:type="dxa"/>
          <w:tblLayout w:type="fixed"/>
          <w:tblCellMar>
            <w:left w:w="0" w:type="dxa"/>
            <w:right w:w="0" w:type="dxa"/>
          </w:tblCellMar>
          <w:tblLook w:val="01E0"/>
        </w:tblPrEx>
        <w:trPr>
          <w:trHeight w:val="505"/>
        </w:trPr>
        <w:tc>
          <w:tcPr>
            <w:tcW w:w="2120" w:type="dxa"/>
            <w:tcBorders>
              <w:top w:val="single" w:sz="4" w:space="0" w:color="000000"/>
              <w:left w:val="single" w:sz="4" w:space="0" w:color="000000"/>
              <w:bottom w:val="single" w:sz="4" w:space="0" w:color="000000"/>
              <w:right w:val="single" w:sz="4" w:space="0" w:color="000000"/>
            </w:tcBorders>
          </w:tcPr>
          <w:p w:rsidR="00317CD3" w:rsidRPr="00D35597" w:rsidP="00D35597" w14:paraId="50495304" w14:textId="77777777">
            <w:pPr>
              <w:pStyle w:val="TableParagraph"/>
            </w:pPr>
            <w:r w:rsidRPr="00D35597">
              <w:t>Social and Community Service Managers</w:t>
            </w:r>
          </w:p>
        </w:tc>
        <w:tc>
          <w:tcPr>
            <w:tcW w:w="1530" w:type="dxa"/>
            <w:tcBorders>
              <w:top w:val="single" w:sz="4" w:space="0" w:color="000000"/>
              <w:left w:val="single" w:sz="4" w:space="0" w:color="000000"/>
              <w:bottom w:val="single" w:sz="4" w:space="0" w:color="000000"/>
              <w:right w:val="single" w:sz="4" w:space="0" w:color="000000"/>
            </w:tcBorders>
          </w:tcPr>
          <w:p w:rsidR="00317CD3" w:rsidRPr="00D35597" w:rsidP="00D35597" w14:paraId="2802A934" w14:textId="77777777">
            <w:pPr>
              <w:pStyle w:val="TableParagraph"/>
            </w:pPr>
            <w:r w:rsidRPr="00D35597">
              <w:t>11-9151</w:t>
            </w:r>
          </w:p>
        </w:tc>
        <w:tc>
          <w:tcPr>
            <w:tcW w:w="1510" w:type="dxa"/>
            <w:tcBorders>
              <w:top w:val="single" w:sz="4" w:space="0" w:color="000000"/>
              <w:left w:val="single" w:sz="4" w:space="0" w:color="000000"/>
              <w:bottom w:val="single" w:sz="4" w:space="0" w:color="000000"/>
              <w:right w:val="single" w:sz="4" w:space="0" w:color="000000"/>
            </w:tcBorders>
          </w:tcPr>
          <w:p w:rsidR="00317CD3" w:rsidRPr="00D35597" w:rsidP="00D35597" w14:paraId="09220730" w14:textId="702BB338">
            <w:pPr>
              <w:pStyle w:val="TableParagraph"/>
            </w:pPr>
            <w:r>
              <w:t>42.73</w:t>
            </w:r>
          </w:p>
        </w:tc>
        <w:tc>
          <w:tcPr>
            <w:tcW w:w="1320" w:type="dxa"/>
            <w:tcBorders>
              <w:top w:val="single" w:sz="4" w:space="0" w:color="000000"/>
              <w:left w:val="single" w:sz="4" w:space="0" w:color="000000"/>
              <w:bottom w:val="single" w:sz="4" w:space="0" w:color="000000"/>
              <w:right w:val="single" w:sz="4" w:space="0" w:color="000000"/>
            </w:tcBorders>
          </w:tcPr>
          <w:p w:rsidR="00317CD3" w:rsidRPr="00D35597" w:rsidP="00D35597" w14:paraId="797A6100" w14:textId="59A7ED97">
            <w:pPr>
              <w:pStyle w:val="TableParagraph"/>
            </w:pPr>
            <w:r>
              <w:t>42.73</w:t>
            </w:r>
          </w:p>
        </w:tc>
        <w:tc>
          <w:tcPr>
            <w:tcW w:w="1980" w:type="dxa"/>
            <w:tcBorders>
              <w:top w:val="single" w:sz="4" w:space="0" w:color="000000"/>
              <w:left w:val="single" w:sz="4" w:space="0" w:color="000000"/>
              <w:bottom w:val="single" w:sz="4" w:space="0" w:color="000000"/>
              <w:right w:val="single" w:sz="4" w:space="0" w:color="000000"/>
            </w:tcBorders>
          </w:tcPr>
          <w:p w:rsidR="00317CD3" w:rsidRPr="00D35597" w:rsidP="00D35597" w14:paraId="66E82F6A" w14:textId="20888B7D">
            <w:pPr>
              <w:pStyle w:val="TableParagraph"/>
            </w:pPr>
            <w:r>
              <w:t>85.46</w:t>
            </w:r>
          </w:p>
        </w:tc>
      </w:tr>
    </w:tbl>
    <w:p w:rsidR="000878DA" w:rsidRPr="002E300A" w:rsidP="0042530A" w14:paraId="23F7386F" w14:textId="704D5435">
      <w:pPr>
        <w:pStyle w:val="BodyText"/>
        <w:spacing w:before="240" w:after="240"/>
      </w:pPr>
      <w:r w:rsidRPr="00317CD3">
        <w:t>As</w:t>
      </w:r>
      <w:r w:rsidRPr="00317CD3">
        <w:rPr>
          <w:spacing w:val="-2"/>
        </w:rPr>
        <w:t xml:space="preserve"> </w:t>
      </w:r>
      <w:r w:rsidRPr="00317CD3">
        <w:t>indicated,</w:t>
      </w:r>
      <w:r w:rsidRPr="00317CD3">
        <w:rPr>
          <w:spacing w:val="-2"/>
        </w:rPr>
        <w:t xml:space="preserve"> </w:t>
      </w:r>
      <w:r w:rsidRPr="00317CD3">
        <w:t>we</w:t>
      </w:r>
      <w:r w:rsidRPr="00317CD3">
        <w:rPr>
          <w:spacing w:val="-1"/>
        </w:rPr>
        <w:t xml:space="preserve"> </w:t>
      </w:r>
      <w:r w:rsidRPr="00317CD3">
        <w:t>are</w:t>
      </w:r>
      <w:r w:rsidRPr="00317CD3">
        <w:rPr>
          <w:spacing w:val="-1"/>
        </w:rPr>
        <w:t xml:space="preserve"> </w:t>
      </w:r>
      <w:r w:rsidRPr="00317CD3">
        <w:t>adjusting</w:t>
      </w:r>
      <w:r w:rsidRPr="00317CD3">
        <w:rPr>
          <w:spacing w:val="-5"/>
        </w:rPr>
        <w:t xml:space="preserve"> </w:t>
      </w:r>
      <w:r w:rsidRPr="00317CD3">
        <w:t>our</w:t>
      </w:r>
      <w:r w:rsidRPr="00317CD3">
        <w:rPr>
          <w:spacing w:val="-3"/>
        </w:rPr>
        <w:t xml:space="preserve"> </w:t>
      </w:r>
      <w:r w:rsidRPr="00317CD3">
        <w:t>employee</w:t>
      </w:r>
      <w:r w:rsidRPr="00317CD3">
        <w:rPr>
          <w:spacing w:val="-3"/>
        </w:rPr>
        <w:t xml:space="preserve"> </w:t>
      </w:r>
      <w:r w:rsidRPr="00317CD3">
        <w:t>hourly</w:t>
      </w:r>
      <w:r w:rsidRPr="00317CD3">
        <w:rPr>
          <w:spacing w:val="-5"/>
        </w:rPr>
        <w:t xml:space="preserve"> </w:t>
      </w:r>
      <w:r w:rsidRPr="00317CD3">
        <w:t>wage</w:t>
      </w:r>
      <w:r w:rsidRPr="00317CD3">
        <w:rPr>
          <w:spacing w:val="-3"/>
        </w:rPr>
        <w:t xml:space="preserve"> </w:t>
      </w:r>
      <w:r w:rsidRPr="00317CD3">
        <w:t>estimates</w:t>
      </w:r>
      <w:r w:rsidRPr="00317CD3">
        <w:rPr>
          <w:spacing w:val="-2"/>
        </w:rPr>
        <w:t xml:space="preserve"> </w:t>
      </w:r>
      <w:r w:rsidRPr="00317CD3">
        <w:t>by</w:t>
      </w:r>
      <w:r w:rsidRPr="00317CD3">
        <w:rPr>
          <w:spacing w:val="-5"/>
        </w:rPr>
        <w:t xml:space="preserve"> </w:t>
      </w:r>
      <w:r w:rsidRPr="00317CD3">
        <w:t>a</w:t>
      </w:r>
      <w:r w:rsidRPr="00317CD3">
        <w:rPr>
          <w:spacing w:val="-3"/>
        </w:rPr>
        <w:t xml:space="preserve"> </w:t>
      </w:r>
      <w:r w:rsidRPr="00317CD3">
        <w:t>factor</w:t>
      </w:r>
      <w:r w:rsidRPr="00317CD3">
        <w:rPr>
          <w:spacing w:val="-3"/>
        </w:rPr>
        <w:t xml:space="preserve"> </w:t>
      </w:r>
      <w:r w:rsidRPr="00317CD3">
        <w:t>of</w:t>
      </w:r>
      <w:r w:rsidRPr="00317CD3">
        <w:rPr>
          <w:spacing w:val="-3"/>
        </w:rPr>
        <w:t xml:space="preserve"> </w:t>
      </w:r>
      <w:r w:rsidRPr="00317CD3">
        <w:t>100</w:t>
      </w:r>
      <w:r w:rsidRPr="00317CD3">
        <w:rPr>
          <w:spacing w:val="-2"/>
        </w:rPr>
        <w:t xml:space="preserve"> </w:t>
      </w:r>
      <w:r w:rsidRPr="00317CD3">
        <w:t>percent. This is necessarily a rough adjustment, both because fringe benefits and o</w:t>
      </w:r>
      <w:r w:rsidRPr="00317CD3" w:rsidR="001A3CAF">
        <w:t xml:space="preserve">ther indirect </w:t>
      </w:r>
      <w:r w:rsidRPr="00317CD3">
        <w:t>costs vary significantly from employer to employer, and because methods of estimating these costs vary widely</w:t>
      </w:r>
      <w:r w:rsidRPr="00317CD3">
        <w:rPr>
          <w:spacing w:val="-7"/>
        </w:rPr>
        <w:t xml:space="preserve"> </w:t>
      </w:r>
      <w:r w:rsidRPr="00317CD3">
        <w:t>from</w:t>
      </w:r>
      <w:r w:rsidRPr="00317CD3">
        <w:rPr>
          <w:spacing w:val="-2"/>
        </w:rPr>
        <w:t xml:space="preserve"> </w:t>
      </w:r>
      <w:r w:rsidRPr="00317CD3">
        <w:t>study</w:t>
      </w:r>
      <w:r w:rsidRPr="00317CD3">
        <w:rPr>
          <w:spacing w:val="-7"/>
        </w:rPr>
        <w:t xml:space="preserve"> </w:t>
      </w:r>
      <w:r w:rsidRPr="00317CD3">
        <w:t>to</w:t>
      </w:r>
      <w:r w:rsidRPr="00317CD3">
        <w:rPr>
          <w:spacing w:val="-2"/>
        </w:rPr>
        <w:t xml:space="preserve"> </w:t>
      </w:r>
      <w:r w:rsidRPr="00317CD3">
        <w:t>study.</w:t>
      </w:r>
      <w:r w:rsidRPr="00317CD3">
        <w:rPr>
          <w:spacing w:val="-2"/>
        </w:rPr>
        <w:t xml:space="preserve"> </w:t>
      </w:r>
      <w:r w:rsidRPr="00317CD3">
        <w:t>Nonetheless,</w:t>
      </w:r>
      <w:r w:rsidRPr="00317CD3">
        <w:rPr>
          <w:spacing w:val="-2"/>
        </w:rPr>
        <w:t xml:space="preserve"> </w:t>
      </w:r>
      <w:r w:rsidRPr="00317CD3">
        <w:t>we</w:t>
      </w:r>
      <w:r w:rsidRPr="00317CD3">
        <w:rPr>
          <w:spacing w:val="-3"/>
        </w:rPr>
        <w:t xml:space="preserve"> </w:t>
      </w:r>
      <w:r w:rsidRPr="00317CD3">
        <w:t>believe</w:t>
      </w:r>
      <w:r w:rsidRPr="00317CD3">
        <w:rPr>
          <w:spacing w:val="-3"/>
        </w:rPr>
        <w:t xml:space="preserve"> </w:t>
      </w:r>
      <w:r w:rsidRPr="00317CD3">
        <w:t>that</w:t>
      </w:r>
      <w:r w:rsidRPr="00317CD3">
        <w:rPr>
          <w:spacing w:val="-2"/>
        </w:rPr>
        <w:t xml:space="preserve"> </w:t>
      </w:r>
      <w:r w:rsidRPr="00317CD3">
        <w:t>doubling</w:t>
      </w:r>
      <w:r w:rsidRPr="00317CD3">
        <w:rPr>
          <w:spacing w:val="-5"/>
        </w:rPr>
        <w:t xml:space="preserve"> </w:t>
      </w:r>
      <w:r w:rsidRPr="00317CD3">
        <w:t>the</w:t>
      </w:r>
      <w:r w:rsidRPr="00317CD3">
        <w:rPr>
          <w:spacing w:val="-3"/>
        </w:rPr>
        <w:t xml:space="preserve"> </w:t>
      </w:r>
      <w:r w:rsidRPr="00317CD3">
        <w:t>hourly</w:t>
      </w:r>
      <w:r w:rsidRPr="00317CD3">
        <w:rPr>
          <w:spacing w:val="-7"/>
        </w:rPr>
        <w:t xml:space="preserve"> </w:t>
      </w:r>
      <w:r w:rsidRPr="00317CD3">
        <w:t>wage</w:t>
      </w:r>
      <w:r w:rsidRPr="00317CD3">
        <w:rPr>
          <w:spacing w:val="-3"/>
        </w:rPr>
        <w:t xml:space="preserve"> </w:t>
      </w:r>
      <w:r w:rsidRPr="00317CD3">
        <w:t>to</w:t>
      </w:r>
      <w:r w:rsidRPr="00317CD3">
        <w:rPr>
          <w:spacing w:val="-2"/>
        </w:rPr>
        <w:t xml:space="preserve"> </w:t>
      </w:r>
      <w:r w:rsidRPr="00317CD3">
        <w:t xml:space="preserve">estimate total cost is a </w:t>
      </w:r>
      <w:r w:rsidR="008B13B2">
        <w:t>reasonable estimation</w:t>
      </w:r>
      <w:r w:rsidRPr="00317CD3">
        <w:t xml:space="preserve"> method.</w:t>
      </w:r>
    </w:p>
    <w:p w:rsidR="000878DA" w:rsidRPr="0042530A" w:rsidP="0042530A" w14:paraId="5DB2ABCB" w14:textId="47600641">
      <w:pPr>
        <w:spacing w:before="240" w:after="240"/>
        <w:rPr>
          <w:i/>
          <w:iCs/>
          <w:sz w:val="24"/>
          <w:szCs w:val="24"/>
        </w:rPr>
      </w:pPr>
      <w:r w:rsidRPr="00317CD3">
        <w:rPr>
          <w:i/>
          <w:iCs/>
          <w:sz w:val="24"/>
          <w:szCs w:val="24"/>
        </w:rPr>
        <w:t>Collection</w:t>
      </w:r>
      <w:r w:rsidRPr="00317CD3">
        <w:rPr>
          <w:i/>
          <w:iCs/>
          <w:spacing w:val="-2"/>
          <w:sz w:val="24"/>
          <w:szCs w:val="24"/>
        </w:rPr>
        <w:t xml:space="preserve"> </w:t>
      </w:r>
      <w:r w:rsidRPr="00317CD3">
        <w:rPr>
          <w:i/>
          <w:iCs/>
          <w:sz w:val="24"/>
          <w:szCs w:val="24"/>
        </w:rPr>
        <w:t>of</w:t>
      </w:r>
      <w:r w:rsidRPr="00317CD3">
        <w:rPr>
          <w:i/>
          <w:iCs/>
          <w:spacing w:val="-2"/>
          <w:sz w:val="24"/>
          <w:szCs w:val="24"/>
        </w:rPr>
        <w:t xml:space="preserve"> </w:t>
      </w:r>
      <w:r w:rsidRPr="00317CD3">
        <w:rPr>
          <w:i/>
          <w:iCs/>
          <w:sz w:val="24"/>
          <w:szCs w:val="24"/>
        </w:rPr>
        <w:t>Information</w:t>
      </w:r>
      <w:r w:rsidRPr="00317CD3">
        <w:rPr>
          <w:i/>
          <w:iCs/>
          <w:spacing w:val="-5"/>
          <w:sz w:val="24"/>
          <w:szCs w:val="24"/>
        </w:rPr>
        <w:t xml:space="preserve"> </w:t>
      </w:r>
      <w:r w:rsidRPr="00317CD3">
        <w:rPr>
          <w:i/>
          <w:iCs/>
          <w:sz w:val="24"/>
          <w:szCs w:val="24"/>
        </w:rPr>
        <w:t>Requirements</w:t>
      </w:r>
      <w:r w:rsidRPr="00317CD3">
        <w:rPr>
          <w:i/>
          <w:iCs/>
          <w:spacing w:val="-1"/>
          <w:sz w:val="24"/>
          <w:szCs w:val="24"/>
        </w:rPr>
        <w:t xml:space="preserve"> </w:t>
      </w:r>
      <w:r w:rsidRPr="00317CD3">
        <w:rPr>
          <w:i/>
          <w:iCs/>
          <w:sz w:val="24"/>
          <w:szCs w:val="24"/>
        </w:rPr>
        <w:t>and</w:t>
      </w:r>
      <w:r w:rsidRPr="00317CD3">
        <w:rPr>
          <w:i/>
          <w:iCs/>
          <w:spacing w:val="-2"/>
          <w:sz w:val="24"/>
          <w:szCs w:val="24"/>
        </w:rPr>
        <w:t xml:space="preserve"> </w:t>
      </w:r>
      <w:r w:rsidRPr="00317CD3">
        <w:rPr>
          <w:i/>
          <w:iCs/>
          <w:sz w:val="24"/>
          <w:szCs w:val="24"/>
        </w:rPr>
        <w:t>Associated</w:t>
      </w:r>
      <w:r w:rsidRPr="00317CD3">
        <w:rPr>
          <w:i/>
          <w:iCs/>
          <w:spacing w:val="-2"/>
          <w:sz w:val="24"/>
          <w:szCs w:val="24"/>
        </w:rPr>
        <w:t xml:space="preserve"> </w:t>
      </w:r>
      <w:r w:rsidRPr="00317CD3">
        <w:rPr>
          <w:i/>
          <w:iCs/>
          <w:sz w:val="24"/>
          <w:szCs w:val="24"/>
        </w:rPr>
        <w:t>Burden</w:t>
      </w:r>
      <w:r w:rsidRPr="00317CD3">
        <w:rPr>
          <w:i/>
          <w:iCs/>
          <w:spacing w:val="-1"/>
          <w:sz w:val="24"/>
          <w:szCs w:val="24"/>
        </w:rPr>
        <w:t xml:space="preserve"> </w:t>
      </w:r>
      <w:r w:rsidRPr="00317CD3">
        <w:rPr>
          <w:i/>
          <w:iCs/>
          <w:spacing w:val="-2"/>
          <w:sz w:val="24"/>
          <w:szCs w:val="24"/>
        </w:rPr>
        <w:t>Estimates</w:t>
      </w:r>
    </w:p>
    <w:p w:rsidR="002975AD" w:rsidRPr="00D35597" w:rsidP="0042530A" w14:paraId="570D3C3D" w14:textId="5053FF27">
      <w:pPr>
        <w:pStyle w:val="BodyText"/>
        <w:spacing w:before="240" w:after="240"/>
      </w:pPr>
      <w:r>
        <w:t>State awardees</w:t>
      </w:r>
      <w:r w:rsidR="4F2126CE">
        <w:t xml:space="preserve"> </w:t>
      </w:r>
      <w:r w:rsidR="48CA697C">
        <w:t>are</w:t>
      </w:r>
      <w:r w:rsidR="4F2126CE">
        <w:t xml:space="preserve"> required to complete the data collection </w:t>
      </w:r>
      <w:r w:rsidR="21A33609">
        <w:t>quarterly</w:t>
      </w:r>
      <w:r w:rsidR="6CD32538">
        <w:t xml:space="preserve"> and annually</w:t>
      </w:r>
      <w:r w:rsidR="21A33609">
        <w:t xml:space="preserve">. The fourth quarterly report for each </w:t>
      </w:r>
      <w:r w:rsidR="45C24256">
        <w:t>will b</w:t>
      </w:r>
      <w:r w:rsidR="21A33609">
        <w:t xml:space="preserve">e waived in place of the annual report. </w:t>
      </w:r>
    </w:p>
    <w:p w:rsidR="001C52F3" w:rsidP="001C52F3" w14:paraId="073B2A06" w14:textId="77777777">
      <w:pPr>
        <w:pStyle w:val="BodyText"/>
        <w:spacing w:before="240" w:after="240"/>
      </w:pPr>
      <w:r w:rsidRPr="007E4795">
        <w:rPr>
          <w:i/>
          <w:iCs/>
          <w:u w:val="single"/>
        </w:rPr>
        <w:t>Annual Reports</w:t>
      </w:r>
      <w:r w:rsidRPr="007E4795">
        <w:t xml:space="preserve">  </w:t>
      </w:r>
      <w:r w:rsidRPr="003D11FB">
        <w:t>Th</w:t>
      </w:r>
      <w:r>
        <w:t>e</w:t>
      </w:r>
      <w:r w:rsidRPr="003D11FB">
        <w:t xml:space="preserve"> reporting template will be disseminated to all 50 State awardees. The annual report</w:t>
      </w:r>
      <w:r>
        <w:t xml:space="preserve">ing periods and </w:t>
      </w:r>
      <w:r w:rsidRPr="003D11FB">
        <w:t xml:space="preserve">due dates are listed in </w:t>
      </w:r>
      <w:r>
        <w:t>T</w:t>
      </w:r>
      <w:r w:rsidRPr="003D11FB">
        <w:t>able</w:t>
      </w:r>
      <w:r>
        <w:t xml:space="preserve">1, </w:t>
      </w:r>
      <w:r w:rsidRPr="003D11FB">
        <w:t>below.</w:t>
      </w:r>
    </w:p>
    <w:p w:rsidR="001C52F3" w:rsidRPr="007E4795" w:rsidP="001C52F3" w14:paraId="03C7E27A" w14:textId="42A0CBEF">
      <w:pPr>
        <w:pStyle w:val="BodyText"/>
        <w:spacing w:before="240" w:after="240"/>
      </w:pPr>
      <w:r w:rsidRPr="007E4795">
        <w:t>We estimate it w</w:t>
      </w:r>
      <w:r w:rsidR="00B244C7">
        <w:t>ill</w:t>
      </w:r>
      <w:r w:rsidRPr="007E4795">
        <w:t xml:space="preserve"> take </w:t>
      </w:r>
      <w:r w:rsidR="00A73D29">
        <w:t>80</w:t>
      </w:r>
      <w:r w:rsidRPr="007E4795">
        <w:t xml:space="preserve"> hours at $</w:t>
      </w:r>
      <w:r w:rsidR="0002562A">
        <w:t>85.46</w:t>
      </w:r>
      <w:r w:rsidRPr="007E4795">
        <w:t>/hr for a Social and Community Service Manager to complete each annual report.</w:t>
      </w:r>
      <w:r>
        <w:t xml:space="preserve"> In aggregate, we estimate an annual burden of </w:t>
      </w:r>
      <w:r w:rsidR="00A73D29">
        <w:t>12,000</w:t>
      </w:r>
      <w:r>
        <w:t xml:space="preserve"> hours (50 States x </w:t>
      </w:r>
      <w:r w:rsidR="00A73D29">
        <w:t>80</w:t>
      </w:r>
      <w:r>
        <w:t xml:space="preserve"> hr/State) at a cost of $</w:t>
      </w:r>
      <w:r w:rsidR="00A73D29">
        <w:t>1,025,520</w:t>
      </w:r>
      <w:r>
        <w:t xml:space="preserve"> (</w:t>
      </w:r>
      <w:r w:rsidR="00A73D29">
        <w:t>12,000</w:t>
      </w:r>
      <w:r>
        <w:t xml:space="preserve"> hr x </w:t>
      </w:r>
      <w:r w:rsidRPr="007E4795">
        <w:t>$</w:t>
      </w:r>
      <w:r w:rsidR="0002562A">
        <w:t>85.46</w:t>
      </w:r>
      <w:r w:rsidRPr="007E4795">
        <w:t>/hr</w:t>
      </w:r>
      <w:r>
        <w:t xml:space="preserve">). </w:t>
      </w:r>
    </w:p>
    <w:p w:rsidR="001C52F3" w:rsidRPr="00D005C2" w:rsidP="001C52F3" w14:paraId="264821F0" w14:textId="77777777">
      <w:pPr>
        <w:widowControl/>
        <w:autoSpaceDE/>
        <w:autoSpaceDN/>
        <w:spacing w:before="240"/>
        <w:rPr>
          <w:szCs w:val="18"/>
          <w14:ligatures w14:val="standardContextual"/>
        </w:rPr>
      </w:pPr>
      <w:r w:rsidRPr="00D005C2">
        <w:rPr>
          <w:szCs w:val="18"/>
          <w14:ligatures w14:val="standardContextual"/>
        </w:rPr>
        <w:t>Table 1.</w:t>
      </w:r>
      <w:r w:rsidRPr="00D005C2">
        <w:rPr>
          <w:i/>
          <w:iCs/>
          <w:szCs w:val="18"/>
          <w14:ligatures w14:val="standardContextual"/>
        </w:rPr>
        <w:t xml:space="preserve"> </w:t>
      </w:r>
      <w:r w:rsidRPr="00D005C2">
        <w:rPr>
          <w:szCs w:val="18"/>
          <w14:ligatures w14:val="standardContextual"/>
        </w:rPr>
        <w:t>Annual Progress and Final Report Due Dates</w:t>
      </w:r>
    </w:p>
    <w:tbl>
      <w:tblPr>
        <w:tblStyle w:val="TableGrid"/>
        <w:tblW w:w="4955" w:type="pct"/>
        <w:tblLayout w:type="fixed"/>
        <w:tblLook w:val="04A0"/>
      </w:tblPr>
      <w:tblGrid>
        <w:gridCol w:w="2316"/>
        <w:gridCol w:w="2316"/>
        <w:gridCol w:w="2317"/>
        <w:gridCol w:w="2317"/>
      </w:tblGrid>
      <w:tr w14:paraId="2B7849B6" w14:textId="77777777" w:rsidTr="00086493">
        <w:tblPrEx>
          <w:tblW w:w="4955" w:type="pct"/>
          <w:tblLayout w:type="fixed"/>
          <w:tblLook w:val="04A0"/>
        </w:tblPrEx>
        <w:trPr>
          <w:trHeight w:val="506"/>
        </w:trPr>
        <w:tc>
          <w:tcPr>
            <w:tcW w:w="1250" w:type="pct"/>
            <w:hideMark/>
          </w:tcPr>
          <w:p w:rsidR="001C52F3" w:rsidRPr="00D005C2" w:rsidP="00086493" w14:paraId="384AAFD5" w14:textId="77777777">
            <w:pPr>
              <w:spacing w:before="240" w:after="240"/>
              <w:jc w:val="both"/>
              <w:rPr>
                <w:rFonts w:eastAsia="Aptos"/>
                <w:sz w:val="20"/>
                <w:szCs w:val="20"/>
              </w:rPr>
            </w:pPr>
            <w:r w:rsidRPr="00D005C2">
              <w:rPr>
                <w:rFonts w:eastAsia="Aptos"/>
                <w:sz w:val="20"/>
                <w:szCs w:val="20"/>
              </w:rPr>
              <w:t>Report</w:t>
            </w:r>
          </w:p>
        </w:tc>
        <w:tc>
          <w:tcPr>
            <w:tcW w:w="1250" w:type="pct"/>
            <w:hideMark/>
          </w:tcPr>
          <w:p w:rsidR="001C52F3" w:rsidRPr="00D005C2" w:rsidP="00086493" w14:paraId="24484856" w14:textId="77777777">
            <w:pPr>
              <w:spacing w:before="240" w:after="240"/>
              <w:rPr>
                <w:rFonts w:eastAsia="Aptos"/>
                <w:sz w:val="20"/>
                <w:szCs w:val="20"/>
              </w:rPr>
            </w:pPr>
            <w:r w:rsidRPr="00D005C2">
              <w:rPr>
                <w:rFonts w:eastAsia="Aptos"/>
                <w:sz w:val="20"/>
                <w:szCs w:val="20"/>
              </w:rPr>
              <w:t xml:space="preserve">Reporting Period Start </w:t>
            </w:r>
          </w:p>
        </w:tc>
        <w:tc>
          <w:tcPr>
            <w:tcW w:w="1250" w:type="pct"/>
            <w:hideMark/>
          </w:tcPr>
          <w:p w:rsidR="001C52F3" w:rsidRPr="00D005C2" w:rsidP="00086493" w14:paraId="040BC970" w14:textId="77777777">
            <w:pPr>
              <w:spacing w:before="240" w:after="240"/>
              <w:jc w:val="both"/>
              <w:rPr>
                <w:rFonts w:eastAsia="Aptos"/>
                <w:sz w:val="20"/>
                <w:szCs w:val="20"/>
              </w:rPr>
            </w:pPr>
            <w:r w:rsidRPr="00D005C2">
              <w:rPr>
                <w:rFonts w:eastAsia="Aptos"/>
                <w:sz w:val="20"/>
                <w:szCs w:val="20"/>
              </w:rPr>
              <w:t xml:space="preserve">Reporting Period End </w:t>
            </w:r>
          </w:p>
        </w:tc>
        <w:tc>
          <w:tcPr>
            <w:tcW w:w="1250" w:type="pct"/>
            <w:hideMark/>
          </w:tcPr>
          <w:p w:rsidR="001C52F3" w:rsidRPr="00D005C2" w:rsidP="00086493" w14:paraId="533B7805" w14:textId="77777777">
            <w:pPr>
              <w:spacing w:before="240" w:after="240"/>
              <w:jc w:val="both"/>
              <w:rPr>
                <w:rFonts w:eastAsia="Aptos"/>
                <w:sz w:val="20"/>
                <w:szCs w:val="20"/>
              </w:rPr>
            </w:pPr>
            <w:r w:rsidRPr="00D005C2">
              <w:rPr>
                <w:rFonts w:eastAsia="Aptos"/>
                <w:sz w:val="20"/>
                <w:szCs w:val="20"/>
              </w:rPr>
              <w:t>Due Date</w:t>
            </w:r>
          </w:p>
        </w:tc>
      </w:tr>
      <w:tr w14:paraId="10833282" w14:textId="77777777" w:rsidTr="00086493">
        <w:tblPrEx>
          <w:tblW w:w="4955" w:type="pct"/>
          <w:tblLayout w:type="fixed"/>
          <w:tblLook w:val="04A0"/>
        </w:tblPrEx>
        <w:trPr>
          <w:trHeight w:val="506"/>
        </w:trPr>
        <w:tc>
          <w:tcPr>
            <w:tcW w:w="1250" w:type="pct"/>
            <w:hideMark/>
          </w:tcPr>
          <w:p w:rsidR="001C52F3" w:rsidRPr="007C0757" w:rsidP="00086493" w14:paraId="40B08231" w14:textId="77777777">
            <w:pPr>
              <w:spacing w:before="240" w:after="240"/>
              <w:rPr>
                <w:rFonts w:eastAsia="Aptos"/>
                <w:sz w:val="20"/>
                <w:szCs w:val="20"/>
              </w:rPr>
            </w:pPr>
            <w:r w:rsidRPr="007C0757">
              <w:rPr>
                <w:rFonts w:eastAsia="Aptos"/>
                <w:sz w:val="20"/>
                <w:szCs w:val="20"/>
              </w:rPr>
              <w:t>Annual Report # 1</w:t>
            </w:r>
          </w:p>
        </w:tc>
        <w:tc>
          <w:tcPr>
            <w:tcW w:w="1250" w:type="pct"/>
            <w:hideMark/>
          </w:tcPr>
          <w:p w:rsidR="001C52F3" w:rsidRPr="007C0757" w:rsidP="00086493" w14:paraId="4E7F58AF" w14:textId="77777777">
            <w:pPr>
              <w:spacing w:before="240" w:after="240"/>
              <w:rPr>
                <w:rFonts w:eastAsia="Aptos"/>
                <w:sz w:val="20"/>
                <w:szCs w:val="20"/>
              </w:rPr>
            </w:pPr>
            <w:r w:rsidRPr="007C0757">
              <w:rPr>
                <w:rFonts w:eastAsia="Aptos"/>
                <w:sz w:val="20"/>
                <w:szCs w:val="20"/>
              </w:rPr>
              <w:t>December 29, 2025</w:t>
            </w:r>
          </w:p>
        </w:tc>
        <w:tc>
          <w:tcPr>
            <w:tcW w:w="1250" w:type="pct"/>
            <w:hideMark/>
          </w:tcPr>
          <w:p w:rsidR="001C52F3" w:rsidRPr="007C0757" w:rsidP="00086493" w14:paraId="067A04F9" w14:textId="77777777">
            <w:pPr>
              <w:spacing w:before="240" w:after="240"/>
              <w:rPr>
                <w:rFonts w:eastAsia="Aptos"/>
                <w:sz w:val="20"/>
                <w:szCs w:val="20"/>
              </w:rPr>
            </w:pPr>
            <w:r w:rsidRPr="007C0757">
              <w:rPr>
                <w:rFonts w:eastAsia="Aptos"/>
                <w:sz w:val="20"/>
                <w:szCs w:val="20"/>
              </w:rPr>
              <w:t>July 31, 2026</w:t>
            </w:r>
          </w:p>
        </w:tc>
        <w:tc>
          <w:tcPr>
            <w:tcW w:w="1250" w:type="pct"/>
            <w:noWrap/>
            <w:hideMark/>
          </w:tcPr>
          <w:p w:rsidR="001C52F3" w:rsidRPr="004502FE" w:rsidP="00086493" w14:paraId="121D7E4E" w14:textId="77777777">
            <w:pPr>
              <w:spacing w:before="240" w:after="240"/>
              <w:rPr>
                <w:rFonts w:eastAsia="Aptos"/>
                <w:sz w:val="20"/>
                <w:szCs w:val="20"/>
              </w:rPr>
            </w:pPr>
            <w:r w:rsidRPr="007C0757">
              <w:rPr>
                <w:rFonts w:eastAsia="Aptos"/>
                <w:sz w:val="20"/>
                <w:szCs w:val="20"/>
              </w:rPr>
              <w:t>August 30, 2026</w:t>
            </w:r>
          </w:p>
        </w:tc>
      </w:tr>
      <w:tr w14:paraId="0334BBB8" w14:textId="77777777" w:rsidTr="00086493">
        <w:tblPrEx>
          <w:tblW w:w="4955" w:type="pct"/>
          <w:tblLayout w:type="fixed"/>
          <w:tblLook w:val="04A0"/>
        </w:tblPrEx>
        <w:trPr>
          <w:trHeight w:val="506"/>
        </w:trPr>
        <w:tc>
          <w:tcPr>
            <w:tcW w:w="1250" w:type="pct"/>
            <w:hideMark/>
          </w:tcPr>
          <w:p w:rsidR="001C52F3" w:rsidRPr="004502FE" w:rsidP="00086493" w14:paraId="1435533C" w14:textId="77777777">
            <w:pPr>
              <w:spacing w:before="240" w:after="240"/>
              <w:rPr>
                <w:rFonts w:eastAsia="Aptos"/>
                <w:sz w:val="20"/>
                <w:szCs w:val="20"/>
              </w:rPr>
            </w:pPr>
            <w:r w:rsidRPr="004502FE">
              <w:rPr>
                <w:rFonts w:eastAsia="Aptos"/>
                <w:sz w:val="20"/>
                <w:szCs w:val="20"/>
              </w:rPr>
              <w:t>Annual Report # 2</w:t>
            </w:r>
          </w:p>
        </w:tc>
        <w:tc>
          <w:tcPr>
            <w:tcW w:w="1250" w:type="pct"/>
            <w:noWrap/>
            <w:hideMark/>
          </w:tcPr>
          <w:p w:rsidR="001C52F3" w:rsidRPr="004502FE" w:rsidP="00086493" w14:paraId="5CC6EC80" w14:textId="77777777">
            <w:pPr>
              <w:spacing w:before="240" w:after="240"/>
              <w:rPr>
                <w:rFonts w:eastAsia="Aptos"/>
                <w:sz w:val="20"/>
                <w:szCs w:val="20"/>
              </w:rPr>
            </w:pPr>
            <w:r w:rsidRPr="004502FE">
              <w:rPr>
                <w:rFonts w:eastAsia="Aptos"/>
                <w:sz w:val="20"/>
                <w:szCs w:val="20"/>
              </w:rPr>
              <w:t>August 1, 2026</w:t>
            </w:r>
          </w:p>
        </w:tc>
        <w:tc>
          <w:tcPr>
            <w:tcW w:w="1250" w:type="pct"/>
            <w:hideMark/>
          </w:tcPr>
          <w:p w:rsidR="001C52F3" w:rsidRPr="004502FE" w:rsidP="00086493" w14:paraId="566BE42F" w14:textId="77777777">
            <w:pPr>
              <w:spacing w:before="240" w:after="240"/>
              <w:rPr>
                <w:rFonts w:eastAsia="Aptos"/>
                <w:sz w:val="20"/>
                <w:szCs w:val="20"/>
              </w:rPr>
            </w:pPr>
            <w:r w:rsidRPr="004502FE">
              <w:rPr>
                <w:rFonts w:eastAsia="Aptos"/>
                <w:sz w:val="20"/>
                <w:szCs w:val="20"/>
              </w:rPr>
              <w:t>July 31, 2027</w:t>
            </w:r>
          </w:p>
        </w:tc>
        <w:tc>
          <w:tcPr>
            <w:tcW w:w="1250" w:type="pct"/>
            <w:noWrap/>
            <w:hideMark/>
          </w:tcPr>
          <w:p w:rsidR="001C52F3" w:rsidRPr="004502FE" w:rsidP="00086493" w14:paraId="041DB851" w14:textId="77777777">
            <w:pPr>
              <w:spacing w:before="240" w:after="240"/>
              <w:rPr>
                <w:rFonts w:eastAsia="Aptos"/>
                <w:sz w:val="20"/>
                <w:szCs w:val="20"/>
              </w:rPr>
            </w:pPr>
            <w:r w:rsidRPr="004502FE">
              <w:rPr>
                <w:rFonts w:eastAsia="Aptos"/>
                <w:sz w:val="20"/>
                <w:szCs w:val="20"/>
              </w:rPr>
              <w:t>August 30, 2027</w:t>
            </w:r>
          </w:p>
        </w:tc>
      </w:tr>
      <w:tr w14:paraId="2855324C" w14:textId="77777777" w:rsidTr="00086493">
        <w:tblPrEx>
          <w:tblW w:w="4955" w:type="pct"/>
          <w:tblLayout w:type="fixed"/>
          <w:tblLook w:val="04A0"/>
        </w:tblPrEx>
        <w:trPr>
          <w:trHeight w:val="506"/>
        </w:trPr>
        <w:tc>
          <w:tcPr>
            <w:tcW w:w="1250" w:type="pct"/>
            <w:hideMark/>
          </w:tcPr>
          <w:p w:rsidR="001C52F3" w:rsidRPr="004502FE" w:rsidP="00086493" w14:paraId="19122F7A" w14:textId="77777777">
            <w:pPr>
              <w:spacing w:before="240" w:after="240"/>
              <w:rPr>
                <w:rFonts w:eastAsia="Aptos"/>
                <w:sz w:val="20"/>
                <w:szCs w:val="20"/>
              </w:rPr>
            </w:pPr>
            <w:r w:rsidRPr="004502FE">
              <w:rPr>
                <w:rFonts w:eastAsia="Aptos"/>
                <w:sz w:val="20"/>
                <w:szCs w:val="20"/>
              </w:rPr>
              <w:t>Annual Report # 3</w:t>
            </w:r>
          </w:p>
        </w:tc>
        <w:tc>
          <w:tcPr>
            <w:tcW w:w="1250" w:type="pct"/>
            <w:noWrap/>
            <w:hideMark/>
          </w:tcPr>
          <w:p w:rsidR="001C52F3" w:rsidRPr="004502FE" w:rsidP="00086493" w14:paraId="69B4268C" w14:textId="77777777">
            <w:pPr>
              <w:spacing w:before="240" w:after="240"/>
              <w:rPr>
                <w:rFonts w:eastAsia="Aptos"/>
                <w:sz w:val="20"/>
                <w:szCs w:val="20"/>
              </w:rPr>
            </w:pPr>
            <w:r w:rsidRPr="004502FE">
              <w:rPr>
                <w:rFonts w:eastAsia="Aptos"/>
                <w:sz w:val="20"/>
                <w:szCs w:val="20"/>
              </w:rPr>
              <w:t>August 1, 2027</w:t>
            </w:r>
          </w:p>
        </w:tc>
        <w:tc>
          <w:tcPr>
            <w:tcW w:w="1250" w:type="pct"/>
            <w:hideMark/>
          </w:tcPr>
          <w:p w:rsidR="001C52F3" w:rsidRPr="004502FE" w:rsidP="00086493" w14:paraId="3F37C7CA" w14:textId="77777777">
            <w:pPr>
              <w:spacing w:before="240" w:after="240"/>
              <w:rPr>
                <w:rFonts w:eastAsia="Aptos"/>
                <w:sz w:val="20"/>
                <w:szCs w:val="20"/>
              </w:rPr>
            </w:pPr>
            <w:r w:rsidRPr="004502FE">
              <w:rPr>
                <w:rFonts w:eastAsia="Aptos"/>
                <w:sz w:val="20"/>
                <w:szCs w:val="20"/>
              </w:rPr>
              <w:t>July 31, 2028</w:t>
            </w:r>
          </w:p>
        </w:tc>
        <w:tc>
          <w:tcPr>
            <w:tcW w:w="1250" w:type="pct"/>
            <w:noWrap/>
            <w:hideMark/>
          </w:tcPr>
          <w:p w:rsidR="001C52F3" w:rsidRPr="004502FE" w:rsidP="00086493" w14:paraId="59F85EAE" w14:textId="77777777">
            <w:pPr>
              <w:spacing w:before="240" w:after="240"/>
              <w:rPr>
                <w:rFonts w:eastAsia="Aptos"/>
                <w:sz w:val="20"/>
                <w:szCs w:val="20"/>
              </w:rPr>
            </w:pPr>
            <w:r w:rsidRPr="004502FE">
              <w:rPr>
                <w:rFonts w:eastAsia="Aptos"/>
                <w:sz w:val="20"/>
                <w:szCs w:val="20"/>
              </w:rPr>
              <w:t>August 30, 2028</w:t>
            </w:r>
          </w:p>
        </w:tc>
      </w:tr>
      <w:tr w14:paraId="5C852006" w14:textId="77777777" w:rsidTr="00086493">
        <w:tblPrEx>
          <w:tblW w:w="4955" w:type="pct"/>
          <w:tblLayout w:type="fixed"/>
          <w:tblLook w:val="04A0"/>
        </w:tblPrEx>
        <w:trPr>
          <w:trHeight w:val="506"/>
        </w:trPr>
        <w:tc>
          <w:tcPr>
            <w:tcW w:w="1250" w:type="pct"/>
            <w:hideMark/>
          </w:tcPr>
          <w:p w:rsidR="001C52F3" w:rsidRPr="004502FE" w:rsidP="00086493" w14:paraId="67775577" w14:textId="77777777">
            <w:pPr>
              <w:spacing w:before="240" w:after="240"/>
              <w:rPr>
                <w:rFonts w:eastAsia="Aptos"/>
                <w:sz w:val="20"/>
                <w:szCs w:val="20"/>
              </w:rPr>
            </w:pPr>
            <w:r w:rsidRPr="004502FE">
              <w:rPr>
                <w:rFonts w:eastAsia="Aptos"/>
                <w:sz w:val="20"/>
                <w:szCs w:val="20"/>
              </w:rPr>
              <w:t>Annual Report # 4</w:t>
            </w:r>
          </w:p>
        </w:tc>
        <w:tc>
          <w:tcPr>
            <w:tcW w:w="1250" w:type="pct"/>
            <w:noWrap/>
            <w:hideMark/>
          </w:tcPr>
          <w:p w:rsidR="001C52F3" w:rsidRPr="004502FE" w:rsidP="00086493" w14:paraId="6816977C" w14:textId="77777777">
            <w:pPr>
              <w:spacing w:before="240" w:after="240"/>
              <w:rPr>
                <w:rFonts w:eastAsia="Aptos"/>
                <w:sz w:val="20"/>
                <w:szCs w:val="20"/>
              </w:rPr>
            </w:pPr>
            <w:r w:rsidRPr="004502FE">
              <w:rPr>
                <w:rFonts w:eastAsia="Aptos"/>
                <w:sz w:val="20"/>
                <w:szCs w:val="20"/>
              </w:rPr>
              <w:t>August 1, 2028</w:t>
            </w:r>
          </w:p>
        </w:tc>
        <w:tc>
          <w:tcPr>
            <w:tcW w:w="1250" w:type="pct"/>
            <w:hideMark/>
          </w:tcPr>
          <w:p w:rsidR="001C52F3" w:rsidRPr="004502FE" w:rsidP="00086493" w14:paraId="45BE6768" w14:textId="77777777">
            <w:pPr>
              <w:spacing w:before="240" w:after="240"/>
              <w:rPr>
                <w:rFonts w:eastAsia="Aptos"/>
                <w:sz w:val="20"/>
                <w:szCs w:val="20"/>
              </w:rPr>
            </w:pPr>
            <w:r w:rsidRPr="004502FE">
              <w:rPr>
                <w:rFonts w:eastAsia="Aptos"/>
                <w:sz w:val="20"/>
                <w:szCs w:val="20"/>
              </w:rPr>
              <w:t>July 31, 2029</w:t>
            </w:r>
          </w:p>
        </w:tc>
        <w:tc>
          <w:tcPr>
            <w:tcW w:w="1250" w:type="pct"/>
            <w:noWrap/>
            <w:hideMark/>
          </w:tcPr>
          <w:p w:rsidR="001C52F3" w:rsidRPr="004502FE" w:rsidP="00086493" w14:paraId="3491E82F" w14:textId="77777777">
            <w:pPr>
              <w:spacing w:before="240" w:after="240"/>
              <w:rPr>
                <w:rFonts w:eastAsia="Aptos"/>
                <w:sz w:val="20"/>
                <w:szCs w:val="20"/>
              </w:rPr>
            </w:pPr>
            <w:r w:rsidRPr="004502FE">
              <w:rPr>
                <w:rFonts w:eastAsia="Aptos"/>
                <w:sz w:val="20"/>
                <w:szCs w:val="20"/>
              </w:rPr>
              <w:t>August 30, 2029</w:t>
            </w:r>
          </w:p>
        </w:tc>
      </w:tr>
      <w:tr w14:paraId="0C3FD7A0" w14:textId="77777777" w:rsidTr="00086493">
        <w:tblPrEx>
          <w:tblW w:w="4955" w:type="pct"/>
          <w:tblLayout w:type="fixed"/>
          <w:tblLook w:val="04A0"/>
        </w:tblPrEx>
        <w:trPr>
          <w:trHeight w:val="506"/>
        </w:trPr>
        <w:tc>
          <w:tcPr>
            <w:tcW w:w="1250" w:type="pct"/>
          </w:tcPr>
          <w:p w:rsidR="001C52F3" w:rsidRPr="004502FE" w:rsidP="00086493" w14:paraId="7A2A74EC" w14:textId="77777777">
            <w:pPr>
              <w:spacing w:before="240" w:after="240"/>
              <w:rPr>
                <w:rFonts w:eastAsia="Aptos"/>
                <w:sz w:val="20"/>
                <w:szCs w:val="20"/>
              </w:rPr>
            </w:pPr>
            <w:r w:rsidRPr="004502FE">
              <w:rPr>
                <w:rFonts w:eastAsia="Aptos"/>
                <w:sz w:val="20"/>
                <w:szCs w:val="20"/>
              </w:rPr>
              <w:t>Annual Report # 5</w:t>
            </w:r>
          </w:p>
        </w:tc>
        <w:tc>
          <w:tcPr>
            <w:tcW w:w="1250" w:type="pct"/>
            <w:noWrap/>
          </w:tcPr>
          <w:p w:rsidR="001C52F3" w:rsidRPr="004502FE" w:rsidP="00086493" w14:paraId="49D46D68" w14:textId="77777777">
            <w:pPr>
              <w:spacing w:before="240" w:after="240"/>
              <w:rPr>
                <w:rFonts w:eastAsia="Aptos"/>
                <w:sz w:val="20"/>
                <w:szCs w:val="20"/>
              </w:rPr>
            </w:pPr>
            <w:r w:rsidRPr="004502FE">
              <w:rPr>
                <w:rFonts w:eastAsia="Aptos"/>
                <w:sz w:val="20"/>
                <w:szCs w:val="20"/>
              </w:rPr>
              <w:t>August 1, 2029</w:t>
            </w:r>
          </w:p>
        </w:tc>
        <w:tc>
          <w:tcPr>
            <w:tcW w:w="1250" w:type="pct"/>
          </w:tcPr>
          <w:p w:rsidR="001C52F3" w:rsidRPr="004502FE" w:rsidP="00086493" w14:paraId="7576095E" w14:textId="77777777">
            <w:pPr>
              <w:spacing w:before="240" w:after="240"/>
              <w:rPr>
                <w:rFonts w:eastAsia="Aptos"/>
                <w:sz w:val="20"/>
                <w:szCs w:val="20"/>
              </w:rPr>
            </w:pPr>
            <w:r w:rsidRPr="004502FE">
              <w:rPr>
                <w:rFonts w:eastAsia="Aptos"/>
                <w:sz w:val="20"/>
                <w:szCs w:val="20"/>
              </w:rPr>
              <w:t>July 31, 2030</w:t>
            </w:r>
          </w:p>
        </w:tc>
        <w:tc>
          <w:tcPr>
            <w:tcW w:w="1250" w:type="pct"/>
            <w:noWrap/>
          </w:tcPr>
          <w:p w:rsidR="001C52F3" w:rsidRPr="004502FE" w:rsidP="00086493" w14:paraId="4C524C24" w14:textId="77777777">
            <w:pPr>
              <w:spacing w:before="240" w:after="240"/>
              <w:rPr>
                <w:rFonts w:eastAsia="Aptos"/>
                <w:sz w:val="20"/>
                <w:szCs w:val="20"/>
              </w:rPr>
            </w:pPr>
            <w:r w:rsidRPr="004502FE">
              <w:rPr>
                <w:rFonts w:eastAsia="Aptos"/>
                <w:sz w:val="20"/>
                <w:szCs w:val="20"/>
              </w:rPr>
              <w:t>August 30, 2030</w:t>
            </w:r>
          </w:p>
        </w:tc>
      </w:tr>
      <w:tr w14:paraId="1E64B4AF" w14:textId="77777777" w:rsidTr="00086493">
        <w:tblPrEx>
          <w:tblW w:w="4955" w:type="pct"/>
          <w:tblLayout w:type="fixed"/>
          <w:tblLook w:val="04A0"/>
        </w:tblPrEx>
        <w:trPr>
          <w:trHeight w:val="506"/>
        </w:trPr>
        <w:tc>
          <w:tcPr>
            <w:tcW w:w="1250" w:type="pct"/>
          </w:tcPr>
          <w:p w:rsidR="001C52F3" w:rsidRPr="009F199F" w:rsidP="00086493" w14:paraId="083FC0BD" w14:textId="77777777">
            <w:pPr>
              <w:spacing w:before="240" w:after="240"/>
              <w:rPr>
                <w:rFonts w:eastAsia="Aptos"/>
                <w:sz w:val="20"/>
                <w:szCs w:val="20"/>
              </w:rPr>
            </w:pPr>
            <w:r w:rsidRPr="009F199F">
              <w:rPr>
                <w:rFonts w:eastAsia="Aptos"/>
                <w:sz w:val="20"/>
                <w:szCs w:val="20"/>
              </w:rPr>
              <w:t>Final Report</w:t>
            </w:r>
          </w:p>
        </w:tc>
        <w:tc>
          <w:tcPr>
            <w:tcW w:w="1250" w:type="pct"/>
            <w:noWrap/>
          </w:tcPr>
          <w:p w:rsidR="001C52F3" w:rsidRPr="009F199F" w:rsidP="00086493" w14:paraId="10D1BB33" w14:textId="77777777">
            <w:pPr>
              <w:spacing w:before="240" w:after="240"/>
              <w:rPr>
                <w:rFonts w:eastAsia="Aptos"/>
                <w:sz w:val="20"/>
                <w:szCs w:val="20"/>
              </w:rPr>
            </w:pPr>
            <w:r w:rsidRPr="009F199F">
              <w:rPr>
                <w:rFonts w:eastAsia="Aptos"/>
                <w:sz w:val="20"/>
                <w:szCs w:val="20"/>
              </w:rPr>
              <w:t>December 29, 2025</w:t>
            </w:r>
          </w:p>
        </w:tc>
        <w:tc>
          <w:tcPr>
            <w:tcW w:w="1250" w:type="pct"/>
          </w:tcPr>
          <w:p w:rsidR="001C52F3" w:rsidRPr="009F199F" w:rsidP="00086493" w14:paraId="59075144" w14:textId="77777777">
            <w:pPr>
              <w:spacing w:before="240" w:after="240"/>
              <w:rPr>
                <w:rFonts w:eastAsia="Aptos"/>
                <w:sz w:val="20"/>
                <w:szCs w:val="20"/>
              </w:rPr>
            </w:pPr>
            <w:r w:rsidRPr="009F199F">
              <w:rPr>
                <w:rFonts w:eastAsia="Aptos"/>
                <w:sz w:val="20"/>
                <w:szCs w:val="20"/>
              </w:rPr>
              <w:t xml:space="preserve">October 30, 2030 </w:t>
            </w:r>
          </w:p>
        </w:tc>
        <w:tc>
          <w:tcPr>
            <w:tcW w:w="1250" w:type="pct"/>
            <w:noWrap/>
          </w:tcPr>
          <w:p w:rsidR="001C52F3" w:rsidRPr="004502FE" w:rsidP="00086493" w14:paraId="08C59152" w14:textId="77777777">
            <w:pPr>
              <w:spacing w:before="240" w:after="240"/>
              <w:rPr>
                <w:rFonts w:eastAsia="Aptos"/>
                <w:sz w:val="20"/>
                <w:szCs w:val="20"/>
              </w:rPr>
            </w:pPr>
            <w:r w:rsidRPr="009F199F">
              <w:rPr>
                <w:rFonts w:eastAsia="Aptos"/>
                <w:sz w:val="20"/>
                <w:szCs w:val="20"/>
              </w:rPr>
              <w:t>February 27, 2031</w:t>
            </w:r>
            <w:r w:rsidRPr="004502FE">
              <w:rPr>
                <w:rFonts w:eastAsia="Aptos"/>
                <w:sz w:val="20"/>
                <w:szCs w:val="20"/>
              </w:rPr>
              <w:t xml:space="preserve"> </w:t>
            </w:r>
          </w:p>
        </w:tc>
      </w:tr>
    </w:tbl>
    <w:p w:rsidR="001C52F3" w:rsidP="001C52F3" w14:paraId="18745267" w14:textId="77777777">
      <w:pPr>
        <w:pStyle w:val="BodyText"/>
        <w:spacing w:before="240" w:after="240"/>
      </w:pPr>
      <w:r>
        <w:rPr>
          <w:i/>
          <w:iCs/>
          <w:u w:val="single"/>
        </w:rPr>
        <w:t>Quarterly</w:t>
      </w:r>
      <w:r w:rsidRPr="007E4795">
        <w:rPr>
          <w:i/>
          <w:iCs/>
          <w:u w:val="single"/>
        </w:rPr>
        <w:t xml:space="preserve"> Reports</w:t>
      </w:r>
      <w:r w:rsidRPr="007E4795">
        <w:t xml:space="preserve">  </w:t>
      </w:r>
      <w:r w:rsidRPr="003D11FB">
        <w:t>Th</w:t>
      </w:r>
      <w:r>
        <w:t>e</w:t>
      </w:r>
      <w:r w:rsidRPr="003D11FB">
        <w:t xml:space="preserve"> reporting template will be disseminated to all 50 State awardees. The </w:t>
      </w:r>
      <w:r>
        <w:t>q</w:t>
      </w:r>
      <w:r w:rsidRPr="006A4FEB">
        <w:t xml:space="preserve">uarterly </w:t>
      </w:r>
      <w:r w:rsidRPr="003D11FB">
        <w:t>report</w:t>
      </w:r>
      <w:r>
        <w:t xml:space="preserve">ing periods and </w:t>
      </w:r>
      <w:r w:rsidRPr="003D11FB">
        <w:t xml:space="preserve">due dates are listed in </w:t>
      </w:r>
      <w:r>
        <w:t>T</w:t>
      </w:r>
      <w:r w:rsidRPr="003D11FB">
        <w:t>able</w:t>
      </w:r>
      <w:r>
        <w:t xml:space="preserve">2, </w:t>
      </w:r>
      <w:r w:rsidRPr="003D11FB">
        <w:t>below.</w:t>
      </w:r>
    </w:p>
    <w:p w:rsidR="001C52F3" w:rsidRPr="007E4795" w:rsidP="001C52F3" w14:paraId="4189EF11" w14:textId="2DBC6B3E">
      <w:pPr>
        <w:pStyle w:val="BodyText"/>
        <w:spacing w:before="240" w:after="240"/>
      </w:pPr>
      <w:r w:rsidRPr="007E4795">
        <w:t>We estimate it w</w:t>
      </w:r>
      <w:r w:rsidR="00B244C7">
        <w:t>ill</w:t>
      </w:r>
      <w:r w:rsidRPr="007E4795">
        <w:t xml:space="preserve"> take </w:t>
      </w:r>
      <w:r w:rsidR="00CE65EB">
        <w:t>160</w:t>
      </w:r>
      <w:r w:rsidRPr="007E4795">
        <w:t xml:space="preserve"> hours at $</w:t>
      </w:r>
      <w:r w:rsidR="0002562A">
        <w:t>85.46</w:t>
      </w:r>
      <w:r w:rsidRPr="007E4795">
        <w:t xml:space="preserve">/hr for a Social and Community Service Manager to complete each </w:t>
      </w:r>
      <w:r>
        <w:t>q</w:t>
      </w:r>
      <w:r w:rsidRPr="006A4FEB">
        <w:t>uarterly</w:t>
      </w:r>
      <w:r w:rsidRPr="007E4795">
        <w:t xml:space="preserve"> report.</w:t>
      </w:r>
      <w:r>
        <w:t xml:space="preserve"> In aggregate, we estimate an annual burden of </w:t>
      </w:r>
      <w:r w:rsidR="00CE65EB">
        <w:t>8,000</w:t>
      </w:r>
      <w:r>
        <w:t xml:space="preserve"> hours (50 States x </w:t>
      </w:r>
      <w:r w:rsidR="00CE65EB">
        <w:t>160</w:t>
      </w:r>
      <w:r>
        <w:t xml:space="preserve"> hr/State x </w:t>
      </w:r>
      <w:r w:rsidR="00CE65EB">
        <w:t>3</w:t>
      </w:r>
      <w:r>
        <w:t xml:space="preserve"> reports/year) at a cost of $</w:t>
      </w:r>
      <w:r w:rsidR="00CE65EB">
        <w:t>683,680</w:t>
      </w:r>
      <w:r>
        <w:t xml:space="preserve"> (</w:t>
      </w:r>
      <w:r w:rsidRPr="001319A9">
        <w:t>8</w:t>
      </w:r>
      <w:r w:rsidR="00CE65EB">
        <w:t>,0</w:t>
      </w:r>
      <w:r w:rsidRPr="001319A9">
        <w:t>00</w:t>
      </w:r>
      <w:r>
        <w:t xml:space="preserve"> hr x </w:t>
      </w:r>
      <w:r w:rsidRPr="007E4795">
        <w:t>$</w:t>
      </w:r>
      <w:r w:rsidR="0002562A">
        <w:t>85.46</w:t>
      </w:r>
      <w:r w:rsidRPr="007E4795">
        <w:t>/hr</w:t>
      </w:r>
      <w:r>
        <w:t xml:space="preserve">). </w:t>
      </w:r>
    </w:p>
    <w:p w:rsidR="001C52F3" w:rsidRPr="00D35597" w:rsidP="001C52F3" w14:paraId="63A53B1C" w14:textId="77777777">
      <w:pPr>
        <w:pStyle w:val="BodyText"/>
        <w:spacing w:before="240" w:after="240"/>
        <w:rPr>
          <w:spacing w:val="40"/>
        </w:rPr>
      </w:pPr>
      <w:r w:rsidRPr="0032318D">
        <w:t xml:space="preserve">The fourth quarterly report for each </w:t>
      </w:r>
      <w:r>
        <w:t>will be</w:t>
      </w:r>
      <w:r w:rsidRPr="0032318D">
        <w:t xml:space="preserve"> waived in place of the annual report.</w:t>
      </w:r>
      <w:r w:rsidRPr="003D11FB">
        <w:t xml:space="preserve"> </w:t>
      </w:r>
    </w:p>
    <w:p w:rsidR="001C52F3" w:rsidRPr="00D005C2" w:rsidP="001C52F3" w14:paraId="54D99C81" w14:textId="77777777">
      <w:pPr>
        <w:widowControl/>
        <w:autoSpaceDE/>
        <w:autoSpaceDN/>
        <w:spacing w:before="240"/>
        <w:rPr>
          <w:kern w:val="2"/>
          <w14:ligatures w14:val="standardContextual"/>
        </w:rPr>
      </w:pPr>
      <w:r w:rsidRPr="00D005C2">
        <w:rPr>
          <w:szCs w:val="18"/>
          <w14:ligatures w14:val="standardContextual"/>
        </w:rPr>
        <w:t xml:space="preserve">Table 2. </w:t>
      </w:r>
      <w:r w:rsidRPr="00D005C2">
        <w:rPr>
          <w:kern w:val="2"/>
          <w14:ligatures w14:val="standardContextual"/>
        </w:rPr>
        <w:t>Quarterly Progress Report Due Dates</w:t>
      </w:r>
    </w:p>
    <w:tbl>
      <w:tblPr>
        <w:tblStyle w:val="TableGrid"/>
        <w:tblW w:w="9297" w:type="dxa"/>
        <w:tblLayout w:type="fixed"/>
        <w:tblLook w:val="04A0"/>
      </w:tblPr>
      <w:tblGrid>
        <w:gridCol w:w="2324"/>
        <w:gridCol w:w="2324"/>
        <w:gridCol w:w="2324"/>
        <w:gridCol w:w="2325"/>
      </w:tblGrid>
      <w:tr w14:paraId="6AA1DDF5" w14:textId="77777777" w:rsidTr="00086493">
        <w:tblPrEx>
          <w:tblW w:w="9297" w:type="dxa"/>
          <w:tblLayout w:type="fixed"/>
          <w:tblLook w:val="04A0"/>
        </w:tblPrEx>
        <w:trPr>
          <w:trHeight w:val="324"/>
        </w:trPr>
        <w:tc>
          <w:tcPr>
            <w:tcW w:w="2324" w:type="dxa"/>
            <w:hideMark/>
          </w:tcPr>
          <w:p w:rsidR="001C52F3" w:rsidRPr="00D005C2" w:rsidP="00086493" w14:paraId="3B55D9F4" w14:textId="77777777">
            <w:pPr>
              <w:spacing w:before="240" w:after="240"/>
              <w:rPr>
                <w:rFonts w:eastAsia="Aptos"/>
                <w:sz w:val="20"/>
                <w:szCs w:val="20"/>
              </w:rPr>
            </w:pPr>
            <w:r w:rsidRPr="00D005C2">
              <w:rPr>
                <w:rFonts w:eastAsia="Aptos"/>
                <w:sz w:val="20"/>
                <w:szCs w:val="20"/>
              </w:rPr>
              <w:t>Report</w:t>
            </w:r>
          </w:p>
        </w:tc>
        <w:tc>
          <w:tcPr>
            <w:tcW w:w="2324" w:type="dxa"/>
            <w:hideMark/>
          </w:tcPr>
          <w:p w:rsidR="001C52F3" w:rsidRPr="00D005C2" w:rsidP="00086493" w14:paraId="67973E5B" w14:textId="77777777">
            <w:pPr>
              <w:spacing w:before="240" w:after="240"/>
              <w:rPr>
                <w:rFonts w:eastAsia="Aptos"/>
                <w:sz w:val="20"/>
                <w:szCs w:val="20"/>
              </w:rPr>
            </w:pPr>
            <w:r w:rsidRPr="00D005C2">
              <w:rPr>
                <w:rFonts w:eastAsia="Aptos"/>
                <w:sz w:val="20"/>
                <w:szCs w:val="20"/>
              </w:rPr>
              <w:t xml:space="preserve">Reporting Period Start </w:t>
            </w:r>
          </w:p>
        </w:tc>
        <w:tc>
          <w:tcPr>
            <w:tcW w:w="2324" w:type="dxa"/>
            <w:hideMark/>
          </w:tcPr>
          <w:p w:rsidR="001C52F3" w:rsidRPr="00D005C2" w:rsidP="00086493" w14:paraId="3040054C" w14:textId="77777777">
            <w:pPr>
              <w:spacing w:before="240" w:after="240"/>
              <w:rPr>
                <w:rFonts w:eastAsia="Aptos"/>
                <w:sz w:val="20"/>
                <w:szCs w:val="20"/>
              </w:rPr>
            </w:pPr>
            <w:r w:rsidRPr="00D005C2">
              <w:rPr>
                <w:rFonts w:eastAsia="Aptos"/>
                <w:sz w:val="20"/>
                <w:szCs w:val="20"/>
              </w:rPr>
              <w:t xml:space="preserve">Reporting Period End </w:t>
            </w:r>
          </w:p>
        </w:tc>
        <w:tc>
          <w:tcPr>
            <w:tcW w:w="2325" w:type="dxa"/>
            <w:hideMark/>
          </w:tcPr>
          <w:p w:rsidR="001C52F3" w:rsidRPr="00D005C2" w:rsidP="00086493" w14:paraId="2317FF17" w14:textId="77777777">
            <w:pPr>
              <w:spacing w:before="240" w:after="240"/>
              <w:rPr>
                <w:rFonts w:eastAsia="Aptos"/>
                <w:sz w:val="20"/>
                <w:szCs w:val="20"/>
              </w:rPr>
            </w:pPr>
            <w:r w:rsidRPr="00D005C2">
              <w:rPr>
                <w:rFonts w:eastAsia="Aptos"/>
                <w:sz w:val="20"/>
                <w:szCs w:val="20"/>
              </w:rPr>
              <w:t xml:space="preserve">Due Date </w:t>
            </w:r>
          </w:p>
        </w:tc>
      </w:tr>
      <w:tr w14:paraId="3B10C1A1" w14:textId="77777777" w:rsidTr="00086493">
        <w:tblPrEx>
          <w:tblW w:w="9297" w:type="dxa"/>
          <w:tblLayout w:type="fixed"/>
          <w:tblLook w:val="04A0"/>
        </w:tblPrEx>
        <w:trPr>
          <w:trHeight w:val="324"/>
        </w:trPr>
        <w:tc>
          <w:tcPr>
            <w:tcW w:w="2324" w:type="dxa"/>
            <w:hideMark/>
          </w:tcPr>
          <w:p w:rsidR="001C52F3" w:rsidRPr="004502FE" w:rsidP="00086493" w14:paraId="5ECD0094" w14:textId="77777777">
            <w:pPr>
              <w:spacing w:before="240" w:after="240"/>
              <w:rPr>
                <w:rFonts w:eastAsia="Aptos"/>
                <w:sz w:val="20"/>
                <w:szCs w:val="20"/>
              </w:rPr>
            </w:pPr>
            <w:r w:rsidRPr="004502FE">
              <w:rPr>
                <w:rFonts w:eastAsia="Aptos"/>
                <w:sz w:val="20"/>
                <w:szCs w:val="20"/>
              </w:rPr>
              <w:t>Quarterly Report # 1</w:t>
            </w:r>
          </w:p>
        </w:tc>
        <w:tc>
          <w:tcPr>
            <w:tcW w:w="2324" w:type="dxa"/>
            <w:hideMark/>
          </w:tcPr>
          <w:p w:rsidR="001C52F3" w:rsidRPr="004502FE" w:rsidP="00086493" w14:paraId="799C2247" w14:textId="77777777">
            <w:pPr>
              <w:spacing w:before="240" w:after="240"/>
              <w:ind w:firstLine="4" w:firstLineChars="2"/>
              <w:rPr>
                <w:rFonts w:eastAsia="Aptos"/>
                <w:sz w:val="20"/>
                <w:szCs w:val="20"/>
              </w:rPr>
            </w:pPr>
            <w:r w:rsidRPr="004502FE">
              <w:rPr>
                <w:rFonts w:eastAsia="Aptos"/>
                <w:sz w:val="20"/>
                <w:szCs w:val="20"/>
              </w:rPr>
              <w:t>August 1, 2026</w:t>
            </w:r>
          </w:p>
        </w:tc>
        <w:tc>
          <w:tcPr>
            <w:tcW w:w="2324" w:type="dxa"/>
            <w:hideMark/>
          </w:tcPr>
          <w:p w:rsidR="001C52F3" w:rsidRPr="004502FE" w:rsidP="00086493" w14:paraId="75DBE8F0" w14:textId="77777777">
            <w:pPr>
              <w:spacing w:before="240" w:after="240"/>
              <w:rPr>
                <w:rFonts w:eastAsia="Aptos"/>
                <w:sz w:val="20"/>
                <w:szCs w:val="20"/>
              </w:rPr>
            </w:pPr>
            <w:r w:rsidRPr="004502FE">
              <w:rPr>
                <w:rFonts w:eastAsia="Aptos"/>
                <w:sz w:val="20"/>
                <w:szCs w:val="20"/>
              </w:rPr>
              <w:t>October 30, 2026</w:t>
            </w:r>
          </w:p>
        </w:tc>
        <w:tc>
          <w:tcPr>
            <w:tcW w:w="2325" w:type="dxa"/>
            <w:noWrap/>
            <w:hideMark/>
          </w:tcPr>
          <w:p w:rsidR="001C52F3" w:rsidRPr="004502FE" w:rsidP="00086493" w14:paraId="108435CD" w14:textId="77777777">
            <w:pPr>
              <w:spacing w:before="240" w:after="240"/>
              <w:rPr>
                <w:rFonts w:eastAsia="Aptos"/>
                <w:sz w:val="20"/>
                <w:szCs w:val="20"/>
              </w:rPr>
            </w:pPr>
            <w:r w:rsidRPr="004502FE">
              <w:rPr>
                <w:rFonts w:eastAsia="Aptos"/>
                <w:sz w:val="20"/>
                <w:szCs w:val="20"/>
              </w:rPr>
              <w:t>November 29, 2026</w:t>
            </w:r>
          </w:p>
        </w:tc>
      </w:tr>
      <w:tr w14:paraId="1938A827" w14:textId="77777777" w:rsidTr="00086493">
        <w:tblPrEx>
          <w:tblW w:w="9297" w:type="dxa"/>
          <w:tblLayout w:type="fixed"/>
          <w:tblLook w:val="04A0"/>
        </w:tblPrEx>
        <w:trPr>
          <w:trHeight w:val="324"/>
        </w:trPr>
        <w:tc>
          <w:tcPr>
            <w:tcW w:w="2324" w:type="dxa"/>
          </w:tcPr>
          <w:p w:rsidR="001C52F3" w:rsidRPr="000748E9" w:rsidP="00086493" w14:paraId="0CE11442" w14:textId="77777777">
            <w:pPr>
              <w:spacing w:before="240" w:after="240"/>
              <w:rPr>
                <w:rFonts w:eastAsia="Aptos"/>
                <w:sz w:val="20"/>
                <w:szCs w:val="20"/>
              </w:rPr>
            </w:pPr>
            <w:r w:rsidRPr="000748E9">
              <w:rPr>
                <w:rFonts w:eastAsia="Aptos"/>
                <w:sz w:val="20"/>
                <w:szCs w:val="20"/>
              </w:rPr>
              <w:t>Quarterly Report # 2</w:t>
            </w:r>
          </w:p>
        </w:tc>
        <w:tc>
          <w:tcPr>
            <w:tcW w:w="2324" w:type="dxa"/>
          </w:tcPr>
          <w:p w:rsidR="001C52F3" w:rsidRPr="000748E9" w:rsidP="00086493" w14:paraId="31D2E87E" w14:textId="77777777">
            <w:pPr>
              <w:spacing w:before="240" w:after="240"/>
              <w:ind w:firstLine="4" w:firstLineChars="2"/>
              <w:rPr>
                <w:rFonts w:eastAsia="Aptos"/>
                <w:sz w:val="20"/>
                <w:szCs w:val="20"/>
              </w:rPr>
            </w:pPr>
            <w:r w:rsidRPr="000748E9">
              <w:rPr>
                <w:rFonts w:eastAsia="Aptos"/>
                <w:sz w:val="20"/>
                <w:szCs w:val="20"/>
              </w:rPr>
              <w:t>October 31, 2026</w:t>
            </w:r>
          </w:p>
        </w:tc>
        <w:tc>
          <w:tcPr>
            <w:tcW w:w="2324" w:type="dxa"/>
          </w:tcPr>
          <w:p w:rsidR="001C52F3" w:rsidRPr="000748E9" w:rsidP="00086493" w14:paraId="032DEC50" w14:textId="77777777">
            <w:pPr>
              <w:spacing w:before="240" w:after="240"/>
              <w:rPr>
                <w:rFonts w:eastAsia="Aptos"/>
                <w:sz w:val="20"/>
                <w:szCs w:val="20"/>
              </w:rPr>
            </w:pPr>
            <w:r w:rsidRPr="000748E9">
              <w:rPr>
                <w:rFonts w:eastAsia="Aptos"/>
                <w:sz w:val="20"/>
                <w:szCs w:val="20"/>
              </w:rPr>
              <w:t>January 30, 2027</w:t>
            </w:r>
          </w:p>
        </w:tc>
        <w:tc>
          <w:tcPr>
            <w:tcW w:w="2325" w:type="dxa"/>
            <w:noWrap/>
          </w:tcPr>
          <w:p w:rsidR="001C52F3" w:rsidRPr="000748E9" w:rsidP="00086493" w14:paraId="13CF77EE" w14:textId="77777777">
            <w:pPr>
              <w:spacing w:before="240" w:after="240"/>
              <w:rPr>
                <w:rFonts w:eastAsia="Aptos"/>
                <w:sz w:val="20"/>
                <w:szCs w:val="20"/>
              </w:rPr>
            </w:pPr>
            <w:r w:rsidRPr="000748E9">
              <w:rPr>
                <w:rFonts w:eastAsia="Aptos"/>
                <w:sz w:val="20"/>
                <w:szCs w:val="20"/>
              </w:rPr>
              <w:t>March 1, 2027</w:t>
            </w:r>
          </w:p>
        </w:tc>
      </w:tr>
      <w:tr w14:paraId="062B1F7C" w14:textId="77777777" w:rsidTr="00086493">
        <w:tblPrEx>
          <w:tblW w:w="9297" w:type="dxa"/>
          <w:tblLayout w:type="fixed"/>
          <w:tblLook w:val="04A0"/>
        </w:tblPrEx>
        <w:trPr>
          <w:trHeight w:val="324"/>
        </w:trPr>
        <w:tc>
          <w:tcPr>
            <w:tcW w:w="2324" w:type="dxa"/>
            <w:hideMark/>
          </w:tcPr>
          <w:p w:rsidR="001C52F3" w:rsidRPr="004502FE" w:rsidP="00086493" w14:paraId="2D979D9C" w14:textId="77777777">
            <w:pPr>
              <w:spacing w:before="240" w:after="240"/>
              <w:rPr>
                <w:rFonts w:eastAsia="Aptos"/>
                <w:sz w:val="20"/>
                <w:szCs w:val="20"/>
              </w:rPr>
            </w:pPr>
            <w:r w:rsidRPr="004502FE">
              <w:rPr>
                <w:rFonts w:eastAsia="Aptos"/>
                <w:sz w:val="20"/>
                <w:szCs w:val="20"/>
              </w:rPr>
              <w:t>Quarterly Report # 3</w:t>
            </w:r>
          </w:p>
        </w:tc>
        <w:tc>
          <w:tcPr>
            <w:tcW w:w="2324" w:type="dxa"/>
            <w:noWrap/>
            <w:hideMark/>
          </w:tcPr>
          <w:p w:rsidR="001C52F3" w:rsidRPr="004502FE" w:rsidP="00086493" w14:paraId="2C86416A" w14:textId="77777777">
            <w:pPr>
              <w:spacing w:before="240" w:after="240"/>
              <w:ind w:firstLine="4" w:firstLineChars="2"/>
              <w:rPr>
                <w:rFonts w:eastAsia="Aptos"/>
                <w:sz w:val="20"/>
                <w:szCs w:val="20"/>
              </w:rPr>
            </w:pPr>
            <w:r w:rsidRPr="004502FE">
              <w:rPr>
                <w:rFonts w:eastAsia="Aptos"/>
                <w:sz w:val="20"/>
                <w:szCs w:val="20"/>
              </w:rPr>
              <w:t>January 31, 2027</w:t>
            </w:r>
          </w:p>
        </w:tc>
        <w:tc>
          <w:tcPr>
            <w:tcW w:w="2324" w:type="dxa"/>
            <w:hideMark/>
          </w:tcPr>
          <w:p w:rsidR="001C52F3" w:rsidRPr="004502FE" w:rsidP="00086493" w14:paraId="35884DE2" w14:textId="77777777">
            <w:pPr>
              <w:spacing w:before="240" w:after="240"/>
              <w:rPr>
                <w:rFonts w:eastAsia="Aptos"/>
                <w:sz w:val="20"/>
                <w:szCs w:val="20"/>
              </w:rPr>
            </w:pPr>
            <w:r w:rsidRPr="004502FE">
              <w:rPr>
                <w:rFonts w:eastAsia="Aptos"/>
                <w:sz w:val="20"/>
                <w:szCs w:val="20"/>
              </w:rPr>
              <w:t>April 30, 2027</w:t>
            </w:r>
          </w:p>
        </w:tc>
        <w:tc>
          <w:tcPr>
            <w:tcW w:w="2325" w:type="dxa"/>
            <w:noWrap/>
            <w:hideMark/>
          </w:tcPr>
          <w:p w:rsidR="001C52F3" w:rsidRPr="004502FE" w:rsidP="00086493" w14:paraId="4920B0CA" w14:textId="77777777">
            <w:pPr>
              <w:spacing w:before="240" w:after="240"/>
              <w:rPr>
                <w:rFonts w:eastAsia="Aptos"/>
                <w:sz w:val="20"/>
                <w:szCs w:val="20"/>
              </w:rPr>
            </w:pPr>
            <w:r w:rsidRPr="004502FE">
              <w:rPr>
                <w:rFonts w:eastAsia="Aptos"/>
                <w:sz w:val="20"/>
                <w:szCs w:val="20"/>
              </w:rPr>
              <w:t>May 30, 2027</w:t>
            </w:r>
          </w:p>
        </w:tc>
      </w:tr>
      <w:tr w14:paraId="62D39F78" w14:textId="77777777" w:rsidTr="00086493">
        <w:tblPrEx>
          <w:tblW w:w="9297" w:type="dxa"/>
          <w:tblLayout w:type="fixed"/>
          <w:tblLook w:val="04A0"/>
        </w:tblPrEx>
        <w:trPr>
          <w:trHeight w:val="324"/>
        </w:trPr>
        <w:tc>
          <w:tcPr>
            <w:tcW w:w="2324" w:type="dxa"/>
          </w:tcPr>
          <w:p w:rsidR="001C52F3" w:rsidRPr="004502FE" w:rsidP="00086493" w14:paraId="3F639351" w14:textId="77777777">
            <w:pPr>
              <w:spacing w:before="240" w:after="240"/>
              <w:rPr>
                <w:rFonts w:eastAsia="Aptos"/>
                <w:sz w:val="20"/>
                <w:szCs w:val="20"/>
              </w:rPr>
            </w:pPr>
            <w:r w:rsidRPr="004502FE">
              <w:rPr>
                <w:rFonts w:eastAsia="Aptos"/>
                <w:sz w:val="20"/>
                <w:szCs w:val="20"/>
              </w:rPr>
              <w:t>Quarterly Report # 4</w:t>
            </w:r>
          </w:p>
        </w:tc>
        <w:tc>
          <w:tcPr>
            <w:tcW w:w="2324" w:type="dxa"/>
            <w:noWrap/>
          </w:tcPr>
          <w:p w:rsidR="001C52F3" w:rsidRPr="004502FE" w:rsidP="00086493" w14:paraId="6A1757E6" w14:textId="77777777">
            <w:pPr>
              <w:spacing w:before="240" w:after="240"/>
              <w:ind w:firstLine="4" w:firstLineChars="2"/>
              <w:rPr>
                <w:rFonts w:eastAsia="Aptos"/>
                <w:sz w:val="20"/>
                <w:szCs w:val="20"/>
              </w:rPr>
            </w:pPr>
            <w:r w:rsidRPr="004502FE">
              <w:rPr>
                <w:rFonts w:eastAsia="Aptos"/>
                <w:sz w:val="20"/>
                <w:szCs w:val="20"/>
              </w:rPr>
              <w:t>August 1, 2027</w:t>
            </w:r>
          </w:p>
        </w:tc>
        <w:tc>
          <w:tcPr>
            <w:tcW w:w="2324" w:type="dxa"/>
          </w:tcPr>
          <w:p w:rsidR="001C52F3" w:rsidRPr="004502FE" w:rsidP="00086493" w14:paraId="1C940BB7" w14:textId="77777777">
            <w:pPr>
              <w:spacing w:before="240" w:after="240"/>
              <w:rPr>
                <w:rFonts w:eastAsia="Aptos"/>
                <w:sz w:val="20"/>
                <w:szCs w:val="20"/>
              </w:rPr>
            </w:pPr>
            <w:r w:rsidRPr="004502FE">
              <w:rPr>
                <w:rFonts w:eastAsia="Aptos"/>
                <w:sz w:val="20"/>
                <w:szCs w:val="20"/>
              </w:rPr>
              <w:t>October 30, 2027</w:t>
            </w:r>
          </w:p>
        </w:tc>
        <w:tc>
          <w:tcPr>
            <w:tcW w:w="2325" w:type="dxa"/>
            <w:noWrap/>
          </w:tcPr>
          <w:p w:rsidR="001C52F3" w:rsidRPr="004502FE" w:rsidP="00086493" w14:paraId="76923A4D" w14:textId="77777777">
            <w:pPr>
              <w:spacing w:before="240" w:after="240"/>
              <w:rPr>
                <w:rFonts w:eastAsia="Aptos"/>
                <w:sz w:val="20"/>
                <w:szCs w:val="20"/>
              </w:rPr>
            </w:pPr>
            <w:r w:rsidRPr="004502FE">
              <w:rPr>
                <w:rFonts w:eastAsia="Aptos"/>
                <w:sz w:val="20"/>
                <w:szCs w:val="20"/>
              </w:rPr>
              <w:t>November 29, 2027</w:t>
            </w:r>
          </w:p>
        </w:tc>
      </w:tr>
      <w:tr w14:paraId="2A4BD8C7" w14:textId="77777777" w:rsidTr="00086493">
        <w:tblPrEx>
          <w:tblW w:w="9297" w:type="dxa"/>
          <w:tblLayout w:type="fixed"/>
          <w:tblLook w:val="04A0"/>
        </w:tblPrEx>
        <w:trPr>
          <w:trHeight w:val="324"/>
        </w:trPr>
        <w:tc>
          <w:tcPr>
            <w:tcW w:w="2324" w:type="dxa"/>
          </w:tcPr>
          <w:p w:rsidR="001C52F3" w:rsidRPr="004502FE" w:rsidP="00086493" w14:paraId="6B99B667" w14:textId="77777777">
            <w:pPr>
              <w:spacing w:before="240" w:after="240"/>
              <w:rPr>
                <w:rFonts w:eastAsia="Aptos"/>
                <w:sz w:val="20"/>
                <w:szCs w:val="20"/>
              </w:rPr>
            </w:pPr>
            <w:r w:rsidRPr="004502FE">
              <w:rPr>
                <w:rFonts w:eastAsia="Aptos"/>
                <w:sz w:val="20"/>
                <w:szCs w:val="20"/>
              </w:rPr>
              <w:t>Quarterly Report # 5</w:t>
            </w:r>
          </w:p>
        </w:tc>
        <w:tc>
          <w:tcPr>
            <w:tcW w:w="2324" w:type="dxa"/>
            <w:noWrap/>
          </w:tcPr>
          <w:p w:rsidR="001C52F3" w:rsidRPr="004502FE" w:rsidP="00086493" w14:paraId="02F77845" w14:textId="77777777">
            <w:pPr>
              <w:spacing w:before="240" w:after="240"/>
              <w:ind w:firstLine="4" w:firstLineChars="2"/>
              <w:rPr>
                <w:rFonts w:eastAsia="Aptos"/>
                <w:sz w:val="20"/>
                <w:szCs w:val="20"/>
              </w:rPr>
            </w:pPr>
            <w:r w:rsidRPr="004502FE">
              <w:rPr>
                <w:rFonts w:eastAsia="Aptos"/>
                <w:sz w:val="20"/>
                <w:szCs w:val="20"/>
              </w:rPr>
              <w:t>October 31, 2027</w:t>
            </w:r>
          </w:p>
        </w:tc>
        <w:tc>
          <w:tcPr>
            <w:tcW w:w="2324" w:type="dxa"/>
          </w:tcPr>
          <w:p w:rsidR="001C52F3" w:rsidRPr="004502FE" w:rsidP="00086493" w14:paraId="6ACDA370" w14:textId="77777777">
            <w:pPr>
              <w:spacing w:before="240" w:after="240"/>
              <w:rPr>
                <w:rFonts w:eastAsia="Aptos"/>
                <w:sz w:val="20"/>
                <w:szCs w:val="20"/>
              </w:rPr>
            </w:pPr>
            <w:r w:rsidRPr="004502FE">
              <w:rPr>
                <w:rFonts w:eastAsia="Aptos"/>
                <w:sz w:val="20"/>
                <w:szCs w:val="20"/>
              </w:rPr>
              <w:t>January 30, 2028</w:t>
            </w:r>
          </w:p>
        </w:tc>
        <w:tc>
          <w:tcPr>
            <w:tcW w:w="2325" w:type="dxa"/>
            <w:noWrap/>
          </w:tcPr>
          <w:p w:rsidR="001C52F3" w:rsidRPr="004502FE" w:rsidP="00086493" w14:paraId="6E03FE9E" w14:textId="77777777">
            <w:pPr>
              <w:spacing w:before="240" w:after="240"/>
              <w:rPr>
                <w:rFonts w:eastAsia="Aptos"/>
                <w:sz w:val="20"/>
                <w:szCs w:val="20"/>
              </w:rPr>
            </w:pPr>
            <w:r w:rsidRPr="004502FE">
              <w:rPr>
                <w:rFonts w:eastAsia="Aptos"/>
                <w:sz w:val="20"/>
                <w:szCs w:val="20"/>
              </w:rPr>
              <w:t>February 29, 2028</w:t>
            </w:r>
          </w:p>
        </w:tc>
      </w:tr>
      <w:tr w14:paraId="40DCD970" w14:textId="77777777" w:rsidTr="00086493">
        <w:tblPrEx>
          <w:tblW w:w="9297" w:type="dxa"/>
          <w:tblLayout w:type="fixed"/>
          <w:tblLook w:val="04A0"/>
        </w:tblPrEx>
        <w:trPr>
          <w:trHeight w:val="324"/>
        </w:trPr>
        <w:tc>
          <w:tcPr>
            <w:tcW w:w="2324" w:type="dxa"/>
          </w:tcPr>
          <w:p w:rsidR="001C52F3" w:rsidRPr="004502FE" w:rsidP="00086493" w14:paraId="3AC81AFE" w14:textId="77777777">
            <w:pPr>
              <w:spacing w:before="240" w:after="240"/>
              <w:rPr>
                <w:rFonts w:eastAsia="Aptos"/>
                <w:sz w:val="20"/>
                <w:szCs w:val="20"/>
              </w:rPr>
            </w:pPr>
            <w:r w:rsidRPr="004502FE">
              <w:rPr>
                <w:rFonts w:eastAsia="Aptos"/>
                <w:sz w:val="20"/>
                <w:szCs w:val="20"/>
              </w:rPr>
              <w:t>Quarterly Report # 6</w:t>
            </w:r>
          </w:p>
        </w:tc>
        <w:tc>
          <w:tcPr>
            <w:tcW w:w="2324" w:type="dxa"/>
            <w:noWrap/>
          </w:tcPr>
          <w:p w:rsidR="001C52F3" w:rsidRPr="004502FE" w:rsidP="00086493" w14:paraId="29C04DCE" w14:textId="77777777">
            <w:pPr>
              <w:spacing w:before="240" w:after="240"/>
              <w:ind w:firstLine="4" w:firstLineChars="2"/>
              <w:rPr>
                <w:rFonts w:eastAsia="Aptos"/>
                <w:sz w:val="20"/>
                <w:szCs w:val="20"/>
              </w:rPr>
            </w:pPr>
            <w:r w:rsidRPr="004502FE">
              <w:rPr>
                <w:rFonts w:eastAsia="Aptos"/>
                <w:sz w:val="20"/>
                <w:szCs w:val="20"/>
              </w:rPr>
              <w:t>January 31, 2028</w:t>
            </w:r>
          </w:p>
        </w:tc>
        <w:tc>
          <w:tcPr>
            <w:tcW w:w="2324" w:type="dxa"/>
          </w:tcPr>
          <w:p w:rsidR="001C52F3" w:rsidRPr="004502FE" w:rsidP="00086493" w14:paraId="51758EE8" w14:textId="77777777">
            <w:pPr>
              <w:spacing w:before="240" w:after="240"/>
              <w:rPr>
                <w:rFonts w:eastAsia="Aptos"/>
                <w:sz w:val="20"/>
                <w:szCs w:val="20"/>
              </w:rPr>
            </w:pPr>
            <w:r w:rsidRPr="004502FE">
              <w:rPr>
                <w:rFonts w:eastAsia="Aptos"/>
                <w:sz w:val="20"/>
                <w:szCs w:val="20"/>
              </w:rPr>
              <w:t>April 30, 2028</w:t>
            </w:r>
          </w:p>
        </w:tc>
        <w:tc>
          <w:tcPr>
            <w:tcW w:w="2325" w:type="dxa"/>
            <w:noWrap/>
          </w:tcPr>
          <w:p w:rsidR="001C52F3" w:rsidRPr="004502FE" w:rsidP="00086493" w14:paraId="25F84787" w14:textId="77777777">
            <w:pPr>
              <w:spacing w:before="240" w:after="240"/>
              <w:rPr>
                <w:rFonts w:eastAsia="Aptos"/>
                <w:sz w:val="20"/>
                <w:szCs w:val="20"/>
              </w:rPr>
            </w:pPr>
            <w:r w:rsidRPr="004502FE">
              <w:rPr>
                <w:rFonts w:eastAsia="Aptos"/>
                <w:sz w:val="20"/>
                <w:szCs w:val="20"/>
              </w:rPr>
              <w:t>May 30, 2028</w:t>
            </w:r>
          </w:p>
        </w:tc>
      </w:tr>
      <w:tr w14:paraId="47C9212B" w14:textId="77777777" w:rsidTr="00086493">
        <w:tblPrEx>
          <w:tblW w:w="9297" w:type="dxa"/>
          <w:tblLayout w:type="fixed"/>
          <w:tblLook w:val="04A0"/>
        </w:tblPrEx>
        <w:trPr>
          <w:trHeight w:val="324"/>
        </w:trPr>
        <w:tc>
          <w:tcPr>
            <w:tcW w:w="2324" w:type="dxa"/>
          </w:tcPr>
          <w:p w:rsidR="001C52F3" w:rsidRPr="004502FE" w:rsidP="00086493" w14:paraId="738E7DE5" w14:textId="77777777">
            <w:pPr>
              <w:spacing w:before="240" w:after="240"/>
              <w:rPr>
                <w:rFonts w:eastAsia="Aptos"/>
                <w:sz w:val="20"/>
                <w:szCs w:val="20"/>
              </w:rPr>
            </w:pPr>
            <w:r w:rsidRPr="004502FE">
              <w:rPr>
                <w:rFonts w:eastAsia="Aptos"/>
                <w:sz w:val="20"/>
                <w:szCs w:val="20"/>
              </w:rPr>
              <w:t>Quarterly Report # 7</w:t>
            </w:r>
          </w:p>
        </w:tc>
        <w:tc>
          <w:tcPr>
            <w:tcW w:w="2324" w:type="dxa"/>
            <w:noWrap/>
          </w:tcPr>
          <w:p w:rsidR="001C52F3" w:rsidRPr="004502FE" w:rsidP="00086493" w14:paraId="3C809CB9" w14:textId="77777777">
            <w:pPr>
              <w:spacing w:before="240" w:after="240"/>
              <w:ind w:firstLine="4" w:firstLineChars="2"/>
              <w:rPr>
                <w:rFonts w:eastAsia="Aptos"/>
                <w:sz w:val="20"/>
                <w:szCs w:val="20"/>
              </w:rPr>
            </w:pPr>
            <w:r w:rsidRPr="004502FE">
              <w:rPr>
                <w:rFonts w:eastAsia="Aptos"/>
                <w:sz w:val="20"/>
                <w:szCs w:val="20"/>
              </w:rPr>
              <w:t>August 1, 2028</w:t>
            </w:r>
          </w:p>
        </w:tc>
        <w:tc>
          <w:tcPr>
            <w:tcW w:w="2324" w:type="dxa"/>
          </w:tcPr>
          <w:p w:rsidR="001C52F3" w:rsidRPr="004502FE" w:rsidP="00086493" w14:paraId="2D0939A7" w14:textId="77777777">
            <w:pPr>
              <w:spacing w:before="240" w:after="240"/>
              <w:rPr>
                <w:rFonts w:eastAsia="Aptos"/>
                <w:sz w:val="20"/>
                <w:szCs w:val="20"/>
              </w:rPr>
            </w:pPr>
            <w:r w:rsidRPr="004502FE">
              <w:rPr>
                <w:rFonts w:eastAsia="Aptos"/>
                <w:sz w:val="20"/>
                <w:szCs w:val="20"/>
              </w:rPr>
              <w:t>October 30, 2028</w:t>
            </w:r>
          </w:p>
        </w:tc>
        <w:tc>
          <w:tcPr>
            <w:tcW w:w="2325" w:type="dxa"/>
            <w:noWrap/>
          </w:tcPr>
          <w:p w:rsidR="001C52F3" w:rsidRPr="004502FE" w:rsidP="00086493" w14:paraId="55F58A57" w14:textId="77777777">
            <w:pPr>
              <w:spacing w:before="240" w:after="240"/>
              <w:rPr>
                <w:rFonts w:eastAsia="Aptos"/>
                <w:sz w:val="20"/>
                <w:szCs w:val="20"/>
              </w:rPr>
            </w:pPr>
            <w:r w:rsidRPr="004502FE">
              <w:rPr>
                <w:rFonts w:eastAsia="Aptos"/>
                <w:sz w:val="20"/>
                <w:szCs w:val="20"/>
              </w:rPr>
              <w:t>November 29, 2028</w:t>
            </w:r>
          </w:p>
        </w:tc>
      </w:tr>
      <w:tr w14:paraId="3BBE6AED" w14:textId="77777777" w:rsidTr="00086493">
        <w:tblPrEx>
          <w:tblW w:w="9297" w:type="dxa"/>
          <w:tblLayout w:type="fixed"/>
          <w:tblLook w:val="04A0"/>
        </w:tblPrEx>
        <w:trPr>
          <w:trHeight w:val="324"/>
        </w:trPr>
        <w:tc>
          <w:tcPr>
            <w:tcW w:w="2324" w:type="dxa"/>
          </w:tcPr>
          <w:p w:rsidR="001C52F3" w:rsidRPr="004502FE" w:rsidP="00086493" w14:paraId="0A0A483D" w14:textId="77777777">
            <w:pPr>
              <w:spacing w:before="240" w:after="240"/>
              <w:rPr>
                <w:rFonts w:eastAsia="Aptos"/>
                <w:sz w:val="20"/>
                <w:szCs w:val="20"/>
              </w:rPr>
            </w:pPr>
            <w:r w:rsidRPr="004502FE">
              <w:rPr>
                <w:rFonts w:eastAsia="Aptos"/>
                <w:sz w:val="20"/>
                <w:szCs w:val="20"/>
              </w:rPr>
              <w:t>Quarterly Report # 8</w:t>
            </w:r>
          </w:p>
        </w:tc>
        <w:tc>
          <w:tcPr>
            <w:tcW w:w="2324" w:type="dxa"/>
            <w:noWrap/>
          </w:tcPr>
          <w:p w:rsidR="001C52F3" w:rsidRPr="004502FE" w:rsidP="00086493" w14:paraId="478208ED" w14:textId="77777777">
            <w:pPr>
              <w:spacing w:before="240" w:after="240"/>
              <w:ind w:firstLine="4" w:firstLineChars="2"/>
              <w:rPr>
                <w:rFonts w:eastAsia="Aptos"/>
                <w:sz w:val="20"/>
                <w:szCs w:val="20"/>
              </w:rPr>
            </w:pPr>
            <w:r w:rsidRPr="004502FE">
              <w:rPr>
                <w:rFonts w:eastAsia="Aptos"/>
                <w:sz w:val="20"/>
                <w:szCs w:val="20"/>
              </w:rPr>
              <w:t>October 31, 2028</w:t>
            </w:r>
          </w:p>
        </w:tc>
        <w:tc>
          <w:tcPr>
            <w:tcW w:w="2324" w:type="dxa"/>
          </w:tcPr>
          <w:p w:rsidR="001C52F3" w:rsidRPr="004502FE" w:rsidP="00086493" w14:paraId="629D51D9" w14:textId="77777777">
            <w:pPr>
              <w:spacing w:before="240" w:after="240"/>
              <w:rPr>
                <w:rFonts w:eastAsia="Aptos"/>
                <w:sz w:val="20"/>
                <w:szCs w:val="20"/>
              </w:rPr>
            </w:pPr>
            <w:r w:rsidRPr="004502FE">
              <w:rPr>
                <w:rFonts w:eastAsia="Aptos"/>
                <w:sz w:val="20"/>
                <w:szCs w:val="20"/>
              </w:rPr>
              <w:t>January 30, 2029</w:t>
            </w:r>
          </w:p>
        </w:tc>
        <w:tc>
          <w:tcPr>
            <w:tcW w:w="2325" w:type="dxa"/>
            <w:noWrap/>
          </w:tcPr>
          <w:p w:rsidR="001C52F3" w:rsidRPr="004502FE" w:rsidP="00086493" w14:paraId="4859E54C" w14:textId="77777777">
            <w:pPr>
              <w:spacing w:before="240" w:after="240"/>
              <w:rPr>
                <w:rFonts w:eastAsia="Aptos"/>
                <w:sz w:val="20"/>
                <w:szCs w:val="20"/>
              </w:rPr>
            </w:pPr>
            <w:r w:rsidRPr="004502FE">
              <w:rPr>
                <w:rFonts w:eastAsia="Aptos"/>
                <w:sz w:val="20"/>
                <w:szCs w:val="20"/>
              </w:rPr>
              <w:t>March 1, 2029</w:t>
            </w:r>
          </w:p>
        </w:tc>
      </w:tr>
      <w:tr w14:paraId="002860DF" w14:textId="77777777" w:rsidTr="00086493">
        <w:tblPrEx>
          <w:tblW w:w="9297" w:type="dxa"/>
          <w:tblLayout w:type="fixed"/>
          <w:tblLook w:val="04A0"/>
        </w:tblPrEx>
        <w:trPr>
          <w:trHeight w:val="324"/>
        </w:trPr>
        <w:tc>
          <w:tcPr>
            <w:tcW w:w="2324" w:type="dxa"/>
          </w:tcPr>
          <w:p w:rsidR="001C52F3" w:rsidRPr="004502FE" w:rsidP="00086493" w14:paraId="1318E988" w14:textId="77777777">
            <w:pPr>
              <w:spacing w:before="240" w:after="240"/>
              <w:rPr>
                <w:rFonts w:eastAsia="Aptos"/>
                <w:sz w:val="20"/>
                <w:szCs w:val="20"/>
              </w:rPr>
            </w:pPr>
            <w:r w:rsidRPr="004502FE">
              <w:rPr>
                <w:rFonts w:eastAsia="Aptos"/>
                <w:sz w:val="20"/>
                <w:szCs w:val="20"/>
              </w:rPr>
              <w:t>Quarterly Report # 9</w:t>
            </w:r>
          </w:p>
        </w:tc>
        <w:tc>
          <w:tcPr>
            <w:tcW w:w="2324" w:type="dxa"/>
            <w:noWrap/>
          </w:tcPr>
          <w:p w:rsidR="001C52F3" w:rsidRPr="004502FE" w:rsidP="00086493" w14:paraId="3DC3BB4E" w14:textId="77777777">
            <w:pPr>
              <w:spacing w:before="240" w:after="240"/>
              <w:ind w:firstLine="4" w:firstLineChars="2"/>
              <w:rPr>
                <w:rFonts w:eastAsia="Aptos"/>
                <w:sz w:val="20"/>
                <w:szCs w:val="20"/>
              </w:rPr>
            </w:pPr>
            <w:r w:rsidRPr="004502FE">
              <w:rPr>
                <w:rFonts w:eastAsia="Aptos"/>
                <w:sz w:val="20"/>
                <w:szCs w:val="20"/>
              </w:rPr>
              <w:t>January 31, 2029</w:t>
            </w:r>
          </w:p>
        </w:tc>
        <w:tc>
          <w:tcPr>
            <w:tcW w:w="2324" w:type="dxa"/>
          </w:tcPr>
          <w:p w:rsidR="001C52F3" w:rsidRPr="004502FE" w:rsidP="00086493" w14:paraId="18F58252" w14:textId="77777777">
            <w:pPr>
              <w:spacing w:before="240" w:after="240"/>
              <w:rPr>
                <w:rFonts w:eastAsia="Aptos"/>
                <w:sz w:val="20"/>
                <w:szCs w:val="20"/>
              </w:rPr>
            </w:pPr>
            <w:r w:rsidRPr="004502FE">
              <w:rPr>
                <w:rFonts w:eastAsia="Aptos"/>
                <w:sz w:val="20"/>
                <w:szCs w:val="20"/>
              </w:rPr>
              <w:t>April 30, 2029</w:t>
            </w:r>
          </w:p>
        </w:tc>
        <w:tc>
          <w:tcPr>
            <w:tcW w:w="2325" w:type="dxa"/>
            <w:noWrap/>
          </w:tcPr>
          <w:p w:rsidR="001C52F3" w:rsidRPr="004502FE" w:rsidP="00086493" w14:paraId="1D95353F" w14:textId="77777777">
            <w:pPr>
              <w:spacing w:before="240" w:after="240"/>
              <w:rPr>
                <w:rFonts w:eastAsia="Aptos"/>
                <w:sz w:val="20"/>
                <w:szCs w:val="20"/>
              </w:rPr>
            </w:pPr>
            <w:r w:rsidRPr="004502FE">
              <w:rPr>
                <w:rFonts w:eastAsia="Aptos"/>
                <w:sz w:val="20"/>
                <w:szCs w:val="20"/>
              </w:rPr>
              <w:t>May 30, 2029</w:t>
            </w:r>
          </w:p>
        </w:tc>
      </w:tr>
      <w:tr w14:paraId="6C3FD4B9" w14:textId="77777777" w:rsidTr="00086493">
        <w:tblPrEx>
          <w:tblW w:w="9297" w:type="dxa"/>
          <w:tblLayout w:type="fixed"/>
          <w:tblLook w:val="04A0"/>
        </w:tblPrEx>
        <w:trPr>
          <w:trHeight w:val="324"/>
        </w:trPr>
        <w:tc>
          <w:tcPr>
            <w:tcW w:w="2324" w:type="dxa"/>
          </w:tcPr>
          <w:p w:rsidR="001C52F3" w:rsidRPr="004502FE" w:rsidP="00086493" w14:paraId="2818FA38" w14:textId="77777777">
            <w:pPr>
              <w:spacing w:before="240" w:after="240"/>
              <w:rPr>
                <w:rFonts w:eastAsia="Aptos"/>
                <w:sz w:val="20"/>
                <w:szCs w:val="20"/>
              </w:rPr>
            </w:pPr>
            <w:r w:rsidRPr="004502FE">
              <w:rPr>
                <w:rFonts w:eastAsia="Aptos"/>
                <w:sz w:val="20"/>
                <w:szCs w:val="20"/>
              </w:rPr>
              <w:t>Quarterly Report # 10</w:t>
            </w:r>
          </w:p>
        </w:tc>
        <w:tc>
          <w:tcPr>
            <w:tcW w:w="2324" w:type="dxa"/>
            <w:noWrap/>
          </w:tcPr>
          <w:p w:rsidR="001C52F3" w:rsidRPr="004502FE" w:rsidP="00086493" w14:paraId="6143FA74" w14:textId="77777777">
            <w:pPr>
              <w:spacing w:before="240" w:after="240"/>
              <w:ind w:firstLine="4" w:firstLineChars="2"/>
              <w:rPr>
                <w:rFonts w:eastAsia="Aptos"/>
                <w:sz w:val="20"/>
                <w:szCs w:val="20"/>
              </w:rPr>
            </w:pPr>
            <w:r w:rsidRPr="004502FE">
              <w:rPr>
                <w:rFonts w:eastAsia="Aptos"/>
                <w:sz w:val="20"/>
                <w:szCs w:val="20"/>
              </w:rPr>
              <w:t>August 1, 2029</w:t>
            </w:r>
          </w:p>
        </w:tc>
        <w:tc>
          <w:tcPr>
            <w:tcW w:w="2324" w:type="dxa"/>
          </w:tcPr>
          <w:p w:rsidR="001C52F3" w:rsidRPr="004502FE" w:rsidP="00086493" w14:paraId="07EC20A4" w14:textId="77777777">
            <w:pPr>
              <w:spacing w:before="240" w:after="240"/>
              <w:rPr>
                <w:rFonts w:eastAsia="Aptos"/>
                <w:sz w:val="20"/>
                <w:szCs w:val="20"/>
              </w:rPr>
            </w:pPr>
            <w:r w:rsidRPr="004502FE">
              <w:rPr>
                <w:rFonts w:eastAsia="Aptos"/>
                <w:sz w:val="20"/>
                <w:szCs w:val="20"/>
              </w:rPr>
              <w:t>October 30, 2029</w:t>
            </w:r>
          </w:p>
        </w:tc>
        <w:tc>
          <w:tcPr>
            <w:tcW w:w="2325" w:type="dxa"/>
            <w:noWrap/>
          </w:tcPr>
          <w:p w:rsidR="001C52F3" w:rsidRPr="004502FE" w:rsidP="00086493" w14:paraId="08ACE7A8" w14:textId="77777777">
            <w:pPr>
              <w:spacing w:before="240" w:after="240"/>
              <w:rPr>
                <w:rFonts w:eastAsia="Aptos"/>
                <w:sz w:val="20"/>
                <w:szCs w:val="20"/>
              </w:rPr>
            </w:pPr>
            <w:r w:rsidRPr="004502FE">
              <w:rPr>
                <w:rFonts w:eastAsia="Aptos"/>
                <w:sz w:val="20"/>
                <w:szCs w:val="20"/>
              </w:rPr>
              <w:t>November 29, 2029</w:t>
            </w:r>
          </w:p>
        </w:tc>
      </w:tr>
      <w:tr w14:paraId="0EA94A0E" w14:textId="77777777" w:rsidTr="00086493">
        <w:tblPrEx>
          <w:tblW w:w="9297" w:type="dxa"/>
          <w:tblLayout w:type="fixed"/>
          <w:tblLook w:val="04A0"/>
        </w:tblPrEx>
        <w:trPr>
          <w:trHeight w:val="324"/>
        </w:trPr>
        <w:tc>
          <w:tcPr>
            <w:tcW w:w="2324" w:type="dxa"/>
          </w:tcPr>
          <w:p w:rsidR="001C52F3" w:rsidRPr="004502FE" w:rsidP="00086493" w14:paraId="67D09BFD" w14:textId="77777777">
            <w:pPr>
              <w:spacing w:before="240" w:after="240"/>
              <w:rPr>
                <w:rFonts w:eastAsia="Aptos"/>
                <w:sz w:val="20"/>
                <w:szCs w:val="20"/>
              </w:rPr>
            </w:pPr>
            <w:r w:rsidRPr="004502FE">
              <w:rPr>
                <w:rFonts w:eastAsia="Aptos"/>
                <w:sz w:val="20"/>
                <w:szCs w:val="20"/>
              </w:rPr>
              <w:t>Quarterly Report # 11</w:t>
            </w:r>
          </w:p>
        </w:tc>
        <w:tc>
          <w:tcPr>
            <w:tcW w:w="2324" w:type="dxa"/>
            <w:noWrap/>
          </w:tcPr>
          <w:p w:rsidR="001C52F3" w:rsidRPr="004502FE" w:rsidP="00086493" w14:paraId="48FD3092" w14:textId="77777777">
            <w:pPr>
              <w:spacing w:before="240" w:after="240"/>
              <w:ind w:firstLine="4" w:firstLineChars="2"/>
              <w:rPr>
                <w:rFonts w:eastAsia="Aptos"/>
                <w:sz w:val="20"/>
                <w:szCs w:val="20"/>
              </w:rPr>
            </w:pPr>
            <w:r w:rsidRPr="004502FE">
              <w:rPr>
                <w:rFonts w:eastAsia="Aptos"/>
                <w:sz w:val="20"/>
                <w:szCs w:val="20"/>
              </w:rPr>
              <w:t>October 31, 2029</w:t>
            </w:r>
          </w:p>
        </w:tc>
        <w:tc>
          <w:tcPr>
            <w:tcW w:w="2324" w:type="dxa"/>
          </w:tcPr>
          <w:p w:rsidR="001C52F3" w:rsidRPr="004502FE" w:rsidP="00086493" w14:paraId="343D2DF4" w14:textId="77777777">
            <w:pPr>
              <w:spacing w:before="240" w:after="240"/>
              <w:rPr>
                <w:rFonts w:eastAsia="Aptos"/>
                <w:sz w:val="20"/>
                <w:szCs w:val="20"/>
              </w:rPr>
            </w:pPr>
            <w:r w:rsidRPr="004502FE">
              <w:rPr>
                <w:rFonts w:eastAsia="Aptos"/>
                <w:sz w:val="20"/>
                <w:szCs w:val="20"/>
              </w:rPr>
              <w:t>January 30, 2030</w:t>
            </w:r>
          </w:p>
        </w:tc>
        <w:tc>
          <w:tcPr>
            <w:tcW w:w="2325" w:type="dxa"/>
            <w:noWrap/>
          </w:tcPr>
          <w:p w:rsidR="001C52F3" w:rsidRPr="004502FE" w:rsidP="00086493" w14:paraId="2A18A61C" w14:textId="77777777">
            <w:pPr>
              <w:spacing w:before="240" w:after="240"/>
              <w:rPr>
                <w:rFonts w:eastAsia="Aptos"/>
                <w:sz w:val="20"/>
                <w:szCs w:val="20"/>
              </w:rPr>
            </w:pPr>
            <w:r w:rsidRPr="004502FE">
              <w:rPr>
                <w:rFonts w:eastAsia="Aptos"/>
                <w:sz w:val="20"/>
                <w:szCs w:val="20"/>
              </w:rPr>
              <w:t>March 1, 2030</w:t>
            </w:r>
          </w:p>
        </w:tc>
      </w:tr>
      <w:tr w14:paraId="0232D2B7" w14:textId="77777777" w:rsidTr="00086493">
        <w:tblPrEx>
          <w:tblW w:w="9297" w:type="dxa"/>
          <w:tblLayout w:type="fixed"/>
          <w:tblLook w:val="04A0"/>
        </w:tblPrEx>
        <w:trPr>
          <w:trHeight w:val="324"/>
        </w:trPr>
        <w:tc>
          <w:tcPr>
            <w:tcW w:w="2324" w:type="dxa"/>
          </w:tcPr>
          <w:p w:rsidR="001C52F3" w:rsidRPr="004502FE" w:rsidP="00086493" w14:paraId="0F8AB250" w14:textId="77777777">
            <w:pPr>
              <w:spacing w:before="240" w:after="240"/>
              <w:rPr>
                <w:rFonts w:eastAsia="Aptos"/>
                <w:sz w:val="20"/>
                <w:szCs w:val="20"/>
              </w:rPr>
            </w:pPr>
            <w:r w:rsidRPr="004502FE">
              <w:rPr>
                <w:rFonts w:eastAsia="Aptos"/>
                <w:sz w:val="20"/>
                <w:szCs w:val="20"/>
              </w:rPr>
              <w:t>Quarterly Report # 12</w:t>
            </w:r>
          </w:p>
        </w:tc>
        <w:tc>
          <w:tcPr>
            <w:tcW w:w="2324" w:type="dxa"/>
            <w:noWrap/>
          </w:tcPr>
          <w:p w:rsidR="001C52F3" w:rsidRPr="004502FE" w:rsidP="00086493" w14:paraId="56E75584" w14:textId="77777777">
            <w:pPr>
              <w:spacing w:before="240" w:after="240"/>
              <w:ind w:firstLine="4" w:firstLineChars="2"/>
              <w:rPr>
                <w:rFonts w:eastAsia="Aptos"/>
                <w:sz w:val="20"/>
                <w:szCs w:val="20"/>
              </w:rPr>
            </w:pPr>
            <w:r w:rsidRPr="004502FE">
              <w:rPr>
                <w:rFonts w:eastAsia="Aptos"/>
                <w:sz w:val="20"/>
                <w:szCs w:val="20"/>
              </w:rPr>
              <w:t>January 31, 2030</w:t>
            </w:r>
          </w:p>
        </w:tc>
        <w:tc>
          <w:tcPr>
            <w:tcW w:w="2324" w:type="dxa"/>
          </w:tcPr>
          <w:p w:rsidR="001C52F3" w:rsidRPr="004502FE" w:rsidP="00086493" w14:paraId="03C89A79" w14:textId="77777777">
            <w:pPr>
              <w:spacing w:before="240" w:after="240"/>
              <w:rPr>
                <w:rFonts w:eastAsia="Aptos"/>
                <w:sz w:val="20"/>
                <w:szCs w:val="20"/>
              </w:rPr>
            </w:pPr>
            <w:r w:rsidRPr="004502FE">
              <w:rPr>
                <w:rFonts w:eastAsia="Aptos"/>
                <w:sz w:val="20"/>
                <w:szCs w:val="20"/>
              </w:rPr>
              <w:t>April 30, 2030</w:t>
            </w:r>
          </w:p>
        </w:tc>
        <w:tc>
          <w:tcPr>
            <w:tcW w:w="2325" w:type="dxa"/>
            <w:noWrap/>
          </w:tcPr>
          <w:p w:rsidR="001C52F3" w:rsidRPr="004502FE" w:rsidP="00086493" w14:paraId="41DACE8D" w14:textId="77777777">
            <w:pPr>
              <w:spacing w:before="240" w:after="240"/>
              <w:rPr>
                <w:rFonts w:eastAsia="Aptos"/>
                <w:sz w:val="20"/>
                <w:szCs w:val="20"/>
              </w:rPr>
            </w:pPr>
            <w:r w:rsidRPr="004502FE">
              <w:rPr>
                <w:rFonts w:eastAsia="Aptos"/>
                <w:sz w:val="20"/>
                <w:szCs w:val="20"/>
              </w:rPr>
              <w:t>May 30, 2030</w:t>
            </w:r>
          </w:p>
        </w:tc>
      </w:tr>
      <w:tr w14:paraId="5809FD31" w14:textId="77777777" w:rsidTr="00086493">
        <w:tblPrEx>
          <w:tblW w:w="9297" w:type="dxa"/>
          <w:tblLayout w:type="fixed"/>
          <w:tblLook w:val="04A0"/>
        </w:tblPrEx>
        <w:trPr>
          <w:trHeight w:val="324"/>
        </w:trPr>
        <w:tc>
          <w:tcPr>
            <w:tcW w:w="2324" w:type="dxa"/>
          </w:tcPr>
          <w:p w:rsidR="001C52F3" w:rsidRPr="004502FE" w:rsidP="00086493" w14:paraId="72CA61A3" w14:textId="77777777">
            <w:pPr>
              <w:spacing w:before="240" w:after="240"/>
              <w:rPr>
                <w:rFonts w:eastAsia="Aptos"/>
                <w:sz w:val="20"/>
                <w:szCs w:val="20"/>
              </w:rPr>
            </w:pPr>
            <w:r w:rsidRPr="004502FE">
              <w:rPr>
                <w:rFonts w:eastAsia="Aptos"/>
                <w:sz w:val="20"/>
                <w:szCs w:val="20"/>
              </w:rPr>
              <w:t>Quarterly Report # 13</w:t>
            </w:r>
          </w:p>
        </w:tc>
        <w:tc>
          <w:tcPr>
            <w:tcW w:w="2324" w:type="dxa"/>
            <w:noWrap/>
          </w:tcPr>
          <w:p w:rsidR="001C52F3" w:rsidRPr="004502FE" w:rsidP="00086493" w14:paraId="59109C08" w14:textId="77777777">
            <w:pPr>
              <w:spacing w:before="240" w:after="240"/>
              <w:ind w:firstLine="4" w:firstLineChars="2"/>
              <w:rPr>
                <w:rFonts w:eastAsia="Aptos"/>
                <w:sz w:val="20"/>
                <w:szCs w:val="20"/>
              </w:rPr>
            </w:pPr>
            <w:r w:rsidRPr="004502FE">
              <w:rPr>
                <w:rFonts w:eastAsia="Aptos"/>
                <w:sz w:val="20"/>
                <w:szCs w:val="20"/>
              </w:rPr>
              <w:t>August 1, 2030</w:t>
            </w:r>
          </w:p>
        </w:tc>
        <w:tc>
          <w:tcPr>
            <w:tcW w:w="2324" w:type="dxa"/>
          </w:tcPr>
          <w:p w:rsidR="001C52F3" w:rsidRPr="004502FE" w:rsidP="00086493" w14:paraId="6D3ECC60" w14:textId="77777777">
            <w:pPr>
              <w:spacing w:before="240" w:after="240"/>
              <w:rPr>
                <w:rFonts w:eastAsia="Aptos"/>
                <w:sz w:val="20"/>
                <w:szCs w:val="20"/>
              </w:rPr>
            </w:pPr>
            <w:r w:rsidRPr="004502FE">
              <w:rPr>
                <w:rFonts w:eastAsia="Aptos"/>
                <w:sz w:val="20"/>
                <w:szCs w:val="20"/>
              </w:rPr>
              <w:t>October 30, 2030</w:t>
            </w:r>
          </w:p>
        </w:tc>
        <w:tc>
          <w:tcPr>
            <w:tcW w:w="2325" w:type="dxa"/>
            <w:noWrap/>
          </w:tcPr>
          <w:p w:rsidR="001C52F3" w:rsidRPr="004502FE" w:rsidP="00086493" w14:paraId="1D33672D" w14:textId="77777777">
            <w:pPr>
              <w:spacing w:before="240" w:after="240"/>
              <w:rPr>
                <w:rFonts w:eastAsia="Aptos"/>
                <w:sz w:val="20"/>
                <w:szCs w:val="20"/>
              </w:rPr>
            </w:pPr>
            <w:r w:rsidRPr="004502FE">
              <w:rPr>
                <w:rFonts w:eastAsia="Aptos"/>
                <w:sz w:val="20"/>
                <w:szCs w:val="20"/>
              </w:rPr>
              <w:t>November 29, 2030</w:t>
            </w:r>
          </w:p>
        </w:tc>
      </w:tr>
    </w:tbl>
    <w:p w:rsidR="001C52F3" w:rsidRPr="00D35597" w:rsidP="001C52F3" w14:paraId="12432475" w14:textId="77777777">
      <w:pPr>
        <w:spacing w:before="360" w:after="240"/>
        <w:rPr>
          <w:i/>
          <w:iCs/>
          <w:sz w:val="24"/>
          <w:szCs w:val="24"/>
        </w:rPr>
      </w:pPr>
      <w:r w:rsidRPr="00C37E7B">
        <w:rPr>
          <w:i/>
          <w:iCs/>
          <w:sz w:val="24"/>
          <w:szCs w:val="24"/>
        </w:rPr>
        <w:t>Burden</w:t>
      </w:r>
      <w:r w:rsidRPr="00C37E7B">
        <w:rPr>
          <w:i/>
          <w:iCs/>
          <w:spacing w:val="-1"/>
          <w:sz w:val="24"/>
          <w:szCs w:val="24"/>
        </w:rPr>
        <w:t xml:space="preserve"> </w:t>
      </w:r>
      <w:r w:rsidRPr="00C37E7B">
        <w:rPr>
          <w:i/>
          <w:iCs/>
          <w:spacing w:val="-2"/>
          <w:sz w:val="24"/>
          <w:szCs w:val="24"/>
        </w:rPr>
        <w:t>Summary</w:t>
      </w:r>
    </w:p>
    <w:p w:rsidR="001C52F3" w:rsidRPr="00317CD3" w:rsidP="001C52F3" w14:paraId="34DA664F" w14:textId="59A3AB78">
      <w:pPr>
        <w:pStyle w:val="BodyText"/>
        <w:spacing w:before="240" w:after="240"/>
      </w:pPr>
      <w:r w:rsidRPr="00317CD3">
        <w:t>The</w:t>
      </w:r>
      <w:r w:rsidRPr="00317CD3">
        <w:rPr>
          <w:spacing w:val="-4"/>
        </w:rPr>
        <w:t xml:space="preserve"> </w:t>
      </w:r>
      <w:r w:rsidRPr="00317CD3">
        <w:t>total</w:t>
      </w:r>
      <w:r w:rsidRPr="00317CD3">
        <w:rPr>
          <w:spacing w:val="-3"/>
        </w:rPr>
        <w:t xml:space="preserve"> </w:t>
      </w:r>
      <w:r w:rsidRPr="00317CD3">
        <w:t>respondent</w:t>
      </w:r>
      <w:r w:rsidRPr="00317CD3">
        <w:rPr>
          <w:spacing w:val="-3"/>
        </w:rPr>
        <w:t xml:space="preserve"> </w:t>
      </w:r>
      <w:r w:rsidRPr="00317CD3">
        <w:t>burden</w:t>
      </w:r>
      <w:r w:rsidRPr="00317CD3">
        <w:rPr>
          <w:spacing w:val="-3"/>
        </w:rPr>
        <w:t xml:space="preserve"> </w:t>
      </w:r>
      <w:r w:rsidRPr="00317CD3">
        <w:t>is</w:t>
      </w:r>
      <w:r w:rsidRPr="00317CD3">
        <w:rPr>
          <w:spacing w:val="-4"/>
        </w:rPr>
        <w:t xml:space="preserve"> </w:t>
      </w:r>
      <w:r w:rsidR="006E17DD">
        <w:rPr>
          <w:spacing w:val="-4"/>
        </w:rPr>
        <w:t>20</w:t>
      </w:r>
      <w:r>
        <w:rPr>
          <w:spacing w:val="-4"/>
        </w:rPr>
        <w:t>,</w:t>
      </w:r>
      <w:r w:rsidR="006E17DD">
        <w:rPr>
          <w:spacing w:val="-4"/>
        </w:rPr>
        <w:t>000</w:t>
      </w:r>
      <w:r w:rsidRPr="00317CD3">
        <w:rPr>
          <w:spacing w:val="-4"/>
        </w:rPr>
        <w:t xml:space="preserve"> hours at a cost of </w:t>
      </w:r>
      <w:r w:rsidRPr="00317CD3">
        <w:t>$</w:t>
      </w:r>
      <w:r w:rsidR="006E17DD">
        <w:t>1,709,200</w:t>
      </w:r>
      <w:r>
        <w:t>.</w:t>
      </w:r>
      <w:r w:rsidRPr="00317CD3">
        <w:rPr>
          <w:spacing w:val="-1"/>
        </w:rPr>
        <w:t xml:space="preserve"> </w:t>
      </w:r>
    </w:p>
    <w:tbl>
      <w:tblPr>
        <w:tblStyle w:val="TableGrid"/>
        <w:tblW w:w="9355" w:type="dxa"/>
        <w:tblLayout w:type="fixed"/>
        <w:tblLook w:val="07E0"/>
      </w:tblPr>
      <w:tblGrid>
        <w:gridCol w:w="1336"/>
        <w:gridCol w:w="1336"/>
        <w:gridCol w:w="1337"/>
        <w:gridCol w:w="1336"/>
        <w:gridCol w:w="1337"/>
        <w:gridCol w:w="1336"/>
        <w:gridCol w:w="1337"/>
      </w:tblGrid>
      <w:tr w14:paraId="7ECD17B6" w14:textId="77777777" w:rsidTr="00086493">
        <w:tblPrEx>
          <w:tblW w:w="9355" w:type="dxa"/>
          <w:tblLayout w:type="fixed"/>
          <w:tblLook w:val="07E0"/>
        </w:tblPrEx>
        <w:trPr>
          <w:trHeight w:val="921"/>
        </w:trPr>
        <w:tc>
          <w:tcPr>
            <w:tcW w:w="1336" w:type="dxa"/>
          </w:tcPr>
          <w:p w:rsidR="001C52F3" w:rsidRPr="004502FE" w:rsidP="00086493" w14:paraId="3993BB51" w14:textId="77777777">
            <w:pPr>
              <w:pStyle w:val="TableParagraph"/>
              <w:spacing w:before="240" w:after="240"/>
              <w:jc w:val="center"/>
              <w:rPr>
                <w:sz w:val="20"/>
                <w:szCs w:val="20"/>
              </w:rPr>
            </w:pPr>
            <w:r w:rsidRPr="004502FE">
              <w:rPr>
                <w:sz w:val="20"/>
                <w:szCs w:val="20"/>
              </w:rPr>
              <w:t>Requirement</w:t>
            </w:r>
          </w:p>
        </w:tc>
        <w:tc>
          <w:tcPr>
            <w:tcW w:w="1336" w:type="dxa"/>
          </w:tcPr>
          <w:p w:rsidR="001C52F3" w:rsidRPr="004502FE" w:rsidP="00086493" w14:paraId="7385EB5D" w14:textId="77777777">
            <w:pPr>
              <w:pStyle w:val="TableParagraph"/>
              <w:spacing w:before="240" w:after="240"/>
              <w:jc w:val="center"/>
              <w:rPr>
                <w:sz w:val="20"/>
                <w:szCs w:val="20"/>
              </w:rPr>
            </w:pPr>
            <w:r w:rsidRPr="004502FE">
              <w:rPr>
                <w:sz w:val="20"/>
                <w:szCs w:val="20"/>
              </w:rPr>
              <w:t>Number of Respondents</w:t>
            </w:r>
          </w:p>
        </w:tc>
        <w:tc>
          <w:tcPr>
            <w:tcW w:w="1337" w:type="dxa"/>
          </w:tcPr>
          <w:p w:rsidR="001C52F3" w:rsidRPr="004502FE" w:rsidP="00086493" w14:paraId="73A33FED" w14:textId="77777777">
            <w:pPr>
              <w:pStyle w:val="TableParagraph"/>
              <w:spacing w:before="240" w:after="240"/>
              <w:jc w:val="center"/>
              <w:rPr>
                <w:sz w:val="20"/>
                <w:szCs w:val="20"/>
              </w:rPr>
            </w:pPr>
            <w:r w:rsidRPr="004502FE">
              <w:rPr>
                <w:sz w:val="20"/>
                <w:szCs w:val="20"/>
              </w:rPr>
              <w:t>Total Responses</w:t>
            </w:r>
          </w:p>
        </w:tc>
        <w:tc>
          <w:tcPr>
            <w:tcW w:w="1336" w:type="dxa"/>
          </w:tcPr>
          <w:p w:rsidR="001C52F3" w:rsidRPr="004502FE" w:rsidP="00086493" w14:paraId="58D84BBA" w14:textId="77777777">
            <w:pPr>
              <w:pStyle w:val="TableParagraph"/>
              <w:spacing w:before="240" w:after="240"/>
              <w:ind w:firstLine="19"/>
              <w:jc w:val="center"/>
              <w:rPr>
                <w:sz w:val="20"/>
                <w:szCs w:val="20"/>
              </w:rPr>
            </w:pPr>
            <w:r w:rsidRPr="004502FE">
              <w:rPr>
                <w:sz w:val="20"/>
                <w:szCs w:val="20"/>
              </w:rPr>
              <w:t>Time per Response (hr)</w:t>
            </w:r>
          </w:p>
        </w:tc>
        <w:tc>
          <w:tcPr>
            <w:tcW w:w="1337" w:type="dxa"/>
          </w:tcPr>
          <w:p w:rsidR="001C52F3" w:rsidRPr="004502FE" w:rsidP="00086493" w14:paraId="7CDDF64F" w14:textId="77777777">
            <w:pPr>
              <w:pStyle w:val="TableParagraph"/>
              <w:spacing w:before="240" w:after="240"/>
              <w:ind w:firstLine="2"/>
              <w:jc w:val="center"/>
              <w:rPr>
                <w:sz w:val="20"/>
                <w:szCs w:val="20"/>
              </w:rPr>
            </w:pPr>
            <w:r w:rsidRPr="004502FE">
              <w:rPr>
                <w:sz w:val="20"/>
                <w:szCs w:val="20"/>
              </w:rPr>
              <w:t xml:space="preserve">Total </w:t>
            </w:r>
            <w:r>
              <w:rPr>
                <w:sz w:val="20"/>
                <w:szCs w:val="20"/>
              </w:rPr>
              <w:t>Time (hr)</w:t>
            </w:r>
          </w:p>
        </w:tc>
        <w:tc>
          <w:tcPr>
            <w:tcW w:w="1336" w:type="dxa"/>
          </w:tcPr>
          <w:p w:rsidR="001C52F3" w:rsidRPr="006250CB" w:rsidP="00086493" w14:paraId="6A3F296F" w14:textId="77777777">
            <w:pPr>
              <w:pStyle w:val="TableParagraph"/>
              <w:spacing w:before="240" w:after="240"/>
              <w:jc w:val="center"/>
              <w:rPr>
                <w:sz w:val="20"/>
                <w:szCs w:val="20"/>
              </w:rPr>
            </w:pPr>
            <w:r w:rsidRPr="006250CB">
              <w:rPr>
                <w:sz w:val="20"/>
                <w:szCs w:val="20"/>
              </w:rPr>
              <w:t>Labor Cost ($/hr)</w:t>
            </w:r>
          </w:p>
        </w:tc>
        <w:tc>
          <w:tcPr>
            <w:tcW w:w="1337" w:type="dxa"/>
          </w:tcPr>
          <w:p w:rsidR="001C52F3" w:rsidRPr="004502FE" w:rsidP="00086493" w14:paraId="14258788" w14:textId="77777777">
            <w:pPr>
              <w:pStyle w:val="TableParagraph"/>
              <w:spacing w:before="240" w:after="240"/>
              <w:jc w:val="center"/>
              <w:rPr>
                <w:sz w:val="20"/>
                <w:szCs w:val="20"/>
              </w:rPr>
            </w:pPr>
            <w:r w:rsidRPr="004502FE">
              <w:rPr>
                <w:sz w:val="20"/>
                <w:szCs w:val="20"/>
              </w:rPr>
              <w:t>Total Annual Cost ($)</w:t>
            </w:r>
          </w:p>
        </w:tc>
      </w:tr>
      <w:tr w14:paraId="4F0B69BF" w14:textId="77777777" w:rsidTr="00086493">
        <w:tblPrEx>
          <w:tblW w:w="9355" w:type="dxa"/>
          <w:tblLayout w:type="fixed"/>
          <w:tblLook w:val="07E0"/>
        </w:tblPrEx>
        <w:trPr>
          <w:trHeight w:val="230"/>
        </w:trPr>
        <w:tc>
          <w:tcPr>
            <w:tcW w:w="1336" w:type="dxa"/>
          </w:tcPr>
          <w:p w:rsidR="001C52F3" w:rsidRPr="00C37E7B" w:rsidP="00086493" w14:paraId="1D13A0DF" w14:textId="77777777">
            <w:pPr>
              <w:pStyle w:val="TableParagraph"/>
              <w:spacing w:before="240" w:after="240"/>
              <w:rPr>
                <w:sz w:val="20"/>
                <w:szCs w:val="20"/>
              </w:rPr>
            </w:pPr>
            <w:r w:rsidRPr="00C37E7B">
              <w:rPr>
                <w:sz w:val="20"/>
                <w:szCs w:val="20"/>
              </w:rPr>
              <w:t>Annual Progress Report</w:t>
            </w:r>
          </w:p>
        </w:tc>
        <w:tc>
          <w:tcPr>
            <w:tcW w:w="1336" w:type="dxa"/>
          </w:tcPr>
          <w:p w:rsidR="001C52F3" w:rsidRPr="00C37E7B" w:rsidP="00086493" w14:paraId="150F5951" w14:textId="77777777">
            <w:pPr>
              <w:pStyle w:val="TableParagraph"/>
              <w:spacing w:before="240" w:after="240"/>
              <w:jc w:val="center"/>
              <w:rPr>
                <w:sz w:val="20"/>
                <w:szCs w:val="20"/>
              </w:rPr>
            </w:pPr>
            <w:r w:rsidRPr="00C37E7B">
              <w:rPr>
                <w:sz w:val="20"/>
                <w:szCs w:val="20"/>
              </w:rPr>
              <w:t>50</w:t>
            </w:r>
          </w:p>
        </w:tc>
        <w:tc>
          <w:tcPr>
            <w:tcW w:w="1337" w:type="dxa"/>
          </w:tcPr>
          <w:p w:rsidR="001C52F3" w:rsidRPr="00C37E7B" w:rsidP="00086493" w14:paraId="08E224C9" w14:textId="77777777">
            <w:pPr>
              <w:pStyle w:val="TableParagraph"/>
              <w:spacing w:before="240" w:after="240"/>
              <w:jc w:val="center"/>
              <w:rPr>
                <w:sz w:val="20"/>
                <w:szCs w:val="20"/>
              </w:rPr>
            </w:pPr>
            <w:r w:rsidRPr="00C37E7B">
              <w:rPr>
                <w:sz w:val="20"/>
                <w:szCs w:val="20"/>
              </w:rPr>
              <w:t>50</w:t>
            </w:r>
            <w:r>
              <w:rPr>
                <w:sz w:val="20"/>
                <w:szCs w:val="20"/>
              </w:rPr>
              <w:t xml:space="preserve"> (50 x 1 report/year)</w:t>
            </w:r>
          </w:p>
        </w:tc>
        <w:tc>
          <w:tcPr>
            <w:tcW w:w="1336" w:type="dxa"/>
          </w:tcPr>
          <w:p w:rsidR="001C52F3" w:rsidRPr="00C37E7B" w:rsidP="00086493" w14:paraId="66A9FAE0" w14:textId="50CFB44F">
            <w:pPr>
              <w:pStyle w:val="TableParagraph"/>
              <w:spacing w:before="240" w:after="240"/>
              <w:jc w:val="center"/>
              <w:rPr>
                <w:sz w:val="20"/>
                <w:szCs w:val="20"/>
              </w:rPr>
            </w:pPr>
            <w:r>
              <w:rPr>
                <w:sz w:val="20"/>
                <w:szCs w:val="20"/>
              </w:rPr>
              <w:t>80</w:t>
            </w:r>
          </w:p>
        </w:tc>
        <w:tc>
          <w:tcPr>
            <w:tcW w:w="1337" w:type="dxa"/>
          </w:tcPr>
          <w:p w:rsidR="001C52F3" w:rsidRPr="00C37E7B" w:rsidP="00086493" w14:paraId="220A44A2" w14:textId="4B45113E">
            <w:pPr>
              <w:pStyle w:val="TableParagraph"/>
              <w:spacing w:before="240" w:after="240"/>
              <w:jc w:val="center"/>
              <w:rPr>
                <w:sz w:val="20"/>
                <w:szCs w:val="20"/>
              </w:rPr>
            </w:pPr>
            <w:r>
              <w:rPr>
                <w:sz w:val="20"/>
                <w:szCs w:val="20"/>
              </w:rPr>
              <w:t>12,000</w:t>
            </w:r>
          </w:p>
        </w:tc>
        <w:tc>
          <w:tcPr>
            <w:tcW w:w="1336" w:type="dxa"/>
          </w:tcPr>
          <w:p w:rsidR="001C52F3" w:rsidRPr="00C37E7B" w:rsidP="00086493" w14:paraId="7EF7CBD8" w14:textId="33B36080">
            <w:pPr>
              <w:pStyle w:val="TableParagraph"/>
              <w:spacing w:before="240" w:after="240"/>
              <w:jc w:val="center"/>
              <w:rPr>
                <w:sz w:val="20"/>
                <w:szCs w:val="20"/>
              </w:rPr>
            </w:pPr>
            <w:r>
              <w:rPr>
                <w:sz w:val="20"/>
                <w:szCs w:val="20"/>
              </w:rPr>
              <w:t>85.46</w:t>
            </w:r>
          </w:p>
        </w:tc>
        <w:tc>
          <w:tcPr>
            <w:tcW w:w="1337" w:type="dxa"/>
          </w:tcPr>
          <w:p w:rsidR="001C52F3" w:rsidRPr="00C37E7B" w:rsidP="00086493" w14:paraId="03542B3D" w14:textId="0389D456">
            <w:pPr>
              <w:pStyle w:val="TableParagraph"/>
              <w:spacing w:before="240" w:after="240"/>
              <w:jc w:val="center"/>
              <w:rPr>
                <w:sz w:val="20"/>
                <w:szCs w:val="20"/>
              </w:rPr>
            </w:pPr>
            <w:r w:rsidRPr="00E241B2">
              <w:rPr>
                <w:sz w:val="20"/>
                <w:szCs w:val="20"/>
              </w:rPr>
              <w:t>1,025,520</w:t>
            </w:r>
          </w:p>
        </w:tc>
      </w:tr>
      <w:tr w14:paraId="6AAA9E47" w14:textId="77777777" w:rsidTr="00086493">
        <w:tblPrEx>
          <w:tblW w:w="9355" w:type="dxa"/>
          <w:tblLayout w:type="fixed"/>
          <w:tblLook w:val="07E0"/>
        </w:tblPrEx>
        <w:trPr>
          <w:trHeight w:val="230"/>
        </w:trPr>
        <w:tc>
          <w:tcPr>
            <w:tcW w:w="1336" w:type="dxa"/>
          </w:tcPr>
          <w:p w:rsidR="001C52F3" w:rsidRPr="00C37E7B" w:rsidP="00086493" w14:paraId="03E4B323" w14:textId="77777777">
            <w:pPr>
              <w:pStyle w:val="TableParagraph"/>
              <w:spacing w:before="240" w:after="240"/>
              <w:rPr>
                <w:sz w:val="20"/>
                <w:szCs w:val="20"/>
              </w:rPr>
            </w:pPr>
            <w:r w:rsidRPr="00C37E7B">
              <w:rPr>
                <w:sz w:val="20"/>
                <w:szCs w:val="20"/>
              </w:rPr>
              <w:t>Quarterly Progress Reports</w:t>
            </w:r>
          </w:p>
        </w:tc>
        <w:tc>
          <w:tcPr>
            <w:tcW w:w="1336" w:type="dxa"/>
          </w:tcPr>
          <w:p w:rsidR="001C52F3" w:rsidRPr="00C37E7B" w:rsidP="00086493" w14:paraId="77B8FBA9" w14:textId="77777777">
            <w:pPr>
              <w:pStyle w:val="TableParagraph"/>
              <w:spacing w:before="240" w:after="240"/>
              <w:jc w:val="center"/>
              <w:rPr>
                <w:sz w:val="20"/>
                <w:szCs w:val="20"/>
              </w:rPr>
            </w:pPr>
            <w:r w:rsidRPr="00C37E7B">
              <w:rPr>
                <w:sz w:val="20"/>
                <w:szCs w:val="20"/>
              </w:rPr>
              <w:t>50</w:t>
            </w:r>
          </w:p>
        </w:tc>
        <w:tc>
          <w:tcPr>
            <w:tcW w:w="1337" w:type="dxa"/>
          </w:tcPr>
          <w:p w:rsidR="001C52F3" w:rsidRPr="00C37E7B" w:rsidP="00086493" w14:paraId="0E9B7A35" w14:textId="77777777">
            <w:pPr>
              <w:pStyle w:val="TableParagraph"/>
              <w:spacing w:before="240" w:after="240"/>
              <w:jc w:val="center"/>
              <w:rPr>
                <w:sz w:val="20"/>
                <w:szCs w:val="20"/>
              </w:rPr>
            </w:pPr>
            <w:r w:rsidRPr="00C37E7B">
              <w:rPr>
                <w:sz w:val="20"/>
                <w:szCs w:val="20"/>
              </w:rPr>
              <w:t>150</w:t>
            </w:r>
            <w:r>
              <w:rPr>
                <w:sz w:val="20"/>
                <w:szCs w:val="20"/>
              </w:rPr>
              <w:t xml:space="preserve"> (50 x 3 reports/year)</w:t>
            </w:r>
          </w:p>
        </w:tc>
        <w:tc>
          <w:tcPr>
            <w:tcW w:w="1336" w:type="dxa"/>
          </w:tcPr>
          <w:p w:rsidR="001C52F3" w:rsidRPr="00C37E7B" w:rsidP="00086493" w14:paraId="7DAC07CF" w14:textId="59A3A5CE">
            <w:pPr>
              <w:pStyle w:val="TableParagraph"/>
              <w:spacing w:before="240" w:after="240"/>
              <w:jc w:val="center"/>
              <w:rPr>
                <w:sz w:val="20"/>
                <w:szCs w:val="20"/>
              </w:rPr>
            </w:pPr>
            <w:r>
              <w:rPr>
                <w:sz w:val="20"/>
                <w:szCs w:val="20"/>
              </w:rPr>
              <w:t>160</w:t>
            </w:r>
          </w:p>
        </w:tc>
        <w:tc>
          <w:tcPr>
            <w:tcW w:w="1337" w:type="dxa"/>
          </w:tcPr>
          <w:p w:rsidR="001C52F3" w:rsidRPr="00C37E7B" w:rsidP="00086493" w14:paraId="4BB4981E" w14:textId="75055F46">
            <w:pPr>
              <w:pStyle w:val="TableParagraph"/>
              <w:spacing w:before="240" w:after="240"/>
              <w:jc w:val="center"/>
              <w:rPr>
                <w:sz w:val="20"/>
                <w:szCs w:val="20"/>
              </w:rPr>
            </w:pPr>
            <w:r>
              <w:t>8,000</w:t>
            </w:r>
          </w:p>
        </w:tc>
        <w:tc>
          <w:tcPr>
            <w:tcW w:w="1336" w:type="dxa"/>
          </w:tcPr>
          <w:p w:rsidR="001C52F3" w:rsidRPr="00C37E7B" w:rsidP="00086493" w14:paraId="6A3CA3EB" w14:textId="6A250965">
            <w:pPr>
              <w:pStyle w:val="TableParagraph"/>
              <w:spacing w:before="240" w:after="240"/>
              <w:jc w:val="center"/>
              <w:rPr>
                <w:sz w:val="20"/>
                <w:szCs w:val="20"/>
              </w:rPr>
            </w:pPr>
            <w:r>
              <w:rPr>
                <w:sz w:val="20"/>
                <w:szCs w:val="20"/>
              </w:rPr>
              <w:t>85.46</w:t>
            </w:r>
          </w:p>
        </w:tc>
        <w:tc>
          <w:tcPr>
            <w:tcW w:w="1337" w:type="dxa"/>
          </w:tcPr>
          <w:p w:rsidR="001C52F3" w:rsidRPr="004502FE" w:rsidP="00086493" w14:paraId="3369533A" w14:textId="07660B48">
            <w:pPr>
              <w:pStyle w:val="TableParagraph"/>
              <w:spacing w:before="240" w:after="240"/>
              <w:jc w:val="center"/>
              <w:rPr>
                <w:sz w:val="20"/>
                <w:szCs w:val="20"/>
              </w:rPr>
            </w:pPr>
            <w:r>
              <w:t>683,680</w:t>
            </w:r>
          </w:p>
        </w:tc>
      </w:tr>
      <w:tr w14:paraId="2EBB6122" w14:textId="77777777" w:rsidTr="00086493">
        <w:tblPrEx>
          <w:tblW w:w="9355" w:type="dxa"/>
          <w:tblLayout w:type="fixed"/>
          <w:tblLook w:val="07E0"/>
        </w:tblPrEx>
        <w:trPr>
          <w:trHeight w:val="230"/>
        </w:trPr>
        <w:tc>
          <w:tcPr>
            <w:tcW w:w="1336" w:type="dxa"/>
          </w:tcPr>
          <w:p w:rsidR="001C52F3" w:rsidRPr="007E1677" w:rsidP="00086493" w14:paraId="2E86EB33" w14:textId="77777777">
            <w:pPr>
              <w:pStyle w:val="TableParagraph"/>
              <w:spacing w:before="240" w:after="240"/>
              <w:rPr>
                <w:sz w:val="20"/>
                <w:szCs w:val="20"/>
              </w:rPr>
            </w:pPr>
            <w:r>
              <w:rPr>
                <w:sz w:val="20"/>
                <w:szCs w:val="20"/>
              </w:rPr>
              <w:t>TOTAL</w:t>
            </w:r>
          </w:p>
        </w:tc>
        <w:tc>
          <w:tcPr>
            <w:tcW w:w="1336" w:type="dxa"/>
          </w:tcPr>
          <w:p w:rsidR="001C52F3" w:rsidRPr="007E1677" w:rsidP="00086493" w14:paraId="08F9E277" w14:textId="77777777">
            <w:pPr>
              <w:pStyle w:val="TableParagraph"/>
              <w:spacing w:before="240" w:after="240"/>
              <w:jc w:val="center"/>
              <w:rPr>
                <w:sz w:val="20"/>
                <w:szCs w:val="20"/>
              </w:rPr>
            </w:pPr>
            <w:r>
              <w:rPr>
                <w:sz w:val="20"/>
                <w:szCs w:val="20"/>
              </w:rPr>
              <w:t>50</w:t>
            </w:r>
          </w:p>
        </w:tc>
        <w:tc>
          <w:tcPr>
            <w:tcW w:w="1337" w:type="dxa"/>
          </w:tcPr>
          <w:p w:rsidR="001C52F3" w:rsidRPr="007E1677" w:rsidP="00086493" w14:paraId="7571A806" w14:textId="77777777">
            <w:pPr>
              <w:pStyle w:val="TableParagraph"/>
              <w:spacing w:before="240" w:after="240"/>
              <w:jc w:val="center"/>
              <w:rPr>
                <w:sz w:val="20"/>
                <w:szCs w:val="20"/>
              </w:rPr>
            </w:pPr>
            <w:r>
              <w:rPr>
                <w:sz w:val="20"/>
                <w:szCs w:val="20"/>
              </w:rPr>
              <w:t>200</w:t>
            </w:r>
          </w:p>
        </w:tc>
        <w:tc>
          <w:tcPr>
            <w:tcW w:w="1336" w:type="dxa"/>
          </w:tcPr>
          <w:p w:rsidR="001C52F3" w:rsidRPr="007E1677" w:rsidP="00086493" w14:paraId="2447E23F" w14:textId="77777777">
            <w:pPr>
              <w:pStyle w:val="TableParagraph"/>
              <w:spacing w:before="240" w:after="240"/>
              <w:jc w:val="center"/>
              <w:rPr>
                <w:sz w:val="20"/>
                <w:szCs w:val="20"/>
              </w:rPr>
            </w:pPr>
            <w:r>
              <w:rPr>
                <w:sz w:val="20"/>
                <w:szCs w:val="20"/>
              </w:rPr>
              <w:t>varies</w:t>
            </w:r>
          </w:p>
        </w:tc>
        <w:tc>
          <w:tcPr>
            <w:tcW w:w="1337" w:type="dxa"/>
          </w:tcPr>
          <w:p w:rsidR="001C52F3" w:rsidRPr="007E1677" w:rsidP="00086493" w14:paraId="74BF4C4C" w14:textId="70CB767C">
            <w:pPr>
              <w:pStyle w:val="TableParagraph"/>
              <w:spacing w:before="240" w:after="240"/>
              <w:jc w:val="center"/>
              <w:rPr>
                <w:sz w:val="20"/>
                <w:szCs w:val="20"/>
              </w:rPr>
            </w:pPr>
            <w:r>
              <w:t>20,000</w:t>
            </w:r>
          </w:p>
        </w:tc>
        <w:tc>
          <w:tcPr>
            <w:tcW w:w="1336" w:type="dxa"/>
          </w:tcPr>
          <w:p w:rsidR="001C52F3" w:rsidRPr="006250CB" w:rsidP="00086493" w14:paraId="69DEEF66" w14:textId="488D6F21">
            <w:pPr>
              <w:pStyle w:val="TableParagraph"/>
              <w:spacing w:before="240" w:after="240"/>
              <w:jc w:val="center"/>
              <w:rPr>
                <w:sz w:val="20"/>
                <w:szCs w:val="20"/>
              </w:rPr>
            </w:pPr>
            <w:r>
              <w:rPr>
                <w:sz w:val="20"/>
                <w:szCs w:val="20"/>
              </w:rPr>
              <w:t>85.46</w:t>
            </w:r>
          </w:p>
        </w:tc>
        <w:tc>
          <w:tcPr>
            <w:tcW w:w="1337" w:type="dxa"/>
          </w:tcPr>
          <w:p w:rsidR="001C52F3" w:rsidRPr="007E1677" w:rsidP="00086493" w14:paraId="28931C8F" w14:textId="74ED1708">
            <w:pPr>
              <w:pStyle w:val="TableParagraph"/>
              <w:spacing w:before="240" w:after="240"/>
              <w:jc w:val="center"/>
              <w:rPr>
                <w:sz w:val="20"/>
                <w:szCs w:val="20"/>
              </w:rPr>
            </w:pPr>
            <w:r>
              <w:t>1,709,200</w:t>
            </w:r>
          </w:p>
        </w:tc>
      </w:tr>
    </w:tbl>
    <w:p w:rsidR="000878DA" w:rsidRPr="00954F57" w:rsidP="009E7A85" w14:paraId="310DBCDD" w14:textId="1A6BD8CF">
      <w:pPr>
        <w:spacing w:before="240" w:after="240"/>
        <w:rPr>
          <w:i/>
          <w:iCs/>
          <w:spacing w:val="-2"/>
          <w:sz w:val="24"/>
          <w:szCs w:val="24"/>
        </w:rPr>
      </w:pPr>
      <w:r w:rsidRPr="00954F57">
        <w:rPr>
          <w:i/>
          <w:iCs/>
          <w:sz w:val="24"/>
          <w:szCs w:val="24"/>
        </w:rPr>
        <w:t>Collection</w:t>
      </w:r>
      <w:r w:rsidRPr="00954F57">
        <w:rPr>
          <w:i/>
          <w:iCs/>
          <w:spacing w:val="-6"/>
          <w:sz w:val="24"/>
          <w:szCs w:val="24"/>
        </w:rPr>
        <w:t xml:space="preserve"> </w:t>
      </w:r>
      <w:r w:rsidRPr="00954F57">
        <w:rPr>
          <w:i/>
          <w:iCs/>
          <w:sz w:val="24"/>
          <w:szCs w:val="24"/>
        </w:rPr>
        <w:t>of</w:t>
      </w:r>
      <w:r w:rsidRPr="00954F57">
        <w:rPr>
          <w:i/>
          <w:iCs/>
          <w:spacing w:val="-4"/>
          <w:sz w:val="24"/>
          <w:szCs w:val="24"/>
        </w:rPr>
        <w:t xml:space="preserve"> </w:t>
      </w:r>
      <w:r w:rsidRPr="00954F57">
        <w:rPr>
          <w:i/>
          <w:iCs/>
          <w:sz w:val="24"/>
          <w:szCs w:val="24"/>
        </w:rPr>
        <w:t>Information</w:t>
      </w:r>
      <w:r w:rsidRPr="00954F57">
        <w:rPr>
          <w:i/>
          <w:iCs/>
          <w:spacing w:val="-6"/>
          <w:sz w:val="24"/>
          <w:szCs w:val="24"/>
        </w:rPr>
        <w:t xml:space="preserve"> </w:t>
      </w:r>
      <w:r w:rsidRPr="00954F57">
        <w:rPr>
          <w:i/>
          <w:iCs/>
          <w:sz w:val="24"/>
          <w:szCs w:val="24"/>
        </w:rPr>
        <w:t>Instruments</w:t>
      </w:r>
      <w:r w:rsidRPr="00954F57">
        <w:rPr>
          <w:i/>
          <w:iCs/>
          <w:spacing w:val="-5"/>
          <w:sz w:val="24"/>
          <w:szCs w:val="24"/>
        </w:rPr>
        <w:t xml:space="preserve"> </w:t>
      </w:r>
      <w:r w:rsidRPr="00954F57">
        <w:rPr>
          <w:i/>
          <w:iCs/>
          <w:sz w:val="24"/>
          <w:szCs w:val="24"/>
        </w:rPr>
        <w:t>and</w:t>
      </w:r>
      <w:r w:rsidRPr="00954F57">
        <w:rPr>
          <w:i/>
          <w:iCs/>
          <w:spacing w:val="-4"/>
          <w:sz w:val="24"/>
          <w:szCs w:val="24"/>
        </w:rPr>
        <w:t xml:space="preserve"> </w:t>
      </w:r>
      <w:r w:rsidRPr="00954F57">
        <w:rPr>
          <w:i/>
          <w:iCs/>
          <w:sz w:val="24"/>
          <w:szCs w:val="24"/>
        </w:rPr>
        <w:t>Instruction/Guidance</w:t>
      </w:r>
      <w:r w:rsidRPr="00954F57">
        <w:rPr>
          <w:i/>
          <w:iCs/>
          <w:spacing w:val="-2"/>
          <w:sz w:val="24"/>
          <w:szCs w:val="24"/>
        </w:rPr>
        <w:t xml:space="preserve"> Documents</w:t>
      </w:r>
    </w:p>
    <w:p w:rsidR="00F92DD7" w:rsidRPr="00225446" w:rsidP="00F92DD7" w14:paraId="46D09FB2" w14:textId="77777777">
      <w:pPr>
        <w:rPr>
          <w:sz w:val="24"/>
          <w:szCs w:val="24"/>
        </w:rPr>
      </w:pPr>
      <w:r w:rsidRPr="00225446">
        <w:rPr>
          <w:sz w:val="24"/>
          <w:szCs w:val="24"/>
        </w:rPr>
        <w:t xml:space="preserve">These activities are to be completed via standardized Excel forms in budget period 1 and submitted through GrantSolutions, the official grants management platform for the RHT Program. To allow CMS time to recalculate technical scores and associated funding, the annual </w:t>
      </w:r>
      <w:r w:rsidRPr="00225446">
        <w:rPr>
          <w:sz w:val="24"/>
          <w:szCs w:val="24"/>
        </w:rPr>
        <w:t>progress report is due approximately 60 days before the end of each budget period. For all subsequent reporting periods, the RHT Program will transition from Excel forms to a dedicated web-based reporting tool. This tool is currently in early development by the CMCS-Medicaid Data Collection Tool (MDCT) Team and will enable reports to be exported for their subsequent upload to GrantSolutions.</w:t>
      </w:r>
    </w:p>
    <w:p w:rsidR="00F92DD7" w:rsidRPr="00225446" w:rsidP="00F92DD7" w14:paraId="4C8B37F8" w14:textId="77777777">
      <w:pPr>
        <w:rPr>
          <w:sz w:val="24"/>
          <w:szCs w:val="24"/>
        </w:rPr>
      </w:pPr>
    </w:p>
    <w:p w:rsidR="00F92DD7" w:rsidRPr="009E7A85" w:rsidP="003977C8" w14:paraId="150AC901" w14:textId="7CF17C4C">
      <w:pPr>
        <w:rPr>
          <w:i/>
          <w:iCs/>
          <w:sz w:val="24"/>
          <w:szCs w:val="24"/>
        </w:rPr>
      </w:pPr>
      <w:r w:rsidRPr="00225446">
        <w:rPr>
          <w:color w:val="000000"/>
          <w:sz w:val="24"/>
          <w:szCs w:val="24"/>
          <w:shd w:val="clear" w:color="auto" w:fill="FFFFFF"/>
        </w:rPr>
        <w:t>To enable the submission of the first quarterly report, the new web-based tool is tentatively planned to go live by the report's due date of November 29, 2026.</w:t>
      </w:r>
      <w:r w:rsidRPr="00225446">
        <w:rPr>
          <w:sz w:val="24"/>
          <w:szCs w:val="24"/>
        </w:rPr>
        <w:t xml:space="preserve"> Please note, there is no change in information collected in this reporting period and subsequent reporting periods. The quarterly reporting periods are as follows: August 1-October 30, October 31-January 30, and January 31-April 30. To reduce reporting burden with the annual progress reports, there is no quarterly progress report submission for May 1-July 31.</w:t>
      </w:r>
    </w:p>
    <w:p w:rsidR="005F5F41" w:rsidP="0076592F" w14:paraId="5B41DCDF" w14:textId="6FCD4995">
      <w:pPr>
        <w:pStyle w:val="ListParagraph"/>
        <w:numPr>
          <w:ilvl w:val="0"/>
          <w:numId w:val="18"/>
        </w:numPr>
        <w:spacing w:before="240" w:after="240"/>
        <w:rPr>
          <w:spacing w:val="-2"/>
          <w:sz w:val="24"/>
          <w:szCs w:val="24"/>
        </w:rPr>
      </w:pPr>
      <w:bookmarkStart w:id="13" w:name="13._Capital_Costs"/>
      <w:bookmarkEnd w:id="13"/>
      <w:r w:rsidRPr="0076592F">
        <w:rPr>
          <w:spacing w:val="-2"/>
          <w:sz w:val="24"/>
          <w:szCs w:val="24"/>
        </w:rPr>
        <w:t>RHT Program Reporting Template (New)</w:t>
      </w:r>
      <w:r w:rsidR="00DD2FCA">
        <w:rPr>
          <w:spacing w:val="-2"/>
          <w:sz w:val="24"/>
          <w:szCs w:val="24"/>
        </w:rPr>
        <w:t xml:space="preserve"> </w:t>
      </w:r>
    </w:p>
    <w:p w:rsidR="00F05503" w:rsidP="00F05503" w14:paraId="0DA41A07" w14:textId="7D12DE6D">
      <w:pPr>
        <w:spacing w:before="240" w:after="240"/>
        <w:rPr>
          <w:spacing w:val="-2"/>
          <w:sz w:val="24"/>
          <w:szCs w:val="24"/>
        </w:rPr>
      </w:pPr>
      <w:r w:rsidRPr="005D05D1">
        <w:rPr>
          <w:spacing w:val="-2"/>
          <w:sz w:val="24"/>
          <w:szCs w:val="24"/>
        </w:rPr>
        <w:t>The reporting template is utilized for both the quarterly and annual reports. The quarterly report content is a subset of the annual report.</w:t>
      </w:r>
    </w:p>
    <w:p w:rsidR="00DE0D46" w:rsidP="00DE0D46" w14:paraId="412BDD83" w14:textId="2CCB00F2">
      <w:pPr>
        <w:pStyle w:val="ListParagraph"/>
        <w:numPr>
          <w:ilvl w:val="0"/>
          <w:numId w:val="18"/>
        </w:numPr>
        <w:spacing w:before="240" w:after="240"/>
        <w:rPr>
          <w:spacing w:val="-2"/>
          <w:sz w:val="24"/>
          <w:szCs w:val="24"/>
        </w:rPr>
      </w:pPr>
      <w:r w:rsidRPr="0076592F">
        <w:rPr>
          <w:spacing w:val="-2"/>
          <w:sz w:val="24"/>
          <w:szCs w:val="24"/>
        </w:rPr>
        <w:t xml:space="preserve">RHT Program </w:t>
      </w:r>
      <w:r>
        <w:rPr>
          <w:spacing w:val="-2"/>
          <w:sz w:val="24"/>
          <w:szCs w:val="24"/>
        </w:rPr>
        <w:t>Project Plan</w:t>
      </w:r>
      <w:r w:rsidRPr="0076592F">
        <w:rPr>
          <w:spacing w:val="-2"/>
          <w:sz w:val="24"/>
          <w:szCs w:val="24"/>
        </w:rPr>
        <w:t xml:space="preserve"> Template (New)</w:t>
      </w:r>
      <w:r>
        <w:rPr>
          <w:spacing w:val="-2"/>
          <w:sz w:val="24"/>
          <w:szCs w:val="24"/>
        </w:rPr>
        <w:t xml:space="preserve"> </w:t>
      </w:r>
    </w:p>
    <w:p w:rsidR="00F92DD7" w:rsidP="00F92DD7" w14:paraId="336675CD" w14:textId="7A2396ED">
      <w:pPr>
        <w:pStyle w:val="ListParagraph"/>
        <w:numPr>
          <w:ilvl w:val="0"/>
          <w:numId w:val="18"/>
        </w:numPr>
        <w:spacing w:before="240" w:after="240"/>
        <w:rPr>
          <w:spacing w:val="-2"/>
          <w:sz w:val="24"/>
          <w:szCs w:val="24"/>
        </w:rPr>
      </w:pPr>
      <w:r w:rsidRPr="0076592F">
        <w:rPr>
          <w:spacing w:val="-2"/>
          <w:sz w:val="24"/>
          <w:szCs w:val="24"/>
        </w:rPr>
        <w:t xml:space="preserve">RHT Program Reporting </w:t>
      </w:r>
      <w:r w:rsidR="000027FF">
        <w:rPr>
          <w:spacing w:val="-2"/>
          <w:sz w:val="24"/>
          <w:szCs w:val="24"/>
        </w:rPr>
        <w:t xml:space="preserve">Expectations </w:t>
      </w:r>
      <w:r>
        <w:rPr>
          <w:spacing w:val="-2"/>
          <w:sz w:val="24"/>
          <w:szCs w:val="24"/>
        </w:rPr>
        <w:t>Guide</w:t>
      </w:r>
      <w:r w:rsidRPr="0076592F">
        <w:rPr>
          <w:spacing w:val="-2"/>
          <w:sz w:val="24"/>
          <w:szCs w:val="24"/>
        </w:rPr>
        <w:t xml:space="preserve"> (New)</w:t>
      </w:r>
      <w:r>
        <w:rPr>
          <w:spacing w:val="-2"/>
          <w:sz w:val="24"/>
          <w:szCs w:val="24"/>
        </w:rPr>
        <w:t xml:space="preserve"> </w:t>
      </w:r>
    </w:p>
    <w:p w:rsidR="00F92DD7" w:rsidP="00F92DD7" w14:paraId="043E5976" w14:textId="043705C5">
      <w:pPr>
        <w:pStyle w:val="ListParagraph"/>
        <w:numPr>
          <w:ilvl w:val="0"/>
          <w:numId w:val="18"/>
        </w:numPr>
        <w:spacing w:before="240" w:after="240"/>
        <w:rPr>
          <w:spacing w:val="-2"/>
          <w:sz w:val="24"/>
          <w:szCs w:val="24"/>
        </w:rPr>
      </w:pPr>
      <w:r w:rsidRPr="0076592F">
        <w:rPr>
          <w:spacing w:val="-2"/>
          <w:sz w:val="24"/>
          <w:szCs w:val="24"/>
        </w:rPr>
        <w:t xml:space="preserve">RHT Program </w:t>
      </w:r>
      <w:r w:rsidR="00180A64">
        <w:rPr>
          <w:spacing w:val="-2"/>
          <w:sz w:val="24"/>
          <w:szCs w:val="24"/>
        </w:rPr>
        <w:t xml:space="preserve">Funds </w:t>
      </w:r>
      <w:r w:rsidRPr="0076592F">
        <w:rPr>
          <w:spacing w:val="-2"/>
          <w:sz w:val="24"/>
          <w:szCs w:val="24"/>
        </w:rPr>
        <w:t xml:space="preserve">Reporting </w:t>
      </w:r>
      <w:r>
        <w:rPr>
          <w:spacing w:val="-2"/>
          <w:sz w:val="24"/>
          <w:szCs w:val="24"/>
        </w:rPr>
        <w:t>Guide</w:t>
      </w:r>
      <w:r w:rsidRPr="0076592F">
        <w:rPr>
          <w:spacing w:val="-2"/>
          <w:sz w:val="24"/>
          <w:szCs w:val="24"/>
        </w:rPr>
        <w:t xml:space="preserve"> (New)</w:t>
      </w:r>
      <w:r>
        <w:rPr>
          <w:spacing w:val="-2"/>
          <w:sz w:val="24"/>
          <w:szCs w:val="24"/>
        </w:rPr>
        <w:t xml:space="preserve"> </w:t>
      </w:r>
    </w:p>
    <w:p w:rsidR="00F33C16" w:rsidP="00F33C16" w14:paraId="6E9228B4" w14:textId="3DE71028">
      <w:pPr>
        <w:pStyle w:val="ListParagraph"/>
        <w:numPr>
          <w:ilvl w:val="0"/>
          <w:numId w:val="18"/>
        </w:numPr>
        <w:spacing w:before="240" w:after="240"/>
        <w:rPr>
          <w:spacing w:val="-2"/>
          <w:sz w:val="24"/>
          <w:szCs w:val="24"/>
        </w:rPr>
      </w:pPr>
      <w:r>
        <w:rPr>
          <w:spacing w:val="-2"/>
          <w:sz w:val="24"/>
          <w:szCs w:val="24"/>
        </w:rPr>
        <w:t>Screenshots</w:t>
      </w:r>
      <w:r w:rsidRPr="0076592F">
        <w:rPr>
          <w:spacing w:val="-2"/>
          <w:sz w:val="24"/>
          <w:szCs w:val="24"/>
        </w:rPr>
        <w:t xml:space="preserve"> (New)</w:t>
      </w:r>
      <w:r>
        <w:rPr>
          <w:spacing w:val="-2"/>
          <w:sz w:val="24"/>
          <w:szCs w:val="24"/>
        </w:rPr>
        <w:t xml:space="preserve"> </w:t>
      </w:r>
    </w:p>
    <w:p w:rsidR="000878DA" w:rsidRPr="009E7A85" w:rsidP="0042530A" w14:paraId="376325BB" w14:textId="27962B78">
      <w:pPr>
        <w:pStyle w:val="ListParagraph"/>
        <w:numPr>
          <w:ilvl w:val="1"/>
          <w:numId w:val="5"/>
        </w:numPr>
        <w:tabs>
          <w:tab w:val="left" w:pos="552"/>
        </w:tabs>
        <w:spacing w:before="240" w:after="240"/>
        <w:rPr>
          <w:sz w:val="24"/>
          <w:szCs w:val="24"/>
        </w:rPr>
      </w:pPr>
      <w:r w:rsidRPr="00841DA9">
        <w:rPr>
          <w:sz w:val="24"/>
          <w:szCs w:val="24"/>
          <w:u w:val="single"/>
        </w:rPr>
        <w:t>Capital</w:t>
      </w:r>
      <w:r w:rsidRPr="00841DA9">
        <w:rPr>
          <w:spacing w:val="-4"/>
          <w:sz w:val="24"/>
          <w:szCs w:val="24"/>
          <w:u w:val="single"/>
        </w:rPr>
        <w:t xml:space="preserve"> </w:t>
      </w:r>
      <w:r w:rsidRPr="00841DA9">
        <w:rPr>
          <w:spacing w:val="-2"/>
          <w:sz w:val="24"/>
          <w:szCs w:val="24"/>
          <w:u w:val="single"/>
        </w:rPr>
        <w:t>Costs</w:t>
      </w:r>
    </w:p>
    <w:p w:rsidR="000878DA" w:rsidRPr="0042530A" w:rsidP="0042530A" w14:paraId="540D1030" w14:textId="346A9201">
      <w:pPr>
        <w:pStyle w:val="BodyText"/>
        <w:spacing w:before="240" w:after="240"/>
      </w:pPr>
      <w:r w:rsidRPr="00841DA9">
        <w:t>CMS</w:t>
      </w:r>
      <w:r w:rsidRPr="00841DA9">
        <w:rPr>
          <w:spacing w:val="-3"/>
        </w:rPr>
        <w:t xml:space="preserve"> </w:t>
      </w:r>
      <w:r w:rsidRPr="00841DA9">
        <w:t>does</w:t>
      </w:r>
      <w:r w:rsidRPr="00841DA9">
        <w:rPr>
          <w:spacing w:val="-1"/>
        </w:rPr>
        <w:t xml:space="preserve"> </w:t>
      </w:r>
      <w:r w:rsidRPr="00841DA9">
        <w:t>not</w:t>
      </w:r>
      <w:r w:rsidRPr="00841DA9">
        <w:rPr>
          <w:spacing w:val="-1"/>
        </w:rPr>
        <w:t xml:space="preserve"> </w:t>
      </w:r>
      <w:r w:rsidRPr="00841DA9">
        <w:t>anticipate</w:t>
      </w:r>
      <w:r w:rsidRPr="00841DA9">
        <w:rPr>
          <w:spacing w:val="-2"/>
        </w:rPr>
        <w:t xml:space="preserve"> </w:t>
      </w:r>
      <w:r w:rsidRPr="00841DA9">
        <w:t>that</w:t>
      </w:r>
      <w:r w:rsidRPr="00841DA9">
        <w:rPr>
          <w:spacing w:val="-1"/>
        </w:rPr>
        <w:t xml:space="preserve"> </w:t>
      </w:r>
      <w:r w:rsidRPr="00841DA9">
        <w:t>any</w:t>
      </w:r>
      <w:r w:rsidRPr="00841DA9">
        <w:rPr>
          <w:spacing w:val="-4"/>
        </w:rPr>
        <w:t xml:space="preserve"> </w:t>
      </w:r>
      <w:r w:rsidRPr="00841DA9">
        <w:t>capital</w:t>
      </w:r>
      <w:r w:rsidRPr="00841DA9">
        <w:rPr>
          <w:spacing w:val="-1"/>
        </w:rPr>
        <w:t xml:space="preserve"> </w:t>
      </w:r>
      <w:r w:rsidRPr="00841DA9">
        <w:t>costs</w:t>
      </w:r>
      <w:r w:rsidRPr="00841DA9">
        <w:rPr>
          <w:spacing w:val="-1"/>
        </w:rPr>
        <w:t xml:space="preserve"> </w:t>
      </w:r>
      <w:r w:rsidRPr="00841DA9">
        <w:t>will</w:t>
      </w:r>
      <w:r w:rsidRPr="00841DA9">
        <w:rPr>
          <w:spacing w:val="-1"/>
        </w:rPr>
        <w:t xml:space="preserve"> </w:t>
      </w:r>
      <w:r w:rsidRPr="00841DA9">
        <w:t>be</w:t>
      </w:r>
      <w:r w:rsidRPr="00841DA9">
        <w:rPr>
          <w:spacing w:val="-2"/>
        </w:rPr>
        <w:t xml:space="preserve"> </w:t>
      </w:r>
      <w:r w:rsidRPr="00841DA9">
        <w:t>required</w:t>
      </w:r>
      <w:r w:rsidRPr="00841DA9">
        <w:rPr>
          <w:spacing w:val="-1"/>
        </w:rPr>
        <w:t xml:space="preserve"> </w:t>
      </w:r>
      <w:r w:rsidRPr="00841DA9">
        <w:t>for</w:t>
      </w:r>
      <w:r w:rsidRPr="00841DA9">
        <w:rPr>
          <w:spacing w:val="-2"/>
        </w:rPr>
        <w:t xml:space="preserve"> </w:t>
      </w:r>
      <w:r w:rsidRPr="00841DA9">
        <w:t xml:space="preserve">this </w:t>
      </w:r>
      <w:r w:rsidRPr="00841DA9">
        <w:rPr>
          <w:spacing w:val="-2"/>
        </w:rPr>
        <w:t>collection.</w:t>
      </w:r>
    </w:p>
    <w:p w:rsidR="000878DA" w:rsidRPr="009E7A85" w:rsidP="0042530A" w14:paraId="7EE1FB26" w14:textId="51241A68">
      <w:pPr>
        <w:pStyle w:val="ListParagraph"/>
        <w:numPr>
          <w:ilvl w:val="1"/>
          <w:numId w:val="5"/>
        </w:numPr>
        <w:tabs>
          <w:tab w:val="left" w:pos="552"/>
        </w:tabs>
        <w:spacing w:before="240" w:after="240"/>
        <w:rPr>
          <w:sz w:val="24"/>
          <w:szCs w:val="24"/>
        </w:rPr>
      </w:pPr>
      <w:bookmarkStart w:id="14" w:name="14._Cost_to_Federal_Government"/>
      <w:bookmarkEnd w:id="14"/>
      <w:r w:rsidRPr="003777E2">
        <w:rPr>
          <w:sz w:val="24"/>
          <w:szCs w:val="24"/>
          <w:u w:val="single"/>
        </w:rPr>
        <w:t>Cost</w:t>
      </w:r>
      <w:r w:rsidRPr="003777E2">
        <w:rPr>
          <w:spacing w:val="-2"/>
          <w:sz w:val="24"/>
          <w:szCs w:val="24"/>
          <w:u w:val="single"/>
        </w:rPr>
        <w:t xml:space="preserve"> </w:t>
      </w:r>
      <w:r w:rsidRPr="003777E2">
        <w:rPr>
          <w:sz w:val="24"/>
          <w:szCs w:val="24"/>
          <w:u w:val="single"/>
        </w:rPr>
        <w:t>to</w:t>
      </w:r>
      <w:r w:rsidRPr="003777E2">
        <w:rPr>
          <w:spacing w:val="-2"/>
          <w:sz w:val="24"/>
          <w:szCs w:val="24"/>
          <w:u w:val="single"/>
        </w:rPr>
        <w:t xml:space="preserve"> </w:t>
      </w:r>
      <w:r w:rsidRPr="003777E2">
        <w:rPr>
          <w:sz w:val="24"/>
          <w:szCs w:val="24"/>
          <w:u w:val="single"/>
        </w:rPr>
        <w:t>Federal</w:t>
      </w:r>
      <w:r w:rsidRPr="003777E2">
        <w:rPr>
          <w:spacing w:val="-2"/>
          <w:sz w:val="24"/>
          <w:szCs w:val="24"/>
          <w:u w:val="single"/>
        </w:rPr>
        <w:t xml:space="preserve"> Government</w:t>
      </w:r>
    </w:p>
    <w:p w:rsidR="00BD3B09" w:rsidRPr="0042530A" w:rsidP="0042530A" w14:paraId="117F3153" w14:textId="7770081A">
      <w:pPr>
        <w:pStyle w:val="BodyText"/>
        <w:spacing w:before="240" w:after="240"/>
        <w:rPr>
          <w:spacing w:val="-2"/>
        </w:rPr>
      </w:pPr>
      <w:r w:rsidRPr="003777E2">
        <w:t>The table below shows estimates of the average annual cost of the project to the Federal government.</w:t>
      </w:r>
      <w:r w:rsidRPr="003777E2">
        <w:rPr>
          <w:spacing w:val="-2"/>
        </w:rPr>
        <w:t xml:space="preserve"> </w:t>
      </w:r>
    </w:p>
    <w:p w:rsidR="000878DA" w:rsidRPr="0042530A" w:rsidP="0042530A" w14:paraId="5A9B30D8" w14:textId="1A313F60">
      <w:pPr>
        <w:pStyle w:val="BodyText"/>
        <w:spacing w:before="240" w:after="240"/>
      </w:pPr>
      <w:r w:rsidRPr="003777E2">
        <w:t>CMS staff costs are based on OPM</w:t>
      </w:r>
      <w:r w:rsidR="008148A9">
        <w:t>’s 2025</w:t>
      </w:r>
      <w:r w:rsidRPr="003777E2">
        <w:t xml:space="preserve"> GS wage tables</w:t>
      </w:r>
      <w:hyperlink w:anchor="_bookmark2" w:history="1">
        <w:r w:rsidRPr="003777E2">
          <w:rPr>
            <w:vertAlign w:val="superscript"/>
          </w:rPr>
          <w:t>3</w:t>
        </w:r>
        <w:r w:rsidRPr="003777E2">
          <w:t xml:space="preserve"> </w:t>
        </w:r>
      </w:hyperlink>
      <w:r w:rsidRPr="003777E2">
        <w:t>and account for</w:t>
      </w:r>
      <w:r w:rsidRPr="003777E2" w:rsidR="003777E2">
        <w:t xml:space="preserve"> data collection</w:t>
      </w:r>
      <w:r w:rsidRPr="003777E2">
        <w:t xml:space="preserve">, quarterly review of data, assessing need for FMAP reductions, and comparison to Advanced Planning Documents </w:t>
      </w:r>
      <w:r w:rsidRPr="003777E2">
        <w:rPr>
          <w:spacing w:val="-2"/>
        </w:rPr>
        <w:t>(APDs).</w:t>
      </w:r>
      <w:r w:rsidR="00812E68">
        <w:rPr>
          <w:spacing w:val="-2"/>
        </w:rPr>
        <w:t xml:space="preserve"> </w:t>
      </w:r>
      <w:r w:rsidRPr="003777E2">
        <w:t xml:space="preserve">The average annual cost accounts for a </w:t>
      </w:r>
      <w:r w:rsidR="00D350F7">
        <w:t>3.3</w:t>
      </w:r>
      <w:r w:rsidRPr="003777E2">
        <w:t xml:space="preserve">% annual inflation rate and assumes the </w:t>
      </w:r>
      <w:r w:rsidR="003777E2">
        <w:t>data collection</w:t>
      </w:r>
      <w:r w:rsidRPr="003777E2">
        <w:t xml:space="preserve"> will be active</w:t>
      </w:r>
      <w:r w:rsidRPr="003777E2">
        <w:rPr>
          <w:spacing w:val="-4"/>
        </w:rPr>
        <w:t xml:space="preserve"> </w:t>
      </w:r>
      <w:r w:rsidRPr="003777E2">
        <w:t>through</w:t>
      </w:r>
      <w:r w:rsidRPr="003777E2">
        <w:rPr>
          <w:spacing w:val="-3"/>
        </w:rPr>
        <w:t xml:space="preserve"> </w:t>
      </w:r>
      <w:r w:rsidRPr="003777E2">
        <w:t>federal</w:t>
      </w:r>
      <w:r w:rsidRPr="003777E2">
        <w:rPr>
          <w:spacing w:val="-3"/>
        </w:rPr>
        <w:t xml:space="preserve"> </w:t>
      </w:r>
      <w:r w:rsidRPr="003777E2">
        <w:t>fiscal year</w:t>
      </w:r>
      <w:r w:rsidRPr="003777E2">
        <w:rPr>
          <w:spacing w:val="-4"/>
        </w:rPr>
        <w:t xml:space="preserve"> </w:t>
      </w:r>
      <w:r w:rsidR="003777E2">
        <w:rPr>
          <w:spacing w:val="-4"/>
        </w:rPr>
        <w:t>20</w:t>
      </w:r>
      <w:r w:rsidR="00673312">
        <w:rPr>
          <w:spacing w:val="-4"/>
        </w:rPr>
        <w:t>31</w:t>
      </w:r>
      <w:r w:rsidRPr="003777E2" w:rsidR="003777E2">
        <w:rPr>
          <w:spacing w:val="-4"/>
        </w:rPr>
        <w:t xml:space="preserve">, </w:t>
      </w:r>
      <w:r w:rsidR="00673312">
        <w:t>5</w:t>
      </w:r>
      <w:r w:rsidRPr="003777E2">
        <w:t xml:space="preserve"> years</w:t>
      </w:r>
      <w:r w:rsidRPr="003777E2">
        <w:rPr>
          <w:spacing w:val="-3"/>
        </w:rPr>
        <w:t xml:space="preserve"> </w:t>
      </w:r>
      <w:r w:rsidRPr="003777E2">
        <w:t>total),</w:t>
      </w:r>
      <w:r w:rsidRPr="003777E2">
        <w:rPr>
          <w:spacing w:val="-3"/>
        </w:rPr>
        <w:t xml:space="preserve"> </w:t>
      </w:r>
      <w:r w:rsidRPr="003777E2">
        <w:t>however</w:t>
      </w:r>
      <w:r w:rsidRPr="003777E2">
        <w:rPr>
          <w:spacing w:val="-4"/>
        </w:rPr>
        <w:t xml:space="preserve"> </w:t>
      </w:r>
      <w:r w:rsidRPr="003777E2">
        <w:t>this</w:t>
      </w:r>
      <w:r w:rsidRPr="003777E2">
        <w:rPr>
          <w:spacing w:val="-3"/>
        </w:rPr>
        <w:t xml:space="preserve"> </w:t>
      </w:r>
      <w:r w:rsidRPr="003777E2">
        <w:t>is</w:t>
      </w:r>
      <w:r w:rsidRPr="003777E2">
        <w:rPr>
          <w:spacing w:val="-3"/>
        </w:rPr>
        <w:t xml:space="preserve"> </w:t>
      </w:r>
      <w:r w:rsidRPr="003777E2">
        <w:t>subject</w:t>
      </w:r>
      <w:r w:rsidRPr="003777E2">
        <w:rPr>
          <w:spacing w:val="-3"/>
        </w:rPr>
        <w:t xml:space="preserve"> </w:t>
      </w:r>
      <w:r w:rsidRPr="003777E2">
        <w:t>to</w:t>
      </w:r>
      <w:r w:rsidRPr="003777E2">
        <w:rPr>
          <w:spacing w:val="-3"/>
        </w:rPr>
        <w:t xml:space="preserve"> </w:t>
      </w:r>
      <w:r w:rsidRPr="003777E2">
        <w:t>change</w:t>
      </w:r>
      <w:r w:rsidRPr="003777E2">
        <w:rPr>
          <w:spacing w:val="-4"/>
        </w:rPr>
        <w:t xml:space="preserve"> </w:t>
      </w:r>
      <w:r w:rsidRPr="003777E2">
        <w:t>based</w:t>
      </w:r>
      <w:r w:rsidRPr="003777E2">
        <w:rPr>
          <w:spacing w:val="-3"/>
        </w:rPr>
        <w:t xml:space="preserve"> </w:t>
      </w:r>
      <w:r w:rsidRPr="003777E2">
        <w:t xml:space="preserve">on budgetary decisions and the rate at which </w:t>
      </w:r>
      <w:r w:rsidR="00A859AA">
        <w:t>S</w:t>
      </w:r>
      <w:r w:rsidRPr="003777E2" w:rsidR="00A859AA">
        <w:t xml:space="preserve">tates </w:t>
      </w:r>
      <w:r w:rsidRPr="003777E2">
        <w:t xml:space="preserve">come into compliance with </w:t>
      </w:r>
      <w:r w:rsidRPr="003777E2" w:rsidR="008C6CC0">
        <w:t xml:space="preserve">RHT Program </w:t>
      </w:r>
      <w:r w:rsidRPr="003777E2">
        <w:t>requirements.</w:t>
      </w:r>
      <w:bookmarkStart w:id="15" w:name="_bookmark1"/>
      <w:bookmarkEnd w:id="15"/>
    </w:p>
    <w:p w:rsidR="000878DA" w:rsidRPr="004865D8" w:rsidP="009E7A85" w14:paraId="0EADC588" w14:textId="3AF3B205">
      <w:pPr>
        <w:pStyle w:val="BodyText"/>
        <w:spacing w:before="240" w:after="240"/>
      </w:pPr>
    </w:p>
    <w:tbl>
      <w:tblPr>
        <w:tblStyle w:val="TableGrid"/>
        <w:tblW w:w="9805" w:type="dxa"/>
        <w:tblLook w:val="04A0"/>
      </w:tblPr>
      <w:tblGrid>
        <w:gridCol w:w="1525"/>
        <w:gridCol w:w="2790"/>
        <w:gridCol w:w="1440"/>
        <w:gridCol w:w="2070"/>
        <w:gridCol w:w="1980"/>
      </w:tblGrid>
      <w:tr w14:paraId="67E35989" w14:textId="77777777" w:rsidTr="15346EBB">
        <w:tblPrEx>
          <w:tblW w:w="9805" w:type="dxa"/>
          <w:tblLook w:val="04A0"/>
        </w:tblPrEx>
        <w:trPr>
          <w:trHeight w:val="300"/>
        </w:trPr>
        <w:tc>
          <w:tcPr>
            <w:tcW w:w="1525" w:type="dxa"/>
            <w:hideMark/>
          </w:tcPr>
          <w:p w:rsidR="009C3A19" w:rsidRPr="001C52F3" w:rsidP="0042530A" w14:paraId="5D4B623A" w14:textId="77777777">
            <w:pPr>
              <w:spacing w:before="240" w:after="240"/>
              <w:rPr>
                <w:color w:val="000000"/>
                <w:sz w:val="20"/>
                <w:szCs w:val="20"/>
              </w:rPr>
            </w:pPr>
            <w:r w:rsidRPr="001C52F3">
              <w:rPr>
                <w:color w:val="000000"/>
                <w:sz w:val="20"/>
                <w:szCs w:val="20"/>
              </w:rPr>
              <w:t>Category</w:t>
            </w:r>
          </w:p>
        </w:tc>
        <w:tc>
          <w:tcPr>
            <w:tcW w:w="2790" w:type="dxa"/>
            <w:hideMark/>
          </w:tcPr>
          <w:p w:rsidR="009C3A19" w:rsidRPr="001C52F3" w:rsidP="0042530A" w14:paraId="300437B8" w14:textId="77777777">
            <w:pPr>
              <w:spacing w:before="240" w:after="240"/>
              <w:rPr>
                <w:color w:val="000000"/>
                <w:sz w:val="20"/>
                <w:szCs w:val="20"/>
              </w:rPr>
            </w:pPr>
            <w:r w:rsidRPr="001C52F3">
              <w:rPr>
                <w:color w:val="000000"/>
                <w:sz w:val="20"/>
                <w:szCs w:val="20"/>
              </w:rPr>
              <w:t>Title</w:t>
            </w:r>
          </w:p>
        </w:tc>
        <w:tc>
          <w:tcPr>
            <w:tcW w:w="1440" w:type="dxa"/>
            <w:hideMark/>
          </w:tcPr>
          <w:p w:rsidR="009C3A19" w:rsidRPr="001C52F3" w:rsidP="0042530A" w14:paraId="2CDA4FDB" w14:textId="77777777">
            <w:pPr>
              <w:spacing w:before="240" w:after="240"/>
              <w:jc w:val="center"/>
              <w:rPr>
                <w:color w:val="000000"/>
                <w:sz w:val="20"/>
                <w:szCs w:val="20"/>
              </w:rPr>
            </w:pPr>
            <w:r w:rsidRPr="001C52F3">
              <w:rPr>
                <w:color w:val="000000"/>
                <w:sz w:val="20"/>
                <w:szCs w:val="20"/>
              </w:rPr>
              <w:t>Rate ($/hr)</w:t>
            </w:r>
          </w:p>
        </w:tc>
        <w:tc>
          <w:tcPr>
            <w:tcW w:w="2070" w:type="dxa"/>
            <w:hideMark/>
          </w:tcPr>
          <w:p w:rsidR="009C3A19" w:rsidRPr="001C52F3" w:rsidP="0042530A" w14:paraId="4E365F5F" w14:textId="77777777">
            <w:pPr>
              <w:spacing w:before="240" w:after="240"/>
              <w:jc w:val="center"/>
              <w:rPr>
                <w:color w:val="000000"/>
                <w:sz w:val="20"/>
                <w:szCs w:val="20"/>
              </w:rPr>
            </w:pPr>
            <w:r w:rsidRPr="001C52F3">
              <w:rPr>
                <w:color w:val="000000"/>
                <w:sz w:val="20"/>
                <w:szCs w:val="20"/>
              </w:rPr>
              <w:t>Avg Annual Hours</w:t>
            </w:r>
          </w:p>
        </w:tc>
        <w:tc>
          <w:tcPr>
            <w:tcW w:w="1980" w:type="dxa"/>
            <w:hideMark/>
          </w:tcPr>
          <w:p w:rsidR="009C3A19" w:rsidRPr="001C52F3" w:rsidP="0042530A" w14:paraId="16F59F0C" w14:textId="77777777">
            <w:pPr>
              <w:spacing w:before="240" w:after="240"/>
              <w:jc w:val="center"/>
              <w:rPr>
                <w:color w:val="000000"/>
                <w:sz w:val="20"/>
                <w:szCs w:val="20"/>
              </w:rPr>
            </w:pPr>
            <w:r w:rsidRPr="001C52F3">
              <w:rPr>
                <w:color w:val="000000"/>
                <w:sz w:val="20"/>
                <w:szCs w:val="20"/>
              </w:rPr>
              <w:t>Annual Cost ($)</w:t>
            </w:r>
          </w:p>
        </w:tc>
      </w:tr>
      <w:tr w14:paraId="66159DAF" w14:textId="77777777" w:rsidTr="15346EBB">
        <w:tblPrEx>
          <w:tblW w:w="9805" w:type="dxa"/>
          <w:tblLook w:val="04A0"/>
        </w:tblPrEx>
        <w:trPr>
          <w:trHeight w:val="300"/>
        </w:trPr>
        <w:tc>
          <w:tcPr>
            <w:tcW w:w="1525" w:type="dxa"/>
            <w:noWrap/>
            <w:hideMark/>
          </w:tcPr>
          <w:p w:rsidR="009C3A19" w:rsidRPr="001C52F3" w:rsidP="0042530A" w14:paraId="17EED63B" w14:textId="77777777">
            <w:pPr>
              <w:spacing w:before="240" w:after="240"/>
              <w:rPr>
                <w:color w:val="000000"/>
                <w:sz w:val="20"/>
                <w:szCs w:val="20"/>
              </w:rPr>
            </w:pPr>
            <w:r w:rsidRPr="001C52F3">
              <w:rPr>
                <w:color w:val="000000"/>
                <w:sz w:val="20"/>
                <w:szCs w:val="20"/>
              </w:rPr>
              <w:t>CMS Staff</w:t>
            </w:r>
          </w:p>
        </w:tc>
        <w:tc>
          <w:tcPr>
            <w:tcW w:w="2790" w:type="dxa"/>
            <w:noWrap/>
            <w:hideMark/>
          </w:tcPr>
          <w:p w:rsidR="009C3A19" w:rsidRPr="001C52F3" w:rsidP="0042530A" w14:paraId="409D59C5" w14:textId="139B3350">
            <w:pPr>
              <w:spacing w:before="240" w:after="240"/>
              <w:rPr>
                <w:color w:val="000000"/>
                <w:sz w:val="20"/>
                <w:szCs w:val="20"/>
              </w:rPr>
            </w:pPr>
            <w:r w:rsidRPr="001C52F3">
              <w:rPr>
                <w:color w:val="000000"/>
                <w:sz w:val="20"/>
                <w:szCs w:val="20"/>
              </w:rPr>
              <w:t>Division Director (GS-15</w:t>
            </w:r>
            <w:r w:rsidR="006E3C53">
              <w:rPr>
                <w:color w:val="000000"/>
                <w:sz w:val="20"/>
                <w:szCs w:val="20"/>
              </w:rPr>
              <w:t>, step 10</w:t>
            </w:r>
            <w:r w:rsidRPr="001C52F3">
              <w:rPr>
                <w:color w:val="000000"/>
                <w:sz w:val="20"/>
                <w:szCs w:val="20"/>
              </w:rPr>
              <w:t>)</w:t>
            </w:r>
          </w:p>
        </w:tc>
        <w:tc>
          <w:tcPr>
            <w:tcW w:w="1440" w:type="dxa"/>
            <w:noWrap/>
            <w:hideMark/>
          </w:tcPr>
          <w:p w:rsidR="009C3A19" w:rsidRPr="001C52F3" w:rsidP="0042530A" w14:paraId="6F89A737" w14:textId="23786BA8">
            <w:pPr>
              <w:spacing w:before="240" w:after="240"/>
              <w:jc w:val="center"/>
              <w:rPr>
                <w:color w:val="000000"/>
                <w:sz w:val="20"/>
                <w:szCs w:val="20"/>
              </w:rPr>
            </w:pPr>
            <w:r>
              <w:rPr>
                <w:color w:val="000000"/>
                <w:sz w:val="20"/>
                <w:szCs w:val="20"/>
              </w:rPr>
              <w:t>184.32 (</w:t>
            </w:r>
            <w:r w:rsidR="001C12FD">
              <w:rPr>
                <w:color w:val="000000"/>
                <w:sz w:val="20"/>
                <w:szCs w:val="20"/>
              </w:rPr>
              <w:t>$</w:t>
            </w:r>
            <w:r>
              <w:rPr>
                <w:color w:val="000000"/>
                <w:sz w:val="20"/>
                <w:szCs w:val="20"/>
              </w:rPr>
              <w:t xml:space="preserve">92.16/hr x </w:t>
            </w:r>
            <w:r w:rsidR="001C12FD">
              <w:rPr>
                <w:color w:val="000000"/>
                <w:sz w:val="20"/>
                <w:szCs w:val="20"/>
              </w:rPr>
              <w:t>2</w:t>
            </w:r>
            <w:r>
              <w:rPr>
                <w:color w:val="000000"/>
                <w:sz w:val="20"/>
                <w:szCs w:val="20"/>
              </w:rPr>
              <w:t>)</w:t>
            </w:r>
          </w:p>
        </w:tc>
        <w:tc>
          <w:tcPr>
            <w:tcW w:w="2070" w:type="dxa"/>
            <w:noWrap/>
            <w:hideMark/>
          </w:tcPr>
          <w:p w:rsidR="009C3A19" w:rsidRPr="001C52F3" w:rsidP="15346EBB" w14:paraId="0EE0E238" w14:textId="77777777">
            <w:pPr>
              <w:spacing w:before="240" w:after="240"/>
              <w:jc w:val="center"/>
              <w:rPr>
                <w:color w:val="000000"/>
                <w:sz w:val="20"/>
                <w:szCs w:val="20"/>
              </w:rPr>
            </w:pPr>
            <w:r w:rsidRPr="001C52F3">
              <w:rPr>
                <w:color w:val="000000" w:themeColor="text1"/>
                <w:sz w:val="20"/>
                <w:szCs w:val="20"/>
              </w:rPr>
              <w:t>5</w:t>
            </w:r>
          </w:p>
        </w:tc>
        <w:tc>
          <w:tcPr>
            <w:tcW w:w="1980" w:type="dxa"/>
            <w:noWrap/>
            <w:hideMark/>
          </w:tcPr>
          <w:p w:rsidR="009C3A19" w:rsidRPr="001C52F3" w:rsidP="15346EBB" w14:paraId="64532DEC" w14:textId="5DC6D0BD">
            <w:pPr>
              <w:spacing w:before="240" w:after="240"/>
              <w:jc w:val="center"/>
              <w:rPr>
                <w:color w:val="000000"/>
                <w:sz w:val="20"/>
                <w:szCs w:val="20"/>
              </w:rPr>
            </w:pPr>
            <w:r>
              <w:rPr>
                <w:color w:val="000000" w:themeColor="text1"/>
                <w:sz w:val="20"/>
                <w:szCs w:val="20"/>
              </w:rPr>
              <w:t>921.60</w:t>
            </w:r>
          </w:p>
        </w:tc>
      </w:tr>
      <w:tr w14:paraId="0CF9B160" w14:textId="77777777" w:rsidTr="15346EBB">
        <w:tblPrEx>
          <w:tblW w:w="9805" w:type="dxa"/>
          <w:tblLook w:val="04A0"/>
        </w:tblPrEx>
        <w:trPr>
          <w:trHeight w:val="300"/>
        </w:trPr>
        <w:tc>
          <w:tcPr>
            <w:tcW w:w="1525" w:type="dxa"/>
            <w:noWrap/>
            <w:hideMark/>
          </w:tcPr>
          <w:p w:rsidR="009C3A19" w:rsidRPr="001C52F3" w:rsidP="0042530A" w14:paraId="664F3271" w14:textId="77777777">
            <w:pPr>
              <w:spacing w:before="240" w:after="240"/>
              <w:rPr>
                <w:color w:val="000000"/>
                <w:sz w:val="20"/>
                <w:szCs w:val="20"/>
              </w:rPr>
            </w:pPr>
            <w:r w:rsidRPr="001C52F3">
              <w:rPr>
                <w:color w:val="000000"/>
                <w:sz w:val="20"/>
                <w:szCs w:val="20"/>
              </w:rPr>
              <w:t>CMS Staff</w:t>
            </w:r>
          </w:p>
        </w:tc>
        <w:tc>
          <w:tcPr>
            <w:tcW w:w="2790" w:type="dxa"/>
            <w:noWrap/>
            <w:hideMark/>
          </w:tcPr>
          <w:p w:rsidR="009C3A19" w:rsidRPr="001C52F3" w:rsidP="0042530A" w14:paraId="074EFA29" w14:textId="2E83B3B4">
            <w:pPr>
              <w:spacing w:before="240" w:after="240"/>
              <w:rPr>
                <w:color w:val="000000"/>
                <w:sz w:val="20"/>
                <w:szCs w:val="20"/>
              </w:rPr>
            </w:pPr>
            <w:r w:rsidRPr="001C52F3">
              <w:rPr>
                <w:color w:val="000000" w:themeColor="text1"/>
                <w:sz w:val="20"/>
                <w:szCs w:val="20"/>
              </w:rPr>
              <w:t>Deputy Division Director (GS-1</w:t>
            </w:r>
            <w:r w:rsidRPr="001C52F3" w:rsidR="5E98B926">
              <w:rPr>
                <w:color w:val="000000" w:themeColor="text1"/>
                <w:sz w:val="20"/>
                <w:szCs w:val="20"/>
              </w:rPr>
              <w:t>4</w:t>
            </w:r>
            <w:r w:rsidR="006E3C53">
              <w:rPr>
                <w:color w:val="000000" w:themeColor="text1"/>
                <w:sz w:val="20"/>
                <w:szCs w:val="20"/>
              </w:rPr>
              <w:t>, step 10</w:t>
            </w:r>
            <w:r w:rsidRPr="001C52F3">
              <w:rPr>
                <w:color w:val="000000" w:themeColor="text1"/>
                <w:sz w:val="20"/>
                <w:szCs w:val="20"/>
              </w:rPr>
              <w:t>)</w:t>
            </w:r>
          </w:p>
        </w:tc>
        <w:tc>
          <w:tcPr>
            <w:tcW w:w="1440" w:type="dxa"/>
            <w:noWrap/>
            <w:hideMark/>
          </w:tcPr>
          <w:p w:rsidR="009C3A19" w:rsidRPr="001C52F3" w:rsidP="0042530A" w14:paraId="7BDFB9F4" w14:textId="2F42D228">
            <w:pPr>
              <w:spacing w:before="240" w:after="240"/>
              <w:jc w:val="center"/>
              <w:rPr>
                <w:color w:val="000000"/>
                <w:sz w:val="20"/>
                <w:szCs w:val="20"/>
              </w:rPr>
            </w:pPr>
            <w:r>
              <w:rPr>
                <w:color w:val="000000"/>
                <w:sz w:val="20"/>
                <w:szCs w:val="20"/>
              </w:rPr>
              <w:t>156.70 ($78.35/hr x 2)</w:t>
            </w:r>
          </w:p>
        </w:tc>
        <w:tc>
          <w:tcPr>
            <w:tcW w:w="2070" w:type="dxa"/>
            <w:noWrap/>
            <w:hideMark/>
          </w:tcPr>
          <w:p w:rsidR="009C3A19" w:rsidRPr="001C52F3" w:rsidP="15346EBB" w14:paraId="50EDB548" w14:textId="77777777">
            <w:pPr>
              <w:spacing w:before="240" w:after="240"/>
              <w:jc w:val="center"/>
              <w:rPr>
                <w:color w:val="000000"/>
                <w:sz w:val="20"/>
                <w:szCs w:val="20"/>
              </w:rPr>
            </w:pPr>
            <w:r w:rsidRPr="001C52F3">
              <w:rPr>
                <w:color w:val="000000" w:themeColor="text1"/>
                <w:sz w:val="20"/>
                <w:szCs w:val="20"/>
              </w:rPr>
              <w:t>10</w:t>
            </w:r>
          </w:p>
        </w:tc>
        <w:tc>
          <w:tcPr>
            <w:tcW w:w="1980" w:type="dxa"/>
            <w:noWrap/>
            <w:hideMark/>
          </w:tcPr>
          <w:p w:rsidR="009C3A19" w:rsidRPr="001C52F3" w:rsidP="15346EBB" w14:paraId="4A507DDF" w14:textId="318506CC">
            <w:pPr>
              <w:spacing w:before="240" w:after="240"/>
              <w:jc w:val="center"/>
              <w:rPr>
                <w:color w:val="000000"/>
                <w:sz w:val="20"/>
                <w:szCs w:val="20"/>
              </w:rPr>
            </w:pPr>
            <w:r>
              <w:rPr>
                <w:color w:val="000000" w:themeColor="text1"/>
                <w:sz w:val="20"/>
                <w:szCs w:val="20"/>
              </w:rPr>
              <w:t>1,567</w:t>
            </w:r>
          </w:p>
        </w:tc>
      </w:tr>
      <w:tr w14:paraId="708769DE" w14:textId="77777777" w:rsidTr="15346EBB">
        <w:tblPrEx>
          <w:tblW w:w="9805" w:type="dxa"/>
          <w:tblLook w:val="04A0"/>
        </w:tblPrEx>
        <w:trPr>
          <w:trHeight w:val="300"/>
        </w:trPr>
        <w:tc>
          <w:tcPr>
            <w:tcW w:w="1525" w:type="dxa"/>
            <w:noWrap/>
            <w:hideMark/>
          </w:tcPr>
          <w:p w:rsidR="009C3A19" w:rsidRPr="001C52F3" w:rsidP="0042530A" w14:paraId="62166FC9" w14:textId="77777777">
            <w:pPr>
              <w:spacing w:before="240" w:after="240"/>
              <w:rPr>
                <w:color w:val="000000"/>
                <w:sz w:val="20"/>
                <w:szCs w:val="20"/>
              </w:rPr>
            </w:pPr>
            <w:r w:rsidRPr="001C52F3">
              <w:rPr>
                <w:color w:val="000000"/>
                <w:sz w:val="20"/>
                <w:szCs w:val="20"/>
              </w:rPr>
              <w:t>CMS Staff</w:t>
            </w:r>
          </w:p>
        </w:tc>
        <w:tc>
          <w:tcPr>
            <w:tcW w:w="2790" w:type="dxa"/>
            <w:noWrap/>
            <w:hideMark/>
          </w:tcPr>
          <w:p w:rsidR="009C3A19" w:rsidRPr="001C52F3" w:rsidP="0042530A" w14:paraId="11CB6FE7" w14:textId="73F4E11C">
            <w:pPr>
              <w:spacing w:before="240" w:after="240"/>
              <w:rPr>
                <w:color w:val="000000"/>
                <w:sz w:val="20"/>
                <w:szCs w:val="20"/>
              </w:rPr>
            </w:pPr>
            <w:r w:rsidRPr="001C52F3">
              <w:rPr>
                <w:color w:val="000000"/>
                <w:sz w:val="20"/>
                <w:szCs w:val="20"/>
              </w:rPr>
              <w:t>Data Analyst (GS-13</w:t>
            </w:r>
            <w:r w:rsidR="00A036E0">
              <w:rPr>
                <w:color w:val="000000"/>
                <w:sz w:val="20"/>
                <w:szCs w:val="20"/>
              </w:rPr>
              <w:t>, step 10</w:t>
            </w:r>
            <w:r w:rsidRPr="001C52F3">
              <w:rPr>
                <w:color w:val="000000"/>
                <w:sz w:val="20"/>
                <w:szCs w:val="20"/>
              </w:rPr>
              <w:t>)</w:t>
            </w:r>
          </w:p>
        </w:tc>
        <w:tc>
          <w:tcPr>
            <w:tcW w:w="1440" w:type="dxa"/>
            <w:noWrap/>
            <w:hideMark/>
          </w:tcPr>
          <w:p w:rsidR="009C3A19" w:rsidRPr="001C52F3" w:rsidP="0042530A" w14:paraId="4490AA63" w14:textId="576297C6">
            <w:pPr>
              <w:spacing w:before="240" w:after="240"/>
              <w:jc w:val="center"/>
              <w:rPr>
                <w:color w:val="000000"/>
                <w:sz w:val="20"/>
                <w:szCs w:val="20"/>
              </w:rPr>
            </w:pPr>
            <w:r>
              <w:rPr>
                <w:color w:val="000000"/>
                <w:sz w:val="20"/>
                <w:szCs w:val="20"/>
              </w:rPr>
              <w:t>132.60 ($66.30/hr x 2)</w:t>
            </w:r>
          </w:p>
        </w:tc>
        <w:tc>
          <w:tcPr>
            <w:tcW w:w="2070" w:type="dxa"/>
            <w:noWrap/>
            <w:hideMark/>
          </w:tcPr>
          <w:p w:rsidR="009C3A19" w:rsidRPr="001C52F3" w:rsidP="15346EBB" w14:paraId="7CE57E04" w14:textId="77777777">
            <w:pPr>
              <w:spacing w:before="240" w:after="240"/>
              <w:jc w:val="center"/>
              <w:rPr>
                <w:color w:val="000000"/>
                <w:sz w:val="20"/>
                <w:szCs w:val="20"/>
              </w:rPr>
            </w:pPr>
            <w:r w:rsidRPr="001C52F3">
              <w:rPr>
                <w:color w:val="000000" w:themeColor="text1"/>
                <w:sz w:val="20"/>
                <w:szCs w:val="20"/>
              </w:rPr>
              <w:t>160</w:t>
            </w:r>
          </w:p>
        </w:tc>
        <w:tc>
          <w:tcPr>
            <w:tcW w:w="1980" w:type="dxa"/>
            <w:noWrap/>
            <w:hideMark/>
          </w:tcPr>
          <w:p w:rsidR="009C3A19" w:rsidRPr="001C52F3" w:rsidP="15346EBB" w14:paraId="0B20486E" w14:textId="7C6574B2">
            <w:pPr>
              <w:spacing w:before="240" w:after="240"/>
              <w:jc w:val="center"/>
              <w:rPr>
                <w:color w:val="000000"/>
                <w:sz w:val="20"/>
                <w:szCs w:val="20"/>
              </w:rPr>
            </w:pPr>
            <w:r>
              <w:rPr>
                <w:color w:val="000000" w:themeColor="text1"/>
                <w:sz w:val="20"/>
                <w:szCs w:val="20"/>
              </w:rPr>
              <w:t>21,216</w:t>
            </w:r>
          </w:p>
        </w:tc>
      </w:tr>
      <w:tr w14:paraId="6FC30C1C" w14:textId="77777777" w:rsidTr="15346EBB">
        <w:tblPrEx>
          <w:tblW w:w="9805" w:type="dxa"/>
          <w:tblLook w:val="04A0"/>
        </w:tblPrEx>
        <w:trPr>
          <w:trHeight w:val="300"/>
        </w:trPr>
        <w:tc>
          <w:tcPr>
            <w:tcW w:w="1525" w:type="dxa"/>
            <w:noWrap/>
            <w:hideMark/>
          </w:tcPr>
          <w:p w:rsidR="009C3A19" w:rsidRPr="001C52F3" w:rsidP="0042530A" w14:paraId="15F5558C" w14:textId="77777777">
            <w:pPr>
              <w:spacing w:before="240" w:after="240"/>
              <w:rPr>
                <w:color w:val="000000"/>
                <w:sz w:val="20"/>
                <w:szCs w:val="20"/>
              </w:rPr>
            </w:pPr>
            <w:r w:rsidRPr="001C52F3">
              <w:rPr>
                <w:color w:val="000000"/>
                <w:sz w:val="20"/>
                <w:szCs w:val="20"/>
              </w:rPr>
              <w:t>CMS Staff</w:t>
            </w:r>
          </w:p>
        </w:tc>
        <w:tc>
          <w:tcPr>
            <w:tcW w:w="2790" w:type="dxa"/>
            <w:noWrap/>
            <w:hideMark/>
          </w:tcPr>
          <w:p w:rsidR="009C3A19" w:rsidRPr="001C52F3" w:rsidP="0042530A" w14:paraId="7FDFA4E9" w14:textId="2FD33070">
            <w:pPr>
              <w:spacing w:before="240" w:after="240"/>
              <w:rPr>
                <w:color w:val="000000"/>
                <w:sz w:val="20"/>
                <w:szCs w:val="20"/>
              </w:rPr>
            </w:pPr>
            <w:r w:rsidRPr="001C52F3">
              <w:rPr>
                <w:color w:val="000000"/>
                <w:sz w:val="20"/>
                <w:szCs w:val="20"/>
              </w:rPr>
              <w:t>Data Analyst (GS-13</w:t>
            </w:r>
            <w:r w:rsidR="00A036E0">
              <w:rPr>
                <w:color w:val="000000"/>
                <w:sz w:val="20"/>
                <w:szCs w:val="20"/>
              </w:rPr>
              <w:t>, step 10</w:t>
            </w:r>
            <w:r w:rsidRPr="001C52F3">
              <w:rPr>
                <w:color w:val="000000"/>
                <w:sz w:val="20"/>
                <w:szCs w:val="20"/>
              </w:rPr>
              <w:t>)</w:t>
            </w:r>
          </w:p>
        </w:tc>
        <w:tc>
          <w:tcPr>
            <w:tcW w:w="1440" w:type="dxa"/>
            <w:noWrap/>
            <w:hideMark/>
          </w:tcPr>
          <w:p w:rsidR="009C3A19" w:rsidRPr="001C52F3" w:rsidP="0042530A" w14:paraId="41C682AB" w14:textId="5B3AD4D6">
            <w:pPr>
              <w:spacing w:before="240" w:after="240"/>
              <w:jc w:val="center"/>
              <w:rPr>
                <w:color w:val="000000"/>
                <w:sz w:val="20"/>
                <w:szCs w:val="20"/>
              </w:rPr>
            </w:pPr>
            <w:r>
              <w:rPr>
                <w:color w:val="000000"/>
                <w:sz w:val="20"/>
                <w:szCs w:val="20"/>
              </w:rPr>
              <w:t>132.60 ($66.30/hr x 2)</w:t>
            </w:r>
          </w:p>
        </w:tc>
        <w:tc>
          <w:tcPr>
            <w:tcW w:w="2070" w:type="dxa"/>
            <w:noWrap/>
            <w:hideMark/>
          </w:tcPr>
          <w:p w:rsidR="009C3A19" w:rsidRPr="001C52F3" w:rsidP="15346EBB" w14:paraId="778FB60E" w14:textId="77777777">
            <w:pPr>
              <w:spacing w:before="240" w:after="240"/>
              <w:jc w:val="center"/>
              <w:rPr>
                <w:color w:val="000000"/>
                <w:sz w:val="20"/>
                <w:szCs w:val="20"/>
              </w:rPr>
            </w:pPr>
            <w:r w:rsidRPr="001C52F3">
              <w:rPr>
                <w:color w:val="000000" w:themeColor="text1"/>
                <w:sz w:val="20"/>
                <w:szCs w:val="20"/>
              </w:rPr>
              <w:t>160</w:t>
            </w:r>
          </w:p>
        </w:tc>
        <w:tc>
          <w:tcPr>
            <w:tcW w:w="1980" w:type="dxa"/>
            <w:noWrap/>
            <w:hideMark/>
          </w:tcPr>
          <w:p w:rsidR="009C3A19" w:rsidRPr="001C52F3" w:rsidP="15346EBB" w14:paraId="5F48326B" w14:textId="7B03FF76">
            <w:pPr>
              <w:spacing w:before="240" w:after="240"/>
              <w:jc w:val="center"/>
              <w:rPr>
                <w:color w:val="000000"/>
                <w:sz w:val="20"/>
                <w:szCs w:val="20"/>
              </w:rPr>
            </w:pPr>
            <w:r>
              <w:rPr>
                <w:color w:val="000000" w:themeColor="text1"/>
                <w:sz w:val="20"/>
                <w:szCs w:val="20"/>
              </w:rPr>
              <w:t>21,216</w:t>
            </w:r>
          </w:p>
        </w:tc>
      </w:tr>
      <w:tr w14:paraId="675CD386" w14:textId="77777777" w:rsidTr="15346EBB">
        <w:tblPrEx>
          <w:tblW w:w="9805" w:type="dxa"/>
          <w:tblLook w:val="04A0"/>
        </w:tblPrEx>
        <w:trPr>
          <w:trHeight w:val="300"/>
        </w:trPr>
        <w:tc>
          <w:tcPr>
            <w:tcW w:w="1525" w:type="dxa"/>
            <w:noWrap/>
            <w:hideMark/>
          </w:tcPr>
          <w:p w:rsidR="009C3A19" w:rsidRPr="001C52F3" w:rsidP="0042530A" w14:paraId="28B474D3" w14:textId="77777777">
            <w:pPr>
              <w:spacing w:before="240" w:after="240"/>
              <w:rPr>
                <w:color w:val="000000"/>
                <w:sz w:val="20"/>
                <w:szCs w:val="20"/>
              </w:rPr>
            </w:pPr>
            <w:r w:rsidRPr="001C52F3">
              <w:rPr>
                <w:color w:val="000000"/>
                <w:sz w:val="20"/>
                <w:szCs w:val="20"/>
              </w:rPr>
              <w:t>CMS Staff Subtotal</w:t>
            </w:r>
          </w:p>
        </w:tc>
        <w:tc>
          <w:tcPr>
            <w:tcW w:w="2790" w:type="dxa"/>
            <w:noWrap/>
            <w:hideMark/>
          </w:tcPr>
          <w:p w:rsidR="009C3A19" w:rsidRPr="001C52F3" w:rsidP="0042530A" w14:paraId="2DF296CC" w14:textId="77777777">
            <w:pPr>
              <w:spacing w:before="240" w:after="240"/>
              <w:rPr>
                <w:color w:val="000000"/>
                <w:sz w:val="20"/>
                <w:szCs w:val="20"/>
              </w:rPr>
            </w:pPr>
            <w:r w:rsidRPr="001C52F3">
              <w:rPr>
                <w:color w:val="000000"/>
                <w:sz w:val="20"/>
                <w:szCs w:val="20"/>
              </w:rPr>
              <w:t> </w:t>
            </w:r>
          </w:p>
        </w:tc>
        <w:tc>
          <w:tcPr>
            <w:tcW w:w="1440" w:type="dxa"/>
            <w:noWrap/>
            <w:hideMark/>
          </w:tcPr>
          <w:p w:rsidR="009C3A19" w:rsidRPr="001C52F3" w:rsidP="0042530A" w14:paraId="4E8FE946" w14:textId="77777777">
            <w:pPr>
              <w:spacing w:before="240" w:after="240"/>
              <w:jc w:val="center"/>
              <w:rPr>
                <w:color w:val="000000"/>
                <w:sz w:val="20"/>
                <w:szCs w:val="20"/>
              </w:rPr>
            </w:pPr>
            <w:r w:rsidRPr="001C52F3">
              <w:rPr>
                <w:color w:val="000000"/>
                <w:sz w:val="20"/>
                <w:szCs w:val="20"/>
              </w:rPr>
              <w:t> </w:t>
            </w:r>
          </w:p>
        </w:tc>
        <w:tc>
          <w:tcPr>
            <w:tcW w:w="2070" w:type="dxa"/>
            <w:noWrap/>
            <w:hideMark/>
          </w:tcPr>
          <w:p w:rsidR="009C3A19" w:rsidRPr="001C52F3" w:rsidP="15346EBB" w14:paraId="01F5021E" w14:textId="77777777">
            <w:pPr>
              <w:spacing w:before="240" w:after="240"/>
              <w:jc w:val="center"/>
              <w:rPr>
                <w:color w:val="000000"/>
                <w:sz w:val="20"/>
                <w:szCs w:val="20"/>
              </w:rPr>
            </w:pPr>
            <w:r w:rsidRPr="001C52F3">
              <w:rPr>
                <w:color w:val="000000" w:themeColor="text1"/>
                <w:sz w:val="20"/>
                <w:szCs w:val="20"/>
              </w:rPr>
              <w:t> </w:t>
            </w:r>
          </w:p>
        </w:tc>
        <w:tc>
          <w:tcPr>
            <w:tcW w:w="1980" w:type="dxa"/>
            <w:noWrap/>
            <w:hideMark/>
          </w:tcPr>
          <w:p w:rsidR="009C3A19" w:rsidRPr="001C52F3" w:rsidP="0042530A" w14:paraId="2F5EEAA7" w14:textId="636C5D62">
            <w:pPr>
              <w:spacing w:before="240" w:after="240"/>
              <w:jc w:val="center"/>
              <w:rPr>
                <w:color w:val="000000"/>
                <w:sz w:val="20"/>
                <w:szCs w:val="20"/>
                <w:highlight w:val="yellow"/>
              </w:rPr>
            </w:pPr>
            <w:r>
              <w:rPr>
                <w:color w:val="000000"/>
                <w:sz w:val="20"/>
                <w:szCs w:val="20"/>
              </w:rPr>
              <w:t>44,921</w:t>
            </w:r>
          </w:p>
        </w:tc>
      </w:tr>
      <w:tr w14:paraId="1A2B4E38" w14:textId="77777777" w:rsidTr="15346EBB">
        <w:tblPrEx>
          <w:tblW w:w="9805" w:type="dxa"/>
          <w:tblLook w:val="04A0"/>
        </w:tblPrEx>
        <w:trPr>
          <w:trHeight w:val="315"/>
        </w:trPr>
        <w:tc>
          <w:tcPr>
            <w:tcW w:w="1525" w:type="dxa"/>
            <w:noWrap/>
            <w:hideMark/>
          </w:tcPr>
          <w:p w:rsidR="009C3A19" w:rsidRPr="001C52F3" w:rsidP="0042530A" w14:paraId="6F2B97C4" w14:textId="77777777">
            <w:pPr>
              <w:spacing w:before="240" w:after="240"/>
              <w:rPr>
                <w:color w:val="000000"/>
                <w:sz w:val="20"/>
                <w:szCs w:val="20"/>
              </w:rPr>
            </w:pPr>
            <w:r w:rsidRPr="001C52F3">
              <w:rPr>
                <w:color w:val="000000"/>
                <w:sz w:val="20"/>
                <w:szCs w:val="20"/>
              </w:rPr>
              <w:t>Contractors</w:t>
            </w:r>
          </w:p>
        </w:tc>
        <w:tc>
          <w:tcPr>
            <w:tcW w:w="2790" w:type="dxa"/>
            <w:noWrap/>
            <w:hideMark/>
          </w:tcPr>
          <w:p w:rsidR="009C3A19" w:rsidRPr="001C52F3" w:rsidP="0042530A" w14:paraId="766A1D1B" w14:textId="77777777">
            <w:pPr>
              <w:spacing w:before="240" w:after="240"/>
              <w:rPr>
                <w:color w:val="000000"/>
                <w:sz w:val="20"/>
                <w:szCs w:val="20"/>
              </w:rPr>
            </w:pPr>
            <w:r w:rsidRPr="001C52F3">
              <w:rPr>
                <w:color w:val="000000"/>
                <w:sz w:val="20"/>
                <w:szCs w:val="20"/>
              </w:rPr>
              <w:t>Reporting and Data Support (6 staff)</w:t>
            </w:r>
          </w:p>
        </w:tc>
        <w:tc>
          <w:tcPr>
            <w:tcW w:w="1440" w:type="dxa"/>
            <w:noWrap/>
            <w:hideMark/>
          </w:tcPr>
          <w:p w:rsidR="009C3A19" w:rsidRPr="001C52F3" w:rsidP="0042530A" w14:paraId="5FEB8C05" w14:textId="4F475AD5">
            <w:pPr>
              <w:spacing w:before="240" w:after="240"/>
              <w:jc w:val="center"/>
              <w:rPr>
                <w:color w:val="000000"/>
                <w:sz w:val="20"/>
                <w:szCs w:val="20"/>
              </w:rPr>
            </w:pPr>
          </w:p>
        </w:tc>
        <w:tc>
          <w:tcPr>
            <w:tcW w:w="2070" w:type="dxa"/>
            <w:noWrap/>
            <w:hideMark/>
          </w:tcPr>
          <w:p w:rsidR="009C3A19" w:rsidRPr="001C52F3" w:rsidP="15346EBB" w14:paraId="6A67755A" w14:textId="77BFF307">
            <w:pPr>
              <w:spacing w:before="240" w:after="240"/>
              <w:jc w:val="center"/>
              <w:rPr>
                <w:color w:val="000000"/>
                <w:sz w:val="20"/>
                <w:szCs w:val="20"/>
              </w:rPr>
            </w:pPr>
          </w:p>
        </w:tc>
        <w:tc>
          <w:tcPr>
            <w:tcW w:w="1980" w:type="dxa"/>
            <w:noWrap/>
            <w:hideMark/>
          </w:tcPr>
          <w:p w:rsidR="009C3A19" w:rsidRPr="001C52F3" w:rsidP="15346EBB" w14:paraId="1E0E0039" w14:textId="0BCBA1DF">
            <w:pPr>
              <w:spacing w:before="240" w:after="240"/>
              <w:jc w:val="center"/>
              <w:rPr>
                <w:color w:val="000000"/>
                <w:sz w:val="20"/>
                <w:szCs w:val="20"/>
              </w:rPr>
            </w:pPr>
            <w:r w:rsidRPr="001C52F3">
              <w:rPr>
                <w:color w:val="000000" w:themeColor="text1"/>
                <w:sz w:val="20"/>
                <w:szCs w:val="20"/>
              </w:rPr>
              <w:t>144,000</w:t>
            </w:r>
          </w:p>
        </w:tc>
      </w:tr>
      <w:tr w14:paraId="0255EBE5" w14:textId="77777777" w:rsidTr="15346EBB">
        <w:tblPrEx>
          <w:tblW w:w="9805" w:type="dxa"/>
          <w:tblLook w:val="04A0"/>
        </w:tblPrEx>
        <w:trPr>
          <w:trHeight w:val="315"/>
        </w:trPr>
        <w:tc>
          <w:tcPr>
            <w:tcW w:w="1525" w:type="dxa"/>
            <w:noWrap/>
            <w:hideMark/>
          </w:tcPr>
          <w:p w:rsidR="009C3A19" w:rsidRPr="008F5FEA" w:rsidP="0042530A" w14:paraId="0A648713" w14:textId="77777777">
            <w:pPr>
              <w:spacing w:before="240" w:after="240"/>
              <w:rPr>
                <w:color w:val="000000"/>
                <w:sz w:val="20"/>
                <w:szCs w:val="20"/>
              </w:rPr>
            </w:pPr>
            <w:r w:rsidRPr="008F5FEA">
              <w:rPr>
                <w:color w:val="000000"/>
                <w:sz w:val="20"/>
                <w:szCs w:val="20"/>
              </w:rPr>
              <w:t>TOTAL Federal Cost</w:t>
            </w:r>
          </w:p>
        </w:tc>
        <w:tc>
          <w:tcPr>
            <w:tcW w:w="2790" w:type="dxa"/>
            <w:noWrap/>
            <w:hideMark/>
          </w:tcPr>
          <w:p w:rsidR="009C3A19" w:rsidRPr="008F5FEA" w:rsidP="0042530A" w14:paraId="4D9E9761" w14:textId="77777777">
            <w:pPr>
              <w:spacing w:before="240" w:after="240"/>
              <w:rPr>
                <w:color w:val="000000"/>
                <w:sz w:val="20"/>
                <w:szCs w:val="20"/>
              </w:rPr>
            </w:pPr>
            <w:r w:rsidRPr="008F5FEA">
              <w:rPr>
                <w:color w:val="000000"/>
                <w:sz w:val="20"/>
                <w:szCs w:val="20"/>
              </w:rPr>
              <w:t> </w:t>
            </w:r>
          </w:p>
        </w:tc>
        <w:tc>
          <w:tcPr>
            <w:tcW w:w="1440" w:type="dxa"/>
            <w:noWrap/>
            <w:hideMark/>
          </w:tcPr>
          <w:p w:rsidR="009C3A19" w:rsidRPr="008F5FEA" w:rsidP="0042530A" w14:paraId="582235E9" w14:textId="77777777">
            <w:pPr>
              <w:spacing w:before="240" w:after="240"/>
              <w:jc w:val="center"/>
              <w:rPr>
                <w:color w:val="000000"/>
                <w:sz w:val="20"/>
                <w:szCs w:val="20"/>
              </w:rPr>
            </w:pPr>
            <w:r w:rsidRPr="008F5FEA">
              <w:rPr>
                <w:color w:val="000000"/>
                <w:sz w:val="20"/>
                <w:szCs w:val="20"/>
              </w:rPr>
              <w:t> </w:t>
            </w:r>
          </w:p>
        </w:tc>
        <w:tc>
          <w:tcPr>
            <w:tcW w:w="2070" w:type="dxa"/>
            <w:noWrap/>
            <w:hideMark/>
          </w:tcPr>
          <w:p w:rsidR="009C3A19" w:rsidRPr="008F5FEA" w:rsidP="0042530A" w14:paraId="337B0509" w14:textId="77777777">
            <w:pPr>
              <w:spacing w:before="240" w:after="240"/>
              <w:jc w:val="center"/>
              <w:rPr>
                <w:color w:val="000000"/>
                <w:sz w:val="20"/>
                <w:szCs w:val="20"/>
              </w:rPr>
            </w:pPr>
            <w:r w:rsidRPr="008F5FEA">
              <w:rPr>
                <w:color w:val="000000" w:themeColor="text1"/>
                <w:sz w:val="20"/>
                <w:szCs w:val="20"/>
              </w:rPr>
              <w:t> </w:t>
            </w:r>
          </w:p>
        </w:tc>
        <w:tc>
          <w:tcPr>
            <w:tcW w:w="1980" w:type="dxa"/>
            <w:noWrap/>
            <w:hideMark/>
          </w:tcPr>
          <w:p w:rsidR="009C3A19" w:rsidRPr="001C52F3" w:rsidP="15346EBB" w14:paraId="117CF87F" w14:textId="40CE817F">
            <w:pPr>
              <w:spacing w:before="240" w:after="240"/>
              <w:jc w:val="center"/>
              <w:rPr>
                <w:color w:val="000000"/>
                <w:sz w:val="20"/>
                <w:szCs w:val="20"/>
              </w:rPr>
            </w:pPr>
            <w:r w:rsidRPr="008F5FEA">
              <w:rPr>
                <w:color w:val="000000" w:themeColor="text1"/>
                <w:sz w:val="20"/>
                <w:szCs w:val="20"/>
              </w:rPr>
              <w:t>188,921</w:t>
            </w:r>
          </w:p>
        </w:tc>
      </w:tr>
    </w:tbl>
    <w:p w:rsidR="000878DA" w:rsidRPr="001C52F3" w:rsidP="000748E9" w14:paraId="4493EFF0" w14:textId="46998A23">
      <w:pPr>
        <w:pStyle w:val="ListParagraph"/>
        <w:tabs>
          <w:tab w:val="left" w:pos="687"/>
        </w:tabs>
        <w:ind w:left="0" w:firstLine="0"/>
        <w:rPr>
          <w:sz w:val="18"/>
          <w:szCs w:val="18"/>
        </w:rPr>
      </w:pPr>
      <w:r w:rsidRPr="001C52F3">
        <w:rPr>
          <w:sz w:val="18"/>
          <w:szCs w:val="18"/>
        </w:rPr>
        <w:t>Accounts</w:t>
      </w:r>
      <w:r w:rsidRPr="001C52F3">
        <w:rPr>
          <w:spacing w:val="-4"/>
          <w:sz w:val="18"/>
          <w:szCs w:val="18"/>
        </w:rPr>
        <w:t xml:space="preserve"> </w:t>
      </w:r>
      <w:r w:rsidRPr="001C52F3">
        <w:rPr>
          <w:sz w:val="18"/>
          <w:szCs w:val="18"/>
        </w:rPr>
        <w:t>for</w:t>
      </w:r>
      <w:r w:rsidRPr="001C52F3">
        <w:rPr>
          <w:spacing w:val="-2"/>
          <w:sz w:val="18"/>
          <w:szCs w:val="18"/>
        </w:rPr>
        <w:t xml:space="preserve"> </w:t>
      </w:r>
      <w:r w:rsidRPr="001C52F3">
        <w:rPr>
          <w:sz w:val="18"/>
          <w:szCs w:val="18"/>
        </w:rPr>
        <w:t>a</w:t>
      </w:r>
      <w:r w:rsidRPr="001C52F3">
        <w:rPr>
          <w:spacing w:val="-3"/>
          <w:sz w:val="18"/>
          <w:szCs w:val="18"/>
        </w:rPr>
        <w:t xml:space="preserve"> </w:t>
      </w:r>
      <w:r w:rsidRPr="001C52F3" w:rsidR="00D350F7">
        <w:rPr>
          <w:spacing w:val="-3"/>
          <w:sz w:val="18"/>
          <w:szCs w:val="18"/>
        </w:rPr>
        <w:t>3.3</w:t>
      </w:r>
      <w:r w:rsidRPr="001C52F3">
        <w:rPr>
          <w:sz w:val="18"/>
          <w:szCs w:val="18"/>
        </w:rPr>
        <w:t>%</w:t>
      </w:r>
      <w:r w:rsidRPr="001C52F3">
        <w:rPr>
          <w:spacing w:val="-2"/>
          <w:sz w:val="18"/>
          <w:szCs w:val="18"/>
        </w:rPr>
        <w:t xml:space="preserve"> </w:t>
      </w:r>
      <w:r w:rsidRPr="001C52F3">
        <w:rPr>
          <w:sz w:val="18"/>
          <w:szCs w:val="18"/>
        </w:rPr>
        <w:t>annual</w:t>
      </w:r>
      <w:r w:rsidRPr="001C52F3">
        <w:rPr>
          <w:spacing w:val="-2"/>
          <w:sz w:val="18"/>
          <w:szCs w:val="18"/>
        </w:rPr>
        <w:t xml:space="preserve"> </w:t>
      </w:r>
      <w:r w:rsidRPr="001C52F3">
        <w:rPr>
          <w:sz w:val="18"/>
          <w:szCs w:val="18"/>
        </w:rPr>
        <w:t>inflation</w:t>
      </w:r>
      <w:r w:rsidRPr="001C52F3">
        <w:rPr>
          <w:spacing w:val="-1"/>
          <w:sz w:val="18"/>
          <w:szCs w:val="18"/>
        </w:rPr>
        <w:t xml:space="preserve"> </w:t>
      </w:r>
      <w:r w:rsidRPr="001C52F3">
        <w:rPr>
          <w:sz w:val="18"/>
          <w:szCs w:val="18"/>
        </w:rPr>
        <w:t>rate</w:t>
      </w:r>
      <w:r w:rsidRPr="001C52F3">
        <w:rPr>
          <w:spacing w:val="-3"/>
          <w:sz w:val="18"/>
          <w:szCs w:val="18"/>
        </w:rPr>
        <w:t xml:space="preserve"> </w:t>
      </w:r>
      <w:r w:rsidRPr="001C52F3">
        <w:rPr>
          <w:sz w:val="18"/>
          <w:szCs w:val="18"/>
        </w:rPr>
        <w:t>and assumes</w:t>
      </w:r>
      <w:r w:rsidRPr="001C52F3">
        <w:rPr>
          <w:spacing w:val="-2"/>
          <w:sz w:val="18"/>
          <w:szCs w:val="18"/>
        </w:rPr>
        <w:t xml:space="preserve"> </w:t>
      </w:r>
      <w:r w:rsidRPr="001C52F3" w:rsidR="007F02E3">
        <w:rPr>
          <w:sz w:val="18"/>
          <w:szCs w:val="18"/>
        </w:rPr>
        <w:t>collection</w:t>
      </w:r>
      <w:r w:rsidRPr="001C52F3">
        <w:rPr>
          <w:spacing w:val="-3"/>
          <w:sz w:val="18"/>
          <w:szCs w:val="18"/>
        </w:rPr>
        <w:t xml:space="preserve"> </w:t>
      </w:r>
      <w:r w:rsidRPr="001C52F3">
        <w:rPr>
          <w:sz w:val="18"/>
          <w:szCs w:val="18"/>
        </w:rPr>
        <w:t>will</w:t>
      </w:r>
      <w:r w:rsidRPr="001C52F3">
        <w:rPr>
          <w:spacing w:val="1"/>
          <w:sz w:val="18"/>
          <w:szCs w:val="18"/>
        </w:rPr>
        <w:t xml:space="preserve"> </w:t>
      </w:r>
      <w:r w:rsidRPr="001C52F3">
        <w:rPr>
          <w:sz w:val="18"/>
          <w:szCs w:val="18"/>
        </w:rPr>
        <w:t>be</w:t>
      </w:r>
      <w:r w:rsidRPr="001C52F3">
        <w:rPr>
          <w:spacing w:val="-2"/>
          <w:sz w:val="18"/>
          <w:szCs w:val="18"/>
        </w:rPr>
        <w:t xml:space="preserve"> </w:t>
      </w:r>
      <w:r w:rsidRPr="001C52F3">
        <w:rPr>
          <w:sz w:val="18"/>
          <w:szCs w:val="18"/>
        </w:rPr>
        <w:t>active</w:t>
      </w:r>
      <w:r w:rsidRPr="001C52F3">
        <w:rPr>
          <w:spacing w:val="-3"/>
          <w:sz w:val="18"/>
          <w:szCs w:val="18"/>
        </w:rPr>
        <w:t xml:space="preserve"> </w:t>
      </w:r>
      <w:r w:rsidRPr="001C52F3">
        <w:rPr>
          <w:sz w:val="18"/>
          <w:szCs w:val="18"/>
        </w:rPr>
        <w:t>through</w:t>
      </w:r>
      <w:r w:rsidRPr="001C52F3">
        <w:rPr>
          <w:spacing w:val="-3"/>
          <w:sz w:val="18"/>
          <w:szCs w:val="18"/>
        </w:rPr>
        <w:t xml:space="preserve"> </w:t>
      </w:r>
      <w:r w:rsidRPr="001C52F3">
        <w:rPr>
          <w:sz w:val="18"/>
          <w:szCs w:val="18"/>
        </w:rPr>
        <w:t>FFY</w:t>
      </w:r>
      <w:r w:rsidRPr="001C52F3">
        <w:rPr>
          <w:spacing w:val="-4"/>
          <w:sz w:val="18"/>
          <w:szCs w:val="18"/>
        </w:rPr>
        <w:t xml:space="preserve"> </w:t>
      </w:r>
      <w:r w:rsidRPr="001C52F3" w:rsidR="003777E2">
        <w:rPr>
          <w:sz w:val="18"/>
          <w:szCs w:val="18"/>
        </w:rPr>
        <w:t>20</w:t>
      </w:r>
      <w:r w:rsidRPr="001C52F3" w:rsidR="00673312">
        <w:rPr>
          <w:sz w:val="18"/>
          <w:szCs w:val="18"/>
        </w:rPr>
        <w:t>30</w:t>
      </w:r>
      <w:r w:rsidRPr="001C52F3">
        <w:rPr>
          <w:spacing w:val="-1"/>
          <w:sz w:val="18"/>
          <w:szCs w:val="18"/>
        </w:rPr>
        <w:t xml:space="preserve"> </w:t>
      </w:r>
      <w:r w:rsidRPr="001C52F3">
        <w:rPr>
          <w:sz w:val="18"/>
          <w:szCs w:val="18"/>
        </w:rPr>
        <w:t>(</w:t>
      </w:r>
      <w:r w:rsidRPr="001C52F3" w:rsidR="00673312">
        <w:rPr>
          <w:sz w:val="18"/>
          <w:szCs w:val="18"/>
        </w:rPr>
        <w:t>5</w:t>
      </w:r>
      <w:r w:rsidRPr="001C52F3" w:rsidR="004927B9">
        <w:rPr>
          <w:sz w:val="18"/>
          <w:szCs w:val="18"/>
        </w:rPr>
        <w:t xml:space="preserve"> </w:t>
      </w:r>
      <w:r w:rsidRPr="001C52F3">
        <w:rPr>
          <w:sz w:val="18"/>
          <w:szCs w:val="18"/>
        </w:rPr>
        <w:t>years</w:t>
      </w:r>
      <w:r w:rsidRPr="001C52F3">
        <w:rPr>
          <w:spacing w:val="-1"/>
          <w:sz w:val="18"/>
          <w:szCs w:val="18"/>
        </w:rPr>
        <w:t xml:space="preserve"> </w:t>
      </w:r>
      <w:r w:rsidRPr="001C52F3">
        <w:rPr>
          <w:spacing w:val="-2"/>
          <w:sz w:val="18"/>
          <w:szCs w:val="18"/>
        </w:rPr>
        <w:t>total)</w:t>
      </w:r>
    </w:p>
    <w:p w:rsidR="000878DA" w:rsidRPr="001C52F3" w:rsidP="000748E9" w14:paraId="18A65208" w14:textId="2FDF08AE">
      <w:pPr>
        <w:spacing w:after="240"/>
        <w:rPr>
          <w:sz w:val="18"/>
          <w:szCs w:val="18"/>
        </w:rPr>
      </w:pPr>
      <w:r w:rsidRPr="001C52F3">
        <w:rPr>
          <w:sz w:val="18"/>
          <w:szCs w:val="18"/>
        </w:rPr>
        <w:t>^</w:t>
      </w:r>
      <w:r w:rsidRPr="001C52F3">
        <w:rPr>
          <w:spacing w:val="-2"/>
          <w:sz w:val="18"/>
          <w:szCs w:val="18"/>
        </w:rPr>
        <w:t xml:space="preserve"> </w:t>
      </w:r>
      <w:r w:rsidRPr="001C52F3">
        <w:rPr>
          <w:sz w:val="18"/>
          <w:szCs w:val="18"/>
        </w:rPr>
        <w:t>All</w:t>
      </w:r>
      <w:r w:rsidRPr="001C52F3">
        <w:rPr>
          <w:spacing w:val="-1"/>
          <w:sz w:val="18"/>
          <w:szCs w:val="18"/>
        </w:rPr>
        <w:t xml:space="preserve"> </w:t>
      </w:r>
      <w:r w:rsidRPr="001C52F3">
        <w:rPr>
          <w:sz w:val="18"/>
          <w:szCs w:val="18"/>
        </w:rPr>
        <w:t>CMS</w:t>
      </w:r>
      <w:r w:rsidRPr="001C52F3">
        <w:rPr>
          <w:spacing w:val="-1"/>
          <w:sz w:val="18"/>
          <w:szCs w:val="18"/>
        </w:rPr>
        <w:t xml:space="preserve"> </w:t>
      </w:r>
      <w:r w:rsidRPr="001C52F3">
        <w:rPr>
          <w:sz w:val="18"/>
          <w:szCs w:val="18"/>
        </w:rPr>
        <w:t>staff</w:t>
      </w:r>
      <w:r w:rsidRPr="001C52F3">
        <w:rPr>
          <w:spacing w:val="-3"/>
          <w:sz w:val="18"/>
          <w:szCs w:val="18"/>
        </w:rPr>
        <w:t xml:space="preserve"> </w:t>
      </w:r>
      <w:r w:rsidRPr="001C52F3">
        <w:rPr>
          <w:sz w:val="18"/>
          <w:szCs w:val="18"/>
        </w:rPr>
        <w:t>costs</w:t>
      </w:r>
      <w:r w:rsidRPr="001C52F3">
        <w:rPr>
          <w:spacing w:val="-2"/>
          <w:sz w:val="18"/>
          <w:szCs w:val="18"/>
        </w:rPr>
        <w:t xml:space="preserve"> </w:t>
      </w:r>
      <w:r w:rsidRPr="001C52F3">
        <w:rPr>
          <w:sz w:val="18"/>
          <w:szCs w:val="18"/>
        </w:rPr>
        <w:t>assume</w:t>
      </w:r>
      <w:r w:rsidRPr="001C52F3">
        <w:rPr>
          <w:spacing w:val="-2"/>
          <w:sz w:val="18"/>
          <w:szCs w:val="18"/>
        </w:rPr>
        <w:t xml:space="preserve"> </w:t>
      </w:r>
      <w:r w:rsidRPr="001C52F3">
        <w:rPr>
          <w:sz w:val="18"/>
          <w:szCs w:val="18"/>
        </w:rPr>
        <w:t>a</w:t>
      </w:r>
      <w:r w:rsidRPr="001C52F3">
        <w:rPr>
          <w:spacing w:val="-2"/>
          <w:sz w:val="18"/>
          <w:szCs w:val="18"/>
        </w:rPr>
        <w:t xml:space="preserve"> </w:t>
      </w:r>
      <w:r w:rsidRPr="001C52F3">
        <w:rPr>
          <w:sz w:val="18"/>
          <w:szCs w:val="18"/>
        </w:rPr>
        <w:t>step</w:t>
      </w:r>
      <w:r w:rsidRPr="001C52F3">
        <w:rPr>
          <w:spacing w:val="-1"/>
          <w:sz w:val="18"/>
          <w:szCs w:val="18"/>
        </w:rPr>
        <w:t xml:space="preserve"> </w:t>
      </w:r>
      <w:r w:rsidRPr="001C52F3">
        <w:rPr>
          <w:sz w:val="18"/>
          <w:szCs w:val="18"/>
        </w:rPr>
        <w:t>level</w:t>
      </w:r>
      <w:r w:rsidRPr="001C52F3">
        <w:rPr>
          <w:spacing w:val="-1"/>
          <w:sz w:val="18"/>
          <w:szCs w:val="18"/>
        </w:rPr>
        <w:t xml:space="preserve"> </w:t>
      </w:r>
      <w:r w:rsidRPr="001C52F3">
        <w:rPr>
          <w:sz w:val="18"/>
          <w:szCs w:val="18"/>
        </w:rPr>
        <w:t>of</w:t>
      </w:r>
      <w:r w:rsidRPr="001C52F3">
        <w:rPr>
          <w:spacing w:val="-3"/>
          <w:sz w:val="18"/>
          <w:szCs w:val="18"/>
        </w:rPr>
        <w:t xml:space="preserve"> </w:t>
      </w:r>
      <w:r w:rsidRPr="001C52F3">
        <w:rPr>
          <w:spacing w:val="-10"/>
          <w:sz w:val="18"/>
          <w:szCs w:val="18"/>
        </w:rPr>
        <w:t>5</w:t>
      </w:r>
      <w:r w:rsidRPr="001C52F3" w:rsidR="007F02E3">
        <w:rPr>
          <w:spacing w:val="-10"/>
          <w:sz w:val="18"/>
          <w:szCs w:val="18"/>
        </w:rPr>
        <w:t>.</w:t>
      </w:r>
    </w:p>
    <w:p w:rsidR="000878DA" w:rsidRPr="00841DA9" w:rsidP="0042530A" w14:paraId="3FA5C044" w14:textId="77777777">
      <w:pPr>
        <w:pStyle w:val="ListParagraph"/>
        <w:numPr>
          <w:ilvl w:val="1"/>
          <w:numId w:val="5"/>
        </w:numPr>
        <w:tabs>
          <w:tab w:val="left" w:pos="552"/>
        </w:tabs>
        <w:spacing w:before="240" w:after="240"/>
        <w:rPr>
          <w:sz w:val="24"/>
          <w:szCs w:val="24"/>
        </w:rPr>
      </w:pPr>
      <w:bookmarkStart w:id="16" w:name="15._Changes_to_Burden"/>
      <w:bookmarkEnd w:id="16"/>
      <w:r w:rsidRPr="00841DA9">
        <w:rPr>
          <w:sz w:val="24"/>
          <w:szCs w:val="24"/>
          <w:u w:val="single"/>
        </w:rPr>
        <w:t>Changes</w:t>
      </w:r>
      <w:r w:rsidRPr="00841DA9">
        <w:rPr>
          <w:spacing w:val="-3"/>
          <w:sz w:val="24"/>
          <w:szCs w:val="24"/>
          <w:u w:val="single"/>
        </w:rPr>
        <w:t xml:space="preserve"> </w:t>
      </w:r>
      <w:r w:rsidRPr="00841DA9">
        <w:rPr>
          <w:sz w:val="24"/>
          <w:szCs w:val="24"/>
          <w:u w:val="single"/>
        </w:rPr>
        <w:t xml:space="preserve">to </w:t>
      </w:r>
      <w:r w:rsidRPr="00841DA9">
        <w:rPr>
          <w:spacing w:val="-2"/>
          <w:sz w:val="24"/>
          <w:szCs w:val="24"/>
          <w:u w:val="single"/>
        </w:rPr>
        <w:t>Burden</w:t>
      </w:r>
    </w:p>
    <w:p w:rsidR="004865D8" w:rsidRPr="00DD2F42" w:rsidP="0042530A" w14:paraId="7939FF71" w14:textId="51333EE0">
      <w:pPr>
        <w:pStyle w:val="BodyText"/>
        <w:spacing w:before="240" w:after="240"/>
      </w:pPr>
      <w:r w:rsidRPr="00DD2F42">
        <w:t>Not applicable. Since this is a new information collect request, there are no program changes or adjustments.</w:t>
      </w:r>
    </w:p>
    <w:p w:rsidR="003D11FB" w:rsidRPr="00DD2F42" w:rsidP="0042530A" w14:paraId="4FCB5E02" w14:textId="607B22AF">
      <w:pPr>
        <w:pStyle w:val="ListParagraph"/>
        <w:numPr>
          <w:ilvl w:val="1"/>
          <w:numId w:val="5"/>
        </w:numPr>
        <w:tabs>
          <w:tab w:val="left" w:pos="552"/>
        </w:tabs>
        <w:spacing w:before="240" w:after="240"/>
        <w:rPr>
          <w:sz w:val="24"/>
          <w:szCs w:val="24"/>
        </w:rPr>
      </w:pPr>
      <w:bookmarkStart w:id="17" w:name="16._Publication/Tabulation_Dates"/>
      <w:bookmarkEnd w:id="17"/>
      <w:r w:rsidRPr="00DD2F42">
        <w:rPr>
          <w:sz w:val="24"/>
          <w:szCs w:val="24"/>
          <w:u w:val="single"/>
        </w:rPr>
        <w:t>Publication/Tabulation</w:t>
      </w:r>
      <w:r w:rsidRPr="00DD2F42">
        <w:rPr>
          <w:spacing w:val="-5"/>
          <w:sz w:val="24"/>
          <w:szCs w:val="24"/>
          <w:u w:val="single"/>
        </w:rPr>
        <w:t xml:space="preserve"> </w:t>
      </w:r>
      <w:r w:rsidRPr="00DD2F42">
        <w:rPr>
          <w:spacing w:val="-4"/>
          <w:sz w:val="24"/>
          <w:szCs w:val="24"/>
          <w:u w:val="single"/>
        </w:rPr>
        <w:t>Dates</w:t>
      </w:r>
    </w:p>
    <w:p w:rsidR="000878DA" w:rsidRPr="00DD2F42" w:rsidP="0042530A" w14:paraId="3FF11725" w14:textId="1A5CD49A">
      <w:pPr>
        <w:pStyle w:val="BodyText"/>
        <w:spacing w:before="240" w:after="240"/>
      </w:pPr>
      <w:r w:rsidRPr="00DD2F42">
        <w:t>The results of this collection will not be published.</w:t>
      </w:r>
    </w:p>
    <w:p w:rsidR="000878DA" w:rsidRPr="00DD2F42" w:rsidP="0042530A" w14:paraId="047AF951" w14:textId="11A469A6">
      <w:pPr>
        <w:pStyle w:val="ListParagraph"/>
        <w:numPr>
          <w:ilvl w:val="1"/>
          <w:numId w:val="5"/>
        </w:numPr>
        <w:tabs>
          <w:tab w:val="left" w:pos="552"/>
        </w:tabs>
        <w:spacing w:before="240" w:after="240"/>
        <w:rPr>
          <w:sz w:val="24"/>
          <w:szCs w:val="24"/>
        </w:rPr>
      </w:pPr>
      <w:bookmarkStart w:id="18" w:name="17._Expiration_Date"/>
      <w:bookmarkEnd w:id="18"/>
      <w:r w:rsidRPr="00DD2F42">
        <w:rPr>
          <w:sz w:val="24"/>
          <w:szCs w:val="24"/>
          <w:u w:val="single"/>
        </w:rPr>
        <w:t>Expiration</w:t>
      </w:r>
      <w:r w:rsidRPr="00DD2F42">
        <w:rPr>
          <w:spacing w:val="-3"/>
          <w:sz w:val="24"/>
          <w:szCs w:val="24"/>
          <w:u w:val="single"/>
        </w:rPr>
        <w:t xml:space="preserve"> </w:t>
      </w:r>
      <w:r w:rsidRPr="00DD2F42">
        <w:rPr>
          <w:spacing w:val="-4"/>
          <w:sz w:val="24"/>
          <w:szCs w:val="24"/>
          <w:u w:val="single"/>
        </w:rPr>
        <w:t>Date</w:t>
      </w:r>
    </w:p>
    <w:p w:rsidR="003D11FB" w:rsidRPr="00DD2F42" w:rsidP="0042530A" w14:paraId="67C64EEA" w14:textId="2F0E5E00">
      <w:pPr>
        <w:pStyle w:val="BodyText"/>
        <w:spacing w:before="240" w:after="240"/>
      </w:pPr>
      <w:r w:rsidRPr="00DD2F42">
        <w:t xml:space="preserve">The OMB control number and expiration date will be displayed on the first page (top-right corner) of each instrument. </w:t>
      </w:r>
    </w:p>
    <w:p w:rsidR="000878DA" w:rsidRPr="00DD2F42" w:rsidP="0042530A" w14:paraId="27DC40FF" w14:textId="0DD1E494">
      <w:pPr>
        <w:pStyle w:val="ListParagraph"/>
        <w:numPr>
          <w:ilvl w:val="1"/>
          <w:numId w:val="5"/>
        </w:numPr>
        <w:tabs>
          <w:tab w:val="left" w:pos="552"/>
        </w:tabs>
        <w:spacing w:before="240" w:after="240"/>
        <w:rPr>
          <w:sz w:val="24"/>
          <w:szCs w:val="24"/>
        </w:rPr>
      </w:pPr>
      <w:bookmarkStart w:id="19" w:name="18._Certification_Statement"/>
      <w:bookmarkEnd w:id="19"/>
      <w:r w:rsidRPr="00DD2F42">
        <w:rPr>
          <w:sz w:val="24"/>
          <w:szCs w:val="24"/>
          <w:u w:val="single"/>
        </w:rPr>
        <w:t>Certification</w:t>
      </w:r>
      <w:r w:rsidRPr="00DD2F42">
        <w:rPr>
          <w:spacing w:val="-5"/>
          <w:sz w:val="24"/>
          <w:szCs w:val="24"/>
          <w:u w:val="single"/>
        </w:rPr>
        <w:t xml:space="preserve"> </w:t>
      </w:r>
      <w:r w:rsidRPr="00DD2F42">
        <w:rPr>
          <w:spacing w:val="-2"/>
          <w:sz w:val="24"/>
          <w:szCs w:val="24"/>
          <w:u w:val="single"/>
        </w:rPr>
        <w:t>Statement</w:t>
      </w:r>
    </w:p>
    <w:p w:rsidR="00CE41F8" w:rsidP="0042530A" w14:paraId="17B806D9" w14:textId="2C4A415D">
      <w:pPr>
        <w:pStyle w:val="BodyText"/>
        <w:spacing w:before="240" w:after="240"/>
      </w:pPr>
      <w:r w:rsidRPr="00DD2F42">
        <w:t>There</w:t>
      </w:r>
      <w:r w:rsidRPr="00DD2F42">
        <w:rPr>
          <w:spacing w:val="-5"/>
        </w:rPr>
        <w:t xml:space="preserve"> </w:t>
      </w:r>
      <w:r w:rsidRPr="00DD2F42">
        <w:t>is</w:t>
      </w:r>
      <w:r w:rsidRPr="00DD2F42">
        <w:rPr>
          <w:spacing w:val="-4"/>
        </w:rPr>
        <w:t xml:space="preserve"> </w:t>
      </w:r>
      <w:r w:rsidRPr="00DD2F42">
        <w:t>no</w:t>
      </w:r>
      <w:r w:rsidRPr="00DD2F42">
        <w:rPr>
          <w:spacing w:val="-4"/>
        </w:rPr>
        <w:t xml:space="preserve"> </w:t>
      </w:r>
      <w:r w:rsidRPr="00DD2F42">
        <w:t>exception</w:t>
      </w:r>
      <w:r w:rsidRPr="00DD2F42">
        <w:rPr>
          <w:spacing w:val="-4"/>
        </w:rPr>
        <w:t xml:space="preserve"> </w:t>
      </w:r>
      <w:r w:rsidRPr="00DD2F42">
        <w:t>to</w:t>
      </w:r>
      <w:r w:rsidRPr="00DD2F42">
        <w:rPr>
          <w:spacing w:val="-4"/>
        </w:rPr>
        <w:t xml:space="preserve"> </w:t>
      </w:r>
      <w:r w:rsidRPr="00DD2F42">
        <w:t>the</w:t>
      </w:r>
      <w:r w:rsidRPr="00DD2F42">
        <w:rPr>
          <w:spacing w:val="-5"/>
        </w:rPr>
        <w:t xml:space="preserve"> </w:t>
      </w:r>
      <w:r w:rsidRPr="00DD2F42">
        <w:t>certification</w:t>
      </w:r>
      <w:r w:rsidRPr="00DD2F42">
        <w:rPr>
          <w:spacing w:val="-4"/>
        </w:rPr>
        <w:t xml:space="preserve"> </w:t>
      </w:r>
      <w:r w:rsidRPr="00DD2F42">
        <w:t>statement</w:t>
      </w:r>
      <w:r w:rsidRPr="00DD2F42">
        <w:rPr>
          <w:spacing w:val="-2"/>
        </w:rPr>
        <w:t xml:space="preserve"> </w:t>
      </w:r>
      <w:r w:rsidRPr="00DD2F42">
        <w:t>identified</w:t>
      </w:r>
      <w:r w:rsidRPr="00DD2F42">
        <w:rPr>
          <w:spacing w:val="-4"/>
        </w:rPr>
        <w:t xml:space="preserve"> </w:t>
      </w:r>
      <w:r w:rsidRPr="00DD2F42">
        <w:t>in</w:t>
      </w:r>
      <w:r w:rsidRPr="00DD2F42">
        <w:rPr>
          <w:spacing w:val="-2"/>
        </w:rPr>
        <w:t xml:space="preserve"> </w:t>
      </w:r>
      <w:r w:rsidRPr="00DD2F42">
        <w:t>Item</w:t>
      </w:r>
      <w:r w:rsidRPr="00DD2F42">
        <w:rPr>
          <w:spacing w:val="-4"/>
        </w:rPr>
        <w:t xml:space="preserve"> </w:t>
      </w:r>
      <w:r w:rsidRPr="00DD2F42">
        <w:t>19,</w:t>
      </w:r>
      <w:r w:rsidRPr="00DD2F42">
        <w:rPr>
          <w:spacing w:val="-4"/>
        </w:rPr>
        <w:t xml:space="preserve"> </w:t>
      </w:r>
      <w:r w:rsidRPr="00DD2F42">
        <w:t>"Certification</w:t>
      </w:r>
      <w:r w:rsidRPr="00DD2F42">
        <w:rPr>
          <w:spacing w:val="-4"/>
        </w:rPr>
        <w:t xml:space="preserve"> </w:t>
      </w:r>
      <w:r w:rsidRPr="00DD2F42">
        <w:t>for</w:t>
      </w:r>
      <w:r w:rsidRPr="00841DA9">
        <w:t xml:space="preserve"> Paperwork Reduction Act Submissions," of OMB Form 83-1.</w:t>
      </w:r>
    </w:p>
    <w:p w:rsidR="00DD2F42" w:rsidRPr="004502FE" w:rsidP="00DD2F42" w14:paraId="206BAB98" w14:textId="77777777">
      <w:pPr>
        <w:pStyle w:val="BodyText"/>
        <w:spacing w:before="240" w:after="240"/>
        <w:rPr>
          <w:b/>
          <w:bCs/>
        </w:rPr>
      </w:pPr>
      <w:r w:rsidRPr="004502FE">
        <w:rPr>
          <w:b/>
          <w:bCs/>
        </w:rPr>
        <w:t>B.</w:t>
      </w:r>
      <w:r w:rsidRPr="004502FE">
        <w:rPr>
          <w:b/>
          <w:bCs/>
        </w:rPr>
        <w:tab/>
        <w:t xml:space="preserve"> Collection of Information Employing Statistical Methods</w:t>
      </w:r>
    </w:p>
    <w:p w:rsidR="00DD2F42" w:rsidP="00DD2F42" w14:paraId="5DA2AF59" w14:textId="77777777">
      <w:pPr>
        <w:pStyle w:val="BodyText"/>
        <w:spacing w:before="240" w:after="240"/>
      </w:pPr>
      <w:r>
        <w:t>This collection of information does not employ statistical methods.</w:t>
      </w:r>
    </w:p>
    <w:p w:rsidR="00DD2F42" w:rsidRPr="00841DA9" w:rsidP="0042530A" w14:paraId="41ADA772" w14:textId="77777777">
      <w:pPr>
        <w:pStyle w:val="BodyText"/>
        <w:spacing w:before="240" w:after="240"/>
      </w:pPr>
    </w:p>
    <w:sectPr w:rsidSect="009C3A19">
      <w:footerReference w:type="default" r:id="rId1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8DA" w14:paraId="0E271F3E" w14:textId="06FED53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3BF6" w14:paraId="1E0C0670" w14:textId="77777777">
      <w:r>
        <w:separator/>
      </w:r>
    </w:p>
  </w:footnote>
  <w:footnote w:type="continuationSeparator" w:id="1">
    <w:p w:rsidR="00A23BF6" w14:paraId="46802565" w14:textId="77777777">
      <w:r>
        <w:continuationSeparator/>
      </w:r>
    </w:p>
  </w:footnote>
  <w:footnote w:id="2">
    <w:p w:rsidR="00FC4C3E" w14:paraId="6875DE0D" w14:textId="6C78045F">
      <w:pPr>
        <w:pStyle w:val="FootnoteText"/>
      </w:pPr>
      <w:r>
        <w:rPr>
          <w:rStyle w:val="FootnoteReference"/>
        </w:rPr>
        <w:footnoteRef/>
      </w:r>
      <w:r>
        <w:t xml:space="preserve"> </w:t>
      </w:r>
      <w:r w:rsidRPr="00FC4C3E">
        <w:t>SEC. 71401 of Public Law 119-21, the Big Beautiful Bill, signed into law on July 4, 2025, and added to 42 U.S.C. 1397ee, Sec. 2105 of the Social Security Act.</w:t>
      </w:r>
    </w:p>
  </w:footnote>
  <w:footnote w:id="3">
    <w:p w:rsidR="00D539C4" w14:paraId="106F6871" w14:textId="647C107F">
      <w:pPr>
        <w:pStyle w:val="FootnoteText"/>
      </w:pPr>
      <w:r>
        <w:rPr>
          <w:rStyle w:val="FootnoteReference"/>
        </w:rPr>
        <w:footnoteRef/>
      </w:r>
      <w:r>
        <w:t xml:space="preserve"> NOFO, pg.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6D6E41"/>
    <w:multiLevelType w:val="hybridMultilevel"/>
    <w:tmpl w:val="EAFC56D0"/>
    <w:lvl w:ilvl="0">
      <w:start w:val="0"/>
      <w:numFmt w:val="bullet"/>
      <w:lvlText w:val=""/>
      <w:lvlJc w:val="left"/>
      <w:pPr>
        <w:ind w:left="552" w:hanging="288"/>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478" w:hanging="288"/>
      </w:pPr>
      <w:rPr>
        <w:rFonts w:hint="default"/>
        <w:lang w:val="en-US" w:eastAsia="en-US" w:bidi="ar-SA"/>
      </w:rPr>
    </w:lvl>
    <w:lvl w:ilvl="2">
      <w:start w:val="0"/>
      <w:numFmt w:val="bullet"/>
      <w:lvlText w:val="•"/>
      <w:lvlJc w:val="left"/>
      <w:pPr>
        <w:ind w:left="2396" w:hanging="288"/>
      </w:pPr>
      <w:rPr>
        <w:rFonts w:hint="default"/>
        <w:lang w:val="en-US" w:eastAsia="en-US" w:bidi="ar-SA"/>
      </w:rPr>
    </w:lvl>
    <w:lvl w:ilvl="3">
      <w:start w:val="0"/>
      <w:numFmt w:val="bullet"/>
      <w:lvlText w:val="•"/>
      <w:lvlJc w:val="left"/>
      <w:pPr>
        <w:ind w:left="3314" w:hanging="288"/>
      </w:pPr>
      <w:rPr>
        <w:rFonts w:hint="default"/>
        <w:lang w:val="en-US" w:eastAsia="en-US" w:bidi="ar-SA"/>
      </w:rPr>
    </w:lvl>
    <w:lvl w:ilvl="4">
      <w:start w:val="0"/>
      <w:numFmt w:val="bullet"/>
      <w:lvlText w:val="•"/>
      <w:lvlJc w:val="left"/>
      <w:pPr>
        <w:ind w:left="4232" w:hanging="288"/>
      </w:pPr>
      <w:rPr>
        <w:rFonts w:hint="default"/>
        <w:lang w:val="en-US" w:eastAsia="en-US" w:bidi="ar-SA"/>
      </w:rPr>
    </w:lvl>
    <w:lvl w:ilvl="5">
      <w:start w:val="0"/>
      <w:numFmt w:val="bullet"/>
      <w:lvlText w:val="•"/>
      <w:lvlJc w:val="left"/>
      <w:pPr>
        <w:ind w:left="5150" w:hanging="288"/>
      </w:pPr>
      <w:rPr>
        <w:rFonts w:hint="default"/>
        <w:lang w:val="en-US" w:eastAsia="en-US" w:bidi="ar-SA"/>
      </w:rPr>
    </w:lvl>
    <w:lvl w:ilvl="6">
      <w:start w:val="0"/>
      <w:numFmt w:val="bullet"/>
      <w:lvlText w:val="•"/>
      <w:lvlJc w:val="left"/>
      <w:pPr>
        <w:ind w:left="6068" w:hanging="288"/>
      </w:pPr>
      <w:rPr>
        <w:rFonts w:hint="default"/>
        <w:lang w:val="en-US" w:eastAsia="en-US" w:bidi="ar-SA"/>
      </w:rPr>
    </w:lvl>
    <w:lvl w:ilvl="7">
      <w:start w:val="0"/>
      <w:numFmt w:val="bullet"/>
      <w:lvlText w:val="•"/>
      <w:lvlJc w:val="left"/>
      <w:pPr>
        <w:ind w:left="6986" w:hanging="288"/>
      </w:pPr>
      <w:rPr>
        <w:rFonts w:hint="default"/>
        <w:lang w:val="en-US" w:eastAsia="en-US" w:bidi="ar-SA"/>
      </w:rPr>
    </w:lvl>
    <w:lvl w:ilvl="8">
      <w:start w:val="0"/>
      <w:numFmt w:val="bullet"/>
      <w:lvlText w:val="•"/>
      <w:lvlJc w:val="left"/>
      <w:pPr>
        <w:ind w:left="7904" w:hanging="288"/>
      </w:pPr>
      <w:rPr>
        <w:rFonts w:hint="default"/>
        <w:lang w:val="en-US" w:eastAsia="en-US" w:bidi="ar-SA"/>
      </w:rPr>
    </w:lvl>
  </w:abstractNum>
  <w:abstractNum w:abstractNumId="1">
    <w:nsid w:val="0E1D1F9A"/>
    <w:multiLevelType w:val="hybridMultilevel"/>
    <w:tmpl w:val="267CCB9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0F624CDC"/>
    <w:multiLevelType w:val="multilevel"/>
    <w:tmpl w:val="961C5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9319A9"/>
    <w:multiLevelType w:val="hybridMultilevel"/>
    <w:tmpl w:val="BA82C356"/>
    <w:lvl w:ilvl="0">
      <w:start w:val="1"/>
      <w:numFmt w:val="upperLetter"/>
      <w:lvlText w:val="%1."/>
      <w:lvlJc w:val="left"/>
      <w:pPr>
        <w:ind w:left="432" w:hanging="432"/>
      </w:pPr>
      <w:rPr>
        <w:rFonts w:ascii="Times New Roman" w:eastAsia="Times New Roman" w:hAnsi="Times New Roman" w:cs="Times New Roman"/>
        <w:b/>
        <w:bCs/>
        <w:i w:val="0"/>
        <w:iCs w:val="0"/>
        <w:spacing w:val="-1"/>
        <w:w w:val="100"/>
        <w:sz w:val="24"/>
        <w:szCs w:val="24"/>
        <w:lang w:val="en-US" w:eastAsia="en-US" w:bidi="ar-SA"/>
      </w:rPr>
    </w:lvl>
    <w:lvl w:ilvl="1">
      <w:start w:val="1"/>
      <w:numFmt w:val="decimal"/>
      <w:lvlText w:val="%2."/>
      <w:lvlJc w:val="left"/>
      <w:pPr>
        <w:ind w:left="312" w:hanging="432"/>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276" w:hanging="432"/>
      </w:pPr>
      <w:rPr>
        <w:rFonts w:hint="default"/>
        <w:lang w:val="en-US" w:eastAsia="en-US" w:bidi="ar-SA"/>
      </w:rPr>
    </w:lvl>
    <w:lvl w:ilvl="3">
      <w:start w:val="0"/>
      <w:numFmt w:val="bullet"/>
      <w:lvlText w:val="•"/>
      <w:lvlJc w:val="left"/>
      <w:pPr>
        <w:ind w:left="3194" w:hanging="432"/>
      </w:pPr>
      <w:rPr>
        <w:rFonts w:hint="default"/>
        <w:lang w:val="en-US" w:eastAsia="en-US" w:bidi="ar-SA"/>
      </w:rPr>
    </w:lvl>
    <w:lvl w:ilvl="4">
      <w:start w:val="0"/>
      <w:numFmt w:val="bullet"/>
      <w:lvlText w:val="•"/>
      <w:lvlJc w:val="left"/>
      <w:pPr>
        <w:ind w:left="4112" w:hanging="432"/>
      </w:pPr>
      <w:rPr>
        <w:rFonts w:hint="default"/>
        <w:lang w:val="en-US" w:eastAsia="en-US" w:bidi="ar-SA"/>
      </w:rPr>
    </w:lvl>
    <w:lvl w:ilvl="5">
      <w:start w:val="0"/>
      <w:numFmt w:val="bullet"/>
      <w:lvlText w:val="•"/>
      <w:lvlJc w:val="left"/>
      <w:pPr>
        <w:ind w:left="5030" w:hanging="432"/>
      </w:pPr>
      <w:rPr>
        <w:rFonts w:hint="default"/>
        <w:lang w:val="en-US" w:eastAsia="en-US" w:bidi="ar-SA"/>
      </w:rPr>
    </w:lvl>
    <w:lvl w:ilvl="6">
      <w:start w:val="0"/>
      <w:numFmt w:val="bullet"/>
      <w:lvlText w:val="•"/>
      <w:lvlJc w:val="left"/>
      <w:pPr>
        <w:ind w:left="5948" w:hanging="432"/>
      </w:pPr>
      <w:rPr>
        <w:rFonts w:hint="default"/>
        <w:lang w:val="en-US" w:eastAsia="en-US" w:bidi="ar-SA"/>
      </w:rPr>
    </w:lvl>
    <w:lvl w:ilvl="7">
      <w:start w:val="0"/>
      <w:numFmt w:val="bullet"/>
      <w:lvlText w:val="•"/>
      <w:lvlJc w:val="left"/>
      <w:pPr>
        <w:ind w:left="6866" w:hanging="432"/>
      </w:pPr>
      <w:rPr>
        <w:rFonts w:hint="default"/>
        <w:lang w:val="en-US" w:eastAsia="en-US" w:bidi="ar-SA"/>
      </w:rPr>
    </w:lvl>
    <w:lvl w:ilvl="8">
      <w:start w:val="0"/>
      <w:numFmt w:val="bullet"/>
      <w:lvlText w:val="•"/>
      <w:lvlJc w:val="left"/>
      <w:pPr>
        <w:ind w:left="7784" w:hanging="432"/>
      </w:pPr>
      <w:rPr>
        <w:rFonts w:hint="default"/>
        <w:lang w:val="en-US" w:eastAsia="en-US" w:bidi="ar-SA"/>
      </w:rPr>
    </w:lvl>
  </w:abstractNum>
  <w:abstractNum w:abstractNumId="4">
    <w:nsid w:val="1D712B97"/>
    <w:multiLevelType w:val="singleLevel"/>
    <w:tmpl w:val="AA4CA1A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5">
    <w:nsid w:val="21BE33E3"/>
    <w:multiLevelType w:val="singleLevel"/>
    <w:tmpl w:val="2D1C03C8"/>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6">
    <w:nsid w:val="22FB26ED"/>
    <w:multiLevelType w:val="hybridMultilevel"/>
    <w:tmpl w:val="14F2C6EE"/>
    <w:lvl w:ilvl="0">
      <w:start w:val="0"/>
      <w:numFmt w:val="bullet"/>
      <w:lvlText w:val="*"/>
      <w:lvlJc w:val="left"/>
      <w:pPr>
        <w:ind w:left="686" w:hanging="135"/>
      </w:pPr>
      <w:rPr>
        <w:rFonts w:ascii="Times New Roman" w:eastAsia="Times New Roman" w:hAnsi="Times New Roman" w:cs="Times New Roman" w:hint="default"/>
        <w:b w:val="0"/>
        <w:bCs w:val="0"/>
        <w:i w:val="0"/>
        <w:iCs w:val="0"/>
        <w:w w:val="100"/>
        <w:sz w:val="18"/>
        <w:szCs w:val="18"/>
        <w:lang w:val="en-US" w:eastAsia="en-US" w:bidi="ar-SA"/>
      </w:rPr>
    </w:lvl>
    <w:lvl w:ilvl="1">
      <w:start w:val="0"/>
      <w:numFmt w:val="bullet"/>
      <w:lvlText w:val="•"/>
      <w:lvlJc w:val="left"/>
      <w:pPr>
        <w:ind w:left="1586" w:hanging="135"/>
      </w:pPr>
      <w:rPr>
        <w:rFonts w:hint="default"/>
        <w:lang w:val="en-US" w:eastAsia="en-US" w:bidi="ar-SA"/>
      </w:rPr>
    </w:lvl>
    <w:lvl w:ilvl="2">
      <w:start w:val="0"/>
      <w:numFmt w:val="bullet"/>
      <w:lvlText w:val="•"/>
      <w:lvlJc w:val="left"/>
      <w:pPr>
        <w:ind w:left="2492" w:hanging="135"/>
      </w:pPr>
      <w:rPr>
        <w:rFonts w:hint="default"/>
        <w:lang w:val="en-US" w:eastAsia="en-US" w:bidi="ar-SA"/>
      </w:rPr>
    </w:lvl>
    <w:lvl w:ilvl="3">
      <w:start w:val="0"/>
      <w:numFmt w:val="bullet"/>
      <w:lvlText w:val="•"/>
      <w:lvlJc w:val="left"/>
      <w:pPr>
        <w:ind w:left="3398" w:hanging="135"/>
      </w:pPr>
      <w:rPr>
        <w:rFonts w:hint="default"/>
        <w:lang w:val="en-US" w:eastAsia="en-US" w:bidi="ar-SA"/>
      </w:rPr>
    </w:lvl>
    <w:lvl w:ilvl="4">
      <w:start w:val="0"/>
      <w:numFmt w:val="bullet"/>
      <w:lvlText w:val="•"/>
      <w:lvlJc w:val="left"/>
      <w:pPr>
        <w:ind w:left="4304" w:hanging="135"/>
      </w:pPr>
      <w:rPr>
        <w:rFonts w:hint="default"/>
        <w:lang w:val="en-US" w:eastAsia="en-US" w:bidi="ar-SA"/>
      </w:rPr>
    </w:lvl>
    <w:lvl w:ilvl="5">
      <w:start w:val="0"/>
      <w:numFmt w:val="bullet"/>
      <w:lvlText w:val="•"/>
      <w:lvlJc w:val="left"/>
      <w:pPr>
        <w:ind w:left="5210" w:hanging="135"/>
      </w:pPr>
      <w:rPr>
        <w:rFonts w:hint="default"/>
        <w:lang w:val="en-US" w:eastAsia="en-US" w:bidi="ar-SA"/>
      </w:rPr>
    </w:lvl>
    <w:lvl w:ilvl="6">
      <w:start w:val="0"/>
      <w:numFmt w:val="bullet"/>
      <w:lvlText w:val="•"/>
      <w:lvlJc w:val="left"/>
      <w:pPr>
        <w:ind w:left="6116" w:hanging="135"/>
      </w:pPr>
      <w:rPr>
        <w:rFonts w:hint="default"/>
        <w:lang w:val="en-US" w:eastAsia="en-US" w:bidi="ar-SA"/>
      </w:rPr>
    </w:lvl>
    <w:lvl w:ilvl="7">
      <w:start w:val="0"/>
      <w:numFmt w:val="bullet"/>
      <w:lvlText w:val="•"/>
      <w:lvlJc w:val="left"/>
      <w:pPr>
        <w:ind w:left="7022" w:hanging="135"/>
      </w:pPr>
      <w:rPr>
        <w:rFonts w:hint="default"/>
        <w:lang w:val="en-US" w:eastAsia="en-US" w:bidi="ar-SA"/>
      </w:rPr>
    </w:lvl>
    <w:lvl w:ilvl="8">
      <w:start w:val="0"/>
      <w:numFmt w:val="bullet"/>
      <w:lvlText w:val="•"/>
      <w:lvlJc w:val="left"/>
      <w:pPr>
        <w:ind w:left="7928" w:hanging="135"/>
      </w:pPr>
      <w:rPr>
        <w:rFonts w:hint="default"/>
        <w:lang w:val="en-US" w:eastAsia="en-US" w:bidi="ar-SA"/>
      </w:rPr>
    </w:lvl>
  </w:abstractNum>
  <w:abstractNum w:abstractNumId="7">
    <w:nsid w:val="2349553A"/>
    <w:multiLevelType w:val="singleLevel"/>
    <w:tmpl w:val="6E58A21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8">
    <w:nsid w:val="28A50AB7"/>
    <w:multiLevelType w:val="hybridMultilevel"/>
    <w:tmpl w:val="8BC0C2C2"/>
    <w:lvl w:ilvl="0">
      <w:start w:val="1"/>
      <w:numFmt w:val="decimal"/>
      <w:lvlText w:val="%1"/>
      <w:lvlJc w:val="left"/>
      <w:pPr>
        <w:ind w:left="271" w:hanging="152"/>
      </w:pPr>
      <w:rPr>
        <w:rFonts w:hint="default"/>
        <w:w w:val="99"/>
        <w:lang w:val="en-US" w:eastAsia="en-US" w:bidi="ar-SA"/>
      </w:rPr>
    </w:lvl>
    <w:lvl w:ilvl="1">
      <w:start w:val="0"/>
      <w:numFmt w:val="bullet"/>
      <w:lvlText w:val=""/>
      <w:lvlJc w:val="left"/>
      <w:pPr>
        <w:ind w:left="120" w:hanging="360"/>
      </w:pPr>
      <w:rPr>
        <w:rFonts w:ascii="Symbol" w:eastAsia="Symbol" w:hAnsi="Symbol" w:cs="Symbol" w:hint="default"/>
        <w:b w:val="0"/>
        <w:bCs w:val="0"/>
        <w:i w:val="0"/>
        <w:iCs w:val="0"/>
        <w:w w:val="100"/>
        <w:sz w:val="18"/>
        <w:szCs w:val="18"/>
        <w:lang w:val="en-US" w:eastAsia="en-US" w:bidi="ar-SA"/>
      </w:rPr>
    </w:lvl>
    <w:lvl w:ilvl="2">
      <w:start w:val="0"/>
      <w:numFmt w:val="bullet"/>
      <w:lvlText w:val="•"/>
      <w:lvlJc w:val="left"/>
      <w:pPr>
        <w:ind w:left="1331" w:hanging="360"/>
      </w:pPr>
      <w:rPr>
        <w:rFonts w:hint="default"/>
        <w:lang w:val="en-US" w:eastAsia="en-US" w:bidi="ar-SA"/>
      </w:rPr>
    </w:lvl>
    <w:lvl w:ilvl="3">
      <w:start w:val="0"/>
      <w:numFmt w:val="bullet"/>
      <w:lvlText w:val="•"/>
      <w:lvlJc w:val="left"/>
      <w:pPr>
        <w:ind w:left="2382" w:hanging="360"/>
      </w:pPr>
      <w:rPr>
        <w:rFonts w:hint="default"/>
        <w:lang w:val="en-US" w:eastAsia="en-US" w:bidi="ar-SA"/>
      </w:rPr>
    </w:lvl>
    <w:lvl w:ilvl="4">
      <w:start w:val="0"/>
      <w:numFmt w:val="bullet"/>
      <w:lvlText w:val="•"/>
      <w:lvlJc w:val="left"/>
      <w:pPr>
        <w:ind w:left="3433" w:hanging="360"/>
      </w:pPr>
      <w:rPr>
        <w:rFonts w:hint="default"/>
        <w:lang w:val="en-US" w:eastAsia="en-US" w:bidi="ar-SA"/>
      </w:rPr>
    </w:lvl>
    <w:lvl w:ilvl="5">
      <w:start w:val="0"/>
      <w:numFmt w:val="bullet"/>
      <w:lvlText w:val="•"/>
      <w:lvlJc w:val="left"/>
      <w:pPr>
        <w:ind w:left="4484" w:hanging="360"/>
      </w:pPr>
      <w:rPr>
        <w:rFonts w:hint="default"/>
        <w:lang w:val="en-US" w:eastAsia="en-US" w:bidi="ar-SA"/>
      </w:rPr>
    </w:lvl>
    <w:lvl w:ilvl="6">
      <w:start w:val="0"/>
      <w:numFmt w:val="bullet"/>
      <w:lvlText w:val="•"/>
      <w:lvlJc w:val="left"/>
      <w:pPr>
        <w:ind w:left="5535" w:hanging="360"/>
      </w:pPr>
      <w:rPr>
        <w:rFonts w:hint="default"/>
        <w:lang w:val="en-US" w:eastAsia="en-US" w:bidi="ar-SA"/>
      </w:rPr>
    </w:lvl>
    <w:lvl w:ilvl="7">
      <w:start w:val="0"/>
      <w:numFmt w:val="bullet"/>
      <w:lvlText w:val="•"/>
      <w:lvlJc w:val="left"/>
      <w:pPr>
        <w:ind w:left="6586" w:hanging="360"/>
      </w:pPr>
      <w:rPr>
        <w:rFonts w:hint="default"/>
        <w:lang w:val="en-US" w:eastAsia="en-US" w:bidi="ar-SA"/>
      </w:rPr>
    </w:lvl>
    <w:lvl w:ilvl="8">
      <w:start w:val="0"/>
      <w:numFmt w:val="bullet"/>
      <w:lvlText w:val="•"/>
      <w:lvlJc w:val="left"/>
      <w:pPr>
        <w:ind w:left="7637" w:hanging="360"/>
      </w:pPr>
      <w:rPr>
        <w:rFonts w:hint="default"/>
        <w:lang w:val="en-US" w:eastAsia="en-US" w:bidi="ar-SA"/>
      </w:rPr>
    </w:lvl>
  </w:abstractNum>
  <w:abstractNum w:abstractNumId="9">
    <w:nsid w:val="298930E2"/>
    <w:multiLevelType w:val="hybridMultilevel"/>
    <w:tmpl w:val="8AF0934C"/>
    <w:lvl w:ilvl="0">
      <w:start w:val="1"/>
      <w:numFmt w:val="bullet"/>
      <w:lvlText w:val=""/>
      <w:lvlJc w:val="left"/>
      <w:pPr>
        <w:ind w:left="120" w:hanging="720"/>
      </w:pPr>
      <w:rPr>
        <w:rFonts w:ascii="Symbol" w:hAnsi="Symbol" w:hint="default"/>
        <w:b w:val="0"/>
        <w:bCs w:val="0"/>
        <w:i w:val="0"/>
        <w:iCs w:val="0"/>
        <w:w w:val="100"/>
        <w:sz w:val="24"/>
        <w:szCs w:val="24"/>
        <w:lang w:val="en-US" w:eastAsia="en-US" w:bidi="ar-SA"/>
      </w:rPr>
    </w:lvl>
    <w:lvl w:ilvl="1">
      <w:start w:val="0"/>
      <w:numFmt w:val="bullet"/>
      <w:lvlText w:val="•"/>
      <w:lvlJc w:val="left"/>
      <w:pPr>
        <w:ind w:left="1082" w:hanging="720"/>
      </w:pPr>
      <w:rPr>
        <w:rFonts w:hint="default"/>
        <w:lang w:val="en-US" w:eastAsia="en-US" w:bidi="ar-SA"/>
      </w:rPr>
    </w:lvl>
    <w:lvl w:ilvl="2">
      <w:start w:val="0"/>
      <w:numFmt w:val="bullet"/>
      <w:lvlText w:val="•"/>
      <w:lvlJc w:val="left"/>
      <w:pPr>
        <w:ind w:left="2044" w:hanging="720"/>
      </w:pPr>
      <w:rPr>
        <w:rFonts w:hint="default"/>
        <w:lang w:val="en-US" w:eastAsia="en-US" w:bidi="ar-SA"/>
      </w:rPr>
    </w:lvl>
    <w:lvl w:ilvl="3">
      <w:start w:val="0"/>
      <w:numFmt w:val="bullet"/>
      <w:lvlText w:val="•"/>
      <w:lvlJc w:val="left"/>
      <w:pPr>
        <w:ind w:left="3006" w:hanging="720"/>
      </w:pPr>
      <w:rPr>
        <w:rFonts w:hint="default"/>
        <w:lang w:val="en-US" w:eastAsia="en-US" w:bidi="ar-SA"/>
      </w:rPr>
    </w:lvl>
    <w:lvl w:ilvl="4">
      <w:start w:val="0"/>
      <w:numFmt w:val="bullet"/>
      <w:lvlText w:val="•"/>
      <w:lvlJc w:val="left"/>
      <w:pPr>
        <w:ind w:left="3968" w:hanging="720"/>
      </w:pPr>
      <w:rPr>
        <w:rFonts w:hint="default"/>
        <w:lang w:val="en-US" w:eastAsia="en-US" w:bidi="ar-SA"/>
      </w:rPr>
    </w:lvl>
    <w:lvl w:ilvl="5">
      <w:start w:val="0"/>
      <w:numFmt w:val="bullet"/>
      <w:lvlText w:val="•"/>
      <w:lvlJc w:val="left"/>
      <w:pPr>
        <w:ind w:left="4930" w:hanging="720"/>
      </w:pPr>
      <w:rPr>
        <w:rFonts w:hint="default"/>
        <w:lang w:val="en-US" w:eastAsia="en-US" w:bidi="ar-SA"/>
      </w:rPr>
    </w:lvl>
    <w:lvl w:ilvl="6">
      <w:start w:val="0"/>
      <w:numFmt w:val="bullet"/>
      <w:lvlText w:val="•"/>
      <w:lvlJc w:val="left"/>
      <w:pPr>
        <w:ind w:left="5892" w:hanging="720"/>
      </w:pPr>
      <w:rPr>
        <w:rFonts w:hint="default"/>
        <w:lang w:val="en-US" w:eastAsia="en-US" w:bidi="ar-SA"/>
      </w:rPr>
    </w:lvl>
    <w:lvl w:ilvl="7">
      <w:start w:val="0"/>
      <w:numFmt w:val="bullet"/>
      <w:lvlText w:val="•"/>
      <w:lvlJc w:val="left"/>
      <w:pPr>
        <w:ind w:left="6854" w:hanging="720"/>
      </w:pPr>
      <w:rPr>
        <w:rFonts w:hint="default"/>
        <w:lang w:val="en-US" w:eastAsia="en-US" w:bidi="ar-SA"/>
      </w:rPr>
    </w:lvl>
    <w:lvl w:ilvl="8">
      <w:start w:val="0"/>
      <w:numFmt w:val="bullet"/>
      <w:lvlText w:val="•"/>
      <w:lvlJc w:val="left"/>
      <w:pPr>
        <w:ind w:left="7816" w:hanging="720"/>
      </w:pPr>
      <w:rPr>
        <w:rFonts w:hint="default"/>
        <w:lang w:val="en-US" w:eastAsia="en-US" w:bidi="ar-SA"/>
      </w:rPr>
    </w:lvl>
  </w:abstractNum>
  <w:abstractNum w:abstractNumId="10">
    <w:nsid w:val="37434710"/>
    <w:multiLevelType w:val="hybridMultilevel"/>
    <w:tmpl w:val="FAE49E9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3A2721A9"/>
    <w:multiLevelType w:val="hybridMultilevel"/>
    <w:tmpl w:val="4E64E36A"/>
    <w:lvl w:ilvl="0">
      <w:start w:val="0"/>
      <w:numFmt w:val="bullet"/>
      <w:lvlText w:val="•"/>
      <w:lvlJc w:val="left"/>
      <w:pPr>
        <w:ind w:left="120" w:hanging="720"/>
      </w:pPr>
      <w:rPr>
        <w:rFonts w:hint="default"/>
        <w:b w:val="0"/>
        <w:bCs w:val="0"/>
        <w:i w:val="0"/>
        <w:iCs w:val="0"/>
        <w:w w:val="100"/>
        <w:sz w:val="24"/>
        <w:szCs w:val="24"/>
        <w:lang w:val="en-US" w:eastAsia="en-US" w:bidi="ar-SA"/>
      </w:rPr>
    </w:lvl>
    <w:lvl w:ilvl="1">
      <w:start w:val="0"/>
      <w:numFmt w:val="bullet"/>
      <w:lvlText w:val="•"/>
      <w:lvlJc w:val="left"/>
      <w:pPr>
        <w:ind w:left="1082" w:hanging="720"/>
      </w:pPr>
      <w:rPr>
        <w:rFonts w:hint="default"/>
        <w:lang w:val="en-US" w:eastAsia="en-US" w:bidi="ar-SA"/>
      </w:rPr>
    </w:lvl>
    <w:lvl w:ilvl="2">
      <w:start w:val="0"/>
      <w:numFmt w:val="bullet"/>
      <w:lvlText w:val="•"/>
      <w:lvlJc w:val="left"/>
      <w:pPr>
        <w:ind w:left="2044" w:hanging="720"/>
      </w:pPr>
      <w:rPr>
        <w:rFonts w:hint="default"/>
        <w:lang w:val="en-US" w:eastAsia="en-US" w:bidi="ar-SA"/>
      </w:rPr>
    </w:lvl>
    <w:lvl w:ilvl="3">
      <w:start w:val="0"/>
      <w:numFmt w:val="bullet"/>
      <w:lvlText w:val="•"/>
      <w:lvlJc w:val="left"/>
      <w:pPr>
        <w:ind w:left="3006" w:hanging="720"/>
      </w:pPr>
      <w:rPr>
        <w:rFonts w:hint="default"/>
        <w:lang w:val="en-US" w:eastAsia="en-US" w:bidi="ar-SA"/>
      </w:rPr>
    </w:lvl>
    <w:lvl w:ilvl="4">
      <w:start w:val="0"/>
      <w:numFmt w:val="bullet"/>
      <w:lvlText w:val="•"/>
      <w:lvlJc w:val="left"/>
      <w:pPr>
        <w:ind w:left="3968" w:hanging="720"/>
      </w:pPr>
      <w:rPr>
        <w:rFonts w:hint="default"/>
        <w:lang w:val="en-US" w:eastAsia="en-US" w:bidi="ar-SA"/>
      </w:rPr>
    </w:lvl>
    <w:lvl w:ilvl="5">
      <w:start w:val="0"/>
      <w:numFmt w:val="bullet"/>
      <w:lvlText w:val="•"/>
      <w:lvlJc w:val="left"/>
      <w:pPr>
        <w:ind w:left="4930" w:hanging="720"/>
      </w:pPr>
      <w:rPr>
        <w:rFonts w:hint="default"/>
        <w:lang w:val="en-US" w:eastAsia="en-US" w:bidi="ar-SA"/>
      </w:rPr>
    </w:lvl>
    <w:lvl w:ilvl="6">
      <w:start w:val="0"/>
      <w:numFmt w:val="bullet"/>
      <w:lvlText w:val="•"/>
      <w:lvlJc w:val="left"/>
      <w:pPr>
        <w:ind w:left="5892" w:hanging="720"/>
      </w:pPr>
      <w:rPr>
        <w:rFonts w:hint="default"/>
        <w:lang w:val="en-US" w:eastAsia="en-US" w:bidi="ar-SA"/>
      </w:rPr>
    </w:lvl>
    <w:lvl w:ilvl="7">
      <w:start w:val="0"/>
      <w:numFmt w:val="bullet"/>
      <w:lvlText w:val="•"/>
      <w:lvlJc w:val="left"/>
      <w:pPr>
        <w:ind w:left="6854" w:hanging="720"/>
      </w:pPr>
      <w:rPr>
        <w:rFonts w:hint="default"/>
        <w:lang w:val="en-US" w:eastAsia="en-US" w:bidi="ar-SA"/>
      </w:rPr>
    </w:lvl>
    <w:lvl w:ilvl="8">
      <w:start w:val="0"/>
      <w:numFmt w:val="bullet"/>
      <w:lvlText w:val="•"/>
      <w:lvlJc w:val="left"/>
      <w:pPr>
        <w:ind w:left="7816" w:hanging="720"/>
      </w:pPr>
      <w:rPr>
        <w:rFonts w:hint="default"/>
        <w:lang w:val="en-US" w:eastAsia="en-US" w:bidi="ar-SA"/>
      </w:rPr>
    </w:lvl>
  </w:abstractNum>
  <w:abstractNum w:abstractNumId="12">
    <w:nsid w:val="42AD3B06"/>
    <w:multiLevelType w:val="hybridMultilevel"/>
    <w:tmpl w:val="8ED4FA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0D0055B"/>
    <w:multiLevelType w:val="hybridMultilevel"/>
    <w:tmpl w:val="635630C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nsid w:val="570A724D"/>
    <w:multiLevelType w:val="hybridMultilevel"/>
    <w:tmpl w:val="9140EF68"/>
    <w:lvl w:ilvl="0">
      <w:start w:val="0"/>
      <w:numFmt w:val="bullet"/>
      <w:lvlText w:val="•"/>
      <w:lvlJc w:val="left"/>
      <w:pPr>
        <w:ind w:left="12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082" w:hanging="720"/>
      </w:pPr>
      <w:rPr>
        <w:rFonts w:hint="default"/>
        <w:lang w:val="en-US" w:eastAsia="en-US" w:bidi="ar-SA"/>
      </w:rPr>
    </w:lvl>
    <w:lvl w:ilvl="2">
      <w:start w:val="0"/>
      <w:numFmt w:val="bullet"/>
      <w:lvlText w:val="•"/>
      <w:lvlJc w:val="left"/>
      <w:pPr>
        <w:ind w:left="2044" w:hanging="720"/>
      </w:pPr>
      <w:rPr>
        <w:rFonts w:hint="default"/>
        <w:lang w:val="en-US" w:eastAsia="en-US" w:bidi="ar-SA"/>
      </w:rPr>
    </w:lvl>
    <w:lvl w:ilvl="3">
      <w:start w:val="0"/>
      <w:numFmt w:val="bullet"/>
      <w:lvlText w:val="•"/>
      <w:lvlJc w:val="left"/>
      <w:pPr>
        <w:ind w:left="3006" w:hanging="720"/>
      </w:pPr>
      <w:rPr>
        <w:rFonts w:hint="default"/>
        <w:lang w:val="en-US" w:eastAsia="en-US" w:bidi="ar-SA"/>
      </w:rPr>
    </w:lvl>
    <w:lvl w:ilvl="4">
      <w:start w:val="0"/>
      <w:numFmt w:val="bullet"/>
      <w:lvlText w:val="•"/>
      <w:lvlJc w:val="left"/>
      <w:pPr>
        <w:ind w:left="3968" w:hanging="720"/>
      </w:pPr>
      <w:rPr>
        <w:rFonts w:hint="default"/>
        <w:lang w:val="en-US" w:eastAsia="en-US" w:bidi="ar-SA"/>
      </w:rPr>
    </w:lvl>
    <w:lvl w:ilvl="5">
      <w:start w:val="0"/>
      <w:numFmt w:val="bullet"/>
      <w:lvlText w:val="•"/>
      <w:lvlJc w:val="left"/>
      <w:pPr>
        <w:ind w:left="4930" w:hanging="720"/>
      </w:pPr>
      <w:rPr>
        <w:rFonts w:hint="default"/>
        <w:lang w:val="en-US" w:eastAsia="en-US" w:bidi="ar-SA"/>
      </w:rPr>
    </w:lvl>
    <w:lvl w:ilvl="6">
      <w:start w:val="0"/>
      <w:numFmt w:val="bullet"/>
      <w:lvlText w:val="•"/>
      <w:lvlJc w:val="left"/>
      <w:pPr>
        <w:ind w:left="5892" w:hanging="720"/>
      </w:pPr>
      <w:rPr>
        <w:rFonts w:hint="default"/>
        <w:lang w:val="en-US" w:eastAsia="en-US" w:bidi="ar-SA"/>
      </w:rPr>
    </w:lvl>
    <w:lvl w:ilvl="7">
      <w:start w:val="0"/>
      <w:numFmt w:val="bullet"/>
      <w:lvlText w:val="•"/>
      <w:lvlJc w:val="left"/>
      <w:pPr>
        <w:ind w:left="6854" w:hanging="720"/>
      </w:pPr>
      <w:rPr>
        <w:rFonts w:hint="default"/>
        <w:lang w:val="en-US" w:eastAsia="en-US" w:bidi="ar-SA"/>
      </w:rPr>
    </w:lvl>
    <w:lvl w:ilvl="8">
      <w:start w:val="0"/>
      <w:numFmt w:val="bullet"/>
      <w:lvlText w:val="•"/>
      <w:lvlJc w:val="left"/>
      <w:pPr>
        <w:ind w:left="7816" w:hanging="720"/>
      </w:pPr>
      <w:rPr>
        <w:rFonts w:hint="default"/>
        <w:lang w:val="en-US" w:eastAsia="en-US" w:bidi="ar-SA"/>
      </w:rPr>
    </w:lvl>
  </w:abstractNum>
  <w:abstractNum w:abstractNumId="15">
    <w:nsid w:val="588363D0"/>
    <w:multiLevelType w:val="hybridMultilevel"/>
    <w:tmpl w:val="BED4854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6">
    <w:nsid w:val="5F022C36"/>
    <w:multiLevelType w:val="hybridMultilevel"/>
    <w:tmpl w:val="83F246BC"/>
    <w:lvl w:ilvl="0">
      <w:start w:val="15"/>
      <w:numFmt w:val="bullet"/>
      <w:lvlText w:val=""/>
      <w:lvlJc w:val="left"/>
      <w:pPr>
        <w:ind w:left="360" w:hanging="360"/>
      </w:pPr>
      <w:rPr>
        <w:rFonts w:ascii="Symbol" w:eastAsia="Times New Roman" w:hAnsi="Symbol"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741E61AE"/>
    <w:multiLevelType w:val="hybridMultilevel"/>
    <w:tmpl w:val="3A02D3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195195005">
    <w:abstractNumId w:val="6"/>
  </w:num>
  <w:num w:numId="2" w16cid:durableId="1793866355">
    <w:abstractNumId w:val="0"/>
  </w:num>
  <w:num w:numId="3" w16cid:durableId="700983714">
    <w:abstractNumId w:val="14"/>
  </w:num>
  <w:num w:numId="4" w16cid:durableId="905871014">
    <w:abstractNumId w:val="8"/>
  </w:num>
  <w:num w:numId="5" w16cid:durableId="1461726105">
    <w:abstractNumId w:val="3"/>
  </w:num>
  <w:num w:numId="6" w16cid:durableId="1957785109">
    <w:abstractNumId w:val="15"/>
  </w:num>
  <w:num w:numId="7" w16cid:durableId="1240366815">
    <w:abstractNumId w:val="1"/>
  </w:num>
  <w:num w:numId="8" w16cid:durableId="882060708">
    <w:abstractNumId w:val="13"/>
  </w:num>
  <w:num w:numId="9" w16cid:durableId="1414817075">
    <w:abstractNumId w:val="10"/>
  </w:num>
  <w:num w:numId="10" w16cid:durableId="2052417296">
    <w:abstractNumId w:val="2"/>
  </w:num>
  <w:num w:numId="11" w16cid:durableId="1755936646">
    <w:abstractNumId w:val="7"/>
  </w:num>
  <w:num w:numId="12" w16cid:durableId="12148295">
    <w:abstractNumId w:val="4"/>
  </w:num>
  <w:num w:numId="13" w16cid:durableId="2066440853">
    <w:abstractNumId w:val="9"/>
  </w:num>
  <w:num w:numId="14" w16cid:durableId="2036615994">
    <w:abstractNumId w:val="11"/>
  </w:num>
  <w:num w:numId="15" w16cid:durableId="464154331">
    <w:abstractNumId w:val="5"/>
  </w:num>
  <w:num w:numId="16" w16cid:durableId="755858411">
    <w:abstractNumId w:val="12"/>
  </w:num>
  <w:num w:numId="17" w16cid:durableId="1380284230">
    <w:abstractNumId w:val="16"/>
  </w:num>
  <w:num w:numId="18" w16cid:durableId="16702580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DA"/>
    <w:rsid w:val="00000CB8"/>
    <w:rsid w:val="000027FF"/>
    <w:rsid w:val="000034B6"/>
    <w:rsid w:val="000046C4"/>
    <w:rsid w:val="000103C9"/>
    <w:rsid w:val="00014101"/>
    <w:rsid w:val="000148BA"/>
    <w:rsid w:val="00014CE9"/>
    <w:rsid w:val="0002562A"/>
    <w:rsid w:val="000454E7"/>
    <w:rsid w:val="00045B6F"/>
    <w:rsid w:val="0004765C"/>
    <w:rsid w:val="0005566B"/>
    <w:rsid w:val="00064AE6"/>
    <w:rsid w:val="0007484B"/>
    <w:rsid w:val="000748E9"/>
    <w:rsid w:val="00080181"/>
    <w:rsid w:val="00082FF4"/>
    <w:rsid w:val="00083FFC"/>
    <w:rsid w:val="00085344"/>
    <w:rsid w:val="00086493"/>
    <w:rsid w:val="000878DA"/>
    <w:rsid w:val="00090A88"/>
    <w:rsid w:val="00096055"/>
    <w:rsid w:val="000A0BA2"/>
    <w:rsid w:val="000A4459"/>
    <w:rsid w:val="000A4753"/>
    <w:rsid w:val="000A5E66"/>
    <w:rsid w:val="000C37E0"/>
    <w:rsid w:val="000C3DFC"/>
    <w:rsid w:val="000C5201"/>
    <w:rsid w:val="000D03D6"/>
    <w:rsid w:val="000D0913"/>
    <w:rsid w:val="000E2AB0"/>
    <w:rsid w:val="000E4119"/>
    <w:rsid w:val="000E6466"/>
    <w:rsid w:val="000F4D30"/>
    <w:rsid w:val="000F5A08"/>
    <w:rsid w:val="000F738E"/>
    <w:rsid w:val="00102992"/>
    <w:rsid w:val="00104F55"/>
    <w:rsid w:val="001069F2"/>
    <w:rsid w:val="00115612"/>
    <w:rsid w:val="00115C03"/>
    <w:rsid w:val="00131269"/>
    <w:rsid w:val="001319A9"/>
    <w:rsid w:val="00131A51"/>
    <w:rsid w:val="0014077B"/>
    <w:rsid w:val="00143A25"/>
    <w:rsid w:val="001617A9"/>
    <w:rsid w:val="00180A64"/>
    <w:rsid w:val="00187040"/>
    <w:rsid w:val="0019777D"/>
    <w:rsid w:val="001A379E"/>
    <w:rsid w:val="001A3CAF"/>
    <w:rsid w:val="001A4B7B"/>
    <w:rsid w:val="001B0B6D"/>
    <w:rsid w:val="001B1F78"/>
    <w:rsid w:val="001B2924"/>
    <w:rsid w:val="001B395A"/>
    <w:rsid w:val="001B60FF"/>
    <w:rsid w:val="001C12FD"/>
    <w:rsid w:val="001C3879"/>
    <w:rsid w:val="001C3AB7"/>
    <w:rsid w:val="001C52F3"/>
    <w:rsid w:val="001C5452"/>
    <w:rsid w:val="001D240D"/>
    <w:rsid w:val="001D2E76"/>
    <w:rsid w:val="001D67D9"/>
    <w:rsid w:val="001D7129"/>
    <w:rsid w:val="001E2ACE"/>
    <w:rsid w:val="001F01B1"/>
    <w:rsid w:val="001F0C32"/>
    <w:rsid w:val="001F2593"/>
    <w:rsid w:val="001F6C2C"/>
    <w:rsid w:val="00204988"/>
    <w:rsid w:val="00207448"/>
    <w:rsid w:val="00225446"/>
    <w:rsid w:val="0022607D"/>
    <w:rsid w:val="00227D21"/>
    <w:rsid w:val="002315AF"/>
    <w:rsid w:val="00232EF2"/>
    <w:rsid w:val="0023473F"/>
    <w:rsid w:val="002365A7"/>
    <w:rsid w:val="00240252"/>
    <w:rsid w:val="00240DCA"/>
    <w:rsid w:val="002439BB"/>
    <w:rsid w:val="0025540E"/>
    <w:rsid w:val="00255D7C"/>
    <w:rsid w:val="0025628A"/>
    <w:rsid w:val="0025772B"/>
    <w:rsid w:val="002677FF"/>
    <w:rsid w:val="00270821"/>
    <w:rsid w:val="002745B4"/>
    <w:rsid w:val="00281138"/>
    <w:rsid w:val="002819AC"/>
    <w:rsid w:val="00285819"/>
    <w:rsid w:val="00287648"/>
    <w:rsid w:val="00287D1D"/>
    <w:rsid w:val="0029384F"/>
    <w:rsid w:val="00294CDB"/>
    <w:rsid w:val="002975AD"/>
    <w:rsid w:val="002A48A2"/>
    <w:rsid w:val="002A4C4D"/>
    <w:rsid w:val="002A76BA"/>
    <w:rsid w:val="002B1068"/>
    <w:rsid w:val="002B176B"/>
    <w:rsid w:val="002B36BF"/>
    <w:rsid w:val="002C2255"/>
    <w:rsid w:val="002C27B7"/>
    <w:rsid w:val="002C2D5D"/>
    <w:rsid w:val="002C4573"/>
    <w:rsid w:val="002D007B"/>
    <w:rsid w:val="002D0A86"/>
    <w:rsid w:val="002D1697"/>
    <w:rsid w:val="002E300A"/>
    <w:rsid w:val="002E6BAC"/>
    <w:rsid w:val="002E7055"/>
    <w:rsid w:val="002F3E57"/>
    <w:rsid w:val="002F4FC5"/>
    <w:rsid w:val="00300771"/>
    <w:rsid w:val="00300A6D"/>
    <w:rsid w:val="00306890"/>
    <w:rsid w:val="00315DA4"/>
    <w:rsid w:val="003162FC"/>
    <w:rsid w:val="00317CD3"/>
    <w:rsid w:val="0032165E"/>
    <w:rsid w:val="00322A47"/>
    <w:rsid w:val="0032318D"/>
    <w:rsid w:val="00323A3C"/>
    <w:rsid w:val="00330D9B"/>
    <w:rsid w:val="00332724"/>
    <w:rsid w:val="003348D0"/>
    <w:rsid w:val="003411DF"/>
    <w:rsid w:val="00344581"/>
    <w:rsid w:val="00353266"/>
    <w:rsid w:val="00357815"/>
    <w:rsid w:val="00357A00"/>
    <w:rsid w:val="0037431F"/>
    <w:rsid w:val="0037560D"/>
    <w:rsid w:val="0037654B"/>
    <w:rsid w:val="0037665E"/>
    <w:rsid w:val="003777E2"/>
    <w:rsid w:val="00383B5A"/>
    <w:rsid w:val="00386A62"/>
    <w:rsid w:val="00396C9D"/>
    <w:rsid w:val="003977C8"/>
    <w:rsid w:val="003A2D75"/>
    <w:rsid w:val="003A41B3"/>
    <w:rsid w:val="003A5908"/>
    <w:rsid w:val="003A6DD1"/>
    <w:rsid w:val="003B02B4"/>
    <w:rsid w:val="003B35CF"/>
    <w:rsid w:val="003B3788"/>
    <w:rsid w:val="003B639A"/>
    <w:rsid w:val="003C01F5"/>
    <w:rsid w:val="003D11FB"/>
    <w:rsid w:val="003D5B4F"/>
    <w:rsid w:val="003E4495"/>
    <w:rsid w:val="003E75FF"/>
    <w:rsid w:val="003F24D4"/>
    <w:rsid w:val="003F3FF0"/>
    <w:rsid w:val="003F747C"/>
    <w:rsid w:val="00402CE6"/>
    <w:rsid w:val="004079B2"/>
    <w:rsid w:val="004105BE"/>
    <w:rsid w:val="00415457"/>
    <w:rsid w:val="00416EEE"/>
    <w:rsid w:val="00417077"/>
    <w:rsid w:val="004230B8"/>
    <w:rsid w:val="0042530A"/>
    <w:rsid w:val="004300DC"/>
    <w:rsid w:val="004301C2"/>
    <w:rsid w:val="004308E2"/>
    <w:rsid w:val="00433660"/>
    <w:rsid w:val="004344BF"/>
    <w:rsid w:val="00440D19"/>
    <w:rsid w:val="004434E6"/>
    <w:rsid w:val="00447B2E"/>
    <w:rsid w:val="004502FE"/>
    <w:rsid w:val="00461C52"/>
    <w:rsid w:val="00464673"/>
    <w:rsid w:val="00473EB1"/>
    <w:rsid w:val="00476E2D"/>
    <w:rsid w:val="00482535"/>
    <w:rsid w:val="004837A0"/>
    <w:rsid w:val="00483B40"/>
    <w:rsid w:val="004865D8"/>
    <w:rsid w:val="00487CA5"/>
    <w:rsid w:val="0049088B"/>
    <w:rsid w:val="004927B9"/>
    <w:rsid w:val="0049608E"/>
    <w:rsid w:val="004A1E18"/>
    <w:rsid w:val="004A26E5"/>
    <w:rsid w:val="004A3E03"/>
    <w:rsid w:val="004A4229"/>
    <w:rsid w:val="004A457F"/>
    <w:rsid w:val="004A5F82"/>
    <w:rsid w:val="004A6700"/>
    <w:rsid w:val="004C1208"/>
    <w:rsid w:val="004D0172"/>
    <w:rsid w:val="004D1177"/>
    <w:rsid w:val="004D6B53"/>
    <w:rsid w:val="004E32C8"/>
    <w:rsid w:val="004E4962"/>
    <w:rsid w:val="004F1275"/>
    <w:rsid w:val="004F2E45"/>
    <w:rsid w:val="004F6687"/>
    <w:rsid w:val="004F6940"/>
    <w:rsid w:val="00500C22"/>
    <w:rsid w:val="00500C40"/>
    <w:rsid w:val="00501ACA"/>
    <w:rsid w:val="00502D16"/>
    <w:rsid w:val="0050701E"/>
    <w:rsid w:val="005107F1"/>
    <w:rsid w:val="005139B8"/>
    <w:rsid w:val="00515B33"/>
    <w:rsid w:val="005360DC"/>
    <w:rsid w:val="00543450"/>
    <w:rsid w:val="00550AAC"/>
    <w:rsid w:val="00552E37"/>
    <w:rsid w:val="005608E6"/>
    <w:rsid w:val="00564A8E"/>
    <w:rsid w:val="00565FE9"/>
    <w:rsid w:val="00580D4C"/>
    <w:rsid w:val="00592622"/>
    <w:rsid w:val="005A4E66"/>
    <w:rsid w:val="005A6C86"/>
    <w:rsid w:val="005B0148"/>
    <w:rsid w:val="005B3C23"/>
    <w:rsid w:val="005B5F92"/>
    <w:rsid w:val="005C55C9"/>
    <w:rsid w:val="005C5F6E"/>
    <w:rsid w:val="005D00DD"/>
    <w:rsid w:val="005D05D1"/>
    <w:rsid w:val="005D0C3B"/>
    <w:rsid w:val="005E0CA4"/>
    <w:rsid w:val="005E78F3"/>
    <w:rsid w:val="005E7F05"/>
    <w:rsid w:val="005F579A"/>
    <w:rsid w:val="005F5F41"/>
    <w:rsid w:val="005F6883"/>
    <w:rsid w:val="005F701E"/>
    <w:rsid w:val="005F71E5"/>
    <w:rsid w:val="00610761"/>
    <w:rsid w:val="00612A74"/>
    <w:rsid w:val="006250CB"/>
    <w:rsid w:val="00625BA6"/>
    <w:rsid w:val="00632216"/>
    <w:rsid w:val="00640AC2"/>
    <w:rsid w:val="00642016"/>
    <w:rsid w:val="00645172"/>
    <w:rsid w:val="0064792B"/>
    <w:rsid w:val="00650282"/>
    <w:rsid w:val="00654A0D"/>
    <w:rsid w:val="00657239"/>
    <w:rsid w:val="006634B4"/>
    <w:rsid w:val="006708A0"/>
    <w:rsid w:val="006730A6"/>
    <w:rsid w:val="00673312"/>
    <w:rsid w:val="00673423"/>
    <w:rsid w:val="00680496"/>
    <w:rsid w:val="006876D8"/>
    <w:rsid w:val="006A036D"/>
    <w:rsid w:val="006A059D"/>
    <w:rsid w:val="006A0FD5"/>
    <w:rsid w:val="006A1298"/>
    <w:rsid w:val="006A4B4F"/>
    <w:rsid w:val="006A4F6D"/>
    <w:rsid w:val="006A4FEB"/>
    <w:rsid w:val="006B58BB"/>
    <w:rsid w:val="006C1BDB"/>
    <w:rsid w:val="006E17DD"/>
    <w:rsid w:val="006E3C53"/>
    <w:rsid w:val="006E3D9F"/>
    <w:rsid w:val="006F3843"/>
    <w:rsid w:val="007003BB"/>
    <w:rsid w:val="00704674"/>
    <w:rsid w:val="00705644"/>
    <w:rsid w:val="00712CB0"/>
    <w:rsid w:val="00712E22"/>
    <w:rsid w:val="00714EF6"/>
    <w:rsid w:val="007262F8"/>
    <w:rsid w:val="007303F6"/>
    <w:rsid w:val="007308AF"/>
    <w:rsid w:val="00730BAA"/>
    <w:rsid w:val="00744722"/>
    <w:rsid w:val="00751166"/>
    <w:rsid w:val="00753083"/>
    <w:rsid w:val="0075553D"/>
    <w:rsid w:val="0076592F"/>
    <w:rsid w:val="00765B44"/>
    <w:rsid w:val="00770FC5"/>
    <w:rsid w:val="00774B66"/>
    <w:rsid w:val="00790016"/>
    <w:rsid w:val="007A6C84"/>
    <w:rsid w:val="007A7340"/>
    <w:rsid w:val="007A7F14"/>
    <w:rsid w:val="007B1BCB"/>
    <w:rsid w:val="007C0426"/>
    <w:rsid w:val="007C0757"/>
    <w:rsid w:val="007C1DCF"/>
    <w:rsid w:val="007C4D09"/>
    <w:rsid w:val="007D78E2"/>
    <w:rsid w:val="007E08E4"/>
    <w:rsid w:val="007E0F20"/>
    <w:rsid w:val="007E1031"/>
    <w:rsid w:val="007E1677"/>
    <w:rsid w:val="007E4795"/>
    <w:rsid w:val="007E5DB6"/>
    <w:rsid w:val="007E6EB7"/>
    <w:rsid w:val="007F02E3"/>
    <w:rsid w:val="007F412E"/>
    <w:rsid w:val="007F4798"/>
    <w:rsid w:val="007F63C3"/>
    <w:rsid w:val="007F74CD"/>
    <w:rsid w:val="008034E1"/>
    <w:rsid w:val="00804200"/>
    <w:rsid w:val="00805EBD"/>
    <w:rsid w:val="0081227B"/>
    <w:rsid w:val="00812E68"/>
    <w:rsid w:val="008143F9"/>
    <w:rsid w:val="008148A9"/>
    <w:rsid w:val="00815256"/>
    <w:rsid w:val="00815EBF"/>
    <w:rsid w:val="00817675"/>
    <w:rsid w:val="00817CB9"/>
    <w:rsid w:val="0082291E"/>
    <w:rsid w:val="00822B66"/>
    <w:rsid w:val="00827C89"/>
    <w:rsid w:val="00840280"/>
    <w:rsid w:val="00841DA9"/>
    <w:rsid w:val="0084666D"/>
    <w:rsid w:val="00851BBB"/>
    <w:rsid w:val="0085406F"/>
    <w:rsid w:val="00865DFD"/>
    <w:rsid w:val="0086679F"/>
    <w:rsid w:val="00867255"/>
    <w:rsid w:val="00873171"/>
    <w:rsid w:val="008747F0"/>
    <w:rsid w:val="00877FDA"/>
    <w:rsid w:val="008837B3"/>
    <w:rsid w:val="0088441F"/>
    <w:rsid w:val="00884E01"/>
    <w:rsid w:val="0089487E"/>
    <w:rsid w:val="008B0A55"/>
    <w:rsid w:val="008B13B2"/>
    <w:rsid w:val="008B212E"/>
    <w:rsid w:val="008B272D"/>
    <w:rsid w:val="008B477D"/>
    <w:rsid w:val="008C1D3C"/>
    <w:rsid w:val="008C20EF"/>
    <w:rsid w:val="008C6CC0"/>
    <w:rsid w:val="008E2EA1"/>
    <w:rsid w:val="008E3483"/>
    <w:rsid w:val="008F18D5"/>
    <w:rsid w:val="008F5FEA"/>
    <w:rsid w:val="008F6537"/>
    <w:rsid w:val="008F7716"/>
    <w:rsid w:val="00900E74"/>
    <w:rsid w:val="00902CFE"/>
    <w:rsid w:val="009059DD"/>
    <w:rsid w:val="009103EB"/>
    <w:rsid w:val="00920DB9"/>
    <w:rsid w:val="00922520"/>
    <w:rsid w:val="00922A18"/>
    <w:rsid w:val="00925399"/>
    <w:rsid w:val="00925E6B"/>
    <w:rsid w:val="00926712"/>
    <w:rsid w:val="0094415A"/>
    <w:rsid w:val="0094499A"/>
    <w:rsid w:val="00946CAE"/>
    <w:rsid w:val="00951B45"/>
    <w:rsid w:val="00954F57"/>
    <w:rsid w:val="00963D1C"/>
    <w:rsid w:val="009709AA"/>
    <w:rsid w:val="00972186"/>
    <w:rsid w:val="00976B33"/>
    <w:rsid w:val="00977E0E"/>
    <w:rsid w:val="00980CB1"/>
    <w:rsid w:val="00982ACC"/>
    <w:rsid w:val="00990062"/>
    <w:rsid w:val="00990609"/>
    <w:rsid w:val="009947E4"/>
    <w:rsid w:val="00996A44"/>
    <w:rsid w:val="00997F1E"/>
    <w:rsid w:val="009A1291"/>
    <w:rsid w:val="009A49E0"/>
    <w:rsid w:val="009A4F05"/>
    <w:rsid w:val="009B30E9"/>
    <w:rsid w:val="009B3495"/>
    <w:rsid w:val="009B3534"/>
    <w:rsid w:val="009C0399"/>
    <w:rsid w:val="009C0A79"/>
    <w:rsid w:val="009C3A19"/>
    <w:rsid w:val="009C6E14"/>
    <w:rsid w:val="009C6F3B"/>
    <w:rsid w:val="009D2FC7"/>
    <w:rsid w:val="009E5450"/>
    <w:rsid w:val="009E7A85"/>
    <w:rsid w:val="009F062E"/>
    <w:rsid w:val="009F199F"/>
    <w:rsid w:val="009F750C"/>
    <w:rsid w:val="00A02D9C"/>
    <w:rsid w:val="00A036E0"/>
    <w:rsid w:val="00A07579"/>
    <w:rsid w:val="00A10130"/>
    <w:rsid w:val="00A178B1"/>
    <w:rsid w:val="00A17913"/>
    <w:rsid w:val="00A20526"/>
    <w:rsid w:val="00A21245"/>
    <w:rsid w:val="00A22253"/>
    <w:rsid w:val="00A23BF6"/>
    <w:rsid w:val="00A2671F"/>
    <w:rsid w:val="00A30A91"/>
    <w:rsid w:val="00A33D24"/>
    <w:rsid w:val="00A369E4"/>
    <w:rsid w:val="00A51EFF"/>
    <w:rsid w:val="00A54F97"/>
    <w:rsid w:val="00A566F0"/>
    <w:rsid w:val="00A6062C"/>
    <w:rsid w:val="00A62711"/>
    <w:rsid w:val="00A64A77"/>
    <w:rsid w:val="00A67198"/>
    <w:rsid w:val="00A717B3"/>
    <w:rsid w:val="00A731F0"/>
    <w:rsid w:val="00A73D29"/>
    <w:rsid w:val="00A81759"/>
    <w:rsid w:val="00A859AA"/>
    <w:rsid w:val="00A93AB5"/>
    <w:rsid w:val="00AA3EEC"/>
    <w:rsid w:val="00AA6C66"/>
    <w:rsid w:val="00AB00F8"/>
    <w:rsid w:val="00AB5F3C"/>
    <w:rsid w:val="00AB77B9"/>
    <w:rsid w:val="00AB7D40"/>
    <w:rsid w:val="00AC000B"/>
    <w:rsid w:val="00AC5C3F"/>
    <w:rsid w:val="00AE0A13"/>
    <w:rsid w:val="00AE1246"/>
    <w:rsid w:val="00AE6FF3"/>
    <w:rsid w:val="00B00B6F"/>
    <w:rsid w:val="00B0515B"/>
    <w:rsid w:val="00B123B0"/>
    <w:rsid w:val="00B14F87"/>
    <w:rsid w:val="00B2031D"/>
    <w:rsid w:val="00B2414C"/>
    <w:rsid w:val="00B244C7"/>
    <w:rsid w:val="00B30C1D"/>
    <w:rsid w:val="00B313DE"/>
    <w:rsid w:val="00B336D5"/>
    <w:rsid w:val="00B33BB8"/>
    <w:rsid w:val="00B35DAE"/>
    <w:rsid w:val="00B4172C"/>
    <w:rsid w:val="00B5128D"/>
    <w:rsid w:val="00B51364"/>
    <w:rsid w:val="00B62579"/>
    <w:rsid w:val="00B6359B"/>
    <w:rsid w:val="00B73FFA"/>
    <w:rsid w:val="00B83249"/>
    <w:rsid w:val="00B83B4E"/>
    <w:rsid w:val="00B87972"/>
    <w:rsid w:val="00B91088"/>
    <w:rsid w:val="00B92A24"/>
    <w:rsid w:val="00B936DD"/>
    <w:rsid w:val="00B95DA3"/>
    <w:rsid w:val="00BA0746"/>
    <w:rsid w:val="00BA6D52"/>
    <w:rsid w:val="00BA74B9"/>
    <w:rsid w:val="00BB012B"/>
    <w:rsid w:val="00BB2613"/>
    <w:rsid w:val="00BB6ADC"/>
    <w:rsid w:val="00BB6DE2"/>
    <w:rsid w:val="00BC6F16"/>
    <w:rsid w:val="00BD2188"/>
    <w:rsid w:val="00BD3B09"/>
    <w:rsid w:val="00BD4CB5"/>
    <w:rsid w:val="00BD58BE"/>
    <w:rsid w:val="00BE0E69"/>
    <w:rsid w:val="00BE31AA"/>
    <w:rsid w:val="00BF2914"/>
    <w:rsid w:val="00C02B56"/>
    <w:rsid w:val="00C07FA1"/>
    <w:rsid w:val="00C139CC"/>
    <w:rsid w:val="00C2716F"/>
    <w:rsid w:val="00C32762"/>
    <w:rsid w:val="00C37E7B"/>
    <w:rsid w:val="00C4293E"/>
    <w:rsid w:val="00C44CB4"/>
    <w:rsid w:val="00C46F4D"/>
    <w:rsid w:val="00C5287E"/>
    <w:rsid w:val="00C562A1"/>
    <w:rsid w:val="00C57A0A"/>
    <w:rsid w:val="00C63D7D"/>
    <w:rsid w:val="00C67631"/>
    <w:rsid w:val="00C67D31"/>
    <w:rsid w:val="00C747FB"/>
    <w:rsid w:val="00C81228"/>
    <w:rsid w:val="00C85246"/>
    <w:rsid w:val="00CA1467"/>
    <w:rsid w:val="00CA5F04"/>
    <w:rsid w:val="00CA7F1A"/>
    <w:rsid w:val="00CB0073"/>
    <w:rsid w:val="00CB7E75"/>
    <w:rsid w:val="00CC4C1F"/>
    <w:rsid w:val="00CC4F92"/>
    <w:rsid w:val="00CC76D5"/>
    <w:rsid w:val="00CD1076"/>
    <w:rsid w:val="00CD3996"/>
    <w:rsid w:val="00CE41F8"/>
    <w:rsid w:val="00CE602B"/>
    <w:rsid w:val="00CE65EB"/>
    <w:rsid w:val="00CF17CB"/>
    <w:rsid w:val="00CF292D"/>
    <w:rsid w:val="00CF552C"/>
    <w:rsid w:val="00CF6E35"/>
    <w:rsid w:val="00D005C2"/>
    <w:rsid w:val="00D0137D"/>
    <w:rsid w:val="00D01B9E"/>
    <w:rsid w:val="00D03D22"/>
    <w:rsid w:val="00D0759C"/>
    <w:rsid w:val="00D11213"/>
    <w:rsid w:val="00D23345"/>
    <w:rsid w:val="00D240AB"/>
    <w:rsid w:val="00D24E29"/>
    <w:rsid w:val="00D25831"/>
    <w:rsid w:val="00D33FF1"/>
    <w:rsid w:val="00D350F7"/>
    <w:rsid w:val="00D35597"/>
    <w:rsid w:val="00D35FA6"/>
    <w:rsid w:val="00D40C62"/>
    <w:rsid w:val="00D442F7"/>
    <w:rsid w:val="00D44F5C"/>
    <w:rsid w:val="00D500D6"/>
    <w:rsid w:val="00D5066A"/>
    <w:rsid w:val="00D5395F"/>
    <w:rsid w:val="00D539C4"/>
    <w:rsid w:val="00D61C0D"/>
    <w:rsid w:val="00D64CFA"/>
    <w:rsid w:val="00D65474"/>
    <w:rsid w:val="00D72E92"/>
    <w:rsid w:val="00D73FD0"/>
    <w:rsid w:val="00D8544A"/>
    <w:rsid w:val="00D91CDB"/>
    <w:rsid w:val="00D931B9"/>
    <w:rsid w:val="00D95310"/>
    <w:rsid w:val="00DA3B21"/>
    <w:rsid w:val="00DA4838"/>
    <w:rsid w:val="00DA7F1F"/>
    <w:rsid w:val="00DB1909"/>
    <w:rsid w:val="00DB33DC"/>
    <w:rsid w:val="00DB41B3"/>
    <w:rsid w:val="00DB4F4A"/>
    <w:rsid w:val="00DB4FF5"/>
    <w:rsid w:val="00DC207E"/>
    <w:rsid w:val="00DC2A14"/>
    <w:rsid w:val="00DD1D57"/>
    <w:rsid w:val="00DD2681"/>
    <w:rsid w:val="00DD2F42"/>
    <w:rsid w:val="00DD2FCA"/>
    <w:rsid w:val="00DD46AF"/>
    <w:rsid w:val="00DE0D46"/>
    <w:rsid w:val="00DE3E90"/>
    <w:rsid w:val="00DE4E6E"/>
    <w:rsid w:val="00DF00C2"/>
    <w:rsid w:val="00DF4F02"/>
    <w:rsid w:val="00E01140"/>
    <w:rsid w:val="00E02E3E"/>
    <w:rsid w:val="00E12635"/>
    <w:rsid w:val="00E13C4A"/>
    <w:rsid w:val="00E225EA"/>
    <w:rsid w:val="00E22F6B"/>
    <w:rsid w:val="00E241B2"/>
    <w:rsid w:val="00E25206"/>
    <w:rsid w:val="00E30BC6"/>
    <w:rsid w:val="00E30EA7"/>
    <w:rsid w:val="00E31304"/>
    <w:rsid w:val="00E32EA7"/>
    <w:rsid w:val="00E424B0"/>
    <w:rsid w:val="00E42578"/>
    <w:rsid w:val="00E42C51"/>
    <w:rsid w:val="00E463B2"/>
    <w:rsid w:val="00E5151F"/>
    <w:rsid w:val="00E55074"/>
    <w:rsid w:val="00E558CB"/>
    <w:rsid w:val="00E573DF"/>
    <w:rsid w:val="00E605D6"/>
    <w:rsid w:val="00E62EF1"/>
    <w:rsid w:val="00E67A8E"/>
    <w:rsid w:val="00E7233A"/>
    <w:rsid w:val="00E74460"/>
    <w:rsid w:val="00E74D59"/>
    <w:rsid w:val="00E768CD"/>
    <w:rsid w:val="00E82874"/>
    <w:rsid w:val="00E840B5"/>
    <w:rsid w:val="00E9535E"/>
    <w:rsid w:val="00E972BC"/>
    <w:rsid w:val="00EA122C"/>
    <w:rsid w:val="00EA19F8"/>
    <w:rsid w:val="00EA46F8"/>
    <w:rsid w:val="00EA47CD"/>
    <w:rsid w:val="00EB0A65"/>
    <w:rsid w:val="00EB1929"/>
    <w:rsid w:val="00EB3369"/>
    <w:rsid w:val="00EB5243"/>
    <w:rsid w:val="00EB6B93"/>
    <w:rsid w:val="00EC4DCF"/>
    <w:rsid w:val="00EE227E"/>
    <w:rsid w:val="00EE7406"/>
    <w:rsid w:val="00F009F5"/>
    <w:rsid w:val="00F020BE"/>
    <w:rsid w:val="00F03142"/>
    <w:rsid w:val="00F05503"/>
    <w:rsid w:val="00F12E24"/>
    <w:rsid w:val="00F26555"/>
    <w:rsid w:val="00F33031"/>
    <w:rsid w:val="00F33C16"/>
    <w:rsid w:val="00F353B8"/>
    <w:rsid w:val="00F5207E"/>
    <w:rsid w:val="00F52E89"/>
    <w:rsid w:val="00F53417"/>
    <w:rsid w:val="00F557D8"/>
    <w:rsid w:val="00F571DC"/>
    <w:rsid w:val="00F73422"/>
    <w:rsid w:val="00F80C6A"/>
    <w:rsid w:val="00F92DD7"/>
    <w:rsid w:val="00F933E5"/>
    <w:rsid w:val="00FA03F2"/>
    <w:rsid w:val="00FA29B1"/>
    <w:rsid w:val="00FA38A4"/>
    <w:rsid w:val="00FB4BAC"/>
    <w:rsid w:val="00FC0F6E"/>
    <w:rsid w:val="00FC4C3E"/>
    <w:rsid w:val="00FC6068"/>
    <w:rsid w:val="00FC6197"/>
    <w:rsid w:val="00FE0B88"/>
    <w:rsid w:val="00FE2A25"/>
    <w:rsid w:val="00FF31F3"/>
    <w:rsid w:val="078AD1C5"/>
    <w:rsid w:val="09B88B19"/>
    <w:rsid w:val="09BA96B1"/>
    <w:rsid w:val="0E64E277"/>
    <w:rsid w:val="10930004"/>
    <w:rsid w:val="10C10E5F"/>
    <w:rsid w:val="140B8F2B"/>
    <w:rsid w:val="148B3B18"/>
    <w:rsid w:val="14C70CCF"/>
    <w:rsid w:val="15346EBB"/>
    <w:rsid w:val="154511E3"/>
    <w:rsid w:val="16E7BE3C"/>
    <w:rsid w:val="192B8721"/>
    <w:rsid w:val="1B48EABF"/>
    <w:rsid w:val="1BA60AC4"/>
    <w:rsid w:val="2000A1DC"/>
    <w:rsid w:val="20232FF1"/>
    <w:rsid w:val="21A33609"/>
    <w:rsid w:val="22EA61B0"/>
    <w:rsid w:val="246A3E07"/>
    <w:rsid w:val="2794F9C1"/>
    <w:rsid w:val="2B647BB8"/>
    <w:rsid w:val="2D6BC4E0"/>
    <w:rsid w:val="2E8FD8DD"/>
    <w:rsid w:val="35670A26"/>
    <w:rsid w:val="3711BF70"/>
    <w:rsid w:val="39B39CDB"/>
    <w:rsid w:val="3B1663D1"/>
    <w:rsid w:val="3B34C2C0"/>
    <w:rsid w:val="3BA3FB0E"/>
    <w:rsid w:val="3C72D834"/>
    <w:rsid w:val="3CBA5840"/>
    <w:rsid w:val="41AE93CB"/>
    <w:rsid w:val="42792612"/>
    <w:rsid w:val="4429A2B8"/>
    <w:rsid w:val="45C24256"/>
    <w:rsid w:val="4881A1BF"/>
    <w:rsid w:val="48AE22B7"/>
    <w:rsid w:val="48CA697C"/>
    <w:rsid w:val="492E341F"/>
    <w:rsid w:val="4B7DAF4A"/>
    <w:rsid w:val="4C7B0105"/>
    <w:rsid w:val="4C893708"/>
    <w:rsid w:val="4CB098A4"/>
    <w:rsid w:val="4CEDEDF5"/>
    <w:rsid w:val="4D282896"/>
    <w:rsid w:val="4F2126CE"/>
    <w:rsid w:val="51AB74A5"/>
    <w:rsid w:val="52680D60"/>
    <w:rsid w:val="5307B409"/>
    <w:rsid w:val="532EEC29"/>
    <w:rsid w:val="53FB5BC2"/>
    <w:rsid w:val="55574401"/>
    <w:rsid w:val="55C405B2"/>
    <w:rsid w:val="5908C8BF"/>
    <w:rsid w:val="59964B7F"/>
    <w:rsid w:val="59CB9245"/>
    <w:rsid w:val="5A524DEB"/>
    <w:rsid w:val="5BE7806B"/>
    <w:rsid w:val="5C3CFFCB"/>
    <w:rsid w:val="5E98B926"/>
    <w:rsid w:val="5F85DE2E"/>
    <w:rsid w:val="6398B9DE"/>
    <w:rsid w:val="65AE888E"/>
    <w:rsid w:val="6A568F46"/>
    <w:rsid w:val="6B1EA3C8"/>
    <w:rsid w:val="6B4ED059"/>
    <w:rsid w:val="6B740ED6"/>
    <w:rsid w:val="6CD32538"/>
    <w:rsid w:val="6EA06C79"/>
    <w:rsid w:val="6FBCB7E9"/>
    <w:rsid w:val="73C48337"/>
    <w:rsid w:val="73F1D354"/>
    <w:rsid w:val="7562C0BE"/>
    <w:rsid w:val="767657A3"/>
    <w:rsid w:val="775C5ED8"/>
    <w:rsid w:val="77718E22"/>
    <w:rsid w:val="77CE1D11"/>
    <w:rsid w:val="789ED062"/>
    <w:rsid w:val="7CA2736F"/>
    <w:rsid w:val="7D76179B"/>
    <w:rsid w:val="7E84508C"/>
    <w:rsid w:val="7E88A39C"/>
    <w:rsid w:val="7F2E6E82"/>
    <w:rsid w:val="7F4ADEA7"/>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10FE660"/>
  <w15:docId w15:val="{56074BF6-0E79-BA46-99C3-F9D143D37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20" w:hanging="433"/>
      <w:outlineLvl w:val="0"/>
    </w:pPr>
    <w:rPr>
      <w:b/>
      <w:bCs/>
      <w:sz w:val="24"/>
      <w:szCs w:val="24"/>
    </w:rPr>
  </w:style>
  <w:style w:type="paragraph" w:styleId="Heading2">
    <w:name w:val="heading 2"/>
    <w:basedOn w:val="Normal"/>
    <w:next w:val="Normal"/>
    <w:link w:val="Heading2Char"/>
    <w:uiPriority w:val="9"/>
    <w:unhideWhenUsed/>
    <w:qFormat/>
    <w:rsid w:val="006730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52" w:hanging="4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5540E"/>
    <w:pPr>
      <w:tabs>
        <w:tab w:val="center" w:pos="4680"/>
        <w:tab w:val="right" w:pos="9360"/>
      </w:tabs>
    </w:pPr>
  </w:style>
  <w:style w:type="character" w:customStyle="1" w:styleId="HeaderChar">
    <w:name w:val="Header Char"/>
    <w:basedOn w:val="DefaultParagraphFont"/>
    <w:link w:val="Header"/>
    <w:uiPriority w:val="99"/>
    <w:rsid w:val="0025540E"/>
    <w:rPr>
      <w:rFonts w:ascii="Times New Roman" w:eastAsia="Times New Roman" w:hAnsi="Times New Roman" w:cs="Times New Roman"/>
    </w:rPr>
  </w:style>
  <w:style w:type="paragraph" w:styleId="Footer">
    <w:name w:val="footer"/>
    <w:basedOn w:val="Normal"/>
    <w:link w:val="FooterChar"/>
    <w:uiPriority w:val="99"/>
    <w:unhideWhenUsed/>
    <w:rsid w:val="0025540E"/>
    <w:pPr>
      <w:tabs>
        <w:tab w:val="center" w:pos="4680"/>
        <w:tab w:val="right" w:pos="9360"/>
      </w:tabs>
    </w:pPr>
  </w:style>
  <w:style w:type="character" w:customStyle="1" w:styleId="FooterChar">
    <w:name w:val="Footer Char"/>
    <w:basedOn w:val="DefaultParagraphFont"/>
    <w:link w:val="Footer"/>
    <w:uiPriority w:val="99"/>
    <w:rsid w:val="0025540E"/>
    <w:rPr>
      <w:rFonts w:ascii="Times New Roman" w:eastAsia="Times New Roman" w:hAnsi="Times New Roman" w:cs="Times New Roman"/>
    </w:rPr>
  </w:style>
  <w:style w:type="paragraph" w:styleId="Revision">
    <w:name w:val="Revision"/>
    <w:hidden/>
    <w:uiPriority w:val="99"/>
    <w:semiHidden/>
    <w:rsid w:val="00487CA5"/>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A0BA2"/>
    <w:rPr>
      <w:sz w:val="16"/>
      <w:szCs w:val="16"/>
    </w:rPr>
  </w:style>
  <w:style w:type="paragraph" w:styleId="CommentText">
    <w:name w:val="annotation text"/>
    <w:basedOn w:val="Normal"/>
    <w:link w:val="CommentTextChar"/>
    <w:uiPriority w:val="99"/>
    <w:unhideWhenUsed/>
    <w:rsid w:val="000A0BA2"/>
    <w:rPr>
      <w:sz w:val="20"/>
      <w:szCs w:val="20"/>
    </w:rPr>
  </w:style>
  <w:style w:type="character" w:customStyle="1" w:styleId="CommentTextChar">
    <w:name w:val="Comment Text Char"/>
    <w:basedOn w:val="DefaultParagraphFont"/>
    <w:link w:val="CommentText"/>
    <w:uiPriority w:val="99"/>
    <w:rsid w:val="000A0BA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0BA2"/>
    <w:rPr>
      <w:b/>
      <w:bCs/>
    </w:rPr>
  </w:style>
  <w:style w:type="character" w:customStyle="1" w:styleId="CommentSubjectChar">
    <w:name w:val="Comment Subject Char"/>
    <w:basedOn w:val="CommentTextChar"/>
    <w:link w:val="CommentSubject"/>
    <w:uiPriority w:val="99"/>
    <w:semiHidden/>
    <w:rsid w:val="000A0BA2"/>
    <w:rPr>
      <w:rFonts w:ascii="Times New Roman" w:eastAsia="Times New Roman" w:hAnsi="Times New Roman" w:cs="Times New Roman"/>
      <w:b/>
      <w:bCs/>
      <w:sz w:val="20"/>
      <w:szCs w:val="20"/>
    </w:rPr>
  </w:style>
  <w:style w:type="paragraph" w:styleId="FootnoteText">
    <w:name w:val="footnote text"/>
    <w:basedOn w:val="Normal"/>
    <w:link w:val="FootnoteTextChar"/>
    <w:unhideWhenUsed/>
    <w:rsid w:val="00FC4C3E"/>
    <w:rPr>
      <w:sz w:val="20"/>
      <w:szCs w:val="20"/>
    </w:rPr>
  </w:style>
  <w:style w:type="character" w:customStyle="1" w:styleId="FootnoteTextChar">
    <w:name w:val="Footnote Text Char"/>
    <w:basedOn w:val="DefaultParagraphFont"/>
    <w:link w:val="FootnoteText"/>
    <w:rsid w:val="00FC4C3E"/>
    <w:rPr>
      <w:rFonts w:ascii="Times New Roman" w:eastAsia="Times New Roman" w:hAnsi="Times New Roman" w:cs="Times New Roman"/>
      <w:sz w:val="20"/>
      <w:szCs w:val="20"/>
    </w:rPr>
  </w:style>
  <w:style w:type="character" w:styleId="FootnoteReference">
    <w:name w:val="footnote reference"/>
    <w:basedOn w:val="DefaultParagraphFont"/>
    <w:unhideWhenUsed/>
    <w:rsid w:val="00FC4C3E"/>
    <w:rPr>
      <w:vertAlign w:val="superscript"/>
    </w:rPr>
  </w:style>
  <w:style w:type="table" w:customStyle="1" w:styleId="GridTable5Dark-Accent11">
    <w:name w:val="Grid Table 5 Dark - Accent 11"/>
    <w:basedOn w:val="TableNormal"/>
    <w:next w:val="GridTable5DarkAccent1"/>
    <w:uiPriority w:val="50"/>
    <w:rsid w:val="00A6062C"/>
    <w:pPr>
      <w:widowControl/>
      <w:autoSpaceDE/>
      <w:autoSpaceDN/>
    </w:pPr>
    <w:rPr>
      <w:kern w:val="2"/>
      <w:sz w:val="24"/>
      <w:szCs w:val="24"/>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6DF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539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539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539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5390"/>
      </w:tcPr>
    </w:tblStylePr>
    <w:tblStylePr w:type="band1Vert">
      <w:tblPr/>
      <w:tcPr>
        <w:shd w:val="clear" w:color="auto" w:fill="6EC0FE"/>
      </w:tcPr>
    </w:tblStylePr>
    <w:tblStylePr w:type="band1Horz">
      <w:tblPr/>
      <w:tcPr>
        <w:shd w:val="clear" w:color="auto" w:fill="6EC0FE"/>
      </w:tcPr>
    </w:tblStylePr>
  </w:style>
  <w:style w:type="table" w:styleId="GridTable5DarkAccent1">
    <w:name w:val="Grid Table 5 Dark Accent 1"/>
    <w:basedOn w:val="TableNormal"/>
    <w:uiPriority w:val="50"/>
    <w:rsid w:val="00A6062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12">
    <w:name w:val="Grid Table 5 Dark - Accent 12"/>
    <w:basedOn w:val="TableNormal"/>
    <w:next w:val="GridTable5DarkAccent1"/>
    <w:uiPriority w:val="50"/>
    <w:rsid w:val="00A6062C"/>
    <w:pPr>
      <w:widowControl/>
      <w:autoSpaceDE/>
      <w:autoSpaceDN/>
    </w:pPr>
    <w:rPr>
      <w:kern w:val="2"/>
      <w:sz w:val="24"/>
      <w:szCs w:val="24"/>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6DF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539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539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539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5390"/>
      </w:tcPr>
    </w:tblStylePr>
    <w:tblStylePr w:type="band1Vert">
      <w:tblPr/>
      <w:tcPr>
        <w:shd w:val="clear" w:color="auto" w:fill="6EC0FE"/>
      </w:tcPr>
    </w:tblStylePr>
    <w:tblStylePr w:type="band1Horz">
      <w:tblPr/>
      <w:tcPr>
        <w:shd w:val="clear" w:color="auto" w:fill="6EC0FE"/>
      </w:tcPr>
    </w:tblStylePr>
  </w:style>
  <w:style w:type="table" w:styleId="TableGrid">
    <w:name w:val="Table Grid"/>
    <w:basedOn w:val="TableNormal"/>
    <w:uiPriority w:val="39"/>
    <w:rsid w:val="00425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0A6"/>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357A00"/>
    <w:rPr>
      <w:color w:val="0000FF" w:themeColor="hyperlink"/>
      <w:u w:val="single"/>
    </w:rPr>
  </w:style>
  <w:style w:type="character" w:styleId="UnresolvedMention">
    <w:name w:val="Unresolved Mention"/>
    <w:basedOn w:val="DefaultParagraphFont"/>
    <w:uiPriority w:val="99"/>
    <w:semiHidden/>
    <w:unhideWhenUsed/>
    <w:rsid w:val="0035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www.bls.gov/oes/current/oes_nat.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498722-5d8a-4889-ba5a-41c5dd673531" xsi:nil="true"/>
    <lcf76f155ced4ddcb4097134ff3c332f xmlns="fa6d4d45-7b3f-4e16-82ed-6a993f090c3f">
      <Terms xmlns="http://schemas.microsoft.com/office/infopath/2007/PartnerControls"/>
    </lcf76f155ced4ddcb4097134ff3c332f>
    <Clearance_x003f_ xmlns="fa6d4d45-7b3f-4e16-82ed-6a993f090c3f">false</Clearance_x003f_>
    <Clearance xmlns="fa6d4d45-7b3f-4e16-82ed-6a993f090c3f">false</Clear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98118BFD2E63499AB11128B3E6B07F" ma:contentTypeVersion="15" ma:contentTypeDescription="Create a new document." ma:contentTypeScope="" ma:versionID="9aaf31b68831fcae393da80daf63e808">
  <xsd:schema xmlns:xsd="http://www.w3.org/2001/XMLSchema" xmlns:xs="http://www.w3.org/2001/XMLSchema" xmlns:p="http://schemas.microsoft.com/office/2006/metadata/properties" xmlns:ns2="fa6d4d45-7b3f-4e16-82ed-6a993f090c3f" xmlns:ns3="35498722-5d8a-4889-ba5a-41c5dd673531" targetNamespace="http://schemas.microsoft.com/office/2006/metadata/properties" ma:root="true" ma:fieldsID="593a4f053bd2e29cb5db2c5164e2de29" ns2:_="" ns3:_="">
    <xsd:import namespace="fa6d4d45-7b3f-4e16-82ed-6a993f090c3f"/>
    <xsd:import namespace="35498722-5d8a-4889-ba5a-41c5dd6735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element ref="ns2:Clearance" minOccurs="0"/>
                <xsd:element ref="ns2:Clearanc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d4d45-7b3f-4e16-82ed-6a993f090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b3e285b-e0ca-4a5b-a5c0-efc06264a33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Clearance" ma:index="21" nillable="true" ma:displayName="Clearance" ma:default="0" ma:format="Dropdown" ma:internalName="Clearance">
      <xsd:simpleType>
        <xsd:restriction base="dms:Boolean"/>
      </xsd:simpleType>
    </xsd:element>
    <xsd:element name="Clearance_x003f_" ma:index="22" nillable="true" ma:displayName="Clearance? " ma:default="0" ma:format="Dropdown" ma:internalName="Clearance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498722-5d8a-4889-ba5a-41c5dd67353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246619e-4d5f-460d-a87c-874b9d477b1e}" ma:internalName="TaxCatchAll" ma:showField="CatchAllData" ma:web="35498722-5d8a-4889-ba5a-41c5dd673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654661EC58C1D44B6733FCA53D6F7CA" ma:contentTypeVersion="15" ma:contentTypeDescription="Create a new document." ma:contentTypeScope="" ma:versionID="05d39c257dab5720c93746b04ec655c2">
  <xsd:schema xmlns:xsd="http://www.w3.org/2001/XMLSchema" xmlns:xs="http://www.w3.org/2001/XMLSchema" xmlns:p="http://schemas.microsoft.com/office/2006/metadata/properties" xmlns:ns2="f9a67731-bf91-4b22-8845-da02009e5238" xmlns:ns3="4952e0ab-3107-446c-ab42-809a130af1dc" targetNamespace="http://schemas.microsoft.com/office/2006/metadata/properties" ma:root="true" ma:fieldsID="d1e1d0d935b54fb9a2d76e4e97079c4a" ns2:_="" ns3:_="">
    <xsd:import namespace="f9a67731-bf91-4b22-8845-da02009e5238"/>
    <xsd:import namespace="4952e0ab-3107-446c-ab42-809a130af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67731-bf91-4b22-8845-da02009e5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52e0ab-3107-446c-ab42-809a130af1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96c9bc-6878-44bf-9774-45b2226a3e75}" ma:internalName="TaxCatchAll" ma:showField="CatchAllData" ma:web="4952e0ab-3107-446c-ab42-809a130af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4A440D18-9FB6-416D-8CE2-C93BBB6BD09C}">
  <ds:schemaRefs>
    <ds:schemaRef ds:uri="http://schemas.microsoft.com/sharepoint/v3/contenttype/forms"/>
  </ds:schemaRefs>
</ds:datastoreItem>
</file>

<file path=customXml/itemProps2.xml><?xml version="1.0" encoding="utf-8"?>
<ds:datastoreItem xmlns:ds="http://schemas.openxmlformats.org/officeDocument/2006/customXml" ds:itemID="{B15E0C6A-0F28-4A5D-B9E0-AEAF296ECD0C}">
  <ds:schemaRefs>
    <ds:schemaRef ds:uri="http://schemas.microsoft.com/office/2006/metadata/properties"/>
    <ds:schemaRef ds:uri="http://schemas.microsoft.com/office/infopath/2007/PartnerControls"/>
    <ds:schemaRef ds:uri="35498722-5d8a-4889-ba5a-41c5dd673531"/>
    <ds:schemaRef ds:uri="fa6d4d45-7b3f-4e16-82ed-6a993f090c3f"/>
  </ds:schemaRefs>
</ds:datastoreItem>
</file>

<file path=customXml/itemProps3.xml><?xml version="1.0" encoding="utf-8"?>
<ds:datastoreItem xmlns:ds="http://schemas.openxmlformats.org/officeDocument/2006/customXml" ds:itemID="{B0693E1D-D7C5-47B7-B234-9D7CEA455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d4d45-7b3f-4e16-82ed-6a993f090c3f"/>
    <ds:schemaRef ds:uri="35498722-5d8a-4889-ba5a-41c5dd673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ECCA71-032D-4A97-9DCD-273D4C054C07}">
  <ds:schemaRefs>
    <ds:schemaRef ds:uri="http://schemas.openxmlformats.org/officeDocument/2006/bibliography"/>
  </ds:schemaRefs>
</ds:datastoreItem>
</file>

<file path=customXml/itemProps5.xml><?xml version="1.0" encoding="utf-8"?>
<ds:datastoreItem xmlns:ds="http://schemas.openxmlformats.org/officeDocument/2006/customXml" ds:itemID="{877B015C-828E-455B-97C0-6506EE30F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67731-bf91-4b22-8845-da02009e5238"/>
    <ds:schemaRef ds:uri="4952e0ab-3107-446c-ab42-809a130af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92D2D4A-4673-4A6D-A183-1BEBB63B22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2889</Words>
  <Characters>15861</Characters>
  <Application>Microsoft Office Word</Application>
  <DocSecurity>0</DocSecurity>
  <Lines>428</Lines>
  <Paragraphs>297</Paragraphs>
  <ScaleCrop>false</ScaleCrop>
  <HeadingPairs>
    <vt:vector size="2" baseType="variant">
      <vt:variant>
        <vt:lpstr>Title</vt:lpstr>
      </vt:variant>
      <vt:variant>
        <vt:i4>1</vt:i4>
      </vt:variant>
    </vt:vector>
  </HeadingPairs>
  <TitlesOfParts>
    <vt:vector size="1" baseType="lpstr">
      <vt:lpstr>CMS-10680 Supporting Statement A (2022 version1) clean</vt:lpstr>
    </vt:vector>
  </TitlesOfParts>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CMS-10680 Supporting Statement A (2022 version1) clean</dc:title>
  <dc:creator>CMS</dc:creator>
  <cp:lastModifiedBy>Bryman, Mitch (CMS/OSORA)</cp:lastModifiedBy>
  <cp:revision>76</cp:revision>
  <dcterms:created xsi:type="dcterms:W3CDTF">2026-07-06T11:58:00Z</dcterms:created>
  <dcterms:modified xsi:type="dcterms:W3CDTF">2026-07-06T16:15:00Z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0x010100A798118BFD2E63499AB11128B3E6B07F</vt:lpwstr>
  </property>
  <property fmtid="{D5CDD505-2E9C-101B-9397-08002B2CF9AE}" pid="3" name="Created">
    <vt:filetime>2022-04-14T00:00:00Z</vt:filetime>
  </property>
  <property fmtid="{D5CDD505-2E9C-101B-9397-08002B2CF9AE}" pid="4" name="Creator">
    <vt:lpwstr>Acrobat PDFMaker 21 for Word</vt:lpwstr>
  </property>
  <property fmtid="{D5CDD505-2E9C-101B-9397-08002B2CF9AE}" pid="5" name="docLang">
    <vt:lpwstr>en</vt:lpwstr>
  </property>
  <property fmtid="{D5CDD505-2E9C-101B-9397-08002B2CF9AE}" pid="6" name="GrammarlyDocumentId">
    <vt:lpwstr>2f89c4b8-979e-4084-9af7-4e8bd95b5ef0</vt:lpwstr>
  </property>
  <property fmtid="{D5CDD505-2E9C-101B-9397-08002B2CF9AE}" pid="7" name="LastSaved">
    <vt:filetime>2022-06-29T00:00:00Z</vt:filetime>
  </property>
  <property fmtid="{D5CDD505-2E9C-101B-9397-08002B2CF9AE}" pid="8" name="MediaServiceImageTags">
    <vt:lpwstr/>
  </property>
</Properties>
</file>