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E3461" w:rsidRPr="00C46261" w:rsidP="00C46261" w14:paraId="6E59AA2D" w14:textId="77777777">
      <w:pPr>
        <w:pStyle w:val="Title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C46261">
        <w:rPr>
          <w:rFonts w:ascii="Arial" w:hAnsi="Arial" w:cs="Arial"/>
          <w:color w:val="000000" w:themeColor="text1"/>
          <w:sz w:val="32"/>
          <w:szCs w:val="32"/>
        </w:rPr>
        <w:t>Comment on CMS Qualified Entity Certification Program (CMS–10394)</w:t>
      </w:r>
    </w:p>
    <w:p w:rsidR="000E3461" w:rsidRPr="00C46261" w14:paraId="00E28008" w14:textId="77777777">
      <w:pPr>
        <w:pStyle w:val="Heading1"/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t>Overview</w:t>
      </w:r>
    </w:p>
    <w:p w:rsidR="000E3461" w:rsidRPr="00C46261" w14:paraId="0C5653CE" w14:textId="54E46738">
      <w:pPr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t>We support CMS’s continued advancement of the Qualified Entity Certification Program and its role in expanding access to standardized data for performance measurement.</w:t>
      </w:r>
      <w:r w:rsidRPr="00C46261">
        <w:rPr>
          <w:rFonts w:ascii="Arial" w:hAnsi="Arial" w:cs="Arial"/>
          <w:color w:val="000000" w:themeColor="text1"/>
        </w:rPr>
        <w:br/>
      </w:r>
      <w:r w:rsidRPr="00C46261">
        <w:rPr>
          <w:rFonts w:ascii="Arial" w:hAnsi="Arial" w:cs="Arial"/>
          <w:color w:val="000000" w:themeColor="text1"/>
        </w:rPr>
        <w:br/>
        <w:t>As CMS continues to strengthen downstream analytics and program integrity capabilities, there is also an opportunity to address a related issue upstream</w:t>
      </w:r>
      <w:r w:rsidR="00C46E77">
        <w:rPr>
          <w:rFonts w:ascii="Arial" w:hAnsi="Arial" w:cs="Arial"/>
          <w:color w:val="000000" w:themeColor="text1"/>
        </w:rPr>
        <w:t>:</w:t>
      </w:r>
      <w:r w:rsidR="00C46261">
        <w:rPr>
          <w:rFonts w:ascii="Arial" w:hAnsi="Arial" w:cs="Arial"/>
          <w:color w:val="000000" w:themeColor="text1"/>
        </w:rPr>
        <w:t xml:space="preserve"> </w:t>
      </w:r>
      <w:r w:rsidRPr="00C46261">
        <w:rPr>
          <w:rFonts w:ascii="Arial" w:hAnsi="Arial" w:cs="Arial"/>
          <w:color w:val="000000" w:themeColor="text1"/>
        </w:rPr>
        <w:t>ensuring that the administrative information used across programs is sufficiently reliable before it is used for measurement, oversight, or payment.</w:t>
      </w:r>
    </w:p>
    <w:p w:rsidR="000E3461" w:rsidRPr="00C46261" w14:paraId="66D9AF58" w14:textId="77777777">
      <w:pPr>
        <w:pStyle w:val="Heading1"/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t>Observation</w:t>
      </w:r>
    </w:p>
    <w:p w:rsidR="000E3461" w:rsidRPr="00C46261" w14:paraId="4828C070" w14:textId="77777777">
      <w:pPr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t>In practice, inconsistencies in how service locations and responsible entities are represented can persist across administrative processes.</w:t>
      </w:r>
      <w:r w:rsidRPr="00C46261">
        <w:rPr>
          <w:rFonts w:ascii="Arial" w:hAnsi="Arial" w:cs="Arial"/>
          <w:color w:val="000000" w:themeColor="text1"/>
        </w:rPr>
        <w:br/>
      </w:r>
      <w:r w:rsidRPr="00C46261">
        <w:rPr>
          <w:rFonts w:ascii="Arial" w:hAnsi="Arial" w:cs="Arial"/>
          <w:color w:val="000000" w:themeColor="text1"/>
        </w:rPr>
        <w:br/>
        <w:t>If these inconsistencies are not addressed early, they carry forward into downstream analytics and program integrity efforts, where they are harder to resolve.</w:t>
      </w:r>
    </w:p>
    <w:p w:rsidR="000E3461" w:rsidRPr="00C46261" w14:paraId="5E6B556A" w14:textId="77777777">
      <w:pPr>
        <w:pStyle w:val="Heading1"/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t>Recommendation</w:t>
      </w:r>
    </w:p>
    <w:p w:rsidR="000E3461" w:rsidRPr="00C46261" w14:paraId="56B89D59" w14:textId="4C58293F">
      <w:pPr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t>We recommend that CMS incorporate targeted pre-enrollment validation as part of its broader program integrity strategy.</w:t>
      </w:r>
      <w:r w:rsidRPr="00C46261">
        <w:rPr>
          <w:rFonts w:ascii="Arial" w:hAnsi="Arial" w:cs="Arial"/>
          <w:color w:val="000000" w:themeColor="text1"/>
        </w:rPr>
        <w:br/>
      </w:r>
      <w:r w:rsidRPr="00C46261">
        <w:rPr>
          <w:rFonts w:ascii="Arial" w:hAnsi="Arial" w:cs="Arial"/>
          <w:color w:val="000000" w:themeColor="text1"/>
        </w:rPr>
        <w:br/>
        <w:t>Program integrity begins prior to enrollment and before payment</w:t>
      </w:r>
      <w:r w:rsidR="00C46261">
        <w:rPr>
          <w:rFonts w:ascii="Arial" w:hAnsi="Arial" w:cs="Arial"/>
          <w:color w:val="000000" w:themeColor="text1"/>
        </w:rPr>
        <w:t xml:space="preserve"> -</w:t>
      </w:r>
      <w:r w:rsidRPr="00C46261">
        <w:rPr>
          <w:rFonts w:ascii="Arial" w:hAnsi="Arial" w:cs="Arial"/>
          <w:color w:val="000000" w:themeColor="text1"/>
        </w:rPr>
        <w:t xml:space="preserve"> not after.</w:t>
      </w:r>
    </w:p>
    <w:p w:rsidR="000E3461" w:rsidRPr="00C46261" w14:paraId="03793102" w14:textId="77777777">
      <w:pPr>
        <w:pStyle w:val="Heading1"/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t>Why This Matters</w:t>
      </w:r>
    </w:p>
    <w:p w:rsidR="000E3461" w:rsidRPr="00C46261" w14:paraId="5B59CCC0" w14:textId="1254E56C">
      <w:pPr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t xml:space="preserve">Performance measurement and oversight depend on the reliability of the underlying administrative information. Strengthening validation at the point of entry improves the quality of downstream measurement and supports </w:t>
      </w:r>
      <w:r w:rsidR="00C46261">
        <w:rPr>
          <w:rFonts w:ascii="Arial" w:hAnsi="Arial" w:cs="Arial"/>
          <w:color w:val="000000" w:themeColor="text1"/>
        </w:rPr>
        <w:t>stronger</w:t>
      </w:r>
      <w:r w:rsidRPr="00C46261">
        <w:rPr>
          <w:rFonts w:ascii="Arial" w:hAnsi="Arial" w:cs="Arial"/>
          <w:color w:val="000000" w:themeColor="text1"/>
        </w:rPr>
        <w:t xml:space="preserve"> program integrity without major structural changes.</w:t>
      </w:r>
    </w:p>
    <w:p w:rsidR="000E3461" w:rsidRPr="00C46261" w14:paraId="1F10D657" w14:textId="068380C8">
      <w:pPr>
        <w:rPr>
          <w:rFonts w:ascii="Arial" w:hAnsi="Arial" w:cs="Arial"/>
          <w:color w:val="000000" w:themeColor="text1"/>
        </w:rPr>
      </w:pPr>
      <w:r w:rsidRPr="00C46261">
        <w:rPr>
          <w:rFonts w:ascii="Arial" w:hAnsi="Arial" w:cs="Arial"/>
          <w:color w:val="000000" w:themeColor="text1"/>
        </w:rPr>
        <w:br/>
        <w:t>Submitted by:</w:t>
      </w:r>
      <w:r w:rsidRPr="00C46261">
        <w:rPr>
          <w:rFonts w:ascii="Arial" w:hAnsi="Arial" w:cs="Arial"/>
          <w:color w:val="000000" w:themeColor="text1"/>
        </w:rPr>
        <w:br/>
        <w:t>Missy Held</w:t>
      </w:r>
      <w:r w:rsidRPr="00C46261">
        <w:rPr>
          <w:rFonts w:ascii="Arial" w:hAnsi="Arial" w:cs="Arial"/>
          <w:color w:val="000000" w:themeColor="text1"/>
        </w:rPr>
        <w:br/>
        <w:t>CEO</w:t>
      </w:r>
      <w:r w:rsidR="00C46E77">
        <w:rPr>
          <w:rFonts w:ascii="Arial" w:hAnsi="Arial" w:cs="Arial"/>
          <w:color w:val="000000" w:themeColor="text1"/>
        </w:rPr>
        <w:t>,</w:t>
      </w:r>
      <w:r w:rsidRPr="00C46261">
        <w:rPr>
          <w:rFonts w:ascii="Arial" w:hAnsi="Arial" w:cs="Arial"/>
          <w:color w:val="000000" w:themeColor="text1"/>
        </w:rPr>
        <w:t xml:space="preserve"> Founder</w:t>
      </w:r>
      <w:r w:rsidRPr="00C46261">
        <w:rPr>
          <w:rFonts w:ascii="Arial" w:hAnsi="Arial" w:cs="Arial"/>
          <w:color w:val="000000" w:themeColor="text1"/>
        </w:rPr>
        <w:br/>
        <w:t>FIRN Inc.</w:t>
      </w:r>
    </w:p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6585054">
    <w:abstractNumId w:val="8"/>
  </w:num>
  <w:num w:numId="2" w16cid:durableId="1973628176">
    <w:abstractNumId w:val="6"/>
  </w:num>
  <w:num w:numId="3" w16cid:durableId="1635791577">
    <w:abstractNumId w:val="5"/>
  </w:num>
  <w:num w:numId="4" w16cid:durableId="992218904">
    <w:abstractNumId w:val="4"/>
  </w:num>
  <w:num w:numId="5" w16cid:durableId="761026355">
    <w:abstractNumId w:val="7"/>
  </w:num>
  <w:num w:numId="6" w16cid:durableId="1749888626">
    <w:abstractNumId w:val="3"/>
  </w:num>
  <w:num w:numId="7" w16cid:durableId="539589395">
    <w:abstractNumId w:val="2"/>
  </w:num>
  <w:num w:numId="8" w16cid:durableId="1429738262">
    <w:abstractNumId w:val="1"/>
  </w:num>
  <w:num w:numId="9" w16cid:durableId="84667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461"/>
    <w:rsid w:val="0015074B"/>
    <w:rsid w:val="0029639D"/>
    <w:rsid w:val="00326F90"/>
    <w:rsid w:val="003D7EB6"/>
    <w:rsid w:val="0048740C"/>
    <w:rsid w:val="0063567E"/>
    <w:rsid w:val="006B708C"/>
    <w:rsid w:val="00AA1D8D"/>
    <w:rsid w:val="00B47730"/>
    <w:rsid w:val="00C46261"/>
    <w:rsid w:val="00C46E77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5D238CB5"/>
  <w15:docId w15:val="{B1B5A219-BE62-F541-BD3E-69CEB56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1223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McKenzie, Stephan (CMS/OSORA)</cp:lastModifiedBy>
  <cp:revision>2</cp:revision>
  <dcterms:created xsi:type="dcterms:W3CDTF">2026-03-24T14:57:00Z</dcterms:created>
  <dcterms:modified xsi:type="dcterms:W3CDTF">2026-03-24T14:57:00Z</dcterms:modified>
</cp:coreProperties>
</file>