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33392" w14:paraId="3259E6A4" w14:textId="77777777">
      <w:pPr>
        <w:pStyle w:val="Heading1"/>
      </w:pPr>
      <w:r>
        <w:rPr>
          <w:color w:val="231F20"/>
        </w:rPr>
        <w:t>Supporting</w:t>
      </w:r>
      <w:r>
        <w:rPr>
          <w:color w:val="231F20"/>
          <w:spacing w:val="-10"/>
        </w:rPr>
        <w:t xml:space="preserve"> </w:t>
      </w:r>
      <w:r>
        <w:rPr>
          <w:color w:val="231F20"/>
        </w:rPr>
        <w:t>Statement</w:t>
      </w:r>
      <w:r>
        <w:rPr>
          <w:color w:val="231F20"/>
          <w:spacing w:val="-6"/>
        </w:rPr>
        <w:t xml:space="preserve"> </w:t>
      </w:r>
      <w:r>
        <w:rPr>
          <w:color w:val="231F20"/>
        </w:rPr>
        <w:t>–</w:t>
      </w:r>
      <w:r>
        <w:rPr>
          <w:color w:val="231F20"/>
          <w:spacing w:val="-6"/>
        </w:rPr>
        <w:t xml:space="preserve"> </w:t>
      </w:r>
      <w:r>
        <w:rPr>
          <w:color w:val="231F20"/>
        </w:rPr>
        <w:t>Part</w:t>
      </w:r>
      <w:r>
        <w:rPr>
          <w:color w:val="231F20"/>
          <w:spacing w:val="-15"/>
        </w:rPr>
        <w:t xml:space="preserve"> </w:t>
      </w:r>
      <w:r>
        <w:rPr>
          <w:color w:val="231F20"/>
          <w:spacing w:val="-10"/>
        </w:rPr>
        <w:t>A</w:t>
      </w:r>
    </w:p>
    <w:p w:rsidR="00C33392" w14:paraId="3DF1E8D6" w14:textId="77777777">
      <w:pPr>
        <w:spacing w:before="21" w:line="256" w:lineRule="auto"/>
        <w:ind w:left="63"/>
        <w:jc w:val="center"/>
        <w:rPr>
          <w:sz w:val="24"/>
        </w:rPr>
      </w:pPr>
      <w:r>
        <w:rPr>
          <w:color w:val="231F20"/>
          <w:sz w:val="24"/>
          <w:u w:val="single" w:color="231F20"/>
        </w:rPr>
        <w:t>Application</w:t>
      </w:r>
      <w:r>
        <w:rPr>
          <w:color w:val="231F20"/>
          <w:spacing w:val="-8"/>
          <w:sz w:val="24"/>
          <w:u w:val="single" w:color="231F20"/>
        </w:rPr>
        <w:t xml:space="preserve"> </w:t>
      </w:r>
      <w:r>
        <w:rPr>
          <w:color w:val="231F20"/>
          <w:sz w:val="24"/>
          <w:u w:val="single" w:color="231F20"/>
        </w:rPr>
        <w:t>To</w:t>
      </w:r>
      <w:r>
        <w:rPr>
          <w:color w:val="231F20"/>
          <w:spacing w:val="-5"/>
          <w:sz w:val="24"/>
          <w:u w:val="single" w:color="231F20"/>
        </w:rPr>
        <w:t xml:space="preserve"> </w:t>
      </w:r>
      <w:r>
        <w:rPr>
          <w:color w:val="231F20"/>
          <w:sz w:val="24"/>
          <w:u w:val="single" w:color="231F20"/>
        </w:rPr>
        <w:t>Be</w:t>
      </w:r>
      <w:r>
        <w:rPr>
          <w:color w:val="231F20"/>
          <w:spacing w:val="-5"/>
          <w:sz w:val="24"/>
          <w:u w:val="single" w:color="231F20"/>
        </w:rPr>
        <w:t xml:space="preserve"> </w:t>
      </w:r>
      <w:r>
        <w:rPr>
          <w:color w:val="231F20"/>
          <w:sz w:val="24"/>
          <w:u w:val="single" w:color="231F20"/>
        </w:rPr>
        <w:t>a</w:t>
      </w:r>
      <w:r>
        <w:rPr>
          <w:color w:val="231F20"/>
          <w:spacing w:val="-5"/>
          <w:sz w:val="24"/>
          <w:u w:val="single" w:color="231F20"/>
        </w:rPr>
        <w:t xml:space="preserve"> </w:t>
      </w:r>
      <w:r>
        <w:rPr>
          <w:color w:val="231F20"/>
          <w:sz w:val="24"/>
          <w:u w:val="single" w:color="231F20"/>
        </w:rPr>
        <w:t>Qualified</w:t>
      </w:r>
      <w:r>
        <w:rPr>
          <w:color w:val="231F20"/>
          <w:spacing w:val="-5"/>
          <w:sz w:val="24"/>
          <w:u w:val="single" w:color="231F20"/>
        </w:rPr>
        <w:t xml:space="preserve"> </w:t>
      </w:r>
      <w:r>
        <w:rPr>
          <w:color w:val="231F20"/>
          <w:sz w:val="24"/>
          <w:u w:val="single" w:color="231F20"/>
        </w:rPr>
        <w:t>Entity</w:t>
      </w:r>
      <w:r>
        <w:rPr>
          <w:color w:val="231F20"/>
          <w:spacing w:val="-5"/>
          <w:sz w:val="24"/>
          <w:u w:val="single" w:color="231F20"/>
        </w:rPr>
        <w:t xml:space="preserve"> </w:t>
      </w:r>
      <w:r>
        <w:rPr>
          <w:color w:val="231F20"/>
          <w:sz w:val="24"/>
          <w:u w:val="single" w:color="231F20"/>
        </w:rPr>
        <w:t>to</w:t>
      </w:r>
      <w:r>
        <w:rPr>
          <w:color w:val="231F20"/>
          <w:spacing w:val="-5"/>
          <w:sz w:val="24"/>
          <w:u w:val="single" w:color="231F20"/>
        </w:rPr>
        <w:t xml:space="preserve"> </w:t>
      </w:r>
      <w:r>
        <w:rPr>
          <w:color w:val="231F20"/>
          <w:sz w:val="24"/>
          <w:u w:val="single" w:color="231F20"/>
        </w:rPr>
        <w:t>Receive</w:t>
      </w:r>
      <w:r>
        <w:rPr>
          <w:color w:val="231F20"/>
          <w:spacing w:val="-5"/>
          <w:sz w:val="24"/>
          <w:u w:val="single" w:color="231F20"/>
        </w:rPr>
        <w:t xml:space="preserve"> </w:t>
      </w:r>
      <w:r>
        <w:rPr>
          <w:color w:val="231F20"/>
          <w:sz w:val="24"/>
          <w:u w:val="single" w:color="231F20"/>
        </w:rPr>
        <w:t>Medicare</w:t>
      </w:r>
      <w:r>
        <w:rPr>
          <w:color w:val="231F20"/>
          <w:spacing w:val="-5"/>
          <w:sz w:val="24"/>
          <w:u w:val="single" w:color="231F20"/>
        </w:rPr>
        <w:t xml:space="preserve"> </w:t>
      </w:r>
      <w:r>
        <w:rPr>
          <w:color w:val="231F20"/>
          <w:sz w:val="24"/>
          <w:u w:val="single" w:color="231F20"/>
        </w:rPr>
        <w:t>Data</w:t>
      </w:r>
      <w:r>
        <w:rPr>
          <w:color w:val="231F20"/>
          <w:spacing w:val="-5"/>
          <w:sz w:val="24"/>
          <w:u w:val="single" w:color="231F20"/>
        </w:rPr>
        <w:t xml:space="preserve"> </w:t>
      </w:r>
      <w:r>
        <w:rPr>
          <w:color w:val="231F20"/>
          <w:sz w:val="24"/>
          <w:u w:val="single" w:color="231F20"/>
        </w:rPr>
        <w:t>for</w:t>
      </w:r>
      <w:r>
        <w:rPr>
          <w:color w:val="231F20"/>
          <w:spacing w:val="-5"/>
          <w:sz w:val="24"/>
          <w:u w:val="single" w:color="231F20"/>
        </w:rPr>
        <w:t xml:space="preserve"> </w:t>
      </w:r>
      <w:r>
        <w:rPr>
          <w:color w:val="231F20"/>
          <w:sz w:val="24"/>
          <w:u w:val="single" w:color="231F20"/>
        </w:rPr>
        <w:t>Performance</w:t>
      </w:r>
      <w:r>
        <w:rPr>
          <w:color w:val="231F20"/>
          <w:spacing w:val="-4"/>
          <w:sz w:val="24"/>
          <w:u w:val="single" w:color="231F20"/>
        </w:rPr>
        <w:t xml:space="preserve"> </w:t>
      </w:r>
      <w:r>
        <w:rPr>
          <w:color w:val="231F20"/>
          <w:sz w:val="24"/>
          <w:u w:val="single" w:color="231F20"/>
        </w:rPr>
        <w:t>Measurement</w:t>
      </w:r>
      <w:r>
        <w:rPr>
          <w:color w:val="231F20"/>
          <w:spacing w:val="-4"/>
          <w:sz w:val="24"/>
          <w:u w:val="single" w:color="231F20"/>
        </w:rPr>
        <w:t xml:space="preserve"> </w:t>
      </w:r>
      <w:r>
        <w:rPr>
          <w:color w:val="231F20"/>
          <w:sz w:val="24"/>
          <w:u w:val="single" w:color="231F20"/>
        </w:rPr>
        <w:t>/</w:t>
      </w:r>
      <w:r>
        <w:rPr>
          <w:color w:val="231F20"/>
          <w:sz w:val="24"/>
        </w:rPr>
        <w:t xml:space="preserve"> </w:t>
      </w:r>
      <w:r>
        <w:rPr>
          <w:color w:val="231F20"/>
          <w:sz w:val="24"/>
          <w:u w:val="single" w:color="231F20"/>
        </w:rPr>
        <w:t>Reapplication / Annual Report Worksheet</w:t>
      </w:r>
    </w:p>
    <w:p w:rsidR="00C33392" w14:paraId="047E299F" w14:textId="77777777">
      <w:pPr>
        <w:spacing w:before="105"/>
        <w:ind w:left="63" w:right="4"/>
        <w:jc w:val="center"/>
        <w:rPr>
          <w:sz w:val="24"/>
        </w:rPr>
      </w:pPr>
      <w:r>
        <w:rPr>
          <w:color w:val="231F20"/>
          <w:sz w:val="24"/>
          <w:u w:val="single" w:color="231F20"/>
        </w:rPr>
        <w:t>(CMS-10394; (OMB) 0938-</w:t>
      </w:r>
      <w:r>
        <w:rPr>
          <w:color w:val="231F20"/>
          <w:spacing w:val="-2"/>
          <w:sz w:val="24"/>
          <w:u w:val="single" w:color="231F20"/>
        </w:rPr>
        <w:t>1144)</w:t>
      </w:r>
    </w:p>
    <w:p w:rsidR="00C33392" w14:paraId="770F5E00" w14:textId="77777777">
      <w:pPr>
        <w:pStyle w:val="ListParagraph"/>
        <w:numPr>
          <w:ilvl w:val="0"/>
          <w:numId w:val="1"/>
        </w:numPr>
        <w:tabs>
          <w:tab w:val="left" w:pos="757"/>
        </w:tabs>
        <w:spacing w:before="134"/>
        <w:ind w:hanging="659"/>
        <w:jc w:val="left"/>
        <w:rPr>
          <w:u w:val="none"/>
        </w:rPr>
      </w:pPr>
      <w:r>
        <w:rPr>
          <w:color w:val="231F20"/>
          <w:spacing w:val="-2"/>
          <w:u w:color="231F20"/>
        </w:rPr>
        <w:t>Background</w:t>
      </w:r>
    </w:p>
    <w:p w:rsidR="00C33392" w14:paraId="23960A68" w14:textId="77777777">
      <w:pPr>
        <w:pStyle w:val="BodyText"/>
        <w:spacing w:before="116" w:line="252" w:lineRule="auto"/>
        <w:ind w:left="710" w:right="21" w:hanging="10"/>
      </w:pPr>
      <w:r>
        <w:rPr>
          <w:color w:val="231F20"/>
        </w:rPr>
        <w:t>Section</w:t>
      </w:r>
      <w:r>
        <w:rPr>
          <w:color w:val="231F20"/>
          <w:spacing w:val="-5"/>
        </w:rPr>
        <w:t xml:space="preserve"> </w:t>
      </w:r>
      <w:r>
        <w:rPr>
          <w:color w:val="231F20"/>
        </w:rPr>
        <w:t>10332</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Patient</w:t>
      </w:r>
      <w:r>
        <w:rPr>
          <w:color w:val="231F20"/>
          <w:spacing w:val="-4"/>
        </w:rPr>
        <w:t xml:space="preserve"> </w:t>
      </w:r>
      <w:r>
        <w:rPr>
          <w:color w:val="231F20"/>
        </w:rPr>
        <w:t>Protection</w:t>
      </w:r>
      <w:r>
        <w:rPr>
          <w:color w:val="231F20"/>
          <w:spacing w:val="-4"/>
        </w:rPr>
        <w:t xml:space="preserve"> </w:t>
      </w:r>
      <w:r>
        <w:rPr>
          <w:color w:val="231F20"/>
        </w:rPr>
        <w:t>and</w:t>
      </w:r>
      <w:r>
        <w:rPr>
          <w:color w:val="231F20"/>
          <w:spacing w:val="-14"/>
        </w:rPr>
        <w:t xml:space="preserve"> </w:t>
      </w:r>
      <w:r>
        <w:rPr>
          <w:color w:val="231F20"/>
        </w:rPr>
        <w:t>Affordable</w:t>
      </w:r>
      <w:r>
        <w:rPr>
          <w:color w:val="231F20"/>
          <w:spacing w:val="-3"/>
        </w:rPr>
        <w:t xml:space="preserve"> </w:t>
      </w:r>
      <w:r>
        <w:rPr>
          <w:color w:val="231F20"/>
        </w:rPr>
        <w:t>Care</w:t>
      </w:r>
      <w:r>
        <w:rPr>
          <w:color w:val="231F20"/>
          <w:spacing w:val="-14"/>
        </w:rPr>
        <w:t xml:space="preserve"> </w:t>
      </w:r>
      <w:r>
        <w:rPr>
          <w:color w:val="231F20"/>
        </w:rPr>
        <w:t>Act</w:t>
      </w:r>
      <w:r>
        <w:rPr>
          <w:color w:val="231F20"/>
          <w:spacing w:val="-3"/>
        </w:rPr>
        <w:t xml:space="preserve"> </w:t>
      </w:r>
      <w:r>
        <w:rPr>
          <w:color w:val="231F20"/>
        </w:rPr>
        <w:t>(ACA)</w:t>
      </w:r>
      <w:r>
        <w:rPr>
          <w:color w:val="231F20"/>
          <w:spacing w:val="-4"/>
        </w:rPr>
        <w:t xml:space="preserve"> </w:t>
      </w:r>
      <w:r>
        <w:rPr>
          <w:color w:val="231F20"/>
        </w:rPr>
        <w:t>requires</w:t>
      </w:r>
      <w:r>
        <w:rPr>
          <w:color w:val="231F20"/>
          <w:spacing w:val="-3"/>
        </w:rPr>
        <w:t xml:space="preserve"> </w:t>
      </w:r>
      <w:r>
        <w:rPr>
          <w:color w:val="231F20"/>
        </w:rPr>
        <w:t>the</w:t>
      </w:r>
      <w:r>
        <w:rPr>
          <w:color w:val="231F20"/>
          <w:spacing w:val="-4"/>
        </w:rPr>
        <w:t xml:space="preserve"> </w:t>
      </w:r>
      <w:r>
        <w:rPr>
          <w:color w:val="231F20"/>
        </w:rPr>
        <w:t>Secretary</w:t>
      </w:r>
      <w:r>
        <w:rPr>
          <w:color w:val="231F20"/>
          <w:spacing w:val="-3"/>
        </w:rPr>
        <w:t xml:space="preserve"> </w:t>
      </w:r>
      <w:r>
        <w:rPr>
          <w:color w:val="231F20"/>
        </w:rPr>
        <w:t>to make standardized extracts of Medicare claims data under Parts</w:t>
      </w:r>
      <w:r>
        <w:rPr>
          <w:color w:val="231F20"/>
          <w:spacing w:val="-4"/>
        </w:rPr>
        <w:t xml:space="preserve"> </w:t>
      </w:r>
      <w:r>
        <w:rPr>
          <w:color w:val="231F20"/>
        </w:rPr>
        <w:t>A, B, and D available to “qualified</w:t>
      </w:r>
      <w:r>
        <w:rPr>
          <w:color w:val="231F20"/>
          <w:spacing w:val="-2"/>
        </w:rPr>
        <w:t xml:space="preserve"> </w:t>
      </w:r>
      <w:r>
        <w:rPr>
          <w:color w:val="231F20"/>
        </w:rPr>
        <w:t>entities”</w:t>
      </w:r>
      <w:r>
        <w:rPr>
          <w:color w:val="231F20"/>
          <w:spacing w:val="-2"/>
        </w:rPr>
        <w:t xml:space="preserve"> </w:t>
      </w:r>
      <w:r>
        <w:rPr>
          <w:color w:val="231F20"/>
        </w:rPr>
        <w:t>(QEs)</w:t>
      </w:r>
      <w:r>
        <w:rPr>
          <w:color w:val="231F20"/>
          <w:spacing w:val="-2"/>
        </w:rPr>
        <w:t xml:space="preserve"> </w:t>
      </w:r>
      <w:r>
        <w:rPr>
          <w:color w:val="231F20"/>
        </w:rPr>
        <w:t>for</w:t>
      </w:r>
      <w:r>
        <w:rPr>
          <w:color w:val="231F20"/>
          <w:spacing w:val="-2"/>
        </w:rPr>
        <w:t xml:space="preserve"> </w:t>
      </w:r>
      <w:r>
        <w:rPr>
          <w:color w:val="231F20"/>
        </w:rPr>
        <w:t>evaluating</w:t>
      </w:r>
      <w:r>
        <w:rPr>
          <w:color w:val="231F20"/>
          <w:spacing w:val="-3"/>
        </w:rPr>
        <w:t xml:space="preserve"> </w:t>
      </w:r>
      <w:r>
        <w:rPr>
          <w:color w:val="231F20"/>
        </w:rPr>
        <w:t>performance</w:t>
      </w:r>
      <w:r>
        <w:rPr>
          <w:color w:val="231F20"/>
          <w:spacing w:val="-2"/>
        </w:rPr>
        <w:t xml:space="preserve"> </w:t>
      </w:r>
      <w:r>
        <w:rPr>
          <w:color w:val="231F20"/>
        </w:rPr>
        <w:t>of</w:t>
      </w:r>
      <w:r>
        <w:rPr>
          <w:color w:val="231F20"/>
          <w:spacing w:val="-2"/>
        </w:rPr>
        <w:t xml:space="preserve"> </w:t>
      </w:r>
      <w:r>
        <w:rPr>
          <w:color w:val="231F20"/>
        </w:rPr>
        <w:t>providers</w:t>
      </w:r>
      <w:r>
        <w:rPr>
          <w:color w:val="231F20"/>
          <w:spacing w:val="-2"/>
        </w:rPr>
        <w:t xml:space="preserve"> </w:t>
      </w:r>
      <w:r>
        <w:rPr>
          <w:color w:val="231F20"/>
        </w:rPr>
        <w:t>of</w:t>
      </w:r>
      <w:r>
        <w:rPr>
          <w:color w:val="231F20"/>
          <w:spacing w:val="-2"/>
        </w:rPr>
        <w:t xml:space="preserve"> </w:t>
      </w:r>
      <w:r>
        <w:rPr>
          <w:color w:val="231F20"/>
        </w:rPr>
        <w:t>services</w:t>
      </w:r>
      <w:r>
        <w:rPr>
          <w:color w:val="231F20"/>
          <w:spacing w:val="-2"/>
        </w:rPr>
        <w:t xml:space="preserve"> </w:t>
      </w:r>
      <w:r>
        <w:rPr>
          <w:color w:val="231F20"/>
        </w:rPr>
        <w:t>and</w:t>
      </w:r>
      <w:r>
        <w:rPr>
          <w:color w:val="231F20"/>
          <w:spacing w:val="-2"/>
        </w:rPr>
        <w:t xml:space="preserve"> </w:t>
      </w:r>
      <w:r>
        <w:rPr>
          <w:color w:val="231F20"/>
        </w:rPr>
        <w:t>suppliers.</w:t>
      </w:r>
      <w:r>
        <w:rPr>
          <w:color w:val="231F20"/>
          <w:spacing w:val="-6"/>
        </w:rPr>
        <w:t xml:space="preserve"> </w:t>
      </w:r>
      <w:r>
        <w:rPr>
          <w:color w:val="231F20"/>
        </w:rPr>
        <w:t>The statute provides the Secretary with discretion to establish criteria determining whether an entity qualifies to use claims data to evaluate the performance of providers of services and suppliers.</w:t>
      </w:r>
    </w:p>
    <w:p w:rsidR="00C33392" w14:paraId="4E19FA8B" w14:textId="77777777">
      <w:pPr>
        <w:pStyle w:val="BodyText"/>
        <w:spacing w:line="252" w:lineRule="auto"/>
        <w:ind w:left="710" w:right="78"/>
      </w:pPr>
      <w:r>
        <w:rPr>
          <w:color w:val="231F20"/>
        </w:rPr>
        <w:t>After</w:t>
      </w:r>
      <w:r>
        <w:rPr>
          <w:color w:val="231F20"/>
          <w:spacing w:val="-1"/>
        </w:rPr>
        <w:t xml:space="preserve"> </w:t>
      </w:r>
      <w:r>
        <w:rPr>
          <w:color w:val="231F20"/>
        </w:rPr>
        <w:t>consideration</w:t>
      </w:r>
      <w:r>
        <w:rPr>
          <w:color w:val="231F20"/>
          <w:spacing w:val="-1"/>
        </w:rPr>
        <w:t xml:space="preserve"> </w:t>
      </w:r>
      <w:r>
        <w:rPr>
          <w:color w:val="231F20"/>
        </w:rPr>
        <w:t>of</w:t>
      </w:r>
      <w:r>
        <w:rPr>
          <w:color w:val="231F20"/>
          <w:spacing w:val="-1"/>
        </w:rPr>
        <w:t xml:space="preserve"> </w:t>
      </w:r>
      <w:r>
        <w:rPr>
          <w:color w:val="231F20"/>
        </w:rPr>
        <w:t>comments</w:t>
      </w:r>
      <w:r>
        <w:rPr>
          <w:color w:val="231F20"/>
          <w:spacing w:val="-1"/>
        </w:rPr>
        <w:t xml:space="preserve"> </w:t>
      </w:r>
      <w:r>
        <w:rPr>
          <w:color w:val="231F20"/>
        </w:rPr>
        <w:t>from</w:t>
      </w:r>
      <w:r>
        <w:rPr>
          <w:color w:val="231F20"/>
          <w:spacing w:val="-1"/>
        </w:rPr>
        <w:t xml:space="preserve"> </w:t>
      </w:r>
      <w:r>
        <w:rPr>
          <w:color w:val="231F20"/>
        </w:rPr>
        <w:t>a wide</w:t>
      </w:r>
      <w:r>
        <w:rPr>
          <w:color w:val="231F20"/>
          <w:spacing w:val="-1"/>
        </w:rPr>
        <w:t xml:space="preserve"> </w:t>
      </w:r>
      <w:r>
        <w:rPr>
          <w:color w:val="231F20"/>
        </w:rPr>
        <w:t>variety</w:t>
      </w:r>
      <w:r>
        <w:rPr>
          <w:color w:val="231F20"/>
          <w:spacing w:val="-1"/>
        </w:rPr>
        <w:t xml:space="preserve"> </w:t>
      </w:r>
      <w:r>
        <w:rPr>
          <w:color w:val="231F20"/>
        </w:rPr>
        <w:t>of</w:t>
      </w:r>
      <w:r>
        <w:rPr>
          <w:color w:val="231F20"/>
          <w:spacing w:val="-1"/>
        </w:rPr>
        <w:t xml:space="preserve"> </w:t>
      </w:r>
      <w:r>
        <w:rPr>
          <w:color w:val="231F20"/>
        </w:rPr>
        <w:t>stakeholders</w:t>
      </w:r>
      <w:r>
        <w:rPr>
          <w:color w:val="231F20"/>
          <w:spacing w:val="-1"/>
        </w:rPr>
        <w:t xml:space="preserve"> </w:t>
      </w:r>
      <w:r>
        <w:rPr>
          <w:color w:val="231F20"/>
        </w:rPr>
        <w:t>during</w:t>
      </w:r>
      <w:r>
        <w:rPr>
          <w:color w:val="231F20"/>
          <w:spacing w:val="-1"/>
        </w:rPr>
        <w:t xml:space="preserve"> </w:t>
      </w:r>
      <w:r>
        <w:rPr>
          <w:color w:val="231F20"/>
        </w:rPr>
        <w:t>the</w:t>
      </w:r>
      <w:r>
        <w:rPr>
          <w:color w:val="231F20"/>
          <w:spacing w:val="-2"/>
        </w:rPr>
        <w:t xml:space="preserve"> </w:t>
      </w:r>
      <w:r>
        <w:rPr>
          <w:color w:val="231F20"/>
        </w:rPr>
        <w:t>public</w:t>
      </w:r>
      <w:r>
        <w:rPr>
          <w:color w:val="231F20"/>
          <w:spacing w:val="-1"/>
        </w:rPr>
        <w:t xml:space="preserve"> </w:t>
      </w:r>
      <w:r>
        <w:rPr>
          <w:color w:val="231F20"/>
        </w:rPr>
        <w:t>comment period, CMS established “Medicare Program;</w:t>
      </w:r>
      <w:r>
        <w:rPr>
          <w:color w:val="231F20"/>
          <w:spacing w:val="-2"/>
        </w:rPr>
        <w:t xml:space="preserve"> </w:t>
      </w:r>
      <w:r>
        <w:rPr>
          <w:color w:val="231F20"/>
        </w:rPr>
        <w:t>Availability of Medicare Data for Performance Measurement”</w:t>
      </w:r>
      <w:r>
        <w:rPr>
          <w:color w:val="231F20"/>
          <w:spacing w:val="-4"/>
        </w:rPr>
        <w:t xml:space="preserve"> </w:t>
      </w:r>
      <w:r>
        <w:rPr>
          <w:color w:val="231F20"/>
        </w:rPr>
        <w:t>(hereinafter</w:t>
      </w:r>
      <w:r>
        <w:rPr>
          <w:color w:val="231F20"/>
          <w:spacing w:val="-2"/>
        </w:rPr>
        <w:t xml:space="preserve"> </w:t>
      </w:r>
      <w:r>
        <w:rPr>
          <w:color w:val="231F20"/>
        </w:rPr>
        <w:t>called</w:t>
      </w:r>
      <w:r>
        <w:rPr>
          <w:color w:val="231F20"/>
          <w:spacing w:val="-3"/>
        </w:rPr>
        <w:t xml:space="preserve"> </w:t>
      </w:r>
      <w:r>
        <w:rPr>
          <w:color w:val="231F20"/>
        </w:rPr>
        <w:t>the</w:t>
      </w:r>
      <w:r>
        <w:rPr>
          <w:color w:val="231F20"/>
          <w:spacing w:val="-3"/>
        </w:rPr>
        <w:t xml:space="preserve"> </w:t>
      </w:r>
      <w:r>
        <w:rPr>
          <w:color w:val="231F20"/>
        </w:rPr>
        <w:t>Final</w:t>
      </w:r>
      <w:r>
        <w:rPr>
          <w:color w:val="231F20"/>
          <w:spacing w:val="-3"/>
        </w:rPr>
        <w:t xml:space="preserve"> </w:t>
      </w:r>
      <w:r>
        <w:rPr>
          <w:color w:val="231F20"/>
        </w:rPr>
        <w:t>Rule</w:t>
      </w:r>
      <w:r>
        <w:rPr>
          <w:color w:val="231F20"/>
          <w:spacing w:val="-3"/>
        </w:rPr>
        <w:t xml:space="preserve"> </w:t>
      </w:r>
      <w:r>
        <w:rPr>
          <w:color w:val="231F20"/>
        </w:rPr>
        <w:t>and</w:t>
      </w:r>
      <w:r>
        <w:rPr>
          <w:color w:val="231F20"/>
          <w:spacing w:val="-4"/>
        </w:rPr>
        <w:t xml:space="preserve"> </w:t>
      </w:r>
      <w:r>
        <w:rPr>
          <w:color w:val="231F20"/>
        </w:rPr>
        <w:t>referred</w:t>
      </w:r>
      <w:r>
        <w:rPr>
          <w:color w:val="231F20"/>
          <w:spacing w:val="-3"/>
        </w:rPr>
        <w:t xml:space="preserve"> </w:t>
      </w:r>
      <w:r>
        <w:rPr>
          <w:color w:val="231F20"/>
        </w:rPr>
        <w:t>to</w:t>
      </w:r>
      <w:r>
        <w:rPr>
          <w:color w:val="231F20"/>
          <w:spacing w:val="-3"/>
        </w:rPr>
        <w:t xml:space="preserve"> </w:t>
      </w:r>
      <w:r>
        <w:rPr>
          <w:color w:val="231F20"/>
        </w:rPr>
        <w:t>as</w:t>
      </w:r>
      <w:r>
        <w:rPr>
          <w:color w:val="231F20"/>
          <w:spacing w:val="-2"/>
        </w:rPr>
        <w:t xml:space="preserve"> </w:t>
      </w:r>
      <w:r>
        <w:rPr>
          <w:color w:val="231F20"/>
        </w:rPr>
        <w:t>the</w:t>
      </w:r>
      <w:r>
        <w:rPr>
          <w:color w:val="231F20"/>
          <w:spacing w:val="-3"/>
        </w:rPr>
        <w:t xml:space="preserve"> </w:t>
      </w:r>
      <w:r>
        <w:rPr>
          <w:color w:val="231F20"/>
        </w:rPr>
        <w:t>QE</w:t>
      </w:r>
      <w:r>
        <w:rPr>
          <w:color w:val="231F20"/>
          <w:spacing w:val="-3"/>
        </w:rPr>
        <w:t xml:space="preserve"> </w:t>
      </w:r>
      <w:r>
        <w:rPr>
          <w:color w:val="231F20"/>
        </w:rPr>
        <w:t>Program)</w:t>
      </w:r>
      <w:r>
        <w:rPr>
          <w:color w:val="231F20"/>
          <w:spacing w:val="-3"/>
        </w:rPr>
        <w:t xml:space="preserve"> </w:t>
      </w:r>
      <w:r>
        <w:rPr>
          <w:color w:val="231F20"/>
        </w:rPr>
        <w:t>published</w:t>
      </w:r>
      <w:r>
        <w:rPr>
          <w:color w:val="231F20"/>
          <w:spacing w:val="-3"/>
        </w:rPr>
        <w:t xml:space="preserve"> </w:t>
      </w:r>
      <w:r>
        <w:rPr>
          <w:color w:val="231F20"/>
        </w:rPr>
        <w:t>in the Federal Register on December 07, 2011 (42 CFR, Part 401, Subpart G). To implement the requirements outlined in the legislation, CMS established the Qualified Entity Certification Program (QECP) to evaluate an organization’s eligibility across three areas: (1) organizational and governance capabilities, (2) addition of claims data from other sources (as required in the statute), and (3) data privacy and security.</w:t>
      </w:r>
    </w:p>
    <w:p w:rsidR="00C33392" w14:paraId="55AD7A44" w14:textId="77777777">
      <w:pPr>
        <w:pStyle w:val="BodyText"/>
        <w:spacing w:before="90" w:line="252" w:lineRule="auto"/>
        <w:ind w:left="710" w:right="223" w:hanging="10"/>
      </w:pPr>
      <w:r>
        <w:rPr>
          <w:color w:val="231F20"/>
        </w:rPr>
        <w:t>This</w:t>
      </w:r>
      <w:r>
        <w:rPr>
          <w:color w:val="231F20"/>
          <w:spacing w:val="-4"/>
        </w:rPr>
        <w:t xml:space="preserve"> </w:t>
      </w:r>
      <w:r>
        <w:rPr>
          <w:color w:val="231F20"/>
        </w:rPr>
        <w:t>collection</w:t>
      </w:r>
      <w:r>
        <w:rPr>
          <w:color w:val="231F20"/>
          <w:spacing w:val="-4"/>
        </w:rPr>
        <w:t xml:space="preserve"> </w:t>
      </w:r>
      <w:r>
        <w:rPr>
          <w:color w:val="231F20"/>
        </w:rPr>
        <w:t>covers</w:t>
      </w:r>
      <w:r>
        <w:rPr>
          <w:color w:val="231F20"/>
          <w:spacing w:val="-4"/>
        </w:rPr>
        <w:t xml:space="preserve"> </w:t>
      </w:r>
      <w:r>
        <w:rPr>
          <w:color w:val="231F20"/>
        </w:rPr>
        <w:t>the</w:t>
      </w:r>
      <w:r>
        <w:rPr>
          <w:color w:val="231F20"/>
          <w:spacing w:val="-4"/>
        </w:rPr>
        <w:t xml:space="preserve"> </w:t>
      </w:r>
      <w:r>
        <w:rPr>
          <w:color w:val="231F20"/>
        </w:rPr>
        <w:t>application</w:t>
      </w:r>
      <w:r>
        <w:rPr>
          <w:color w:val="231F20"/>
          <w:spacing w:val="-4"/>
        </w:rPr>
        <w:t xml:space="preserve"> </w:t>
      </w:r>
      <w:r>
        <w:rPr>
          <w:color w:val="231F20"/>
        </w:rPr>
        <w:t>through</w:t>
      </w:r>
      <w:r>
        <w:rPr>
          <w:color w:val="231F20"/>
          <w:spacing w:val="-6"/>
        </w:rPr>
        <w:t xml:space="preserve"> </w:t>
      </w:r>
      <w:r>
        <w:rPr>
          <w:color w:val="231F20"/>
        </w:rPr>
        <w:t>which</w:t>
      </w:r>
      <w:r>
        <w:rPr>
          <w:color w:val="231F20"/>
          <w:spacing w:val="-4"/>
        </w:rPr>
        <w:t xml:space="preserve"> </w:t>
      </w:r>
      <w:r>
        <w:rPr>
          <w:color w:val="231F20"/>
        </w:rPr>
        <w:t>organizations</w:t>
      </w:r>
      <w:r>
        <w:rPr>
          <w:color w:val="231F20"/>
          <w:spacing w:val="-5"/>
        </w:rPr>
        <w:t xml:space="preserve"> </w:t>
      </w:r>
      <w:r>
        <w:rPr>
          <w:color w:val="231F20"/>
        </w:rPr>
        <w:t>provide</w:t>
      </w:r>
      <w:r>
        <w:rPr>
          <w:color w:val="231F20"/>
          <w:spacing w:val="-4"/>
        </w:rPr>
        <w:t xml:space="preserve"> </w:t>
      </w:r>
      <w:r>
        <w:rPr>
          <w:color w:val="231F20"/>
        </w:rPr>
        <w:t>information</w:t>
      </w:r>
      <w:r>
        <w:rPr>
          <w:color w:val="231F20"/>
          <w:spacing w:val="-4"/>
        </w:rPr>
        <w:t xml:space="preserve"> </w:t>
      </w:r>
      <w:r>
        <w:rPr>
          <w:color w:val="231F20"/>
        </w:rPr>
        <w:t>to</w:t>
      </w:r>
      <w:r>
        <w:rPr>
          <w:color w:val="231F20"/>
          <w:spacing w:val="-4"/>
        </w:rPr>
        <w:t xml:space="preserve"> </w:t>
      </w:r>
      <w:r>
        <w:rPr>
          <w:color w:val="231F20"/>
        </w:rPr>
        <w:t>CMS to</w:t>
      </w:r>
      <w:r>
        <w:rPr>
          <w:color w:val="231F20"/>
          <w:spacing w:val="-1"/>
        </w:rPr>
        <w:t xml:space="preserve"> </w:t>
      </w:r>
      <w:r>
        <w:rPr>
          <w:color w:val="231F20"/>
        </w:rPr>
        <w:t>determine</w:t>
      </w:r>
      <w:r>
        <w:rPr>
          <w:color w:val="231F20"/>
          <w:spacing w:val="-1"/>
        </w:rPr>
        <w:t xml:space="preserve"> </w:t>
      </w:r>
      <w:r>
        <w:rPr>
          <w:color w:val="231F20"/>
        </w:rPr>
        <w:t>whether</w:t>
      </w:r>
      <w:r>
        <w:rPr>
          <w:color w:val="231F20"/>
          <w:spacing w:val="-1"/>
        </w:rPr>
        <w:t xml:space="preserve"> </w:t>
      </w:r>
      <w:r>
        <w:rPr>
          <w:color w:val="231F20"/>
        </w:rPr>
        <w:t>they</w:t>
      </w:r>
      <w:r>
        <w:rPr>
          <w:color w:val="231F20"/>
          <w:spacing w:val="-1"/>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rPr>
        <w:t>approved</w:t>
      </w:r>
      <w:r>
        <w:rPr>
          <w:color w:val="231F20"/>
          <w:spacing w:val="-1"/>
        </w:rPr>
        <w:t xml:space="preserve"> </w:t>
      </w:r>
      <w:r>
        <w:rPr>
          <w:color w:val="231F20"/>
        </w:rPr>
        <w:t>as</w:t>
      </w:r>
      <w:r>
        <w:rPr>
          <w:color w:val="231F20"/>
          <w:spacing w:val="-1"/>
        </w:rPr>
        <w:t xml:space="preserve"> </w:t>
      </w:r>
      <w:r>
        <w:rPr>
          <w:color w:val="231F20"/>
        </w:rPr>
        <w:t>a</w:t>
      </w:r>
      <w:r>
        <w:rPr>
          <w:color w:val="231F20"/>
          <w:spacing w:val="-2"/>
        </w:rPr>
        <w:t xml:space="preserve"> </w:t>
      </w:r>
      <w:r>
        <w:rPr>
          <w:color w:val="231F20"/>
        </w:rPr>
        <w:t>qualified</w:t>
      </w:r>
      <w:r>
        <w:rPr>
          <w:color w:val="231F20"/>
          <w:spacing w:val="-1"/>
        </w:rPr>
        <w:t xml:space="preserve"> </w:t>
      </w:r>
      <w:r>
        <w:rPr>
          <w:color w:val="231F20"/>
        </w:rPr>
        <w:t>entity.</w:t>
      </w:r>
      <w:r>
        <w:rPr>
          <w:color w:val="231F20"/>
          <w:spacing w:val="-6"/>
        </w:rPr>
        <w:t xml:space="preserve"> </w:t>
      </w:r>
      <w:r>
        <w:rPr>
          <w:color w:val="231F20"/>
        </w:rPr>
        <w:t>This</w:t>
      </w:r>
      <w:r>
        <w:rPr>
          <w:color w:val="231F20"/>
          <w:spacing w:val="-1"/>
        </w:rPr>
        <w:t xml:space="preserve"> </w:t>
      </w:r>
      <w:r>
        <w:rPr>
          <w:color w:val="231F20"/>
        </w:rPr>
        <w:t>collection</w:t>
      </w:r>
      <w:r>
        <w:rPr>
          <w:color w:val="231F20"/>
          <w:spacing w:val="-1"/>
        </w:rPr>
        <w:t xml:space="preserve"> </w:t>
      </w:r>
      <w:r>
        <w:rPr>
          <w:color w:val="231F20"/>
        </w:rPr>
        <w:t>also</w:t>
      </w:r>
      <w:r>
        <w:rPr>
          <w:color w:val="231F20"/>
          <w:spacing w:val="-1"/>
        </w:rPr>
        <w:t xml:space="preserve"> </w:t>
      </w:r>
      <w:r>
        <w:rPr>
          <w:color w:val="231F20"/>
        </w:rPr>
        <w:t>covers</w:t>
      </w:r>
      <w:r>
        <w:rPr>
          <w:color w:val="231F20"/>
          <w:spacing w:val="-1"/>
        </w:rPr>
        <w:t xml:space="preserve"> </w:t>
      </w:r>
      <w:r>
        <w:rPr>
          <w:color w:val="231F20"/>
        </w:rPr>
        <w:t>the triennial re-application through which organizations provide information to CMS to determine whether they are approved to continue as a qualified entity and the QECP</w:t>
      </w:r>
      <w:r>
        <w:rPr>
          <w:color w:val="231F20"/>
          <w:spacing w:val="-14"/>
        </w:rPr>
        <w:t xml:space="preserve"> </w:t>
      </w:r>
      <w:r>
        <w:rPr>
          <w:color w:val="231F20"/>
        </w:rPr>
        <w:t xml:space="preserve">Annual Report Worksheet (ARW). CMS is requesting minor revisions to existing instruments in this package </w:t>
      </w:r>
      <w:r>
        <w:rPr>
          <w:color w:val="231F20"/>
          <w:spacing w:val="-2"/>
        </w:rPr>
        <w:t>(0938-1144).</w:t>
      </w:r>
    </w:p>
    <w:p w:rsidR="00C33392" w14:paraId="7B385F63" w14:textId="01A3B250">
      <w:pPr>
        <w:pStyle w:val="BodyText"/>
        <w:spacing w:before="97" w:line="252" w:lineRule="auto"/>
        <w:ind w:left="710" w:right="21" w:hanging="10"/>
      </w:pPr>
      <w:r>
        <w:rPr>
          <w:color w:val="231F20"/>
        </w:rPr>
        <w:t>CMS</w:t>
      </w:r>
      <w:r>
        <w:rPr>
          <w:color w:val="231F20"/>
          <w:spacing w:val="-3"/>
        </w:rPr>
        <w:t xml:space="preserve"> </w:t>
      </w:r>
      <w:r>
        <w:rPr>
          <w:color w:val="231F20"/>
        </w:rPr>
        <w:t>does</w:t>
      </w:r>
      <w:r>
        <w:rPr>
          <w:color w:val="231F20"/>
          <w:spacing w:val="-3"/>
        </w:rPr>
        <w:t xml:space="preserve"> </w:t>
      </w:r>
      <w:r>
        <w:rPr>
          <w:color w:val="231F20"/>
        </w:rPr>
        <w:t>not</w:t>
      </w:r>
      <w:r>
        <w:rPr>
          <w:color w:val="231F20"/>
          <w:spacing w:val="-3"/>
        </w:rPr>
        <w:t xml:space="preserve"> </w:t>
      </w:r>
      <w:r>
        <w:rPr>
          <w:color w:val="231F20"/>
        </w:rPr>
        <w:t>anticipate</w:t>
      </w:r>
      <w:r>
        <w:rPr>
          <w:color w:val="231F20"/>
          <w:spacing w:val="-3"/>
        </w:rPr>
        <w:t xml:space="preserve"> </w:t>
      </w:r>
      <w:r>
        <w:rPr>
          <w:color w:val="231F20"/>
        </w:rPr>
        <w:t>that</w:t>
      </w:r>
      <w:r>
        <w:rPr>
          <w:color w:val="231F20"/>
          <w:spacing w:val="-3"/>
        </w:rPr>
        <w:t xml:space="preserve"> </w:t>
      </w:r>
      <w:r>
        <w:rPr>
          <w:color w:val="231F20"/>
        </w:rPr>
        <w:t>there</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a</w:t>
      </w:r>
      <w:r>
        <w:rPr>
          <w:color w:val="231F20"/>
          <w:spacing w:val="-3"/>
        </w:rPr>
        <w:t xml:space="preserve"> </w:t>
      </w:r>
      <w:r>
        <w:rPr>
          <w:color w:val="231F20"/>
        </w:rPr>
        <w:t>change</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burden</w:t>
      </w:r>
      <w:r>
        <w:rPr>
          <w:color w:val="231F20"/>
          <w:spacing w:val="-4"/>
        </w:rPr>
        <w:t xml:space="preserve"> </w:t>
      </w:r>
      <w:r>
        <w:rPr>
          <w:color w:val="231F20"/>
        </w:rPr>
        <w:t>due</w:t>
      </w:r>
      <w:r>
        <w:rPr>
          <w:color w:val="231F20"/>
          <w:spacing w:val="-3"/>
        </w:rPr>
        <w:t xml:space="preserve"> </w:t>
      </w:r>
      <w:r>
        <w:rPr>
          <w:color w:val="231F20"/>
        </w:rPr>
        <w:t>to</w:t>
      </w:r>
      <w:r>
        <w:rPr>
          <w:color w:val="231F20"/>
          <w:spacing w:val="-3"/>
        </w:rPr>
        <w:t xml:space="preserve"> </w:t>
      </w:r>
      <w:r>
        <w:rPr>
          <w:color w:val="231F20"/>
        </w:rPr>
        <w:t>these</w:t>
      </w:r>
      <w:r>
        <w:rPr>
          <w:color w:val="231F20"/>
          <w:spacing w:val="-3"/>
        </w:rPr>
        <w:t xml:space="preserve"> </w:t>
      </w:r>
      <w:r>
        <w:rPr>
          <w:color w:val="231F20"/>
        </w:rPr>
        <w:t>minor</w:t>
      </w:r>
      <w:r>
        <w:rPr>
          <w:color w:val="231F20"/>
          <w:spacing w:val="-3"/>
        </w:rPr>
        <w:t xml:space="preserve"> </w:t>
      </w:r>
      <w:r>
        <w:rPr>
          <w:color w:val="231F20"/>
        </w:rPr>
        <w:t xml:space="preserve">revisions. </w:t>
      </w:r>
      <w:r w:rsidR="0012060F">
        <w:rPr>
          <w:color w:val="231F20"/>
        </w:rPr>
        <w:t>CMS estimates that only change</w:t>
      </w:r>
      <w:r>
        <w:rPr>
          <w:color w:val="231F20"/>
        </w:rPr>
        <w:t xml:space="preserve"> in </w:t>
      </w:r>
      <w:r w:rsidR="0012060F">
        <w:rPr>
          <w:color w:val="231F20"/>
        </w:rPr>
        <w:t xml:space="preserve">cost </w:t>
      </w:r>
      <w:r>
        <w:rPr>
          <w:color w:val="231F20"/>
        </w:rPr>
        <w:t xml:space="preserve">burden </w:t>
      </w:r>
      <w:r w:rsidR="0012060F">
        <w:rPr>
          <w:color w:val="231F20"/>
        </w:rPr>
        <w:t xml:space="preserve">is </w:t>
      </w:r>
      <w:r>
        <w:rPr>
          <w:color w:val="231F20"/>
        </w:rPr>
        <w:t>due to increases in labor rates.</w:t>
      </w:r>
    </w:p>
    <w:p w:rsidR="00C33392" w14:paraId="3CB04D41" w14:textId="77777777">
      <w:pPr>
        <w:pStyle w:val="BodyText"/>
      </w:pPr>
    </w:p>
    <w:p w:rsidR="00C33392" w14:paraId="52908CDB" w14:textId="77777777">
      <w:pPr>
        <w:pStyle w:val="BodyText"/>
        <w:spacing w:before="11"/>
      </w:pPr>
    </w:p>
    <w:p w:rsidR="00C33392" w14:paraId="0E788A06" w14:textId="77777777">
      <w:pPr>
        <w:pStyle w:val="ListParagraph"/>
        <w:numPr>
          <w:ilvl w:val="0"/>
          <w:numId w:val="1"/>
        </w:numPr>
        <w:tabs>
          <w:tab w:val="left" w:pos="818"/>
        </w:tabs>
        <w:ind w:left="818" w:hanging="624"/>
        <w:jc w:val="left"/>
        <w:rPr>
          <w:u w:val="none"/>
        </w:rPr>
      </w:pPr>
      <w:r>
        <w:rPr>
          <w:color w:val="231F20"/>
          <w:spacing w:val="-2"/>
          <w:u w:color="231F20"/>
        </w:rPr>
        <w:t>Justification</w:t>
      </w:r>
    </w:p>
    <w:p w:rsidR="00C33392" w14:paraId="4153C133" w14:textId="77777777">
      <w:pPr>
        <w:pStyle w:val="BodyText"/>
        <w:spacing w:before="232"/>
      </w:pPr>
    </w:p>
    <w:p w:rsidR="00C33392" w14:paraId="4527A422" w14:textId="77777777">
      <w:pPr>
        <w:pStyle w:val="ListParagraph"/>
        <w:numPr>
          <w:ilvl w:val="1"/>
          <w:numId w:val="1"/>
        </w:numPr>
        <w:tabs>
          <w:tab w:val="left" w:pos="925"/>
        </w:tabs>
        <w:ind w:left="925" w:hanging="225"/>
        <w:rPr>
          <w:u w:val="none"/>
        </w:rPr>
      </w:pPr>
      <w:r>
        <w:rPr>
          <w:color w:val="231F20"/>
          <w:u w:color="231F20"/>
        </w:rPr>
        <w:t>Need</w:t>
      </w:r>
      <w:r>
        <w:rPr>
          <w:color w:val="231F20"/>
          <w:spacing w:val="-5"/>
          <w:u w:color="231F20"/>
        </w:rPr>
        <w:t xml:space="preserve"> </w:t>
      </w:r>
      <w:r>
        <w:rPr>
          <w:color w:val="231F20"/>
          <w:u w:color="231F20"/>
        </w:rPr>
        <w:t>and</w:t>
      </w:r>
      <w:r>
        <w:rPr>
          <w:color w:val="231F20"/>
          <w:spacing w:val="-4"/>
          <w:u w:color="231F20"/>
        </w:rPr>
        <w:t xml:space="preserve"> </w:t>
      </w:r>
      <w:r>
        <w:rPr>
          <w:color w:val="231F20"/>
          <w:u w:color="231F20"/>
        </w:rPr>
        <w:t>Legal</w:t>
      </w:r>
      <w:r>
        <w:rPr>
          <w:color w:val="231F20"/>
          <w:spacing w:val="-4"/>
          <w:u w:color="231F20"/>
        </w:rPr>
        <w:t xml:space="preserve"> </w:t>
      </w:r>
      <w:r>
        <w:rPr>
          <w:color w:val="231F20"/>
          <w:spacing w:val="-2"/>
          <w:u w:color="231F20"/>
        </w:rPr>
        <w:t>Basis</w:t>
      </w:r>
    </w:p>
    <w:p w:rsidR="00C33392" w14:paraId="1CD087B1" w14:textId="77777777">
      <w:pPr>
        <w:pStyle w:val="BodyText"/>
        <w:spacing w:before="117" w:line="252" w:lineRule="auto"/>
        <w:ind w:left="700" w:right="21"/>
      </w:pPr>
      <w:r>
        <w:rPr>
          <w:color w:val="231F20"/>
        </w:rPr>
        <w:t>The Patient Protection and</w:t>
      </w:r>
      <w:r>
        <w:rPr>
          <w:color w:val="231F20"/>
          <w:spacing w:val="-7"/>
        </w:rPr>
        <w:t xml:space="preserve"> </w:t>
      </w:r>
      <w:r>
        <w:rPr>
          <w:color w:val="231F20"/>
        </w:rPr>
        <w:t>Affordable Care</w:t>
      </w:r>
      <w:r>
        <w:rPr>
          <w:color w:val="231F20"/>
          <w:spacing w:val="-5"/>
        </w:rPr>
        <w:t xml:space="preserve"> </w:t>
      </w:r>
      <w:r>
        <w:rPr>
          <w:color w:val="231F20"/>
        </w:rPr>
        <w:t>Act (ACA) was enacted on March 23, 2010 (Pub. L. 111-148).</w:t>
      </w:r>
      <w:r>
        <w:rPr>
          <w:color w:val="231F20"/>
          <w:spacing w:val="-13"/>
        </w:rPr>
        <w:t xml:space="preserve"> </w:t>
      </w:r>
      <w:r>
        <w:rPr>
          <w:color w:val="231F20"/>
        </w:rPr>
        <w:t>ACA</w:t>
      </w:r>
      <w:r>
        <w:rPr>
          <w:color w:val="231F20"/>
          <w:spacing w:val="-14"/>
        </w:rPr>
        <w:t xml:space="preserve"> </w:t>
      </w:r>
      <w:r>
        <w:rPr>
          <w:color w:val="231F20"/>
        </w:rPr>
        <w:t>amends</w:t>
      </w:r>
      <w:r>
        <w:rPr>
          <w:color w:val="231F20"/>
          <w:spacing w:val="-1"/>
        </w:rPr>
        <w:t xml:space="preserve"> </w:t>
      </w:r>
      <w:r>
        <w:rPr>
          <w:color w:val="231F20"/>
        </w:rPr>
        <w:t>Section</w:t>
      </w:r>
      <w:r>
        <w:rPr>
          <w:color w:val="231F20"/>
          <w:spacing w:val="-2"/>
        </w:rPr>
        <w:t xml:space="preserve"> </w:t>
      </w:r>
      <w:r>
        <w:rPr>
          <w:color w:val="231F20"/>
        </w:rPr>
        <w:t>1874</w:t>
      </w:r>
      <w:r>
        <w:rPr>
          <w:color w:val="231F20"/>
          <w:spacing w:val="-2"/>
        </w:rPr>
        <w:t xml:space="preserve"> </w:t>
      </w:r>
      <w:r>
        <w:rPr>
          <w:color w:val="231F20"/>
        </w:rPr>
        <w:t>of</w:t>
      </w:r>
      <w:r>
        <w:rPr>
          <w:color w:val="231F20"/>
          <w:spacing w:val="-4"/>
        </w:rPr>
        <w:t xml:space="preserve"> </w:t>
      </w:r>
      <w:r>
        <w:rPr>
          <w:color w:val="231F20"/>
        </w:rPr>
        <w:t>the</w:t>
      </w:r>
      <w:r>
        <w:rPr>
          <w:color w:val="231F20"/>
          <w:spacing w:val="-2"/>
        </w:rPr>
        <w:t xml:space="preserve"> </w:t>
      </w:r>
      <w:r>
        <w:rPr>
          <w:color w:val="231F20"/>
        </w:rPr>
        <w:t>Social</w:t>
      </w:r>
      <w:r>
        <w:rPr>
          <w:color w:val="231F20"/>
          <w:spacing w:val="-3"/>
        </w:rPr>
        <w:t xml:space="preserve"> </w:t>
      </w:r>
      <w:r>
        <w:rPr>
          <w:color w:val="231F20"/>
        </w:rPr>
        <w:t>Security</w:t>
      </w:r>
      <w:r>
        <w:rPr>
          <w:color w:val="231F20"/>
          <w:spacing w:val="-13"/>
        </w:rPr>
        <w:t xml:space="preserve"> </w:t>
      </w:r>
      <w:r>
        <w:rPr>
          <w:color w:val="231F20"/>
        </w:rPr>
        <w:t>Act</w:t>
      </w:r>
      <w:r>
        <w:rPr>
          <w:color w:val="231F20"/>
          <w:spacing w:val="-2"/>
        </w:rPr>
        <w:t xml:space="preserve"> </w:t>
      </w:r>
      <w:r>
        <w:rPr>
          <w:color w:val="231F20"/>
        </w:rPr>
        <w:t>by</w:t>
      </w:r>
      <w:r>
        <w:rPr>
          <w:color w:val="231F20"/>
          <w:spacing w:val="-3"/>
        </w:rPr>
        <w:t xml:space="preserve"> </w:t>
      </w:r>
      <w:r>
        <w:rPr>
          <w:color w:val="231F20"/>
        </w:rPr>
        <w:t>adding</w:t>
      </w:r>
      <w:r>
        <w:rPr>
          <w:color w:val="231F20"/>
          <w:spacing w:val="-2"/>
        </w:rPr>
        <w:t xml:space="preserve"> </w:t>
      </w:r>
      <w:r>
        <w:rPr>
          <w:color w:val="231F20"/>
        </w:rPr>
        <w:t>a</w:t>
      </w:r>
      <w:r>
        <w:rPr>
          <w:color w:val="231F20"/>
          <w:spacing w:val="-2"/>
        </w:rPr>
        <w:t xml:space="preserve"> </w:t>
      </w:r>
      <w:r>
        <w:rPr>
          <w:color w:val="231F20"/>
        </w:rPr>
        <w:t>new</w:t>
      </w:r>
      <w:r>
        <w:rPr>
          <w:color w:val="231F20"/>
          <w:spacing w:val="-3"/>
        </w:rPr>
        <w:t xml:space="preserve"> </w:t>
      </w:r>
      <w:r>
        <w:rPr>
          <w:color w:val="231F20"/>
        </w:rPr>
        <w:t>subsection</w:t>
      </w:r>
      <w:r>
        <w:rPr>
          <w:color w:val="231F20"/>
          <w:spacing w:val="-2"/>
        </w:rPr>
        <w:t xml:space="preserve"> </w:t>
      </w:r>
      <w:r>
        <w:rPr>
          <w:color w:val="231F20"/>
        </w:rPr>
        <w:t>(e)</w:t>
      </w:r>
      <w:r>
        <w:rPr>
          <w:color w:val="231F20"/>
          <w:spacing w:val="-2"/>
        </w:rPr>
        <w:t xml:space="preserve"> </w:t>
      </w:r>
      <w:r>
        <w:rPr>
          <w:color w:val="231F20"/>
        </w:rPr>
        <w:t>to make standardized extracts of Medicare claims data under Parts</w:t>
      </w:r>
      <w:r>
        <w:rPr>
          <w:color w:val="231F20"/>
          <w:spacing w:val="-5"/>
        </w:rPr>
        <w:t xml:space="preserve"> </w:t>
      </w:r>
      <w:r>
        <w:rPr>
          <w:color w:val="231F20"/>
        </w:rPr>
        <w:t>A, B, and D available to QEs to evaluate the performance of providers of services and suppliers. This is the</w:t>
      </w:r>
      <w:r>
        <w:rPr>
          <w:color w:val="231F20"/>
          <w:spacing w:val="-3"/>
        </w:rPr>
        <w:t xml:space="preserve"> </w:t>
      </w:r>
      <w:r>
        <w:rPr>
          <w:color w:val="231F20"/>
        </w:rPr>
        <w:t>Application, Reapplication,</w:t>
      </w:r>
      <w:r>
        <w:rPr>
          <w:color w:val="231F20"/>
          <w:spacing w:val="-5"/>
        </w:rPr>
        <w:t xml:space="preserve"> </w:t>
      </w:r>
      <w:r>
        <w:rPr>
          <w:color w:val="231F20"/>
        </w:rPr>
        <w:t>and</w:t>
      </w:r>
      <w:r>
        <w:rPr>
          <w:color w:val="231F20"/>
          <w:spacing w:val="-14"/>
        </w:rPr>
        <w:t xml:space="preserve"> </w:t>
      </w:r>
      <w:r>
        <w:rPr>
          <w:color w:val="231F20"/>
        </w:rPr>
        <w:t>ARW</w:t>
      </w:r>
      <w:r>
        <w:rPr>
          <w:color w:val="231F20"/>
          <w:spacing w:val="-9"/>
        </w:rPr>
        <w:t xml:space="preserve"> </w:t>
      </w:r>
      <w:r>
        <w:rPr>
          <w:color w:val="231F20"/>
        </w:rPr>
        <w:t>which</w:t>
      </w:r>
      <w:r>
        <w:rPr>
          <w:color w:val="231F20"/>
          <w:spacing w:val="-4"/>
        </w:rPr>
        <w:t xml:space="preserve"> </w:t>
      </w:r>
      <w:r>
        <w:rPr>
          <w:color w:val="231F20"/>
        </w:rPr>
        <w:t>provides</w:t>
      </w:r>
      <w:r>
        <w:rPr>
          <w:color w:val="231F20"/>
          <w:spacing w:val="-4"/>
        </w:rPr>
        <w:t xml:space="preserve"> </w:t>
      </w:r>
      <w:r>
        <w:rPr>
          <w:color w:val="231F20"/>
        </w:rPr>
        <w:t>CMS</w:t>
      </w:r>
      <w:r>
        <w:rPr>
          <w:color w:val="231F20"/>
          <w:spacing w:val="-4"/>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information</w:t>
      </w:r>
      <w:r>
        <w:rPr>
          <w:color w:val="231F20"/>
          <w:spacing w:val="-4"/>
        </w:rPr>
        <w:t xml:space="preserve"> </w:t>
      </w:r>
      <w:r>
        <w:rPr>
          <w:color w:val="231F20"/>
        </w:rPr>
        <w:t>it</w:t>
      </w:r>
      <w:r>
        <w:rPr>
          <w:color w:val="231F20"/>
          <w:spacing w:val="-4"/>
        </w:rPr>
        <w:t xml:space="preserve"> </w:t>
      </w:r>
      <w:r>
        <w:rPr>
          <w:color w:val="231F20"/>
        </w:rPr>
        <w:t>needs</w:t>
      </w:r>
      <w:r>
        <w:rPr>
          <w:color w:val="231F20"/>
          <w:spacing w:val="-4"/>
        </w:rPr>
        <w:t xml:space="preserve"> </w:t>
      </w:r>
      <w:r>
        <w:rPr>
          <w:color w:val="231F20"/>
        </w:rPr>
        <w:t>to</w:t>
      </w:r>
      <w:r>
        <w:rPr>
          <w:color w:val="231F20"/>
          <w:spacing w:val="-4"/>
        </w:rPr>
        <w:t xml:space="preserve"> </w:t>
      </w:r>
      <w:r>
        <w:rPr>
          <w:color w:val="231F20"/>
        </w:rPr>
        <w:t>determine</w:t>
      </w:r>
      <w:r>
        <w:rPr>
          <w:color w:val="231F20"/>
          <w:spacing w:val="-4"/>
        </w:rPr>
        <w:t xml:space="preserve"> </w:t>
      </w:r>
      <w:r>
        <w:rPr>
          <w:color w:val="231F20"/>
        </w:rPr>
        <w:t>whether an organization earns approval and continues as a QE.</w:t>
      </w:r>
    </w:p>
    <w:p w:rsidR="00C33392" w14:paraId="06F254E4" w14:textId="77777777">
      <w:pPr>
        <w:pStyle w:val="BodyText"/>
        <w:spacing w:before="212"/>
      </w:pPr>
    </w:p>
    <w:p w:rsidR="00C33392" w14:paraId="19AF5C2A" w14:textId="77777777">
      <w:pPr>
        <w:pStyle w:val="ListParagraph"/>
        <w:numPr>
          <w:ilvl w:val="1"/>
          <w:numId w:val="1"/>
        </w:numPr>
        <w:tabs>
          <w:tab w:val="left" w:pos="915"/>
        </w:tabs>
        <w:ind w:left="915" w:hanging="225"/>
        <w:jc w:val="both"/>
        <w:rPr>
          <w:u w:val="none"/>
        </w:rPr>
      </w:pPr>
      <w:r>
        <w:rPr>
          <w:color w:val="231F20"/>
          <w:u w:color="231F20"/>
        </w:rPr>
        <w:t>Information</w:t>
      </w:r>
      <w:r>
        <w:rPr>
          <w:color w:val="231F20"/>
          <w:spacing w:val="-11"/>
          <w:u w:color="231F20"/>
        </w:rPr>
        <w:t xml:space="preserve"> </w:t>
      </w:r>
      <w:r>
        <w:rPr>
          <w:color w:val="231F20"/>
          <w:spacing w:val="-2"/>
          <w:u w:color="231F20"/>
        </w:rPr>
        <w:t>Users</w:t>
      </w:r>
    </w:p>
    <w:p w:rsidR="00C33392" w14:paraId="776F669C" w14:textId="77777777">
      <w:pPr>
        <w:pStyle w:val="BodyText"/>
        <w:spacing w:before="117" w:line="232" w:lineRule="auto"/>
        <w:ind w:left="719" w:right="193"/>
        <w:jc w:val="both"/>
      </w:pPr>
      <w:r>
        <w:rPr>
          <w:color w:val="231F20"/>
        </w:rPr>
        <w:t>CMS uses the information from the collection to determine whether an organization meets and continues to meet the criteria required to be considered a QE to receive Medicare claims data under</w:t>
      </w:r>
      <w:r>
        <w:rPr>
          <w:color w:val="231F20"/>
          <w:spacing w:val="78"/>
        </w:rPr>
        <w:t xml:space="preserve"> </w:t>
      </w:r>
      <w:r>
        <w:rPr>
          <w:color w:val="231F20"/>
        </w:rPr>
        <w:t>ACA</w:t>
      </w:r>
      <w:r>
        <w:rPr>
          <w:color w:val="231F20"/>
          <w:spacing w:val="58"/>
          <w:w w:val="150"/>
        </w:rPr>
        <w:t xml:space="preserve"> </w:t>
      </w:r>
      <w:r>
        <w:rPr>
          <w:color w:val="231F20"/>
        </w:rPr>
        <w:t>Section</w:t>
      </w:r>
      <w:r>
        <w:rPr>
          <w:color w:val="231F20"/>
          <w:spacing w:val="68"/>
          <w:w w:val="150"/>
        </w:rPr>
        <w:t xml:space="preserve"> </w:t>
      </w:r>
      <w:r>
        <w:rPr>
          <w:color w:val="231F20"/>
        </w:rPr>
        <w:t>10332.</w:t>
      </w:r>
      <w:r>
        <w:rPr>
          <w:color w:val="231F20"/>
          <w:spacing w:val="68"/>
          <w:w w:val="150"/>
        </w:rPr>
        <w:t xml:space="preserve"> </w:t>
      </w:r>
      <w:r>
        <w:rPr>
          <w:color w:val="231F20"/>
        </w:rPr>
        <w:t>CMS</w:t>
      </w:r>
      <w:r>
        <w:rPr>
          <w:color w:val="231F20"/>
          <w:spacing w:val="67"/>
          <w:w w:val="150"/>
        </w:rPr>
        <w:t xml:space="preserve"> </w:t>
      </w:r>
      <w:r>
        <w:rPr>
          <w:color w:val="231F20"/>
        </w:rPr>
        <w:t>evaluates</w:t>
      </w:r>
      <w:r>
        <w:rPr>
          <w:color w:val="231F20"/>
          <w:spacing w:val="69"/>
          <w:w w:val="150"/>
        </w:rPr>
        <w:t xml:space="preserve"> </w:t>
      </w:r>
      <w:r>
        <w:rPr>
          <w:color w:val="231F20"/>
        </w:rPr>
        <w:t>the</w:t>
      </w:r>
      <w:r>
        <w:rPr>
          <w:color w:val="231F20"/>
          <w:spacing w:val="69"/>
          <w:w w:val="150"/>
        </w:rPr>
        <w:t xml:space="preserve"> </w:t>
      </w:r>
      <w:r>
        <w:rPr>
          <w:color w:val="231F20"/>
        </w:rPr>
        <w:t>organization’s</w:t>
      </w:r>
      <w:r>
        <w:rPr>
          <w:color w:val="231F20"/>
          <w:spacing w:val="68"/>
          <w:w w:val="150"/>
        </w:rPr>
        <w:t xml:space="preserve"> </w:t>
      </w:r>
      <w:r>
        <w:rPr>
          <w:color w:val="231F20"/>
        </w:rPr>
        <w:t>eligibility</w:t>
      </w:r>
      <w:r>
        <w:rPr>
          <w:color w:val="231F20"/>
          <w:spacing w:val="69"/>
          <w:w w:val="150"/>
        </w:rPr>
        <w:t xml:space="preserve"> </w:t>
      </w:r>
      <w:r>
        <w:rPr>
          <w:color w:val="231F20"/>
        </w:rPr>
        <w:t>in</w:t>
      </w:r>
      <w:r>
        <w:rPr>
          <w:color w:val="231F20"/>
          <w:spacing w:val="68"/>
          <w:w w:val="150"/>
        </w:rPr>
        <w:t xml:space="preserve"> </w:t>
      </w:r>
      <w:r>
        <w:rPr>
          <w:color w:val="231F20"/>
        </w:rPr>
        <w:t>terms</w:t>
      </w:r>
      <w:r>
        <w:rPr>
          <w:color w:val="231F20"/>
          <w:spacing w:val="69"/>
          <w:w w:val="150"/>
        </w:rPr>
        <w:t xml:space="preserve"> </w:t>
      </w:r>
      <w:r>
        <w:rPr>
          <w:color w:val="231F20"/>
          <w:spacing w:val="-5"/>
        </w:rPr>
        <w:t>of</w:t>
      </w:r>
    </w:p>
    <w:p w:rsidR="00C33392" w14:paraId="07C06716" w14:textId="77777777">
      <w:pPr>
        <w:pStyle w:val="BodyText"/>
        <w:spacing w:line="232" w:lineRule="auto"/>
        <w:jc w:val="both"/>
        <w:sectPr>
          <w:footerReference w:type="default" r:id="rId4"/>
          <w:type w:val="continuous"/>
          <w:pgSz w:w="12240" w:h="15840"/>
          <w:pgMar w:top="1480" w:right="1440" w:bottom="780" w:left="1440" w:header="0" w:footer="583" w:gutter="0"/>
          <w:pgNumType w:start="1"/>
          <w:cols w:space="720"/>
        </w:sectPr>
      </w:pPr>
    </w:p>
    <w:p w:rsidR="00C33392" w14:paraId="7B3F6692" w14:textId="77777777">
      <w:pPr>
        <w:pStyle w:val="BodyText"/>
        <w:spacing w:before="80" w:line="235" w:lineRule="auto"/>
        <w:ind w:left="719" w:right="21"/>
      </w:pPr>
      <w:r>
        <w:rPr>
          <w:color w:val="231F20"/>
        </w:rPr>
        <w:t>organizational</w:t>
      </w:r>
      <w:r>
        <w:rPr>
          <w:color w:val="231F20"/>
          <w:spacing w:val="-2"/>
        </w:rPr>
        <w:t xml:space="preserve"> </w:t>
      </w:r>
      <w:r>
        <w:rPr>
          <w:color w:val="231F20"/>
        </w:rPr>
        <w:t>and</w:t>
      </w:r>
      <w:r>
        <w:rPr>
          <w:color w:val="231F20"/>
          <w:spacing w:val="-2"/>
        </w:rPr>
        <w:t xml:space="preserve"> </w:t>
      </w:r>
      <w:r>
        <w:rPr>
          <w:color w:val="231F20"/>
        </w:rPr>
        <w:t>governance</w:t>
      </w:r>
      <w:r>
        <w:rPr>
          <w:color w:val="231F20"/>
          <w:spacing w:val="-2"/>
        </w:rPr>
        <w:t xml:space="preserve"> </w:t>
      </w:r>
      <w:r>
        <w:rPr>
          <w:color w:val="231F20"/>
        </w:rPr>
        <w:t>capabilities,</w:t>
      </w:r>
      <w:r>
        <w:rPr>
          <w:color w:val="231F20"/>
          <w:spacing w:val="-2"/>
        </w:rPr>
        <w:t xml:space="preserve"> </w:t>
      </w:r>
      <w:r>
        <w:rPr>
          <w:color w:val="231F20"/>
        </w:rPr>
        <w:t>addition</w:t>
      </w:r>
      <w:r>
        <w:rPr>
          <w:color w:val="231F20"/>
          <w:spacing w:val="-2"/>
        </w:rPr>
        <w:t xml:space="preserve"> </w:t>
      </w:r>
      <w:r>
        <w:rPr>
          <w:color w:val="231F20"/>
        </w:rPr>
        <w:t>of</w:t>
      </w:r>
      <w:r>
        <w:rPr>
          <w:color w:val="231F20"/>
          <w:spacing w:val="-3"/>
        </w:rPr>
        <w:t xml:space="preserve"> </w:t>
      </w:r>
      <w:r>
        <w:rPr>
          <w:color w:val="231F20"/>
        </w:rPr>
        <w:t>claims</w:t>
      </w:r>
      <w:r>
        <w:rPr>
          <w:color w:val="231F20"/>
          <w:spacing w:val="-2"/>
        </w:rPr>
        <w:t xml:space="preserve"> </w:t>
      </w:r>
      <w:r>
        <w:rPr>
          <w:color w:val="231F20"/>
        </w:rPr>
        <w:t>data</w:t>
      </w:r>
      <w:r>
        <w:rPr>
          <w:color w:val="231F20"/>
          <w:spacing w:val="-1"/>
        </w:rPr>
        <w:t xml:space="preserve"> </w:t>
      </w:r>
      <w:r>
        <w:rPr>
          <w:color w:val="231F20"/>
        </w:rPr>
        <w:t>from</w:t>
      </w:r>
      <w:r>
        <w:rPr>
          <w:color w:val="231F20"/>
          <w:spacing w:val="-2"/>
        </w:rPr>
        <w:t xml:space="preserve"> </w:t>
      </w:r>
      <w:r>
        <w:rPr>
          <w:color w:val="231F20"/>
        </w:rPr>
        <w:t>other</w:t>
      </w:r>
      <w:r>
        <w:rPr>
          <w:color w:val="231F20"/>
          <w:spacing w:val="-2"/>
        </w:rPr>
        <w:t xml:space="preserve"> </w:t>
      </w:r>
      <w:r>
        <w:rPr>
          <w:color w:val="231F20"/>
        </w:rPr>
        <w:t>sources,</w:t>
      </w:r>
      <w:r>
        <w:rPr>
          <w:color w:val="231F20"/>
          <w:spacing w:val="-2"/>
        </w:rPr>
        <w:t xml:space="preserve"> </w:t>
      </w:r>
      <w:r>
        <w:rPr>
          <w:color w:val="231F20"/>
        </w:rPr>
        <w:t>and</w:t>
      </w:r>
      <w:r>
        <w:rPr>
          <w:color w:val="231F20"/>
          <w:spacing w:val="-2"/>
        </w:rPr>
        <w:t xml:space="preserve"> </w:t>
      </w:r>
      <w:r>
        <w:rPr>
          <w:color w:val="231F20"/>
        </w:rPr>
        <w:t>data privacy and security.</w:t>
      </w:r>
    </w:p>
    <w:p w:rsidR="00C33392" w14:paraId="4A4ED5FE" w14:textId="77777777">
      <w:pPr>
        <w:pStyle w:val="ListParagraph"/>
        <w:numPr>
          <w:ilvl w:val="1"/>
          <w:numId w:val="1"/>
        </w:numPr>
        <w:tabs>
          <w:tab w:val="left" w:pos="914"/>
        </w:tabs>
        <w:spacing w:before="129"/>
        <w:ind w:left="914" w:hanging="225"/>
        <w:rPr>
          <w:u w:val="none"/>
        </w:rPr>
      </w:pPr>
      <w:r>
        <w:rPr>
          <w:color w:val="231F20"/>
          <w:u w:color="231F20"/>
        </w:rPr>
        <w:t>Use</w:t>
      </w:r>
      <w:r>
        <w:rPr>
          <w:color w:val="231F20"/>
          <w:spacing w:val="-6"/>
          <w:u w:color="231F20"/>
        </w:rPr>
        <w:t xml:space="preserve"> </w:t>
      </w:r>
      <w:r>
        <w:rPr>
          <w:color w:val="231F20"/>
          <w:u w:color="231F20"/>
        </w:rPr>
        <w:t>of</w:t>
      </w:r>
      <w:r>
        <w:rPr>
          <w:color w:val="231F20"/>
          <w:spacing w:val="-6"/>
          <w:u w:color="231F20"/>
        </w:rPr>
        <w:t xml:space="preserve"> </w:t>
      </w:r>
      <w:r>
        <w:rPr>
          <w:color w:val="231F20"/>
          <w:u w:color="231F20"/>
        </w:rPr>
        <w:t>Information</w:t>
      </w:r>
      <w:r>
        <w:rPr>
          <w:color w:val="231F20"/>
          <w:spacing w:val="-10"/>
          <w:u w:color="231F20"/>
        </w:rPr>
        <w:t xml:space="preserve"> </w:t>
      </w:r>
      <w:r>
        <w:rPr>
          <w:color w:val="231F20"/>
          <w:spacing w:val="-2"/>
          <w:u w:color="231F20"/>
        </w:rPr>
        <w:t>Technology</w:t>
      </w:r>
    </w:p>
    <w:p w:rsidR="00C33392" w14:paraId="4D743AED" w14:textId="77777777">
      <w:pPr>
        <w:pStyle w:val="BodyText"/>
        <w:spacing w:before="117" w:line="252" w:lineRule="auto"/>
        <w:ind w:left="710" w:right="78" w:hanging="10"/>
      </w:pPr>
      <w:r>
        <w:rPr>
          <w:color w:val="231F20"/>
        </w:rPr>
        <w:t>To assess an organization’s compliance with QE eligibility requirements, QECP implements a phased application process. In addition, QE certification is valid for 3 years, and QEs must reapply at least 6 months prior to the 3-year certification expiration to ensure continued participation in the QE Program. During Reapplication, a QE submits documentation on any changes to ensure continued compliance with QECP requirements. To access the online Application,</w:t>
      </w:r>
      <w:r>
        <w:rPr>
          <w:color w:val="231F20"/>
          <w:spacing w:val="-9"/>
        </w:rPr>
        <w:t xml:space="preserve"> </w:t>
      </w:r>
      <w:r>
        <w:rPr>
          <w:color w:val="231F20"/>
        </w:rPr>
        <w:t>Reapplication,</w:t>
      </w:r>
      <w:r>
        <w:rPr>
          <w:color w:val="231F20"/>
          <w:spacing w:val="-6"/>
        </w:rPr>
        <w:t xml:space="preserve"> </w:t>
      </w:r>
      <w:r>
        <w:rPr>
          <w:color w:val="231F20"/>
        </w:rPr>
        <w:t>and</w:t>
      </w:r>
      <w:r>
        <w:rPr>
          <w:color w:val="231F20"/>
          <w:spacing w:val="-14"/>
        </w:rPr>
        <w:t xml:space="preserve"> </w:t>
      </w:r>
      <w:r>
        <w:rPr>
          <w:color w:val="231F20"/>
        </w:rPr>
        <w:t>ARW</w:t>
      </w:r>
      <w:r>
        <w:rPr>
          <w:color w:val="231F20"/>
          <w:spacing w:val="-10"/>
        </w:rPr>
        <w:t xml:space="preserve"> </w:t>
      </w:r>
      <w:r>
        <w:rPr>
          <w:color w:val="231F20"/>
        </w:rPr>
        <w:t>submission</w:t>
      </w:r>
      <w:r>
        <w:rPr>
          <w:color w:val="231F20"/>
          <w:spacing w:val="-5"/>
        </w:rPr>
        <w:t xml:space="preserve"> </w:t>
      </w:r>
      <w:r>
        <w:rPr>
          <w:color w:val="231F20"/>
        </w:rPr>
        <w:t>systems,</w:t>
      </w:r>
      <w:r>
        <w:rPr>
          <w:color w:val="231F20"/>
          <w:spacing w:val="-6"/>
        </w:rPr>
        <w:t xml:space="preserve"> </w:t>
      </w:r>
      <w:r>
        <w:rPr>
          <w:color w:val="231F20"/>
        </w:rPr>
        <w:t>a</w:t>
      </w:r>
      <w:r>
        <w:rPr>
          <w:color w:val="231F20"/>
          <w:spacing w:val="-5"/>
        </w:rPr>
        <w:t xml:space="preserve"> </w:t>
      </w:r>
      <w:r>
        <w:rPr>
          <w:color w:val="231F20"/>
        </w:rPr>
        <w:t>QE</w:t>
      </w:r>
      <w:r>
        <w:rPr>
          <w:color w:val="231F20"/>
          <w:spacing w:val="-6"/>
        </w:rPr>
        <w:t xml:space="preserve"> </w:t>
      </w:r>
      <w:r>
        <w:rPr>
          <w:color w:val="231F20"/>
        </w:rPr>
        <w:t>must</w:t>
      </w:r>
      <w:r>
        <w:rPr>
          <w:color w:val="231F20"/>
          <w:spacing w:val="-6"/>
        </w:rPr>
        <w:t xml:space="preserve"> </w:t>
      </w:r>
      <w:r>
        <w:rPr>
          <w:color w:val="231F20"/>
        </w:rPr>
        <w:t>register.</w:t>
      </w:r>
      <w:r>
        <w:rPr>
          <w:color w:val="231F20"/>
          <w:spacing w:val="-6"/>
        </w:rPr>
        <w:t xml:space="preserve"> </w:t>
      </w:r>
      <w:r>
        <w:rPr>
          <w:color w:val="231F20"/>
        </w:rPr>
        <w:t>Once</w:t>
      </w:r>
      <w:r>
        <w:rPr>
          <w:color w:val="231F20"/>
          <w:spacing w:val="-6"/>
        </w:rPr>
        <w:t xml:space="preserve"> </w:t>
      </w:r>
      <w:r>
        <w:rPr>
          <w:color w:val="231F20"/>
        </w:rPr>
        <w:t>they</w:t>
      </w:r>
      <w:r>
        <w:rPr>
          <w:color w:val="231F20"/>
          <w:spacing w:val="-6"/>
        </w:rPr>
        <w:t xml:space="preserve"> </w:t>
      </w:r>
      <w:r>
        <w:rPr>
          <w:color w:val="231F20"/>
        </w:rPr>
        <w:t>submit a registration form and QECP verifies it, QECP grants access to the secure QECP</w:t>
      </w:r>
      <w:r>
        <w:rPr>
          <w:color w:val="231F20"/>
          <w:spacing w:val="-12"/>
        </w:rPr>
        <w:t xml:space="preserve"> </w:t>
      </w:r>
      <w:r>
        <w:rPr>
          <w:color w:val="231F20"/>
        </w:rPr>
        <w:t>Application, Reapplication, or</w:t>
      </w:r>
      <w:r>
        <w:rPr>
          <w:color w:val="231F20"/>
          <w:spacing w:val="-2"/>
        </w:rPr>
        <w:t xml:space="preserve"> </w:t>
      </w:r>
      <w:r>
        <w:rPr>
          <w:color w:val="231F20"/>
        </w:rPr>
        <w:t>ARW via a Salesforce customer relationship management (CRM) system.</w:t>
      </w:r>
    </w:p>
    <w:p w:rsidR="00C33392" w14:paraId="7F058523" w14:textId="77777777">
      <w:pPr>
        <w:pStyle w:val="BodyText"/>
        <w:spacing w:line="252" w:lineRule="auto"/>
        <w:ind w:left="710" w:right="21"/>
      </w:pPr>
      <w:r>
        <w:rPr>
          <w:color w:val="231F20"/>
        </w:rPr>
        <w:t>Salesforce CRM is hosted in the Salesforce Government Cloud. QECP CRM access credentials include a unique user identifier (ID), password, and secure web uniform resource locator (URL). This</w:t>
      </w:r>
      <w:r>
        <w:rPr>
          <w:color w:val="231F20"/>
          <w:spacing w:val="-3"/>
        </w:rPr>
        <w:t xml:space="preserve"> </w:t>
      </w:r>
      <w:r>
        <w:rPr>
          <w:color w:val="231F20"/>
        </w:rPr>
        <w:t>user</w:t>
      </w:r>
      <w:r>
        <w:rPr>
          <w:color w:val="231F20"/>
          <w:spacing w:val="-3"/>
        </w:rPr>
        <w:t xml:space="preserve"> </w:t>
      </w:r>
      <w:r>
        <w:rPr>
          <w:color w:val="231F20"/>
        </w:rPr>
        <w:t>profile</w:t>
      </w:r>
      <w:r>
        <w:rPr>
          <w:color w:val="231F20"/>
          <w:spacing w:val="-3"/>
        </w:rPr>
        <w:t xml:space="preserve"> </w:t>
      </w:r>
      <w:r>
        <w:rPr>
          <w:color w:val="231F20"/>
        </w:rPr>
        <w:t>provides</w:t>
      </w:r>
      <w:r>
        <w:rPr>
          <w:color w:val="231F20"/>
          <w:spacing w:val="-3"/>
        </w:rPr>
        <w:t xml:space="preserve"> </w:t>
      </w:r>
      <w:r>
        <w:rPr>
          <w:color w:val="231F20"/>
        </w:rPr>
        <w:t>the</w:t>
      </w:r>
      <w:r>
        <w:rPr>
          <w:color w:val="231F20"/>
          <w:spacing w:val="-3"/>
        </w:rPr>
        <w:t xml:space="preserve"> </w:t>
      </w:r>
      <w:r>
        <w:rPr>
          <w:color w:val="231F20"/>
        </w:rPr>
        <w:t>applicant</w:t>
      </w:r>
      <w:r>
        <w:rPr>
          <w:color w:val="231F20"/>
          <w:spacing w:val="-3"/>
        </w:rPr>
        <w:t xml:space="preserve"> </w:t>
      </w:r>
      <w:r>
        <w:rPr>
          <w:color w:val="231F20"/>
        </w:rPr>
        <w:t>with</w:t>
      </w:r>
      <w:r>
        <w:rPr>
          <w:color w:val="231F20"/>
          <w:spacing w:val="-3"/>
        </w:rPr>
        <w:t xml:space="preserve"> </w:t>
      </w:r>
      <w:r>
        <w:rPr>
          <w:color w:val="231F20"/>
        </w:rPr>
        <w:t>access</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online</w:t>
      </w:r>
      <w:r>
        <w:rPr>
          <w:color w:val="231F20"/>
          <w:spacing w:val="-3"/>
        </w:rPr>
        <w:t xml:space="preserve"> </w:t>
      </w:r>
      <w:r>
        <w:rPr>
          <w:color w:val="231F20"/>
        </w:rPr>
        <w:t>application</w:t>
      </w:r>
      <w:r>
        <w:rPr>
          <w:color w:val="231F20"/>
          <w:spacing w:val="-3"/>
        </w:rPr>
        <w:t xml:space="preserve"> </w:t>
      </w:r>
      <w:r>
        <w:rPr>
          <w:color w:val="231F20"/>
        </w:rPr>
        <w:t>form,</w:t>
      </w:r>
      <w:r>
        <w:rPr>
          <w:color w:val="231F20"/>
          <w:spacing w:val="-3"/>
        </w:rPr>
        <w:t xml:space="preserve"> </w:t>
      </w:r>
      <w:r>
        <w:rPr>
          <w:color w:val="231F20"/>
        </w:rPr>
        <w:t>documentation library, frequently asked questions (FAQs), and other essential QECP</w:t>
      </w:r>
      <w:r>
        <w:rPr>
          <w:color w:val="231F20"/>
          <w:spacing w:val="-1"/>
        </w:rPr>
        <w:t xml:space="preserve"> </w:t>
      </w:r>
      <w:r>
        <w:rPr>
          <w:color w:val="231F20"/>
        </w:rPr>
        <w:t>resources. When an applicant is ready to submit an</w:t>
      </w:r>
      <w:r>
        <w:rPr>
          <w:color w:val="231F20"/>
          <w:spacing w:val="-11"/>
        </w:rPr>
        <w:t xml:space="preserve"> </w:t>
      </w:r>
      <w:r>
        <w:rPr>
          <w:color w:val="231F20"/>
        </w:rPr>
        <w:t>Application, Reapplication, or</w:t>
      </w:r>
      <w:r>
        <w:rPr>
          <w:color w:val="231F20"/>
          <w:spacing w:val="-11"/>
        </w:rPr>
        <w:t xml:space="preserve"> </w:t>
      </w:r>
      <w:r>
        <w:rPr>
          <w:color w:val="231F20"/>
        </w:rPr>
        <w:t>ARW</w:t>
      </w:r>
      <w:r>
        <w:rPr>
          <w:color w:val="231F20"/>
          <w:spacing w:val="-4"/>
        </w:rPr>
        <w:t xml:space="preserve"> </w:t>
      </w:r>
      <w:r>
        <w:rPr>
          <w:color w:val="231F20"/>
        </w:rPr>
        <w:t>for review, they simply click Submit.</w:t>
      </w:r>
      <w:r>
        <w:rPr>
          <w:color w:val="231F20"/>
          <w:spacing w:val="-6"/>
        </w:rPr>
        <w:t xml:space="preserve"> </w:t>
      </w:r>
      <w:r>
        <w:rPr>
          <w:color w:val="231F20"/>
        </w:rPr>
        <w:t>At that time, QECP</w:t>
      </w:r>
      <w:r>
        <w:rPr>
          <w:color w:val="231F20"/>
          <w:spacing w:val="-2"/>
        </w:rPr>
        <w:t xml:space="preserve"> </w:t>
      </w:r>
      <w:r>
        <w:rPr>
          <w:color w:val="231F20"/>
        </w:rPr>
        <w:t>validates the</w:t>
      </w:r>
      <w:r>
        <w:rPr>
          <w:color w:val="231F20"/>
          <w:spacing w:val="-6"/>
        </w:rPr>
        <w:t xml:space="preserve"> </w:t>
      </w:r>
      <w:r>
        <w:rPr>
          <w:color w:val="231F20"/>
        </w:rPr>
        <w:t>Application, Reapplication, or</w:t>
      </w:r>
      <w:r>
        <w:rPr>
          <w:color w:val="231F20"/>
          <w:spacing w:val="-6"/>
        </w:rPr>
        <w:t xml:space="preserve"> </w:t>
      </w:r>
      <w:r>
        <w:rPr>
          <w:color w:val="231F20"/>
        </w:rPr>
        <w:t>ARW for completeness. If found complete, QECP and CMS review commences. Organizations submit the</w:t>
      </w:r>
      <w:r>
        <w:rPr>
          <w:color w:val="231F20"/>
          <w:spacing w:val="-2"/>
        </w:rPr>
        <w:t xml:space="preserve"> </w:t>
      </w:r>
      <w:r>
        <w:rPr>
          <w:color w:val="231F20"/>
        </w:rPr>
        <w:t>Application, Reapplication,</w:t>
      </w:r>
      <w:r>
        <w:rPr>
          <w:color w:val="231F20"/>
          <w:spacing w:val="-4"/>
        </w:rPr>
        <w:t xml:space="preserve"> </w:t>
      </w:r>
      <w:r>
        <w:rPr>
          <w:color w:val="231F20"/>
        </w:rPr>
        <w:t>and</w:t>
      </w:r>
      <w:r>
        <w:rPr>
          <w:color w:val="231F20"/>
          <w:spacing w:val="-14"/>
        </w:rPr>
        <w:t xml:space="preserve"> </w:t>
      </w:r>
      <w:r>
        <w:rPr>
          <w:color w:val="231F20"/>
        </w:rPr>
        <w:t>ARW</w:t>
      </w:r>
      <w:r>
        <w:rPr>
          <w:color w:val="231F20"/>
          <w:spacing w:val="-8"/>
        </w:rPr>
        <w:t xml:space="preserve"> </w:t>
      </w:r>
      <w:r>
        <w:rPr>
          <w:color w:val="231F20"/>
        </w:rPr>
        <w:t>by</w:t>
      </w:r>
      <w:r>
        <w:rPr>
          <w:color w:val="231F20"/>
          <w:spacing w:val="-4"/>
        </w:rPr>
        <w:t xml:space="preserve"> </w:t>
      </w:r>
      <w:r>
        <w:rPr>
          <w:color w:val="231F20"/>
        </w:rPr>
        <w:t>an</w:t>
      </w:r>
      <w:r>
        <w:rPr>
          <w:color w:val="231F20"/>
          <w:spacing w:val="-4"/>
        </w:rPr>
        <w:t xml:space="preserve"> </w:t>
      </w:r>
      <w:r>
        <w:rPr>
          <w:color w:val="231F20"/>
        </w:rPr>
        <w:t>online</w:t>
      </w:r>
      <w:r>
        <w:rPr>
          <w:color w:val="231F20"/>
          <w:spacing w:val="-4"/>
        </w:rPr>
        <w:t xml:space="preserve"> </w:t>
      </w:r>
      <w:r>
        <w:rPr>
          <w:color w:val="231F20"/>
        </w:rPr>
        <w:t>form.</w:t>
      </w:r>
      <w:r>
        <w:rPr>
          <w:color w:val="231F20"/>
          <w:spacing w:val="-4"/>
        </w:rPr>
        <w:t xml:space="preserve"> </w:t>
      </w:r>
      <w:r>
        <w:rPr>
          <w:color w:val="231F20"/>
        </w:rPr>
        <w:t>In</w:t>
      </w:r>
      <w:r>
        <w:rPr>
          <w:color w:val="231F20"/>
          <w:spacing w:val="-4"/>
        </w:rPr>
        <w:t xml:space="preserve"> </w:t>
      </w:r>
      <w:r>
        <w:rPr>
          <w:color w:val="231F20"/>
        </w:rPr>
        <w:t>addition,</w:t>
      </w:r>
      <w:r>
        <w:rPr>
          <w:color w:val="231F20"/>
          <w:spacing w:val="-4"/>
        </w:rPr>
        <w:t xml:space="preserve"> </w:t>
      </w:r>
      <w:r>
        <w:rPr>
          <w:color w:val="231F20"/>
        </w:rPr>
        <w:t>on</w:t>
      </w:r>
      <w:r>
        <w:rPr>
          <w:color w:val="231F20"/>
          <w:spacing w:val="-4"/>
        </w:rPr>
        <w:t xml:space="preserve"> </w:t>
      </w:r>
      <w:r>
        <w:rPr>
          <w:color w:val="231F20"/>
        </w:rPr>
        <w:t>an</w:t>
      </w:r>
      <w:r>
        <w:rPr>
          <w:color w:val="231F20"/>
          <w:spacing w:val="-4"/>
        </w:rPr>
        <w:t xml:space="preserve"> </w:t>
      </w:r>
      <w:r>
        <w:rPr>
          <w:color w:val="231F20"/>
        </w:rPr>
        <w:t>as-needed</w:t>
      </w:r>
      <w:r>
        <w:rPr>
          <w:color w:val="231F20"/>
          <w:spacing w:val="-4"/>
        </w:rPr>
        <w:t xml:space="preserve"> </w:t>
      </w:r>
      <w:r>
        <w:rPr>
          <w:color w:val="231F20"/>
        </w:rPr>
        <w:t>basis,</w:t>
      </w:r>
      <w:r>
        <w:rPr>
          <w:color w:val="231F20"/>
          <w:spacing w:val="-4"/>
        </w:rPr>
        <w:t xml:space="preserve"> </w:t>
      </w:r>
      <w:r>
        <w:rPr>
          <w:color w:val="231F20"/>
        </w:rPr>
        <w:t>QEs</w:t>
      </w:r>
      <w:r>
        <w:rPr>
          <w:color w:val="231F20"/>
          <w:spacing w:val="-4"/>
        </w:rPr>
        <w:t xml:space="preserve"> </w:t>
      </w:r>
      <w:r>
        <w:rPr>
          <w:color w:val="231F20"/>
        </w:rPr>
        <w:t>authorized</w:t>
      </w:r>
      <w:r>
        <w:rPr>
          <w:color w:val="231F20"/>
          <w:spacing w:val="-4"/>
        </w:rPr>
        <w:t xml:space="preserve"> </w:t>
      </w:r>
      <w:r>
        <w:rPr>
          <w:color w:val="231F20"/>
        </w:rPr>
        <w:t>to provide QE data to a third-party organization must develop and manage a QE DUA</w:t>
      </w:r>
      <w:r>
        <w:rPr>
          <w:color w:val="231F20"/>
          <w:spacing w:val="-6"/>
        </w:rPr>
        <w:t xml:space="preserve"> </w:t>
      </w:r>
      <w:r>
        <w:rPr>
          <w:color w:val="231F20"/>
        </w:rPr>
        <w:t>with the</w:t>
      </w:r>
    </w:p>
    <w:p w:rsidR="00C33392" w14:paraId="11D19743" w14:textId="77777777">
      <w:pPr>
        <w:pStyle w:val="BodyText"/>
        <w:spacing w:line="243" w:lineRule="exact"/>
        <w:ind w:left="710"/>
      </w:pPr>
      <w:r>
        <w:rPr>
          <w:color w:val="231F20"/>
        </w:rPr>
        <w:t>third-party</w:t>
      </w:r>
      <w:r>
        <w:rPr>
          <w:color w:val="231F20"/>
          <w:spacing w:val="-11"/>
        </w:rPr>
        <w:t xml:space="preserve"> </w:t>
      </w:r>
      <w:r>
        <w:rPr>
          <w:color w:val="231F20"/>
          <w:spacing w:val="-2"/>
        </w:rPr>
        <w:t>organization.</w:t>
      </w:r>
    </w:p>
    <w:p w:rsidR="00C33392" w14:paraId="30A4AF72" w14:textId="77777777">
      <w:pPr>
        <w:pStyle w:val="BodyText"/>
        <w:spacing w:before="222"/>
      </w:pPr>
    </w:p>
    <w:p w:rsidR="00C33392" w14:paraId="38EB748B" w14:textId="77777777">
      <w:pPr>
        <w:pStyle w:val="ListParagraph"/>
        <w:numPr>
          <w:ilvl w:val="1"/>
          <w:numId w:val="1"/>
        </w:numPr>
        <w:tabs>
          <w:tab w:val="left" w:pos="915"/>
        </w:tabs>
        <w:ind w:left="915" w:hanging="225"/>
        <w:rPr>
          <w:u w:val="none"/>
        </w:rPr>
      </w:pPr>
      <w:r>
        <w:rPr>
          <w:color w:val="231F20"/>
          <w:u w:color="231F20"/>
        </w:rPr>
        <w:t>Duplication</w:t>
      </w:r>
      <w:r>
        <w:rPr>
          <w:color w:val="231F20"/>
          <w:spacing w:val="-8"/>
          <w:u w:color="231F20"/>
        </w:rPr>
        <w:t xml:space="preserve"> </w:t>
      </w:r>
      <w:r>
        <w:rPr>
          <w:color w:val="231F20"/>
          <w:u w:color="231F20"/>
        </w:rPr>
        <w:t>of</w:t>
      </w:r>
      <w:r>
        <w:rPr>
          <w:color w:val="231F20"/>
          <w:spacing w:val="-7"/>
          <w:u w:color="231F20"/>
        </w:rPr>
        <w:t xml:space="preserve"> </w:t>
      </w:r>
      <w:r>
        <w:rPr>
          <w:color w:val="231F20"/>
          <w:spacing w:val="-2"/>
          <w:u w:color="231F20"/>
        </w:rPr>
        <w:t>Efforts</w:t>
      </w:r>
    </w:p>
    <w:p w:rsidR="00C33392" w14:paraId="3BE2C0F4" w14:textId="77777777">
      <w:pPr>
        <w:pStyle w:val="BodyText"/>
        <w:spacing w:before="116" w:line="249" w:lineRule="auto"/>
        <w:ind w:left="710" w:right="78" w:hanging="10"/>
      </w:pPr>
      <w:r>
        <w:rPr>
          <w:color w:val="231F20"/>
        </w:rPr>
        <w:t>This</w:t>
      </w:r>
      <w:r>
        <w:rPr>
          <w:color w:val="231F20"/>
          <w:spacing w:val="-3"/>
        </w:rPr>
        <w:t xml:space="preserve"> </w:t>
      </w:r>
      <w:r>
        <w:rPr>
          <w:color w:val="231F20"/>
        </w:rPr>
        <w:t>information</w:t>
      </w:r>
      <w:r>
        <w:rPr>
          <w:color w:val="231F20"/>
          <w:spacing w:val="-3"/>
        </w:rPr>
        <w:t xml:space="preserve"> </w:t>
      </w:r>
      <w:r>
        <w:rPr>
          <w:color w:val="231F20"/>
        </w:rPr>
        <w:t>collection</w:t>
      </w:r>
      <w:r>
        <w:rPr>
          <w:color w:val="231F20"/>
          <w:spacing w:val="-4"/>
        </w:rPr>
        <w:t xml:space="preserve"> </w:t>
      </w:r>
      <w:r>
        <w:rPr>
          <w:color w:val="231F20"/>
        </w:rPr>
        <w:t>does</w:t>
      </w:r>
      <w:r>
        <w:rPr>
          <w:color w:val="231F20"/>
          <w:spacing w:val="-3"/>
        </w:rPr>
        <w:t xml:space="preserve"> </w:t>
      </w:r>
      <w:r>
        <w:rPr>
          <w:color w:val="231F20"/>
        </w:rPr>
        <w:t>not</w:t>
      </w:r>
      <w:r>
        <w:rPr>
          <w:color w:val="231F20"/>
          <w:spacing w:val="-4"/>
        </w:rPr>
        <w:t xml:space="preserve"> </w:t>
      </w:r>
      <w:r>
        <w:rPr>
          <w:color w:val="231F20"/>
        </w:rPr>
        <w:t>duplicate</w:t>
      </w:r>
      <w:r>
        <w:rPr>
          <w:color w:val="231F20"/>
          <w:spacing w:val="-3"/>
        </w:rPr>
        <w:t xml:space="preserve"> </w:t>
      </w:r>
      <w:r>
        <w:rPr>
          <w:color w:val="231F20"/>
        </w:rPr>
        <w:t>any</w:t>
      </w:r>
      <w:r>
        <w:rPr>
          <w:color w:val="231F20"/>
          <w:spacing w:val="-3"/>
        </w:rPr>
        <w:t xml:space="preserve"> </w:t>
      </w:r>
      <w:r>
        <w:rPr>
          <w:color w:val="231F20"/>
        </w:rPr>
        <w:t>other</w:t>
      </w:r>
      <w:r>
        <w:rPr>
          <w:color w:val="231F20"/>
          <w:spacing w:val="-3"/>
        </w:rPr>
        <w:t xml:space="preserve"> </w:t>
      </w:r>
      <w:r>
        <w:rPr>
          <w:color w:val="231F20"/>
        </w:rPr>
        <w:t>effort</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cannot</w:t>
      </w:r>
      <w:r>
        <w:rPr>
          <w:color w:val="231F20"/>
          <w:spacing w:val="-3"/>
        </w:rPr>
        <w:t xml:space="preserve"> </w:t>
      </w:r>
      <w:r>
        <w:rPr>
          <w:color w:val="231F20"/>
        </w:rPr>
        <w:t>be obtained from any other source.</w:t>
      </w:r>
    </w:p>
    <w:p w:rsidR="00C33392" w14:paraId="05111CEC" w14:textId="77777777">
      <w:pPr>
        <w:pStyle w:val="BodyText"/>
        <w:spacing w:before="221"/>
      </w:pPr>
    </w:p>
    <w:p w:rsidR="00C33392" w14:paraId="7C8F39C3" w14:textId="77777777">
      <w:pPr>
        <w:pStyle w:val="ListParagraph"/>
        <w:numPr>
          <w:ilvl w:val="1"/>
          <w:numId w:val="1"/>
        </w:numPr>
        <w:tabs>
          <w:tab w:val="left" w:pos="915"/>
        </w:tabs>
        <w:ind w:left="915" w:hanging="225"/>
        <w:rPr>
          <w:u w:val="none"/>
        </w:rPr>
      </w:pPr>
      <w:r>
        <w:rPr>
          <w:color w:val="231F20"/>
          <w:u w:color="231F20"/>
        </w:rPr>
        <w:t>Small</w:t>
      </w:r>
      <w:r>
        <w:rPr>
          <w:color w:val="231F20"/>
          <w:spacing w:val="-6"/>
          <w:u w:color="231F20"/>
        </w:rPr>
        <w:t xml:space="preserve"> </w:t>
      </w:r>
      <w:r>
        <w:rPr>
          <w:color w:val="231F20"/>
          <w:spacing w:val="-2"/>
          <w:u w:color="231F20"/>
        </w:rPr>
        <w:t>Businesses</w:t>
      </w:r>
    </w:p>
    <w:p w:rsidR="00C33392" w14:paraId="1DA7D83E" w14:textId="77777777">
      <w:pPr>
        <w:pStyle w:val="BodyText"/>
        <w:spacing w:before="116" w:line="252" w:lineRule="auto"/>
        <w:ind w:left="710" w:right="223" w:hanging="10"/>
      </w:pPr>
      <w:r>
        <w:rPr>
          <w:color w:val="231F20"/>
        </w:rPr>
        <w:t>No</w:t>
      </w:r>
      <w:r>
        <w:rPr>
          <w:color w:val="231F20"/>
          <w:spacing w:val="-3"/>
        </w:rPr>
        <w:t xml:space="preserve"> </w:t>
      </w:r>
      <w:r>
        <w:rPr>
          <w:color w:val="231F20"/>
        </w:rPr>
        <w:t>special</w:t>
      </w:r>
      <w:r>
        <w:rPr>
          <w:color w:val="231F20"/>
          <w:spacing w:val="-3"/>
        </w:rPr>
        <w:t xml:space="preserve"> </w:t>
      </w:r>
      <w:r>
        <w:rPr>
          <w:color w:val="231F20"/>
        </w:rPr>
        <w:t>consideration</w:t>
      </w:r>
      <w:r>
        <w:rPr>
          <w:color w:val="231F20"/>
          <w:spacing w:val="-3"/>
        </w:rPr>
        <w:t xml:space="preserve"> </w:t>
      </w:r>
      <w:r>
        <w:rPr>
          <w:color w:val="231F20"/>
        </w:rPr>
        <w:t>is</w:t>
      </w:r>
      <w:r>
        <w:rPr>
          <w:color w:val="231F20"/>
          <w:spacing w:val="-3"/>
        </w:rPr>
        <w:t xml:space="preserve"> </w:t>
      </w:r>
      <w:r>
        <w:rPr>
          <w:color w:val="231F20"/>
        </w:rPr>
        <w:t>given</w:t>
      </w:r>
      <w:r>
        <w:rPr>
          <w:color w:val="231F20"/>
          <w:spacing w:val="-3"/>
        </w:rPr>
        <w:t xml:space="preserve"> </w:t>
      </w:r>
      <w:r>
        <w:rPr>
          <w:color w:val="231F20"/>
        </w:rPr>
        <w:t>to</w:t>
      </w:r>
      <w:r>
        <w:rPr>
          <w:color w:val="231F20"/>
          <w:spacing w:val="-3"/>
        </w:rPr>
        <w:t xml:space="preserve"> </w:t>
      </w:r>
      <w:r>
        <w:rPr>
          <w:color w:val="231F20"/>
        </w:rPr>
        <w:t>small</w:t>
      </w:r>
      <w:r>
        <w:rPr>
          <w:color w:val="231F20"/>
          <w:spacing w:val="-3"/>
        </w:rPr>
        <w:t xml:space="preserve"> </w:t>
      </w:r>
      <w:r>
        <w:rPr>
          <w:color w:val="231F20"/>
        </w:rPr>
        <w:t>businesses.</w:t>
      </w:r>
      <w:r>
        <w:rPr>
          <w:color w:val="231F20"/>
          <w:spacing w:val="-7"/>
        </w:rPr>
        <w:t xml:space="preserve"> </w:t>
      </w:r>
      <w:r>
        <w:rPr>
          <w:color w:val="231F20"/>
        </w:rPr>
        <w:t>The</w:t>
      </w:r>
      <w:r>
        <w:rPr>
          <w:color w:val="231F20"/>
          <w:spacing w:val="-3"/>
        </w:rPr>
        <w:t xml:space="preserve"> </w:t>
      </w:r>
      <w:r>
        <w:rPr>
          <w:color w:val="231F20"/>
        </w:rPr>
        <w:t>same</w:t>
      </w:r>
      <w:r>
        <w:rPr>
          <w:color w:val="231F20"/>
          <w:spacing w:val="-3"/>
        </w:rPr>
        <w:t xml:space="preserve"> </w:t>
      </w:r>
      <w:r>
        <w:rPr>
          <w:color w:val="231F20"/>
        </w:rPr>
        <w:t>information</w:t>
      </w:r>
      <w:r>
        <w:rPr>
          <w:color w:val="231F20"/>
          <w:spacing w:val="-3"/>
        </w:rPr>
        <w:t xml:space="preserve"> </w:t>
      </w:r>
      <w:r>
        <w:rPr>
          <w:color w:val="231F20"/>
        </w:rPr>
        <w:t>is</w:t>
      </w:r>
      <w:r>
        <w:rPr>
          <w:color w:val="231F20"/>
          <w:spacing w:val="-3"/>
        </w:rPr>
        <w:t xml:space="preserve"> </w:t>
      </w:r>
      <w:r>
        <w:rPr>
          <w:color w:val="231F20"/>
        </w:rPr>
        <w:t>needed</w:t>
      </w:r>
      <w:r>
        <w:rPr>
          <w:color w:val="231F20"/>
          <w:spacing w:val="-3"/>
        </w:rPr>
        <w:t xml:space="preserve"> </w:t>
      </w:r>
      <w:r>
        <w:rPr>
          <w:color w:val="231F20"/>
        </w:rPr>
        <w:t>to</w:t>
      </w:r>
      <w:r>
        <w:rPr>
          <w:color w:val="231F20"/>
          <w:spacing w:val="-3"/>
        </w:rPr>
        <w:t xml:space="preserve"> </w:t>
      </w:r>
      <w:r>
        <w:rPr>
          <w:color w:val="231F20"/>
        </w:rPr>
        <w:t>assess the qualifications of all organizations.</w:t>
      </w:r>
    </w:p>
    <w:p w:rsidR="00C33392" w14:paraId="4B1F734D" w14:textId="77777777">
      <w:pPr>
        <w:pStyle w:val="BodyText"/>
        <w:spacing w:before="216"/>
      </w:pPr>
    </w:p>
    <w:p w:rsidR="00C33392" w14:paraId="10973455" w14:textId="77777777">
      <w:pPr>
        <w:pStyle w:val="ListParagraph"/>
        <w:numPr>
          <w:ilvl w:val="1"/>
          <w:numId w:val="1"/>
        </w:numPr>
        <w:tabs>
          <w:tab w:val="left" w:pos="915"/>
        </w:tabs>
        <w:ind w:left="915" w:hanging="225"/>
        <w:rPr>
          <w:u w:val="none"/>
        </w:rPr>
      </w:pPr>
      <w:r>
        <w:rPr>
          <w:color w:val="231F20"/>
          <w:u w:color="231F20"/>
        </w:rPr>
        <w:t>Less</w:t>
      </w:r>
      <w:r>
        <w:rPr>
          <w:color w:val="231F20"/>
          <w:spacing w:val="-7"/>
          <w:u w:color="231F20"/>
        </w:rPr>
        <w:t xml:space="preserve"> </w:t>
      </w:r>
      <w:r>
        <w:rPr>
          <w:color w:val="231F20"/>
          <w:u w:color="231F20"/>
        </w:rPr>
        <w:t>Frequent</w:t>
      </w:r>
      <w:r>
        <w:rPr>
          <w:color w:val="231F20"/>
          <w:spacing w:val="-6"/>
          <w:u w:color="231F20"/>
        </w:rPr>
        <w:t xml:space="preserve"> </w:t>
      </w:r>
      <w:r>
        <w:rPr>
          <w:color w:val="231F20"/>
          <w:spacing w:val="-2"/>
          <w:u w:color="231F20"/>
        </w:rPr>
        <w:t>Collection</w:t>
      </w:r>
    </w:p>
    <w:p w:rsidR="00C33392" w14:paraId="13BF4ED0" w14:textId="77777777">
      <w:pPr>
        <w:pStyle w:val="BodyText"/>
        <w:spacing w:before="118" w:line="252" w:lineRule="auto"/>
        <w:ind w:left="710" w:right="21" w:hanging="10"/>
      </w:pPr>
      <w:r>
        <w:rPr>
          <w:color w:val="231F20"/>
        </w:rPr>
        <w:t>Data</w:t>
      </w:r>
      <w:r>
        <w:rPr>
          <w:color w:val="231F20"/>
          <w:spacing w:val="-5"/>
        </w:rPr>
        <w:t xml:space="preserve"> </w:t>
      </w:r>
      <w:r>
        <w:rPr>
          <w:color w:val="231F20"/>
        </w:rPr>
        <w:t>are</w:t>
      </w:r>
      <w:r>
        <w:rPr>
          <w:color w:val="231F20"/>
          <w:spacing w:val="-4"/>
        </w:rPr>
        <w:t xml:space="preserve"> </w:t>
      </w:r>
      <w:r>
        <w:rPr>
          <w:color w:val="231F20"/>
        </w:rPr>
        <w:t>collected</w:t>
      </w:r>
      <w:r>
        <w:rPr>
          <w:color w:val="231F20"/>
          <w:spacing w:val="-4"/>
        </w:rPr>
        <w:t xml:space="preserve"> </w:t>
      </w:r>
      <w:r>
        <w:rPr>
          <w:color w:val="231F20"/>
        </w:rPr>
        <w:t>once</w:t>
      </w:r>
      <w:r>
        <w:rPr>
          <w:color w:val="231F20"/>
          <w:spacing w:val="-4"/>
        </w:rPr>
        <w:t xml:space="preserve"> </w:t>
      </w:r>
      <w:r>
        <w:rPr>
          <w:color w:val="231F20"/>
        </w:rPr>
        <w:t>at</w:t>
      </w:r>
      <w:r>
        <w:rPr>
          <w:color w:val="231F20"/>
          <w:spacing w:val="-4"/>
        </w:rPr>
        <w:t xml:space="preserve"> </w:t>
      </w:r>
      <w:r>
        <w:rPr>
          <w:color w:val="231F20"/>
        </w:rPr>
        <w:t>the</w:t>
      </w:r>
      <w:r>
        <w:rPr>
          <w:color w:val="231F20"/>
          <w:spacing w:val="-4"/>
        </w:rPr>
        <w:t xml:space="preserve"> </w:t>
      </w:r>
      <w:r>
        <w:rPr>
          <w:color w:val="231F20"/>
        </w:rPr>
        <w:t>time</w:t>
      </w:r>
      <w:r>
        <w:rPr>
          <w:color w:val="231F20"/>
          <w:spacing w:val="-4"/>
        </w:rPr>
        <w:t xml:space="preserve"> </w:t>
      </w:r>
      <w:r>
        <w:rPr>
          <w:color w:val="231F20"/>
        </w:rPr>
        <w:t>of</w:t>
      </w:r>
      <w:r>
        <w:rPr>
          <w:color w:val="231F20"/>
          <w:spacing w:val="-14"/>
        </w:rPr>
        <w:t xml:space="preserve"> </w:t>
      </w:r>
      <w:r>
        <w:rPr>
          <w:color w:val="231F20"/>
        </w:rPr>
        <w:t>Application</w:t>
      </w:r>
      <w:r>
        <w:rPr>
          <w:color w:val="231F20"/>
          <w:spacing w:val="-3"/>
        </w:rPr>
        <w:t xml:space="preserve"> </w:t>
      </w:r>
      <w:r>
        <w:rPr>
          <w:color w:val="231F20"/>
        </w:rPr>
        <w:t>for</w:t>
      </w:r>
      <w:r>
        <w:rPr>
          <w:color w:val="231F20"/>
          <w:spacing w:val="-4"/>
        </w:rPr>
        <w:t xml:space="preserve"> </w:t>
      </w:r>
      <w:r>
        <w:rPr>
          <w:color w:val="231F20"/>
        </w:rPr>
        <w:t>each</w:t>
      </w:r>
      <w:r>
        <w:rPr>
          <w:color w:val="231F20"/>
          <w:spacing w:val="-4"/>
        </w:rPr>
        <w:t xml:space="preserve"> </w:t>
      </w:r>
      <w:r>
        <w:rPr>
          <w:color w:val="231F20"/>
        </w:rPr>
        <w:t>phase,</w:t>
      </w:r>
      <w:r>
        <w:rPr>
          <w:color w:val="231F20"/>
          <w:spacing w:val="-4"/>
        </w:rPr>
        <w:t xml:space="preserve"> </w:t>
      </w:r>
      <w:r>
        <w:rPr>
          <w:color w:val="231F20"/>
        </w:rPr>
        <w:t>Reapplication,</w:t>
      </w:r>
      <w:r>
        <w:rPr>
          <w:color w:val="231F20"/>
          <w:spacing w:val="-4"/>
        </w:rPr>
        <w:t xml:space="preserve"> </w:t>
      </w:r>
      <w:r>
        <w:rPr>
          <w:color w:val="231F20"/>
        </w:rPr>
        <w:t>DUA,</w:t>
      </w:r>
      <w:r>
        <w:rPr>
          <w:color w:val="231F20"/>
          <w:spacing w:val="-4"/>
        </w:rPr>
        <w:t xml:space="preserve"> </w:t>
      </w:r>
      <w:r>
        <w:rPr>
          <w:color w:val="231F20"/>
        </w:rPr>
        <w:t>and</w:t>
      </w:r>
      <w:r>
        <w:rPr>
          <w:color w:val="231F20"/>
          <w:spacing w:val="-14"/>
        </w:rPr>
        <w:t xml:space="preserve"> </w:t>
      </w:r>
      <w:r>
        <w:rPr>
          <w:color w:val="231F20"/>
        </w:rPr>
        <w:t>ARW submission. If this information was not collected or collected less frequently, CMS would not have evidence of Program participants meeting eligibility criteria for QEs under 42 CFR § 401.705 placing the privacy and security of Medicare beneficiary claims data at risk.</w:t>
      </w:r>
    </w:p>
    <w:p w:rsidR="00C33392" w14:paraId="2D3F424D" w14:textId="77777777">
      <w:pPr>
        <w:pStyle w:val="BodyText"/>
        <w:spacing w:before="213"/>
      </w:pPr>
    </w:p>
    <w:p w:rsidR="00C33392" w14:paraId="6EDF5B69" w14:textId="77777777">
      <w:pPr>
        <w:pStyle w:val="ListParagraph"/>
        <w:numPr>
          <w:ilvl w:val="1"/>
          <w:numId w:val="1"/>
        </w:numPr>
        <w:tabs>
          <w:tab w:val="left" w:pos="915"/>
        </w:tabs>
        <w:ind w:left="915" w:hanging="225"/>
        <w:rPr>
          <w:u w:val="none"/>
        </w:rPr>
      </w:pPr>
      <w:r>
        <w:rPr>
          <w:color w:val="231F20"/>
          <w:u w:color="231F20"/>
        </w:rPr>
        <w:t>Special</w:t>
      </w:r>
      <w:r>
        <w:rPr>
          <w:color w:val="231F20"/>
          <w:spacing w:val="-7"/>
          <w:u w:color="231F20"/>
        </w:rPr>
        <w:t xml:space="preserve"> </w:t>
      </w:r>
      <w:r>
        <w:rPr>
          <w:color w:val="231F20"/>
          <w:spacing w:val="-2"/>
          <w:u w:color="231F20"/>
        </w:rPr>
        <w:t>Circumstances</w:t>
      </w:r>
    </w:p>
    <w:p w:rsidR="00C33392" w14:paraId="09C2CA60" w14:textId="77777777">
      <w:pPr>
        <w:pStyle w:val="BodyText"/>
        <w:spacing w:before="117" w:line="252" w:lineRule="auto"/>
        <w:ind w:left="710" w:right="21" w:hanging="10"/>
      </w:pPr>
      <w:r>
        <w:rPr>
          <w:color w:val="231F20"/>
        </w:rPr>
        <w:t>Some of the information QECP</w:t>
      </w:r>
      <w:r>
        <w:rPr>
          <w:color w:val="231F20"/>
          <w:spacing w:val="-1"/>
        </w:rPr>
        <w:t xml:space="preserve"> </w:t>
      </w:r>
      <w:r>
        <w:rPr>
          <w:color w:val="231F20"/>
        </w:rPr>
        <w:t>gathers as part of this data collection may be proprietary and confidential</w:t>
      </w:r>
      <w:r>
        <w:rPr>
          <w:color w:val="231F20"/>
          <w:spacing w:val="-4"/>
        </w:rPr>
        <w:t xml:space="preserve"> </w:t>
      </w:r>
      <w:r>
        <w:rPr>
          <w:color w:val="231F20"/>
        </w:rPr>
        <w:t>(e.g.,</w:t>
      </w:r>
      <w:r>
        <w:rPr>
          <w:color w:val="231F20"/>
          <w:spacing w:val="-4"/>
        </w:rPr>
        <w:t xml:space="preserve"> </w:t>
      </w:r>
      <w:r>
        <w:rPr>
          <w:color w:val="231F20"/>
        </w:rPr>
        <w:t>financial</w:t>
      </w:r>
      <w:r>
        <w:rPr>
          <w:color w:val="231F20"/>
          <w:spacing w:val="-4"/>
        </w:rPr>
        <w:t xml:space="preserve"> </w:t>
      </w:r>
      <w:r>
        <w:rPr>
          <w:color w:val="231F20"/>
        </w:rPr>
        <w:t>statements,</w:t>
      </w:r>
      <w:r>
        <w:rPr>
          <w:color w:val="231F20"/>
          <w:spacing w:val="-4"/>
        </w:rPr>
        <w:t xml:space="preserve"> </w:t>
      </w:r>
      <w:r>
        <w:rPr>
          <w:color w:val="231F20"/>
        </w:rPr>
        <w:t>data</w:t>
      </w:r>
      <w:r>
        <w:rPr>
          <w:color w:val="231F20"/>
          <w:spacing w:val="-4"/>
        </w:rPr>
        <w:t xml:space="preserve"> </w:t>
      </w:r>
      <w:r>
        <w:rPr>
          <w:color w:val="231F20"/>
        </w:rPr>
        <w:t>flow</w:t>
      </w:r>
      <w:r>
        <w:rPr>
          <w:color w:val="231F20"/>
          <w:spacing w:val="-6"/>
        </w:rPr>
        <w:t xml:space="preserve"> </w:t>
      </w:r>
      <w:r>
        <w:rPr>
          <w:color w:val="231F20"/>
        </w:rPr>
        <w:t>diagrams,</w:t>
      </w:r>
      <w:r>
        <w:rPr>
          <w:color w:val="231F20"/>
          <w:spacing w:val="-4"/>
        </w:rPr>
        <w:t xml:space="preserve"> </w:t>
      </w:r>
      <w:r>
        <w:rPr>
          <w:color w:val="231F20"/>
        </w:rPr>
        <w:t>data</w:t>
      </w:r>
      <w:r>
        <w:rPr>
          <w:color w:val="231F20"/>
          <w:spacing w:val="-4"/>
        </w:rPr>
        <w:t xml:space="preserve"> </w:t>
      </w:r>
      <w:r>
        <w:rPr>
          <w:color w:val="231F20"/>
        </w:rPr>
        <w:t>security</w:t>
      </w:r>
      <w:r>
        <w:rPr>
          <w:color w:val="231F20"/>
          <w:spacing w:val="-4"/>
        </w:rPr>
        <w:t xml:space="preserve"> </w:t>
      </w:r>
      <w:r>
        <w:rPr>
          <w:color w:val="231F20"/>
        </w:rPr>
        <w:t>policies</w:t>
      </w:r>
      <w:r>
        <w:rPr>
          <w:color w:val="231F20"/>
          <w:spacing w:val="-4"/>
        </w:rPr>
        <w:t xml:space="preserve"> </w:t>
      </w:r>
      <w:r>
        <w:rPr>
          <w:color w:val="231F20"/>
        </w:rPr>
        <w:t>and</w:t>
      </w:r>
      <w:r>
        <w:rPr>
          <w:color w:val="231F20"/>
          <w:spacing w:val="-4"/>
        </w:rPr>
        <w:t xml:space="preserve"> </w:t>
      </w:r>
      <w:r>
        <w:rPr>
          <w:color w:val="231F20"/>
        </w:rPr>
        <w:t>procedures, and methodologies to develop and calculate non-standard measures). The contractor holds all information in this data collection strictly confidential and uses it only for the purpose of QECP. Access to information is restricted, and only those who are charged with reviewing the</w:t>
      </w:r>
    </w:p>
    <w:p w:rsidR="00C33392" w14:paraId="10DA88D7" w14:textId="77777777">
      <w:pPr>
        <w:pStyle w:val="BodyText"/>
        <w:spacing w:line="252" w:lineRule="auto"/>
        <w:sectPr>
          <w:pgSz w:w="12240" w:h="15840"/>
          <w:pgMar w:top="1460" w:right="1440" w:bottom="780" w:left="1440" w:header="0" w:footer="583" w:gutter="0"/>
          <w:cols w:space="720"/>
        </w:sectPr>
      </w:pPr>
    </w:p>
    <w:p w:rsidR="00C33392" w14:paraId="2AC049EB" w14:textId="77777777">
      <w:pPr>
        <w:pStyle w:val="BodyText"/>
        <w:spacing w:before="60" w:line="252" w:lineRule="auto"/>
        <w:ind w:left="710" w:right="223"/>
      </w:pPr>
      <w:r>
        <w:rPr>
          <w:color w:val="231F20"/>
        </w:rPr>
        <w:t>information</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purposes</w:t>
      </w:r>
      <w:r>
        <w:rPr>
          <w:color w:val="231F20"/>
          <w:spacing w:val="-3"/>
        </w:rPr>
        <w:t xml:space="preserve"> </w:t>
      </w:r>
      <w:r>
        <w:rPr>
          <w:color w:val="231F20"/>
        </w:rPr>
        <w:t>of</w:t>
      </w:r>
      <w:r>
        <w:rPr>
          <w:color w:val="231F20"/>
          <w:spacing w:val="-3"/>
        </w:rPr>
        <w:t xml:space="preserve"> </w:t>
      </w:r>
      <w:r>
        <w:rPr>
          <w:color w:val="231F20"/>
        </w:rPr>
        <w:t>certification</w:t>
      </w:r>
      <w:r>
        <w:rPr>
          <w:color w:val="231F20"/>
          <w:spacing w:val="-3"/>
        </w:rPr>
        <w:t xml:space="preserve"> </w:t>
      </w:r>
      <w:r>
        <w:rPr>
          <w:color w:val="231F20"/>
        </w:rPr>
        <w:t>or</w:t>
      </w:r>
      <w:r>
        <w:rPr>
          <w:color w:val="231F20"/>
          <w:spacing w:val="-3"/>
        </w:rPr>
        <w:t xml:space="preserve"> </w:t>
      </w:r>
      <w:r>
        <w:rPr>
          <w:color w:val="231F20"/>
        </w:rPr>
        <w:t>the</w:t>
      </w:r>
      <w:r>
        <w:rPr>
          <w:color w:val="231F20"/>
          <w:spacing w:val="-3"/>
        </w:rPr>
        <w:t xml:space="preserve"> </w:t>
      </w:r>
      <w:r>
        <w:rPr>
          <w:color w:val="231F20"/>
        </w:rPr>
        <w:t>oversight</w:t>
      </w:r>
      <w:r>
        <w:rPr>
          <w:color w:val="231F20"/>
          <w:spacing w:val="-3"/>
        </w:rPr>
        <w:t xml:space="preserve"> </w:t>
      </w:r>
      <w:r>
        <w:rPr>
          <w:color w:val="231F20"/>
        </w:rPr>
        <w:t>of</w:t>
      </w:r>
      <w:r>
        <w:rPr>
          <w:color w:val="231F20"/>
          <w:spacing w:val="-3"/>
        </w:rPr>
        <w:t xml:space="preserve"> </w:t>
      </w:r>
      <w:r>
        <w:rPr>
          <w:color w:val="231F20"/>
        </w:rPr>
        <w:t>such</w:t>
      </w:r>
      <w:r>
        <w:rPr>
          <w:color w:val="231F20"/>
          <w:spacing w:val="-3"/>
        </w:rPr>
        <w:t xml:space="preserve"> </w:t>
      </w:r>
      <w:r>
        <w:rPr>
          <w:color w:val="231F20"/>
        </w:rPr>
        <w:t>reviews,</w:t>
      </w:r>
      <w:r>
        <w:rPr>
          <w:color w:val="231F20"/>
          <w:spacing w:val="-3"/>
        </w:rPr>
        <w:t xml:space="preserve"> </w:t>
      </w:r>
      <w:r>
        <w:rPr>
          <w:color w:val="231F20"/>
        </w:rPr>
        <w:t>have</w:t>
      </w:r>
      <w:r>
        <w:rPr>
          <w:color w:val="231F20"/>
          <w:spacing w:val="-3"/>
        </w:rPr>
        <w:t xml:space="preserve"> </w:t>
      </w:r>
      <w:r>
        <w:rPr>
          <w:color w:val="231F20"/>
        </w:rPr>
        <w:t>access</w:t>
      </w:r>
      <w:r>
        <w:rPr>
          <w:color w:val="231F20"/>
          <w:spacing w:val="-3"/>
        </w:rPr>
        <w:t xml:space="preserve"> </w:t>
      </w:r>
      <w:r>
        <w:rPr>
          <w:color w:val="231F20"/>
        </w:rPr>
        <w:t>to</w:t>
      </w:r>
      <w:r>
        <w:rPr>
          <w:color w:val="231F20"/>
          <w:spacing w:val="-3"/>
        </w:rPr>
        <w:t xml:space="preserve"> </w:t>
      </w:r>
      <w:r>
        <w:rPr>
          <w:color w:val="231F20"/>
        </w:rPr>
        <w:t>the information. QECP uses information only for purposes of certification and do not make it available or disclosed outside the scope of the certification process unless appropriately authorized by “48 CFR § 352.224-71 - Confidential Information” terms and conditions in the government’s contract with the data collection contractor.</w:t>
      </w:r>
    </w:p>
    <w:p w:rsidR="00C33392" w14:paraId="2DE07D7C" w14:textId="77777777">
      <w:pPr>
        <w:pStyle w:val="BodyText"/>
        <w:spacing w:before="213"/>
      </w:pPr>
    </w:p>
    <w:p w:rsidR="00C33392" w14:paraId="183AD1F8" w14:textId="77777777">
      <w:pPr>
        <w:pStyle w:val="ListParagraph"/>
        <w:numPr>
          <w:ilvl w:val="1"/>
          <w:numId w:val="1"/>
        </w:numPr>
        <w:tabs>
          <w:tab w:val="left" w:pos="914"/>
        </w:tabs>
        <w:ind w:left="914" w:hanging="225"/>
        <w:rPr>
          <w:u w:val="none"/>
        </w:rPr>
      </w:pPr>
      <w:r>
        <w:rPr>
          <w:color w:val="231F20"/>
          <w:u w:color="231F20"/>
        </w:rPr>
        <w:t>Federal</w:t>
      </w:r>
      <w:r>
        <w:rPr>
          <w:color w:val="231F20"/>
          <w:spacing w:val="-12"/>
          <w:u w:color="231F20"/>
        </w:rPr>
        <w:t xml:space="preserve"> </w:t>
      </w:r>
      <w:r>
        <w:rPr>
          <w:color w:val="231F20"/>
          <w:u w:color="231F20"/>
        </w:rPr>
        <w:t>Register/Outsider</w:t>
      </w:r>
      <w:r>
        <w:rPr>
          <w:color w:val="231F20"/>
          <w:spacing w:val="-11"/>
          <w:u w:color="231F20"/>
        </w:rPr>
        <w:t xml:space="preserve"> </w:t>
      </w:r>
      <w:r>
        <w:rPr>
          <w:color w:val="231F20"/>
          <w:spacing w:val="-2"/>
          <w:u w:color="231F20"/>
        </w:rPr>
        <w:t>Consultation</w:t>
      </w:r>
    </w:p>
    <w:p w:rsidR="00C33392" w14:paraId="2395DB5B" w14:textId="5B59F76A">
      <w:pPr>
        <w:pStyle w:val="BodyText"/>
        <w:spacing w:before="117"/>
        <w:ind w:left="700"/>
      </w:pPr>
      <w:r>
        <w:rPr>
          <w:color w:val="231F20"/>
        </w:rPr>
        <w:t>The</w:t>
      </w:r>
      <w:r>
        <w:rPr>
          <w:color w:val="231F20"/>
          <w:spacing w:val="-6"/>
        </w:rPr>
        <w:t xml:space="preserve"> </w:t>
      </w:r>
      <w:r>
        <w:rPr>
          <w:color w:val="231F20"/>
        </w:rPr>
        <w:t>60-day</w:t>
      </w:r>
      <w:r>
        <w:rPr>
          <w:color w:val="231F20"/>
          <w:spacing w:val="-6"/>
        </w:rPr>
        <w:t xml:space="preserve"> </w:t>
      </w:r>
      <w:r w:rsidR="00E97DC3">
        <w:rPr>
          <w:color w:val="231F20"/>
        </w:rPr>
        <w:t>F</w:t>
      </w:r>
      <w:r>
        <w:rPr>
          <w:color w:val="231F20"/>
        </w:rPr>
        <w:t>ederal</w:t>
      </w:r>
      <w:r>
        <w:rPr>
          <w:color w:val="231F20"/>
          <w:spacing w:val="-6"/>
        </w:rPr>
        <w:t xml:space="preserve"> </w:t>
      </w:r>
      <w:r w:rsidR="00E97DC3">
        <w:rPr>
          <w:color w:val="231F20"/>
          <w:spacing w:val="-6"/>
        </w:rPr>
        <w:t>R</w:t>
      </w:r>
      <w:r>
        <w:rPr>
          <w:color w:val="231F20"/>
        </w:rPr>
        <w:t>egister</w:t>
      </w:r>
      <w:r>
        <w:rPr>
          <w:color w:val="231F20"/>
          <w:spacing w:val="-6"/>
        </w:rPr>
        <w:t xml:space="preserve"> </w:t>
      </w:r>
      <w:r w:rsidR="00E97DC3">
        <w:rPr>
          <w:color w:val="231F20"/>
          <w:spacing w:val="-6"/>
        </w:rPr>
        <w:t>N</w:t>
      </w:r>
      <w:r>
        <w:rPr>
          <w:color w:val="231F20"/>
        </w:rPr>
        <w:t>otice</w:t>
      </w:r>
      <w:r>
        <w:rPr>
          <w:color w:val="231F20"/>
          <w:spacing w:val="-6"/>
        </w:rPr>
        <w:t xml:space="preserve"> </w:t>
      </w:r>
      <w:r>
        <w:rPr>
          <w:color w:val="231F20"/>
        </w:rPr>
        <w:t>(91</w:t>
      </w:r>
      <w:r>
        <w:rPr>
          <w:color w:val="231F20"/>
          <w:spacing w:val="-5"/>
        </w:rPr>
        <w:t xml:space="preserve"> </w:t>
      </w:r>
      <w:r>
        <w:rPr>
          <w:color w:val="231F20"/>
        </w:rPr>
        <w:t>FR</w:t>
      </w:r>
      <w:r>
        <w:rPr>
          <w:color w:val="231F20"/>
          <w:spacing w:val="-6"/>
        </w:rPr>
        <w:t xml:space="preserve"> </w:t>
      </w:r>
      <w:r>
        <w:rPr>
          <w:color w:val="231F20"/>
        </w:rPr>
        <w:t>13029)</w:t>
      </w:r>
      <w:r>
        <w:rPr>
          <w:color w:val="231F20"/>
          <w:spacing w:val="-6"/>
        </w:rPr>
        <w:t xml:space="preserve"> </w:t>
      </w:r>
      <w:r>
        <w:rPr>
          <w:color w:val="231F20"/>
        </w:rPr>
        <w:t>published</w:t>
      </w:r>
      <w:r>
        <w:rPr>
          <w:color w:val="231F20"/>
          <w:spacing w:val="-6"/>
        </w:rPr>
        <w:t xml:space="preserve"> </w:t>
      </w:r>
      <w:r>
        <w:rPr>
          <w:color w:val="231F20"/>
        </w:rPr>
        <w:t>on</w:t>
      </w:r>
      <w:r>
        <w:rPr>
          <w:color w:val="231F20"/>
          <w:spacing w:val="-6"/>
        </w:rPr>
        <w:t xml:space="preserve"> </w:t>
      </w:r>
      <w:r>
        <w:rPr>
          <w:color w:val="231F20"/>
          <w:spacing w:val="-2"/>
        </w:rPr>
        <w:t>3/18/2026.</w:t>
      </w:r>
    </w:p>
    <w:p w:rsidR="00C33392" w14:paraId="470CF7BE" w14:textId="77777777">
      <w:pPr>
        <w:pStyle w:val="BodyText"/>
        <w:spacing w:before="114" w:line="252" w:lineRule="auto"/>
        <w:ind w:left="710" w:right="70" w:hanging="10"/>
      </w:pPr>
      <w:r>
        <w:rPr>
          <w:color w:val="231F20"/>
        </w:rPr>
        <w:t>There</w:t>
      </w:r>
      <w:r>
        <w:rPr>
          <w:color w:val="231F20"/>
          <w:spacing w:val="-4"/>
        </w:rPr>
        <w:t xml:space="preserve"> </w:t>
      </w:r>
      <w:r>
        <w:rPr>
          <w:color w:val="231F20"/>
        </w:rPr>
        <w:t>were</w:t>
      </w:r>
      <w:r>
        <w:rPr>
          <w:color w:val="231F20"/>
          <w:spacing w:val="-3"/>
        </w:rPr>
        <w:t xml:space="preserve"> </w:t>
      </w:r>
      <w:r>
        <w:rPr>
          <w:color w:val="231F20"/>
        </w:rPr>
        <w:t>two</w:t>
      </w:r>
      <w:r>
        <w:rPr>
          <w:color w:val="231F20"/>
          <w:spacing w:val="-3"/>
        </w:rPr>
        <w:t xml:space="preserve"> </w:t>
      </w:r>
      <w:r>
        <w:rPr>
          <w:color w:val="231F20"/>
        </w:rPr>
        <w:t>comments</w:t>
      </w:r>
      <w:r>
        <w:rPr>
          <w:color w:val="231F20"/>
          <w:spacing w:val="-3"/>
        </w:rPr>
        <w:t xml:space="preserve"> </w:t>
      </w:r>
      <w:r>
        <w:rPr>
          <w:color w:val="231F20"/>
        </w:rPr>
        <w:t>on</w:t>
      </w:r>
      <w:r>
        <w:rPr>
          <w:color w:val="231F20"/>
          <w:spacing w:val="-3"/>
        </w:rPr>
        <w:t xml:space="preserve"> </w:t>
      </w:r>
      <w:r>
        <w:rPr>
          <w:color w:val="231F20"/>
        </w:rPr>
        <w:t>the</w:t>
      </w:r>
      <w:r>
        <w:rPr>
          <w:color w:val="231F20"/>
          <w:spacing w:val="-4"/>
        </w:rPr>
        <w:t xml:space="preserve"> </w:t>
      </w:r>
      <w:r>
        <w:rPr>
          <w:color w:val="231F20"/>
        </w:rPr>
        <w:t>PRA</w:t>
      </w:r>
      <w:r>
        <w:rPr>
          <w:color w:val="231F20"/>
          <w:spacing w:val="-14"/>
        </w:rPr>
        <w:t xml:space="preserve"> </w:t>
      </w:r>
      <w:r>
        <w:rPr>
          <w:color w:val="231F20"/>
        </w:rPr>
        <w:t>package.</w:t>
      </w:r>
      <w:r>
        <w:rPr>
          <w:color w:val="231F20"/>
          <w:spacing w:val="-7"/>
        </w:rPr>
        <w:t xml:space="preserve"> </w:t>
      </w:r>
      <w:r>
        <w:rPr>
          <w:color w:val="231F20"/>
        </w:rPr>
        <w:t>The</w:t>
      </w:r>
      <w:r>
        <w:rPr>
          <w:color w:val="231F20"/>
          <w:spacing w:val="-2"/>
        </w:rPr>
        <w:t xml:space="preserve"> </w:t>
      </w:r>
      <w:r>
        <w:rPr>
          <w:color w:val="231F20"/>
        </w:rPr>
        <w:t>response</w:t>
      </w:r>
      <w:r>
        <w:rPr>
          <w:color w:val="231F20"/>
          <w:spacing w:val="-4"/>
        </w:rPr>
        <w:t xml:space="preserve"> </w:t>
      </w:r>
      <w:r>
        <w:rPr>
          <w:color w:val="231F20"/>
        </w:rPr>
        <w:t>to</w:t>
      </w:r>
      <w:r>
        <w:rPr>
          <w:color w:val="231F20"/>
          <w:spacing w:val="-3"/>
        </w:rPr>
        <w:t xml:space="preserve"> </w:t>
      </w:r>
      <w:r>
        <w:rPr>
          <w:color w:val="231F20"/>
        </w:rPr>
        <w:t>comment</w:t>
      </w:r>
      <w:r>
        <w:rPr>
          <w:color w:val="231F20"/>
          <w:spacing w:val="-3"/>
        </w:rPr>
        <w:t xml:space="preserve"> </w:t>
      </w:r>
      <w:r>
        <w:rPr>
          <w:color w:val="231F20"/>
        </w:rPr>
        <w:t>document</w:t>
      </w:r>
      <w:r>
        <w:rPr>
          <w:color w:val="231F20"/>
          <w:spacing w:val="-3"/>
        </w:rPr>
        <w:t xml:space="preserve"> </w:t>
      </w:r>
      <w:r>
        <w:rPr>
          <w:color w:val="231F20"/>
        </w:rPr>
        <w:t>is</w:t>
      </w:r>
      <w:r>
        <w:rPr>
          <w:color w:val="231F20"/>
          <w:spacing w:val="-3"/>
        </w:rPr>
        <w:t xml:space="preserve"> </w:t>
      </w:r>
      <w:r>
        <w:rPr>
          <w:color w:val="231F20"/>
        </w:rPr>
        <w:t>attached as a supplemental document. There were no changes made to the collection.</w:t>
      </w:r>
    </w:p>
    <w:p w:rsidR="00C33392" w14:paraId="57890B04" w14:textId="5FDAEF19">
      <w:pPr>
        <w:pStyle w:val="BodyText"/>
        <w:spacing w:before="101"/>
        <w:ind w:left="700"/>
      </w:pPr>
      <w:r>
        <w:rPr>
          <w:color w:val="231F20"/>
        </w:rPr>
        <w:t>The</w:t>
      </w:r>
      <w:r>
        <w:rPr>
          <w:color w:val="231F20"/>
          <w:spacing w:val="-6"/>
        </w:rPr>
        <w:t xml:space="preserve"> </w:t>
      </w:r>
      <w:r>
        <w:rPr>
          <w:color w:val="231F20"/>
        </w:rPr>
        <w:t>30-day</w:t>
      </w:r>
      <w:r>
        <w:rPr>
          <w:color w:val="231F20"/>
          <w:spacing w:val="-6"/>
        </w:rPr>
        <w:t xml:space="preserve"> </w:t>
      </w:r>
      <w:r>
        <w:rPr>
          <w:color w:val="231F20"/>
        </w:rPr>
        <w:t>Federal</w:t>
      </w:r>
      <w:r>
        <w:rPr>
          <w:color w:val="231F20"/>
          <w:spacing w:val="-6"/>
        </w:rPr>
        <w:t xml:space="preserve"> </w:t>
      </w:r>
      <w:r>
        <w:rPr>
          <w:color w:val="231F20"/>
        </w:rPr>
        <w:t>Register</w:t>
      </w:r>
      <w:r>
        <w:rPr>
          <w:color w:val="231F20"/>
          <w:spacing w:val="-6"/>
        </w:rPr>
        <w:t xml:space="preserve"> </w:t>
      </w:r>
      <w:r>
        <w:rPr>
          <w:color w:val="231F20"/>
        </w:rPr>
        <w:t>Notice</w:t>
      </w:r>
      <w:r>
        <w:rPr>
          <w:color w:val="231F20"/>
          <w:spacing w:val="-6"/>
        </w:rPr>
        <w:t xml:space="preserve"> </w:t>
      </w:r>
      <w:r w:rsidR="00E97DC3">
        <w:rPr>
          <w:color w:val="231F20"/>
          <w:spacing w:val="-6"/>
        </w:rPr>
        <w:t>(</w:t>
      </w:r>
      <w:r w:rsidRPr="00E97DC3" w:rsidR="00E97DC3">
        <w:rPr>
          <w:color w:val="231F20"/>
          <w:spacing w:val="-6"/>
        </w:rPr>
        <w:t>91 FR 44849</w:t>
      </w:r>
      <w:r w:rsidR="00E97DC3">
        <w:rPr>
          <w:color w:val="231F20"/>
          <w:spacing w:val="-6"/>
        </w:rPr>
        <w:t xml:space="preserve">) </w:t>
      </w:r>
      <w:r>
        <w:rPr>
          <w:color w:val="231F20"/>
        </w:rPr>
        <w:t>published</w:t>
      </w:r>
      <w:r>
        <w:rPr>
          <w:color w:val="231F20"/>
          <w:spacing w:val="-6"/>
        </w:rPr>
        <w:t xml:space="preserve"> </w:t>
      </w:r>
      <w:r>
        <w:rPr>
          <w:color w:val="231F20"/>
        </w:rPr>
        <w:t>in</w:t>
      </w:r>
      <w:r>
        <w:rPr>
          <w:color w:val="231F20"/>
          <w:spacing w:val="-6"/>
        </w:rPr>
        <w:t xml:space="preserve"> </w:t>
      </w:r>
      <w:r>
        <w:rPr>
          <w:color w:val="231F20"/>
        </w:rPr>
        <w:t>the</w:t>
      </w:r>
      <w:r>
        <w:rPr>
          <w:color w:val="231F20"/>
          <w:spacing w:val="-7"/>
        </w:rPr>
        <w:t xml:space="preserve"> </w:t>
      </w:r>
      <w:r>
        <w:rPr>
          <w:color w:val="231F20"/>
        </w:rPr>
        <w:t>Federal</w:t>
      </w:r>
      <w:r>
        <w:rPr>
          <w:color w:val="231F20"/>
          <w:spacing w:val="-6"/>
        </w:rPr>
        <w:t xml:space="preserve"> </w:t>
      </w:r>
      <w:r>
        <w:rPr>
          <w:color w:val="231F20"/>
        </w:rPr>
        <w:t>Register</w:t>
      </w:r>
      <w:r>
        <w:rPr>
          <w:color w:val="231F20"/>
          <w:spacing w:val="-11"/>
        </w:rPr>
        <w:t xml:space="preserve"> </w:t>
      </w:r>
      <w:r w:rsidR="00E97DC3">
        <w:rPr>
          <w:color w:val="231F20"/>
          <w:spacing w:val="-4"/>
        </w:rPr>
        <w:t>7/17/2026</w:t>
      </w:r>
      <w:r>
        <w:rPr>
          <w:color w:val="231F20"/>
          <w:spacing w:val="-4"/>
        </w:rPr>
        <w:t>.</w:t>
      </w:r>
    </w:p>
    <w:p w:rsidR="00C33392" w14:paraId="3F786DDF" w14:textId="77777777">
      <w:pPr>
        <w:pStyle w:val="BodyText"/>
        <w:spacing w:before="230"/>
      </w:pPr>
    </w:p>
    <w:p w:rsidR="00C33392" w14:paraId="0A1BE08D" w14:textId="77777777">
      <w:pPr>
        <w:pStyle w:val="ListParagraph"/>
        <w:numPr>
          <w:ilvl w:val="1"/>
          <w:numId w:val="1"/>
        </w:numPr>
        <w:tabs>
          <w:tab w:val="left" w:pos="925"/>
        </w:tabs>
        <w:ind w:left="925" w:hanging="225"/>
        <w:rPr>
          <w:u w:val="none"/>
        </w:rPr>
      </w:pPr>
      <w:r>
        <w:rPr>
          <w:color w:val="231F20"/>
          <w:u w:color="231F20"/>
        </w:rPr>
        <w:t>Payments/Gifts</w:t>
      </w:r>
      <w:r>
        <w:rPr>
          <w:color w:val="231F20"/>
          <w:spacing w:val="-8"/>
          <w:u w:color="231F20"/>
        </w:rPr>
        <w:t xml:space="preserve"> </w:t>
      </w:r>
      <w:r>
        <w:rPr>
          <w:color w:val="231F20"/>
          <w:u w:color="231F20"/>
        </w:rPr>
        <w:t>to</w:t>
      </w:r>
      <w:r>
        <w:rPr>
          <w:color w:val="231F20"/>
          <w:spacing w:val="-8"/>
          <w:u w:color="231F20"/>
        </w:rPr>
        <w:t xml:space="preserve"> </w:t>
      </w:r>
      <w:r>
        <w:rPr>
          <w:color w:val="231F20"/>
          <w:spacing w:val="-2"/>
          <w:u w:color="231F20"/>
        </w:rPr>
        <w:t>Respondents</w:t>
      </w:r>
    </w:p>
    <w:p w:rsidR="00C33392" w14:paraId="6A824136" w14:textId="77777777">
      <w:pPr>
        <w:pStyle w:val="BodyText"/>
        <w:spacing w:before="114" w:line="252" w:lineRule="auto"/>
        <w:ind w:left="710" w:right="78" w:hanging="10"/>
      </w:pPr>
      <w:r>
        <w:rPr>
          <w:color w:val="231F20"/>
        </w:rPr>
        <w:t>There</w:t>
      </w:r>
      <w:r>
        <w:rPr>
          <w:color w:val="231F20"/>
          <w:spacing w:val="-3"/>
        </w:rPr>
        <w:t xml:space="preserve"> </w:t>
      </w:r>
      <w:r>
        <w:rPr>
          <w:color w:val="231F20"/>
        </w:rPr>
        <w:t>are</w:t>
      </w:r>
      <w:r>
        <w:rPr>
          <w:color w:val="231F20"/>
          <w:spacing w:val="-3"/>
        </w:rPr>
        <w:t xml:space="preserve"> </w:t>
      </w:r>
      <w:r>
        <w:rPr>
          <w:color w:val="231F20"/>
        </w:rPr>
        <w:t>no</w:t>
      </w:r>
      <w:r>
        <w:rPr>
          <w:color w:val="231F20"/>
          <w:spacing w:val="-3"/>
        </w:rPr>
        <w:t xml:space="preserve"> </w:t>
      </w:r>
      <w:r>
        <w:rPr>
          <w:color w:val="231F20"/>
        </w:rPr>
        <w:t>payments/gifts</w:t>
      </w:r>
      <w:r>
        <w:rPr>
          <w:color w:val="231F20"/>
          <w:spacing w:val="-3"/>
        </w:rPr>
        <w:t xml:space="preserve"> </w:t>
      </w:r>
      <w:r>
        <w:rPr>
          <w:color w:val="231F20"/>
        </w:rPr>
        <w:t>to</w:t>
      </w:r>
      <w:r>
        <w:rPr>
          <w:color w:val="231F20"/>
          <w:spacing w:val="-3"/>
        </w:rPr>
        <w:t xml:space="preserve"> </w:t>
      </w:r>
      <w:r>
        <w:rPr>
          <w:color w:val="231F20"/>
        </w:rPr>
        <w:t>respondents.</w:t>
      </w:r>
      <w:r>
        <w:rPr>
          <w:color w:val="231F20"/>
          <w:spacing w:val="-8"/>
        </w:rPr>
        <w:t xml:space="preserve"> </w:t>
      </w:r>
      <w:r>
        <w:rPr>
          <w:color w:val="231F20"/>
        </w:rPr>
        <w:t>This</w:t>
      </w:r>
      <w:r>
        <w:rPr>
          <w:color w:val="231F20"/>
          <w:spacing w:val="-4"/>
        </w:rPr>
        <w:t xml:space="preserve"> </w:t>
      </w:r>
      <w:r>
        <w:rPr>
          <w:color w:val="231F20"/>
        </w:rPr>
        <w:t>collection</w:t>
      </w:r>
      <w:r>
        <w:rPr>
          <w:color w:val="231F20"/>
          <w:spacing w:val="-3"/>
        </w:rPr>
        <w:t xml:space="preserve"> </w:t>
      </w:r>
      <w:r>
        <w:rPr>
          <w:color w:val="231F20"/>
        </w:rPr>
        <w:t>is</w:t>
      </w:r>
      <w:r>
        <w:rPr>
          <w:color w:val="231F20"/>
          <w:spacing w:val="-3"/>
        </w:rPr>
        <w:t xml:space="preserve"> </w:t>
      </w:r>
      <w:r>
        <w:rPr>
          <w:color w:val="231F20"/>
        </w:rPr>
        <w:t>to</w:t>
      </w:r>
      <w:r>
        <w:rPr>
          <w:color w:val="231F20"/>
          <w:spacing w:val="-3"/>
        </w:rPr>
        <w:t xml:space="preserve"> </w:t>
      </w:r>
      <w:r>
        <w:rPr>
          <w:color w:val="231F20"/>
        </w:rPr>
        <w:t>establish</w:t>
      </w:r>
      <w:r>
        <w:rPr>
          <w:color w:val="231F20"/>
          <w:spacing w:val="-3"/>
        </w:rPr>
        <w:t xml:space="preserve"> </w:t>
      </w:r>
      <w:r>
        <w:rPr>
          <w:color w:val="231F20"/>
        </w:rPr>
        <w:t>qualifications</w:t>
      </w:r>
      <w:r>
        <w:rPr>
          <w:color w:val="231F20"/>
          <w:spacing w:val="-3"/>
        </w:rPr>
        <w:t xml:space="preserve"> </w:t>
      </w:r>
      <w:r>
        <w:rPr>
          <w:color w:val="231F20"/>
        </w:rPr>
        <w:t>to</w:t>
      </w:r>
      <w:r>
        <w:rPr>
          <w:color w:val="231F20"/>
          <w:spacing w:val="-3"/>
        </w:rPr>
        <w:t xml:space="preserve"> </w:t>
      </w:r>
      <w:r>
        <w:rPr>
          <w:color w:val="231F20"/>
        </w:rPr>
        <w:t>use claims data to evaluate the performance of providers of services and suppliers.</w:t>
      </w:r>
    </w:p>
    <w:p w:rsidR="00C33392" w14:paraId="220C931B" w14:textId="77777777">
      <w:pPr>
        <w:pStyle w:val="BodyText"/>
        <w:spacing w:before="215"/>
      </w:pPr>
    </w:p>
    <w:p w:rsidR="00C33392" w14:paraId="57742828" w14:textId="77777777">
      <w:pPr>
        <w:pStyle w:val="ListParagraph"/>
        <w:numPr>
          <w:ilvl w:val="1"/>
          <w:numId w:val="1"/>
        </w:numPr>
        <w:tabs>
          <w:tab w:val="left" w:pos="1025"/>
        </w:tabs>
        <w:ind w:left="1025" w:hanging="335"/>
        <w:rPr>
          <w:u w:val="none"/>
        </w:rPr>
      </w:pPr>
      <w:r>
        <w:rPr>
          <w:color w:val="231F20"/>
          <w:spacing w:val="-2"/>
          <w:u w:color="231F20"/>
        </w:rPr>
        <w:t>Confidentiality</w:t>
      </w:r>
    </w:p>
    <w:p w:rsidR="00C33392" w14:paraId="1E356CF6" w14:textId="77777777">
      <w:pPr>
        <w:pStyle w:val="BodyText"/>
        <w:spacing w:before="118" w:line="252" w:lineRule="auto"/>
        <w:ind w:left="710" w:right="78" w:hanging="10"/>
      </w:pPr>
      <w:r>
        <w:rPr>
          <w:color w:val="231F20"/>
        </w:rPr>
        <w:t>QECP</w:t>
      </w:r>
      <w:r>
        <w:rPr>
          <w:color w:val="231F20"/>
          <w:spacing w:val="-2"/>
        </w:rPr>
        <w:t xml:space="preserve"> </w:t>
      </w:r>
      <w:r>
        <w:rPr>
          <w:color w:val="231F20"/>
        </w:rPr>
        <w:t>pledges privacy to the extent allowed by law. The</w:t>
      </w:r>
      <w:r>
        <w:rPr>
          <w:color w:val="231F20"/>
          <w:spacing w:val="-5"/>
        </w:rPr>
        <w:t xml:space="preserve"> </w:t>
      </w:r>
      <w:r>
        <w:rPr>
          <w:color w:val="231F20"/>
        </w:rPr>
        <w:t>Application, Reapplication, and</w:t>
      </w:r>
      <w:r>
        <w:rPr>
          <w:color w:val="231F20"/>
          <w:spacing w:val="-6"/>
        </w:rPr>
        <w:t xml:space="preserve"> </w:t>
      </w:r>
      <w:r>
        <w:rPr>
          <w:color w:val="231F20"/>
        </w:rPr>
        <w:t>ARW are secure. QECP</w:t>
      </w:r>
      <w:r>
        <w:rPr>
          <w:color w:val="231F20"/>
          <w:spacing w:val="-3"/>
        </w:rPr>
        <w:t xml:space="preserve"> </w:t>
      </w:r>
      <w:r>
        <w:rPr>
          <w:color w:val="231F20"/>
        </w:rPr>
        <w:t>does not disclose proprietary data or information outside the Government and QECP</w:t>
      </w:r>
      <w:r>
        <w:rPr>
          <w:color w:val="231F20"/>
          <w:spacing w:val="-3"/>
        </w:rPr>
        <w:t xml:space="preserve"> </w:t>
      </w:r>
      <w:r>
        <w:rPr>
          <w:color w:val="231F20"/>
        </w:rPr>
        <w:t>does not duplicate, use, or disclose – in whole or in part – for any purpose other than to evaluate</w:t>
      </w:r>
      <w:r>
        <w:rPr>
          <w:color w:val="231F20"/>
          <w:spacing w:val="-1"/>
        </w:rPr>
        <w:t xml:space="preserve"> </w:t>
      </w:r>
      <w:r>
        <w:rPr>
          <w:color w:val="231F20"/>
        </w:rPr>
        <w:t>the</w:t>
      </w:r>
      <w:r>
        <w:rPr>
          <w:color w:val="231F20"/>
          <w:spacing w:val="-12"/>
        </w:rPr>
        <w:t xml:space="preserve"> </w:t>
      </w:r>
      <w:r>
        <w:rPr>
          <w:color w:val="231F20"/>
        </w:rPr>
        <w:t>Application,</w:t>
      </w:r>
      <w:r>
        <w:rPr>
          <w:color w:val="231F20"/>
          <w:spacing w:val="-1"/>
        </w:rPr>
        <w:t xml:space="preserve"> </w:t>
      </w:r>
      <w:r>
        <w:rPr>
          <w:color w:val="231F20"/>
        </w:rPr>
        <w:t>Reapplication,</w:t>
      </w:r>
      <w:r>
        <w:rPr>
          <w:color w:val="231F20"/>
          <w:spacing w:val="-1"/>
        </w:rPr>
        <w:t xml:space="preserve"> </w:t>
      </w:r>
      <w:r>
        <w:rPr>
          <w:color w:val="231F20"/>
        </w:rPr>
        <w:t>or</w:t>
      </w:r>
      <w:r>
        <w:rPr>
          <w:color w:val="231F20"/>
          <w:spacing w:val="-12"/>
        </w:rPr>
        <w:t xml:space="preserve"> </w:t>
      </w:r>
      <w:r>
        <w:rPr>
          <w:color w:val="231F20"/>
        </w:rPr>
        <w:t>ARW. QECP</w:t>
      </w:r>
      <w:r>
        <w:rPr>
          <w:color w:val="231F20"/>
          <w:spacing w:val="-8"/>
        </w:rPr>
        <w:t xml:space="preserve"> </w:t>
      </w:r>
      <w:r>
        <w:rPr>
          <w:color w:val="231F20"/>
        </w:rPr>
        <w:t>safeguards</w:t>
      </w:r>
      <w:r>
        <w:rPr>
          <w:color w:val="231F20"/>
          <w:spacing w:val="-1"/>
        </w:rPr>
        <w:t xml:space="preserve"> </w:t>
      </w:r>
      <w:r>
        <w:rPr>
          <w:color w:val="231F20"/>
        </w:rPr>
        <w:t>files containing submissions or information from these forms in accordance with Departmental standards and National Institute of Standards and Technology (NIST) Special Publication 800-53, Recommended Security</w:t>
      </w:r>
      <w:r>
        <w:rPr>
          <w:color w:val="231F20"/>
          <w:spacing w:val="-4"/>
        </w:rPr>
        <w:t xml:space="preserve"> </w:t>
      </w:r>
      <w:r>
        <w:rPr>
          <w:color w:val="231F20"/>
        </w:rPr>
        <w:t>Controls</w:t>
      </w:r>
      <w:r>
        <w:rPr>
          <w:color w:val="231F20"/>
          <w:spacing w:val="-4"/>
        </w:rPr>
        <w:t xml:space="preserve"> </w:t>
      </w:r>
      <w:r>
        <w:rPr>
          <w:color w:val="231F20"/>
        </w:rPr>
        <w:t>for</w:t>
      </w:r>
      <w:r>
        <w:rPr>
          <w:color w:val="231F20"/>
          <w:spacing w:val="-4"/>
        </w:rPr>
        <w:t xml:space="preserve"> </w:t>
      </w:r>
      <w:r>
        <w:rPr>
          <w:color w:val="231F20"/>
        </w:rPr>
        <w:t>Federal</w:t>
      </w:r>
      <w:r>
        <w:rPr>
          <w:color w:val="231F20"/>
          <w:spacing w:val="-4"/>
        </w:rPr>
        <w:t xml:space="preserve"> </w:t>
      </w:r>
      <w:r>
        <w:rPr>
          <w:color w:val="231F20"/>
        </w:rPr>
        <w:t>Information</w:t>
      </w:r>
      <w:r>
        <w:rPr>
          <w:color w:val="231F20"/>
          <w:spacing w:val="-4"/>
        </w:rPr>
        <w:t xml:space="preserve"> </w:t>
      </w:r>
      <w:r>
        <w:rPr>
          <w:color w:val="231F20"/>
        </w:rPr>
        <w:t>Systems</w:t>
      </w:r>
      <w:r>
        <w:rPr>
          <w:color w:val="231F20"/>
          <w:spacing w:val="-4"/>
        </w:rPr>
        <w:t xml:space="preserve"> </w:t>
      </w:r>
      <w:r>
        <w:rPr>
          <w:color w:val="231F20"/>
        </w:rPr>
        <w:t>and</w:t>
      </w:r>
      <w:r>
        <w:rPr>
          <w:color w:val="231F20"/>
          <w:spacing w:val="-4"/>
        </w:rPr>
        <w:t xml:space="preserve"> </w:t>
      </w:r>
      <w:r>
        <w:rPr>
          <w:color w:val="231F20"/>
        </w:rPr>
        <w:t>Organizations</w:t>
      </w:r>
      <w:r>
        <w:rPr>
          <w:color w:val="231F20"/>
          <w:spacing w:val="-4"/>
        </w:rPr>
        <w:t xml:space="preserve"> </w:t>
      </w:r>
      <w:r>
        <w:rPr>
          <w:color w:val="231F20"/>
        </w:rPr>
        <w:t>which</w:t>
      </w:r>
      <w:r>
        <w:rPr>
          <w:color w:val="231F20"/>
          <w:spacing w:val="-4"/>
        </w:rPr>
        <w:t xml:space="preserve"> </w:t>
      </w:r>
      <w:r>
        <w:rPr>
          <w:color w:val="231F20"/>
        </w:rPr>
        <w:t>limits</w:t>
      </w:r>
      <w:r>
        <w:rPr>
          <w:color w:val="231F20"/>
          <w:spacing w:val="-4"/>
        </w:rPr>
        <w:t xml:space="preserve"> </w:t>
      </w:r>
      <w:r>
        <w:rPr>
          <w:color w:val="231F20"/>
        </w:rPr>
        <w:t>access</w:t>
      </w:r>
      <w:r>
        <w:rPr>
          <w:color w:val="231F20"/>
          <w:spacing w:val="-4"/>
        </w:rPr>
        <w:t xml:space="preserve"> </w:t>
      </w:r>
      <w:r>
        <w:rPr>
          <w:color w:val="231F20"/>
        </w:rPr>
        <w:t>to</w:t>
      </w:r>
      <w:r>
        <w:rPr>
          <w:color w:val="231F20"/>
          <w:spacing w:val="-4"/>
        </w:rPr>
        <w:t xml:space="preserve"> </w:t>
      </w:r>
      <w:r>
        <w:rPr>
          <w:color w:val="231F20"/>
        </w:rPr>
        <w:t>only authorized personnel. The safeguards provide a level of security as required by OMB Circular No.</w:t>
      </w:r>
      <w:r>
        <w:rPr>
          <w:color w:val="231F20"/>
          <w:spacing w:val="-2"/>
        </w:rPr>
        <w:t xml:space="preserve"> </w:t>
      </w:r>
      <w:r>
        <w:rPr>
          <w:color w:val="231F20"/>
        </w:rPr>
        <w:t>A-130 (revised),</w:t>
      </w:r>
      <w:r>
        <w:rPr>
          <w:color w:val="231F20"/>
          <w:spacing w:val="-2"/>
        </w:rPr>
        <w:t xml:space="preserve"> </w:t>
      </w:r>
      <w:r>
        <w:rPr>
          <w:color w:val="231F20"/>
        </w:rPr>
        <w:t>Appendix III – Security of Federal</w:t>
      </w:r>
      <w:r>
        <w:rPr>
          <w:color w:val="231F20"/>
          <w:spacing w:val="-2"/>
        </w:rPr>
        <w:t xml:space="preserve"> </w:t>
      </w:r>
      <w:r>
        <w:rPr>
          <w:color w:val="231F20"/>
        </w:rPr>
        <w:t>Automated Information Systems.</w:t>
      </w:r>
    </w:p>
    <w:p w:rsidR="00C33392" w14:paraId="02A1D876" w14:textId="77777777">
      <w:pPr>
        <w:pStyle w:val="BodyText"/>
        <w:spacing w:before="208"/>
      </w:pPr>
    </w:p>
    <w:p w:rsidR="00C33392" w14:paraId="15F9D819" w14:textId="77777777">
      <w:pPr>
        <w:pStyle w:val="ListParagraph"/>
        <w:numPr>
          <w:ilvl w:val="1"/>
          <w:numId w:val="1"/>
        </w:numPr>
        <w:tabs>
          <w:tab w:val="left" w:pos="1016"/>
        </w:tabs>
        <w:ind w:left="1016" w:hanging="327"/>
        <w:rPr>
          <w:u w:val="none"/>
        </w:rPr>
      </w:pPr>
      <w:r>
        <w:rPr>
          <w:color w:val="231F20"/>
          <w:u w:color="231F20"/>
        </w:rPr>
        <w:t>Sensitive</w:t>
      </w:r>
      <w:r>
        <w:rPr>
          <w:color w:val="231F20"/>
          <w:spacing w:val="-10"/>
          <w:u w:color="231F20"/>
        </w:rPr>
        <w:t xml:space="preserve"> </w:t>
      </w:r>
      <w:r>
        <w:rPr>
          <w:color w:val="231F20"/>
          <w:spacing w:val="-2"/>
          <w:u w:color="231F20"/>
        </w:rPr>
        <w:t>Questions</w:t>
      </w:r>
    </w:p>
    <w:p w:rsidR="00C33392" w14:paraId="2CE3F786" w14:textId="77777777">
      <w:pPr>
        <w:pStyle w:val="BodyText"/>
        <w:spacing w:before="116"/>
        <w:ind w:left="700"/>
      </w:pPr>
      <w:r>
        <w:rPr>
          <w:color w:val="231F20"/>
        </w:rPr>
        <w:t>No</w:t>
      </w:r>
      <w:r>
        <w:rPr>
          <w:color w:val="231F20"/>
          <w:spacing w:val="-6"/>
        </w:rPr>
        <w:t xml:space="preserve"> </w:t>
      </w:r>
      <w:r>
        <w:rPr>
          <w:color w:val="231F20"/>
        </w:rPr>
        <w:t>sensitive</w:t>
      </w:r>
      <w:r>
        <w:rPr>
          <w:color w:val="231F20"/>
          <w:spacing w:val="-5"/>
        </w:rPr>
        <w:t xml:space="preserve"> </w:t>
      </w:r>
      <w:r>
        <w:rPr>
          <w:color w:val="231F20"/>
        </w:rPr>
        <w:t>questions</w:t>
      </w:r>
      <w:r>
        <w:rPr>
          <w:color w:val="231F20"/>
          <w:spacing w:val="-5"/>
        </w:rPr>
        <w:t xml:space="preserve"> </w:t>
      </w:r>
      <w:r>
        <w:rPr>
          <w:color w:val="231F20"/>
        </w:rPr>
        <w:t>are</w:t>
      </w:r>
      <w:r>
        <w:rPr>
          <w:color w:val="231F20"/>
          <w:spacing w:val="-5"/>
        </w:rPr>
        <w:t xml:space="preserve"> </w:t>
      </w:r>
      <w:r>
        <w:rPr>
          <w:color w:val="231F20"/>
        </w:rPr>
        <w:t>part</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information</w:t>
      </w:r>
      <w:r>
        <w:rPr>
          <w:color w:val="231F20"/>
          <w:spacing w:val="-5"/>
        </w:rPr>
        <w:t xml:space="preserve"> </w:t>
      </w:r>
      <w:r>
        <w:rPr>
          <w:color w:val="231F20"/>
          <w:spacing w:val="-2"/>
        </w:rPr>
        <w:t>collection.</w:t>
      </w:r>
    </w:p>
    <w:p w:rsidR="00C33392" w14:paraId="409BA240" w14:textId="77777777">
      <w:pPr>
        <w:pStyle w:val="BodyText"/>
        <w:spacing w:before="230"/>
      </w:pPr>
    </w:p>
    <w:p w:rsidR="00C33392" w14:paraId="2DAC5189" w14:textId="77777777">
      <w:pPr>
        <w:pStyle w:val="ListParagraph"/>
        <w:numPr>
          <w:ilvl w:val="1"/>
          <w:numId w:val="1"/>
        </w:numPr>
        <w:tabs>
          <w:tab w:val="left" w:pos="1025"/>
        </w:tabs>
        <w:ind w:left="1025" w:hanging="335"/>
        <w:rPr>
          <w:u w:val="none"/>
        </w:rPr>
      </w:pPr>
      <w:r>
        <w:rPr>
          <w:color w:val="231F20"/>
          <w:u w:color="231F20"/>
        </w:rPr>
        <w:t>Burden</w:t>
      </w:r>
      <w:r>
        <w:rPr>
          <w:color w:val="231F20"/>
          <w:spacing w:val="-7"/>
          <w:u w:color="231F20"/>
        </w:rPr>
        <w:t xml:space="preserve"> </w:t>
      </w:r>
      <w:r>
        <w:rPr>
          <w:color w:val="231F20"/>
          <w:u w:color="231F20"/>
        </w:rPr>
        <w:t>Estimates</w:t>
      </w:r>
      <w:r>
        <w:rPr>
          <w:color w:val="231F20"/>
          <w:spacing w:val="-7"/>
          <w:u w:color="231F20"/>
        </w:rPr>
        <w:t xml:space="preserve"> </w:t>
      </w:r>
      <w:r>
        <w:rPr>
          <w:color w:val="231F20"/>
          <w:u w:color="231F20"/>
        </w:rPr>
        <w:t>(Hours</w:t>
      </w:r>
      <w:r>
        <w:rPr>
          <w:color w:val="231F20"/>
          <w:spacing w:val="-6"/>
          <w:u w:color="231F20"/>
        </w:rPr>
        <w:t xml:space="preserve"> </w:t>
      </w:r>
      <w:r>
        <w:rPr>
          <w:color w:val="231F20"/>
          <w:u w:color="231F20"/>
        </w:rPr>
        <w:t>and</w:t>
      </w:r>
      <w:r>
        <w:rPr>
          <w:color w:val="231F20"/>
          <w:spacing w:val="-11"/>
          <w:u w:color="231F20"/>
        </w:rPr>
        <w:t xml:space="preserve"> </w:t>
      </w:r>
      <w:r>
        <w:rPr>
          <w:color w:val="231F20"/>
          <w:spacing w:val="-2"/>
          <w:u w:color="231F20"/>
        </w:rPr>
        <w:t>Wages)</w:t>
      </w:r>
    </w:p>
    <w:p w:rsidR="00C33392" w14:paraId="46C0B7E8" w14:textId="77777777">
      <w:pPr>
        <w:pStyle w:val="BodyText"/>
        <w:spacing w:before="117" w:line="252" w:lineRule="auto"/>
        <w:ind w:left="710" w:right="21" w:hanging="10"/>
      </w:pPr>
      <w:r>
        <w:rPr>
          <w:color w:val="231F20"/>
        </w:rPr>
        <w:t>To date, there are 40 QEs, comprising for-profit and not-for-profit organizations. Going forward, QECP anticipates a continuing increase in applications from healthcare analytic and technology companies</w:t>
      </w:r>
      <w:r>
        <w:rPr>
          <w:color w:val="231F20"/>
          <w:spacing w:val="-3"/>
        </w:rPr>
        <w:t xml:space="preserve"> </w:t>
      </w:r>
      <w:r>
        <w:rPr>
          <w:color w:val="231F20"/>
        </w:rPr>
        <w:t>given</w:t>
      </w:r>
      <w:r>
        <w:rPr>
          <w:color w:val="231F20"/>
          <w:spacing w:val="-3"/>
        </w:rPr>
        <w:t xml:space="preserve"> </w:t>
      </w:r>
      <w:r>
        <w:rPr>
          <w:color w:val="231F20"/>
        </w:rPr>
        <w:t>the</w:t>
      </w:r>
      <w:r>
        <w:rPr>
          <w:color w:val="231F20"/>
          <w:spacing w:val="-3"/>
        </w:rPr>
        <w:t xml:space="preserve"> </w:t>
      </w:r>
      <w:r>
        <w:rPr>
          <w:color w:val="231F20"/>
        </w:rPr>
        <w:t>expanded</w:t>
      </w:r>
      <w:r>
        <w:rPr>
          <w:color w:val="231F20"/>
          <w:spacing w:val="-3"/>
        </w:rPr>
        <w:t xml:space="preserve"> </w:t>
      </w:r>
      <w:r>
        <w:rPr>
          <w:color w:val="231F20"/>
        </w:rPr>
        <w:t>uses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Medicare</w:t>
      </w:r>
      <w:r>
        <w:rPr>
          <w:color w:val="231F20"/>
          <w:spacing w:val="-3"/>
        </w:rPr>
        <w:t xml:space="preserve"> </w:t>
      </w:r>
      <w:r>
        <w:rPr>
          <w:color w:val="231F20"/>
        </w:rPr>
        <w:t>data</w:t>
      </w:r>
      <w:r>
        <w:rPr>
          <w:color w:val="231F20"/>
          <w:spacing w:val="-3"/>
        </w:rPr>
        <w:t xml:space="preserve"> </w:t>
      </w:r>
      <w:r>
        <w:rPr>
          <w:color w:val="231F20"/>
        </w:rPr>
        <w:t>afforded</w:t>
      </w:r>
      <w:r>
        <w:rPr>
          <w:color w:val="231F20"/>
          <w:spacing w:val="-3"/>
        </w:rPr>
        <w:t xml:space="preserve"> </w:t>
      </w:r>
      <w:r>
        <w:rPr>
          <w:color w:val="231F20"/>
        </w:rPr>
        <w:t>by</w:t>
      </w:r>
      <w:r>
        <w:rPr>
          <w:color w:val="231F20"/>
          <w:spacing w:val="-3"/>
        </w:rPr>
        <w:t xml:space="preserve"> </w:t>
      </w:r>
      <w:r>
        <w:rPr>
          <w:color w:val="231F20"/>
        </w:rPr>
        <w:t>Section</w:t>
      </w:r>
      <w:r>
        <w:rPr>
          <w:color w:val="231F20"/>
          <w:spacing w:val="-3"/>
        </w:rPr>
        <w:t xml:space="preserve"> </w:t>
      </w:r>
      <w:r>
        <w:rPr>
          <w:color w:val="231F20"/>
        </w:rPr>
        <w:t>105</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Medicare Access and CHIP Reauthorization</w:t>
      </w:r>
      <w:r>
        <w:rPr>
          <w:color w:val="231F20"/>
          <w:spacing w:val="-3"/>
        </w:rPr>
        <w:t xml:space="preserve"> </w:t>
      </w:r>
      <w:r>
        <w:rPr>
          <w:color w:val="231F20"/>
        </w:rPr>
        <w:t>Act (MACRA) of 2016. QECP also anticipates that provider network companies and other CMS-approved Qualified Clinical Data Registries will continue applying</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Program.</w:t>
      </w:r>
      <w:r>
        <w:rPr>
          <w:color w:val="231F20"/>
          <w:spacing w:val="-2"/>
        </w:rPr>
        <w:t xml:space="preserve"> </w:t>
      </w:r>
      <w:r>
        <w:rPr>
          <w:color w:val="231F20"/>
        </w:rPr>
        <w:t>QECP</w:t>
      </w:r>
      <w:r>
        <w:rPr>
          <w:color w:val="231F20"/>
          <w:spacing w:val="-11"/>
        </w:rPr>
        <w:t xml:space="preserve"> </w:t>
      </w:r>
      <w:r>
        <w:rPr>
          <w:color w:val="231F20"/>
        </w:rPr>
        <w:t>examined</w:t>
      </w:r>
      <w:r>
        <w:rPr>
          <w:color w:val="231F20"/>
          <w:spacing w:val="-2"/>
        </w:rPr>
        <w:t xml:space="preserve"> </w:t>
      </w:r>
      <w:r>
        <w:rPr>
          <w:color w:val="231F20"/>
        </w:rPr>
        <w:t>available</w:t>
      </w:r>
      <w:r>
        <w:rPr>
          <w:color w:val="231F20"/>
          <w:spacing w:val="-2"/>
        </w:rPr>
        <w:t xml:space="preserve"> </w:t>
      </w:r>
      <w:r>
        <w:rPr>
          <w:color w:val="231F20"/>
        </w:rPr>
        <w:t>information</w:t>
      </w:r>
      <w:r>
        <w:rPr>
          <w:color w:val="231F20"/>
          <w:spacing w:val="-2"/>
        </w:rPr>
        <w:t xml:space="preserve"> </w:t>
      </w:r>
      <w:r>
        <w:rPr>
          <w:color w:val="231F20"/>
        </w:rPr>
        <w:t>related</w:t>
      </w:r>
      <w:r>
        <w:rPr>
          <w:color w:val="231F20"/>
          <w:spacing w:val="-2"/>
        </w:rPr>
        <w:t xml:space="preserve"> </w:t>
      </w:r>
      <w:r>
        <w:rPr>
          <w:color w:val="231F20"/>
        </w:rPr>
        <w:t>to</w:t>
      </w:r>
      <w:r>
        <w:rPr>
          <w:color w:val="231F20"/>
          <w:spacing w:val="-2"/>
        </w:rPr>
        <w:t xml:space="preserve"> </w:t>
      </w:r>
      <w:r>
        <w:rPr>
          <w:color w:val="231F20"/>
        </w:rPr>
        <w:t>these</w:t>
      </w:r>
      <w:r>
        <w:rPr>
          <w:color w:val="231F20"/>
          <w:spacing w:val="-2"/>
        </w:rPr>
        <w:t xml:space="preserve"> </w:t>
      </w:r>
      <w:r>
        <w:rPr>
          <w:color w:val="231F20"/>
        </w:rPr>
        <w:t>entities</w:t>
      </w:r>
      <w:r>
        <w:rPr>
          <w:color w:val="231F20"/>
          <w:spacing w:val="-2"/>
        </w:rPr>
        <w:t xml:space="preserve"> </w:t>
      </w:r>
      <w:r>
        <w:rPr>
          <w:color w:val="231F20"/>
        </w:rPr>
        <w:t>to</w:t>
      </w:r>
      <w:r>
        <w:rPr>
          <w:color w:val="231F20"/>
          <w:spacing w:val="-2"/>
        </w:rPr>
        <w:t xml:space="preserve"> </w:t>
      </w:r>
      <w:r>
        <w:rPr>
          <w:color w:val="231F20"/>
        </w:rPr>
        <w:t xml:space="preserve">inform </w:t>
      </w:r>
      <w:r>
        <w:rPr>
          <w:color w:val="231F20"/>
          <w:spacing w:val="-2"/>
        </w:rPr>
        <w:t>assumptions.</w:t>
      </w:r>
    </w:p>
    <w:p w:rsidR="00C33392" w14:paraId="6A5C0F87" w14:textId="77777777">
      <w:pPr>
        <w:pStyle w:val="BodyText"/>
        <w:spacing w:before="95" w:line="252" w:lineRule="auto"/>
        <w:ind w:left="710" w:right="21" w:hanging="10"/>
      </w:pPr>
      <w:r>
        <w:rPr>
          <w:color w:val="231F20"/>
        </w:rPr>
        <w:t>QECP</w:t>
      </w:r>
      <w:r>
        <w:rPr>
          <w:color w:val="231F20"/>
          <w:spacing w:val="-12"/>
        </w:rPr>
        <w:t xml:space="preserve"> </w:t>
      </w:r>
      <w:r>
        <w:rPr>
          <w:color w:val="231F20"/>
        </w:rPr>
        <w:t>estimates</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average</w:t>
      </w:r>
      <w:r>
        <w:rPr>
          <w:color w:val="231F20"/>
          <w:spacing w:val="-3"/>
        </w:rPr>
        <w:t xml:space="preserve"> </w:t>
      </w:r>
      <w:r>
        <w:rPr>
          <w:color w:val="231F20"/>
        </w:rPr>
        <w:t>response</w:t>
      </w:r>
      <w:r>
        <w:rPr>
          <w:color w:val="231F20"/>
          <w:spacing w:val="-3"/>
        </w:rPr>
        <w:t xml:space="preserve"> </w:t>
      </w:r>
      <w:r>
        <w:rPr>
          <w:color w:val="231F20"/>
        </w:rPr>
        <w:t>time</w:t>
      </w:r>
      <w:r>
        <w:rPr>
          <w:color w:val="231F20"/>
          <w:spacing w:val="-3"/>
        </w:rPr>
        <w:t xml:space="preserve"> </w:t>
      </w:r>
      <w:r>
        <w:rPr>
          <w:color w:val="231F20"/>
        </w:rPr>
        <w:t>to</w:t>
      </w:r>
      <w:r>
        <w:rPr>
          <w:color w:val="231F20"/>
          <w:spacing w:val="-3"/>
        </w:rPr>
        <w:t xml:space="preserve"> </w:t>
      </w:r>
      <w:r>
        <w:rPr>
          <w:color w:val="231F20"/>
        </w:rPr>
        <w:t>complete</w:t>
      </w:r>
      <w:r>
        <w:rPr>
          <w:color w:val="231F20"/>
          <w:spacing w:val="-3"/>
        </w:rPr>
        <w:t xml:space="preserve"> </w:t>
      </w:r>
      <w:r>
        <w:rPr>
          <w:color w:val="231F20"/>
        </w:rPr>
        <w:t>all</w:t>
      </w:r>
      <w:r>
        <w:rPr>
          <w:color w:val="231F20"/>
          <w:spacing w:val="-3"/>
        </w:rPr>
        <w:t xml:space="preserve"> </w:t>
      </w:r>
      <w:r>
        <w:rPr>
          <w:color w:val="231F20"/>
        </w:rPr>
        <w:t>phases</w:t>
      </w:r>
      <w:r>
        <w:rPr>
          <w:color w:val="231F20"/>
          <w:spacing w:val="-3"/>
        </w:rPr>
        <w:t xml:space="preserve"> </w:t>
      </w:r>
      <w:r>
        <w:rPr>
          <w:color w:val="231F20"/>
        </w:rPr>
        <w:t>of</w:t>
      </w:r>
      <w:r>
        <w:rPr>
          <w:color w:val="231F20"/>
          <w:spacing w:val="-3"/>
        </w:rPr>
        <w:t xml:space="preserve"> </w:t>
      </w:r>
      <w:r>
        <w:rPr>
          <w:color w:val="231F20"/>
        </w:rPr>
        <w:t>the</w:t>
      </w:r>
      <w:r>
        <w:rPr>
          <w:color w:val="231F20"/>
          <w:spacing w:val="-14"/>
        </w:rPr>
        <w:t xml:space="preserve"> </w:t>
      </w:r>
      <w:r>
        <w:rPr>
          <w:color w:val="231F20"/>
        </w:rPr>
        <w:t>Application</w:t>
      </w:r>
      <w:r>
        <w:rPr>
          <w:color w:val="231F20"/>
          <w:spacing w:val="-3"/>
        </w:rPr>
        <w:t xml:space="preserve"> </w:t>
      </w:r>
      <w:r>
        <w:rPr>
          <w:color w:val="231F20"/>
        </w:rPr>
        <w:t>(over</w:t>
      </w:r>
      <w:r>
        <w:rPr>
          <w:color w:val="231F20"/>
          <w:spacing w:val="-4"/>
        </w:rPr>
        <w:t xml:space="preserve"> </w:t>
      </w:r>
      <w:r>
        <w:rPr>
          <w:color w:val="231F20"/>
        </w:rPr>
        <w:t>a multiyear period), Reapplication, three</w:t>
      </w:r>
      <w:r>
        <w:rPr>
          <w:color w:val="231F20"/>
          <w:spacing w:val="-10"/>
        </w:rPr>
        <w:t xml:space="preserve"> </w:t>
      </w:r>
      <w:r>
        <w:rPr>
          <w:color w:val="231F20"/>
        </w:rPr>
        <w:t>ARWs, and as-needed DUA</w:t>
      </w:r>
      <w:r>
        <w:rPr>
          <w:color w:val="231F20"/>
          <w:spacing w:val="-11"/>
        </w:rPr>
        <w:t xml:space="preserve"> </w:t>
      </w:r>
      <w:r>
        <w:rPr>
          <w:color w:val="231F20"/>
        </w:rPr>
        <w:t>is 528 hours and includes a</w:t>
      </w:r>
    </w:p>
    <w:p w:rsidR="00C33392" w14:paraId="68CC9C7C" w14:textId="77777777">
      <w:pPr>
        <w:pStyle w:val="BodyText"/>
        <w:spacing w:line="252" w:lineRule="auto"/>
        <w:sectPr>
          <w:pgSz w:w="12240" w:h="15840"/>
          <w:pgMar w:top="1480" w:right="1440" w:bottom="780" w:left="1440" w:header="0" w:footer="583" w:gutter="0"/>
          <w:cols w:space="720"/>
        </w:sectPr>
      </w:pPr>
    </w:p>
    <w:p w:rsidR="00C33392" w14:paraId="0C9C3736" w14:textId="77777777">
      <w:pPr>
        <w:pStyle w:val="BodyText"/>
        <w:spacing w:before="60" w:line="252" w:lineRule="auto"/>
        <w:ind w:left="710"/>
      </w:pPr>
      <w:r>
        <w:rPr>
          <w:color w:val="231F20"/>
        </w:rPr>
        <w:t>mix of staff from the following occupations: social scientists, information security analysts, legal staff, and executives.</w:t>
      </w:r>
      <w:r>
        <w:rPr>
          <w:color w:val="231F20"/>
          <w:spacing w:val="-6"/>
        </w:rPr>
        <w:t xml:space="preserve"> </w:t>
      </w:r>
      <w:r>
        <w:rPr>
          <w:color w:val="231F20"/>
        </w:rPr>
        <w:t>As described in Table 1, in a 3-year period a QE could complete Phase Application,</w:t>
      </w:r>
      <w:r>
        <w:rPr>
          <w:color w:val="231F20"/>
          <w:spacing w:val="-8"/>
        </w:rPr>
        <w:t xml:space="preserve"> </w:t>
      </w:r>
      <w:r>
        <w:rPr>
          <w:color w:val="231F20"/>
        </w:rPr>
        <w:t>a</w:t>
      </w:r>
      <w:r>
        <w:rPr>
          <w:color w:val="231F20"/>
          <w:spacing w:val="-5"/>
        </w:rPr>
        <w:t xml:space="preserve"> </w:t>
      </w:r>
      <w:r>
        <w:rPr>
          <w:color w:val="231F20"/>
        </w:rPr>
        <w:t>Reapplication,</w:t>
      </w:r>
      <w:r>
        <w:rPr>
          <w:color w:val="231F20"/>
          <w:spacing w:val="-5"/>
        </w:rPr>
        <w:t xml:space="preserve"> </w:t>
      </w:r>
      <w:r>
        <w:rPr>
          <w:color w:val="231F20"/>
        </w:rPr>
        <w:t>and</w:t>
      </w:r>
      <w:r>
        <w:rPr>
          <w:color w:val="231F20"/>
          <w:spacing w:val="-6"/>
        </w:rPr>
        <w:t xml:space="preserve"> </w:t>
      </w:r>
      <w:r>
        <w:rPr>
          <w:color w:val="231F20"/>
        </w:rPr>
        <w:t>three</w:t>
      </w:r>
      <w:r>
        <w:rPr>
          <w:color w:val="231F20"/>
          <w:spacing w:val="-14"/>
        </w:rPr>
        <w:t xml:space="preserve"> </w:t>
      </w:r>
      <w:r>
        <w:rPr>
          <w:color w:val="231F20"/>
        </w:rPr>
        <w:t>ARWs.</w:t>
      </w:r>
      <w:r>
        <w:rPr>
          <w:color w:val="231F20"/>
          <w:spacing w:val="-9"/>
        </w:rPr>
        <w:t xml:space="preserve"> </w:t>
      </w:r>
      <w:r>
        <w:rPr>
          <w:color w:val="231F20"/>
        </w:rPr>
        <w:t>Table</w:t>
      </w:r>
      <w:r>
        <w:rPr>
          <w:color w:val="231F20"/>
          <w:spacing w:val="-5"/>
        </w:rPr>
        <w:t xml:space="preserve"> </w:t>
      </w:r>
      <w:r>
        <w:rPr>
          <w:color w:val="231F20"/>
        </w:rPr>
        <w:t>1</w:t>
      </w:r>
      <w:r>
        <w:rPr>
          <w:color w:val="231F20"/>
          <w:spacing w:val="-5"/>
        </w:rPr>
        <w:t xml:space="preserve"> </w:t>
      </w:r>
      <w:r>
        <w:rPr>
          <w:color w:val="231F20"/>
        </w:rPr>
        <w:t>details</w:t>
      </w:r>
      <w:r>
        <w:rPr>
          <w:color w:val="231F20"/>
          <w:spacing w:val="-5"/>
        </w:rPr>
        <w:t xml:space="preserve"> </w:t>
      </w:r>
      <w:r>
        <w:rPr>
          <w:color w:val="231F20"/>
        </w:rPr>
        <w:t>the</w:t>
      </w:r>
      <w:r>
        <w:rPr>
          <w:color w:val="231F20"/>
          <w:spacing w:val="-5"/>
        </w:rPr>
        <w:t xml:space="preserve"> </w:t>
      </w:r>
      <w:r>
        <w:rPr>
          <w:color w:val="231F20"/>
        </w:rPr>
        <w:t>data</w:t>
      </w:r>
      <w:r>
        <w:rPr>
          <w:color w:val="231F20"/>
          <w:spacing w:val="-5"/>
        </w:rPr>
        <w:t xml:space="preserve"> </w:t>
      </w:r>
      <w:r>
        <w:rPr>
          <w:color w:val="231F20"/>
        </w:rPr>
        <w:t>collections</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number of responses we estimate for each over the next 3 years. QECP</w:t>
      </w:r>
      <w:r>
        <w:rPr>
          <w:color w:val="231F20"/>
          <w:spacing w:val="-2"/>
        </w:rPr>
        <w:t xml:space="preserve"> </w:t>
      </w:r>
      <w:r>
        <w:rPr>
          <w:color w:val="231F20"/>
        </w:rPr>
        <w:t>bases the time estimate for Application, Reapplication, as-needed DUA, and</w:t>
      </w:r>
      <w:r>
        <w:rPr>
          <w:color w:val="231F20"/>
          <w:spacing w:val="-8"/>
        </w:rPr>
        <w:t xml:space="preserve"> </w:t>
      </w:r>
      <w:r>
        <w:rPr>
          <w:color w:val="231F20"/>
        </w:rPr>
        <w:t>ARW preparation on the professional judgment of staff members at CMS and the QECP implementation support contractor.</w:t>
      </w:r>
    </w:p>
    <w:p w:rsidR="00C33392" w14:paraId="5FFED740" w14:textId="77777777">
      <w:pPr>
        <w:pStyle w:val="BodyText"/>
        <w:spacing w:before="31"/>
      </w:pPr>
    </w:p>
    <w:p w:rsidR="00C33392" w14:paraId="4E949AC6" w14:textId="77777777">
      <w:pPr>
        <w:spacing w:after="18"/>
        <w:ind w:left="690"/>
        <w:rPr>
          <w:b/>
          <w:sz w:val="20"/>
        </w:rPr>
      </w:pPr>
      <w:r>
        <w:rPr>
          <w:b/>
          <w:color w:val="231F20"/>
          <w:sz w:val="20"/>
        </w:rPr>
        <w:t>Table</w:t>
      </w:r>
      <w:r>
        <w:rPr>
          <w:b/>
          <w:color w:val="231F20"/>
          <w:spacing w:val="-6"/>
          <w:sz w:val="20"/>
        </w:rPr>
        <w:t xml:space="preserve"> </w:t>
      </w:r>
      <w:r>
        <w:rPr>
          <w:b/>
          <w:color w:val="231F20"/>
          <w:sz w:val="20"/>
        </w:rPr>
        <w:t>1:</w:t>
      </w:r>
      <w:r>
        <w:rPr>
          <w:b/>
          <w:color w:val="231F20"/>
          <w:spacing w:val="-5"/>
          <w:sz w:val="20"/>
        </w:rPr>
        <w:t xml:space="preserve"> </w:t>
      </w:r>
      <w:r>
        <w:rPr>
          <w:b/>
          <w:color w:val="231F20"/>
          <w:sz w:val="20"/>
        </w:rPr>
        <w:t>QE</w:t>
      </w:r>
      <w:r>
        <w:rPr>
          <w:b/>
          <w:color w:val="231F20"/>
          <w:spacing w:val="-5"/>
          <w:sz w:val="20"/>
        </w:rPr>
        <w:t xml:space="preserve"> </w:t>
      </w:r>
      <w:r>
        <w:rPr>
          <w:b/>
          <w:color w:val="231F20"/>
          <w:sz w:val="20"/>
        </w:rPr>
        <w:t>Data</w:t>
      </w:r>
      <w:r>
        <w:rPr>
          <w:b/>
          <w:color w:val="231F20"/>
          <w:spacing w:val="-6"/>
          <w:sz w:val="20"/>
        </w:rPr>
        <w:t xml:space="preserve"> </w:t>
      </w:r>
      <w:r>
        <w:rPr>
          <w:b/>
          <w:color w:val="231F20"/>
          <w:sz w:val="20"/>
        </w:rPr>
        <w:t>Collections,</w:t>
      </w:r>
      <w:r>
        <w:rPr>
          <w:b/>
          <w:color w:val="231F20"/>
          <w:spacing w:val="-5"/>
          <w:sz w:val="20"/>
        </w:rPr>
        <w:t xml:space="preserve"> </w:t>
      </w:r>
      <w:r>
        <w:rPr>
          <w:b/>
          <w:color w:val="231F20"/>
          <w:sz w:val="20"/>
        </w:rPr>
        <w:t>Burden</w:t>
      </w:r>
      <w:r>
        <w:rPr>
          <w:b/>
          <w:color w:val="231F20"/>
          <w:spacing w:val="-4"/>
          <w:sz w:val="20"/>
        </w:rPr>
        <w:t xml:space="preserve"> </w:t>
      </w:r>
      <w:r>
        <w:rPr>
          <w:b/>
          <w:color w:val="231F20"/>
          <w:sz w:val="20"/>
        </w:rPr>
        <w:t>Estimates,</w:t>
      </w:r>
      <w:r>
        <w:rPr>
          <w:b/>
          <w:color w:val="231F20"/>
          <w:spacing w:val="-6"/>
          <w:sz w:val="20"/>
        </w:rPr>
        <w:t xml:space="preserve"> </w:t>
      </w:r>
      <w:r>
        <w:rPr>
          <w:b/>
          <w:color w:val="231F20"/>
          <w:sz w:val="20"/>
        </w:rPr>
        <w:t>and</w:t>
      </w:r>
      <w:r>
        <w:rPr>
          <w:b/>
          <w:color w:val="231F20"/>
          <w:spacing w:val="-4"/>
          <w:sz w:val="20"/>
        </w:rPr>
        <w:t xml:space="preserve"> </w:t>
      </w:r>
      <w:r>
        <w:rPr>
          <w:b/>
          <w:color w:val="231F20"/>
          <w:spacing w:val="-2"/>
          <w:sz w:val="20"/>
        </w:rPr>
        <w:t>Frequency</w:t>
      </w:r>
    </w:p>
    <w:tbl>
      <w:tblPr>
        <w:tblW w:w="0" w:type="auto"/>
        <w:tblInd w:w="73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tblPr>
      <w:tblGrid>
        <w:gridCol w:w="1903"/>
        <w:gridCol w:w="1296"/>
        <w:gridCol w:w="1008"/>
        <w:gridCol w:w="1008"/>
        <w:gridCol w:w="1015"/>
        <w:gridCol w:w="1272"/>
        <w:gridCol w:w="1123"/>
      </w:tblGrid>
      <w:tr w14:paraId="3F4D5A2A" w14:textId="77777777">
        <w:tblPrEx>
          <w:tblW w:w="0" w:type="auto"/>
          <w:tblInd w:w="73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tblPrEx>
        <w:trPr>
          <w:trHeight w:val="1257"/>
        </w:trPr>
        <w:tc>
          <w:tcPr>
            <w:tcW w:w="1903" w:type="dxa"/>
          </w:tcPr>
          <w:p w:rsidR="00C33392" w14:paraId="360286AE" w14:textId="77777777">
            <w:pPr>
              <w:pStyle w:val="TableParagraph"/>
              <w:spacing w:before="122" w:line="259" w:lineRule="auto"/>
              <w:ind w:left="111" w:right="134"/>
              <w:rPr>
                <w:b/>
                <w:sz w:val="20"/>
              </w:rPr>
            </w:pPr>
            <w:r>
              <w:rPr>
                <w:b/>
                <w:color w:val="231F20"/>
                <w:sz w:val="20"/>
              </w:rPr>
              <w:t xml:space="preserve">QE Data </w:t>
            </w:r>
            <w:r>
              <w:rPr>
                <w:b/>
                <w:color w:val="231F20"/>
                <w:spacing w:val="-2"/>
                <w:sz w:val="20"/>
              </w:rPr>
              <w:t>Collections</w:t>
            </w:r>
          </w:p>
        </w:tc>
        <w:tc>
          <w:tcPr>
            <w:tcW w:w="1296" w:type="dxa"/>
          </w:tcPr>
          <w:p w:rsidR="00C33392" w14:paraId="19F59881" w14:textId="77777777">
            <w:pPr>
              <w:pStyle w:val="TableParagraph"/>
              <w:spacing w:before="166"/>
              <w:rPr>
                <w:b/>
                <w:sz w:val="20"/>
              </w:rPr>
            </w:pPr>
          </w:p>
          <w:p w:rsidR="00C33392" w14:paraId="7DE857CA" w14:textId="77777777">
            <w:pPr>
              <w:pStyle w:val="TableParagraph"/>
              <w:spacing w:line="259" w:lineRule="auto"/>
              <w:ind w:left="110"/>
              <w:rPr>
                <w:b/>
                <w:sz w:val="20"/>
              </w:rPr>
            </w:pPr>
            <w:r>
              <w:rPr>
                <w:b/>
                <w:color w:val="231F20"/>
                <w:sz w:val="20"/>
              </w:rPr>
              <w:t xml:space="preserve">Hours by </w:t>
            </w:r>
            <w:r>
              <w:rPr>
                <w:b/>
                <w:color w:val="231F20"/>
                <w:spacing w:val="-2"/>
                <w:sz w:val="20"/>
              </w:rPr>
              <w:t>Collection Activity</w:t>
            </w:r>
          </w:p>
        </w:tc>
        <w:tc>
          <w:tcPr>
            <w:tcW w:w="1008" w:type="dxa"/>
          </w:tcPr>
          <w:p w:rsidR="00C33392" w14:paraId="557CD2CC" w14:textId="77777777">
            <w:pPr>
              <w:pStyle w:val="TableParagraph"/>
              <w:spacing w:before="123"/>
              <w:ind w:left="110"/>
              <w:rPr>
                <w:b/>
                <w:sz w:val="20"/>
              </w:rPr>
            </w:pPr>
            <w:r>
              <w:rPr>
                <w:b/>
                <w:color w:val="231F20"/>
                <w:spacing w:val="-6"/>
                <w:sz w:val="20"/>
              </w:rPr>
              <w:t>Year</w:t>
            </w:r>
            <w:r>
              <w:rPr>
                <w:b/>
                <w:color w:val="231F20"/>
                <w:spacing w:val="-5"/>
                <w:sz w:val="20"/>
              </w:rPr>
              <w:t xml:space="preserve"> </w:t>
            </w:r>
            <w:r>
              <w:rPr>
                <w:b/>
                <w:color w:val="231F20"/>
                <w:spacing w:val="-10"/>
                <w:sz w:val="20"/>
              </w:rPr>
              <w:t>1</w:t>
            </w:r>
          </w:p>
        </w:tc>
        <w:tc>
          <w:tcPr>
            <w:tcW w:w="1008" w:type="dxa"/>
          </w:tcPr>
          <w:p w:rsidR="00C33392" w14:paraId="30AFC409" w14:textId="77777777">
            <w:pPr>
              <w:pStyle w:val="TableParagraph"/>
              <w:spacing w:before="123"/>
              <w:ind w:left="110"/>
              <w:rPr>
                <w:b/>
                <w:sz w:val="20"/>
              </w:rPr>
            </w:pPr>
            <w:r>
              <w:rPr>
                <w:b/>
                <w:color w:val="231F20"/>
                <w:spacing w:val="-6"/>
                <w:sz w:val="20"/>
              </w:rPr>
              <w:t>Year</w:t>
            </w:r>
            <w:r>
              <w:rPr>
                <w:b/>
                <w:color w:val="231F20"/>
                <w:spacing w:val="-5"/>
                <w:sz w:val="20"/>
              </w:rPr>
              <w:t xml:space="preserve"> </w:t>
            </w:r>
            <w:r>
              <w:rPr>
                <w:b/>
                <w:color w:val="231F20"/>
                <w:spacing w:val="-10"/>
                <w:sz w:val="20"/>
              </w:rPr>
              <w:t>2</w:t>
            </w:r>
          </w:p>
        </w:tc>
        <w:tc>
          <w:tcPr>
            <w:tcW w:w="1015" w:type="dxa"/>
          </w:tcPr>
          <w:p w:rsidR="00C33392" w14:paraId="620064A2" w14:textId="77777777">
            <w:pPr>
              <w:pStyle w:val="TableParagraph"/>
              <w:spacing w:before="123"/>
              <w:ind w:left="110"/>
              <w:rPr>
                <w:b/>
                <w:sz w:val="20"/>
              </w:rPr>
            </w:pPr>
            <w:r>
              <w:rPr>
                <w:b/>
                <w:color w:val="231F20"/>
                <w:spacing w:val="-6"/>
                <w:sz w:val="20"/>
              </w:rPr>
              <w:t>Year</w:t>
            </w:r>
            <w:r>
              <w:rPr>
                <w:b/>
                <w:color w:val="231F20"/>
                <w:spacing w:val="-5"/>
                <w:sz w:val="20"/>
              </w:rPr>
              <w:t xml:space="preserve"> </w:t>
            </w:r>
            <w:r>
              <w:rPr>
                <w:b/>
                <w:color w:val="231F20"/>
                <w:spacing w:val="-10"/>
                <w:sz w:val="20"/>
              </w:rPr>
              <w:t>3</w:t>
            </w:r>
          </w:p>
        </w:tc>
        <w:tc>
          <w:tcPr>
            <w:tcW w:w="1272" w:type="dxa"/>
          </w:tcPr>
          <w:p w:rsidR="00C33392" w14:paraId="4421931D" w14:textId="77777777">
            <w:pPr>
              <w:pStyle w:val="TableParagraph"/>
              <w:spacing w:before="166"/>
              <w:rPr>
                <w:b/>
                <w:sz w:val="20"/>
              </w:rPr>
            </w:pPr>
          </w:p>
          <w:p w:rsidR="00C33392" w14:paraId="57158777" w14:textId="77777777">
            <w:pPr>
              <w:pStyle w:val="TableParagraph"/>
              <w:spacing w:line="259" w:lineRule="auto"/>
              <w:ind w:left="109" w:right="155"/>
              <w:rPr>
                <w:b/>
                <w:sz w:val="20"/>
              </w:rPr>
            </w:pPr>
            <w:r>
              <w:rPr>
                <w:b/>
                <w:color w:val="231F20"/>
                <w:spacing w:val="-2"/>
                <w:sz w:val="20"/>
              </w:rPr>
              <w:t>3-Year Total Collections</w:t>
            </w:r>
          </w:p>
        </w:tc>
        <w:tc>
          <w:tcPr>
            <w:tcW w:w="1123" w:type="dxa"/>
          </w:tcPr>
          <w:p w:rsidR="00C33392" w14:paraId="6FFAC874" w14:textId="77777777">
            <w:pPr>
              <w:pStyle w:val="TableParagraph"/>
              <w:spacing w:before="166"/>
              <w:rPr>
                <w:b/>
                <w:sz w:val="20"/>
              </w:rPr>
            </w:pPr>
          </w:p>
          <w:p w:rsidR="00C33392" w14:paraId="02E8FD62" w14:textId="77777777">
            <w:pPr>
              <w:pStyle w:val="TableParagraph"/>
              <w:spacing w:before="1" w:line="259" w:lineRule="auto"/>
              <w:ind w:left="111" w:right="384" w:firstLine="50"/>
              <w:rPr>
                <w:b/>
                <w:sz w:val="20"/>
              </w:rPr>
            </w:pPr>
            <w:r>
              <w:rPr>
                <w:b/>
                <w:color w:val="231F20"/>
                <w:spacing w:val="-6"/>
                <w:sz w:val="20"/>
              </w:rPr>
              <w:t xml:space="preserve">3-Year </w:t>
            </w:r>
            <w:r>
              <w:rPr>
                <w:b/>
                <w:color w:val="231F20"/>
                <w:spacing w:val="-2"/>
                <w:sz w:val="20"/>
              </w:rPr>
              <w:t>Total Hours</w:t>
            </w:r>
          </w:p>
        </w:tc>
      </w:tr>
      <w:tr w14:paraId="42163036" w14:textId="77777777">
        <w:tblPrEx>
          <w:tblW w:w="0" w:type="auto"/>
          <w:tblInd w:w="733" w:type="dxa"/>
          <w:tblLayout w:type="fixed"/>
          <w:tblCellMar>
            <w:left w:w="0" w:type="dxa"/>
            <w:right w:w="0" w:type="dxa"/>
          </w:tblCellMar>
          <w:tblLook w:val="01E0"/>
        </w:tblPrEx>
        <w:trPr>
          <w:trHeight w:val="701"/>
        </w:trPr>
        <w:tc>
          <w:tcPr>
            <w:tcW w:w="1903" w:type="dxa"/>
          </w:tcPr>
          <w:p w:rsidR="00C33392" w14:paraId="1588D4A1" w14:textId="77777777">
            <w:pPr>
              <w:pStyle w:val="TableParagraph"/>
              <w:rPr>
                <w:b/>
                <w:sz w:val="20"/>
              </w:rPr>
            </w:pPr>
          </w:p>
          <w:p w:rsidR="00C33392" w14:paraId="3D51E706" w14:textId="77777777">
            <w:pPr>
              <w:pStyle w:val="TableParagraph"/>
              <w:ind w:left="111"/>
              <w:rPr>
                <w:sz w:val="20"/>
              </w:rPr>
            </w:pPr>
            <w:r>
              <w:rPr>
                <w:color w:val="231F20"/>
                <w:sz w:val="20"/>
              </w:rPr>
              <w:t>QE</w:t>
            </w:r>
            <w:r>
              <w:rPr>
                <w:color w:val="231F20"/>
                <w:spacing w:val="-12"/>
                <w:sz w:val="20"/>
              </w:rPr>
              <w:t xml:space="preserve"> </w:t>
            </w:r>
            <w:r>
              <w:rPr>
                <w:color w:val="231F20"/>
                <w:spacing w:val="-2"/>
                <w:sz w:val="20"/>
              </w:rPr>
              <w:t>Applications</w:t>
            </w:r>
          </w:p>
        </w:tc>
        <w:tc>
          <w:tcPr>
            <w:tcW w:w="1296" w:type="dxa"/>
          </w:tcPr>
          <w:p w:rsidR="00C33392" w14:paraId="0A18B669" w14:textId="77777777">
            <w:pPr>
              <w:pStyle w:val="TableParagraph"/>
              <w:rPr>
                <w:b/>
                <w:sz w:val="20"/>
              </w:rPr>
            </w:pPr>
          </w:p>
          <w:p w:rsidR="00C33392" w14:paraId="711A9CD4" w14:textId="77777777">
            <w:pPr>
              <w:pStyle w:val="TableParagraph"/>
              <w:ind w:left="110"/>
              <w:rPr>
                <w:sz w:val="20"/>
              </w:rPr>
            </w:pPr>
            <w:r>
              <w:rPr>
                <w:color w:val="231F20"/>
                <w:spacing w:val="-5"/>
                <w:sz w:val="20"/>
              </w:rPr>
              <w:t>424</w:t>
            </w:r>
          </w:p>
        </w:tc>
        <w:tc>
          <w:tcPr>
            <w:tcW w:w="1008" w:type="dxa"/>
          </w:tcPr>
          <w:p w:rsidR="00C33392" w14:paraId="24FF642F" w14:textId="77777777">
            <w:pPr>
              <w:pStyle w:val="TableParagraph"/>
              <w:rPr>
                <w:b/>
                <w:sz w:val="20"/>
              </w:rPr>
            </w:pPr>
          </w:p>
          <w:p w:rsidR="00C33392" w14:paraId="74B31997" w14:textId="77777777">
            <w:pPr>
              <w:pStyle w:val="TableParagraph"/>
              <w:ind w:left="110"/>
              <w:rPr>
                <w:sz w:val="20"/>
              </w:rPr>
            </w:pPr>
            <w:r>
              <w:rPr>
                <w:color w:val="231F20"/>
                <w:spacing w:val="-5"/>
                <w:sz w:val="20"/>
              </w:rPr>
              <w:t>10</w:t>
            </w:r>
          </w:p>
        </w:tc>
        <w:tc>
          <w:tcPr>
            <w:tcW w:w="1008" w:type="dxa"/>
          </w:tcPr>
          <w:p w:rsidR="00C33392" w14:paraId="15E9B0BE" w14:textId="77777777">
            <w:pPr>
              <w:pStyle w:val="TableParagraph"/>
              <w:rPr>
                <w:b/>
                <w:sz w:val="20"/>
              </w:rPr>
            </w:pPr>
          </w:p>
          <w:p w:rsidR="00C33392" w14:paraId="412E184E" w14:textId="77777777">
            <w:pPr>
              <w:pStyle w:val="TableParagraph"/>
              <w:ind w:left="110"/>
              <w:rPr>
                <w:sz w:val="20"/>
              </w:rPr>
            </w:pPr>
            <w:r>
              <w:rPr>
                <w:color w:val="231F20"/>
                <w:spacing w:val="-5"/>
                <w:sz w:val="20"/>
              </w:rPr>
              <w:t>10</w:t>
            </w:r>
          </w:p>
        </w:tc>
        <w:tc>
          <w:tcPr>
            <w:tcW w:w="1015" w:type="dxa"/>
          </w:tcPr>
          <w:p w:rsidR="00C33392" w14:paraId="2067336B" w14:textId="77777777">
            <w:pPr>
              <w:pStyle w:val="TableParagraph"/>
              <w:rPr>
                <w:b/>
                <w:sz w:val="20"/>
              </w:rPr>
            </w:pPr>
          </w:p>
          <w:p w:rsidR="00C33392" w14:paraId="322C437F" w14:textId="77777777">
            <w:pPr>
              <w:pStyle w:val="TableParagraph"/>
              <w:ind w:left="110"/>
              <w:rPr>
                <w:sz w:val="20"/>
              </w:rPr>
            </w:pPr>
            <w:r>
              <w:rPr>
                <w:color w:val="231F20"/>
                <w:spacing w:val="-5"/>
                <w:sz w:val="20"/>
              </w:rPr>
              <w:t>10</w:t>
            </w:r>
          </w:p>
        </w:tc>
        <w:tc>
          <w:tcPr>
            <w:tcW w:w="1272" w:type="dxa"/>
          </w:tcPr>
          <w:p w:rsidR="00C33392" w14:paraId="67263EBE" w14:textId="77777777">
            <w:pPr>
              <w:pStyle w:val="TableParagraph"/>
              <w:rPr>
                <w:b/>
                <w:sz w:val="20"/>
              </w:rPr>
            </w:pPr>
          </w:p>
          <w:p w:rsidR="00C33392" w14:paraId="4141F689" w14:textId="77777777">
            <w:pPr>
              <w:pStyle w:val="TableParagraph"/>
              <w:ind w:left="109"/>
              <w:rPr>
                <w:sz w:val="20"/>
              </w:rPr>
            </w:pPr>
            <w:r>
              <w:rPr>
                <w:color w:val="231F20"/>
                <w:spacing w:val="-5"/>
                <w:sz w:val="20"/>
              </w:rPr>
              <w:t>30</w:t>
            </w:r>
          </w:p>
        </w:tc>
        <w:tc>
          <w:tcPr>
            <w:tcW w:w="1123" w:type="dxa"/>
          </w:tcPr>
          <w:p w:rsidR="00C33392" w14:paraId="1A9BB4BF" w14:textId="77777777">
            <w:pPr>
              <w:pStyle w:val="TableParagraph"/>
              <w:rPr>
                <w:b/>
                <w:sz w:val="20"/>
              </w:rPr>
            </w:pPr>
          </w:p>
          <w:p w:rsidR="00C33392" w14:paraId="6271C818" w14:textId="77777777">
            <w:pPr>
              <w:pStyle w:val="TableParagraph"/>
              <w:ind w:left="111"/>
              <w:rPr>
                <w:sz w:val="20"/>
              </w:rPr>
            </w:pPr>
            <w:r>
              <w:rPr>
                <w:color w:val="231F20"/>
                <w:spacing w:val="-2"/>
                <w:sz w:val="20"/>
              </w:rPr>
              <w:t>12,720</w:t>
            </w:r>
          </w:p>
        </w:tc>
      </w:tr>
      <w:tr w14:paraId="7D91AFD8" w14:textId="77777777">
        <w:tblPrEx>
          <w:tblW w:w="0" w:type="auto"/>
          <w:tblInd w:w="733" w:type="dxa"/>
          <w:tblLayout w:type="fixed"/>
          <w:tblCellMar>
            <w:left w:w="0" w:type="dxa"/>
            <w:right w:w="0" w:type="dxa"/>
          </w:tblCellMar>
          <w:tblLook w:val="01E0"/>
        </w:tblPrEx>
        <w:trPr>
          <w:trHeight w:val="702"/>
        </w:trPr>
        <w:tc>
          <w:tcPr>
            <w:tcW w:w="1903" w:type="dxa"/>
          </w:tcPr>
          <w:p w:rsidR="00C33392" w14:paraId="68446C3E" w14:textId="77777777">
            <w:pPr>
              <w:pStyle w:val="TableParagraph"/>
              <w:rPr>
                <w:b/>
                <w:sz w:val="20"/>
              </w:rPr>
            </w:pPr>
          </w:p>
          <w:p w:rsidR="00C33392" w14:paraId="23F9848E" w14:textId="77777777">
            <w:pPr>
              <w:pStyle w:val="TableParagraph"/>
              <w:ind w:left="111"/>
              <w:rPr>
                <w:sz w:val="20"/>
              </w:rPr>
            </w:pPr>
            <w:r>
              <w:rPr>
                <w:color w:val="231F20"/>
                <w:spacing w:val="-2"/>
                <w:sz w:val="20"/>
              </w:rPr>
              <w:t>Reapplications</w:t>
            </w:r>
          </w:p>
        </w:tc>
        <w:tc>
          <w:tcPr>
            <w:tcW w:w="1296" w:type="dxa"/>
          </w:tcPr>
          <w:p w:rsidR="00C33392" w14:paraId="365F02FE" w14:textId="77777777">
            <w:pPr>
              <w:pStyle w:val="TableParagraph"/>
              <w:rPr>
                <w:b/>
                <w:sz w:val="20"/>
              </w:rPr>
            </w:pPr>
          </w:p>
          <w:p w:rsidR="00C33392" w14:paraId="7602A815" w14:textId="77777777">
            <w:pPr>
              <w:pStyle w:val="TableParagraph"/>
              <w:ind w:left="110"/>
              <w:rPr>
                <w:sz w:val="20"/>
              </w:rPr>
            </w:pPr>
            <w:r>
              <w:rPr>
                <w:color w:val="231F20"/>
                <w:spacing w:val="-5"/>
                <w:sz w:val="20"/>
              </w:rPr>
              <w:t>20</w:t>
            </w:r>
          </w:p>
        </w:tc>
        <w:tc>
          <w:tcPr>
            <w:tcW w:w="1008" w:type="dxa"/>
          </w:tcPr>
          <w:p w:rsidR="00C33392" w14:paraId="5EF7175A" w14:textId="77777777">
            <w:pPr>
              <w:pStyle w:val="TableParagraph"/>
              <w:rPr>
                <w:b/>
                <w:sz w:val="20"/>
              </w:rPr>
            </w:pPr>
          </w:p>
          <w:p w:rsidR="00C33392" w14:paraId="4847BCEC" w14:textId="77777777">
            <w:pPr>
              <w:pStyle w:val="TableParagraph"/>
              <w:ind w:left="110"/>
              <w:rPr>
                <w:sz w:val="20"/>
              </w:rPr>
            </w:pPr>
            <w:r>
              <w:rPr>
                <w:color w:val="231F20"/>
                <w:spacing w:val="-5"/>
                <w:sz w:val="20"/>
              </w:rPr>
              <w:t>15</w:t>
            </w:r>
          </w:p>
        </w:tc>
        <w:tc>
          <w:tcPr>
            <w:tcW w:w="1008" w:type="dxa"/>
          </w:tcPr>
          <w:p w:rsidR="00C33392" w14:paraId="032792CA" w14:textId="77777777">
            <w:pPr>
              <w:pStyle w:val="TableParagraph"/>
              <w:rPr>
                <w:b/>
                <w:sz w:val="20"/>
              </w:rPr>
            </w:pPr>
          </w:p>
          <w:p w:rsidR="00C33392" w14:paraId="2036F5D3" w14:textId="77777777">
            <w:pPr>
              <w:pStyle w:val="TableParagraph"/>
              <w:ind w:left="110"/>
              <w:rPr>
                <w:sz w:val="20"/>
              </w:rPr>
            </w:pPr>
            <w:r>
              <w:rPr>
                <w:color w:val="231F20"/>
                <w:spacing w:val="-5"/>
                <w:sz w:val="20"/>
              </w:rPr>
              <w:t>15</w:t>
            </w:r>
          </w:p>
        </w:tc>
        <w:tc>
          <w:tcPr>
            <w:tcW w:w="1015" w:type="dxa"/>
          </w:tcPr>
          <w:p w:rsidR="00C33392" w14:paraId="77815A18" w14:textId="77777777">
            <w:pPr>
              <w:pStyle w:val="TableParagraph"/>
              <w:rPr>
                <w:b/>
                <w:sz w:val="20"/>
              </w:rPr>
            </w:pPr>
          </w:p>
          <w:p w:rsidR="00C33392" w14:paraId="386A55A3" w14:textId="77777777">
            <w:pPr>
              <w:pStyle w:val="TableParagraph"/>
              <w:ind w:left="110"/>
              <w:rPr>
                <w:sz w:val="20"/>
              </w:rPr>
            </w:pPr>
            <w:r>
              <w:rPr>
                <w:color w:val="231F20"/>
                <w:spacing w:val="-5"/>
                <w:sz w:val="20"/>
              </w:rPr>
              <w:t>15</w:t>
            </w:r>
          </w:p>
        </w:tc>
        <w:tc>
          <w:tcPr>
            <w:tcW w:w="1272" w:type="dxa"/>
          </w:tcPr>
          <w:p w:rsidR="00C33392" w14:paraId="62641F10" w14:textId="77777777">
            <w:pPr>
              <w:pStyle w:val="TableParagraph"/>
              <w:rPr>
                <w:b/>
                <w:sz w:val="20"/>
              </w:rPr>
            </w:pPr>
          </w:p>
          <w:p w:rsidR="00C33392" w14:paraId="36088247" w14:textId="77777777">
            <w:pPr>
              <w:pStyle w:val="TableParagraph"/>
              <w:ind w:left="109"/>
              <w:rPr>
                <w:sz w:val="20"/>
              </w:rPr>
            </w:pPr>
            <w:r>
              <w:rPr>
                <w:color w:val="231F20"/>
                <w:spacing w:val="-5"/>
                <w:sz w:val="20"/>
              </w:rPr>
              <w:t>45</w:t>
            </w:r>
          </w:p>
        </w:tc>
        <w:tc>
          <w:tcPr>
            <w:tcW w:w="1123" w:type="dxa"/>
          </w:tcPr>
          <w:p w:rsidR="00C33392" w14:paraId="7F7AB2FC" w14:textId="77777777">
            <w:pPr>
              <w:pStyle w:val="TableParagraph"/>
              <w:rPr>
                <w:b/>
                <w:sz w:val="20"/>
              </w:rPr>
            </w:pPr>
          </w:p>
          <w:p w:rsidR="00C33392" w14:paraId="21315B8B" w14:textId="77777777">
            <w:pPr>
              <w:pStyle w:val="TableParagraph"/>
              <w:ind w:left="111"/>
              <w:rPr>
                <w:sz w:val="20"/>
              </w:rPr>
            </w:pPr>
            <w:r>
              <w:rPr>
                <w:color w:val="231F20"/>
                <w:spacing w:val="-5"/>
                <w:sz w:val="20"/>
              </w:rPr>
              <w:t>900</w:t>
            </w:r>
          </w:p>
        </w:tc>
      </w:tr>
      <w:tr w14:paraId="7D7302F2" w14:textId="77777777">
        <w:tblPrEx>
          <w:tblW w:w="0" w:type="auto"/>
          <w:tblInd w:w="733" w:type="dxa"/>
          <w:tblLayout w:type="fixed"/>
          <w:tblCellMar>
            <w:left w:w="0" w:type="dxa"/>
            <w:right w:w="0" w:type="dxa"/>
          </w:tblCellMar>
          <w:tblLook w:val="01E0"/>
        </w:tblPrEx>
        <w:trPr>
          <w:trHeight w:val="700"/>
        </w:trPr>
        <w:tc>
          <w:tcPr>
            <w:tcW w:w="1903" w:type="dxa"/>
          </w:tcPr>
          <w:p w:rsidR="00C33392" w14:paraId="5913F531" w14:textId="77777777">
            <w:pPr>
              <w:pStyle w:val="TableParagraph"/>
              <w:spacing w:before="229"/>
              <w:ind w:left="111"/>
              <w:rPr>
                <w:sz w:val="20"/>
              </w:rPr>
            </w:pPr>
            <w:r>
              <w:rPr>
                <w:color w:val="231F20"/>
                <w:spacing w:val="-4"/>
                <w:sz w:val="20"/>
              </w:rPr>
              <w:t>ARWs*</w:t>
            </w:r>
          </w:p>
        </w:tc>
        <w:tc>
          <w:tcPr>
            <w:tcW w:w="1296" w:type="dxa"/>
          </w:tcPr>
          <w:p w:rsidR="00C33392" w14:paraId="6DB23F3A" w14:textId="77777777">
            <w:pPr>
              <w:pStyle w:val="TableParagraph"/>
              <w:spacing w:before="229"/>
              <w:ind w:left="110"/>
              <w:rPr>
                <w:sz w:val="20"/>
              </w:rPr>
            </w:pPr>
            <w:r>
              <w:rPr>
                <w:color w:val="231F20"/>
                <w:spacing w:val="-5"/>
                <w:sz w:val="20"/>
              </w:rPr>
              <w:t>28*</w:t>
            </w:r>
          </w:p>
        </w:tc>
        <w:tc>
          <w:tcPr>
            <w:tcW w:w="1008" w:type="dxa"/>
          </w:tcPr>
          <w:p w:rsidR="00C33392" w14:paraId="6A307985" w14:textId="77777777">
            <w:pPr>
              <w:pStyle w:val="TableParagraph"/>
              <w:spacing w:before="229"/>
              <w:ind w:left="110"/>
              <w:rPr>
                <w:sz w:val="20"/>
              </w:rPr>
            </w:pPr>
            <w:r>
              <w:rPr>
                <w:color w:val="231F20"/>
                <w:spacing w:val="-5"/>
                <w:sz w:val="20"/>
              </w:rPr>
              <w:t>40</w:t>
            </w:r>
          </w:p>
        </w:tc>
        <w:tc>
          <w:tcPr>
            <w:tcW w:w="1008" w:type="dxa"/>
          </w:tcPr>
          <w:p w:rsidR="00C33392" w14:paraId="60B2E16B" w14:textId="77777777">
            <w:pPr>
              <w:pStyle w:val="TableParagraph"/>
              <w:spacing w:before="229"/>
              <w:ind w:left="110"/>
              <w:rPr>
                <w:sz w:val="20"/>
              </w:rPr>
            </w:pPr>
            <w:r>
              <w:rPr>
                <w:color w:val="231F20"/>
                <w:spacing w:val="-5"/>
                <w:sz w:val="20"/>
              </w:rPr>
              <w:t>45</w:t>
            </w:r>
          </w:p>
        </w:tc>
        <w:tc>
          <w:tcPr>
            <w:tcW w:w="1015" w:type="dxa"/>
          </w:tcPr>
          <w:p w:rsidR="00C33392" w14:paraId="497EBA9C" w14:textId="77777777">
            <w:pPr>
              <w:pStyle w:val="TableParagraph"/>
              <w:spacing w:before="229"/>
              <w:ind w:left="110"/>
              <w:rPr>
                <w:sz w:val="20"/>
              </w:rPr>
            </w:pPr>
            <w:r>
              <w:rPr>
                <w:color w:val="231F20"/>
                <w:spacing w:val="-5"/>
                <w:sz w:val="20"/>
              </w:rPr>
              <w:t>50</w:t>
            </w:r>
          </w:p>
        </w:tc>
        <w:tc>
          <w:tcPr>
            <w:tcW w:w="1272" w:type="dxa"/>
          </w:tcPr>
          <w:p w:rsidR="00C33392" w14:paraId="1DC9CC5D" w14:textId="77777777">
            <w:pPr>
              <w:pStyle w:val="TableParagraph"/>
              <w:spacing w:before="229"/>
              <w:ind w:left="109"/>
              <w:rPr>
                <w:sz w:val="20"/>
              </w:rPr>
            </w:pPr>
            <w:r>
              <w:rPr>
                <w:color w:val="231F20"/>
                <w:spacing w:val="-5"/>
                <w:sz w:val="20"/>
              </w:rPr>
              <w:t>135</w:t>
            </w:r>
          </w:p>
        </w:tc>
        <w:tc>
          <w:tcPr>
            <w:tcW w:w="1123" w:type="dxa"/>
          </w:tcPr>
          <w:p w:rsidR="00C33392" w14:paraId="61B1CF85" w14:textId="77777777">
            <w:pPr>
              <w:pStyle w:val="TableParagraph"/>
              <w:spacing w:before="229"/>
              <w:ind w:left="111"/>
              <w:rPr>
                <w:sz w:val="20"/>
              </w:rPr>
            </w:pPr>
            <w:r>
              <w:rPr>
                <w:color w:val="231F20"/>
                <w:spacing w:val="-2"/>
                <w:sz w:val="20"/>
              </w:rPr>
              <w:t>3,780*</w:t>
            </w:r>
          </w:p>
        </w:tc>
      </w:tr>
      <w:tr w14:paraId="4303B0B1" w14:textId="77777777">
        <w:tblPrEx>
          <w:tblW w:w="0" w:type="auto"/>
          <w:tblInd w:w="733" w:type="dxa"/>
          <w:tblLayout w:type="fixed"/>
          <w:tblCellMar>
            <w:left w:w="0" w:type="dxa"/>
            <w:right w:w="0" w:type="dxa"/>
          </w:tblCellMar>
          <w:tblLook w:val="01E0"/>
        </w:tblPrEx>
        <w:trPr>
          <w:trHeight w:val="706"/>
        </w:trPr>
        <w:tc>
          <w:tcPr>
            <w:tcW w:w="1903" w:type="dxa"/>
          </w:tcPr>
          <w:p w:rsidR="00C33392" w14:paraId="4044F1C1" w14:textId="77777777">
            <w:pPr>
              <w:pStyle w:val="TableParagraph"/>
              <w:spacing w:before="2"/>
              <w:rPr>
                <w:b/>
                <w:sz w:val="20"/>
              </w:rPr>
            </w:pPr>
          </w:p>
          <w:p w:rsidR="00C33392" w14:paraId="2FFB4C0F" w14:textId="77777777">
            <w:pPr>
              <w:pStyle w:val="TableParagraph"/>
              <w:ind w:left="111"/>
              <w:rPr>
                <w:sz w:val="20"/>
              </w:rPr>
            </w:pPr>
            <w:r>
              <w:rPr>
                <w:color w:val="231F20"/>
                <w:spacing w:val="-2"/>
                <w:sz w:val="20"/>
              </w:rPr>
              <w:t>Totals</w:t>
            </w:r>
          </w:p>
        </w:tc>
        <w:tc>
          <w:tcPr>
            <w:tcW w:w="1296" w:type="dxa"/>
          </w:tcPr>
          <w:p w:rsidR="00C33392" w14:paraId="56A1B836" w14:textId="77777777">
            <w:pPr>
              <w:pStyle w:val="TableParagraph"/>
              <w:spacing w:before="2"/>
              <w:rPr>
                <w:b/>
                <w:sz w:val="20"/>
              </w:rPr>
            </w:pPr>
          </w:p>
          <w:p w:rsidR="00C33392" w14:paraId="1524C484" w14:textId="77777777">
            <w:pPr>
              <w:pStyle w:val="TableParagraph"/>
              <w:ind w:left="110"/>
              <w:rPr>
                <w:sz w:val="20"/>
              </w:rPr>
            </w:pPr>
            <w:r>
              <w:rPr>
                <w:color w:val="231F20"/>
                <w:spacing w:val="-5"/>
                <w:sz w:val="20"/>
              </w:rPr>
              <w:t>NA</w:t>
            </w:r>
          </w:p>
        </w:tc>
        <w:tc>
          <w:tcPr>
            <w:tcW w:w="1008" w:type="dxa"/>
          </w:tcPr>
          <w:p w:rsidR="00C33392" w14:paraId="3E93A7B6" w14:textId="77777777">
            <w:pPr>
              <w:pStyle w:val="TableParagraph"/>
              <w:spacing w:before="2"/>
              <w:rPr>
                <w:b/>
                <w:sz w:val="20"/>
              </w:rPr>
            </w:pPr>
          </w:p>
          <w:p w:rsidR="00C33392" w14:paraId="4195CDF4" w14:textId="77777777">
            <w:pPr>
              <w:pStyle w:val="TableParagraph"/>
              <w:ind w:left="110"/>
              <w:rPr>
                <w:sz w:val="20"/>
              </w:rPr>
            </w:pPr>
            <w:r>
              <w:rPr>
                <w:color w:val="231F20"/>
                <w:spacing w:val="-5"/>
                <w:sz w:val="20"/>
              </w:rPr>
              <w:t>NA</w:t>
            </w:r>
          </w:p>
        </w:tc>
        <w:tc>
          <w:tcPr>
            <w:tcW w:w="1008" w:type="dxa"/>
          </w:tcPr>
          <w:p w:rsidR="00C33392" w14:paraId="2B0AE581" w14:textId="77777777">
            <w:pPr>
              <w:pStyle w:val="TableParagraph"/>
              <w:spacing w:before="2"/>
              <w:rPr>
                <w:b/>
                <w:sz w:val="20"/>
              </w:rPr>
            </w:pPr>
          </w:p>
          <w:p w:rsidR="00C33392" w14:paraId="5C1353DD" w14:textId="77777777">
            <w:pPr>
              <w:pStyle w:val="TableParagraph"/>
              <w:ind w:left="110"/>
              <w:rPr>
                <w:sz w:val="20"/>
              </w:rPr>
            </w:pPr>
            <w:r>
              <w:rPr>
                <w:color w:val="231F20"/>
                <w:spacing w:val="-5"/>
                <w:sz w:val="20"/>
              </w:rPr>
              <w:t>NA</w:t>
            </w:r>
          </w:p>
        </w:tc>
        <w:tc>
          <w:tcPr>
            <w:tcW w:w="1015" w:type="dxa"/>
          </w:tcPr>
          <w:p w:rsidR="00C33392" w14:paraId="6C85227E" w14:textId="77777777">
            <w:pPr>
              <w:pStyle w:val="TableParagraph"/>
              <w:spacing w:before="2"/>
              <w:rPr>
                <w:b/>
                <w:sz w:val="20"/>
              </w:rPr>
            </w:pPr>
          </w:p>
          <w:p w:rsidR="00C33392" w14:paraId="4A893A7A" w14:textId="77777777">
            <w:pPr>
              <w:pStyle w:val="TableParagraph"/>
              <w:ind w:left="110"/>
              <w:rPr>
                <w:sz w:val="20"/>
              </w:rPr>
            </w:pPr>
            <w:r>
              <w:rPr>
                <w:color w:val="231F20"/>
                <w:spacing w:val="-5"/>
                <w:sz w:val="20"/>
              </w:rPr>
              <w:t>NA</w:t>
            </w:r>
          </w:p>
        </w:tc>
        <w:tc>
          <w:tcPr>
            <w:tcW w:w="1272" w:type="dxa"/>
          </w:tcPr>
          <w:p w:rsidR="00C33392" w14:paraId="0D953A28" w14:textId="77777777">
            <w:pPr>
              <w:pStyle w:val="TableParagraph"/>
              <w:spacing w:before="2"/>
              <w:rPr>
                <w:b/>
                <w:sz w:val="20"/>
              </w:rPr>
            </w:pPr>
          </w:p>
          <w:p w:rsidR="00C33392" w14:paraId="30E4D039" w14:textId="77777777">
            <w:pPr>
              <w:pStyle w:val="TableParagraph"/>
              <w:ind w:left="109"/>
              <w:rPr>
                <w:sz w:val="20"/>
              </w:rPr>
            </w:pPr>
            <w:r>
              <w:rPr>
                <w:color w:val="231F20"/>
                <w:spacing w:val="-5"/>
                <w:sz w:val="20"/>
              </w:rPr>
              <w:t>210</w:t>
            </w:r>
          </w:p>
        </w:tc>
        <w:tc>
          <w:tcPr>
            <w:tcW w:w="1123" w:type="dxa"/>
          </w:tcPr>
          <w:p w:rsidR="00C33392" w14:paraId="5514DD51" w14:textId="77777777">
            <w:pPr>
              <w:pStyle w:val="TableParagraph"/>
              <w:spacing w:before="2"/>
              <w:rPr>
                <w:b/>
                <w:sz w:val="20"/>
              </w:rPr>
            </w:pPr>
          </w:p>
          <w:p w:rsidR="00C33392" w14:paraId="1C7B58A0" w14:textId="77777777">
            <w:pPr>
              <w:pStyle w:val="TableParagraph"/>
              <w:ind w:left="111"/>
              <w:rPr>
                <w:sz w:val="20"/>
              </w:rPr>
            </w:pPr>
            <w:r>
              <w:rPr>
                <w:color w:val="231F20"/>
                <w:spacing w:val="-2"/>
                <w:sz w:val="20"/>
              </w:rPr>
              <w:t>17,400</w:t>
            </w:r>
          </w:p>
        </w:tc>
      </w:tr>
    </w:tbl>
    <w:p w:rsidR="00C33392" w14:paraId="7F9E4379" w14:textId="77777777">
      <w:pPr>
        <w:pStyle w:val="BodyText"/>
        <w:spacing w:before="45"/>
        <w:rPr>
          <w:b/>
          <w:sz w:val="20"/>
        </w:rPr>
      </w:pPr>
    </w:p>
    <w:p w:rsidR="00C33392" w14:paraId="758F7C9A" w14:textId="77777777">
      <w:pPr>
        <w:pStyle w:val="BodyText"/>
        <w:spacing w:line="252" w:lineRule="auto"/>
        <w:ind w:left="710" w:right="21" w:hanging="10"/>
      </w:pPr>
      <w:r>
        <w:rPr>
          <w:color w:val="231F20"/>
        </w:rPr>
        <w:t>*The</w:t>
      </w:r>
      <w:r>
        <w:rPr>
          <w:color w:val="231F20"/>
          <w:spacing w:val="-3"/>
        </w:rPr>
        <w:t xml:space="preserve"> </w:t>
      </w:r>
      <w:r>
        <w:rPr>
          <w:color w:val="231F20"/>
        </w:rPr>
        <w:t>burden</w:t>
      </w:r>
      <w:r>
        <w:rPr>
          <w:color w:val="231F20"/>
          <w:spacing w:val="-4"/>
        </w:rPr>
        <w:t xml:space="preserve"> </w:t>
      </w:r>
      <w:r>
        <w:rPr>
          <w:color w:val="231F20"/>
        </w:rPr>
        <w:t>associated</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development</w:t>
      </w:r>
      <w:r>
        <w:rPr>
          <w:color w:val="231F20"/>
          <w:spacing w:val="-3"/>
        </w:rPr>
        <w:t xml:space="preserve"> </w:t>
      </w:r>
      <w:r>
        <w:rPr>
          <w:color w:val="231F20"/>
        </w:rPr>
        <w:t>and</w:t>
      </w:r>
      <w:r>
        <w:rPr>
          <w:color w:val="231F20"/>
          <w:spacing w:val="-3"/>
        </w:rPr>
        <w:t xml:space="preserve"> </w:t>
      </w:r>
      <w:r>
        <w:rPr>
          <w:color w:val="231F20"/>
        </w:rPr>
        <w:t>administration</w:t>
      </w:r>
      <w:r>
        <w:rPr>
          <w:color w:val="231F20"/>
          <w:spacing w:val="-3"/>
        </w:rPr>
        <w:t xml:space="preserve"> </w:t>
      </w:r>
      <w:r>
        <w:rPr>
          <w:color w:val="231F20"/>
        </w:rPr>
        <w:t>of</w:t>
      </w:r>
      <w:r>
        <w:rPr>
          <w:color w:val="231F20"/>
          <w:spacing w:val="-3"/>
        </w:rPr>
        <w:t xml:space="preserve"> </w:t>
      </w:r>
      <w:r>
        <w:rPr>
          <w:color w:val="231F20"/>
        </w:rPr>
        <w:t>QE</w:t>
      </w:r>
      <w:r>
        <w:rPr>
          <w:color w:val="231F20"/>
          <w:spacing w:val="-3"/>
        </w:rPr>
        <w:t xml:space="preserve"> </w:t>
      </w:r>
      <w:r>
        <w:rPr>
          <w:color w:val="231F20"/>
        </w:rPr>
        <w:t>DUAs,</w:t>
      </w:r>
      <w:r>
        <w:rPr>
          <w:color w:val="231F20"/>
          <w:spacing w:val="-2"/>
        </w:rPr>
        <w:t xml:space="preserve"> </w:t>
      </w:r>
      <w:r>
        <w:rPr>
          <w:color w:val="231F20"/>
        </w:rPr>
        <w:t>as</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needed by QEs in their interactions with authorized users, is incorporated into this data collection line item. This activity accounts for 8 hours per collection – for a total of 1,080 over 3 years.</w:t>
      </w:r>
    </w:p>
    <w:p w:rsidR="00C33392" w14:paraId="1CAC25B2" w14:textId="77777777">
      <w:pPr>
        <w:pStyle w:val="BodyText"/>
        <w:spacing w:before="100" w:line="252" w:lineRule="auto"/>
        <w:ind w:left="710" w:right="21" w:hanging="10"/>
      </w:pPr>
      <w:r>
        <w:rPr>
          <w:color w:val="231F20"/>
        </w:rPr>
        <w:t>To</w:t>
      </w:r>
      <w:r>
        <w:rPr>
          <w:color w:val="231F20"/>
          <w:spacing w:val="-4"/>
        </w:rPr>
        <w:t xml:space="preserve"> </w:t>
      </w:r>
      <w:r>
        <w:rPr>
          <w:color w:val="231F20"/>
        </w:rPr>
        <w:t>derive</w:t>
      </w:r>
      <w:r>
        <w:rPr>
          <w:color w:val="231F20"/>
          <w:spacing w:val="-4"/>
        </w:rPr>
        <w:t xml:space="preserve"> </w:t>
      </w:r>
      <w:r>
        <w:rPr>
          <w:color w:val="231F20"/>
        </w:rPr>
        <w:t>average</w:t>
      </w:r>
      <w:r>
        <w:rPr>
          <w:color w:val="231F20"/>
          <w:spacing w:val="-4"/>
        </w:rPr>
        <w:t xml:space="preserve"> </w:t>
      </w:r>
      <w:r>
        <w:rPr>
          <w:color w:val="231F20"/>
        </w:rPr>
        <w:t>costs,</w:t>
      </w:r>
      <w:r>
        <w:rPr>
          <w:color w:val="231F20"/>
          <w:spacing w:val="-4"/>
        </w:rPr>
        <w:t xml:space="preserve"> </w:t>
      </w:r>
      <w:r>
        <w:rPr>
          <w:color w:val="231F20"/>
        </w:rPr>
        <w:t>QECP</w:t>
      </w:r>
      <w:r>
        <w:rPr>
          <w:color w:val="231F20"/>
          <w:spacing w:val="-12"/>
        </w:rPr>
        <w:t xml:space="preserve"> </w:t>
      </w:r>
      <w:r>
        <w:rPr>
          <w:color w:val="231F20"/>
        </w:rPr>
        <w:t>used</w:t>
      </w:r>
      <w:r>
        <w:rPr>
          <w:color w:val="231F20"/>
          <w:spacing w:val="-4"/>
        </w:rPr>
        <w:t xml:space="preserve"> </w:t>
      </w:r>
      <w:r>
        <w:rPr>
          <w:color w:val="231F20"/>
        </w:rPr>
        <w:t>data</w:t>
      </w:r>
      <w:r>
        <w:rPr>
          <w:color w:val="231F20"/>
          <w:spacing w:val="-4"/>
        </w:rPr>
        <w:t xml:space="preserve"> </w:t>
      </w:r>
      <w:r>
        <w:rPr>
          <w:color w:val="231F20"/>
        </w:rPr>
        <w:t>from</w:t>
      </w:r>
      <w:r>
        <w:rPr>
          <w:color w:val="231F20"/>
          <w:spacing w:val="-6"/>
        </w:rPr>
        <w:t xml:space="preserve"> </w:t>
      </w:r>
      <w:r>
        <w:rPr>
          <w:color w:val="231F20"/>
        </w:rPr>
        <w:t>the</w:t>
      </w:r>
      <w:r>
        <w:rPr>
          <w:color w:val="231F20"/>
          <w:spacing w:val="-4"/>
        </w:rPr>
        <w:t xml:space="preserve"> </w:t>
      </w:r>
      <w:r>
        <w:rPr>
          <w:color w:val="231F20"/>
        </w:rPr>
        <w:t>U.S.</w:t>
      </w:r>
      <w:r>
        <w:rPr>
          <w:color w:val="231F20"/>
          <w:spacing w:val="-4"/>
        </w:rPr>
        <w:t xml:space="preserve"> </w:t>
      </w:r>
      <w:r>
        <w:rPr>
          <w:color w:val="231F20"/>
        </w:rPr>
        <w:t>Bureau</w:t>
      </w:r>
      <w:r>
        <w:rPr>
          <w:color w:val="231F20"/>
          <w:spacing w:val="-4"/>
        </w:rPr>
        <w:t xml:space="preserve"> </w:t>
      </w:r>
      <w:r>
        <w:rPr>
          <w:color w:val="231F20"/>
        </w:rPr>
        <w:t>of</w:t>
      </w:r>
      <w:r>
        <w:rPr>
          <w:color w:val="231F20"/>
          <w:spacing w:val="-5"/>
        </w:rPr>
        <w:t xml:space="preserve"> </w:t>
      </w:r>
      <w:r>
        <w:rPr>
          <w:color w:val="231F20"/>
        </w:rPr>
        <w:t>Labor</w:t>
      </w:r>
      <w:r>
        <w:rPr>
          <w:color w:val="231F20"/>
          <w:spacing w:val="-4"/>
        </w:rPr>
        <w:t xml:space="preserve"> </w:t>
      </w:r>
      <w:r>
        <w:rPr>
          <w:color w:val="231F20"/>
        </w:rPr>
        <w:t>Statistics</w:t>
      </w:r>
      <w:r>
        <w:rPr>
          <w:color w:val="231F20"/>
          <w:spacing w:val="-4"/>
        </w:rPr>
        <w:t xml:space="preserve"> </w:t>
      </w:r>
      <w:r>
        <w:rPr>
          <w:color w:val="231F20"/>
        </w:rPr>
        <w:t>May</w:t>
      </w:r>
      <w:r>
        <w:rPr>
          <w:color w:val="231F20"/>
          <w:spacing w:val="-4"/>
        </w:rPr>
        <w:t xml:space="preserve"> </w:t>
      </w:r>
      <w:r>
        <w:rPr>
          <w:color w:val="231F20"/>
        </w:rPr>
        <w:t xml:space="preserve">2025 National Occupation Employment and Wage Estimates. </w:t>
      </w:r>
      <w:hyperlink r:id="rId5">
        <w:r>
          <w:rPr>
            <w:color w:val="477886"/>
            <w:spacing w:val="-2"/>
            <w:u w:val="single" w:color="477886"/>
          </w:rPr>
          <w:t>https://data.bls.gov/oes/#/area/0000000/2025</w:t>
        </w:r>
      </w:hyperlink>
    </w:p>
    <w:p w:rsidR="00C33392" w14:paraId="132ED9FC" w14:textId="77777777">
      <w:pPr>
        <w:pStyle w:val="BodyText"/>
        <w:spacing w:before="214"/>
      </w:pPr>
    </w:p>
    <w:p w:rsidR="00C33392" w14:paraId="076D547E" w14:textId="77777777">
      <w:pPr>
        <w:pStyle w:val="BodyText"/>
        <w:spacing w:before="1"/>
        <w:ind w:left="700"/>
      </w:pPr>
      <w:r>
        <w:rPr>
          <w:color w:val="231F20"/>
        </w:rPr>
        <w:t>Table</w:t>
      </w:r>
      <w:r>
        <w:rPr>
          <w:color w:val="231F20"/>
          <w:spacing w:val="-7"/>
        </w:rPr>
        <w:t xml:space="preserve"> </w:t>
      </w:r>
      <w:r>
        <w:rPr>
          <w:color w:val="231F20"/>
        </w:rPr>
        <w:t>2</w:t>
      </w:r>
      <w:r>
        <w:rPr>
          <w:color w:val="231F20"/>
          <w:spacing w:val="-6"/>
        </w:rPr>
        <w:t xml:space="preserve"> </w:t>
      </w:r>
      <w:r>
        <w:rPr>
          <w:color w:val="231F20"/>
        </w:rPr>
        <w:t>presents</w:t>
      </w:r>
      <w:r>
        <w:rPr>
          <w:color w:val="231F20"/>
          <w:spacing w:val="-6"/>
        </w:rPr>
        <w:t xml:space="preserve"> </w:t>
      </w:r>
      <w:r>
        <w:rPr>
          <w:color w:val="231F20"/>
        </w:rPr>
        <w:t>the</w:t>
      </w:r>
      <w:r>
        <w:rPr>
          <w:color w:val="231F20"/>
          <w:spacing w:val="-6"/>
        </w:rPr>
        <w:t xml:space="preserve"> </w:t>
      </w:r>
      <w:r>
        <w:rPr>
          <w:color w:val="231F20"/>
        </w:rPr>
        <w:t>mean</w:t>
      </w:r>
      <w:r>
        <w:rPr>
          <w:color w:val="231F20"/>
          <w:spacing w:val="-6"/>
        </w:rPr>
        <w:t xml:space="preserve"> </w:t>
      </w:r>
      <w:r>
        <w:rPr>
          <w:color w:val="231F20"/>
        </w:rPr>
        <w:t>hourly</w:t>
      </w:r>
      <w:r>
        <w:rPr>
          <w:color w:val="231F20"/>
          <w:spacing w:val="-7"/>
        </w:rPr>
        <w:t xml:space="preserve"> </w:t>
      </w:r>
      <w:r>
        <w:rPr>
          <w:color w:val="231F20"/>
        </w:rPr>
        <w:t>wage,</w:t>
      </w:r>
      <w:r>
        <w:rPr>
          <w:color w:val="231F20"/>
          <w:spacing w:val="-6"/>
        </w:rPr>
        <w:t xml:space="preserve"> </w:t>
      </w:r>
      <w:r>
        <w:rPr>
          <w:color w:val="231F20"/>
        </w:rPr>
        <w:t>cost</w:t>
      </w:r>
      <w:r>
        <w:rPr>
          <w:color w:val="231F20"/>
          <w:spacing w:val="-6"/>
        </w:rPr>
        <w:t xml:space="preserve"> </w:t>
      </w:r>
      <w:r>
        <w:rPr>
          <w:color w:val="231F20"/>
        </w:rPr>
        <w:t>of</w:t>
      </w:r>
      <w:r>
        <w:rPr>
          <w:color w:val="231F20"/>
          <w:spacing w:val="-6"/>
        </w:rPr>
        <w:t xml:space="preserve"> </w:t>
      </w:r>
      <w:r>
        <w:rPr>
          <w:color w:val="231F20"/>
        </w:rPr>
        <w:t>fringe</w:t>
      </w:r>
      <w:r>
        <w:rPr>
          <w:color w:val="231F20"/>
          <w:spacing w:val="-7"/>
        </w:rPr>
        <w:t xml:space="preserve"> </w:t>
      </w:r>
      <w:r>
        <w:rPr>
          <w:color w:val="231F20"/>
        </w:rPr>
        <w:t>benefits,</w:t>
      </w:r>
      <w:r>
        <w:rPr>
          <w:color w:val="231F20"/>
          <w:spacing w:val="-6"/>
        </w:rPr>
        <w:t xml:space="preserve"> </w:t>
      </w:r>
      <w:r>
        <w:rPr>
          <w:color w:val="231F20"/>
        </w:rPr>
        <w:t>and</w:t>
      </w:r>
      <w:r>
        <w:rPr>
          <w:color w:val="231F20"/>
          <w:spacing w:val="-6"/>
        </w:rPr>
        <w:t xml:space="preserve"> </w:t>
      </w:r>
      <w:r>
        <w:rPr>
          <w:color w:val="231F20"/>
        </w:rPr>
        <w:t>adjusted</w:t>
      </w:r>
      <w:r>
        <w:rPr>
          <w:color w:val="231F20"/>
          <w:spacing w:val="-6"/>
        </w:rPr>
        <w:t xml:space="preserve"> </w:t>
      </w:r>
      <w:r>
        <w:rPr>
          <w:color w:val="231F20"/>
        </w:rPr>
        <w:t>hourly</w:t>
      </w:r>
      <w:r>
        <w:rPr>
          <w:color w:val="231F20"/>
          <w:spacing w:val="-7"/>
        </w:rPr>
        <w:t xml:space="preserve"> </w:t>
      </w:r>
      <w:r>
        <w:rPr>
          <w:color w:val="231F20"/>
          <w:spacing w:val="-2"/>
        </w:rPr>
        <w:t>rate.</w:t>
      </w:r>
    </w:p>
    <w:p w:rsidR="00C33392" w14:paraId="084F253E" w14:textId="77777777">
      <w:pPr>
        <w:pStyle w:val="BodyText"/>
        <w:spacing w:before="230"/>
      </w:pPr>
    </w:p>
    <w:p w:rsidR="00C33392" w14:paraId="5F54693A" w14:textId="77777777">
      <w:pPr>
        <w:spacing w:after="17"/>
        <w:ind w:left="690"/>
        <w:rPr>
          <w:b/>
          <w:sz w:val="20"/>
        </w:rPr>
      </w:pPr>
      <w:r>
        <w:rPr>
          <w:b/>
          <w:color w:val="231F20"/>
          <w:sz w:val="20"/>
        </w:rPr>
        <w:t>Table</w:t>
      </w:r>
      <w:r>
        <w:rPr>
          <w:b/>
          <w:color w:val="231F20"/>
          <w:spacing w:val="-7"/>
          <w:sz w:val="20"/>
        </w:rPr>
        <w:t xml:space="preserve"> </w:t>
      </w:r>
      <w:r>
        <w:rPr>
          <w:b/>
          <w:color w:val="231F20"/>
          <w:sz w:val="20"/>
        </w:rPr>
        <w:t>2:</w:t>
      </w:r>
      <w:r>
        <w:rPr>
          <w:b/>
          <w:color w:val="231F20"/>
          <w:spacing w:val="-4"/>
          <w:sz w:val="20"/>
        </w:rPr>
        <w:t xml:space="preserve"> </w:t>
      </w:r>
      <w:r>
        <w:rPr>
          <w:b/>
          <w:color w:val="231F20"/>
          <w:sz w:val="20"/>
        </w:rPr>
        <w:t>U.S.</w:t>
      </w:r>
      <w:r>
        <w:rPr>
          <w:b/>
          <w:color w:val="231F20"/>
          <w:spacing w:val="-6"/>
          <w:sz w:val="20"/>
        </w:rPr>
        <w:t xml:space="preserve"> </w:t>
      </w:r>
      <w:r>
        <w:rPr>
          <w:b/>
          <w:color w:val="231F20"/>
          <w:sz w:val="20"/>
        </w:rPr>
        <w:t>Bureau</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Labor</w:t>
      </w:r>
      <w:r>
        <w:rPr>
          <w:b/>
          <w:color w:val="231F20"/>
          <w:spacing w:val="-9"/>
          <w:sz w:val="20"/>
        </w:rPr>
        <w:t xml:space="preserve"> </w:t>
      </w:r>
      <w:r>
        <w:rPr>
          <w:b/>
          <w:color w:val="231F20"/>
          <w:sz w:val="20"/>
        </w:rPr>
        <w:t>Statistics</w:t>
      </w:r>
      <w:r>
        <w:rPr>
          <w:b/>
          <w:color w:val="231F20"/>
          <w:spacing w:val="-5"/>
          <w:sz w:val="20"/>
        </w:rPr>
        <w:t xml:space="preserve"> </w:t>
      </w:r>
      <w:r>
        <w:rPr>
          <w:b/>
          <w:color w:val="231F20"/>
          <w:sz w:val="20"/>
        </w:rPr>
        <w:t>Hourly</w:t>
      </w:r>
      <w:r>
        <w:rPr>
          <w:b/>
          <w:color w:val="231F20"/>
          <w:spacing w:val="-4"/>
          <w:sz w:val="20"/>
        </w:rPr>
        <w:t xml:space="preserve"> </w:t>
      </w:r>
      <w:r>
        <w:rPr>
          <w:b/>
          <w:color w:val="231F20"/>
          <w:spacing w:val="-2"/>
          <w:sz w:val="20"/>
        </w:rPr>
        <w:t>Rates</w:t>
      </w:r>
    </w:p>
    <w:tbl>
      <w:tblPr>
        <w:tblW w:w="0" w:type="auto"/>
        <w:tblInd w:w="73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tblPr>
      <w:tblGrid>
        <w:gridCol w:w="1777"/>
        <w:gridCol w:w="1728"/>
        <w:gridCol w:w="1751"/>
        <w:gridCol w:w="1714"/>
      </w:tblGrid>
      <w:tr w14:paraId="3B04135A" w14:textId="77777777">
        <w:tblPrEx>
          <w:tblW w:w="0" w:type="auto"/>
          <w:tblInd w:w="73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tblPrEx>
        <w:trPr>
          <w:trHeight w:val="1264"/>
        </w:trPr>
        <w:tc>
          <w:tcPr>
            <w:tcW w:w="1777" w:type="dxa"/>
          </w:tcPr>
          <w:p w:rsidR="00C33392" w14:paraId="4455CEA1" w14:textId="77777777">
            <w:pPr>
              <w:pStyle w:val="TableParagraph"/>
              <w:spacing w:before="126"/>
              <w:ind w:left="112"/>
              <w:rPr>
                <w:b/>
                <w:sz w:val="20"/>
              </w:rPr>
            </w:pPr>
            <w:r>
              <w:rPr>
                <w:b/>
                <w:color w:val="231F20"/>
                <w:spacing w:val="-2"/>
                <w:sz w:val="20"/>
              </w:rPr>
              <w:t>Occupation</w:t>
            </w:r>
          </w:p>
        </w:tc>
        <w:tc>
          <w:tcPr>
            <w:tcW w:w="1728" w:type="dxa"/>
          </w:tcPr>
          <w:p w:rsidR="00C33392" w14:paraId="2AE4DA4B" w14:textId="0E9D5825">
            <w:pPr>
              <w:pStyle w:val="TableParagraph"/>
              <w:spacing w:before="126"/>
              <w:ind w:left="112"/>
              <w:rPr>
                <w:b/>
                <w:sz w:val="20"/>
              </w:rPr>
            </w:pPr>
            <w:r>
              <w:rPr>
                <w:b/>
                <w:color w:val="231F20"/>
                <w:sz w:val="20"/>
              </w:rPr>
              <w:t>202</w:t>
            </w:r>
            <w:r w:rsidR="0012060F">
              <w:rPr>
                <w:b/>
                <w:color w:val="231F20"/>
                <w:sz w:val="20"/>
              </w:rPr>
              <w:t>5</w:t>
            </w:r>
            <w:r>
              <w:rPr>
                <w:b/>
                <w:color w:val="231F20"/>
                <w:spacing w:val="-5"/>
                <w:sz w:val="20"/>
              </w:rPr>
              <w:t xml:space="preserve"> </w:t>
            </w:r>
            <w:r>
              <w:rPr>
                <w:b/>
                <w:color w:val="231F20"/>
                <w:sz w:val="20"/>
              </w:rPr>
              <w:t>Hourly</w:t>
            </w:r>
            <w:r>
              <w:rPr>
                <w:b/>
                <w:color w:val="231F20"/>
                <w:spacing w:val="-3"/>
                <w:sz w:val="20"/>
              </w:rPr>
              <w:t xml:space="preserve"> </w:t>
            </w:r>
            <w:r>
              <w:rPr>
                <w:b/>
                <w:color w:val="231F20"/>
                <w:spacing w:val="-4"/>
                <w:sz w:val="20"/>
              </w:rPr>
              <w:t>Rate</w:t>
            </w:r>
          </w:p>
        </w:tc>
        <w:tc>
          <w:tcPr>
            <w:tcW w:w="1751" w:type="dxa"/>
          </w:tcPr>
          <w:p w:rsidR="00C33392" w14:paraId="289746FD" w14:textId="77777777">
            <w:pPr>
              <w:pStyle w:val="TableParagraph"/>
              <w:spacing w:before="122"/>
              <w:rPr>
                <w:b/>
                <w:sz w:val="20"/>
              </w:rPr>
            </w:pPr>
          </w:p>
          <w:p w:rsidR="00C33392" w14:paraId="4E8B2649" w14:textId="77777777">
            <w:pPr>
              <w:pStyle w:val="TableParagraph"/>
              <w:spacing w:line="285" w:lineRule="auto"/>
              <w:ind w:left="112" w:right="255"/>
              <w:rPr>
                <w:b/>
                <w:sz w:val="20"/>
              </w:rPr>
            </w:pPr>
            <w:r>
              <w:rPr>
                <w:b/>
                <w:color w:val="231F20"/>
                <w:sz w:val="20"/>
              </w:rPr>
              <w:t>Fringe</w:t>
            </w:r>
            <w:r>
              <w:rPr>
                <w:b/>
                <w:color w:val="231F20"/>
                <w:spacing w:val="-13"/>
                <w:sz w:val="20"/>
              </w:rPr>
              <w:t xml:space="preserve"> </w:t>
            </w:r>
            <w:r>
              <w:rPr>
                <w:b/>
                <w:color w:val="231F20"/>
                <w:sz w:val="20"/>
              </w:rPr>
              <w:t>Estimate (100%</w:t>
            </w:r>
            <w:r>
              <w:rPr>
                <w:b/>
                <w:color w:val="231F20"/>
                <w:spacing w:val="80"/>
                <w:sz w:val="20"/>
              </w:rPr>
              <w:t xml:space="preserve"> </w:t>
            </w:r>
            <w:r>
              <w:rPr>
                <w:b/>
                <w:color w:val="231F20"/>
                <w:sz w:val="20"/>
              </w:rPr>
              <w:t xml:space="preserve">hourly </w:t>
            </w:r>
            <w:r>
              <w:rPr>
                <w:b/>
                <w:color w:val="231F20"/>
                <w:spacing w:val="-2"/>
                <w:sz w:val="20"/>
              </w:rPr>
              <w:t>rate)</w:t>
            </w:r>
          </w:p>
        </w:tc>
        <w:tc>
          <w:tcPr>
            <w:tcW w:w="1714" w:type="dxa"/>
          </w:tcPr>
          <w:p w:rsidR="00C33392" w14:paraId="4B489835" w14:textId="77777777">
            <w:pPr>
              <w:pStyle w:val="TableParagraph"/>
              <w:spacing w:before="126"/>
              <w:ind w:left="111"/>
              <w:rPr>
                <w:b/>
                <w:sz w:val="20"/>
              </w:rPr>
            </w:pPr>
            <w:r>
              <w:rPr>
                <w:b/>
                <w:color w:val="231F20"/>
                <w:spacing w:val="-2"/>
                <w:sz w:val="20"/>
              </w:rPr>
              <w:t>Total</w:t>
            </w:r>
          </w:p>
        </w:tc>
      </w:tr>
      <w:tr w14:paraId="1043C0A6" w14:textId="77777777">
        <w:tblPrEx>
          <w:tblW w:w="0" w:type="auto"/>
          <w:tblInd w:w="733" w:type="dxa"/>
          <w:tblLayout w:type="fixed"/>
          <w:tblCellMar>
            <w:left w:w="0" w:type="dxa"/>
            <w:right w:w="0" w:type="dxa"/>
          </w:tblCellMar>
          <w:tblLook w:val="01E0"/>
        </w:tblPrEx>
        <w:trPr>
          <w:trHeight w:val="737"/>
        </w:trPr>
        <w:tc>
          <w:tcPr>
            <w:tcW w:w="1777" w:type="dxa"/>
          </w:tcPr>
          <w:p w:rsidR="00C33392" w14:paraId="26674554" w14:textId="77777777">
            <w:pPr>
              <w:pStyle w:val="TableParagraph"/>
              <w:spacing w:before="125" w:line="259" w:lineRule="auto"/>
              <w:ind w:left="112" w:right="418"/>
              <w:rPr>
                <w:sz w:val="20"/>
              </w:rPr>
            </w:pPr>
            <w:r>
              <w:rPr>
                <w:color w:val="231F20"/>
                <w:sz w:val="20"/>
              </w:rPr>
              <w:t>Social</w:t>
            </w:r>
            <w:r>
              <w:rPr>
                <w:color w:val="231F20"/>
                <w:spacing w:val="-13"/>
                <w:sz w:val="20"/>
              </w:rPr>
              <w:t xml:space="preserve"> </w:t>
            </w:r>
            <w:r>
              <w:rPr>
                <w:color w:val="231F20"/>
                <w:sz w:val="20"/>
              </w:rPr>
              <w:t xml:space="preserve">Scientist </w:t>
            </w:r>
            <w:r>
              <w:rPr>
                <w:color w:val="231F20"/>
                <w:spacing w:val="-2"/>
                <w:sz w:val="20"/>
              </w:rPr>
              <w:t>(19-3000)</w:t>
            </w:r>
          </w:p>
        </w:tc>
        <w:tc>
          <w:tcPr>
            <w:tcW w:w="1728" w:type="dxa"/>
          </w:tcPr>
          <w:p w:rsidR="00C33392" w14:paraId="62DB74FD" w14:textId="77777777">
            <w:pPr>
              <w:pStyle w:val="TableParagraph"/>
              <w:spacing w:before="19"/>
              <w:rPr>
                <w:b/>
                <w:sz w:val="20"/>
              </w:rPr>
            </w:pPr>
          </w:p>
          <w:p w:rsidR="00C33392" w14:paraId="18240712" w14:textId="77777777">
            <w:pPr>
              <w:pStyle w:val="TableParagraph"/>
              <w:spacing w:before="1"/>
              <w:ind w:left="112"/>
              <w:rPr>
                <w:sz w:val="20"/>
              </w:rPr>
            </w:pPr>
            <w:r>
              <w:rPr>
                <w:color w:val="231F20"/>
                <w:spacing w:val="-2"/>
                <w:sz w:val="20"/>
              </w:rPr>
              <w:t>$51.08</w:t>
            </w:r>
          </w:p>
        </w:tc>
        <w:tc>
          <w:tcPr>
            <w:tcW w:w="1751" w:type="dxa"/>
          </w:tcPr>
          <w:p w:rsidR="00C33392" w14:paraId="39300C5D" w14:textId="77777777">
            <w:pPr>
              <w:pStyle w:val="TableParagraph"/>
              <w:spacing w:before="19"/>
              <w:rPr>
                <w:b/>
                <w:sz w:val="20"/>
              </w:rPr>
            </w:pPr>
          </w:p>
          <w:p w:rsidR="00C33392" w14:paraId="035728ED" w14:textId="77777777">
            <w:pPr>
              <w:pStyle w:val="TableParagraph"/>
              <w:spacing w:before="1"/>
              <w:ind w:left="112"/>
              <w:rPr>
                <w:sz w:val="20"/>
              </w:rPr>
            </w:pPr>
            <w:r>
              <w:rPr>
                <w:color w:val="231F20"/>
                <w:spacing w:val="-2"/>
                <w:sz w:val="20"/>
              </w:rPr>
              <w:t>$51.08</w:t>
            </w:r>
          </w:p>
        </w:tc>
        <w:tc>
          <w:tcPr>
            <w:tcW w:w="1714" w:type="dxa"/>
          </w:tcPr>
          <w:p w:rsidR="00C33392" w14:paraId="41C9B71B" w14:textId="77777777">
            <w:pPr>
              <w:pStyle w:val="TableParagraph"/>
              <w:spacing w:before="19"/>
              <w:rPr>
                <w:b/>
                <w:sz w:val="20"/>
              </w:rPr>
            </w:pPr>
          </w:p>
          <w:p w:rsidR="00C33392" w14:paraId="72826AAF" w14:textId="77777777">
            <w:pPr>
              <w:pStyle w:val="TableParagraph"/>
              <w:spacing w:before="1"/>
              <w:ind w:left="111"/>
              <w:rPr>
                <w:sz w:val="20"/>
              </w:rPr>
            </w:pPr>
            <w:r>
              <w:rPr>
                <w:color w:val="231F20"/>
                <w:spacing w:val="-2"/>
                <w:sz w:val="20"/>
              </w:rPr>
              <w:t>$102.16</w:t>
            </w:r>
          </w:p>
        </w:tc>
      </w:tr>
      <w:tr w14:paraId="342FED28" w14:textId="77777777">
        <w:tblPrEx>
          <w:tblW w:w="0" w:type="auto"/>
          <w:tblInd w:w="733" w:type="dxa"/>
          <w:tblLayout w:type="fixed"/>
          <w:tblCellMar>
            <w:left w:w="0" w:type="dxa"/>
            <w:right w:w="0" w:type="dxa"/>
          </w:tblCellMar>
          <w:tblLook w:val="01E0"/>
        </w:tblPrEx>
        <w:trPr>
          <w:trHeight w:val="987"/>
        </w:trPr>
        <w:tc>
          <w:tcPr>
            <w:tcW w:w="1777" w:type="dxa"/>
          </w:tcPr>
          <w:p w:rsidR="00C33392" w14:paraId="12426A90" w14:textId="77777777">
            <w:pPr>
              <w:pStyle w:val="TableParagraph"/>
              <w:spacing w:before="126" w:line="259" w:lineRule="auto"/>
              <w:ind w:left="112" w:right="330"/>
              <w:rPr>
                <w:sz w:val="20"/>
              </w:rPr>
            </w:pPr>
            <w:r>
              <w:rPr>
                <w:color w:val="231F20"/>
                <w:spacing w:val="-2"/>
                <w:sz w:val="20"/>
              </w:rPr>
              <w:t>Information Security</w:t>
            </w:r>
            <w:r>
              <w:rPr>
                <w:color w:val="231F20"/>
                <w:spacing w:val="-14"/>
                <w:sz w:val="20"/>
              </w:rPr>
              <w:t xml:space="preserve"> </w:t>
            </w:r>
            <w:r>
              <w:rPr>
                <w:color w:val="231F20"/>
                <w:spacing w:val="-2"/>
                <w:sz w:val="20"/>
              </w:rPr>
              <w:t>Analyst (15-1212)</w:t>
            </w:r>
          </w:p>
        </w:tc>
        <w:tc>
          <w:tcPr>
            <w:tcW w:w="1728" w:type="dxa"/>
          </w:tcPr>
          <w:p w:rsidR="00C33392" w14:paraId="18FECA04" w14:textId="77777777">
            <w:pPr>
              <w:pStyle w:val="TableParagraph"/>
              <w:spacing w:before="126"/>
              <w:ind w:left="112"/>
              <w:rPr>
                <w:sz w:val="20"/>
              </w:rPr>
            </w:pPr>
            <w:r>
              <w:rPr>
                <w:color w:val="231F20"/>
                <w:spacing w:val="-2"/>
                <w:sz w:val="20"/>
              </w:rPr>
              <w:t>$63.71</w:t>
            </w:r>
          </w:p>
        </w:tc>
        <w:tc>
          <w:tcPr>
            <w:tcW w:w="1751" w:type="dxa"/>
          </w:tcPr>
          <w:p w:rsidR="00C33392" w14:paraId="0198BBAC" w14:textId="77777777">
            <w:pPr>
              <w:pStyle w:val="TableParagraph"/>
              <w:spacing w:before="126"/>
              <w:ind w:left="112"/>
              <w:rPr>
                <w:sz w:val="20"/>
              </w:rPr>
            </w:pPr>
            <w:r>
              <w:rPr>
                <w:color w:val="231F20"/>
                <w:spacing w:val="-2"/>
                <w:sz w:val="20"/>
              </w:rPr>
              <w:t>$63.71</w:t>
            </w:r>
          </w:p>
        </w:tc>
        <w:tc>
          <w:tcPr>
            <w:tcW w:w="1714" w:type="dxa"/>
          </w:tcPr>
          <w:p w:rsidR="00C33392" w14:paraId="5B645C25" w14:textId="77777777">
            <w:pPr>
              <w:pStyle w:val="TableParagraph"/>
              <w:spacing w:before="126"/>
              <w:ind w:left="111"/>
              <w:rPr>
                <w:sz w:val="20"/>
              </w:rPr>
            </w:pPr>
            <w:r>
              <w:rPr>
                <w:color w:val="231F20"/>
                <w:spacing w:val="-2"/>
                <w:sz w:val="20"/>
              </w:rPr>
              <w:t>$127.42</w:t>
            </w:r>
          </w:p>
        </w:tc>
      </w:tr>
    </w:tbl>
    <w:p w:rsidR="00C33392" w14:paraId="2DA9E42F" w14:textId="77777777">
      <w:pPr>
        <w:pStyle w:val="TableParagraph"/>
        <w:rPr>
          <w:sz w:val="20"/>
        </w:rPr>
        <w:sectPr>
          <w:pgSz w:w="12240" w:h="15840"/>
          <w:pgMar w:top="1480" w:right="1440" w:bottom="1269" w:left="1440" w:header="0" w:footer="583" w:gutter="0"/>
          <w:cols w:space="720"/>
        </w:sectPr>
      </w:pPr>
    </w:p>
    <w:tbl>
      <w:tblPr>
        <w:tblW w:w="0" w:type="auto"/>
        <w:tblInd w:w="73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tblPr>
      <w:tblGrid>
        <w:gridCol w:w="1777"/>
        <w:gridCol w:w="1728"/>
        <w:gridCol w:w="1751"/>
        <w:gridCol w:w="1714"/>
      </w:tblGrid>
      <w:tr w14:paraId="4E3AA4CC" w14:textId="77777777">
        <w:tblPrEx>
          <w:tblW w:w="0" w:type="auto"/>
          <w:tblInd w:w="73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tblPrEx>
        <w:trPr>
          <w:trHeight w:val="763"/>
        </w:trPr>
        <w:tc>
          <w:tcPr>
            <w:tcW w:w="1777" w:type="dxa"/>
          </w:tcPr>
          <w:p w:rsidR="00C33392" w14:paraId="69A3B1F1" w14:textId="77777777">
            <w:pPr>
              <w:pStyle w:val="TableParagraph"/>
              <w:spacing w:before="126"/>
              <w:ind w:left="112"/>
              <w:rPr>
                <w:sz w:val="20"/>
              </w:rPr>
            </w:pPr>
            <w:r>
              <w:rPr>
                <w:color w:val="231F20"/>
                <w:sz w:val="20"/>
              </w:rPr>
              <w:t>Chief</w:t>
            </w:r>
            <w:r>
              <w:rPr>
                <w:color w:val="231F20"/>
                <w:spacing w:val="-6"/>
                <w:sz w:val="20"/>
              </w:rPr>
              <w:t xml:space="preserve"> </w:t>
            </w:r>
            <w:r>
              <w:rPr>
                <w:color w:val="231F20"/>
                <w:spacing w:val="-2"/>
                <w:sz w:val="20"/>
              </w:rPr>
              <w:t>Executive</w:t>
            </w:r>
          </w:p>
          <w:p w:rsidR="00C33392" w14:paraId="47EE66B5" w14:textId="77777777">
            <w:pPr>
              <w:pStyle w:val="TableParagraph"/>
              <w:spacing w:before="17"/>
              <w:ind w:left="112"/>
            </w:pPr>
            <w:r>
              <w:rPr>
                <w:color w:val="231F20"/>
                <w:spacing w:val="-4"/>
              </w:rPr>
              <w:t>(11-</w:t>
            </w:r>
            <w:r>
              <w:rPr>
                <w:color w:val="231F20"/>
                <w:spacing w:val="-2"/>
              </w:rPr>
              <w:t>1011)</w:t>
            </w:r>
          </w:p>
        </w:tc>
        <w:tc>
          <w:tcPr>
            <w:tcW w:w="1728" w:type="dxa"/>
          </w:tcPr>
          <w:p w:rsidR="00C33392" w14:paraId="1FE706C5" w14:textId="77777777">
            <w:pPr>
              <w:pStyle w:val="TableParagraph"/>
              <w:spacing w:before="32"/>
              <w:rPr>
                <w:b/>
                <w:sz w:val="20"/>
              </w:rPr>
            </w:pPr>
          </w:p>
          <w:p w:rsidR="00C33392" w14:paraId="7CFB854F" w14:textId="77777777">
            <w:pPr>
              <w:pStyle w:val="TableParagraph"/>
              <w:ind w:left="112"/>
              <w:rPr>
                <w:sz w:val="20"/>
              </w:rPr>
            </w:pPr>
            <w:r>
              <w:rPr>
                <w:color w:val="231F20"/>
                <w:spacing w:val="-2"/>
                <w:sz w:val="20"/>
              </w:rPr>
              <w:t>$129.63.48</w:t>
            </w:r>
          </w:p>
        </w:tc>
        <w:tc>
          <w:tcPr>
            <w:tcW w:w="1751" w:type="dxa"/>
          </w:tcPr>
          <w:p w:rsidR="00C33392" w14:paraId="58362E6B" w14:textId="77777777">
            <w:pPr>
              <w:pStyle w:val="TableParagraph"/>
              <w:spacing w:before="32"/>
              <w:rPr>
                <w:b/>
                <w:sz w:val="20"/>
              </w:rPr>
            </w:pPr>
          </w:p>
          <w:p w:rsidR="00C33392" w14:paraId="319FAF7D" w14:textId="77777777">
            <w:pPr>
              <w:pStyle w:val="TableParagraph"/>
              <w:ind w:left="112"/>
              <w:rPr>
                <w:sz w:val="20"/>
              </w:rPr>
            </w:pPr>
            <w:r>
              <w:rPr>
                <w:color w:val="231F20"/>
                <w:spacing w:val="-2"/>
                <w:sz w:val="20"/>
              </w:rPr>
              <w:t>$129.63</w:t>
            </w:r>
          </w:p>
        </w:tc>
        <w:tc>
          <w:tcPr>
            <w:tcW w:w="1714" w:type="dxa"/>
          </w:tcPr>
          <w:p w:rsidR="00C33392" w14:paraId="561C2879" w14:textId="77777777">
            <w:pPr>
              <w:pStyle w:val="TableParagraph"/>
              <w:spacing w:before="32"/>
              <w:rPr>
                <w:b/>
                <w:sz w:val="20"/>
              </w:rPr>
            </w:pPr>
          </w:p>
          <w:p w:rsidR="00C33392" w14:paraId="11499089" w14:textId="77777777">
            <w:pPr>
              <w:pStyle w:val="TableParagraph"/>
              <w:ind w:left="111"/>
              <w:rPr>
                <w:sz w:val="20"/>
              </w:rPr>
            </w:pPr>
            <w:r>
              <w:rPr>
                <w:color w:val="231F20"/>
                <w:spacing w:val="-2"/>
                <w:sz w:val="20"/>
              </w:rPr>
              <w:t>$259.26</w:t>
            </w:r>
          </w:p>
        </w:tc>
      </w:tr>
      <w:tr w14:paraId="21845B76" w14:textId="77777777">
        <w:tblPrEx>
          <w:tblW w:w="0" w:type="auto"/>
          <w:tblInd w:w="733" w:type="dxa"/>
          <w:tblLayout w:type="fixed"/>
          <w:tblCellMar>
            <w:left w:w="0" w:type="dxa"/>
            <w:right w:w="0" w:type="dxa"/>
          </w:tblCellMar>
          <w:tblLook w:val="01E0"/>
        </w:tblPrEx>
        <w:trPr>
          <w:trHeight w:val="764"/>
        </w:trPr>
        <w:tc>
          <w:tcPr>
            <w:tcW w:w="1777" w:type="dxa"/>
          </w:tcPr>
          <w:p w:rsidR="00C33392" w14:paraId="3AD0F576" w14:textId="77777777">
            <w:pPr>
              <w:pStyle w:val="TableParagraph"/>
              <w:spacing w:before="126"/>
              <w:ind w:left="112"/>
              <w:rPr>
                <w:sz w:val="20"/>
              </w:rPr>
            </w:pPr>
            <w:r>
              <w:rPr>
                <w:color w:val="231F20"/>
                <w:sz w:val="20"/>
              </w:rPr>
              <w:t>Legal</w:t>
            </w:r>
            <w:r>
              <w:rPr>
                <w:color w:val="231F20"/>
                <w:spacing w:val="-2"/>
                <w:sz w:val="20"/>
              </w:rPr>
              <w:t xml:space="preserve"> Staff</w:t>
            </w:r>
          </w:p>
          <w:p w:rsidR="00C33392" w14:paraId="7D65710D" w14:textId="77777777">
            <w:pPr>
              <w:pStyle w:val="TableParagraph"/>
              <w:spacing w:before="17"/>
              <w:ind w:left="112"/>
            </w:pPr>
            <w:r>
              <w:rPr>
                <w:color w:val="231F20"/>
                <w:spacing w:val="-2"/>
              </w:rPr>
              <w:t>(23-</w:t>
            </w:r>
            <w:r>
              <w:rPr>
                <w:color w:val="231F20"/>
                <w:spacing w:val="-4"/>
              </w:rPr>
              <w:t>1011)</w:t>
            </w:r>
          </w:p>
        </w:tc>
        <w:tc>
          <w:tcPr>
            <w:tcW w:w="1728" w:type="dxa"/>
          </w:tcPr>
          <w:p w:rsidR="00C33392" w14:paraId="37AF00FA" w14:textId="77777777">
            <w:pPr>
              <w:pStyle w:val="TableParagraph"/>
              <w:spacing w:before="32"/>
              <w:rPr>
                <w:b/>
                <w:sz w:val="20"/>
              </w:rPr>
            </w:pPr>
          </w:p>
          <w:p w:rsidR="00C33392" w14:paraId="4FC53709" w14:textId="77777777">
            <w:pPr>
              <w:pStyle w:val="TableParagraph"/>
              <w:ind w:left="112"/>
              <w:rPr>
                <w:sz w:val="20"/>
              </w:rPr>
            </w:pPr>
            <w:r>
              <w:rPr>
                <w:color w:val="231F20"/>
                <w:spacing w:val="-2"/>
                <w:sz w:val="20"/>
              </w:rPr>
              <w:t>$89.35.74</w:t>
            </w:r>
          </w:p>
        </w:tc>
        <w:tc>
          <w:tcPr>
            <w:tcW w:w="1751" w:type="dxa"/>
          </w:tcPr>
          <w:p w:rsidR="00C33392" w14:paraId="5BDD214B" w14:textId="77777777">
            <w:pPr>
              <w:pStyle w:val="TableParagraph"/>
              <w:spacing w:before="32"/>
              <w:rPr>
                <w:b/>
                <w:sz w:val="20"/>
              </w:rPr>
            </w:pPr>
          </w:p>
          <w:p w:rsidR="00C33392" w14:paraId="4D532FF5" w14:textId="77777777">
            <w:pPr>
              <w:pStyle w:val="TableParagraph"/>
              <w:ind w:left="112"/>
              <w:rPr>
                <w:sz w:val="20"/>
              </w:rPr>
            </w:pPr>
            <w:r>
              <w:rPr>
                <w:color w:val="231F20"/>
                <w:spacing w:val="-2"/>
                <w:sz w:val="20"/>
              </w:rPr>
              <w:t>$89.35</w:t>
            </w:r>
          </w:p>
        </w:tc>
        <w:tc>
          <w:tcPr>
            <w:tcW w:w="1714" w:type="dxa"/>
          </w:tcPr>
          <w:p w:rsidR="00C33392" w14:paraId="0B63B18F" w14:textId="77777777">
            <w:pPr>
              <w:pStyle w:val="TableParagraph"/>
              <w:spacing w:before="32"/>
              <w:rPr>
                <w:b/>
                <w:sz w:val="20"/>
              </w:rPr>
            </w:pPr>
          </w:p>
          <w:p w:rsidR="00C33392" w14:paraId="0A9F6F7A" w14:textId="77777777">
            <w:pPr>
              <w:pStyle w:val="TableParagraph"/>
              <w:ind w:left="111"/>
              <w:rPr>
                <w:sz w:val="20"/>
              </w:rPr>
            </w:pPr>
            <w:r>
              <w:rPr>
                <w:color w:val="231F20"/>
                <w:spacing w:val="-2"/>
                <w:sz w:val="20"/>
              </w:rPr>
              <w:t>$178.7</w:t>
            </w:r>
          </w:p>
        </w:tc>
      </w:tr>
    </w:tbl>
    <w:p w:rsidR="00C33392" w14:paraId="6DB583EC" w14:textId="77777777">
      <w:pPr>
        <w:pStyle w:val="BodyText"/>
        <w:spacing w:before="240"/>
        <w:rPr>
          <w:b/>
        </w:rPr>
      </w:pPr>
    </w:p>
    <w:p w:rsidR="00C33392" w14:paraId="6792EE91" w14:textId="77777777">
      <w:pPr>
        <w:pStyle w:val="BodyText"/>
        <w:spacing w:line="249" w:lineRule="auto"/>
        <w:ind w:left="710" w:right="21" w:hanging="10"/>
      </w:pPr>
      <w:r>
        <w:rPr>
          <w:color w:val="231F20"/>
        </w:rPr>
        <w:t>Table</w:t>
      </w:r>
      <w:r>
        <w:rPr>
          <w:color w:val="231F20"/>
          <w:spacing w:val="-6"/>
        </w:rPr>
        <w:t xml:space="preserve"> </w:t>
      </w:r>
      <w:r>
        <w:rPr>
          <w:color w:val="231F20"/>
        </w:rPr>
        <w:t>3</w:t>
      </w:r>
      <w:r>
        <w:rPr>
          <w:color w:val="231F20"/>
          <w:spacing w:val="-4"/>
        </w:rPr>
        <w:t xml:space="preserve"> </w:t>
      </w:r>
      <w:r>
        <w:rPr>
          <w:color w:val="231F20"/>
        </w:rPr>
        <w:t>presents</w:t>
      </w:r>
      <w:r>
        <w:rPr>
          <w:color w:val="231F20"/>
          <w:spacing w:val="-4"/>
        </w:rPr>
        <w:t xml:space="preserve"> </w:t>
      </w:r>
      <w:r>
        <w:rPr>
          <w:color w:val="231F20"/>
        </w:rPr>
        <w:t>the</w:t>
      </w:r>
      <w:r>
        <w:rPr>
          <w:color w:val="231F20"/>
          <w:spacing w:val="-4"/>
        </w:rPr>
        <w:t xml:space="preserve"> </w:t>
      </w:r>
      <w:r>
        <w:rPr>
          <w:color w:val="231F20"/>
        </w:rPr>
        <w:t>estimated</w:t>
      </w:r>
      <w:r>
        <w:rPr>
          <w:color w:val="231F20"/>
          <w:spacing w:val="-4"/>
        </w:rPr>
        <w:t xml:space="preserve"> </w:t>
      </w:r>
      <w:r>
        <w:rPr>
          <w:color w:val="231F20"/>
        </w:rPr>
        <w:t>3-year</w:t>
      </w:r>
      <w:r>
        <w:rPr>
          <w:color w:val="231F20"/>
          <w:spacing w:val="-4"/>
        </w:rPr>
        <w:t xml:space="preserve"> </w:t>
      </w:r>
      <w:r>
        <w:rPr>
          <w:color w:val="231F20"/>
        </w:rPr>
        <w:t>request</w:t>
      </w:r>
      <w:r>
        <w:rPr>
          <w:color w:val="231F20"/>
          <w:spacing w:val="-4"/>
        </w:rPr>
        <w:t xml:space="preserve"> </w:t>
      </w:r>
      <w:r>
        <w:rPr>
          <w:color w:val="231F20"/>
        </w:rPr>
        <w:t>for</w:t>
      </w:r>
      <w:r>
        <w:rPr>
          <w:color w:val="231F20"/>
          <w:spacing w:val="-5"/>
        </w:rPr>
        <w:t xml:space="preserve"> </w:t>
      </w:r>
      <w:r>
        <w:rPr>
          <w:color w:val="231F20"/>
        </w:rPr>
        <w:t>all</w:t>
      </w:r>
      <w:r>
        <w:rPr>
          <w:color w:val="231F20"/>
          <w:spacing w:val="-4"/>
        </w:rPr>
        <w:t xml:space="preserve"> </w:t>
      </w:r>
      <w:r>
        <w:rPr>
          <w:color w:val="231F20"/>
        </w:rPr>
        <w:t>QEs</w:t>
      </w:r>
      <w:r>
        <w:rPr>
          <w:color w:val="231F20"/>
          <w:spacing w:val="-4"/>
        </w:rPr>
        <w:t xml:space="preserve"> </w:t>
      </w:r>
      <w:r>
        <w:rPr>
          <w:color w:val="231F20"/>
        </w:rPr>
        <w:t>to</w:t>
      </w:r>
      <w:r>
        <w:rPr>
          <w:color w:val="231F20"/>
          <w:spacing w:val="-4"/>
        </w:rPr>
        <w:t xml:space="preserve"> </w:t>
      </w:r>
      <w:r>
        <w:rPr>
          <w:color w:val="231F20"/>
        </w:rPr>
        <w:t>complete</w:t>
      </w:r>
      <w:r>
        <w:rPr>
          <w:color w:val="231F20"/>
          <w:spacing w:val="-14"/>
        </w:rPr>
        <w:t xml:space="preserve"> </w:t>
      </w:r>
      <w:r>
        <w:rPr>
          <w:color w:val="231F20"/>
        </w:rPr>
        <w:t>Application,</w:t>
      </w:r>
      <w:r>
        <w:rPr>
          <w:color w:val="231F20"/>
          <w:spacing w:val="-4"/>
        </w:rPr>
        <w:t xml:space="preserve"> </w:t>
      </w:r>
      <w:r>
        <w:rPr>
          <w:color w:val="231F20"/>
        </w:rPr>
        <w:t>Reapplication, DUA, and ARW data collections to the public.</w:t>
      </w:r>
    </w:p>
    <w:p w:rsidR="00C33392" w14:paraId="0AD71801" w14:textId="77777777">
      <w:pPr>
        <w:pStyle w:val="BodyText"/>
        <w:spacing w:before="221"/>
      </w:pPr>
    </w:p>
    <w:p w:rsidR="00C33392" w14:paraId="78C0A458" w14:textId="77777777">
      <w:pPr>
        <w:spacing w:after="18"/>
        <w:ind w:left="690"/>
        <w:rPr>
          <w:b/>
          <w:sz w:val="20"/>
        </w:rPr>
      </w:pPr>
      <w:r>
        <w:rPr>
          <w:b/>
          <w:color w:val="231F20"/>
          <w:sz w:val="20"/>
        </w:rPr>
        <w:t>Table</w:t>
      </w:r>
      <w:r>
        <w:rPr>
          <w:b/>
          <w:color w:val="231F20"/>
          <w:spacing w:val="-11"/>
          <w:sz w:val="20"/>
        </w:rPr>
        <w:t xml:space="preserve"> </w:t>
      </w:r>
      <w:r>
        <w:rPr>
          <w:b/>
          <w:color w:val="231F20"/>
          <w:sz w:val="20"/>
        </w:rPr>
        <w:t>3:</w:t>
      </w:r>
      <w:r>
        <w:rPr>
          <w:b/>
          <w:color w:val="231F20"/>
          <w:spacing w:val="-7"/>
          <w:sz w:val="20"/>
        </w:rPr>
        <w:t xml:space="preserve"> </w:t>
      </w:r>
      <w:r>
        <w:rPr>
          <w:b/>
          <w:color w:val="231F20"/>
          <w:sz w:val="20"/>
        </w:rPr>
        <w:t>3-Year</w:t>
      </w:r>
      <w:r>
        <w:rPr>
          <w:b/>
          <w:color w:val="231F20"/>
          <w:spacing w:val="-11"/>
          <w:sz w:val="20"/>
        </w:rPr>
        <w:t xml:space="preserve"> </w:t>
      </w:r>
      <w:r>
        <w:rPr>
          <w:b/>
          <w:color w:val="231F20"/>
          <w:sz w:val="20"/>
        </w:rPr>
        <w:t>Burden</w:t>
      </w:r>
      <w:r>
        <w:rPr>
          <w:b/>
          <w:color w:val="231F20"/>
          <w:spacing w:val="-8"/>
          <w:sz w:val="20"/>
        </w:rPr>
        <w:t xml:space="preserve"> </w:t>
      </w:r>
      <w:r>
        <w:rPr>
          <w:b/>
          <w:color w:val="231F20"/>
          <w:sz w:val="20"/>
        </w:rPr>
        <w:t>Estimate</w:t>
      </w:r>
      <w:r>
        <w:rPr>
          <w:b/>
          <w:color w:val="231F20"/>
          <w:spacing w:val="-8"/>
          <w:sz w:val="20"/>
        </w:rPr>
        <w:t xml:space="preserve"> </w:t>
      </w:r>
      <w:r>
        <w:rPr>
          <w:b/>
          <w:color w:val="231F20"/>
          <w:sz w:val="20"/>
        </w:rPr>
        <w:t>to</w:t>
      </w:r>
      <w:r>
        <w:rPr>
          <w:b/>
          <w:color w:val="231F20"/>
          <w:spacing w:val="-9"/>
          <w:sz w:val="20"/>
        </w:rPr>
        <w:t xml:space="preserve"> </w:t>
      </w:r>
      <w:r>
        <w:rPr>
          <w:b/>
          <w:color w:val="231F20"/>
          <w:sz w:val="20"/>
        </w:rPr>
        <w:t>the</w:t>
      </w:r>
      <w:r>
        <w:rPr>
          <w:b/>
          <w:color w:val="231F20"/>
          <w:spacing w:val="-8"/>
          <w:sz w:val="20"/>
        </w:rPr>
        <w:t xml:space="preserve"> </w:t>
      </w:r>
      <w:r>
        <w:rPr>
          <w:b/>
          <w:color w:val="231F20"/>
          <w:sz w:val="20"/>
        </w:rPr>
        <w:t>Public</w:t>
      </w:r>
      <w:r>
        <w:rPr>
          <w:b/>
          <w:color w:val="231F20"/>
          <w:spacing w:val="-8"/>
          <w:sz w:val="20"/>
        </w:rPr>
        <w:t xml:space="preserve"> </w:t>
      </w:r>
      <w:r>
        <w:rPr>
          <w:b/>
          <w:color w:val="231F20"/>
          <w:sz w:val="20"/>
        </w:rPr>
        <w:t>for</w:t>
      </w:r>
      <w:r>
        <w:rPr>
          <w:b/>
          <w:color w:val="231F20"/>
          <w:spacing w:val="-12"/>
          <w:sz w:val="20"/>
        </w:rPr>
        <w:t xml:space="preserve"> </w:t>
      </w:r>
      <w:r>
        <w:rPr>
          <w:b/>
          <w:color w:val="231F20"/>
          <w:sz w:val="20"/>
        </w:rPr>
        <w:t>New</w:t>
      </w:r>
      <w:r>
        <w:rPr>
          <w:b/>
          <w:color w:val="231F20"/>
          <w:spacing w:val="-8"/>
          <w:sz w:val="20"/>
        </w:rPr>
        <w:t xml:space="preserve"> </w:t>
      </w:r>
      <w:r>
        <w:rPr>
          <w:b/>
          <w:color w:val="231F20"/>
          <w:sz w:val="20"/>
        </w:rPr>
        <w:t>Consolidated</w:t>
      </w:r>
      <w:r>
        <w:rPr>
          <w:b/>
          <w:color w:val="231F20"/>
          <w:spacing w:val="-8"/>
          <w:sz w:val="20"/>
        </w:rPr>
        <w:t xml:space="preserve"> </w:t>
      </w:r>
      <w:r>
        <w:rPr>
          <w:b/>
          <w:color w:val="231F20"/>
          <w:spacing w:val="-2"/>
          <w:sz w:val="20"/>
        </w:rPr>
        <w:t>Package</w:t>
      </w:r>
    </w:p>
    <w:tbl>
      <w:tblPr>
        <w:tblW w:w="0" w:type="auto"/>
        <w:tblInd w:w="73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tblPr>
      <w:tblGrid>
        <w:gridCol w:w="1742"/>
        <w:gridCol w:w="1692"/>
        <w:gridCol w:w="1663"/>
        <w:gridCol w:w="1663"/>
        <w:gridCol w:w="1865"/>
      </w:tblGrid>
      <w:tr w14:paraId="13A95CDC" w14:textId="77777777">
        <w:tblPrEx>
          <w:tblW w:w="0" w:type="auto"/>
          <w:tblInd w:w="73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tblPrEx>
        <w:trPr>
          <w:trHeight w:val="1046"/>
        </w:trPr>
        <w:tc>
          <w:tcPr>
            <w:tcW w:w="1742" w:type="dxa"/>
          </w:tcPr>
          <w:p w:rsidR="00C33392" w14:paraId="116DB6D6" w14:textId="77777777">
            <w:pPr>
              <w:pStyle w:val="TableParagraph"/>
              <w:spacing w:before="124"/>
              <w:ind w:left="112"/>
              <w:rPr>
                <w:b/>
                <w:sz w:val="20"/>
              </w:rPr>
            </w:pPr>
            <w:r>
              <w:rPr>
                <w:b/>
                <w:color w:val="231F20"/>
                <w:spacing w:val="-2"/>
                <w:sz w:val="20"/>
              </w:rPr>
              <w:t>Occupation</w:t>
            </w:r>
          </w:p>
        </w:tc>
        <w:tc>
          <w:tcPr>
            <w:tcW w:w="1692" w:type="dxa"/>
          </w:tcPr>
          <w:p w:rsidR="00C33392" w14:paraId="390BF4C0" w14:textId="77777777">
            <w:pPr>
              <w:pStyle w:val="TableParagraph"/>
              <w:spacing w:before="191"/>
              <w:rPr>
                <w:b/>
                <w:sz w:val="20"/>
              </w:rPr>
            </w:pPr>
          </w:p>
          <w:p w:rsidR="00C33392" w14:paraId="1AB94EC2" w14:textId="74B70250">
            <w:pPr>
              <w:pStyle w:val="TableParagraph"/>
              <w:spacing w:line="259" w:lineRule="auto"/>
              <w:ind w:left="113" w:right="505"/>
              <w:rPr>
                <w:b/>
                <w:sz w:val="20"/>
              </w:rPr>
            </w:pPr>
            <w:r>
              <w:rPr>
                <w:b/>
                <w:color w:val="231F20"/>
                <w:sz w:val="20"/>
              </w:rPr>
              <w:t>202</w:t>
            </w:r>
            <w:r w:rsidR="0012060F">
              <w:rPr>
                <w:b/>
                <w:color w:val="231F20"/>
                <w:sz w:val="20"/>
              </w:rPr>
              <w:t>5</w:t>
            </w:r>
            <w:r>
              <w:rPr>
                <w:b/>
                <w:color w:val="231F20"/>
                <w:spacing w:val="-13"/>
                <w:sz w:val="20"/>
              </w:rPr>
              <w:t xml:space="preserve"> </w:t>
            </w:r>
            <w:r>
              <w:rPr>
                <w:b/>
                <w:color w:val="231F20"/>
                <w:sz w:val="20"/>
              </w:rPr>
              <w:t xml:space="preserve">Hourly </w:t>
            </w:r>
            <w:r>
              <w:rPr>
                <w:b/>
                <w:color w:val="231F20"/>
                <w:spacing w:val="-4"/>
                <w:sz w:val="20"/>
              </w:rPr>
              <w:t>Cost</w:t>
            </w:r>
          </w:p>
        </w:tc>
        <w:tc>
          <w:tcPr>
            <w:tcW w:w="1663" w:type="dxa"/>
          </w:tcPr>
          <w:p w:rsidR="00C33392" w14:paraId="520F1642" w14:textId="77777777">
            <w:pPr>
              <w:pStyle w:val="TableParagraph"/>
              <w:spacing w:before="124"/>
              <w:ind w:left="113"/>
              <w:rPr>
                <w:b/>
                <w:sz w:val="20"/>
              </w:rPr>
            </w:pPr>
            <w:r>
              <w:rPr>
                <w:b/>
                <w:color w:val="231F20"/>
                <w:sz w:val="20"/>
              </w:rPr>
              <w:t>Hours</w:t>
            </w:r>
            <w:r>
              <w:rPr>
                <w:b/>
                <w:color w:val="231F20"/>
                <w:spacing w:val="-4"/>
                <w:sz w:val="20"/>
              </w:rPr>
              <w:t xml:space="preserve"> </w:t>
            </w:r>
            <w:r>
              <w:rPr>
                <w:b/>
                <w:color w:val="231F20"/>
                <w:sz w:val="20"/>
              </w:rPr>
              <w:t>per</w:t>
            </w:r>
            <w:r>
              <w:rPr>
                <w:b/>
                <w:color w:val="231F20"/>
                <w:spacing w:val="-12"/>
                <w:sz w:val="20"/>
              </w:rPr>
              <w:t xml:space="preserve"> </w:t>
            </w:r>
            <w:r>
              <w:rPr>
                <w:b/>
                <w:color w:val="231F20"/>
                <w:spacing w:val="-4"/>
                <w:sz w:val="20"/>
              </w:rPr>
              <w:t>Year</w:t>
            </w:r>
          </w:p>
        </w:tc>
        <w:tc>
          <w:tcPr>
            <w:tcW w:w="1663" w:type="dxa"/>
          </w:tcPr>
          <w:p w:rsidR="00C33392" w14:paraId="27D5BB25" w14:textId="77777777">
            <w:pPr>
              <w:pStyle w:val="TableParagraph"/>
              <w:spacing w:before="191"/>
              <w:rPr>
                <w:b/>
                <w:sz w:val="20"/>
              </w:rPr>
            </w:pPr>
          </w:p>
          <w:p w:rsidR="00C33392" w14:paraId="4D7933C3" w14:textId="77777777">
            <w:pPr>
              <w:pStyle w:val="TableParagraph"/>
              <w:spacing w:line="259" w:lineRule="auto"/>
              <w:ind w:left="113" w:right="483"/>
              <w:rPr>
                <w:b/>
                <w:sz w:val="20"/>
              </w:rPr>
            </w:pPr>
            <w:r>
              <w:rPr>
                <w:b/>
                <w:color w:val="231F20"/>
                <w:spacing w:val="-4"/>
                <w:sz w:val="20"/>
              </w:rPr>
              <w:t>Total</w:t>
            </w:r>
            <w:r>
              <w:rPr>
                <w:b/>
                <w:color w:val="231F20"/>
                <w:spacing w:val="-9"/>
                <w:sz w:val="20"/>
              </w:rPr>
              <w:t xml:space="preserve"> </w:t>
            </w:r>
            <w:r>
              <w:rPr>
                <w:b/>
                <w:color w:val="231F20"/>
                <w:spacing w:val="-4"/>
                <w:sz w:val="20"/>
              </w:rPr>
              <w:t xml:space="preserve">3-Year </w:t>
            </w:r>
            <w:r>
              <w:rPr>
                <w:b/>
                <w:color w:val="231F20"/>
                <w:spacing w:val="-2"/>
                <w:sz w:val="20"/>
              </w:rPr>
              <w:t>Hours</w:t>
            </w:r>
          </w:p>
        </w:tc>
        <w:tc>
          <w:tcPr>
            <w:tcW w:w="1865" w:type="dxa"/>
          </w:tcPr>
          <w:p w:rsidR="00C33392" w14:paraId="3DC397F5" w14:textId="77777777">
            <w:pPr>
              <w:pStyle w:val="TableParagraph"/>
              <w:spacing w:before="124"/>
              <w:ind w:left="113"/>
              <w:rPr>
                <w:b/>
                <w:sz w:val="20"/>
              </w:rPr>
            </w:pPr>
            <w:r>
              <w:rPr>
                <w:b/>
                <w:color w:val="231F20"/>
                <w:spacing w:val="-4"/>
                <w:sz w:val="20"/>
              </w:rPr>
              <w:t>3-Year</w:t>
            </w:r>
            <w:r>
              <w:rPr>
                <w:b/>
                <w:color w:val="231F20"/>
                <w:spacing w:val="-6"/>
                <w:sz w:val="20"/>
              </w:rPr>
              <w:t xml:space="preserve"> </w:t>
            </w:r>
            <w:r>
              <w:rPr>
                <w:b/>
                <w:color w:val="231F20"/>
                <w:spacing w:val="-4"/>
                <w:sz w:val="20"/>
              </w:rPr>
              <w:t>Cost</w:t>
            </w:r>
          </w:p>
        </w:tc>
      </w:tr>
      <w:tr w14:paraId="52516A31" w14:textId="77777777">
        <w:tblPrEx>
          <w:tblW w:w="0" w:type="auto"/>
          <w:tblInd w:w="733" w:type="dxa"/>
          <w:tblLayout w:type="fixed"/>
          <w:tblCellMar>
            <w:left w:w="0" w:type="dxa"/>
            <w:right w:w="0" w:type="dxa"/>
          </w:tblCellMar>
          <w:tblLook w:val="01E0"/>
        </w:tblPrEx>
        <w:trPr>
          <w:trHeight w:val="715"/>
        </w:trPr>
        <w:tc>
          <w:tcPr>
            <w:tcW w:w="1742" w:type="dxa"/>
          </w:tcPr>
          <w:p w:rsidR="00C33392" w14:paraId="635C2901" w14:textId="77777777">
            <w:pPr>
              <w:pStyle w:val="TableParagraph"/>
              <w:spacing w:before="1"/>
              <w:rPr>
                <w:b/>
                <w:sz w:val="20"/>
              </w:rPr>
            </w:pPr>
          </w:p>
          <w:p w:rsidR="00C33392" w14:paraId="619DF755" w14:textId="77777777">
            <w:pPr>
              <w:pStyle w:val="TableParagraph"/>
              <w:spacing w:before="1"/>
              <w:ind w:left="112"/>
              <w:rPr>
                <w:sz w:val="20"/>
              </w:rPr>
            </w:pPr>
            <w:r>
              <w:rPr>
                <w:color w:val="231F20"/>
                <w:sz w:val="20"/>
              </w:rPr>
              <w:t>Social</w:t>
            </w:r>
            <w:r>
              <w:rPr>
                <w:color w:val="231F20"/>
                <w:spacing w:val="-5"/>
                <w:sz w:val="20"/>
              </w:rPr>
              <w:t xml:space="preserve"> </w:t>
            </w:r>
            <w:r>
              <w:rPr>
                <w:color w:val="231F20"/>
                <w:spacing w:val="-2"/>
                <w:sz w:val="20"/>
              </w:rPr>
              <w:t>Scientist</w:t>
            </w:r>
          </w:p>
        </w:tc>
        <w:tc>
          <w:tcPr>
            <w:tcW w:w="1692" w:type="dxa"/>
          </w:tcPr>
          <w:p w:rsidR="00C33392" w14:paraId="04266E45" w14:textId="77777777">
            <w:pPr>
              <w:pStyle w:val="TableParagraph"/>
              <w:spacing w:before="1"/>
              <w:rPr>
                <w:b/>
                <w:sz w:val="20"/>
              </w:rPr>
            </w:pPr>
          </w:p>
          <w:p w:rsidR="00C33392" w14:paraId="5161003E" w14:textId="77777777">
            <w:pPr>
              <w:pStyle w:val="TableParagraph"/>
              <w:spacing w:before="1"/>
              <w:ind w:left="113"/>
              <w:rPr>
                <w:sz w:val="20"/>
              </w:rPr>
            </w:pPr>
            <w:r>
              <w:rPr>
                <w:color w:val="231F20"/>
                <w:spacing w:val="-2"/>
                <w:sz w:val="20"/>
              </w:rPr>
              <w:t>$102.16</w:t>
            </w:r>
          </w:p>
        </w:tc>
        <w:tc>
          <w:tcPr>
            <w:tcW w:w="1663" w:type="dxa"/>
          </w:tcPr>
          <w:p w:rsidR="00C33392" w14:paraId="115326B0" w14:textId="77777777">
            <w:pPr>
              <w:pStyle w:val="TableParagraph"/>
              <w:spacing w:before="1"/>
              <w:rPr>
                <w:b/>
                <w:sz w:val="20"/>
              </w:rPr>
            </w:pPr>
          </w:p>
          <w:p w:rsidR="00C33392" w14:paraId="3DFFF173" w14:textId="77777777">
            <w:pPr>
              <w:pStyle w:val="TableParagraph"/>
              <w:spacing w:before="1"/>
              <w:ind w:left="113"/>
              <w:rPr>
                <w:sz w:val="20"/>
              </w:rPr>
            </w:pPr>
            <w:r>
              <w:rPr>
                <w:color w:val="231F20"/>
                <w:spacing w:val="-2"/>
                <w:sz w:val="20"/>
              </w:rPr>
              <w:t>2,800</w:t>
            </w:r>
          </w:p>
        </w:tc>
        <w:tc>
          <w:tcPr>
            <w:tcW w:w="1663" w:type="dxa"/>
          </w:tcPr>
          <w:p w:rsidR="00C33392" w14:paraId="1EDE9582" w14:textId="77777777">
            <w:pPr>
              <w:pStyle w:val="TableParagraph"/>
              <w:spacing w:before="1"/>
              <w:rPr>
                <w:b/>
                <w:sz w:val="20"/>
              </w:rPr>
            </w:pPr>
          </w:p>
          <w:p w:rsidR="00C33392" w14:paraId="5C1A4FB3" w14:textId="77777777">
            <w:pPr>
              <w:pStyle w:val="TableParagraph"/>
              <w:spacing w:before="1"/>
              <w:ind w:left="113"/>
              <w:rPr>
                <w:sz w:val="20"/>
              </w:rPr>
            </w:pPr>
            <w:r>
              <w:rPr>
                <w:color w:val="231F20"/>
                <w:spacing w:val="-2"/>
                <w:sz w:val="20"/>
              </w:rPr>
              <w:t>8,400</w:t>
            </w:r>
          </w:p>
        </w:tc>
        <w:tc>
          <w:tcPr>
            <w:tcW w:w="1865" w:type="dxa"/>
          </w:tcPr>
          <w:p w:rsidR="00C33392" w14:paraId="78707E0F" w14:textId="77777777">
            <w:pPr>
              <w:pStyle w:val="TableParagraph"/>
              <w:spacing w:before="1"/>
              <w:rPr>
                <w:b/>
                <w:sz w:val="20"/>
              </w:rPr>
            </w:pPr>
          </w:p>
          <w:p w:rsidR="00C33392" w14:paraId="0EA10535" w14:textId="77777777">
            <w:pPr>
              <w:pStyle w:val="TableParagraph"/>
              <w:spacing w:before="1"/>
              <w:ind w:left="113"/>
              <w:rPr>
                <w:sz w:val="20"/>
              </w:rPr>
            </w:pPr>
            <w:r>
              <w:rPr>
                <w:color w:val="231F20"/>
                <w:spacing w:val="-2"/>
                <w:sz w:val="20"/>
              </w:rPr>
              <w:t>$858,144</w:t>
            </w:r>
          </w:p>
        </w:tc>
      </w:tr>
      <w:tr w14:paraId="091ADFB9" w14:textId="77777777">
        <w:tblPrEx>
          <w:tblW w:w="0" w:type="auto"/>
          <w:tblInd w:w="733" w:type="dxa"/>
          <w:tblLayout w:type="fixed"/>
          <w:tblCellMar>
            <w:left w:w="0" w:type="dxa"/>
            <w:right w:w="0" w:type="dxa"/>
          </w:tblCellMar>
          <w:tblLook w:val="01E0"/>
        </w:tblPrEx>
        <w:trPr>
          <w:trHeight w:val="938"/>
        </w:trPr>
        <w:tc>
          <w:tcPr>
            <w:tcW w:w="1742" w:type="dxa"/>
          </w:tcPr>
          <w:p w:rsidR="00C33392" w14:paraId="1863AC86" w14:textId="77777777">
            <w:pPr>
              <w:pStyle w:val="TableParagraph"/>
              <w:spacing w:before="218" w:line="259" w:lineRule="auto"/>
              <w:ind w:left="112" w:right="61"/>
              <w:rPr>
                <w:sz w:val="20"/>
              </w:rPr>
            </w:pPr>
            <w:r>
              <w:rPr>
                <w:color w:val="231F20"/>
                <w:spacing w:val="-2"/>
                <w:sz w:val="20"/>
              </w:rPr>
              <w:t>Information Security</w:t>
            </w:r>
            <w:r>
              <w:rPr>
                <w:color w:val="231F20"/>
                <w:spacing w:val="-12"/>
                <w:sz w:val="20"/>
              </w:rPr>
              <w:t xml:space="preserve"> </w:t>
            </w:r>
            <w:r>
              <w:rPr>
                <w:color w:val="231F20"/>
                <w:spacing w:val="-2"/>
                <w:sz w:val="20"/>
              </w:rPr>
              <w:t>Analyst</w:t>
            </w:r>
          </w:p>
        </w:tc>
        <w:tc>
          <w:tcPr>
            <w:tcW w:w="1692" w:type="dxa"/>
          </w:tcPr>
          <w:p w:rsidR="00C33392" w14:paraId="42DE5889" w14:textId="77777777">
            <w:pPr>
              <w:pStyle w:val="TableParagraph"/>
              <w:spacing w:before="124"/>
              <w:ind w:left="113"/>
              <w:rPr>
                <w:sz w:val="20"/>
              </w:rPr>
            </w:pPr>
            <w:r>
              <w:rPr>
                <w:color w:val="231F20"/>
                <w:spacing w:val="-2"/>
                <w:sz w:val="20"/>
              </w:rPr>
              <w:t>$127.42</w:t>
            </w:r>
          </w:p>
        </w:tc>
        <w:tc>
          <w:tcPr>
            <w:tcW w:w="1663" w:type="dxa"/>
          </w:tcPr>
          <w:p w:rsidR="00C33392" w14:paraId="66F76106" w14:textId="77777777">
            <w:pPr>
              <w:pStyle w:val="TableParagraph"/>
              <w:spacing w:before="124"/>
              <w:ind w:left="113"/>
              <w:rPr>
                <w:sz w:val="20"/>
              </w:rPr>
            </w:pPr>
            <w:r>
              <w:rPr>
                <w:color w:val="231F20"/>
                <w:spacing w:val="-2"/>
                <w:sz w:val="20"/>
              </w:rPr>
              <w:t>1,945</w:t>
            </w:r>
          </w:p>
        </w:tc>
        <w:tc>
          <w:tcPr>
            <w:tcW w:w="1663" w:type="dxa"/>
          </w:tcPr>
          <w:p w:rsidR="00C33392" w14:paraId="3B521A8B" w14:textId="77777777">
            <w:pPr>
              <w:pStyle w:val="TableParagraph"/>
              <w:spacing w:before="124"/>
              <w:ind w:left="113"/>
              <w:rPr>
                <w:sz w:val="20"/>
              </w:rPr>
            </w:pPr>
            <w:r>
              <w:rPr>
                <w:color w:val="231F20"/>
                <w:spacing w:val="-2"/>
                <w:sz w:val="20"/>
              </w:rPr>
              <w:t>5,835</w:t>
            </w:r>
          </w:p>
        </w:tc>
        <w:tc>
          <w:tcPr>
            <w:tcW w:w="1865" w:type="dxa"/>
          </w:tcPr>
          <w:p w:rsidR="00C33392" w14:paraId="57D10788" w14:textId="77777777">
            <w:pPr>
              <w:pStyle w:val="TableParagraph"/>
              <w:spacing w:before="124"/>
              <w:ind w:left="113"/>
              <w:rPr>
                <w:sz w:val="20"/>
              </w:rPr>
            </w:pPr>
            <w:r>
              <w:rPr>
                <w:color w:val="231F20"/>
                <w:spacing w:val="-2"/>
                <w:sz w:val="20"/>
              </w:rPr>
              <w:t>$743,495.70</w:t>
            </w:r>
          </w:p>
        </w:tc>
      </w:tr>
      <w:tr w14:paraId="00245D8D" w14:textId="77777777">
        <w:tblPrEx>
          <w:tblW w:w="0" w:type="auto"/>
          <w:tblInd w:w="733" w:type="dxa"/>
          <w:tblLayout w:type="fixed"/>
          <w:tblCellMar>
            <w:left w:w="0" w:type="dxa"/>
            <w:right w:w="0" w:type="dxa"/>
          </w:tblCellMar>
          <w:tblLook w:val="01E0"/>
        </w:tblPrEx>
        <w:trPr>
          <w:trHeight w:val="713"/>
        </w:trPr>
        <w:tc>
          <w:tcPr>
            <w:tcW w:w="1742" w:type="dxa"/>
          </w:tcPr>
          <w:p w:rsidR="00C33392" w14:paraId="67058496" w14:textId="77777777">
            <w:pPr>
              <w:pStyle w:val="TableParagraph"/>
              <w:rPr>
                <w:b/>
                <w:sz w:val="20"/>
              </w:rPr>
            </w:pPr>
          </w:p>
          <w:p w:rsidR="00C33392" w14:paraId="59BC5A2A" w14:textId="77777777">
            <w:pPr>
              <w:pStyle w:val="TableParagraph"/>
              <w:ind w:left="112"/>
              <w:rPr>
                <w:sz w:val="20"/>
              </w:rPr>
            </w:pPr>
            <w:r>
              <w:rPr>
                <w:color w:val="231F20"/>
                <w:spacing w:val="-2"/>
                <w:sz w:val="20"/>
              </w:rPr>
              <w:t>Executive</w:t>
            </w:r>
          </w:p>
        </w:tc>
        <w:tc>
          <w:tcPr>
            <w:tcW w:w="1692" w:type="dxa"/>
          </w:tcPr>
          <w:p w:rsidR="00C33392" w14:paraId="29DBD7C6" w14:textId="77777777">
            <w:pPr>
              <w:pStyle w:val="TableParagraph"/>
              <w:rPr>
                <w:b/>
                <w:sz w:val="20"/>
              </w:rPr>
            </w:pPr>
          </w:p>
          <w:p w:rsidR="00C33392" w14:paraId="71F18A96" w14:textId="77777777">
            <w:pPr>
              <w:pStyle w:val="TableParagraph"/>
              <w:ind w:left="113"/>
              <w:rPr>
                <w:sz w:val="20"/>
              </w:rPr>
            </w:pPr>
            <w:r>
              <w:rPr>
                <w:color w:val="231F20"/>
                <w:spacing w:val="-2"/>
                <w:sz w:val="20"/>
              </w:rPr>
              <w:t>$259.26</w:t>
            </w:r>
          </w:p>
        </w:tc>
        <w:tc>
          <w:tcPr>
            <w:tcW w:w="1663" w:type="dxa"/>
          </w:tcPr>
          <w:p w:rsidR="00C33392" w14:paraId="5A5E9D84" w14:textId="77777777">
            <w:pPr>
              <w:pStyle w:val="TableParagraph"/>
              <w:rPr>
                <w:b/>
                <w:sz w:val="20"/>
              </w:rPr>
            </w:pPr>
          </w:p>
          <w:p w:rsidR="00C33392" w14:paraId="7ACDC90F" w14:textId="77777777">
            <w:pPr>
              <w:pStyle w:val="TableParagraph"/>
              <w:ind w:left="113"/>
              <w:rPr>
                <w:sz w:val="20"/>
              </w:rPr>
            </w:pPr>
            <w:r>
              <w:rPr>
                <w:color w:val="231F20"/>
                <w:spacing w:val="-5"/>
                <w:sz w:val="20"/>
              </w:rPr>
              <w:t>695</w:t>
            </w:r>
          </w:p>
        </w:tc>
        <w:tc>
          <w:tcPr>
            <w:tcW w:w="1663" w:type="dxa"/>
          </w:tcPr>
          <w:p w:rsidR="00C33392" w14:paraId="43A74B2C" w14:textId="77777777">
            <w:pPr>
              <w:pStyle w:val="TableParagraph"/>
              <w:rPr>
                <w:b/>
                <w:sz w:val="20"/>
              </w:rPr>
            </w:pPr>
          </w:p>
          <w:p w:rsidR="00C33392" w14:paraId="03FBA13E" w14:textId="77777777">
            <w:pPr>
              <w:pStyle w:val="TableParagraph"/>
              <w:ind w:left="113"/>
              <w:rPr>
                <w:sz w:val="20"/>
              </w:rPr>
            </w:pPr>
            <w:r>
              <w:rPr>
                <w:color w:val="231F20"/>
                <w:spacing w:val="-2"/>
                <w:sz w:val="20"/>
              </w:rPr>
              <w:t>2,085</w:t>
            </w:r>
          </w:p>
        </w:tc>
        <w:tc>
          <w:tcPr>
            <w:tcW w:w="1865" w:type="dxa"/>
          </w:tcPr>
          <w:p w:rsidR="00C33392" w14:paraId="67657B39" w14:textId="77777777">
            <w:pPr>
              <w:pStyle w:val="TableParagraph"/>
              <w:rPr>
                <w:b/>
                <w:sz w:val="20"/>
              </w:rPr>
            </w:pPr>
          </w:p>
          <w:p w:rsidR="00C33392" w14:paraId="3B352049" w14:textId="77777777">
            <w:pPr>
              <w:pStyle w:val="TableParagraph"/>
              <w:ind w:left="113"/>
              <w:rPr>
                <w:sz w:val="20"/>
              </w:rPr>
            </w:pPr>
            <w:r>
              <w:rPr>
                <w:color w:val="231F20"/>
                <w:spacing w:val="-2"/>
                <w:sz w:val="20"/>
              </w:rPr>
              <w:t>$540,557.10</w:t>
            </w:r>
          </w:p>
        </w:tc>
      </w:tr>
      <w:tr w14:paraId="784E405B" w14:textId="77777777">
        <w:tblPrEx>
          <w:tblW w:w="0" w:type="auto"/>
          <w:tblInd w:w="733" w:type="dxa"/>
          <w:tblLayout w:type="fixed"/>
          <w:tblCellMar>
            <w:left w:w="0" w:type="dxa"/>
            <w:right w:w="0" w:type="dxa"/>
          </w:tblCellMar>
          <w:tblLook w:val="01E0"/>
        </w:tblPrEx>
        <w:trPr>
          <w:trHeight w:val="716"/>
        </w:trPr>
        <w:tc>
          <w:tcPr>
            <w:tcW w:w="1742" w:type="dxa"/>
          </w:tcPr>
          <w:p w:rsidR="00C33392" w14:paraId="0E259336" w14:textId="77777777">
            <w:pPr>
              <w:pStyle w:val="TableParagraph"/>
              <w:spacing w:before="2"/>
              <w:rPr>
                <w:b/>
                <w:sz w:val="20"/>
              </w:rPr>
            </w:pPr>
          </w:p>
          <w:p w:rsidR="00C33392" w14:paraId="528D3FCE" w14:textId="77777777">
            <w:pPr>
              <w:pStyle w:val="TableParagraph"/>
              <w:ind w:left="112"/>
              <w:rPr>
                <w:sz w:val="20"/>
              </w:rPr>
            </w:pPr>
            <w:r>
              <w:rPr>
                <w:color w:val="231F20"/>
                <w:sz w:val="20"/>
              </w:rPr>
              <w:t>Legal</w:t>
            </w:r>
            <w:r>
              <w:rPr>
                <w:color w:val="231F20"/>
                <w:spacing w:val="-2"/>
                <w:sz w:val="20"/>
              </w:rPr>
              <w:t xml:space="preserve"> Staff</w:t>
            </w:r>
          </w:p>
        </w:tc>
        <w:tc>
          <w:tcPr>
            <w:tcW w:w="1692" w:type="dxa"/>
          </w:tcPr>
          <w:p w:rsidR="00C33392" w14:paraId="0FD5AB18" w14:textId="77777777">
            <w:pPr>
              <w:pStyle w:val="TableParagraph"/>
              <w:spacing w:before="2"/>
              <w:rPr>
                <w:b/>
                <w:sz w:val="20"/>
              </w:rPr>
            </w:pPr>
          </w:p>
          <w:p w:rsidR="00C33392" w14:paraId="13117AEF" w14:textId="77777777">
            <w:pPr>
              <w:pStyle w:val="TableParagraph"/>
              <w:ind w:left="113"/>
              <w:rPr>
                <w:sz w:val="20"/>
              </w:rPr>
            </w:pPr>
            <w:r>
              <w:rPr>
                <w:color w:val="231F20"/>
                <w:spacing w:val="-2"/>
                <w:sz w:val="20"/>
              </w:rPr>
              <w:t>$178.70</w:t>
            </w:r>
          </w:p>
        </w:tc>
        <w:tc>
          <w:tcPr>
            <w:tcW w:w="1663" w:type="dxa"/>
          </w:tcPr>
          <w:p w:rsidR="00C33392" w14:paraId="20A5D3AE" w14:textId="77777777">
            <w:pPr>
              <w:pStyle w:val="TableParagraph"/>
              <w:spacing w:before="2"/>
              <w:rPr>
                <w:b/>
                <w:sz w:val="20"/>
              </w:rPr>
            </w:pPr>
          </w:p>
          <w:p w:rsidR="00C33392" w14:paraId="14B67E2D" w14:textId="77777777">
            <w:pPr>
              <w:pStyle w:val="TableParagraph"/>
              <w:ind w:left="113"/>
              <w:rPr>
                <w:sz w:val="20"/>
              </w:rPr>
            </w:pPr>
            <w:r>
              <w:rPr>
                <w:color w:val="231F20"/>
                <w:spacing w:val="-5"/>
                <w:sz w:val="20"/>
              </w:rPr>
              <w:t>360</w:t>
            </w:r>
          </w:p>
        </w:tc>
        <w:tc>
          <w:tcPr>
            <w:tcW w:w="1663" w:type="dxa"/>
          </w:tcPr>
          <w:p w:rsidR="00C33392" w14:paraId="38132E29" w14:textId="77777777">
            <w:pPr>
              <w:pStyle w:val="TableParagraph"/>
              <w:spacing w:before="2"/>
              <w:rPr>
                <w:b/>
                <w:sz w:val="20"/>
              </w:rPr>
            </w:pPr>
          </w:p>
          <w:p w:rsidR="00C33392" w14:paraId="52DE9C02" w14:textId="77777777">
            <w:pPr>
              <w:pStyle w:val="TableParagraph"/>
              <w:ind w:left="113"/>
              <w:rPr>
                <w:sz w:val="20"/>
              </w:rPr>
            </w:pPr>
            <w:r>
              <w:rPr>
                <w:color w:val="231F20"/>
                <w:spacing w:val="-2"/>
                <w:sz w:val="20"/>
              </w:rPr>
              <w:t>1,080</w:t>
            </w:r>
          </w:p>
        </w:tc>
        <w:tc>
          <w:tcPr>
            <w:tcW w:w="1865" w:type="dxa"/>
          </w:tcPr>
          <w:p w:rsidR="00C33392" w14:paraId="4113CCA6" w14:textId="77777777">
            <w:pPr>
              <w:pStyle w:val="TableParagraph"/>
              <w:spacing w:before="2"/>
              <w:rPr>
                <w:b/>
                <w:sz w:val="20"/>
              </w:rPr>
            </w:pPr>
          </w:p>
          <w:p w:rsidR="00C33392" w14:paraId="2F9EC091" w14:textId="77777777">
            <w:pPr>
              <w:pStyle w:val="TableParagraph"/>
              <w:ind w:left="113"/>
              <w:rPr>
                <w:sz w:val="20"/>
              </w:rPr>
            </w:pPr>
            <w:r>
              <w:rPr>
                <w:color w:val="231F20"/>
                <w:spacing w:val="-2"/>
                <w:sz w:val="20"/>
              </w:rPr>
              <w:t>$192,996</w:t>
            </w:r>
          </w:p>
        </w:tc>
      </w:tr>
      <w:tr w14:paraId="5DD7C728" w14:textId="77777777">
        <w:tblPrEx>
          <w:tblW w:w="0" w:type="auto"/>
          <w:tblInd w:w="733" w:type="dxa"/>
          <w:tblLayout w:type="fixed"/>
          <w:tblCellMar>
            <w:left w:w="0" w:type="dxa"/>
            <w:right w:w="0" w:type="dxa"/>
          </w:tblCellMar>
          <w:tblLook w:val="01E0"/>
        </w:tblPrEx>
        <w:trPr>
          <w:trHeight w:val="947"/>
        </w:trPr>
        <w:tc>
          <w:tcPr>
            <w:tcW w:w="1742" w:type="dxa"/>
          </w:tcPr>
          <w:p w:rsidR="00C33392" w14:paraId="6D07E069" w14:textId="77777777">
            <w:pPr>
              <w:pStyle w:val="TableParagraph"/>
              <w:spacing w:before="223" w:line="259" w:lineRule="auto"/>
              <w:ind w:left="112" w:right="641"/>
              <w:rPr>
                <w:b/>
                <w:sz w:val="20"/>
              </w:rPr>
            </w:pPr>
            <w:r>
              <w:rPr>
                <w:b/>
                <w:color w:val="231F20"/>
                <w:sz w:val="20"/>
              </w:rPr>
              <w:t>Total</w:t>
            </w:r>
            <w:r>
              <w:rPr>
                <w:b/>
                <w:color w:val="231F20"/>
                <w:spacing w:val="-13"/>
                <w:sz w:val="20"/>
              </w:rPr>
              <w:t xml:space="preserve"> </w:t>
            </w:r>
            <w:r>
              <w:rPr>
                <w:b/>
                <w:color w:val="231F20"/>
                <w:sz w:val="20"/>
              </w:rPr>
              <w:t>to</w:t>
            </w:r>
            <w:r>
              <w:rPr>
                <w:b/>
                <w:color w:val="231F20"/>
                <w:spacing w:val="-12"/>
                <w:sz w:val="20"/>
              </w:rPr>
              <w:t xml:space="preserve"> </w:t>
            </w:r>
            <w:r>
              <w:rPr>
                <w:b/>
                <w:color w:val="231F20"/>
                <w:sz w:val="20"/>
              </w:rPr>
              <w:t xml:space="preserve">the </w:t>
            </w:r>
            <w:r>
              <w:rPr>
                <w:b/>
                <w:color w:val="231F20"/>
                <w:spacing w:val="-2"/>
                <w:sz w:val="20"/>
              </w:rPr>
              <w:t>Public</w:t>
            </w:r>
          </w:p>
        </w:tc>
        <w:tc>
          <w:tcPr>
            <w:tcW w:w="1692" w:type="dxa"/>
          </w:tcPr>
          <w:p w:rsidR="00C33392" w14:paraId="62391800" w14:textId="77777777">
            <w:pPr>
              <w:pStyle w:val="TableParagraph"/>
              <w:spacing w:before="125"/>
              <w:ind w:left="113"/>
              <w:rPr>
                <w:b/>
                <w:sz w:val="20"/>
              </w:rPr>
            </w:pPr>
            <w:r>
              <w:rPr>
                <w:b/>
                <w:color w:val="231F20"/>
                <w:spacing w:val="-5"/>
                <w:sz w:val="20"/>
              </w:rPr>
              <w:t>NA</w:t>
            </w:r>
          </w:p>
        </w:tc>
        <w:tc>
          <w:tcPr>
            <w:tcW w:w="1663" w:type="dxa"/>
          </w:tcPr>
          <w:p w:rsidR="00C33392" w14:paraId="435A9B94" w14:textId="77777777">
            <w:pPr>
              <w:pStyle w:val="TableParagraph"/>
              <w:spacing w:before="125"/>
              <w:ind w:left="113"/>
              <w:rPr>
                <w:b/>
                <w:sz w:val="20"/>
              </w:rPr>
            </w:pPr>
            <w:r>
              <w:rPr>
                <w:b/>
                <w:color w:val="231F20"/>
                <w:spacing w:val="-2"/>
                <w:sz w:val="20"/>
              </w:rPr>
              <w:t>5,800</w:t>
            </w:r>
          </w:p>
        </w:tc>
        <w:tc>
          <w:tcPr>
            <w:tcW w:w="1663" w:type="dxa"/>
          </w:tcPr>
          <w:p w:rsidR="00C33392" w14:paraId="060F65F8" w14:textId="77777777">
            <w:pPr>
              <w:pStyle w:val="TableParagraph"/>
              <w:spacing w:before="125"/>
              <w:ind w:left="113"/>
              <w:rPr>
                <w:b/>
                <w:sz w:val="20"/>
              </w:rPr>
            </w:pPr>
            <w:r>
              <w:rPr>
                <w:b/>
                <w:color w:val="231F20"/>
                <w:spacing w:val="-2"/>
                <w:sz w:val="20"/>
              </w:rPr>
              <w:t>17,400</w:t>
            </w:r>
          </w:p>
        </w:tc>
        <w:tc>
          <w:tcPr>
            <w:tcW w:w="1865" w:type="dxa"/>
          </w:tcPr>
          <w:p w:rsidR="00C33392" w14:paraId="17C78F79" w14:textId="77777777">
            <w:pPr>
              <w:pStyle w:val="TableParagraph"/>
              <w:spacing w:before="125"/>
              <w:ind w:left="113"/>
              <w:rPr>
                <w:b/>
                <w:sz w:val="20"/>
              </w:rPr>
            </w:pPr>
            <w:r>
              <w:rPr>
                <w:b/>
                <w:color w:val="231F20"/>
                <w:spacing w:val="-2"/>
                <w:sz w:val="20"/>
              </w:rPr>
              <w:t>$2,335,192.80</w:t>
            </w:r>
          </w:p>
        </w:tc>
      </w:tr>
    </w:tbl>
    <w:p w:rsidR="00C33392" w14:paraId="3A003E32" w14:textId="77777777">
      <w:pPr>
        <w:pStyle w:val="BodyText"/>
        <w:spacing w:before="136"/>
        <w:rPr>
          <w:b/>
          <w:sz w:val="20"/>
        </w:rPr>
      </w:pPr>
    </w:p>
    <w:p w:rsidR="00C33392" w14:paraId="365ED6E3" w14:textId="77777777">
      <w:pPr>
        <w:pStyle w:val="ListParagraph"/>
        <w:numPr>
          <w:ilvl w:val="1"/>
          <w:numId w:val="1"/>
        </w:numPr>
        <w:tabs>
          <w:tab w:val="left" w:pos="1024"/>
        </w:tabs>
        <w:ind w:left="1024" w:hanging="335"/>
        <w:rPr>
          <w:u w:val="none"/>
        </w:rPr>
      </w:pPr>
      <w:r>
        <w:rPr>
          <w:color w:val="231F20"/>
          <w:u w:color="231F20"/>
        </w:rPr>
        <w:t>Capital</w:t>
      </w:r>
      <w:r>
        <w:rPr>
          <w:color w:val="231F20"/>
          <w:spacing w:val="-7"/>
          <w:u w:color="231F20"/>
        </w:rPr>
        <w:t xml:space="preserve"> </w:t>
      </w:r>
      <w:r>
        <w:rPr>
          <w:color w:val="231F20"/>
          <w:spacing w:val="-2"/>
          <w:u w:color="231F20"/>
        </w:rPr>
        <w:t>Costs</w:t>
      </w:r>
    </w:p>
    <w:p w:rsidR="00C33392" w14:paraId="6F668A52" w14:textId="77777777">
      <w:pPr>
        <w:pStyle w:val="BodyText"/>
        <w:spacing w:before="117" w:line="252" w:lineRule="auto"/>
        <w:ind w:left="710" w:right="21" w:hanging="10"/>
      </w:pPr>
      <w:r>
        <w:rPr>
          <w:color w:val="231F20"/>
        </w:rPr>
        <w:t>There</w:t>
      </w:r>
      <w:r>
        <w:rPr>
          <w:color w:val="231F20"/>
          <w:spacing w:val="-4"/>
        </w:rPr>
        <w:t xml:space="preserve"> </w:t>
      </w:r>
      <w:r>
        <w:rPr>
          <w:color w:val="231F20"/>
        </w:rPr>
        <w:t>are</w:t>
      </w:r>
      <w:r>
        <w:rPr>
          <w:color w:val="231F20"/>
          <w:spacing w:val="-4"/>
        </w:rPr>
        <w:t xml:space="preserve"> </w:t>
      </w:r>
      <w:r>
        <w:rPr>
          <w:color w:val="231F20"/>
        </w:rPr>
        <w:t>no</w:t>
      </w:r>
      <w:r>
        <w:rPr>
          <w:color w:val="231F20"/>
          <w:spacing w:val="-4"/>
        </w:rPr>
        <w:t xml:space="preserve"> </w:t>
      </w:r>
      <w:r>
        <w:rPr>
          <w:color w:val="231F20"/>
        </w:rPr>
        <w:t>capital</w:t>
      </w:r>
      <w:r>
        <w:rPr>
          <w:color w:val="231F20"/>
          <w:spacing w:val="-4"/>
        </w:rPr>
        <w:t xml:space="preserve"> </w:t>
      </w:r>
      <w:r>
        <w:rPr>
          <w:color w:val="231F20"/>
        </w:rPr>
        <w:t>costs</w:t>
      </w:r>
      <w:r>
        <w:rPr>
          <w:color w:val="231F20"/>
          <w:spacing w:val="-3"/>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preparing</w:t>
      </w:r>
      <w:r>
        <w:rPr>
          <w:color w:val="231F20"/>
          <w:spacing w:val="-4"/>
        </w:rPr>
        <w:t xml:space="preserve"> </w:t>
      </w:r>
      <w:r>
        <w:rPr>
          <w:color w:val="231F20"/>
        </w:rPr>
        <w:t>the</w:t>
      </w:r>
      <w:r>
        <w:rPr>
          <w:color w:val="231F20"/>
          <w:spacing w:val="-14"/>
        </w:rPr>
        <w:t xml:space="preserve"> </w:t>
      </w:r>
      <w:r>
        <w:rPr>
          <w:color w:val="231F20"/>
        </w:rPr>
        <w:t>Application,</w:t>
      </w:r>
      <w:r>
        <w:rPr>
          <w:color w:val="231F20"/>
          <w:spacing w:val="-3"/>
        </w:rPr>
        <w:t xml:space="preserve"> </w:t>
      </w:r>
      <w:r>
        <w:rPr>
          <w:color w:val="231F20"/>
        </w:rPr>
        <w:t>Reapplication,</w:t>
      </w:r>
      <w:r>
        <w:rPr>
          <w:color w:val="231F20"/>
          <w:spacing w:val="-4"/>
        </w:rPr>
        <w:t xml:space="preserve"> </w:t>
      </w:r>
      <w:r>
        <w:rPr>
          <w:color w:val="231F20"/>
        </w:rPr>
        <w:t>DUA,</w:t>
      </w:r>
      <w:r>
        <w:rPr>
          <w:color w:val="231F20"/>
          <w:spacing w:val="-4"/>
        </w:rPr>
        <w:t xml:space="preserve"> </w:t>
      </w:r>
      <w:r>
        <w:rPr>
          <w:color w:val="231F20"/>
        </w:rPr>
        <w:t xml:space="preserve">and </w:t>
      </w:r>
      <w:r>
        <w:rPr>
          <w:color w:val="231F20"/>
          <w:spacing w:val="-4"/>
        </w:rPr>
        <w:t>ARW.</w:t>
      </w:r>
    </w:p>
    <w:p w:rsidR="00C33392" w14:paraId="4BD54D0C" w14:textId="77777777">
      <w:pPr>
        <w:pStyle w:val="BodyText"/>
        <w:spacing w:before="219"/>
      </w:pPr>
    </w:p>
    <w:p w:rsidR="00C33392" w14:paraId="50F99682" w14:textId="77777777">
      <w:pPr>
        <w:pStyle w:val="ListParagraph"/>
        <w:numPr>
          <w:ilvl w:val="1"/>
          <w:numId w:val="1"/>
        </w:numPr>
        <w:tabs>
          <w:tab w:val="left" w:pos="1024"/>
        </w:tabs>
        <w:ind w:left="1024" w:hanging="335"/>
        <w:rPr>
          <w:u w:val="none"/>
        </w:rPr>
      </w:pPr>
      <w:r>
        <w:rPr>
          <w:color w:val="231F20"/>
          <w:u w:color="231F20"/>
        </w:rPr>
        <w:t>Cost</w:t>
      </w:r>
      <w:r>
        <w:rPr>
          <w:color w:val="231F20"/>
          <w:spacing w:val="-5"/>
          <w:u w:color="231F20"/>
        </w:rPr>
        <w:t xml:space="preserve"> </w:t>
      </w:r>
      <w:r>
        <w:rPr>
          <w:color w:val="231F20"/>
          <w:u w:color="231F20"/>
        </w:rPr>
        <w:t>to</w:t>
      </w:r>
      <w:r>
        <w:rPr>
          <w:color w:val="231F20"/>
          <w:spacing w:val="-5"/>
          <w:u w:color="231F20"/>
        </w:rPr>
        <w:t xml:space="preserve"> </w:t>
      </w:r>
      <w:r>
        <w:rPr>
          <w:color w:val="231F20"/>
          <w:u w:color="231F20"/>
        </w:rPr>
        <w:t>Federal</w:t>
      </w:r>
      <w:r>
        <w:rPr>
          <w:color w:val="231F20"/>
          <w:spacing w:val="-5"/>
          <w:u w:color="231F20"/>
        </w:rPr>
        <w:t xml:space="preserve"> </w:t>
      </w:r>
      <w:r>
        <w:rPr>
          <w:color w:val="231F20"/>
          <w:spacing w:val="-2"/>
          <w:u w:color="231F20"/>
        </w:rPr>
        <w:t>Government</w:t>
      </w:r>
    </w:p>
    <w:p w:rsidR="00C33392" w14:paraId="120FC834" w14:textId="77777777">
      <w:pPr>
        <w:pStyle w:val="BodyText"/>
        <w:spacing w:before="118" w:line="252" w:lineRule="auto"/>
        <w:ind w:left="710" w:right="21" w:hanging="10"/>
      </w:pPr>
      <w:r>
        <w:rPr>
          <w:color w:val="231F20"/>
        </w:rPr>
        <w:t>Annual cost to the government for this data collection is estimated at $466,776. This estimate is calculated</w:t>
      </w:r>
      <w:r>
        <w:rPr>
          <w:color w:val="231F20"/>
          <w:spacing w:val="-2"/>
        </w:rPr>
        <w:t xml:space="preserve"> </w:t>
      </w:r>
      <w:r>
        <w:rPr>
          <w:color w:val="231F20"/>
        </w:rPr>
        <w:t>by</w:t>
      </w:r>
      <w:r>
        <w:rPr>
          <w:color w:val="231F20"/>
          <w:spacing w:val="-2"/>
        </w:rPr>
        <w:t xml:space="preserve"> </w:t>
      </w:r>
      <w:r>
        <w:rPr>
          <w:color w:val="231F20"/>
        </w:rPr>
        <w:t>summing</w:t>
      </w:r>
      <w:r>
        <w:rPr>
          <w:color w:val="231F20"/>
          <w:spacing w:val="-2"/>
        </w:rPr>
        <w:t xml:space="preserve"> </w:t>
      </w:r>
      <w:r>
        <w:rPr>
          <w:color w:val="231F20"/>
        </w:rPr>
        <w:t>the</w:t>
      </w:r>
      <w:r>
        <w:rPr>
          <w:color w:val="231F20"/>
          <w:spacing w:val="-2"/>
        </w:rPr>
        <w:t xml:space="preserve"> </w:t>
      </w:r>
      <w:r>
        <w:rPr>
          <w:color w:val="231F20"/>
        </w:rPr>
        <w:t>cost</w:t>
      </w:r>
      <w:r>
        <w:rPr>
          <w:color w:val="231F20"/>
          <w:spacing w:val="-2"/>
        </w:rPr>
        <w:t xml:space="preserve"> </w:t>
      </w:r>
      <w:r>
        <w:rPr>
          <w:color w:val="231F20"/>
        </w:rPr>
        <w:t>of</w:t>
      </w:r>
      <w:r>
        <w:rPr>
          <w:color w:val="231F20"/>
          <w:spacing w:val="-2"/>
        </w:rPr>
        <w:t xml:space="preserve"> </w:t>
      </w:r>
      <w:r>
        <w:rPr>
          <w:color w:val="231F20"/>
        </w:rPr>
        <w:t>one</w:t>
      </w:r>
      <w:r>
        <w:rPr>
          <w:color w:val="231F20"/>
          <w:spacing w:val="-2"/>
        </w:rPr>
        <w:t xml:space="preserve"> </w:t>
      </w:r>
      <w:r>
        <w:rPr>
          <w:color w:val="231F20"/>
        </w:rPr>
        <w:t>GS-13</w:t>
      </w:r>
      <w:r>
        <w:rPr>
          <w:color w:val="231F20"/>
          <w:spacing w:val="-2"/>
        </w:rPr>
        <w:t xml:space="preserve"> </w:t>
      </w:r>
      <w:r>
        <w:rPr>
          <w:color w:val="231F20"/>
        </w:rPr>
        <w:t>(Step</w:t>
      </w:r>
      <w:r>
        <w:rPr>
          <w:color w:val="231F20"/>
          <w:spacing w:val="-4"/>
        </w:rPr>
        <w:t xml:space="preserve"> </w:t>
      </w:r>
      <w:r>
        <w:rPr>
          <w:color w:val="231F20"/>
        </w:rPr>
        <w:t>5)</w:t>
      </w:r>
      <w:r>
        <w:rPr>
          <w:color w:val="231F20"/>
          <w:spacing w:val="-3"/>
        </w:rPr>
        <w:t xml:space="preserve"> </w:t>
      </w:r>
      <w:r>
        <w:rPr>
          <w:color w:val="231F20"/>
        </w:rPr>
        <w:t>with</w:t>
      </w:r>
      <w:r>
        <w:rPr>
          <w:color w:val="231F20"/>
          <w:spacing w:val="-2"/>
        </w:rPr>
        <w:t xml:space="preserve"> </w:t>
      </w:r>
      <w:r>
        <w:rPr>
          <w:color w:val="231F20"/>
        </w:rPr>
        <w:t>a</w:t>
      </w:r>
      <w:r>
        <w:rPr>
          <w:color w:val="231F20"/>
          <w:spacing w:val="-2"/>
        </w:rPr>
        <w:t xml:space="preserve"> </w:t>
      </w:r>
      <w:r>
        <w:rPr>
          <w:color w:val="231F20"/>
        </w:rPr>
        <w:t>fully</w:t>
      </w:r>
      <w:r>
        <w:rPr>
          <w:color w:val="231F20"/>
          <w:spacing w:val="-2"/>
        </w:rPr>
        <w:t xml:space="preserve"> </w:t>
      </w:r>
      <w:r>
        <w:rPr>
          <w:color w:val="231F20"/>
        </w:rPr>
        <w:t>loaded</w:t>
      </w:r>
      <w:r>
        <w:rPr>
          <w:color w:val="231F20"/>
          <w:spacing w:val="-2"/>
        </w:rPr>
        <w:t xml:space="preserve"> </w:t>
      </w:r>
      <w:r>
        <w:rPr>
          <w:color w:val="231F20"/>
        </w:rPr>
        <w:t>salary</w:t>
      </w:r>
      <w:r>
        <w:rPr>
          <w:color w:val="231F20"/>
          <w:spacing w:val="-2"/>
        </w:rPr>
        <w:t xml:space="preserve"> </w:t>
      </w:r>
      <w:r>
        <w:rPr>
          <w:color w:val="231F20"/>
        </w:rPr>
        <w:t>of</w:t>
      </w:r>
      <w:r>
        <w:rPr>
          <w:color w:val="231F20"/>
          <w:spacing w:val="-2"/>
        </w:rPr>
        <w:t xml:space="preserve"> </w:t>
      </w:r>
      <w:r>
        <w:rPr>
          <w:color w:val="231F20"/>
        </w:rPr>
        <w:t>$285,000</w:t>
      </w:r>
      <w:r>
        <w:rPr>
          <w:color w:val="231F20"/>
          <w:spacing w:val="-2"/>
        </w:rPr>
        <w:t xml:space="preserve"> </w:t>
      </w:r>
      <w:r>
        <w:rPr>
          <w:color w:val="231F20"/>
        </w:rPr>
        <w:t>and the QECP contract’s cost for tasks related to data collection of $181,776.</w:t>
      </w:r>
    </w:p>
    <w:p w:rsidR="00C33392" w14:paraId="0280379B" w14:textId="77777777">
      <w:pPr>
        <w:pStyle w:val="BodyText"/>
        <w:spacing w:before="213"/>
      </w:pPr>
    </w:p>
    <w:p w:rsidR="00C33392" w14:paraId="0BE1D814" w14:textId="77777777">
      <w:pPr>
        <w:pStyle w:val="ListParagraph"/>
        <w:numPr>
          <w:ilvl w:val="1"/>
          <w:numId w:val="1"/>
        </w:numPr>
        <w:tabs>
          <w:tab w:val="left" w:pos="1024"/>
        </w:tabs>
        <w:ind w:left="1024" w:hanging="335"/>
        <w:rPr>
          <w:u w:val="none"/>
        </w:rPr>
      </w:pPr>
      <w:r>
        <w:rPr>
          <w:color w:val="231F20"/>
          <w:u w:color="231F20"/>
        </w:rPr>
        <w:t>Changes</w:t>
      </w:r>
      <w:r>
        <w:rPr>
          <w:color w:val="231F20"/>
          <w:spacing w:val="-5"/>
          <w:u w:color="231F20"/>
        </w:rPr>
        <w:t xml:space="preserve"> </w:t>
      </w:r>
      <w:r>
        <w:rPr>
          <w:color w:val="231F20"/>
          <w:u w:color="231F20"/>
        </w:rPr>
        <w:t>to</w:t>
      </w:r>
      <w:r>
        <w:rPr>
          <w:color w:val="231F20"/>
          <w:spacing w:val="-5"/>
          <w:u w:color="231F20"/>
        </w:rPr>
        <w:t xml:space="preserve"> </w:t>
      </w:r>
      <w:r>
        <w:rPr>
          <w:color w:val="231F20"/>
          <w:spacing w:val="-2"/>
          <w:u w:color="231F20"/>
        </w:rPr>
        <w:t>Burden</w:t>
      </w:r>
    </w:p>
    <w:p w:rsidR="00C33392" w14:paraId="722B3588" w14:textId="77777777">
      <w:pPr>
        <w:pStyle w:val="BodyText"/>
        <w:spacing w:before="117" w:line="252" w:lineRule="auto"/>
        <w:ind w:left="710" w:hanging="10"/>
      </w:pPr>
      <w:r>
        <w:rPr>
          <w:color w:val="231F20"/>
        </w:rPr>
        <w:t>There was an increase in burden for the cost to the public and to the federal government. These increases</w:t>
      </w:r>
      <w:r>
        <w:rPr>
          <w:color w:val="231F20"/>
          <w:spacing w:val="-3"/>
        </w:rPr>
        <w:t xml:space="preserve"> </w:t>
      </w:r>
      <w:r>
        <w:rPr>
          <w:color w:val="231F20"/>
        </w:rPr>
        <w:t>are</w:t>
      </w:r>
      <w:r>
        <w:rPr>
          <w:color w:val="231F20"/>
          <w:spacing w:val="-2"/>
        </w:rPr>
        <w:t xml:space="preserve"> </w:t>
      </w:r>
      <w:r>
        <w:rPr>
          <w:color w:val="231F20"/>
        </w:rPr>
        <w:t>due</w:t>
      </w:r>
      <w:r>
        <w:rPr>
          <w:color w:val="231F20"/>
          <w:spacing w:val="-3"/>
        </w:rPr>
        <w:t xml:space="preserve"> </w:t>
      </w:r>
      <w:r>
        <w:rPr>
          <w:color w:val="231F20"/>
        </w:rPr>
        <w:t>to</w:t>
      </w:r>
      <w:r>
        <w:rPr>
          <w:color w:val="231F20"/>
          <w:spacing w:val="-3"/>
        </w:rPr>
        <w:t xml:space="preserve"> </w:t>
      </w:r>
      <w:r>
        <w:rPr>
          <w:color w:val="231F20"/>
        </w:rPr>
        <w:t>increases</w:t>
      </w:r>
      <w:r>
        <w:rPr>
          <w:color w:val="231F20"/>
          <w:spacing w:val="-3"/>
        </w:rPr>
        <w:t xml:space="preserve"> </w:t>
      </w:r>
      <w:r>
        <w:rPr>
          <w:color w:val="231F20"/>
        </w:rPr>
        <w:t>in</w:t>
      </w:r>
      <w:r>
        <w:rPr>
          <w:color w:val="231F20"/>
          <w:spacing w:val="-3"/>
        </w:rPr>
        <w:t xml:space="preserve"> </w:t>
      </w:r>
      <w:r>
        <w:rPr>
          <w:color w:val="231F20"/>
        </w:rPr>
        <w:t>labor</w:t>
      </w:r>
      <w:r>
        <w:rPr>
          <w:color w:val="231F20"/>
          <w:spacing w:val="-3"/>
        </w:rPr>
        <w:t xml:space="preserve"> </w:t>
      </w:r>
      <w:r>
        <w:rPr>
          <w:color w:val="231F20"/>
        </w:rPr>
        <w:t>rates.</w:t>
      </w:r>
      <w:r>
        <w:rPr>
          <w:color w:val="231F20"/>
          <w:spacing w:val="-7"/>
        </w:rPr>
        <w:t xml:space="preserve"> </w:t>
      </w:r>
      <w:r>
        <w:rPr>
          <w:color w:val="231F20"/>
        </w:rPr>
        <w:t>The</w:t>
      </w:r>
      <w:r>
        <w:rPr>
          <w:color w:val="231F20"/>
          <w:spacing w:val="-3"/>
        </w:rPr>
        <w:t xml:space="preserve"> </w:t>
      </w:r>
      <w:r>
        <w:rPr>
          <w:color w:val="231F20"/>
        </w:rPr>
        <w:t>cost</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public</w:t>
      </w:r>
      <w:r>
        <w:rPr>
          <w:color w:val="231F20"/>
          <w:spacing w:val="-3"/>
        </w:rPr>
        <w:t xml:space="preserve"> </w:t>
      </w:r>
      <w:r>
        <w:rPr>
          <w:color w:val="231F20"/>
        </w:rPr>
        <w:t>increased</w:t>
      </w:r>
      <w:r>
        <w:rPr>
          <w:color w:val="231F20"/>
          <w:spacing w:val="-3"/>
        </w:rPr>
        <w:t xml:space="preserve"> </w:t>
      </w:r>
      <w:r>
        <w:rPr>
          <w:color w:val="231F20"/>
        </w:rPr>
        <w:t>by</w:t>
      </w:r>
      <w:r>
        <w:rPr>
          <w:color w:val="231F20"/>
          <w:spacing w:val="-3"/>
        </w:rPr>
        <w:t xml:space="preserve"> </w:t>
      </w:r>
      <w:r>
        <w:rPr>
          <w:color w:val="231F20"/>
        </w:rPr>
        <w:t>233,102.8</w:t>
      </w:r>
      <w:r>
        <w:rPr>
          <w:color w:val="231F20"/>
          <w:spacing w:val="-3"/>
        </w:rPr>
        <w:t xml:space="preserve"> </w:t>
      </w:r>
      <w:r>
        <w:rPr>
          <w:color w:val="231F20"/>
        </w:rPr>
        <w:t>and</w:t>
      </w:r>
      <w:r>
        <w:rPr>
          <w:color w:val="231F20"/>
          <w:spacing w:val="-4"/>
        </w:rPr>
        <w:t xml:space="preserve"> </w:t>
      </w:r>
      <w:r>
        <w:rPr>
          <w:color w:val="231F20"/>
        </w:rPr>
        <w:t>the</w:t>
      </w:r>
    </w:p>
    <w:p w:rsidR="00C33392" w14:paraId="7EB19110" w14:textId="77777777">
      <w:pPr>
        <w:pStyle w:val="BodyText"/>
        <w:spacing w:line="252" w:lineRule="auto"/>
        <w:sectPr>
          <w:type w:val="continuous"/>
          <w:pgSz w:w="12240" w:h="15840"/>
          <w:pgMar w:top="1520" w:right="1440" w:bottom="780" w:left="1440" w:header="0" w:footer="583" w:gutter="0"/>
          <w:cols w:space="720"/>
        </w:sectPr>
      </w:pPr>
    </w:p>
    <w:p w:rsidR="00C33392" w14:paraId="7D170EAA" w14:textId="77777777">
      <w:pPr>
        <w:pStyle w:val="BodyText"/>
        <w:spacing w:before="60" w:line="252" w:lineRule="auto"/>
        <w:ind w:left="710" w:right="70"/>
      </w:pPr>
      <w:r>
        <w:rPr>
          <w:color w:val="231F20"/>
        </w:rPr>
        <w:t>cost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federal</w:t>
      </w:r>
      <w:r>
        <w:rPr>
          <w:color w:val="231F20"/>
          <w:spacing w:val="-1"/>
        </w:rPr>
        <w:t xml:space="preserve"> </w:t>
      </w:r>
      <w:r>
        <w:rPr>
          <w:color w:val="231F20"/>
        </w:rPr>
        <w:t>government</w:t>
      </w:r>
      <w:r>
        <w:rPr>
          <w:color w:val="231F20"/>
          <w:spacing w:val="-1"/>
        </w:rPr>
        <w:t xml:space="preserve"> </w:t>
      </w:r>
      <w:r>
        <w:rPr>
          <w:color w:val="231F20"/>
        </w:rPr>
        <w:t>increased</w:t>
      </w:r>
      <w:r>
        <w:rPr>
          <w:color w:val="231F20"/>
          <w:spacing w:val="-1"/>
        </w:rPr>
        <w:t xml:space="preserve"> </w:t>
      </w:r>
      <w:r>
        <w:rPr>
          <w:color w:val="231F20"/>
        </w:rPr>
        <w:t>by</w:t>
      </w:r>
      <w:r>
        <w:rPr>
          <w:color w:val="231F20"/>
          <w:spacing w:val="-2"/>
        </w:rPr>
        <w:t xml:space="preserve"> </w:t>
      </w:r>
      <w:r>
        <w:rPr>
          <w:color w:val="231F20"/>
        </w:rPr>
        <w:t>99,000.</w:t>
      </w:r>
      <w:r>
        <w:rPr>
          <w:color w:val="231F20"/>
          <w:spacing w:val="-7"/>
        </w:rPr>
        <w:t xml:space="preserve"> </w:t>
      </w:r>
      <w:r>
        <w:rPr>
          <w:color w:val="231F20"/>
        </w:rPr>
        <w:t>The</w:t>
      </w:r>
      <w:r>
        <w:rPr>
          <w:color w:val="231F20"/>
          <w:spacing w:val="-1"/>
        </w:rPr>
        <w:t xml:space="preserve"> </w:t>
      </w:r>
      <w:r>
        <w:rPr>
          <w:color w:val="231F20"/>
        </w:rPr>
        <w:t>total</w:t>
      </w:r>
      <w:r>
        <w:rPr>
          <w:color w:val="231F20"/>
          <w:spacing w:val="-1"/>
        </w:rPr>
        <w:t xml:space="preserve"> </w:t>
      </w:r>
      <w:r>
        <w:rPr>
          <w:color w:val="231F20"/>
        </w:rPr>
        <w:t>increase</w:t>
      </w:r>
      <w:r>
        <w:rPr>
          <w:color w:val="231F20"/>
          <w:spacing w:val="-1"/>
        </w:rPr>
        <w:t xml:space="preserve"> </w:t>
      </w:r>
      <w:r>
        <w:rPr>
          <w:color w:val="231F20"/>
        </w:rPr>
        <w:t>in</w:t>
      </w:r>
      <w:r>
        <w:rPr>
          <w:color w:val="231F20"/>
          <w:spacing w:val="-1"/>
        </w:rPr>
        <w:t xml:space="preserve"> </w:t>
      </w:r>
      <w:r>
        <w:rPr>
          <w:color w:val="231F20"/>
        </w:rPr>
        <w:t>burden</w:t>
      </w:r>
      <w:r>
        <w:rPr>
          <w:color w:val="231F20"/>
          <w:spacing w:val="-1"/>
        </w:rPr>
        <w:t xml:space="preserve"> </w:t>
      </w:r>
      <w:r>
        <w:rPr>
          <w:color w:val="231F20"/>
        </w:rPr>
        <w:t>was</w:t>
      </w:r>
      <w:r>
        <w:rPr>
          <w:color w:val="231F20"/>
          <w:spacing w:val="-1"/>
        </w:rPr>
        <w:t xml:space="preserve"> </w:t>
      </w:r>
      <w:r>
        <w:rPr>
          <w:color w:val="231F20"/>
        </w:rPr>
        <w:t>332,102.8. CMS does not anticipate that there will be a change in the burden due to the minor revisions to the</w:t>
      </w:r>
      <w:r>
        <w:rPr>
          <w:color w:val="231F20"/>
          <w:spacing w:val="-3"/>
        </w:rPr>
        <w:t xml:space="preserve"> </w:t>
      </w:r>
      <w:r>
        <w:rPr>
          <w:color w:val="231F20"/>
        </w:rPr>
        <w:t>instruments.</w:t>
      </w:r>
      <w:r>
        <w:rPr>
          <w:color w:val="231F20"/>
          <w:spacing w:val="-3"/>
        </w:rPr>
        <w:t xml:space="preserve"> </w:t>
      </w:r>
      <w:r>
        <w:rPr>
          <w:color w:val="231F20"/>
        </w:rPr>
        <w:t>CMS</w:t>
      </w:r>
      <w:r>
        <w:rPr>
          <w:color w:val="231F20"/>
          <w:spacing w:val="-3"/>
        </w:rPr>
        <w:t xml:space="preserve"> </w:t>
      </w:r>
      <w:r>
        <w:rPr>
          <w:color w:val="231F20"/>
        </w:rPr>
        <w:t>made</w:t>
      </w:r>
      <w:r>
        <w:rPr>
          <w:color w:val="231F20"/>
          <w:spacing w:val="-4"/>
        </w:rPr>
        <w:t xml:space="preserve"> </w:t>
      </w:r>
      <w:r>
        <w:rPr>
          <w:color w:val="231F20"/>
        </w:rPr>
        <w:t>minor</w:t>
      </w:r>
      <w:r>
        <w:rPr>
          <w:color w:val="231F20"/>
          <w:spacing w:val="-3"/>
        </w:rPr>
        <w:t xml:space="preserve"> </w:t>
      </w:r>
      <w:r>
        <w:rPr>
          <w:color w:val="231F20"/>
        </w:rPr>
        <w:t>revisions</w:t>
      </w:r>
      <w:r>
        <w:rPr>
          <w:color w:val="231F20"/>
          <w:spacing w:val="-3"/>
        </w:rPr>
        <w:t xml:space="preserve"> </w:t>
      </w:r>
      <w:r>
        <w:rPr>
          <w:color w:val="231F20"/>
        </w:rPr>
        <w:t>to</w:t>
      </w:r>
      <w:r>
        <w:rPr>
          <w:color w:val="231F20"/>
          <w:spacing w:val="-3"/>
        </w:rPr>
        <w:t xml:space="preserve"> </w:t>
      </w:r>
      <w:r>
        <w:rPr>
          <w:color w:val="231F20"/>
        </w:rPr>
        <w:t>existing</w:t>
      </w:r>
      <w:r>
        <w:rPr>
          <w:color w:val="231F20"/>
          <w:spacing w:val="-3"/>
        </w:rPr>
        <w:t xml:space="preserve"> </w:t>
      </w:r>
      <w:r>
        <w:rPr>
          <w:color w:val="231F20"/>
        </w:rPr>
        <w:t>instruments</w:t>
      </w:r>
      <w:r>
        <w:rPr>
          <w:color w:val="231F20"/>
          <w:spacing w:val="-3"/>
        </w:rPr>
        <w:t xml:space="preserve"> </w:t>
      </w:r>
      <w:r>
        <w:rPr>
          <w:color w:val="231F20"/>
        </w:rPr>
        <w:t>to</w:t>
      </w:r>
      <w:r>
        <w:rPr>
          <w:color w:val="231F20"/>
          <w:spacing w:val="-3"/>
        </w:rPr>
        <w:t xml:space="preserve"> </w:t>
      </w:r>
      <w:r>
        <w:rPr>
          <w:color w:val="231F20"/>
        </w:rPr>
        <w:t>better</w:t>
      </w:r>
      <w:r>
        <w:rPr>
          <w:color w:val="231F20"/>
          <w:spacing w:val="-3"/>
        </w:rPr>
        <w:t xml:space="preserve"> </w:t>
      </w:r>
      <w:r>
        <w:rPr>
          <w:color w:val="231F20"/>
        </w:rPr>
        <w:t>align</w:t>
      </w:r>
      <w:r>
        <w:rPr>
          <w:color w:val="231F20"/>
          <w:spacing w:val="-3"/>
        </w:rPr>
        <w:t xml:space="preserve"> </w:t>
      </w:r>
      <w:r>
        <w:rPr>
          <w:color w:val="231F20"/>
        </w:rPr>
        <w:t>with</w:t>
      </w:r>
      <w:r>
        <w:rPr>
          <w:color w:val="231F20"/>
          <w:spacing w:val="-3"/>
        </w:rPr>
        <w:t xml:space="preserve"> </w:t>
      </w:r>
      <w:r>
        <w:rPr>
          <w:color w:val="231F20"/>
        </w:rPr>
        <w:t>program requirements and better organize and streamline the collection of information.</w:t>
      </w:r>
    </w:p>
    <w:p w:rsidR="00C33392" w14:paraId="789A99B3" w14:textId="77777777">
      <w:pPr>
        <w:pStyle w:val="BodyText"/>
        <w:spacing w:before="125"/>
      </w:pPr>
    </w:p>
    <w:p w:rsidR="00C33392" w14:paraId="5E07514D" w14:textId="77777777">
      <w:pPr>
        <w:pStyle w:val="ListParagraph"/>
        <w:numPr>
          <w:ilvl w:val="1"/>
          <w:numId w:val="1"/>
        </w:numPr>
        <w:tabs>
          <w:tab w:val="left" w:pos="1025"/>
        </w:tabs>
        <w:ind w:left="1025" w:hanging="335"/>
        <w:rPr>
          <w:u w:val="none"/>
        </w:rPr>
      </w:pPr>
      <w:r>
        <w:rPr>
          <w:color w:val="231F20"/>
          <w:spacing w:val="-2"/>
          <w:u w:color="231F20"/>
        </w:rPr>
        <w:t>Publication/Tabulation</w:t>
      </w:r>
      <w:r>
        <w:rPr>
          <w:color w:val="231F20"/>
          <w:spacing w:val="6"/>
          <w:u w:color="231F20"/>
        </w:rPr>
        <w:t xml:space="preserve"> </w:t>
      </w:r>
      <w:r>
        <w:rPr>
          <w:color w:val="231F20"/>
          <w:spacing w:val="-2"/>
          <w:u w:color="231F20"/>
        </w:rPr>
        <w:t>Updates</w:t>
      </w:r>
    </w:p>
    <w:p w:rsidR="00C33392" w14:paraId="59C6D8C1" w14:textId="77777777">
      <w:pPr>
        <w:pStyle w:val="BodyText"/>
        <w:spacing w:before="116"/>
        <w:ind w:left="700"/>
      </w:pPr>
      <w:r>
        <w:rPr>
          <w:color w:val="231F20"/>
        </w:rPr>
        <w:t>There</w:t>
      </w:r>
      <w:r>
        <w:rPr>
          <w:color w:val="231F20"/>
          <w:spacing w:val="-7"/>
        </w:rPr>
        <w:t xml:space="preserve"> </w:t>
      </w:r>
      <w:r>
        <w:rPr>
          <w:color w:val="231F20"/>
        </w:rPr>
        <w:t>are</w:t>
      </w:r>
      <w:r>
        <w:rPr>
          <w:color w:val="231F20"/>
          <w:spacing w:val="-6"/>
        </w:rPr>
        <w:t xml:space="preserve"> </w:t>
      </w:r>
      <w:r>
        <w:rPr>
          <w:color w:val="231F20"/>
        </w:rPr>
        <w:t>no</w:t>
      </w:r>
      <w:r>
        <w:rPr>
          <w:color w:val="231F20"/>
          <w:spacing w:val="-7"/>
        </w:rPr>
        <w:t xml:space="preserve"> </w:t>
      </w:r>
      <w:r>
        <w:rPr>
          <w:color w:val="231F20"/>
        </w:rPr>
        <w:t>publication/tabulation</w:t>
      </w:r>
      <w:r>
        <w:rPr>
          <w:color w:val="231F20"/>
          <w:spacing w:val="-6"/>
        </w:rPr>
        <w:t xml:space="preserve"> </w:t>
      </w:r>
      <w:r>
        <w:rPr>
          <w:color w:val="231F20"/>
        </w:rPr>
        <w:t>dates</w:t>
      </w:r>
      <w:r>
        <w:rPr>
          <w:color w:val="231F20"/>
          <w:spacing w:val="-6"/>
        </w:rPr>
        <w:t xml:space="preserve"> </w:t>
      </w:r>
      <w:r>
        <w:rPr>
          <w:color w:val="231F20"/>
        </w:rPr>
        <w:t>associated</w:t>
      </w:r>
      <w:r>
        <w:rPr>
          <w:color w:val="231F20"/>
          <w:spacing w:val="-7"/>
        </w:rPr>
        <w:t xml:space="preserve"> </w:t>
      </w:r>
      <w:r>
        <w:rPr>
          <w:color w:val="231F20"/>
        </w:rPr>
        <w:t>with</w:t>
      </w:r>
      <w:r>
        <w:rPr>
          <w:color w:val="231F20"/>
          <w:spacing w:val="-6"/>
        </w:rPr>
        <w:t xml:space="preserve"> </w:t>
      </w:r>
      <w:r>
        <w:rPr>
          <w:color w:val="231F20"/>
        </w:rPr>
        <w:t>this</w:t>
      </w:r>
      <w:r>
        <w:rPr>
          <w:color w:val="231F20"/>
          <w:spacing w:val="-6"/>
        </w:rPr>
        <w:t xml:space="preserve"> </w:t>
      </w:r>
      <w:r>
        <w:rPr>
          <w:color w:val="231F20"/>
          <w:spacing w:val="-2"/>
        </w:rPr>
        <w:t>collection.</w:t>
      </w:r>
    </w:p>
    <w:p w:rsidR="00C33392" w14:paraId="3C763F87" w14:textId="77777777">
      <w:pPr>
        <w:pStyle w:val="BodyText"/>
        <w:spacing w:before="230"/>
      </w:pPr>
    </w:p>
    <w:p w:rsidR="00C33392" w14:paraId="1F6FE899" w14:textId="77777777">
      <w:pPr>
        <w:pStyle w:val="ListParagraph"/>
        <w:numPr>
          <w:ilvl w:val="1"/>
          <w:numId w:val="1"/>
        </w:numPr>
        <w:tabs>
          <w:tab w:val="left" w:pos="1025"/>
        </w:tabs>
        <w:ind w:left="1025" w:hanging="335"/>
        <w:rPr>
          <w:u w:val="none"/>
        </w:rPr>
      </w:pPr>
      <w:r>
        <w:rPr>
          <w:color w:val="231F20"/>
          <w:u w:color="231F20"/>
        </w:rPr>
        <w:t>Expiration</w:t>
      </w:r>
      <w:r>
        <w:rPr>
          <w:color w:val="231F20"/>
          <w:spacing w:val="-10"/>
          <w:u w:color="231F20"/>
        </w:rPr>
        <w:t xml:space="preserve"> </w:t>
      </w:r>
      <w:r>
        <w:rPr>
          <w:color w:val="231F20"/>
          <w:spacing w:val="-4"/>
          <w:u w:color="231F20"/>
        </w:rPr>
        <w:t>Date</w:t>
      </w:r>
    </w:p>
    <w:p w:rsidR="00C33392" w14:paraId="233B0528" w14:textId="77777777">
      <w:pPr>
        <w:pStyle w:val="BodyText"/>
        <w:spacing w:before="117" w:line="252" w:lineRule="auto"/>
        <w:ind w:left="710" w:right="21" w:hanging="10"/>
      </w:pPr>
      <w:r>
        <w:rPr>
          <w:color w:val="231F20"/>
        </w:rPr>
        <w:t>We plan to display the PRA</w:t>
      </w:r>
      <w:r>
        <w:rPr>
          <w:color w:val="231F20"/>
          <w:spacing w:val="-7"/>
        </w:rPr>
        <w:t xml:space="preserve"> </w:t>
      </w:r>
      <w:r>
        <w:rPr>
          <w:color w:val="231F20"/>
        </w:rPr>
        <w:t>number and expiration date on the “Instructions” tabs of the Data Source</w:t>
      </w:r>
      <w:r>
        <w:rPr>
          <w:color w:val="231F20"/>
          <w:spacing w:val="-14"/>
        </w:rPr>
        <w:t xml:space="preserve"> </w:t>
      </w:r>
      <w:r>
        <w:rPr>
          <w:color w:val="231F20"/>
        </w:rPr>
        <w:t>Attestation,</w:t>
      </w:r>
      <w:r>
        <w:rPr>
          <w:color w:val="231F20"/>
          <w:spacing w:val="-14"/>
        </w:rPr>
        <w:t xml:space="preserve"> </w:t>
      </w:r>
      <w:r>
        <w:rPr>
          <w:color w:val="231F20"/>
        </w:rPr>
        <w:t>the</w:t>
      </w:r>
      <w:r>
        <w:rPr>
          <w:color w:val="231F20"/>
          <w:spacing w:val="-14"/>
        </w:rPr>
        <w:t xml:space="preserve"> </w:t>
      </w:r>
      <w:r>
        <w:rPr>
          <w:color w:val="231F20"/>
        </w:rPr>
        <w:t>Data</w:t>
      </w:r>
      <w:r>
        <w:rPr>
          <w:color w:val="231F20"/>
          <w:spacing w:val="-9"/>
        </w:rPr>
        <w:t xml:space="preserve"> </w:t>
      </w:r>
      <w:r>
        <w:rPr>
          <w:color w:val="231F20"/>
        </w:rPr>
        <w:t>Security</w:t>
      </w:r>
      <w:r>
        <w:rPr>
          <w:color w:val="231F20"/>
          <w:spacing w:val="-9"/>
        </w:rPr>
        <w:t xml:space="preserve"> </w:t>
      </w:r>
      <w:r>
        <w:rPr>
          <w:color w:val="231F20"/>
        </w:rPr>
        <w:t>Review,</w:t>
      </w:r>
      <w:r>
        <w:rPr>
          <w:color w:val="231F20"/>
          <w:spacing w:val="-9"/>
        </w:rPr>
        <w:t xml:space="preserve"> </w:t>
      </w:r>
      <w:r>
        <w:rPr>
          <w:color w:val="231F20"/>
        </w:rPr>
        <w:t>the</w:t>
      </w:r>
      <w:r>
        <w:rPr>
          <w:color w:val="231F20"/>
          <w:spacing w:val="-9"/>
        </w:rPr>
        <w:t xml:space="preserve"> </w:t>
      </w:r>
      <w:r>
        <w:rPr>
          <w:color w:val="231F20"/>
        </w:rPr>
        <w:t>Measure</w:t>
      </w:r>
      <w:r>
        <w:rPr>
          <w:color w:val="231F20"/>
          <w:spacing w:val="-9"/>
        </w:rPr>
        <w:t xml:space="preserve"> </w:t>
      </w:r>
      <w:r>
        <w:rPr>
          <w:color w:val="231F20"/>
        </w:rPr>
        <w:t>Information</w:t>
      </w:r>
      <w:r>
        <w:rPr>
          <w:color w:val="231F20"/>
          <w:spacing w:val="-13"/>
        </w:rPr>
        <w:t xml:space="preserve"> </w:t>
      </w:r>
      <w:r>
        <w:rPr>
          <w:color w:val="231F20"/>
        </w:rPr>
        <w:t>Workbook,</w:t>
      </w:r>
      <w:r>
        <w:rPr>
          <w:color w:val="231F20"/>
          <w:spacing w:val="-9"/>
        </w:rPr>
        <w:t xml:space="preserve"> </w:t>
      </w:r>
      <w:r>
        <w:rPr>
          <w:color w:val="231F20"/>
        </w:rPr>
        <w:t>the</w:t>
      </w:r>
      <w:r>
        <w:rPr>
          <w:color w:val="231F20"/>
          <w:spacing w:val="-14"/>
        </w:rPr>
        <w:t xml:space="preserve"> </w:t>
      </w:r>
      <w:r>
        <w:rPr>
          <w:color w:val="231F20"/>
        </w:rPr>
        <w:t>ARW,</w:t>
      </w:r>
      <w:r>
        <w:rPr>
          <w:color w:val="231F20"/>
          <w:spacing w:val="-9"/>
        </w:rPr>
        <w:t xml:space="preserve"> </w:t>
      </w:r>
      <w:r>
        <w:rPr>
          <w:color w:val="231F20"/>
        </w:rPr>
        <w:t>and the landing page for Reapplication.</w:t>
      </w:r>
    </w:p>
    <w:p w:rsidR="00C33392" w14:paraId="2A41A5A0" w14:textId="77777777">
      <w:pPr>
        <w:pStyle w:val="BodyText"/>
        <w:spacing w:before="213"/>
      </w:pPr>
    </w:p>
    <w:p w:rsidR="00C33392" w14:paraId="337BB9A7" w14:textId="77777777">
      <w:pPr>
        <w:pStyle w:val="ListParagraph"/>
        <w:numPr>
          <w:ilvl w:val="1"/>
          <w:numId w:val="1"/>
        </w:numPr>
        <w:tabs>
          <w:tab w:val="left" w:pos="1025"/>
        </w:tabs>
        <w:ind w:left="1025" w:hanging="335"/>
        <w:rPr>
          <w:u w:val="none"/>
        </w:rPr>
      </w:pPr>
      <w:r>
        <w:rPr>
          <w:color w:val="231F20"/>
          <w:u w:color="231F20"/>
        </w:rPr>
        <w:t>Certification</w:t>
      </w:r>
      <w:r>
        <w:rPr>
          <w:color w:val="231F20"/>
          <w:spacing w:val="-12"/>
          <w:u w:color="231F20"/>
        </w:rPr>
        <w:t xml:space="preserve"> </w:t>
      </w:r>
      <w:r>
        <w:rPr>
          <w:color w:val="231F20"/>
          <w:spacing w:val="-2"/>
          <w:u w:color="231F20"/>
        </w:rPr>
        <w:t>Statement</w:t>
      </w:r>
    </w:p>
    <w:p w:rsidR="00C33392" w14:paraId="2C8DFCEF" w14:textId="77777777">
      <w:pPr>
        <w:pStyle w:val="BodyText"/>
        <w:spacing w:before="118"/>
        <w:ind w:left="700"/>
      </w:pPr>
      <w:r>
        <w:rPr>
          <w:color w:val="231F20"/>
        </w:rPr>
        <w:t>There</w:t>
      </w:r>
      <w:r>
        <w:rPr>
          <w:color w:val="231F20"/>
          <w:spacing w:val="-5"/>
        </w:rPr>
        <w:t xml:space="preserve"> </w:t>
      </w:r>
      <w:r>
        <w:rPr>
          <w:color w:val="231F20"/>
        </w:rPr>
        <w:t>are</w:t>
      </w:r>
      <w:r>
        <w:rPr>
          <w:color w:val="231F20"/>
          <w:spacing w:val="-5"/>
        </w:rPr>
        <w:t xml:space="preserve"> </w:t>
      </w:r>
      <w:r>
        <w:rPr>
          <w:color w:val="231F20"/>
        </w:rPr>
        <w:t>no</w:t>
      </w:r>
      <w:r>
        <w:rPr>
          <w:color w:val="231F20"/>
          <w:spacing w:val="-5"/>
        </w:rPr>
        <w:t xml:space="preserve"> </w:t>
      </w:r>
      <w:r>
        <w:rPr>
          <w:color w:val="231F20"/>
        </w:rPr>
        <w:t>exceptions</w:t>
      </w:r>
      <w:r>
        <w:rPr>
          <w:color w:val="231F20"/>
          <w:spacing w:val="-5"/>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certification</w:t>
      </w:r>
      <w:r>
        <w:rPr>
          <w:color w:val="231F20"/>
          <w:spacing w:val="-5"/>
        </w:rPr>
        <w:t xml:space="preserve"> </w:t>
      </w:r>
      <w:r>
        <w:rPr>
          <w:color w:val="231F20"/>
          <w:spacing w:val="-2"/>
        </w:rPr>
        <w:t>statement.</w:t>
      </w:r>
    </w:p>
    <w:sectPr>
      <w:pgSz w:w="12240" w:h="15840"/>
      <w:pgMar w:top="1480" w:right="1440" w:bottom="780" w:left="1440" w:header="0" w:footer="58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392" w14:paraId="4D627529"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6765811</wp:posOffset>
              </wp:positionH>
              <wp:positionV relativeFrom="page">
                <wp:posOffset>9548386</wp:posOffset>
              </wp:positionV>
              <wp:extent cx="146050" cy="1524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52400"/>
                      </a:xfrm>
                      <a:prstGeom prst="rect">
                        <a:avLst/>
                      </a:prstGeom>
                    </wps:spPr>
                    <wps:txbx>
                      <w:txbxContent>
                        <w:p w:rsidR="00C33392" w14:textId="77777777">
                          <w:pPr>
                            <w:spacing w:before="12"/>
                            <w:ind w:left="60"/>
                            <w:rPr>
                              <w:sz w:val="18"/>
                            </w:rPr>
                          </w:pPr>
                          <w:r>
                            <w:rPr>
                              <w:color w:val="231F20"/>
                              <w:spacing w:val="-10"/>
                              <w:sz w:val="18"/>
                            </w:rPr>
                            <w:fldChar w:fldCharType="begin"/>
                          </w:r>
                          <w:r>
                            <w:rPr>
                              <w:color w:val="231F20"/>
                              <w:spacing w:val="-10"/>
                              <w:sz w:val="18"/>
                            </w:rPr>
                            <w:instrText xml:space="preserve"> PAGE </w:instrText>
                          </w:r>
                          <w:r>
                            <w:rPr>
                              <w:color w:val="231F20"/>
                              <w:spacing w:val="-10"/>
                              <w:sz w:val="18"/>
                            </w:rPr>
                            <w:fldChar w:fldCharType="separate"/>
                          </w:r>
                          <w:r>
                            <w:rPr>
                              <w:color w:val="231F20"/>
                              <w:spacing w:val="-10"/>
                              <w:sz w:val="18"/>
                            </w:rPr>
                            <w:t>1</w:t>
                          </w:r>
                          <w:r>
                            <w:rPr>
                              <w:color w:val="231F20"/>
                              <w:spacing w:val="-10"/>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5pt;height:12pt;margin-top:751.85pt;margin-left:532.7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33392" w14:paraId="20863A41" w14:textId="77777777">
                    <w:pPr>
                      <w:spacing w:before="12"/>
                      <w:ind w:left="60"/>
                      <w:rPr>
                        <w:sz w:val="18"/>
                      </w:rPr>
                    </w:pPr>
                    <w:r>
                      <w:rPr>
                        <w:color w:val="231F20"/>
                        <w:spacing w:val="-10"/>
                        <w:sz w:val="18"/>
                      </w:rPr>
                      <w:fldChar w:fldCharType="begin"/>
                    </w:r>
                    <w:r>
                      <w:rPr>
                        <w:color w:val="231F20"/>
                        <w:spacing w:val="-10"/>
                        <w:sz w:val="18"/>
                      </w:rPr>
                      <w:instrText xml:space="preserve"> PAGE </w:instrText>
                    </w:r>
                    <w:r>
                      <w:rPr>
                        <w:color w:val="231F20"/>
                        <w:spacing w:val="-10"/>
                        <w:sz w:val="18"/>
                      </w:rPr>
                      <w:fldChar w:fldCharType="separate"/>
                    </w:r>
                    <w:r>
                      <w:rPr>
                        <w:color w:val="231F20"/>
                        <w:spacing w:val="-10"/>
                        <w:sz w:val="18"/>
                      </w:rPr>
                      <w:t>1</w:t>
                    </w:r>
                    <w:r>
                      <w:rPr>
                        <w:color w:val="231F20"/>
                        <w:spacing w:val="-10"/>
                        <w:sz w:val="18"/>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6124FE"/>
    <w:multiLevelType w:val="hybridMultilevel"/>
    <w:tmpl w:val="8E003D2A"/>
    <w:lvl w:ilvl="0">
      <w:start w:val="1"/>
      <w:numFmt w:val="upperRoman"/>
      <w:lvlText w:val="%1."/>
      <w:lvlJc w:val="left"/>
      <w:pPr>
        <w:ind w:left="757" w:hanging="660"/>
        <w:jc w:val="right"/>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start w:val="1"/>
      <w:numFmt w:val="decimal"/>
      <w:lvlText w:val="%2."/>
      <w:lvlJc w:val="left"/>
      <w:pPr>
        <w:ind w:left="927" w:hanging="227"/>
        <w:jc w:val="left"/>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2">
      <w:start w:val="0"/>
      <w:numFmt w:val="bullet"/>
      <w:lvlText w:val="•"/>
      <w:lvlJc w:val="left"/>
      <w:pPr>
        <w:ind w:left="1857" w:hanging="227"/>
      </w:pPr>
      <w:rPr>
        <w:rFonts w:hint="default"/>
        <w:lang w:val="en-US" w:eastAsia="en-US" w:bidi="ar-SA"/>
      </w:rPr>
    </w:lvl>
    <w:lvl w:ilvl="3">
      <w:start w:val="0"/>
      <w:numFmt w:val="bullet"/>
      <w:lvlText w:val="•"/>
      <w:lvlJc w:val="left"/>
      <w:pPr>
        <w:ind w:left="2795" w:hanging="227"/>
      </w:pPr>
      <w:rPr>
        <w:rFonts w:hint="default"/>
        <w:lang w:val="en-US" w:eastAsia="en-US" w:bidi="ar-SA"/>
      </w:rPr>
    </w:lvl>
    <w:lvl w:ilvl="4">
      <w:start w:val="0"/>
      <w:numFmt w:val="bullet"/>
      <w:lvlText w:val="•"/>
      <w:lvlJc w:val="left"/>
      <w:pPr>
        <w:ind w:left="3733" w:hanging="227"/>
      </w:pPr>
      <w:rPr>
        <w:rFonts w:hint="default"/>
        <w:lang w:val="en-US" w:eastAsia="en-US" w:bidi="ar-SA"/>
      </w:rPr>
    </w:lvl>
    <w:lvl w:ilvl="5">
      <w:start w:val="0"/>
      <w:numFmt w:val="bullet"/>
      <w:lvlText w:val="•"/>
      <w:lvlJc w:val="left"/>
      <w:pPr>
        <w:ind w:left="4671" w:hanging="227"/>
      </w:pPr>
      <w:rPr>
        <w:rFonts w:hint="default"/>
        <w:lang w:val="en-US" w:eastAsia="en-US" w:bidi="ar-SA"/>
      </w:rPr>
    </w:lvl>
    <w:lvl w:ilvl="6">
      <w:start w:val="0"/>
      <w:numFmt w:val="bullet"/>
      <w:lvlText w:val="•"/>
      <w:lvlJc w:val="left"/>
      <w:pPr>
        <w:ind w:left="5608" w:hanging="227"/>
      </w:pPr>
      <w:rPr>
        <w:rFonts w:hint="default"/>
        <w:lang w:val="en-US" w:eastAsia="en-US" w:bidi="ar-SA"/>
      </w:rPr>
    </w:lvl>
    <w:lvl w:ilvl="7">
      <w:start w:val="0"/>
      <w:numFmt w:val="bullet"/>
      <w:lvlText w:val="•"/>
      <w:lvlJc w:val="left"/>
      <w:pPr>
        <w:ind w:left="6546" w:hanging="227"/>
      </w:pPr>
      <w:rPr>
        <w:rFonts w:hint="default"/>
        <w:lang w:val="en-US" w:eastAsia="en-US" w:bidi="ar-SA"/>
      </w:rPr>
    </w:lvl>
    <w:lvl w:ilvl="8">
      <w:start w:val="0"/>
      <w:numFmt w:val="bullet"/>
      <w:lvlText w:val="•"/>
      <w:lvlJc w:val="left"/>
      <w:pPr>
        <w:ind w:left="7484" w:hanging="227"/>
      </w:pPr>
      <w:rPr>
        <w:rFonts w:hint="default"/>
        <w:lang w:val="en-US" w:eastAsia="en-US" w:bidi="ar-SA"/>
      </w:rPr>
    </w:lvl>
  </w:abstractNum>
  <w:num w:numId="1" w16cid:durableId="166037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92"/>
    <w:rsid w:val="00057023"/>
    <w:rsid w:val="0012060F"/>
    <w:rsid w:val="004D7FE2"/>
    <w:rsid w:val="00711D86"/>
    <w:rsid w:val="008379AA"/>
    <w:rsid w:val="00C33392"/>
    <w:rsid w:val="00E97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354E5"/>
  <w15:docId w15:val="{B4065A30-CEC3-442F-86E6-BD774BA9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15" w:hanging="225"/>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data.bls.gov/oes/%23/area/0000000/2025"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1860</Words>
  <Characters>10510</Characters>
  <Application>Microsoft Office Word</Application>
  <DocSecurity>0</DocSecurity>
  <Lines>339</Lines>
  <Paragraphs>174</Paragraphs>
  <ScaleCrop>false</ScaleCrop>
  <Company>Center For Medicaid Services</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10394 QECP Supporting Statement Part A Version 7</dc:title>
  <dc:subject>Paperwork Reduction Act (PRA) Supporting Statement</dc:subject>
  <dc:creator>CMS</dc:creator>
  <cp:keywords>"PRA, Supporting Statement"</cp:keywords>
  <cp:lastModifiedBy>McKenzie, Stephan (CMS/OSORA)</cp:lastModifiedBy>
  <cp:revision>3</cp:revision>
  <dcterms:created xsi:type="dcterms:W3CDTF">2026-07-16T18:22:00Z</dcterms:created>
  <dcterms:modified xsi:type="dcterms:W3CDTF">2026-07-17T13:21:00Z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2026-07-16T00:00:00Z</vt:filetime>
  </property>
  <property fmtid="{D5CDD505-2E9C-101B-9397-08002B2CF9AE}" pid="3" name="Creator">
    <vt:lpwstr>Acrobat PDFMaker 26 for Word</vt:lpwstr>
  </property>
  <property fmtid="{D5CDD505-2E9C-101B-9397-08002B2CF9AE}" pid="4" name="LastSaved">
    <vt:filetime>2026-07-16T00:00:00Z</vt:filetime>
  </property>
  <property fmtid="{D5CDD505-2E9C-101B-9397-08002B2CF9AE}" pid="5" name="Producer">
    <vt:lpwstr>Acrobat Distiller 26.0 (Windows)</vt:lpwstr>
  </property>
  <property fmtid="{D5CDD505-2E9C-101B-9397-08002B2CF9AE}" pid="6" name="SourceModified">
    <vt:lpwstr>D:20260716172228</vt:lpwstr>
  </property>
</Properties>
</file>